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diagrams/data2.xml" ContentType="application/vnd.openxmlformats-officedocument.drawingml.diagramData+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0502210" w:displacedByCustomXml="next"/>
    <w:sdt>
      <w:sdtPr>
        <w:id w:val="-834991241"/>
        <w:docPartObj>
          <w:docPartGallery w:val="Cover Pages"/>
          <w:docPartUnique/>
        </w:docPartObj>
      </w:sdtPr>
      <w:sdtEndPr>
        <w:rPr>
          <w:caps/>
        </w:rPr>
      </w:sdtEndPr>
      <w:sdtContent>
        <w:p w14:paraId="6D9807E2" w14:textId="77777777" w:rsidR="005213D5" w:rsidRDefault="005213D5" w:rsidP="00341E52">
          <w:r>
            <w:rPr>
              <w:noProof/>
            </w:rPr>
            <mc:AlternateContent>
              <mc:Choice Requires="wpg">
                <w:drawing>
                  <wp:anchor distT="0" distB="0" distL="114300" distR="114300" simplePos="0" relativeHeight="251658241" behindDoc="1" locked="1" layoutInCell="1" allowOverlap="1" wp14:anchorId="6B36B6C3" wp14:editId="0F2455A9">
                    <wp:simplePos x="0" y="0"/>
                    <wp:positionH relativeFrom="page">
                      <wp:align>left</wp:align>
                    </wp:positionH>
                    <wp:positionV relativeFrom="page">
                      <wp:align>top</wp:align>
                    </wp:positionV>
                    <wp:extent cx="10692000" cy="7560000"/>
                    <wp:effectExtent l="0" t="0" r="0" b="3175"/>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7560000"/>
                              <a:chOff x="0" y="0"/>
                              <a:chExt cx="10692000" cy="7560000"/>
                            </a:xfrm>
                          </wpg:grpSpPr>
                          <wps:wsp>
                            <wps:cNvPr id="15" name="Rectangle 15">
                              <a:extLst>
                                <a:ext uri="{C183D7F6-B498-43B3-948B-1728B52AA6E4}">
                                  <adec:decorative xmlns:adec="http://schemas.microsoft.com/office/drawing/2017/decorative" val="1"/>
                                </a:ext>
                              </a:extLst>
                            </wps:cNvPr>
                            <wps:cNvSpPr/>
                            <wps:spPr>
                              <a:xfrm>
                                <a:off x="0" y="0"/>
                                <a:ext cx="10692000" cy="7560000"/>
                              </a:xfrm>
                              <a:prstGeom prst="rect">
                                <a:avLst/>
                              </a:prstGeom>
                              <a:gradFill flip="none" rotWithShape="1">
                                <a:gsLst>
                                  <a:gs pos="4000">
                                    <a:srgbClr val="57C1A5"/>
                                  </a:gs>
                                  <a:gs pos="100000">
                                    <a:srgbClr val="FBDC00"/>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pic:cNvPicPr>
                            </pic:nvPicPr>
                            <pic:blipFill rotWithShape="1">
                              <a:blip r:embed="rId9" cstate="print">
                                <a:alphaModFix amt="50000"/>
                                <a:extLst>
                                  <a:ext uri="{28A0092B-C50C-407E-A947-70E740481C1C}">
                                    <a14:useLocalDpi xmlns:a14="http://schemas.microsoft.com/office/drawing/2010/main" val="0"/>
                                  </a:ext>
                                </a:extLst>
                              </a:blip>
                              <a:srcRect l="-1060"/>
                              <a:stretch/>
                            </pic:blipFill>
                            <pic:spPr bwMode="auto">
                              <a:xfrm>
                                <a:off x="2646218" y="0"/>
                                <a:ext cx="8040370" cy="755967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4714F2E" id="Group 1" o:spid="_x0000_s1026" alt="&quot;&quot;" style="position:absolute;margin-left:0;margin-top:0;width:841.9pt;height:595.3pt;z-index:-251658239;mso-position-horizontal:left;mso-position-horizontal-relative:page;mso-position-vertical:top;mso-position-vertical-relative:page;mso-width-relative:margin;mso-height-relative:margin" coordsize="106920,75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dpYxGQQAAPcJAAAOAAAAZHJzL2Uyb0RvYy54bWykVl1v2zYUfR+w/0Do&#10;PZHt2U4jxC48ZwkKZG3QdMgzTVMSUYrkSNqy9+t3SEqO43hr0T5Y5sf94D2891zevN81kmy5dUKr&#10;WTa8HGSEK6bXQlWz7K8vdxfvMuI8VWsqteKzbM9d9n7+6y83rSn4SNdarrklMKJc0ZpZVntvijx3&#10;rOYNdZfacIXNUtuGekxtla8tbWG9kfloMJjmrbZrYzXjzmH1Nm1m82i/LDnzn8rScU/kLMPZfPza&#10;+F2Fbz6/oUVlqakF645Bf+AUDRUKTg+mbqmnZGPFG1ONYFY7XfpLpptcl6VgPMaAaIaDk2jurd6Y&#10;GEtVtJU5wARoT3D6YbPs4/bemifzaIFEaypgEWchll1pm/CPU5JdhGx/gIzvPGFYHA6m17gHQMuw&#10;eTWZYtyhympA/0aR1X98SzXvXeevDtQapIh7QcH9HApPNTU8gusKoPBoiVgjnklGFG2QqZ+RO1RV&#10;khOsRXCi3AEqVzig9tM4HYKlhbHO33PdkDCYZRYHiDlFtw/O4wQQ7UW6VFvfCSlJKQUqR6G+MmK1&#10;fxa+jsEhmqhfOehHDUeMBmzjcEdhwdlqtZSWbCnKY3K1HC5iqHBUuWOFYbjVMyp3v98u03V3KvGv&#10;8yaFIgAwJo5jVPIAbyo4LyQP+KagUH4xkOBRqvBVOgSWdsMKEqGHO478XvIk/ZmXuDck4igFFHiD&#10;H0KijHHlEwqupmveRRqjSeYj0wSNiK9UMBgsl/B/sN0ZOG87menkgyqPtHNQ7mD7P+WDRvSslT8o&#10;N0Jpey4yiag6z0m+BylBE1Ba6fUeWY2MSFdg2J1AYj1Q5x+pBcuhaMHc/hM+pdTtLNPdKCO1tv+c&#10;Ww/yKDvsZqQFa84y9/eGWiSe/KCQWdfD8TjQbJyMJ1cjTOzxzup4R22apUbmDdEjDIvDIO9lPyyt&#10;bp5B8IvgFVtUMfieZczbfrL0ic3RIhhfLKIYqNVQ/6CeDOtrIBTOl90ztaarLg8G+6h7EqDFSZEl&#10;2XAfSi82XpciJusLrh3eIKT5jRGswK/jZ4zeMNO3+xi0/CYAmXph8102Gmq/bsxFileshBR+H9si&#10;UiYcSm0fBQskFSYvJDdCU04kh+3glWAF2dRLJR2wjWAPmn11ROlljVLmC2dQtV0Z56/F4/SVwxV4&#10;KRLUOVIKm12suMCTdnYGrtQqbzXbNCjp1Pstl9Tj4eFqYRwSp+DNKrCM/bBGSjG8OzyI3FihOiKV&#10;pqZ/apDNjtAGcUyOiCAcKNy3syxQU3gwXKC7dc3Mecs9q0PJhbD70BJmoRGQVQvLcEeRLbFiT9rn&#10;aDqejoZA/m0TfTcYD367Qn6nHjq5nl71PNwb6Yn/O3vDf9BoOHrqWjEKTGMax9cFRq+eL8fzKPXy&#10;Xpv/CwAA//8DAFBLAwQKAAAAAAAAACEAULflLTS+AAA0vgAAFAAAAGRycy9tZWRpYS9pbWFnZTEu&#10;cG5niVBORw0KGgoAAAANSUhEUgAAB/8AAAeDCAMAAACZqhZPAAAAAXNSR0IArs4c6QAAAARnQU1B&#10;AACxjwv8YQUAAAAzUExURQAAAP////////////////////39/f////////39/f////////39/f//&#10;//////////7+/qPtYiIAAAARdFJOUwCA/8AwQNDwYOAQUJAgoHCwkYHAtgAAAAlwSFlzAAAkIwAA&#10;JCMB0ULl7gAAvW1JREFUeF7t3ely6jgQhuHhQEJC1vu/2imywhdsS7bU6pbe589UzfFCwFa3pZb8&#10;338Aytv9w7/97qDfC8q7293rNz+g44N+LwBg7+5RW6fh7Hd3+q2gmtPTMznA/kW/FgCwdXrWlmkw&#10;989P+p2gutPD6+Bp53Gn3wkAWHo6ars0ksfXBx7Dmnl5ex/66rtnwAlAMy/v2iYNZP9G+9vc2OUA&#10;u5N+HwBg4m3Yx69HOv3dOD28jnsdUncCoIGXvbZGg3h/o9PfmcOw3QDPdAEAsDbmw//j6xMNrkun&#10;hzGrAR7piQJg6jDi89Y9U/x9e3oecVLAOxkpADsDrvjzTql/BIe38TLTI10AAIwM9/B/pNc/kNPD&#10;cNNS6AIAYGKwh//HZ4qsozk9DTYngC4AAPWN9fD/+MyQf1BPY60QSBcAgMpGevi/Z6JfbIeR6gHp&#10;AgBQ00AP/wT/LoyUAtAFAKCaYR7+Cf4dGScFoAsAQB2jLPhH8O/OMCkAXQAAKhhjwb/HHcG/S4fn&#10;Ma5fJqsAKGyIh3+q/bs2xqRA3ggAoKin/lvO4yuPTt17GmBpoEeSWADFnPpvNV8pnRrD6aH/nqyd&#10;/tEAsM5d7w//+wf6TAfy8tZ7NeA9XQAACjg9a+vSl0fK/cfTezXg8U3/YgDI1feSP8dXnpQG1Xkp&#10;wJ4uLQDbdL3kz/uD/rkYyKnrdwWzGBCALXqe9Ue/P/oeB2AmIIDV+p31x2Q/fHnodxyAMkAA65xe&#10;tT3pxT31/vj1sut2PgBlgABWOHTaKFLyhz+ees11KQMEkK3Twj+m+uOmU6eLAlAGCCDPqcvCPx79&#10;MeOuz06AZ/07AWBal4V/jPpjwanLSgDKAAEk63HFPx79kaLHZYGOrHMBIMlLf6uiPL7x6I9ELx2u&#10;CfDO9Q9g2UN3rd87c/2R5aG7FJiXAgNY0t2k/+Mzy/whW3+1gCwFAGBWb2/7eaTmD+t0VwvIGACA&#10;GZ31/dPxjy06GwZgDADAlL76/un4x2adDQMwBgDgpq76/qn4RxEvu576xBgDAHBDT33/eyY8o5TT&#10;Q0eFAIwBAFA99f3zbl+U9dDRctiMAQC40s+aP8dXhv1RXEeFAIwBALjQzXr/xx2NG6p4ee3lJmEM&#10;AMCPXtb7f2TYH/WceikF5H0AAD6dOun7p+gPlXVTCviqfxmAEd318VCzp+gPBjrJAO6pkgHwpi1D&#10;SJT8w8pTF5MBjtwxwOBOXbztnJJ/WLrrIgPY6Z8FYCRdLPlH9Ie1LjIAJgICA+tg2t9xR/RHAy8d&#10;LAjAREBgWPGn/THdH810kAEwERAY0yl8FybRH011kAE8698EoH+H6POYiP5oLn4GsOcuAkYT/W1/&#10;RH+4ED4DoAgAGEzwoX+iP9yIngFQBACMJPjQP9EfrkTPACgCAIYRe9Y/0R/uBM8AKAIABhF71v8r&#10;TRUcegndp3ZPEQAwgp3e+5Gw1h+8Cr0m4PFJ/xwAvTlF7qgk+sOz0BnAm/41APpyCjz0v6ePEs7d&#10;BV5Vg5E1oGuHuEP/e95XigAe4mYA9yQAQL8e9I4P45HojyDewibZR3rYgF6FXfTnkRVKEMdpFzUD&#10;YCkgoE+nd73bgzju9E8BXItbZcu9BnToJWrlH8v9IJ6XqNk2VYBAd6JW/jHlDzFFnQxIFSDQmaCv&#10;+6PoH3E9xZwKQBUg0JWYa/49siYZQos5FYC1AIGOhKxGOrIgGaI7xZxzwzQAoBMx1/x7ZhgSHYhZ&#10;CPiqfwaAiEK+7XdP2R86cRfxBnwn/Qbii1j4z2p/6EnE6lumAQDhBVzyl4F/dCZiGQDTAIDg3vSu&#10;9o+Bf/TnJd5qAEwDAEKLV/jPS37Rp4CvBmYaABBWvBX/mfGPfsV7LdCz/gkAYog374+l/tGzl3D9&#10;ccwDBEI6ROtvZM4fehduLiDTAICAos37o+sfI4i2JDAJABBOtHl/dP1jDKdggwDMAwSCCRb+6frH&#10;OIINApAAAKHEesSg6x9jCTYTgHmAQByxwj9d/xhNsLcCkQAAQZxCLTXGgj8Y0VOo6TnMAwRCCDXt&#10;n7X+MajTTm8Gz0gAgABCve6Xt4xiXIdIHXXcqoB7kab985pfjC3SYgAsBAA4Fyn8U/eH0UV6RQcJ&#10;AODaQ5zwf0/dHxCpDpCFAADH4qz6Q90f8OH0rDeHWyQAgFtxwj/r/QHf7sJ0ARyp2AF8CrPqz5Hl&#10;RIALcaYCcusCHoUJ/8wkAq7FmbVLAgD4EyX8H1nsH/gjTBcACQDgTJh5RDz8A7e8RFkN6Fk/OYCW&#10;oqz5y4o/wJQoqwGxFjDgSJTw/8zDPzApShcACQDgRpDwz8M/MC9IFwAJAODES4zw/8rDP7AgSBfA&#10;npsZ8CDGkv+U/QMp3vTWcYmXAQAOxAj/lP0DaWKsBUACADQXIvzz8A+kC7EWAAkA0FiI8M/DP5Aj&#10;RBcACQDQVITwz6v+gFwRXgpIAgA0dBcg/POqPyBfhJcC8j5goJkI7/vd6YcGkCDCkt4kAEAjAcL/&#10;Pe0DsNKT/+49EgCgiQDhn/V+gfUCLAZEAgA04D/8M+sP2Mb/YkAkAIA5/+GfWX/AVv5nApIAAMbc&#10;h39m/QEFnNzPBCQBAEy5D/8U/gFluC8DJAEADLkP/xT+AaWcvJcBkgAAZryHfwr/gJK8vxCABAAw&#10;4j38s+IfUNbB+WqAJACACe/hnxX/gNK8rwZIAgAYcB7+j3f6gQFs9+a7DJAEAKjOefhn0j9Qh/Ol&#10;AEgAgMqch38m/QO1nF71fnOFBACoynf4f6QBACp6cD0GQAIAVOQ7/NP3D9TlewyABACoxnf4p+8f&#10;qM33GAAJAFDJQe82T7jzAQuuxwCOrP0B1HDwfN/v6fsHTLgeA7inIQDKcx3+WfMHsOJ6LSASAKA4&#10;z+GfNX8AS296CzpCAgAU5jn83zPmB5hy3R6QAAAleb7dX/XDAqjM8zuBSQCAgk5+3/51fNAPC6C+&#10;Z70V/bjXzwpgrZPfgl+W/APaePLbKUifIFCI4/DPkn9AK44nApIAAEU4Dv9M+wPacTwRkAQAKMFt&#10;+D8+6UcFYGmnN6UbJADAdm7X+75n6B9ozG8RAIXBwFZuwz9D/0B7fosASACAbdyGf4b+AQ/8FgGQ&#10;AABbeF3nk6F/wAu3RQCsCw6s96A3lBPM+gf88FoEwEvBgdW8hn9e9gt4cnC6QCgJALDSQe8mJ5jZ&#10;A/ji9XUARx4VgDW8vvOHqh7AHaeVwrwLCFjBafg/UtMDOOR0tJAEAMjm9JV/9y/6QQF4cOfzieFd&#10;PyeAeU4X/WfRH8Arp0sBUS8E5OFOBpDHaRXgs35OADN8FvNQ+Qe4RsMBROfyLqbyD/DOZxUgCQCQ&#10;yuU9zJp/gH8+1wKk8QDSuAz/TOMBInA5cZiFAIEkLpf9o/IPiMHl3CEWAgQSuEzfedsvEIXLNwLT&#10;gQgsOnkM/5TvAIF4LCDe64cEcM1j3x2F/0AsHmuIGEME5jlcwIPSHSCaB4f9iIwiAnMc9tsxbgfE&#10;47GOiHFEYNqb3jDt7Qn/QEAe3wbASCIwxeGgHWN2QEwOa4kYSwQmOJz4z4gdEJXDeYCPdCcCtzgc&#10;sGO8DgjMXz0R5UTADf56646EfyC0nd7UzTGiCPzlL/wzVgcE56+m6Fk/IjA8dz11hH8gPn8LAdCt&#10;CFxzN/OPcTqgB/7qipgFCFxy10tH+Af64C4BoGsRuODuDn0l/AOdcFdazNMF8MPdO/+o0QX64S4B&#10;4F2AwBd3dyfhH+gJTQzglLfS/zf9gABi89bIMAkAOPO2RAd3JtAdbwkAkwAAf6X/hH+gQ84SACYB&#10;AN5K/49P+gEB9MDZkwaTADA8Z6X/JOVAr5wlAEwCwOh81eUS/oF+OUsAeBMAxuZrTI7wD/TMWQJA&#10;rRFG5mvV/3vCP9C1O1/jjbQ4GNed3g5NUY8D9M5XvfGRNgejenF1KxL+gf75SgDu9eMBY/C1Jifh&#10;HxiBrwSAhYAxJle1f4R/YAy+EgBWG8eIXNX+Ef6BUfhKAFgIGONxVftH+AfGcfA09Hh80Y8HdM5V&#10;7d8r4R8YiKvaI2oAMRhX9x8lOMBYaICAZjzV/nH3AaNxlQCwDiBG4qn2j/APjMdVAsA6gBiHp9o/&#10;wj8wIk8JAOsAYhie3vlL+AfG5CkB4F3AGIWj247wD4zKUwLAu4Axhme99Nsh/APj8pQAPOmHAzrk&#10;6BXchH9gZI4SgCM1gOifo7U3Cf/A2BwlACxCiu45ut8I/8DoaJAAM+960TfD3QbAUQLAqwDRNz8L&#10;/zDhBoCrBIASAPTsoBd8Mwy2ATjzsx7JI60S+nV61Au+FcI/gE9+apLf9aMB3XAz+E/4B/DNTwKw&#10;048GdGKnF3srhH8Av/wkAHf60YAuuHnrD+EfwCU3CQBvAkKX3FTZEP4BXHOTADAxCT3a64XeyPFF&#10;PxmA0bmZm0QJAPrjZfCfZbYB/OXmxSSUAKA3Xgb/Cf8AbvGSAFACgM54mflP+Adwm5cEgBIA9MXL&#10;zH+61gBM8JIA8CIA9MTLsv8P+sEA4NurthiN0E2JfngprSX8A5jhJAHgRQDohpfBf8I/gFlOEgBe&#10;BIBeOLmlXvVzAcA1J+uU8LCCPjgpqiH8A1hyuteWowlmKqELLz4W1iT8A1jmJAG4188FBOTkbqKg&#10;BkACJ28qedbPBYTzrJd1E4R/AGmcvAvoST8XEIyPdX9ZURNAKh8JAK0WgvPRlUYtDYB0PmqWWQcY&#10;sblY95fwDyCHjwSAdYARmY91f5lKCyCLj/eV8+SCuHwMoxH+AWRysWoZdcuIy8XUP6bRAMjmYuyS&#10;1gtRuehCY90fAPl8rAPEG8sRk4upf5TQAljDxXvLmASIkFzcPYyfAVjHRf0SbwJERB7qZ0ieAazl&#10;IgGgfhnxPOll3AAT/wGs52EZgOOLfirAORcL/7GANoANPKxgQg0TotnrRdwAHWcANvEwjLnTDwW4&#10;5iFtZuosgI08PMkwjolIXhz0/jPxH8BWHpYBuNcPBTjmIGdm5h+A7Tw8zDACgDgcLPzHzD8AJXiY&#10;BcgygIjioBevPWb+ASjDwSzAR55nEISDATNm/gEoxEE5M9XMiMFB7/+bfiYAWMvBLEBGABCBg95/&#10;Sv8BFNS+T5MRAETQ/k5htgyAkhy8zYwRAPjXvvefRBlAWQ4mATACAO/a9/5T+g+gtPYvNOPBBt61&#10;7/2n9B9Ace0nATACAN/a9/5T+g+ggvaTABgBgGfte/8p/QdQRfPOTUYA4FnzG4RV/wHUcWpeA8gI&#10;APxq3vt/fNGPBABltO/fZAQAXrW/Oyj9B1BN8zcBMAIAr5r3/j/oJwKAcp61zbHGCAB8at77T+0f&#10;gKr22upYYwQAHr20Lo5h2V8AdTVfCJhmDh61ToyPjIwBqKz5QsA7/URAc81Xx6L2D0B1zWsAaeng&#10;TfPef2r/ABhoXQPICAC8edeL1Bi1fwBMtB7qZI1z+NL65Vis+wfARut1AFnmDK5wQwAYReuVzvb6&#10;gYCGWo+IMScWgJnWNYC85Bx+3OnlaYwZMQAMNX4XMJOd4UfjJTHe9fMAQEWnxoudU+8MLxov/Msr&#10;MQDYaj3hmSFP+PCil6YxlsMAYKzxlKdH/TxAE41nw7LwDwBzjbs9KXqCB41LYRkIA9BA4wcf5jyj&#10;vcZT/1n4B0ALjZs+FgFAe20nwhwZ/AfQRON5z4x8ojVuAQBjalsCwCIAaK3t1H8G/wE00/a1ZzR/&#10;aKttAszgP4B2Tm2ff1gEAC21XQSDwX8ALbV9E9C9fhzAUNvuLwb/ATT1pq2SqTf9OICZtktgMfoF&#10;oLGmqwDw4nM003bwi8F/AK21XQWAd5+hlabFfwz+A2iv7RRoSgDRRtv3/jD4D8CBps9BvAcIbTQd&#10;+KLfC4ALTVtC3gOEFpoW/z0y+A/AhaYlAJQAooG2xX8M/gNwoumzEF2hsNd00Is+LwBuPGsLZYkS&#10;QFhrWvzHmy8BOHKvbZQhSgBhreXKf7z3CoAnh5YlAKwCCFtN57w+6acBgJZargPMAxFstSz+e9YP&#10;AwBttewRZSl0WGpZ/Me6vwC8aToJkBJA2Gl6qTP1D4A7LcdEqYiGnVe9/AxR6wLAoZaTAFkOHVZI&#10;dAFANJwESAkgrDRc7tpiscvT3dnb7sP+W9KQx/331q+fez99HEpPAKBDB20PDLEkGmw86KVnqMLU&#10;v8NXsH/f7/cVE/hzVvC82+0e7u7uyNWBFV4+8ullup+VlpMADZ6MgKYL/xda6vrwEfFfq8b7Bcf9&#10;fv/ZQUAyAFz6iPIPF91vq2/T81320xtnkRk07Bot1DYCsxrO/dv01r/D3dNHzE/qyLd1f84F3u7u&#10;SOExoPOA27kH7hyq9dao4fErJXi6uys9meilYetSO7cBwl3hL+eo/77+CcLaeZDgrfpjCtDW4e7u&#10;c8ytYXPy5f4jG3go0xPX8E2A9/pZgOIazv3LWPjvdA77HhqX1e73r7u34s8nQDsv56D/vN83HEFc&#10;cL9//0gF9JOna7gMIHMAUVvDuX8pC/+d4/5znKf9FOexAfIAxHXu3X+26dov5/GcCTzlD8k1XBuN&#10;OYCoreFdPBsDD3e7XV9xXxz377uHIl2UgIWXu4cecvHzjbfL6BFo+ITEHEDU1XDu38TFfbjbPTvu&#10;UCzufr97Iw2AX+e4/9rhLfnREZeQBzRcBjC7twLI0e6u/lPd8nL3tuuwlUm0f989JbRFgJmPVDz8&#10;8/6SxY64hhOkeQ8gamo49++i9/9wt3ttOA7hyOP+mc4AtDZaH9yH6TSg4QgAjwSop2Fty+drfw5P&#10;u/fuHzCyHckC0MRp6D64s+P+dfeklUntRgB4PQrqaTf3b//CM/+C4/75gfQfNrgfr9zvd5c3X7tn&#10;lAoLpAMfXvRigzuP77snqoBQD5F/0uN3FtDuRUCP+nMBhTRc2gJZ9s8P2icJbHS6eyPyL7t/3z21&#10;6yn9HCgFSmtY1oIV7l/fGA9AEYenwcf5w2ARINRB6h8QSQC24aE/lol1UoBNGi79g23uX98YDkCu&#10;093utV0lG1ai/AcV0P0X2/6ZwkAkOt3t3rnhY2IRIJT3ppcZ4jm+7xgNwLy7N576Q6OvD6U1XPoH&#10;Zd0/P9ARgFsOD8+E/vBYBAilNVz5F+Ud3ykLxKXT3W5Pjt8Hbm2U9ULT0J/9jlWD8fHYT49/T+gA&#10;QFnt1rNAVffPT+QAI7vbvZPb9+ZBf2VgA1b+7Rk5wJhOTztm9neJVYBREo//vSMHGMvpiUq/jtEB&#10;gHJY+XcI5ABjeHl4ZW5/31gFGOXQSziM+2eKh3tG7B8DqwCjFB7/x7JnteAunZ6eif2DoAMApfD4&#10;P5zjO2sE9YXx/rHQAYAynvTSwhAen5/0UkBIB+r8h3Mkf0cR9BmOi6GA6F7emN8/JF4DhBJ47+/Y&#10;Hl+ZFRAUA/4jowMABdCC4P2NxiSawxud/kOjAwDb8fiPM6oBAjk9McsP5OzYjHYEX47vD4wE+MeD&#10;Pz7QAYCt3vSiwtDuGQlwjRF//KB2F9ucqB2GeHymXXHp5eFdfyuMjPcAY5udXlLAv3/HV4oBnDns&#10;WN8HgrW8sQWP/5hwfKUYwA16/XELHQDYgsd/zKAe0IHT0ytZOm6jAwDr8fiPBaQATZ0Y8scMOgCw&#10;Ho//WMaUgEZe3gj+mEcHANbi8R9pSAHMvbxR74dFdABgLR7/keyegQA7BH8kogMA6/D4jyzUApgg&#10;+CMdHQBYh8d/5CIFqIzgjzx0AGANHv+xAksD1UPwRzY6ALAGj/9Y5/jKM0d5TPXDKtyMyMfjP9Z7&#10;fGZCQEkEf6xFBwDy8fiPTZgTWAwr/GEDOgCQ64UWB1u9P+hlhWyHZ25FbEEHALKcHvZ6DQErUAqw&#10;zcuOF/tgK+5BpLujtxHlPO4YB1jn9EC5Pwo4Ph/02gJu4YEDxe1ZFSDf06t+jcBaVONgGf3+qOL4&#10;yhNIDgb9UZpeY8ClA/3+qOfxjU6ANPT7owK9zIAfJ5YWQ23vLA24jH5/VKEXGvDljjYHFigGnEf5&#10;DWrRaw04O73R5sAMnQCTKL9BPXq1Af/9d8fCorBFJ8AtlPyhKr3gMDwe/dEEnQDXKPlDbXrNYXCM&#10;+qMZOgF+MfMG9elVh5Hx6I/GWBv4A4/+sKDXHcbFEwccYE2AF0b9YUMvPYyKOmM4MfbCgNyIMKMX&#10;H4b0suOJA47sB31LMHP9YUmvPwyImj+487gbbxiAGxG29ArEcCg1gk9jDQOcHnj0hzG9CDEWOv7h&#10;2DjDANT8oQG9DDES+hvh3BjDACy4iSb0QsQ4KDRGAMfXzhcFouMfrei1iEGcKDRGFO8dLwpExz/a&#10;0asRQ3hhqR9Ect9pIQAjcGhJr0cMgNFGhNNjIQBTb9CWXpHoHsP+COn43FUhACNwaE4vSvSNWiME&#10;1s+KAAz7wwG9LNGzE7P9Edu+i1JAhv3hgl6Y6BdFf+hA/FLAO0bg4INemujVC48c6MPjQ+RSQEbg&#10;4IZenOgTjxzoyDHqZIDTG9Effuj1iR4R/dGZkBkA9TfwRa9Q9IcOR/Qo2rrA1N/AG71G0RuiP3oV&#10;KQOg/gb+6FWKvhD90bMoGQAT/uCRXqfoCMON6F6EdwNRfwOf9EpFN4j+GIL3JYGI/vBKr1V0guiP&#10;YXjOAIj+8EuvVnSB6I+heM0AqL+BZ3q9ogNEfwzHYwZA9IdvesUiPKI/huQtAyD6wzu9ZhEc0R/D&#10;8pQBEP3hn161CI3oj6F5yQCI/ohAr1sERvTH8DysCET0Rwx65SIuWh2gfQZwx32IIPTaRVREf+BT&#10;ywyA+f6IQ69exET0B369Nno7MNEfkej1i4ju7vV3BYZ23DXIAIj+iEWvYMRDqwP8YZ4BvLzrRwB8&#10;02sY0bwQ/YFbHh/0ZqnohTf8Ihy9ihELrQ4wySwDOHEfIiC9jhHJaae/J4ALJgsCsfAGYtIrGXHQ&#10;6gCL9tUnA75xHyImvZQRBlP+gBR1lwPgPkRYejEjCBYZAxJVnArA1FsEppczQjhQ9A+kO77pLVQE&#10;9yFC0wsaAVD0D2R6fNLbaDPuQwSnlzTco+zPgfv9p9fdstevbekpbqvwVAAm3yA8vajh3QPR39g5&#10;dj/vdru3uzP9PbJ9HOXtnBicD6wnQ0UlCwEp+nfhK7eezMUv/p38+y+9quEb5UYW7j8ak3O8r1Y3&#10;duH0mQ8800JVV6wQ8InyW2PHcwj/COkfCfRBf5F0H/s/nY/0fD6mnmgo+t3AM9b6rWi/f9/tHmxC&#10;/rTT3d3Dbvc+eLNUz7HEioCU/Vn4zMLP4X5DsE/zlRC87/eD5XX6RcCv07P+etjs8Rz17+4KdgwX&#10;83J3d26SBmuRqrvfOoTDWr/1HD9i/lPTLPxloBRc/3a4xYBjQcdzX2LTVibD6ZwI7Pf8/oW8b8n2&#10;KL+t4Fxg8+bwdvxIwV87HpfTPxhOsd5PGfv97q1+f2Ilh7u33RCPJbWtLwNgtb+C7vfPu4cYd+O5&#10;RKfDvjj9M+ESrxbf6rh/3T35e8BY5XT3tHulO2CLlS8GZOC/iHPcLzCTpoWXu4fdaz95gP55cIiZ&#10;xlvs33dPMduaJXcPu3cC0kr7/MdOBv43Ou7fdw99JOEfXXHxxwX0z4I/dDmu87h/fuujsZn1cvf2&#10;TGfACq+Z1wYD/+t9BH79Qjvwck4DArfP+vfAG7oc8z3u+2xtZpzIArJlvRSAApxVPpLwLfWWIRzO&#10;A3L6p0egfwh8Yc5fnuO5udEvcRynu7eY7VAjyXMBWXkj23hJ+MtduCxA/wS4wmK/6e7fd/0/aCR5&#10;edq987SaJmkuIAU4WY7DRf5L5ywgTGGAfng4chcsmWxm7If+285dAWGaoYaOO/3m/mCx32T3r7sB&#10;Sm4SHJ5C1AXox4YbdP2n2D8/5Bdyj4MkYNnjfO5I13+SI3fiHyf3XQH6ieEFXf9LaHASkQQseJ9+&#10;ZKXrf9lxv3tKGUYZlOfbTz8rfKDqf9b96xuhP88dNQHTJmcC0PU/j9CfyGkSoB8THtD1P+34zgjj&#10;Wi9Pz+SVt92cCUDX/5z9M6E/z92btxxcPyEceKLr/7b75wdanK0O7hohH/4sB0TX/6RH+t/WOj3t&#10;HGWV+unQHA8dN+157C/n5eHZY29kW8frdwKw4M9t+90TN+JGh7dXH1eXfjC0xiqjfxzfedoo73Tn&#10;6UHEhf1v7xJv3LqBx/6CTh4G4/RDoS0eOsTjK0X+FZEDXPteDOCNLFww9lbD3e696ZWmnwct8YKx&#10;K4+vNDkGyAEufCwGcMfgyJX7Z7r86zm8tcsB9LOgIer+fhH7TZED/Hh9YfbNhXuG+w20ygH0c6AZ&#10;6v6+Md7fxB01gbjCc7+lFjmAfga0wojjp/2O2N/M6clJXTJaI/a3cHizrTvV86ONA49en22OfjGw&#10;9tLgMQSuPL4+EPubudvZBQM9N1pgpZFzpz8D/m5YNkFwhcE3B05Pzzb9cHpiNMCkv3s6/b05PbzS&#10;DTCa++dbyyCjBZN+OD0pzI2+2P+RzkavDnQDjIP70J/qJbl6Qlgb+w1j9888+Lv28mDwFILW6IDz&#10;qu4NqGeDrZNtuacvjPjHYDUYiSaO7zz4+3ZX7QbUM8HUuCv+HF+ZXhQIIwGdemTEP4SXOhMD9TQw&#10;NO7D/5HexnAqtUBoZ/9GB1wcNSpy9RywM+7D/79X/S4QwanqWCQs0esfUek1YvX4sDLuw/+/f/94&#10;/A/rqfxDCKwdX1loK6QH/SU30uPDyMAP///+7fXbQCSkAKE9MucmrsJ3nh4eJoZ++P/370G/DwTD&#10;lICgCP6xFV4sRg8PC0M//P/7d9TvAwEdnse+igNiln94L/qbbqOHR32DP/z/+/es3whiYiAgkHuK&#10;/XtQtgJQj47q7oZvM2mH+kEKEALBvxdlKwD16Khs9NX+qf7rztOr/sJwhTH/nhTNt/XgqItX/VH9&#10;15/Tw+hDWn4R/DtT9AFSD46qdvr9D4jqvx69vLFAsD/HV4J/b4pWAOrBUdGBJpK1//r1wpxAX1jk&#10;p0slKwD12KjnTb/8MfFE0q87qgG9YHnfXpWsANRjo5aXkmlbYPf6xaAnlAJ4QLl/zwrm2HpoVDL4&#10;kj+/qP7r3csb4wAtHan461vBCkA9NKo4MUXqG72SA2AcoJl3Bv17d9DffD09NGpg1t8Pqv/GcHpg&#10;vMve/Rvp9QDK1ZHrkVEBs/5+3emXg1698IIAU/T7j6JcBaAeGcW9lMvW4nvUbwc9oxjQzDuFNcM4&#10;6Y+/mh4ZpVH4d2mnXw/69rJj7Ku+xx31/iMpVk6mB0ZZFP5do5kazxOdAHVR8jeaJ70E1tIDo6gD&#10;Dz9XePXPkKgEqIdH/xGViit6XJTEin+CMcpRMR2gCh79x1RqCQA9Lso50eSJI7OTxvXCmgCF8eg/&#10;rFIvAdLjopg7mjvF5P+hnR5KdVvi3789j/4DKzSpTA+LUpj0/xeT/0d3Ry1gEcdnHv2HVmgJAD0s&#10;ymDS/w1M/sd/Lzv6xba6591+oyu0BIAeFkUw6f8WJv/jjGGATV7pRsN/ZTrS9KgooVR1ZmfossQn&#10;hgHWOlLzh7MySwDoUbEdff+33esXhXExG2CNeybQ4kuR+0cPis3o+5/wpt8URnZ6Yxggzzsd//hR&#10;ZGVZPSi2ou9/CjVLuPZAT1kyKv5x5aBXyBp6UGxD3/+kd/2uAAoB0jy+kT3jWonuMz0mNmHNn2kM&#10;XeKGlyL9mH3bc+/gjxI9zXpMbMGaP9NY+xe3nVgRYBbD/rilxBrAekysx3r/c1j7F1MoBZz2yrA/&#10;bisw1qyHxGq863cWq5VjBmsC3XLc0WuGKQVeL6uHxFoFfoyeHfX7Aq480X0mKPrDnAIDAHpIrHOi&#10;imke3f9YckcGcOGRoj/M236/6BGxyqHAUEzfqGHCMqYDfuPtvli0/SWAekSswZJ/S3j1H5IwHfBs&#10;T7qMZdtfAqhHxApM+1v0rN8ZcBsZANEfaTZ3l+kBkY1pfwkO+q0BU8bOAJjwh1SbBwD0gMjFtL8E&#10;dP8jx7gZANEf6TYPAOgBkemBof8EdP8jz5gZANEfWbYOAOjxkKfEGswDoPsfucbLAIj+yLR1AECP&#10;hxwM/aeh+x8rjJUBEP2RbesAgB4PGRj6T0T3P1YZJwMg+mONjQMAejikY+g/Fd3/WGmMDIDoj3U2&#10;DgDo4ZCMof9UdP9jvf4zAKI/1to4AKCHQ6LTxo6XkdD9jy1eui6zIfpjg21xSI+GNCz4n4Huf2zT&#10;75uB3on+2GLbAIAeDUnuGPpPR/c/NuszA2ClX2y0bQBAj4YUb/o1RmOavtD9jwIeupttQ/THdpsG&#10;APRgSBC9IGl/Z/oX0MqhiL4ygEfuCxSwaQBAD4ZFp+BD/49P//1n2ZAe9QsE1jntTDuuanp80D8O&#10;WONFL60cejAsCb7oz0e7c9D/W9OrfoPAWqc+3rV9fNM/DFhpy/OoHgsLnkI/gRx3p/MfYVq/8KRf&#10;IbBeB8sBfN2FQAlbWnM9FuZt+a7be/5qdzaVjGSi+x9lRZ8K8Er0R0FbBgD0WJgV+tnjd6ER/Zea&#10;6P5HaXeBx+CY8I/CNgwA6KEwI/Tr/i4mG93pv9VEnRPKi/ruDab8obgNK9HroTAt8pp/56L/H6Y1&#10;VHR2ooKQhYAU/aOCDeXceihMOgR95PhbbmyZx7xfnRkoJVwh4HGnfwJQwvrhMD0SpmxaZqGt77K/&#10;L9tWjMzERCfUEqsQUO5CoJT1AwB6JEyI2N34aa8FR0+6RU16cqCcOCsC/rkLgVLWt+h6JNwWra/x&#10;x41VRtdni/nu9eRAQUFWBLxxFwLFrL4J9EC4JeySvzfXGbP8YxjyRF0vlotZrHPzLgSKWX0P6IFw&#10;Q9jC/5tDjluWi8h20LMDhd05vz1v3oVAOauL0/RA+Ctq4f/EkOPqa2WFRz05UN6b4zt04i4Eylld&#10;0q0Hwh9Blxq5mvF/ybKUgcX/YMAypc3EHQADa7vA9DhQjtuWGTNzjS1LpqdyEKAc17coS/6gvrXv&#10;pdHjQFg+LZczs8i46fA/I5+oznX4JwGAgbVLAOpxcC1k+J+dbWTZWrL4H6qzvKBXIQFAdSt7dfUw&#10;uBRy3t9M1/+ZZUbDvCfU5j78kwCgvpXNuh4GF0KG/5mu/w8rE8VVFj4KsFWA8E8CgOpWLgGoh8Gv&#10;iPP+Zrv+zyyH/5n9h8pChH8SAFSnl1waPQp+BAz/C13/Z5YN5rOeHCjK8mrehAQAda1bAlCPgm9h&#10;mpZfS13/ZyvHiVZh9h+qCnSPkgCgqnUzAPUo+BKoafkyueDPFcvhfz03UFKoe5QEADWtG9jVo+CT&#10;5TvyykhbZXzdVbIOs/9QU6jwTwKAulY92elB8MGyl7yIfeKLdizbTGb/oSLLS7kIEgBUtCpm6UFw&#10;nve36qtsKP0Fo5Z/WUI1ArBSuPBPAoCaVs0A1IMg4LT/lLq/L4Z/GrP/UE/A8E8CgIpWvQNQD4Jw&#10;4T+t7u/TqmtkJd58hmpChn8SAFS016stgR4Dh2DhP63u78uqPqKVMtISIEvQ8E8CgHp2erEl0GMM&#10;L9iqP/dL6/1ds5zWkJOXABnChn8SAFSz5h2AeozRBQv/y+v9XVvTRbTSvZ4bKCNw+CcBQDUrYpce&#10;YnB3K77CdlIn/f3SI1SUm5oAaUKHfxIA1LJiCWA9xNhCtSzpk/5+3OkxKsobmAAShbpJbyEBQBUr&#10;7gw9xNBWfH/t7NMn/f1YUyGylp4bKCHUTXobCQBqWLG4qx5iZJFalhUP/7bD/yz+ixoi3aSTSABQ&#10;Q/4SwHqEgVk+HG+15uF/XYHIWqvyE2BeF+GfBABV5K/uqkcYV/5318y6h/91E0TWyi5NBBZ1Ev5J&#10;AFBD/u2hRxhWoPC/8uF/zeWx2lHPDWxmeAHXRgKA4vKXd9UjjCpO+F/78G/7RzL8j+I6Cv8kAKgg&#10;e+1aPcCgDCPjRqsf/tdcHeutT1KA27oK/yQAKC97fVc9wJBOKxZOaGPDw/+a3qH1NmQpwC2dhX8S&#10;ABSX/X4XPcCI4rzwb8vDv+nqP7z7F4V1F/5JAFBa9iOeHmBAccL/lod/2wmOvPsXZXUY/kkAUFpu&#10;LNP9xxMm/N9vnVJnuPoPDRuK6jL8c5+gsNwCAN1/OGHC//b36Riu/rNpnAIQnYZ/EgCUlVsAoPuP&#10;Jkr4f9z+Oh3D1X8Y/kdJ3YZ/EgAUlVsAoPsPJkr4fz7pJ89n2Igy/I+CDK9ceyQAKCgzoOnuYwkS&#10;/o9P+sHXyB0a2oA2DeV0Hf65WVBSZiuvuw8lSPjfF3j4ty3/21qpCPzoPPyTAKCgzAIA3X0kMcL/&#10;piV/LumB62HxfxTTffgnAUA5mQUAuvtADiHC/+ZZf98MV/9h8X+UMkD4JwFAOXlRTfcex8FwOtx6&#10;z/qxV3vTQ9dTqscCwxsi/JMAoJi8AgDdexghwn+Zwr9Phq84KtVlgdENEv5JAFBK3i2je48iRPgv&#10;VPj3Ka9faAuG/1FGXlsWGgkAinjRK2uW7j2IEOG/bDe6Hr2evZ4aWGOg8E8CgEIe9cqaozuPIULl&#10;/2PZXnTD8r/tKxUDg4V/EgCUkTXQqzsPIUL4fy3Z929b/rd9qWJgtPBPAoAislp63XkEAcL/sXhb&#10;kJUVbqOnBvINF/5JAFBC1ntedOcBBAj/xSb9/7L7o+/11EC2AcM/CQBKyKlt0337FyD8l+77P9Nz&#10;1FNuyQIMa8jwTwKAAnIWetd9u+c//Jfv+7ct/6vx8TGWQcM/Nw+22+lFNUP37Z3/8F+h7z+3KGSb&#10;Fz03kGfY8E8CgM1ynvV03875D/81+v5Ny/8e9dRAnoHDPwkAtsp5BZDu2zf34b9K3/+Z3R/Oy3+w&#10;zdDhnwQAW2U09rpr19yH/zp9/2d6pnpY/QebDB7+SQCwUUZnr+7atZzCyBYq9f3nzgndhtV/sMXw&#10;4Z8EANtk3EK6a88y0qImyq73fyXjithKTw1kMLxS/SIBwAYZT3u6a8ech//C6/1fy3sp9Bas/oMN&#10;CP8fSACwgV5O03TPfjkP/0Xf9fuH3cgHq/9gPcL/FxIArJfe3Oue3XIe/itXzeUsCbkNDRdWI/z/&#10;4D7CaukrAOmevUr/Rlo4PunnLetFT1hPzVEM9I3wf4EEAGs96cU0SffslO+Wpd60vy85K0JtpKcG&#10;Evm+Sc2RAGCl9Oc93bNPvluWetP+vtn1fuz11EAa3zdpAyQAWCl5vFd37JLvlqXitL9v73rOairX&#10;MaBbvm/SJkgAsE5yg6879siw9zvf0WK9HLt1DysXMqBXhP8bSACwSnKHr+7YoUNyZ0gD9yZvy9Oz&#10;1mPy56A7hP+bSACwRvIjr+7YH9fhv/7Q/1ny1bDZUU8NJCD8TyABwArJrwDUHbvjOvwbDP2f2bWu&#10;lP9hBbsLNBwSAKzwqNfRBN2vN55f+Wcy9H+WPBq0GeV/yEf4n0ECgHypBYC6X2c8h//qs/5/pC8H&#10;uRXlf8hG+J9FAoBsqY98ul9fPIf/d5Oh/w+pnUHbUf6HXIT/BSQAyJVa8qX79cXxov+W78nRc1dD&#10;+R9yEf4XkQAgU2oBoO7XFcfh3/KWTs0Ft6P8D5kI/wksWwt0IbHsXXfrid1L73MdzYb+z+yaWMtO&#10;DfTA7toMjQQAeRJrvnS3jvhtWmwW/fmRWguyHc0Usni8R189Fg1xZyFLYqOvu/XDY9PyybDy70Ni&#10;KliAabcGwvN4j776rBomAUCOxFcA627dOOhf6oZ5J7ld+b+eGZjhM/w7nTZEAoAMia8A1t164XfZ&#10;P/v7WD9BNZT/IYPX8E8CgPj08rlN9+rEyWv4t638+2BX/v/ZeAIp/IZ/EgCElzbqq3v1weXte2a3&#10;5t8vu3bW6HUG6IHdZZnuN4F12YKQACBZ2uw33asPHm/es3vjyr8PiZWgBVi9zwDx+Q7/JAAI7k0v&#10;npt0ry54XfenTf94WkdQCS2yG4TkPfyTACC2tGFf3asHXsN/o5fjmbVjj3pm4Db/4Z8EALHppXOT&#10;7tQBj23LWatbVz9HNZT/I43HW1TDPwkAQkua9q07xeexbTkX/rcaHLdbCKFR/wai8XiL/g3/JACI&#10;LGncV3cKz+nE/8cGhf+f0saBSqBlQooo4Z8EAIEl1X3rTtE5Df9NCv8/JV0GRbTq4UAoccI/CQDi&#10;SloBWHcKzuX9+u/fvl34T5wHWoKeGfgrUvh32qCQAGBZ0sCv7hScx7t1rnkxkDQMVMK9nhn4I1b4&#10;JwFAWHrV3KL7xOZz5l/bujizAZF3PTOgooV/EgBElXLh6j6h2Q1152h8r+rHqaZtmoMI4oV/EgAE&#10;9a4XzQ26T2QeG5d/x8Z3ql35/5OeGrjm8Q5dCv8kAIgp5XFY9wksqd7BWoP3/V1LqgItovVfCu9i&#10;hn8SAISU0vTrPnG5nPnXPPwnJYFl6JmBK1HDPwkAIkp5INZ9wnJ5izac9v/NrCSS1f8xK274d9q6&#10;kABgll4wN+guYZlNc8vgIPzbfS+s/o85kcM/CQACSrhmdZeozB5zM7w7CP920/8o/8eM2OGfBADx&#10;JDz76S5Bvenf5UBO61KPfqpqaIswLXr4JwFAOAm1X7pLTCmVjtbyWpdaUmpAymD1f0yKH/5JABBN&#10;wl2nu4TksfTfSXe43fR/D4Md8CmhITKXG/5JABBMQuOvu0R0etS/qj0vt2VCF1AZRz0z8KWP8E8C&#10;gFhOeq38pbtE5PCudHNTmsV/yv8xoZfwTwKAWJb7xXWPgByW/vu5JRNKQMtY16Cif/2EfxIAhLLc&#10;+use8fgr/W+/6N8vs/bKSb0DvOkp/JMAIJLlR2PdI5yEGgdjnsK/3fQ/3v6DW/oK/yQACGR59Ff3&#10;iMZf6b+r8J9QAVKIp78abvQW/kkAEMfyvHjdIxh/N6Or8G/YO6JnBnoM/x7bHBIA3LTc/Osewbzr&#10;39Pavavwn5AAFsLbf/BXj+GfBABh6FXyh+4Qy7P+Oa15eOPPpeUBoEKY/oc/+gz/JACIYnF0XHcI&#10;xV374i382yVIz3pmDM/d7Vko/JMAIIjFCYC6QyTuav/chf/l378Upv9B9Bv+SQAQw+IEQN0hEHfL&#10;/voL/3bxn+l/uNZz+CcBQAiL47+6QyBmsS2Rw/C/XP9RCm//w5W+wz8JACJYrP/WHeIwG9pO5DH8&#10;28V/PTHG1nv4JwFAAIsTAHWHMLw1MC7D/+LPX4yeGUPzdneelQ3/JADwb3H9N90hCm+1fy7Dv138&#10;Z/ofLowQ/kkA4J9eHkq3D8Jb7Z/P8G/3bqR3PTMGNkb4JwGAe0tFcrp9EEt/ljGn4X+5/LMUpv/h&#10;xyjhnwQA3i0FSt0+BrO4lsZr+F+e/lnKm54Zwxon/JMAwLmlSKnbh7A4q8GW2/C/mP0Vw/Q/fBkp&#10;/JMAwLce47+z2j+/4f8/s8bJ11uP0M5Y4Z8EAK4tVYDr9gE4u+Mch//F6s9i9MQY1Gjh311z9IkE&#10;AB86jP9mg9pJPId/s/h/1BNjTOOFfxIAeKYXhtDN/TOb05bEdfhfSv6KYfo/zkYM/yQAcEyvC6Gb&#10;u3fQv6Ap1+Gf+A9TY4Z/EgD4tVACrpt752vhH9/h3649Zvo/DC+3DBbhnwQAbnUW/xf+HFvOw//i&#10;5I9iiP8YOPyTAMCrhdfk6ebOmUW0FN7Dv923xfR/jBz+SQDg1EIM0M19MxvQTuE+/Nt1lhD/hzd2&#10;+CcBgE8La+Xp5q6dPC384z/828V//18F6ho9/JMAwKWFR2bd3DVPd9jxRT+dP2a1knpiDIbwTwIA&#10;j170irimm3u2UMpg6hhhxVv90LU86okxFsL/GQkA/NEL4ppu7djCSIapEOF/4acvh+n/YyP8fyIB&#10;gDt6PVzTrf16cTT4HyP8my2V9K5nxkgI/99IAODNfBGYbu2Xo1srRvhfKv0oh+n/IyP8/yIBgDOd&#10;xH9Pg/9P+uF8Iv6jPsL/JRIA+DIfOHVrrzwN/ke5nRaWfignSD6ECgj/10gA4Mp8FNCtnfI08z/M&#10;zTT/yxfE8j/DIvwrEgB4Mv++XN3aqflBDFNxbqX5np+CYpRDoDzC/18kAHBkfhRYt/bJ7El2WevW&#10;JYNZ0qQnxiAI/7eQAMCPDuL//J9gqn3rko74j6oI/7eRAMCNk14IV3RrjxwN/ntoXZJZtUL3emIM&#10;gfA/hQQAbuh1cEU39uhdP3QzsSKdfvpaWP5vSIT/aSQA8EIvgyu6sUPzBYyWArzy75J+/FqI/yMi&#10;/M8hAYATs8PAurE/ZqvYLgoW/s3iP8v/DIjwP48EAD7Ejv9+7qMIb/y9ZFY1SfwfD+F/iZ+G6wIJ&#10;wHhmh891Y3de9RO3EmTR/19m8f9Nz4zeEf6XkQDAg9nJ87qxN37W/Y0W/u3iP8v/jYbwn4IEAA5E&#10;jv9+Xvob774xq5sk/g+G8J+GBADtzd6turEzs7ULlgLeNbN5X0nhekawyWyD0ojH8E8CAAdm+4F1&#10;Y1/MQtiSZ/1kAZh9eXpidI3wn44EAK3Fjf9upv55bV5mmVVO6onRM8J/DhIANPaiP/8l3diT06N+&#10;2kZiLnBjNnaiJ0bHCP95SADQmP76l3RbT8weYBdEW/fni1X8j5kdYRXCfy4SALSlP/4l3dYRL1P/&#10;jjHDP/EfxRH+85EAoKm5OXS6rR9e3voXbt2fb1bfH/F/GIT/NUgA0NLcg6Bu68fcp7YUdna7/iG1&#10;RJwbgTUI/+uQAKChuUiq27phtnrNgri3if4ltbD8/yAI/2uRAKCdiPHfy8J/gYOb/im1BP6KkIHw&#10;vx4JAJp51h/+gm7rhZP7JUr7coPZ4gm8/mcIhP8tSADQytxCcLqtE3Mf2dC9fq5AZpd9KilsgQQy&#10;EP63IQFAI3PBVLf1wezZdV7Qif+fiP8oh/C/FQkA2pgrpdNtXXByq4Sd+feB+I9iCP/bOWnVrpEA&#10;9G8uEui2LswVLBgKHf7tmuwXPTN6Y3YtZYgW/kkA0Ea0+D/3eQ0FvzPmRn2K0hOjN4T/MkgA0MBc&#10;PNVtHXDy2p/oy9oQ/1EG4b8UEgDYm6um020d8NH7H7OBuUD8RxGE/3JIAGBPf/ALuml7c70VdkKX&#10;/n+wiv+PemJ0hfBfEgkAzOnvfUE3bc7Ha3+ivvPvwtyqjyXx+p+uEf7LIgGANf25L+imzb3rJ2wh&#10;9sy/T8R/bEf4L40EAMb0176gm7b2pB+wiR5uB+I/NiP8l0cCAFszoUA3bcxH738Xb7SZ+dGLIv73&#10;i/BfAwkATM2EAt20MRe9/+/6qUKa+dGL6iJZwi2E/zpIAGBpJhTopm256P2PX/r/wWoVBeJ/rwj/&#10;tZAAwFCU+O+i9//YyXq2+nfVQvzvFOG/HhIA2JnpVddNm5r5nHZ6eZ2N/l21EP/7RPiviQQAZmaW&#10;gtFNW3Kx8k8394D+YbUQ/7tE+K+LBABWYsR/F+v+99PE6F9WSy/9JbhE+K+NBABGYsR/D+v+3+uH&#10;ikv/tFqI/x0i/NdHAgAbIeK/h97/Dpb9/faif1stxP/+EP4tkADARIT476L3v4Nlf7+ZpVPE/+4Q&#10;/m2QAMDCzP2smzbjofe/p0uf+I+VZpqLZnoM/yQAMDETC3TTVg76wRroqo2Z+c3LIv53hvBvhwQA&#10;9c3EAt20FQf3QUe1f/O/eVn9lEzgjPBviQQA1c3EAt20kZkKBSsd1f6dzfzmZemJERrh3xYJAGqb&#10;iQW6aRtmxeozOuvHnvnNy9ITIzLCvzUSAFQ2Ewt00zZmXlBg5U0/U3Azv3lZemIERvi3RwKAumZi&#10;gW7axJt+KnvdNTJm36meGHER/lsgAUBVJ/1xf+mmLTh47V8n7/y9YFZRoSdGWIT/NkgAUJX+tr90&#10;yxbav/bv2NHCP1+I/8hE+G+FBAA16U/7S7ds4Ek/k70n/UzxEf+Rh/DfDgkAKtJf9pduac/Bwr/P&#10;+pk6YBX/+1o1YWCE/5ZIAFCP/rC/dEt77Rf+7TKEWcX/vZ4YIRH+2yIBQDX6u/7SLc21X/i3s4V/&#10;vhD/kYHw3xoJAGrRn/WXbmmu/VXf2cI/X4j/SEf4b48EAJXor/pLt7RmNk190k4/Uh+I/0hG+PeA&#10;BAB16I/6S7c01n7qf6/xi/iPVIR/H0gAUIX+pr90S2PNp/73OfhP/Ec6wr8XJACoYXqKnW5pa2Zh&#10;YiN9Dv4T/5GM8O8HCQAqmH6/jm5pazovMdLp4D/xH6kI/56QAKA8p/HfKkZN6jh4Tf/kZXX8FQ6B&#10;8O8LCQCKmw4GuqWlF/0w1rod/J/9ycsi/odG+PeGBAClTQcD3dLS9Kcy0u3gv+GXS/yPjPDvDwkA&#10;CpsOBrqloebv/el38H/2Jy+L+B8Y4d8jEgCUNR0MdEs7zd/703fkmv7Jy+r7W+wb4d8nEgAUNR0M&#10;dEs7rYv/eh78n/3JyyL+h0X494oEACVNBwPd0kzz4r8n/UR9mf7JyyL+R0X494sEAAVNBwPd0sz0&#10;R7LxrB+oM1bfL/E/KMK/ZyQAKGc6GOiWVloX/93rB+rN9E9eFvE/JsK/byQAKGY6GOiWRloX/x0P&#10;+ol6M/2Tl0X8D4nw7x0JAEqZDga6pZHWxX/9X8fTP3lZxP+ICP/+kQCgkOlgoFvaeGn82t93/UD9&#10;mf7JyyL+B0T4j4AEAGVMBwPd0kbj1/4+9j3178P0T14W8T8ewn8MJAAoYjoY6JYmWr/2t+d1f79N&#10;/+RlEf/DIfxHQQKAEqaDgW5ponHxX9fr/n6b/snLIv5HQ/iPgwQABUwHA93Swpt+CFvdT/37MP2T&#10;l0X8D4bwHwkJALabDga6pYFT2+K//qf+fZj+ycsi/sdC+I+FBACbTQcD3dLAq34GW2/6efo0/ZOX&#10;RfwPhfAfDQkAtpoOBrplfQf9CLYGmPr3YfonL4v4HwnhPx4SAGw0HQx0y/qmP4uFzt/698vqayb+&#10;B0L4j4gEANtMBwPdsrrGC/93/ta/X1ZLLBD/4yD8x0QCgE0cxf+2c/96f+vfL6sVlon/YRD+oyIB&#10;wBZ+4r9VWLpthIX/vlh90cT/KAj/cZEAYIPph27dsrLGc/9GWPjvC/EfVwj/kZEAYD394X7plpW1&#10;nfs3Tu8/8R/XCP+xkQBgNf3dfumWdbWd+zfGwn9fiP+4QPiPjgQAa+nP9ku3rGu6DsHCGAv/fSH+&#10;4xfhPz4SAKykv9ov3bKqtu/9G+K1Pz+I//hB+O8BCQDW0R/tl25Z1XQZooGhev/t4v+jnhjuEP77&#10;QAKAVfQ3+6Vb1tS2GRqq998u/pteQVij7X13G+F/DRIArKE/2S/dsqK2c//G6v0n/uMb4b8fJABY&#10;QX+xX7plRWYR6ZbBev8Nv209MXwh/PeEBAD59Af7pVvW89L08X+w3n/iPz4R/vtCAoBcJ/29fumm&#10;9TRd+me03n/D9yzpieEJ4b83JADINDPvTjetpunSP8P1/s/+5mXpieEI4b8/JADIMxMLdNNqmi79&#10;M1zv/+xvXpaeGH4Q/ntEAoAsM7FAN61l5iPUN17vv+EX/qJnhheE/z6RACDHTCzQTWtp+fg/YO//&#10;7G9e1kDvVAyG8N8rEgBkmIkFumklTZuiAXv/Z3/zsoj/TjW95yYQ/ssgAUC6mVigm1bScuXfEXv/&#10;Z3/zsoj/PhH+e0YCgGQzc8F00zre9LSGhuz9J/6PjvDfNxIApJpZC0Y3raLpyr+jxif9HmoZ9fv1&#10;jfDfOxIAJGod/2fOX92zfphR6BdRy5OeGO0R/vtHAoA0M/FXN62h5eP/40k/zSj0m6hlzPIK3wj/&#10;IyABQJLG8f9ZT2po3N5p/SZqIf67Q/gfAwkAUrSN/y96TkPv+mHGoV9FLcR/bwj/oyABQIJ3/Yl+&#10;6aYVNHzxz3HY3n/i/7AI/+MgAcCymcX3dNPyWj7+j3wlWrUMwxZYOkX4HwkJABY1jf8NH//3+llG&#10;MvOjFzX0l+wP4X8sJABYMhMKdNPizNahuWHoV9PM/OhFEf89IfyPhgQAC2ZCgW5a3My5axt7ZNrq&#10;iyf+O0L4Hw8JAObpj3NBNy2t4eP/o36WsRD/x0P4HxEJAGbpb3NBNy3NKgrdMO7U/w9WdRdHPTFa&#10;IfyPiQQAc/SnuaCbFtbw8X/0hmdm0Yey9MRohPA/KhIAzNBf5oJuWli7x/+Rp/5/IP4PhvA/LhIA&#10;TDroD3NBty2r4eP/8Bcf8X8shP+RkQBgylwU1m3Lavf4T1WaWfw/6JnRAOF/bCQAmNAs/j/p2ewQ&#10;lMy+/MHrLH0g/I+OBAC3NYv/j3o2MyxKO/urF0X8b4/wDxIA3PSmP8oF3bakdo3S4+jFf8T/obS7&#10;06YR/q2RAOCWuZFg3bakdo//T/pRBmQW/8deZtEDwj/OSABwQ6P4365VovjP8r2LxP/G2t1o0wj/&#10;LZAA4K9n/UUu6LYFtXv8H/q9Pz/0W6mF+N8W4R/fSADwx9wsPN22nHbNEgHpg34ttdDWN9XuPpvG&#10;JdEKCQBUm/jf7PGf4r9P+r3UwmhLS4R/XCIBgGgS/9u1S1xsn6wSMOJ/Q+1us2mE/5ZIAHDtqL/G&#10;Bd22GKvo8wfh6Mtc2lfSvZ4YZgj/UCQAuKK/xSXdthSz1ef+YOW/L1bxv9o1hCWEf/xFAoBL+lNc&#10;0m1LMQs+ipX/vpn9BHpiGCH84xYSAPyanQiuGxditviMGv61v7/mln0oSk8MG4R/3EYCgB+zsVg3&#10;LsTs2VO96ScZl1n8ZwHgJgj/mEICgG8N4v/sKWuiFu0X8b9rhH9MIwHAl9mGQjcuo9njP6Ho1+zv&#10;XhJfegNmv24Gwr8fJAD4NPscqBsX0ezx/10/ycjMfgXWW7RH+Mc8EgB8sI//zR7/Wfj/AvG/X4R/&#10;LCEBwNm7/gaXdOMSDnoSKwSiS2Y/A1MurRH+sYwEAEtP47pxCa96EiPM/bum308trLhojPCPFCQA&#10;sI//s+sN1MSVdU2/n1qI/7YI/0hDAoD5MKAbF9Dq8Z+5f2LuvQ8lPeqJURPhH6lIAKBf/xXdeLtm&#10;j/9MQxOzHT8l6YlREeEf6UgARnfSb/+Kbr1dq8d/5v4p4n+HCP/IQQIwuPlpYLr1ZierXmfF3D81&#10;O/GjJHpezBD+kYcEYGzG8X92tYGKmIT2h9lPQfy3QvhHLhKAob3pV39Ft96q1eM/c//+Mov/3MxG&#10;CP/IRwIwsvkooFtvNZ9t1MPSP3+Z/RZ8+TYI/1iDBGBgz/rFX9Gtt3rUE9hgCtoN8yM/BRH/TRD+&#10;sQ4JwLjmq8B1641aNVFcSzeYxX8WALLQ6t6aQ/iPgQRgWKbxv9HjP0v/3GK2EgPx3wDhH+uRAIxq&#10;viBPt97G7IlTUIB+k35NtRz1xCiO8I8tSAAGpd/5Nd16m/m+hmp4/rxNv6dq9MQojfCPbUgAhrTQ&#10;Caybb2L2xllx0A+CD2bpGGsvVUb4x1YkACNa6JLXzTdptPQvDdEEs/jP+EtdhH9sRwIwoCf9wq/p&#10;5lssdDVUw9PnBLMFgJ/0zCiJ8I8SSADGM7/8T9H4P7/SQDWs/Dtl4bcvhwUAaiL8owwSgOEsBGXd&#10;fINGS/+y8u8k4n8PCP8ohQRgNAtjwLr5BmbLzV4j9kxaqP0ohwkY9RD+UQ4JwGDs4n+btX94/J9G&#10;/I+P8I+SSADGol+10M3Xa9RQvennwA+7gkw9MwppdFfNIvxHRgIwFP2mhW6+3kJHQyW8+GeOflvV&#10;6IlRBuEfpZEADGSpC1i3X23pRJVw3cwxq8hkAYAqCP8ojwRgHEthWbdfrc3aPzz+zzLrkyH+10D4&#10;Rw0kAMNYmgKm269lN9R8hYtmlln8ZxJGBYR/1EECMAqr+L90njp4/J+3sPhDOcT/8gj/qIUEYBBL&#10;T4C6/UqN1v6h23meWVbGBMDiCP+ohwRgDEbxv01jRdRZYPaz8EuUZvbTZSD894MEYAj6DSvdfqU2&#10;a//w+L9gqfqzHD0ztiH8oy4SgBHoF6x0+3Xs4swlHjqX2FVlsgpjUYR/1EYC0L/FwKw7rGP2otkr&#10;PP4v0q+sGn6Lkgj/qI8EoHtP+vUq3WEVu8fMSzz+LzMry+S2LYjwDwskAL1bLADXHVYxm2Z2hUfO&#10;ZUvln8UwAbAcwj9skAB0bnFVPt1hjTaT/3j8T2A2MEN8KIbwDyskAH1bfP7THdZo02Dx+J9gsf+n&#10;FLKxUtrcTfMI/70iAeja4rw83WGNJpcQASfFm35ttRz1zFiH8A9LJAA90y/2D91hhcU5BlXw+J/C&#10;7rfRM2MVwj9skQD066Df6x+6xwqLNQY18PifZPkCKIV8rATCP6yRAHRr+fFP98h30kOaINyk0e+t&#10;mic9M/IR/mGPBKBXy+Vfuke+5XNUwON/IrOpGUwA3I7wjxZIADq13DWve+RbLDGsgcf/RIsTQEp5&#10;1zMjF+EfbZAA9Gm59dc9si2uMFgDj/+pzBYA4CfZivCPVkgAurTc+6t7ZFtOMSrg8T+V3eiMnhl5&#10;CP9ohwSgR/qF/qV75Gqy9P+jfgpMsYsqvAFwE7sfKh3hfxwkAP1ZLv/fHP+bLP3PZZEs4RIohD6Z&#10;LQj/aIsEoDsJjYrukmt5hKE8Hv/T2fXPvOmpkS7hTjVH+B8LCUBvEgZ/dZdMTdotrokM+uVV86xn&#10;RrImt9ECwv9oSAA6k1D8rbtkalH9x+N/DrN7mgkAqxH+4QEJQF8Sfk7dJY9d7/IFLogcZhkaadla&#10;hH/4QALQFf0mb9Bd8rSo/jtSaJ4jYQyoED0z0hD+4QUJQEdSXv6i++RpUf3HQrNZzN4AzASAdQj/&#10;8IMEoB8pS/PpPllaNF08/uexmwDIXbpGi3toCeF/XCQA3Ujp+tV9spiNLV/g8T+PXYkGv8wKhH/4&#10;QgLQi4Ty/03x3y60XHjRT4F5+gVWwwSAfIR/eEMC0ImU31H3ydGi+o/GKVfKVVAEEwCyEf7hDwlA&#10;H/QrvEX3ydGi+o/H/1x2gzR6Ziwg/MMjEoAepJT/b2mzU8oLS+Mt89lSqkDKYAJAHsI/fCIB6EBS&#10;fNadMqSUF5RGiMlmNwGQNwBkIfzDKxKA+JIe/HSndC2q/ygxy2c3AZA3AOQg/MMvEoDwkp7Pdad0&#10;SelFYVwA+U76JVZDdpaB8A/PSACie9Rv7xbdKV3S4cuiwnwN/RarOeqZMYnwD99IAILT7+4m3SmZ&#10;XbfyL379NewmADA5IxXhH96RAISWFqB1r2SveqT6WPp3FbtfiurMRIR/+EcCEFlaG6N7pTo1mPzP&#10;ArOr2BVq8AOlSbs1bRH+oUgAAktbnU/3StWiCaN7eZW0jqASWJ0hSYt7ZwnhH3+RAMSVNuyre6Vq&#10;cGHQRK2TtA5UEfd6atxA+EcUJABhpXXQ616JWkz+P+iHQBr9IuvRM+Mvwj/iIAEIKjFC626J0gYX&#10;imJ2+Vp2tzAFgIsI/4iEBCCmpNV/V8f/BpP/n/QzIFHSQlBFsALwEsI/YiEBCCmx6lt3S2NXUvaD&#10;tX9WS7wUCmAF4AWEf0RDAhBR4kOf7pbGbkr5Dx4tV0vsCiqAMZp5hH/EQwIQUGIPve6WpMHkf9b+&#10;Wc9uAsC6y2kYhH9ERAIQTupbX3S/JA3aMZqpDfTLrIc5GjMa3DaLuK+wjAQgmtQRet0vSeLYQkms&#10;/bOB3d3LPTmN8I+oSACCSa350v1SJE4tLImB5S3s8jUKACcR/hEXCUAsqU2+7pfiTQ9SH5P/tkhN&#10;BrcjT5tC+EdkJAChJJb/rYr/9lcCk/82sZsAsOp6GgHhH7GRAASSWv63pr02LCf/xuS/TQwHbCgA&#10;vInwj+hIAOJILf9bE//t1/5l8t9G+oXWw/14C+Ef8ZEAhJE84qs7JkgdWiiHpmqjtHdBlkAB4A2E&#10;f/SABCCK1PK/FfE/uWuhHDqVN7LrsqEA8C/CP/pAAhBE8jO67rjMfu1fYspWhjM29NQg/KMXJAAh&#10;JJf/rWiu7df+5ffdyrDPhr4aQfhHP0gAIkif8KV7Lko/dClH/QjIlZ4PbsZUjWuEf/SEBCCA5PK/&#10;/Phv3/1PSdl2yeNBmxFbrhD+0RcSAP/S6711zyWGT5LfWPp/u+R60M3u9dRDI/yjNyQA7qWP0eue&#10;S+wbtHf9CMiX3iG0GWs1/LK/W5YR/rENCYBzGSv06a5L7B4kv7H0fwGGVRt3eu5xEf7RIxIA3zLa&#10;Hd11gX33P0v/l2C4AvBOzz2sjNvQDOEf25EAuJax3IvuusC+SSOcFJE+IrQVqzV8sb9XlhH+UQIJ&#10;gGcZP47uusC++5/qvyLSK0K3YrrmJ8I/+kUC4Jh+LzN013n23f9U/5VhWADICkBnhH/0jATArZzV&#10;3nTfefaNGtV/ZRj+ctyEtt93MsI/yiEB8CrnWU/3nWfe/U/1XyEZU0K2IswQ/tE/EgCncqK07jvL&#10;vvuftf9K0W+2HlYAIvxjACQAPuXUeuu+s+ybNar/SrErAGQFIPv7ZBnhH6WRAHiU1dWrO8/K6Vgo&#10;grlkxWTMCd1q9JoNwj/GQALgUFbzozvPse/+H/2nLCjrqthm8CUbDL/pZIR/1EAC4E/WG/p05znm&#10;DRtTycvJ6hXaZuxeG/O7JAHhH3WQALiT9a5X3XmOefc/zVZB+uVWpKceCeEfIyEBcCavl173npF3&#10;4BJYSaYgwwLAgV8BRPjHWEgAfMl71ZvuPcO8aWMiWUmGBYBveu5hmN8jCQj/qIkEwJW8dl73nmHe&#10;/T9uGKkhLy/cZNhFmwn/GA8JgCd5P4buPc2++3/4eeRFGb4CeNS6TcI/RkQC4EdmmNbdp5k3bsM+&#10;RVaSsyzURmMWbpjfIQkI/6iPBMCNnJf/ZMV/8+7/0ZeRKc2wAHDIkRvCP0ZFAuBFzst/suK/7lnb&#10;qJ3I1WReGVuM2HVD+Me4SACcyHzK090nGZaPfeLVP4Vl9gxtMWDuRvjHyEgAfNCvYIHuPilrVcES&#10;xhxDriizMmST4X48wj/GRgLgQe5Dnu4/ybB67AOT/4vLWhhym9EKAAj/GB0JgAO5g7y6/xTz7v/R&#10;IogBwy6cwQoACP8ACUB7mcP/yfE/b1WhAl70E2CrN/2O6xmrAIDwD5AAOKB//RLdf4ph3/GHwR4g&#10;TRi+AnCoAgDCP3BGAtBY7vB/avy3DB0fRvrRzOiXXNFAwzeEf+ATCUBbucP/qfE/+7gbHVn7t4Lc&#10;waENxum/IfwD30gAmsr+9vUAE7KPuxENWA2GWdwwBQCEf+AXCUBD+VO89Qi3Gb475hNr/9ZgOYlj&#10;kAIAwj9wiQSgnfwGXo9wm2Hl+Idhnh5t5aeH641RAED4B66RADSTP0tPj3Cb9bt/aMLqMJzFsddz&#10;94jwDygSgFbyv3g9wk2Wz40fBuk8Nme4AlDalRUb4R/4iwSgjRXD9HqIm/KHFbZ51A+AMiwD1p2e&#10;vDuW32Yqwj/aIwFoYkWDpIe4yfKx8YxX/1ViuYxD9z/iirutOsI/PCABaGFFnNZD3GT97h+6/2sx&#10;/CV7f4ET4R+YQgLQwIryLj3ELZZPjWd0/1djWcjZ9xJOhH9gGgmAuTVxWo9xS/6sgm12+gFQiuEK&#10;QH3fbIR/YA4JgLU1s/T1GLdY/5C8+q+a7PdDbNBzOCL8A/NIAIyt6dzVY9ywYlbBJr0PHDelX3ZF&#10;HQ/jEP6BJSQAtvRPTaHHuMG6sRtj5bhGDF8B1G8Zp/UdkYLwD29IACyt6tvVg9ywplthC7r/K7Is&#10;AOg1kSP8AylIAAytKtPTg9xgOGfsjO7/mlYliSt1ugQw4R9IQwJgZ9VXrQf5yzJinPX61OiEft01&#10;6bm7QPgHUpEAWFlXpqdH+WtVt8IGdP9XZXk/9vgWZ8I/kI4EwMi6hkmP8pfx70f3f12W6VyHSwCv&#10;u8vqIvzDLxIAG+vK9PQof6zrVliP7v+6LN/l1N8MQMI/kIcEwMS6Mj09yh/WLR7d/3WZvsu5tx/T&#10;+mZIQfiHbyQABlaW6elh/ljXrbAa3f+1Wd6MnXXmEP6BfCQA9a0c19XD/LGuW2E11v6vbeWFskpf&#10;MwAJ/8AaJADVrfyG9TBqZbfCat2uGeeGZQFAV+8AJPwD65AAVLa2TE+PoyzXi+uyYswd0wKAjmYA&#10;Ev6BtUgA6lrz7r8zPY4y/tk6nDHmjuVP2k+AIvwD65EAVLW2TE+PI0wfFun+N2HZpXPUk0dF+Ae2&#10;IAGoSf+wVHocYTpYTPe/CdOSjk4SOsI/sA0JQD2r47QeSLzq9nXRpFnQb72mPgZ0CP/AViQA1ayO&#10;03og8ajb19VRuZhje/3aK+piPQfCP7AdCUAtq+O0Huja2lkFK3UzWuybZQFAD0sAEv6BEkgA6jjo&#10;35RMj3TNuOWjUTOx/mpZIf4SgMY3QRLuFEREAlDF+jXd9EjX1s4qWCn+DxGD5ZqO73ryaAj/QCkk&#10;ADWs/1L1SNcsA0Vnq8V5ZprWBf9RCf9AOSQA5W0YptdDXTHtKO7gUTGKtYtFrRL73iL8AyWRABS3&#10;oT3XQ13ZcNw14g8VB7EhX8wXOqsj/ANlkQCUtmFClx7qyobjrtFBqXgQq6eLrBB5UgfhHyiNBKCs&#10;LYv06rGu6MZ1dTFVPIbVy0WsEXdRB8I/UB4JQFFbmik91iXThWJ7WSouhC1XTLawEcv0W0oU9ssE&#10;fpAAlLSlnFuPdcl0nZhuloqPYEuPUbaoAwCEf6AOEoByNjXmerBLtsP/UcNESKa3352ePQTCP1AL&#10;CUAxmxoqPdgl3bYu2jZDpl07IQd2Nt1VlXCLoBckAKVsKubSg10wHv4P+d1HZfrbRnyrM+EfqIkE&#10;oJBNi/TpwS6YPiOGXycumE0XTa54lR2Ef6AuEoAinvRPyKJHu2A7/L/X06OmLTWj2cINABD+gdpI&#10;AErY1P0/F/9107pY/M+UaYSLNgBg+uUkIvyjNyQABWzrydWj/TIdIo7YRxya6RLAwX5cwj9ggQRg&#10;s23d/zPx33b4P9ojYnimd16oAQDCP2CDBGCrbd3/M/HfdvifBs7Ys/4CNUXK7gj/gBUSgI22df/P&#10;xH/dsq64i8QHZTu8E2cAgPAP2CEB2GRj9/90/LeND8z+M7cxccwTZgCA8A9YIgHYYmP3/3T8tx3+&#10;591/5kxnAEYZACD8A7ZIADbY+hSnx/thO/y/09OjNttQF2MAwPY7SUP4R99IAFbb2v0/Hf+3JhZ5&#10;YoSHrtjOAAwxAED4B+yRAKy1tft/Mv4fdMOqePdfA6Y3XYQBAMI/0AIJwEqbn9L1gN/edMOq3vX0&#10;qM+2wsN/Dw/hH2iDBGCVzd3/k/HftDoswDfdIdsuHveRjPAPtEICsMbm7v/J+P+oG1b1oqeHAdPf&#10;2PsQD+EfaIcEIN9JP28+PeQX2+KwCIPDHdqePebwvcIT4R9oiQQgW4FGSw/5pcCRM9DQNbF99CiH&#10;6x/Z9npP4/oLAwojAchVYJBeD/nFdHV454+G/dLfoSrPAwCEf6A1EoA8Bbr/p+K/7S/B4r9tFMgf&#10;M/i9kwj/QHskAFlKNFt6zE8lMot0LP7bSIkLKJ3bSZ62X0Mawj/GQwKQo8SXpcf8ZPvynxBrw/XI&#10;tsrTazcP4R/wgQQgXZHWWw/6yXZpGIb/W7G923zeR4R/wAsSgGRFlujTg36yffmPnh1WilxCyVyO&#10;8xD+AT9IAFIVWb5FD/pp87LCOfZ6dlgp0oWUzuEyT4R/wBMSgDRllm/Vo34oc+hUvPu3nSI5ZDJ/&#10;vzThH/CFBCBJmSn6etQPtq3inZ4eZspcRKncrfNoe6GnIfxjbCQAKcr00etRP9guDKtnhx3bnh5v&#10;LwEk/AP+kAAsK7R4qx72g+nXz/B/S7YDAL6CG+Ef8IgEYFGhtdv0sB90o6r8DQqPxHYAwNUawIR/&#10;wCcSgAWlVujT457Zrv7D8H9LhbqRUjm6hQj/gFckAPNKtV563DPb1X/07DBVpowklZ81gEvdQCUR&#10;/oFPJACzSn07etyzQkMLaRj+b8u21tPNEgCEf8AzEoAZxRZu0QOfmdaEMfzflvEAwJuevw3CP+Ab&#10;CcC0YmVbeuCSuUUShv8bsx0A8LEEAOEf8I4EYFKxR3Q9sPkTodOXwo3DeADAwxIAhH/APxKACeVC&#10;tB7ZuvzP5TthhlLuWkriIM4R/oEISABuK1ehp0e2fvnfs54d1mwHAI7NO3wI/0AMJAC3lJr8fzv+&#10;m8aDJz07rBkPALS+ewj/QBQkADcUfG27Htq6/K/50yCMBwAaT/gk/ANxkAD8Vaz671b8Nw0HPsrB&#10;B2fa4dN4CQDCPxAJCYAquT6vHtu4/I+mzwHjAYCWJR+EfyAWEgBRsr3WYxuX/7X8GvHFtMen6UuA&#10;CP9ANCQAV04l+2v14Ma9wR5mg8P0J2946xD+gXhIAC4VbcX04Lblfw0fBfGrZIdSglYVgEVvnEII&#10;/8ASEoALRb8LPbhtZ3CrSIArpr95swpAwj8QEwnAj4N+jE306Lblf7z8xwfjAYAmPzvhH4iKBOBb&#10;2c5aPbpt+R8v//Gh7DW1qMWwD+EfiIsE4FPR6r8b8b/s4Rew+o8P1gMA9vcN4R+IjATgQ+GGTA9f&#10;cGnhZbz8xwvTrK9B3Ufhu6YIwj+QjgTgrPCXoIcvubbQIlpAL4wHAKwrAAn/QHQkAKWr//7Gf9Py&#10;P+PvDpNKX1ZLbNcAJPwD8ZEAFH9Q0+OXe7NwAlb/caPgKyVSmFYAEv6BHgyfABQfntcTmH7BenI0&#10;86y/TWWGNw3hH+jD6AlAwTf/ftIT6L/XZF4FhknWAwB2pZ+Ef6AXgycAxbtp5fim5X9NloHBbdb3&#10;ldXYD+Ef6MfQCUD58CwnKN6/MOdJTo6GTH95uxhI+Ad6MnICUL46T05gOgxsPAkMc0zf+3RmsvYT&#10;4R/oy7gJQIU2Ws5gufqvaQ04llj+9Gdv+gEqIPwDvRk2AagwOV/OYLkOHOV/rljHykf9AOVZ/0kp&#10;CP/ANqMmABWi8/UJKnQwTKP8z5XiU0uXVC//IPwDPRozAajRnl2foXx94Yzq7T+ylF5aaknt/p8a&#10;t8tWhH9guyETgBp/8/UZKgwwTKP8zxfrlwBWvgAI/0CvBkwAqjycX5/C8hGQ8j9vKgwvzaoaDQn/&#10;QL/GSwCqBOfrU1h+p7W7f5HLdPLnOQOsOAWQ8A/0bLQEoE5t3vU59F9rovzPG+s1gCtOAST8A30b&#10;LAGoMzZ/dQrTAED5nzvWN1S1KYCEf6B3YyUAdUZnr05hWgFWt/oLK1ivAVwrByT8A/0bKQGo1KZd&#10;naNOF8NtlP/5U2eIaUadGpBKt8omhH+gtIESgOJv/vt0dY7yrxeYVqfpxyaWF8CHGm8BJPwDYxgm&#10;Aagy+U/jv+WXSfmfQ+ahs0JcNP8bElT4MwEMkwDUejvL1Un0H2uq8B1hszpFJjOKV4EQ/oFxjJEA&#10;VBuZvTyJafl/jZ5fbGW9BEDxbiDCPzCSIRKAKmv/nF2epNYYw02XJ4YXpingWeE1gAj/wFgGSADq&#10;vZvt8iyW5f+U//lkfi8VvVEI/8Bo+k8A6kXmy7NU62S4gVbRJ/MIWnINIPMPn4ALHair+wSgXlnW&#10;5Vlq1RjeUnrcF2XU62maUu4+IfwDI+o8AajYsF2eRv+tprvLE8MPy06gD8VGgireJasR/oH6+k4A&#10;Kq39c3ZxFtNHv7JlXyjGtAj0Q6FUkPAPjKrnBKDmsvwXp7Fs+Vn9162KyeZt7/oJViH8A+NymQCU&#10;ebSpOS5/cRrLt78U6/RFafVqTaeUWAOI8A+MzGMCcCyxyk3V5/KL81g2/JT/uVVtqalJBeIk4R8Y&#10;W68JQNWXslycp2Y3gyo0MoIKql5vN23uACD8A6PrMwGo+zx2cSLLgd8yAyOooWa5yW1be4MI/wC6&#10;TADqTsi6OJH+U00Xp4U3longh42LABP+AXSZANR9/L8IxJZLv5dc9A2lWRaCfNrUAUD4B3DWXwJQ&#10;+Y1svyeqWmYoKP/3rHLKecOWDgDCP4BPvSUAp3pL/374PZPlU9+m5z3UZl8BuL4e1L5aYRnhH2ij&#10;swSgdlT+PVPljoYr65t7GLCPqasHhA6V8+M1CP9AKx4TgMe1/Zu1H/8v4r/l9D/K/30zrwBcmxES&#10;/gFc8pgA3K9MAGo//l/Ef8s2//JPhD/VL7s/1nUAEP4BXOsoAagelH9Ppf9SEav/O2f6KqhPazoA&#10;CP8AVDcJQP3a5p9TWU7/o/zfu7qLTtyyogPgVD07zkf4B1rzmACsCXr1G7ifU1lO/3u++iPhj+XV&#10;8OVJP8MSjzc54R9or4+2of7j/2/8t3z739vVXwmH6meeKjc/7uMWB1BeF62DQSP8cy7Lki/K/90z&#10;SD1V5lVhOV8lUfYNDqAKjwlAZr+3RRv8czLL5nTz+95QW/WJp3/ldQDYVygsIvwDXnhMAPKKnA0e&#10;/9vE/6u/Ei41iK85HQANPt4Swj/gR/QEwOLx/zcU6z9UdH/1Z8Il+5cA5HQAWI5WJSL8A554TAAy&#10;qpwtHv9/4r/ljO/3678TLll2CH1J7gAwSY3zEP4BXxwmAOmvArBp477PZjnhi7f/RGBz/V1J7QBo&#10;8NGWEP4BbyInACaP/z/x3/KVLzmDIGjG5gK8ktYBYLlUVSLCP+CPxwQgbSFAo2ec79NZDqimtfJo&#10;zPKS+JLUAeBw1V/CP+CRwwQgbSVgo6ev79NZvv036e9Ha5YlId8SUsMGMxOXEP4BnzwmAPoZbzB6&#10;/P+J/5bVXtd/KbxqMMduuQPA4f1M+Ae8itlgGD3+/8Riwy9puY2HCy3G2Zc6AGLezQAaidhkWD3+&#10;/8R//f8VMf0vCstOoS9LyWGDPokFi/cygIYcJgBLJfBWj//f8d9yrJfpf1GYZaEX5jsACP8A8oRL&#10;AOwa3q8TWk7/5+1/YZilob9mi2Ps7otUhH/AO4cJwOwyAHbt7tcJLeP//BMeHLF8KfS3mcyY8A8g&#10;n78EYG4dIMN27uuMlnO9eftfGC3m2j3qh/jRoh5xHuEfiMBfAvA4PQ3e7vG/RfyXPxaOtRhvn+oA&#10;8LfuD+EfiMFfAjC5DpBlr+vXKQ0rvaef7+BOg7cATl0gJ8OsOA3hH4jCXwIwMRHOtNP165yG8X9p&#10;hhc8edefz8DNDgB/ty/hH4gjSgti2Rf/Hf8NU45n+XPhmWVh6LebI2MtRiJm3b55AfjkLwG4NRXO&#10;9PH/O/7r/66I6f+htLhnblwihH8Am/hLAG50dZo+/n/Ff8th3if9g+GZ4VyUH39fkdniU8wi/APR&#10;+EsA/swCfDF9/P+K/5a9vEz/j6VF2Z12ADzpBq0R/oF43CUAf5YBMO7o/DypZfz/82wH12z7oz5J&#10;B4C7mX+EfyAidwmAzAK07Ik/+zyrZRt/9efCPdt6lC9XAbbJJ5hD+Adi8pcAXH0848d/+/g/Mbsb&#10;bj3rT2jhYpFId3cs4R+IynVzYtkR/+HztIazvJn+H411l9SHi5vC8OJMQvgH4nKXAFxUOxmuw/PJ&#10;/LS0nuFY90l9+CkTbXL2GVzAQGTuEoCfWYDmj/9f8d/wC9HSbrjX5L073/1E3mb+Ef6B2NwlAN+T&#10;AOw/1+d59f9WdGvJI/hm2D3067MDwNvMP8I/EJ23BOBrFmCDZ53P70P/b0VM/4/Hvlvqu1DU28w/&#10;wj8Qn7cE4HMWYIOlVj6+DcsOXuJ/QE06AB78zfwj/AM9cJcA2M7C+/HxZVg+3+kPgQAadEydFwHy&#10;dpMS/oE++GtbmjzsfHwXxH/Ma9Az9e/fzlnpP+Ef6IW3BOCtyTorH1+FYcfD9WpHCKJJB4AzhH+g&#10;H94SgCY+vgnD+M/yPzE16QBwhfAP9IQE4Gs1XsN+1nf9ERCCYYroE+Ef6AsJwOfKQ4bl3Sz/E1OT&#10;4hRHCP9Ab0ZPAL5exkP8x5KxOwAI/0B/Bk8AvqKx4eAu0/+DGroDgPAP9GjoBOD4seoQy/8hwcAd&#10;AIR/oE8jJwDfnfH6/yv6ftMBomnyGmAXCP9Ar8ZNAL4f/y2X/9VvH2EYzhJxhfAP9GvYBOD78Z/l&#10;/5Bg0A4Awj/Qs1ETgK/Hf8v4z/J/gQ3ZAUD4B/o2ZgLw07K96b/Uw/J/gY3YAUD4B3o3ZALw8v3X&#10;G1Z2E/8jG68DgPAP9G/ABOC3aTOM/yz/E9lwHQCEf2AE4yUAP4//lo91xP/QDK8UDwj/wBhGSwAu&#10;2jbD5X/fLr9yRDNWBwDhHxjFYAnA7+O/Zfxn+b/YRuoAIPwD4xgqAbhs3Az/buJ/bAN1ABD+gZGM&#10;lABcPP6z/C+SDdMBQPgHxjJOAnDVuuk/VnR5WgQ0SgcA4R8YzTAJwOXjP/Ef6cboACD8A+MZJAG4&#10;at54/Q/SDdEBQPgHRjRGAnD1+G+4/D/L/8U3QAcA4R8Y0wgJwHX7RvxHhv47AAj/wKgGSACuHv+J&#10;/8jSewcA4R8YV/cJgDRwhsv/P1+fGRF13gFA+AdG1nsCcP34bxn/Wf6/B113ABD+gbH1nQBoC0f8&#10;R5aeOwD05gAwmq4TAHn8t4z/vP6nC/12ABD+AXScAPx5Buf1P8jTbQcA4R9AxwnA8aR/KvEfmZ71&#10;h+0D4R/AWa8JwJ/Hf+I/cp2O+sv24F3/TACD6jMB+Pv4bxn/tfQAQRnWjJi5/3trABjUS48POX8f&#10;//971G3q0VMjqA47AAj/AH4d+mvkbjz+8/o/5OuuA4DwD+BSfwnArQl4uk1FempE1VsHAOEfwLXe&#10;EoBH/QPPdKN6jnpqhPWgP25oj4R/AKKzBOBB/74z3ageXv/TEcOykeqOB/3rAKCrx5ybj/8H3aoe&#10;4n9HOrozCP8Abumomfv3pH/cGa//xSrdzI8l/AO4rZ8E4Hb4Jf5jFcMLp66baTEAdDTV6fbqe4bN&#10;+LOeG5EZLhxV082iGAA46+R1ZxNP34bx/8biQ4jL8MqpiPAPYEYfCcDE4rtPul09xP++9HBf0CcF&#10;YFYPPZ1TLzczHN4g/velg/cAT90VAPCpg3cBHSce/4n/WC38e4AJ/wCWxE8AJmOvYfxnqLUz0VcB&#10;ZtVfAMuiLwR468U/nwzj/+0JCIjL8OKpgPAPIEXwBODWi38+GTbhxP/enCKvAjw5JAYAV0LPdrq5&#10;8u8n4j/WC7w6Fsv+AUgVuKmbW+LMcG4D8b8/cQtjuBoBJHvTFiSMiaV/PhD/sUHYbjGKUQFkCLve&#10;yVzgNYz/jLd2yPD6KWm6IAYAbnjXViSG2VnOhu23nhodiLkI0OwtAQB/BF0GYPa5m/iPTSIuAvSu&#10;fwQALAg532ly6Z8PxH9sEnARICb+A8gXcBmA6aV/PhD/sY3hDNIyFu4IALjpoI2JewuFzsR/bBSs&#10;U4yJ/wDWibYMwMzSPx8MOzT01OiD4SukS5hZDAMA5gTr7pyb+3em21ekp0YnDPuQtlvoDwOAaaGW&#10;AZhb+ueD7lDPUk8Eooo0KMbMPwAbRJoFODv370x3qGcxFUFUcVJiZv4B2CLQLMD5uX9nukc9xP9u&#10;hZkDyMw/ANuEmQWYMNNJd6mH+N+vIO/G4JW/ALaK8taThFon3aUe4n/HQnSJMfMPwHYxZgHe68e+&#10;Qfeph/jfsRAZcUI6DABLQlQ8Lc39O9N96iH+9yzAu7GWi2EAIEGAOc9JU510p3qI/z3z/x7ApNsB&#10;ABb5fxdgWrGT7lUP8b9r3tfFovQfQCnuJwGkdXfqXvUQ/7vmfFZswlQYAEjkvOQpcbk93a0e4n/f&#10;fL8GgNJ/AAX5ngSQUvxH/Ec5nktiKP0HUJTnSQCJ0fak+9WT+IkQleMSwGf9rACwjeMnnqTiP9NB&#10;DOJ/7571J/eCSw9AaX5rntKK/4j/KMjrawAo/QdQntdJAI+pLR7xH+X4rIhh2V8ANfhs8f496eec&#10;Yhj/U7skEJfLAbHkmwEAcrhc9iT9UZv4j4I8lgBy3QGoxOHC52kr/30g/qMkf+nwu35EACjE4ULA&#10;GZGW+I+S3FXEUvsHoB53NYCJK/99IP6jKGerAFL7B6AmZ01e6sp/H4j/KMtXCSC1fwCq8jXomTXg&#10;SfxHWS+eusO45gBU5qkGMO9FZ8R/FOYoG85KhQFgBU81gG/64WYZxv9XPTf65OZmoPYPQH1+agDv&#10;9aPNM4z/6YsSIDTDa2oWtX8ALLipAcxs8wzbauL/KJy8F5PaPwAmnIx65r7olPiP4ny8Byj3VgCA&#10;lVzMe0p+788PPUI9xP9heOgN43IDYMXFymf5XZ56hHpokMfRPhnOmwYDAFs4qAFcMd9JD1EP8X8c&#10;7RcByKyDAYAtmr8LOOO9Pz/0GPUQ/wfSekUMBv8BmGrd67mm0dNj1EP8H8dBf3xra1JhAFir+QBA&#10;fvUf8R81tF8CiLV/ANhxsAjgig4APUQ9xP9hvOlv3wDLTQIw03rI8yy/6kmPUA/xfxTtq//OHvRj&#10;AUAdLhYAylz9l/iPCjxkwquSYQBYwXAhvTnZL9nTA9RD/B+Eh9V/zlgCAIAFH12eK+qe9QD1EP/H&#10;4GIhrA9ccQDqc1D79yV3CSDdvx5a4zE86w/fzop6WADI4+SNZ2eZSwDr7vUc9dToUfOp/5eoAQRQ&#10;mYf5Tt8yFwHQ3SvSU6NHrRfBunKkBhBAVU5q/77kdXoaDtbqqdEhT6lwfjYMAFm81P59y3rmMXxc&#10;01OjPydn9wJVJwAq8lP79yWrySP+oyBHhTBf8rrDACCDvyYvp+qJ+I9yfI2Efcq5GwAgg7MBz7Oc&#10;hU+I/yjHW1fYGTWAAOrw+MST0+dJ/EcxDnNhagABVOKt9u/LnX7OSYbxn+ewzrkr/vuS/1YMAFji&#10;rvbvS3qLZxj/05MShOSvEuYL7wIGUJyTN5399aafdIrhX0D875vLobBP1AACKMzFO39vSi4BNPwT&#10;iP99c9oX9oFrD0BRD9rKOJJaAkj8Rxk+i/++ZL8XEwBmHJyWO31KrLYj/qMIr8V/X+5TO8QAYJGf&#10;95zflLgKoGH8T65JQEBui/++5L4YGwAmeR7uPEureTKM/zs9N/rhuPjvS+qIGAAs8P68k1gCSPxH&#10;CYbzSNdKS4gBYIHraqdPSfHW8Lkt6fMgJM+lsD8SS2IAYM6Tti0epdQ8E/+xnfPivy9MAgCwne/S&#10;/28pJYCG8Z9V2LplOIq0BZMAAGwV43EnacadYfxPSUcQ0Yv+1F4xCQDANl5X/f/jUT/5X8R/bGa4&#10;iPRG9EEB2MR96f+P5SF3w0c34n+nDHPIzZgEAGCDZ21T/EqYA6i71EP871SU7rAPT/rpASBViKlO&#10;35b7O3WPivTU6EKoG+LfkVmAAFaK1NmZMudZd6hIT40eRCmG/ZbQJwYAN8SY+fdrsdNdd6hIT40e&#10;BJn794tZgADWcP7SnxuWxjsNB2/11OiAYQFpKcwCBJAvzMy/X0tzAA0Xbl8ci0A8ceb+/VquigEA&#10;EbGxW3jtrmH8T1iOCMEEK4f5snBPAICKM/H/wkK9E/EfGxhePiWxDACALLEmOv2Yf/G5YZcG8b87&#10;QW8JxqIAZAnb1s2+9sywfHt5NUIEE64c9hvLAABId9AmJIzZemfiP1YzvHhKe5wfFgOAH9Em/l+a&#10;63g3bMKJ/52JtvTPFZYBAJAmdFM3twjQm25cD9OuOhPoTRg3zN0VAPAt4MT/SzPlzoYTuGhw+xJw&#10;6Z8r5KMAlgUP/3OLABH/sVLI6bCXSAAALArf0k0veGIY/+/13IjM8MqpZaZfDADOwof/mUWALDtx&#10;9dyILOjSP1dIAADMMiyRr2a69l63rEhPjcA6ePxPeD0WgKGFXffn0nFyESDdsiI9NQILu/TPFdYB&#10;AjCti/A/U+ukG1Y0tw4BYunktiABADCpj27OmVWADYdxif/96OPxnwQAwKTIy/5dm+oAIP4jXw81&#10;MV9YCBDALf2E/8noaxj/p4sQEUvo5TAVCQCAv3oK/1PL7xgu4kr870VHj/8kAABuOHUzyPnhdgeA&#10;YVP+rOdGTF09/pMAAPgj+qq/6nYHgGH8v/0BEI5hn5GNqeIYAGPqLfxPrHZmOJGL+N8HyzUjjZAA&#10;APjVX/i//RogwwmON8+PcOKvh/0XCQCAbx2G/9sdAIbxnwUAu9Dh4z8JAIBf79o+9ODWA7hla67n&#10;RkQ9Pv6TAAD41mkbd6sDQLep6PYMBIRimTCaYnoKgH7D/833AOs2FRH/O2C4YJSxW9kxgMH0Gv5v&#10;LsFjuMgBb1uNz7JexBoJADC8fsP/rQ4Aw+e5G9kHgjG8XOyRAACD6zj83wrBhg3635MjmJ4f/0kA&#10;gNF1Hf5vdAAYLubGAkDhGWaLTZAAAAPrO/zfeAZnAWAk6/zxnwQAGFnv4f9vB8CbblHPrfUHEEnv&#10;j/8kAMC4ug//fzsALB/p5NQIxvJaaYYEABjSAOH/TweAZZuufQ+IZYDH/3///r3pnw2gfyOE/z8d&#10;AJbrubEAUGiWqWJLLAUMDGeM8P+nA0D/vSLif2hjPP6TAADDOQ3TukkHgP5zRVp7gEhGefwnAQAG&#10;0+ULf2+TDgDDvIf4H5nhhdIcCQAwjoHCv4Zhw2b9/erECGWgx38SAGAgQ4V/6QAwLHtgAaDADPNE&#10;D0gAgDGMFf6lA8BwAcDj5XkRyliP/yQAwCBGC//XHQCGCwCyAFBcgz3+nxMAlqsAujdc+L/uALB8&#10;sHu5OC8isbxKvLgnAQA6N2D4v+oAsGzZWQAgqvEe/0kAgO4dHvWuH8FFB8BJ/60i1lYPyjJJdIQE&#10;AOjZ4aj3/BAuOwD03ypiAYCgDCeJuEICAPRr0PB/9ZITww4QaqpjsnxJhC8kAECvhg3//x5/vwTD&#10;oV0WAIhp1Md/EgCgW+OG/8uh+Hf9p3pYACCkcR//SQCATo0c/i86AAwXAGIBgJAGfvw/JwDMWgW6&#10;M3T4v+gAsFwA6HD9EyCCoR//z71WXLVAZwYP/78dAJZzu1gAICDLDiKXSACAvjwMHv7//Xv6+iYs&#10;4z8TAOM5DX+nkAAAXXnQW3w8P8X4+g8VEf/jGf7xnwQA6Arh/6IYT/9/RUwADKfN4/+r4azUFCQA&#10;QC+8hf/XJh/o+9swbGrvr38H+Nfk0jyevL2WgwQA6EOTJm3G/X//tWjtvr8Ow/jPBMBwDJeH/LXz&#10;V59LAgD0wF34P9kW4X37/j4sB3iZSx1Mk5vl8bzmzkH/b2NHJq8A4TVp0WZ8PlhYPoR/+f5CLOM/&#10;bWgwLTqmvtam8Haj8vpKIDp3rcpnv2KDp53vb8Sy7+HivUMIwPLa+PG9NIVlYpqEBAAIzW2bYr/I&#10;6vdXYtnGMwEwlgbdUhedRPb3xAISACAwdy3KT0C0X2X150vRf6iICYCh2F+U19dIk9GHOSQAQFju&#10;wv/r72cz75n4ObP+Q0VMAAylyf1yUSPibRYgCQAQVpPmbM7ly0XNF1r5ObNlJ+/v3wv3mjz+v19+&#10;Am+zAEkAgKDchf+PeU4/rDsAfk78rv9SEbOoA7G+Ij9cTxFtUBe7gAQACMhd+NclRYyXWvk5r2Uz&#10;zwTAOMx7pM4uRsQ+uJuvwxwWIB534f/Ps7BxU9fkvEwAiONNfzwLf1aIssxO02iKAsA5f+H/b0ei&#10;bQfAz2ktJwDSdsZhezl+upEf+rtzuYiBSE6WY9xpbrR0T7pNVT+ntSzzYgJgGJbdQt+OVxUxX9xN&#10;AiABAALxN4/odhNiWYl/UYqv/1LT5Z8Lz0wvxi83kuI4dy8Ahxw2ILefgy174i8iseXXc+sBDw6Z&#10;Xotfbj7+//ffS4tCxHkkAEAMDsP/5cT/S5bPXG3OygSAIFoMu998/He5DAAJABCCw/B//FPl/MXy&#10;oev3rJYl1syeisGyKOTb94t//rKtjElCAgD45zH868y/X4Z1ir8ntZzo9Xz518Ity5zw298ZMT9a&#10;FCMuIAEAvHMY/v896Yf8ZfjY9XtSy16H24UPcKbF2j/Tj////fffs27d3tQgHgAfPIb/mcccy2HX&#10;33MaJh3/jpd/LLxq8bw9e18Y3hjJSAAAzw4Ow/9UkdMnu1h8cVL9p5poMyNosPbP7OO/cZVqIhIA&#10;wC+HdcOLw4ZmzzkX57TMkpgAEIDliNC3+cd/n115JACAVx7D/9XrTW8x6wC4OKdh1SETACKwvCC+&#10;LD3+//ffqUGnxBISAMAnj+E/ob2w6gC4OKVlsTcTAPwzy0EvLD3+x72hAZiL2lpYNb4Xp7Ss9mIC&#10;gH8Niu2XH/8D39IAbHlsK2Ym/l8w6gC4OKPpcO/FeeFSi8l/CY//xolqKhIAwJu44d+qA+DylPpv&#10;NU2tfQgvGkTZpMf/Nh9tUeJtDcCIx/CfXPpu0wFweUbLbyv1W0ArDers0h7/jUtVUpEAAJ48WQa0&#10;VMltnE0HwOUZLedWz69/gOZMR4M+pT7+myXHeUgAAD889hKmh3+jNu7yhJYFX4szINGWydV3LePe&#10;aPHxFpEAAF64DP85895MOgAuT2j5BqD7yxPDHZOL71rG479xZ1UqEgDAB5fhf2nZv2sWzziX5zPt&#10;8r08MdxpMMKe8/jvcyFAEgDAhQ7Cv8kzmPX5flAA6Jp99V/e4z8JAIAJLsN/dp+3QQfA1fn0H2ti&#10;BWDPnvTnqi/v8b/RAgWLSACA1nyG/+wlQgweyK/OZzmmmlMJAWuWV8Kn3Md/r9N78/MYACV1Ev4t&#10;OgCMT/eLFYAdM0g81ZqwSQIAQDSoXVr2uCL8G7TDV6cz/eKuzgxXLGeCfjrqR0hCAgDgiuVTbLKV&#10;44LV/5ars5lOAFj3hcCCfVhduR6U6RWbjAQAaKR6yFxjZfiv3wFge7ZLNJJu2Y+fHdf0jp3Zf9QU&#10;XNtAE12F//p/zvXZ9F9rogDQLfvqv5WP/yQAAH7VjperrA//1Ts4r89m2fBTAOiVaTfQh9WP/yQA&#10;AL65DP+b1rqpHJKvT2Za93V9arhhehV8yFwY6xoJAAC34X9TU1C5A+D6ZJZvAKAA0Cv76r8X/QhZ&#10;fCYAm3IaALk6DP+1OwCuz1U52bi28XtBJfbhdGuo9Hnfb/2rAKQ7vesd6MLWMFd3Kdbrc530n2ui&#10;ANCnugnnLdse/0kAgOG5fB/I9vBf+VUslucSFAC6ZF/9V+BCIAEARtZt+K/bHyvnMn32k3PDBfvq&#10;vy3lsd9IAIBx9Rv+6z6Uy6lMVwCmANAj8+q/Ao//JADAwHoO/1Wr8uVUVfsaVJlvB0XVLTe5pdBl&#10;QAIAjKnr8F/1RedyqoP+e00UADpkXkS74sW/t5EAACPqO/xX7ZXXU+m/13SvJ0dz9tV/xe4SpwnA&#10;mvd+A0jVe/iv2SjrqSgAHFvNsaabtiz9q0gAgNEceg//NRs2uzPdUKLwG0XVrDW9af2bf24wvXqT&#10;kQAAtRwqjo5vUDL8V+wA0DOZPv+96dnRmOkCkB/KxkbT+tVkJABAHSOE/4rd8noi0wDwrmdHY+YP&#10;0KXL40gAgHH4DP/HJ/2cG1ULy3oi0wLAYqXfKKPmTJPbNi/9q0gAgFE4Df/lV7apVeOg57EdAC7e&#10;+mMT8+BZZu2fK+Z/QxISAKC0YcJ/tVZNz2M7/7t0Nwm2qTbMNKVGBWitW2UbEgCgrHHCf7Xncj1N&#10;zbUG/mIFIFfqlZlOqDMA5DMBqNMsAKMaKfzXist6mnqVBrdU6P7FepWusWmFq2S/kQAAvXsaKfzX&#10;Ks3S0/x30i2q0rOjpUp9TJNKrv1zhQQA6Nto93idqVl6FuMgUGP8FyuZdv2cFV3758pQXYPAcEYL&#10;/5UGZ/UsxgWArADkSJ0Mc0bF6R8kAEC/fIb/+5r3d5XibD2J8SAwKwA5Yh0yS6/9c4UEAOiV0/Bf&#10;azzzQ5U3s+tJjHuBj3p2NGN+T9Ud/CEBAPpk3lQlqRv+64zM6zmsCwArdgEjj+nAj8Hrn0kAgB6N&#10;Gf6r/Nl6jkppxqRKM8CQzTbvs/jpfSYA9f9uoGc14uB21cN/lSmAeg7r58CqY8DIYPrmR5uhHxIA&#10;oDfWDVWa+uH/v/+e9aTb6SmsCwDrrACHfLXeMDHFYu1HEgCgL+azlJJYhP8aUwD1FNYFgBQAOFHh&#10;2ppn8sOfrLOaNCQAwCoDh/8aUwD1DOYDwbwCyIcKfUuzjGZ+kgAA/fAZ/t9twn+FKYB6hjPTJtOi&#10;GxjLTKs+DfM+EgCgFz7Dv10RW/FWWk9wZvol154FhiQH/V0qs6v7IAEA+mAamZLZhf/ytY96grPi&#10;J5ll1HWCWdbd/4YLP5MAAD0YPvyXH5vXE5zZPgtadQRjjnWhvGXW5zQBsGw3gPAI/+W/Az3+B92o&#10;KgoAHChfWDLP9qYhAQCCO5UOfWUY38SlJ+fp8T+Un2YwgwIAB6zvrbpL//9BAgCExi38qfDXoIf/&#10;YDsYbNkVjNuMu//tcz7rBCeNeesBhET4/1J48WM9/Afb3mAKAJqz/cGb1L6RAABROQ3/O/2c9RV+&#10;CYAe/oPtWnAUADRnHByPLbp8jP/GRCQAwBKn4b/BY0zpdkyP/qn4MgNz7DuDca1wTrmoTdAre+OU&#10;0ua7AOIg/F8oOztPj/7J9BWAFAC0VnhMadFBP4ANEgAgHsL/laLfhh78k+0KQBQANGab7rXr8PGZ&#10;ABi9OwQIifB/rejTmh78U+lZhvN4Amqr+KJSC5rdOSQAQDAvhP9rRUdr9eBfdLOq7NaCxy1FE8oE&#10;DcMdCQAQyaFktCunXfgv24jpsb+YrgBk8yp4TDHu/m/a3WOd66QhAQBuIfz/VbICUI/9xXYFoKbf&#10;5vCsu/+N1/4TJABAFD7D/7FxwCo4IqKH/mK7IEzTJ8LhGUfE1qM9xn9uIhIAQDkN/43mL/0o2ITp&#10;ob/YPhMe9fQwZNz9b/jm39sK3j0FkQAA1wj/txWsANRDfyvYxZCg+Tc6MNtUz0OxBwkA4B/hf0q5&#10;CkA98rdyZ0jR/JlwYMbR8F3P34Dxn5zIQ8MCeEH4n1Rufr4e+ZttE7nX08OMcfe/i8WebK/uVC6a&#10;FsCFO8L/tGIL9OuBv9m+AmjyY6A629vMSakHCQDgGXfonGIL9OqBfxTLMJK4eCocku1MDzcve+Tp&#10;AvCL8D+r2OO5HviHbbewl7AwHttCDz+VnowuAl75DP+Pfu7OUuFZj/ujWA9DkmavhBmebRh09DuT&#10;AAA++Qz/nmbolPqG9Lg/Si4ymKD9rLAxGXf/e5roQQIAeFQquJXlKfwXe27Tw/4qdIJEjVdUHJZx&#10;97+rW4gEAPCH8J+gUMOth/1VaoQhjYdp4SOyDYHOfmWfCQC5MEZG+E9RqH9eD/vLtgDAybyw0RS6&#10;ilJ5m+ZBAgD4Yht3UnkL/6Um6OlRfxmHhrZvhRuV7Xse/SV5JACAJ4X6tQvzF/4L5Ul61Au2TSMz&#10;AFsok0SmcviexxfbF12kIgHAkAj/qcosAaBHvWBbAOBoZtg4jPt4PFa2nUgAACd8hv+9w/D/3397&#10;/Zhr6EEvlOlgSMYMQHu2P/Gjnt4FEgDAB5/h32G35VmROkk96AXjh0MaPHu2oW+np/eBBADwgPCf&#10;o8iL2/Wgl2wLAJzNDRtBmSGkZF57eEgAgPYI/3lKfF96zEu2BQCzHwU1FOlBSua3wsNpAuC35QGK&#10;KxHOynN8E5ZYu1WPecl2dNjd5PD+2SZ4ntb+FSQAQFMnwn+2Ah30eshLxgUArr/qLukvUJfX7v8z&#10;EgCgIW7AFQqs3qKHvFIgv8jgszy8YyX6j9L5ru/g8QNohvC/RoEHdD3kFdv+YZfTw3tmG/K8l7PZ&#10;fhupnLdAQAFOw7/7Nem2L9+mR7xiWx/mdX5Yt7ZfPTlcrqFxiQQAaMFp+Pf+xFJiAECPeMV4fpjf&#10;AvEuFeg9yuC7+/8DCQBgj/C/1vYmXI94zfYJ0XWFWH92+vVXFeBuIgEAzBH+19v81ekBrxk3iI5n&#10;iHVo87WT4+i++//M+HpP5HP5caAEwv8Gm6fo6wGvGRcABOgj7oft4E6Qh1ifCYDH148BJfACzi02&#10;N+J6wGtFlhjOQDtnxza3i7K4EwkAYOdgO8c8VZDwv70TV48nth4+U5ivvQOmkzuPena3NveoVUEC&#10;gB4R/jfa2lzp8cT2CQZZgvQSd8H0zgv0w9r2i6QiAUB/fIb/Y5zwv3kAQI8n7nT7uuI8JoZn+8tG&#10;6f4/IwEALDgN/6HWodvYQ6+HU7p9ZZHiRGymPTux8joSAKA+wn8BGwcA9HDKdJQ4VD9xcBvzxjzB&#10;flYSAKA2wn8JGwcA9HBqY3qRK9aDYmAbL5tM0bp1fCYAj8GaJmAa4b+MbQ9yejS1fYXBPHf6AVCF&#10;aYSLl9WZfj3J4jVOwG13hP8ytj2h69H+MF4C2P0rlzphOq4TrPv/jAQAqIf7q5RtPbl6tD+MF0R5&#10;1POjCtPsO1r3/xnPJ0AthP9yNg0A6MH+eNI9Kgv5E4RjO6wTsnCN8UmgDsJ/QZsGAPRgf1gvAcwA&#10;gAXTd/8Ffa0DCQBQg8/wH3V+zaYBAD3YX3vdpS4GACxs6jPKFWg5rSskAEB5hP+ytjTmeqy/NnUv&#10;rEDzVp9tp07YG4sEACiN8F/Ylgitx/rLdqiYAQALpkUdQbv/z5wmAFE7VADCf3FbBgD0WDcYzwBk&#10;AKA+00kdkaOVzwQg9FeKoRH+y9sQofVQN5gGCwYALGy4YPK96NkjIQEAyrEOJmlih/8t73LRQ91g&#10;2lnMAICBLR1G2e717LEctlTX1EMCgIAI/zVsGKLXQ91gWyzGAEB9pn1wb3r2YE4kAEARhP861vfn&#10;6pFuMZ4ByABAbaaL/4b/NUkAgBJ8hv+Aq5Or9QMAeqRbtswvWIMBgMosx7Q76M0hAQC2I/zXsn6I&#10;Xo90i+lwccjXxcWyYbgoXw/JHAkAsBXhv57VT3R6oJvWDy+sE/F9MYGY9ud08UJnpwlAD7kVBkH4&#10;r2j1l6sHumn98MI6nfwoXlkO/3fSl+M0AeBGQRCrI1RVvdxAqyu69UA33elelXUSNLzSr7umXm4w&#10;EgBgNW6fulbP0dMD3bZ6eGElBgAqMs3muhmjPln2mqTrpgVDxwj/ta2do6fHuc2686ajH8Yf03f/&#10;hp9a+8v6JkjDrQLvCP/Vra3p0uPctnp4Ya2OwoY7a1PFNfZ68shIAIB8TsN/N12TZ2vn6Olxbls9&#10;vLBWV7+NM/pd1xR98b9rJABALsK/hZVz9PQwE6wHPwO/M9Y70+H/0O/++YsEAMhD+Dexco6eHmbC&#10;2uGF1ToLHI5YDv93sPjfNZ8JwJ7hMjhF+Lex8rFODzNh7fDCan11HHtiOfzf3wI1PhOA+G8wQZ8I&#10;/1bWzdHTo0yx/hmDvzXWMf2ma+pwHicJAJDqsC4q1dZh+F85RK9HmWLZa/wh/GvjnFrZT7SOnrwH&#10;5ndCEhIA+EP4t7Nujp4eZYrpO2PO+us69sEyfPVZxbnuRquNBADeEP4NrRui16NMWjm/YLXuSsec&#10;sBz+77SIgwQAWOYz/B977VleNUSvB5m0cn7Beh2OHXugX3NNvU7iIAEAlhD+ba2K0HqQSeYDAMxq&#10;rsFy+L/fLhwSAGAe4d/YqqZdDzLN/OekNavAcvi/4xIOnwnAY7+NG4Ih/Jtb843rMaaZT3zqs0yj&#10;sXWzRNbpeQTHZwLQdfOGQAj/9ta07XqMaU+6a20sAVCB5W3ZdQcOCQAwhbujgTVfuh5jhmXo+NBr&#10;+VhDllUcXb37768n8/shRedNHEJYE4nq6/3eWDMDUI8xw3wAoOPx41Ys3+Ow05N3hi5O4BbCfxsr&#10;5ujrIWaYDwD0Wz/ezJohorW6v91IAIC/fIb/+/67k1fMANRDzDFv7nouIGtjRYa41lHP3R8SAEA5&#10;Df9dVyN9WvGEroeYYz4AwBIAha0ZIVqrz8V/r5EAANcI/82c9K9epoeYsyK92GiEH82S5b05xPRN&#10;pwnAEN89PLJsYtINEf7XLO6uR5hl3th1uoB8MysGiFbrf7jtzGcCMEbyBX8I/y3lr+6mR5hlPgBA&#10;BWBZq14Rsc4oPx0JAPDNPEIkGSX8r1gCWI8wy34AgJHMovTrrWiY2o2DYVKVgQQA5gj/jWU/jOgB&#10;5mUffqthooiJ/PRwvXHiz4kEACD8O5A9v1sPMM/8Bz4O9NvVlz88tN5APxwJANAgOiR5Haglyl/f&#10;TQ8wz34AgEasoOzscL2hXt5AAgA4Df/6MbuWvb67HmCB+QDAUHGkNsNfb6y1m0kAMDrCvwe5Tbzu&#10;v8D+R6YCsBjL1X8GW7rRaQIwVhaGhuwjQ4rRwn92F6/uv8B+AGC4X7Aey7m5Iw26nTlNALh7YILw&#10;70NuAYDuvyS3f2EzKgCLMVz9Z7xhGxIADIuL34vcPl7df4l9nscgZimGN+mAHc+n3K43GwO2gTBG&#10;+Pcj8w1vuvsS+wGA8R4la9FvtqLBhv8/2efGKYZsBWGI8O9IZiOkuy/KzC8KoAKwDMvVf8YctMm8&#10;94yM2Q7CitPwP+i7YzKLvHT3RYaDyF9ov8rILQ3ZYNQ+GxIAjMZp+B912DizAEB3X5S9wsB2Yz5M&#10;Fmc4Pj3g8P8nEgCMhfDvTF6Fvu69zH4AYNCenNIMf7ghh/8/+EwA9qTQqILw703eY57uvcx+AGCU&#10;V8nWddKvtaKBw43PBGCkd6DADuHfnbxhXt17WeYAQwnjPk4WZFj+N3TCRgKAURzyOputjBz+Mwfo&#10;de8E9infu34E5DN8+d/Y4832HWQpSABQGuHfo6wfRXdOkNfBUMSLfgZkyxsX2mTwGzBzCo4REgCU&#10;Rfh3Kauh150TNBgAGLaevCDD8r/R0zUSAPTPZ/g/3unnHE3W87nunCIrwSjiqB8BuQzL//i1SADQ&#10;O6fhn9Xisgq9dOcUDVq30ft0tsu6KrahXKPFLZKABAClEP7d0i9lju6b4mT/04+6oFw5huV/rNfg&#10;NQF4pHlEEYR/v/b6tczQfZM0mOI0/KjOVoaDNvxWbhMAGkiUQPh3LOdRT/dNYv8SwMGnlBVgWP6n&#10;px4TCQB6xbXtWU541n3TGAaTb6PXlG9kWP6313MP6oFnJHSJ8O9aTluv+6ZpsMQJUwA3MSz/2+m5&#10;R0UnKXpE+HcuY4U+3TVNgyUAjtQub5EzJrQRqzV/IwFAf3yG/3s6iH9k1OfprokyMoxSmAK4hWH5&#10;H4naDxIA9MZp+KfV+ZXxE+muibLWGCpj6JfKbGaXsPE7XSABQF8yYoshwv+ljFcA6a6JckoMSqFf&#10;eQP9MuthpsYlpwkAnWlYhfAfQXqjo3umyhhiKIW68vUMy/9Y/eeKzwSA0TSsQfgPIX0FIN0zVc4c&#10;w1Ko8FjNcLyG1X+ukQCgFw3mfSUg/Kv0am/dM1mDJQDoWV7N8MbVUw/v0OBWSUACgEwNOn0TEP7/&#10;SH861z2TGUaUH3QArJXeIbQVozR/nOyKL3OQACAL4T+K9PI83TNZgyUAWFlmNf0m62Gdpr9IABCf&#10;z/D/Tvi/IbnLUXdM16BNYw2glTImhGxFULmBBADR+Qz/jAnflLzci+6YrkUpKA3WOunjQZsxtfwW&#10;EgDERviPJLneW3dMd2pQ18zaMuuk14NuddRT44PTBIDRGiQh/IeSPN9bd8zQ4pLggWWV5O6gzSj/&#10;m+A0AaAFRYIWbf0yLt5J+lVN0f0yGA4q/7jXD4EUyeUgm1GiOYUEAEGd7KYP5eDSnZba2Oh+Oeyi&#10;yi9Wl1lDv8V6WKR5Eq0oQiJzjSe1w0b3y5FcZFAQ/csrJI8GbccSDTNSb0pbtKOYQ/gPKDU26345&#10;0lcZKIj68nx2UzUo/5tFAoBonIZ/BhpnpT7y6X5ZWjRnNFb57Mr/6Z6Z1+KOWcY9hSlOwz+F4Av0&#10;C5ugu2VJTTKKooc5m93AM1n5AhIAREL4Dyrxd9Pd8rSoAKStymb3M1H+t8RnArBnZU3cQPiPKrGd&#10;0d3ypFYZFEVTlUu/wXqozliUeGMa4y0q+IvwH1ZiaNbd8jSpAKSPOZPhMI2eGn+RACAG3lwdV2Kj&#10;r7tlatGW8RagTHbl/5T/pWjx6uxlJAC4dmiwwnsCwn8S/dpu070yJWYZZdEBkMeu/J/l5JPYJWQ5&#10;SABwifAfWlrfje6VK+0sZdEBkMeu/J97Mw0JALzzGf6PVBgnSnvni+6VK7HMoCw6ALLY5WiszpyI&#10;BAC+OQ3/FBinSuv11b1yNakA5DXAWfTrq0fPjCkkAPCM8B9d2tC87pWtRQUg/cw50i6EEng7Yzqn&#10;CQANLAj/PXjRb+8m3Stbi7cA0wGQwy7SvOupMc3uZ8lBEwvCfxeSfkPdKV+TJSLoAEiXNhBUAnUZ&#10;OUgA4NNDUuiwxpWZJ6nsW3fK16QZowMgXVohaAmU/2VpcucsopkdHddlF5KWGdGdVmiSLNIBkMyu&#10;g4ZXM+WhmxX+EP77kPQ76k4rJOUZpdEBkEy/umqOemYsIAGAN0lhwxyFqdmS6r51pxXSCg1LowMg&#10;kd3Pw+q/2UgA4IvT8M/E1Hz6Jd6i+6xhN8B8gQ6ARElpYBGs/puPBACeEP77kTLwq/us8aQHNUEH&#10;QBq7FRrf9NRY5jQBYJnVIRH+O5LyXK77rGK3wOwFOgDS2JVnUP6/hs8EgPR6RIT/nqRM/NZ9VrF7&#10;xLxEC5UkaRpoEdymq5AAwAe7R4UchP+VUvrldZ9VTk1aMDoAkph1zlD+vxIJADxospT7IsL/WilL&#10;8+o+67S5cmigUui3Vg3l/2udUip17HF/DaVNI76E8L+efpc36C7r2M0xu0QHQIKUJLAMyv9XIwFA&#10;az7D/57wv15Cq6K7rGQ3yHyJ9mmZ3fQ/yv/XIwFAWz7D/6t+TGRImACgu6yUUmpQHh0Ay1KKQMug&#10;/H8DEgC0RPjvUELbr7usZVZldoXmaVHCNVAIPXVbOE0AeKXjEAj/PUp4Ktdd1mozc/RIzFliNjJD&#10;+f82ThMA2uABEP67lFD7pbus1WYKII8ni8yiCuX/G5EAoImT2TNCFi68zfQr/Uv3WK3N2hF0ACzR&#10;b6wabtetSADQAJddt5ZH5XWP1dpMAaQDYIHdz8IvsR39sLBG+O/XcseO7rFem7aLDoB5dtP/KP8v&#10;oM1NtIS2uF9Owz+LiZSwXPyte6xnF2mucKHMsqvL5JWxJZAAwJLT8M/EriKWX8yje2yw3NlQxYt+&#10;DlxYzgBL0TNjFRIA2CH8d235mVz32MDuUfMKTdMcs3Byr2fGOma/WJZ3xtk6RPjv20m/2T90jy2W&#10;qw2roANghlmnDNP/SvGZAPAelv4Q/nunX+0fusMWy6MNVbzr58Avs2UZKP8vhgQAFg6NHtgWEP7L&#10;WXz80x22aLQGEJXnM/S7qoa3/5RDAoD6Do2a6wWE/4IW3wCkO2xiV2x2ha7nSQkrQBZCElZQo1Ka&#10;BSQAPSH8D2AxIusOm9gtNnON2DNluQC0FKowSiIBQF0+w/+R8F/UYjuiO2zTqOOS9wBPWfz9i9Ez&#10;YxO7Hy4HCUAvnIZ/FhEpa/H5T3fYplUHAFnjhMX+n1KY/lcYCQDqIfyPYXECoO6w0WK9YR2PNEu3&#10;mXXIUINRmtMEgCa6A4T/Ueh3rHT7jRb7Gyph9tltZvkYyzAX5zMBoJGOj/A/jKUAoNtvtXS+SngN&#10;0G1mM3xJwMojAUAND4T/YSzFY91+q1ZtFqsA36RfUzVMwaig1c00j4Y6Nq6qgSwVgOn2m5k9cQrm&#10;n92wWP5RDHdvDXTUojTC/0iW1uTV7TdrdXlRgHaDXTmGnhlFkACgrFbt87xHrqg6liKAbr9dqw4A&#10;eqD/Wvr1iznqmVEGCQBK8hn+mVZay9ICsLr9dks9DrUwA/2vpdGfYuh9qYUEAOUQ/kej37XQzbdr&#10;9RYgFgH6yyz+8w7GapwmAE/6OeEf4X84C62Hbl6AWdARzAH8Y/H1T6Uw/a8enwkA6XY8hP/xLEwA&#10;1M0LaNYBQBBSCz9+Obz9tyISAJTQ6sFsHuG/qoVHQN28hFbX2ZE5gOJev6JaKL6siQQA25mtBZ6F&#10;8F/XQjDWzUto9RYgRqGVfkHVUA5W1YtZIpeFBCAQwv+QFsrxdfMiml1qPIZe0++nGj0xyjqRAGCT&#10;Zm3yrD3hv7KFKeC6eRHNOgCYA3hl4bcvSM+MwkgAsIXP8M+q7dUtLACgm5fR7GqjPbpkFv+Z/l8d&#10;CQDWa9YgzyL8G9Av/ZpuXUazDgDmAF4ym+9D/K/PaQLApJsACP/j0m/9mm5dSLMLjubowkLtZzl8&#10;6wacJgC04u41a41nceGYmJ8DrlsX0qwDgPcAXiD+d4UEACucFqaAN8JlY6NJ/G+XctIV/cvsxmcx&#10;WBMkAMjGRTO2Z/3mr+jWpSyUHVZELPoxn/oVxLxLG6dmafUs2nK/CP+Dm+8E1q2LMYs96lE/ybjM&#10;bn2W/7FCAoAchP/RzReB69bFmM09+4PB6G/6zVSjJ0Y1JABI5zT8M2vUznwg1q3LadYBwGsAvuk3&#10;U42eGPWQACAV4R/zI/G6dTnzeUdNvAbgk9kkDGouLflMAN5ZecMdwj8WngJ144KadQBQjvbJLAMj&#10;/pvymQDwJhdvCP9oGP/Nws8flAB+MPsB6Py1RQKAZQfCP5aqwHXjktp1AFACeDZf+VkQX7cxEgAs&#10;ORz193GB8G9tNgzrxiWZPX/+QQng2fzMz4KI/9YW3urdCAmAH4R/fJpdBU43Lmo286iKEkDL+E+9&#10;hTmzvp0sJABeEP7xZTYM6MZFmRWg/8UqgIa9xMR/eyQAmOYz/B9ZJ6yBdvHfLgL98UhDZNf9wmhL&#10;AyQAmEL4x48n/R0u6cZlNewAYEzaLv7riWHBaQJAI98c4R+/ZsvwdOPC2nUAsCb9f4/6ldSiJ4YJ&#10;nwkAzXxrhH9caBn/G3YAsCiNfiO13OuJYYMEAH89Ef5xSX+KS7ptaQ07AN70s4xGv5BayLRaIQGA&#10;4prANf0tLum2pTXsADgOXop00i+kFuJ/M3c86+EK4R9iro3QbYtr2AEw+CIAs+M+JT3rmWGGsV5c&#10;IvxDzdWB67bFnRo2UGPPSzeL/0y1aIgEAL98hn8mhTbVNP7PLz9Q19iLABD/h0ACgG+Ef/w1twCw&#10;blteyw6AoSOT2RrxrLXYlNMEgKvCHOEfN8w9geu2FcydvraRn0LMvvexh1na85kAsNa7NcI/bpkL&#10;BLptBS07AEaemj73sxdF/G+MBACG93sWwn9zcxeGbltDy7x04EUA5n72orjDWyMBQMOJVjMI/+3N&#10;FYLptlWYLUT713Hcd9PMlX0WpSeGuZd7/VFcIAEwQ/jHhObxv2UHwLiL0xD/B3IiARga4R9Tmsf/&#10;/1o2TsM2QVbx/1FPjAZIAEbmM/y/6sdEC3MLweq2dcxlILUNuwywVUAYt4fFFRKAcRH+MUN/mAu6&#10;aSVWz6K3jLoMsH4PtRD/fXCaAAy9BocNwj/m6C9zQTetpGUHwKjr0+jXUAvx3wmnCQBxoDLCP2bN&#10;zA7STWtpeY0OOgKgX0MtvP7HCxKAAZ3mlndthx/dj5ned920lobvAR51BEC/hVro4HWDBGA4/ORY&#10;4iD+//esZ7Y04giA2ZAL8d+PU8t+tmlEg1oI/1jkIf63XAV4yBcBEv+HRAIwEsI/ls20CbppPWbL&#10;0d4y4Bi1Wfxn+X9XZm72hogINTgN/wMvuu7STOjVTes5NVwFeMQgRfwfFAnAKJyGf5Z8cMZF/G+6&#10;CvCAIwBP+hXUQvx3xmcC8D7cHVgb4R9JfMR/swXpbhru+WPmRy+L+O+NzwSAxeDLIvwjzcyTt25a&#10;k1mP9E2jzQEwi/806+6QAPTvQPhHmpnAq5tWNTMPob7RVgEyi/96YrRHAtC7Q8v5VNMI/w55if9N&#10;FwEabRUg4v/IzH79LCQApRD+kcxL/G/8WDLWCIBZBNATw4OZMb+GSADKIPwjnZv433QRoMFGAKyW&#10;BT/qieECCUC/fIb/I5XAPp30l/qlm1Zm9lB601AjAFbFFrz+zykSgF45Df8H/ZxwQn+qX7plbU0X&#10;ARpqYSri/+icJgCEiY0I/8ijv9Uv3bI2s1Vpbjq+6OfpF/F/eD4TAALFNoR/ZNIf65duWZ1VWLpt&#10;oGBl9UUP9JWGQwLQnyfCPzLpr/VLt6zuoJ/A1jgvqyP+gwSgO/yiyDY96q5b1td2DuC/YS7U6d+8&#10;rAFfrRgIT4t9Ifwj3/SzoG5ZX9s5gOPUH+sfXss4PSohMVrcE8I/VvAU/xvPARzmeVX/7lqI/76R&#10;APTDZ/i/H6iqOiZX8d+sZ3rCIKtU6J9dC/HfORKAXjgN/6P0qMblK/7PLEdoYZBlAPXProX4753T&#10;BGCQPLwcwj/W8RX/Zz6OiTGWAdS/uhbiv3s+EwBWi89D+MdK02vB65Ym2r4HcJBlAPWPrmWILzM4&#10;EoD43vTbc4HwH8F0yZ1uaWP685gYYuxR/+ha6MYNgAQgusbTpicQ/kOYjre6pY1T4xLAe/1A/TFb&#10;Z4n4H8HhXn83F0gAEhH+sZ63+N98LKv/SYBmRZbE/xBOJACBEf6xgbv437oEsP+oRfzHFRKAuHyG&#10;/1fCfxD+4r9Z9/SE7icBEv9xjQQgKqfhXz8mvPIX//971k9irPfX1hD/IZwmAEwgWUD4xzYO43/j&#10;1wB03+wQ/6GcJgBEklmEf2zkMP43LwHs/E2AxH/8QQIQzonwj62mg4Fuaah1CeBj1yUA0z95YX2n&#10;UZ0hAQiGHwzbTQcD3dJQ6xLAvtcBnv7JC9MTw7PT9FKgLRFPbiP8o4DpYKBbWmpdAth1CcD0T16Y&#10;nhi+0Z8cB+EfJUwHA93SUutVALvuu57+yQvTE8M5EoAonIb/nh+b+jQdDHRLU0/6aax1vIDV9E9e&#10;mJ4Y3pEAxOA0/LNgQzjTwUC3tNW6BLDjRmf6Jy9MTwz3nCYA/SbjqxD+Uch0MNAtbbV+EXDHV7PZ&#10;9Eo9MfzzmQB03Bu3AuEfpXiN/zMLExjp9lXAZt+snhgBkAB490L4Rylu4/9/zUsAe10FgPiPGSQA&#10;vh1aL496G+E/JL/xf/qTWel0FQDiP+aYXR9ZSAA+Ef5R0HSU1S3NtX8Q6XM6i1n7ridGDGYFIllI&#10;AM4I/yjJcfxv/h6gTlcBIP5jHgmAVz7D//FJPyeCcBz//3vTj2SuyxIA4j8WkAD45DT8d/mYNAbP&#10;8b/9IgD/9vqROkD8xxKnCcCLfs6xEP5RmOv4334RgH87/UzxEf+xyGcCMHaoIfyjNNfx3y5UTetv&#10;aMvsS9UTIxASAG/uCP8ozXf8b78IwL9jd32OxH8kIAHwhd8D5TmP/9Mfz0x3VUfEf6R44HnTEcI/&#10;KpgOsLplG8/6sez19iYg4j+SMN7sB+EfNXiP/w4WAehtcQviP9KQAHjhM/zfD/hLdMZ7/P/vST9X&#10;A31d5sR/JCIB8MFp+O9tZHRA7uP/f+/6wewdu7rQif9I5TQBuNPP2TfCPyrxH/89jADc64eKjPiP&#10;ZD4TgN6G5OYR/lGL//jv4vLvqQaQ+I90JACttV8G/RbCfxcCxH8HywB31d4Q/5GBBKCt9q9BvYXw&#10;34cI8f/FQwvUT83R9E9emJ4YIR3aL8J1yyAJAOEfFU0HA92yIQ89YP3UAE7/5IXpiRHT6V5/WReG&#10;SAAI/6hpOhjoli15GAHopgZw+icvTE+MoEgAWvEZ/t8J/72YDga6ZUsuRgB6qQGc/skL0xMjKhKA&#10;NnyG/14aQswFA92yKQ8jAL00N9M/eWF6YoTlNAF408/ZF8I/KpsOBrplWy7anz6WHZn+yQvTEyMu&#10;pwlA17GI8I/apoOBbtnWQT9eC328C3j6Jy9MT4zASACMnQj/qG46GOiWjZnNWp/TRd3r9E9eWB/d&#10;JfhEAmCKrxsGpoOBbtmai/vhXT9VQNM/eWHE/66cPMzC+avPiET4h4Xp1+vplq25GAH496wfKx7i&#10;P9ahR9oK4R8mprvVdcvmXMwB6GASAPEfK5EA2HAa/nf6ORFdoPjvYhWgDhYCJv5jLRIAC07Df/xH&#10;H6hI8d/FKkDxJwEQ/7Ga0wSgh7rcH4R/WIkU/52MAESfBHDSP6gW4n+HfCYA0e/JS4R/mAkV/52M&#10;AESfBKB/Ty3E/x6RANT1QviHmVjx38cIQPTxRv1zaiH+d4kEoKaDjyZOEf77FCv+OxkBCH436F9T&#10;C+XCfXrWH9qFPhIAwj8sBYv//73rx2zjST9XJPrH1EL879SD/tIu9JAAEP5hanpEXbf04eTjBjlG&#10;ngWof0wtxP9ekQDU4TP8Hwn/3YoW/2cWLDR1DNzW6N9SC/G/WyQANTgN/5GfdTAvXPz3Un4UuK3R&#10;P6UW4n+/nCYAodfmIPzDWrz4f3rUT9pG3FmAVhOMiP8d85kARA5WhH+Yixf/7davWxB2FuD0b15W&#10;2C8ICUgAyiL8w950LNAt/Zies2DrTT9YENO/eVl7PTF6QgJQEt8mGphOOnVLR6w6sJcErYsl/qOE&#10;h+nGo6GYIYvwjxb0F/+lWzripqss5u1B/EcRbu7DKxGDFuEfTehP/ku39MTJMoBBbxDiP8ogASjD&#10;Z/h/DPc9Ipf+5r90S1esQtiSx4izAK1mUN7ridEbEoASfIb/wDOckUp/9F+6pStOlgGMeZOY1U/q&#10;idEdpwlAqFdPEf7RyEF/9V+6qS9OlgEM2clN/EcxPhOASKW5hH+0MjOXXjd1xs1LyOLNcif+oxwS&#10;gG0I/2gmbvw/eZkE+O9ZP5p3xH8URAKwhVUxTh7C/xjixn9HzU6QluaH2eyJ0KuxI5WfO/FKiNuS&#10;8I+GZobRdVN3zMLYohAtza+ZpK+sUFVYWM1PX9yVALcl4R8tzXQF66b+vOtHbiZWoCP+oywSgHV8&#10;hv894X8UoeO/m0mAwSYcE/9RGAnAGj7Df7yCZqwVOv7bBbJFoRIAs6/tSc+MXjlNAFy/oovwj8Zi&#10;x/+5j28s0kKAL/rha9npmdEtpwmA42hG+EdrM+vo6qYu+Wl0ItXM6Gevhfg/EBKAPIR/NBc9/r+4&#10;KQGIlADoR6+F+D8SEoAMfFlwIHr8n5vAaC3OSsD6yWuhNRkKMS0ZXxU8mLkMdVOn3KwDHOjuseo0&#10;iZMRoQj6tNMQ/uGCXgEXdFOvHN1KUe6fmV6fooj/oyEBSOE0/IdbyBxb6SVwQTf1ylEJgLuGZgLx&#10;H5WQACxzGv6dL5aACvQauKCbuuWoBMD3fOMfVvE/zjWEUpwmAI6Kcwn/cGJuJRjd1i9PTU6Iu8hs&#10;4WQ9Mfrn6W785Wd2DuEfXvQR/13dURHuI7Nlk/TEGAAJwBxXjdWvCM0WSusj/rsqAYhwJ5nFf14A&#10;PCISgGm8Kxl+zL1CV7f1zFMJQIB7ySz+8wKgIZEATCH8w5G5QKDbuuZoFYAA7wJ60I9cC/F/TGYX&#10;WJb2CQDhH550E/89rQLgPwGYG/YpioZlUCQAt/gM/0fu0lHNddTptr65KgHwngCYxX9eADAqEoC/&#10;nIZ/540V6pmbCK7bOueqBMD5PUX8R21OE4CGFamEfzjTUfyfHcsw5/yu0o9bi69112DJZwLQ7sYk&#10;/MObuUtSt3VvLpkx5/u+0k9bCwsAD4wE4BLhH+7o5XBJt3Xv5OoOc31n6Yethfg/MhKAX3wX8Eev&#10;h0u6rX8H/ROa8nxvWc2WOOqJMRKC3je+CfgzGzB14wDmljOy5/juMhsq0RNjKHR6fyL8w6HZOnDd&#10;OIK5+Yz2jk1nG80h/sMECcAZ4R8ezc6Z040jcPZyjbbTjWeYLZfIAoCDIwHwGv7dNk6wMjtlTjcO&#10;wVlz4/Uem/3hSyL+j87ZHfnlaHhhEv7h02wY0I1jmO3SsOf0Lpv94Ut60jNjND4TALulqQn/cGp2&#10;uFw3DsIstKXxeZ+ZZUksAIixEwDCP7yaLQPTjaOY/aPsubzTZgs/SyL+Y+gEYPYRqxmXjRKszVbL&#10;6cZRnB71L2nLttYojVn8f9czY0DjJgCEf/il18UV3TgMb62NxwRAP2MtLAAIf/NyvlVPAAj/cEwv&#10;jCu6cRzehtwcJgD6EWu51xNjSGMmAIR/ODa7/F/g+G83vT2RvwTArItET4wxjZgA+Az/vJMTn+ZH&#10;gXXrSJzVAPpLAMy+ID0xBjVeAkD4h2vz/eS6dSTeagDdJQBm8d9wnRW45jQBqBYPCf/wbX6qvG4d&#10;ircaQG8JgFnjRPzHl7ESALM7LEulPxYRzQ+T69axmK1wk8pXAjCf+hX0pmfGsAZKAAb6UxHVfCew&#10;bh2MWYRLZbnk+CKzb4cFgPBjmKg4zB+KwLqO/w474CrWGuWaL/0siCYHv07+bsqz0hcp4R8B6PVx&#10;TbeOxuFN6CcBMIv/LACESyMkAA5bnrOyfyTC0wvkmm4dzou3GkBHCcCLfrJaWAAIV/pPAJyGfzdt&#10;D3yYX/4nfvxf+gNbcHMT6gerRk+MwfWeABD+EcJCH7BuHtD8AgdNPOtnbEQ/VzUsNoprPhOAUqvi&#10;Ev4Rw5teI9d084jmZzg2Ue5BY5P52s+CPM16gAs9JwCEfwSxMAdMNw/JLMyl85EAmH0xxH+ofhMA&#10;d+uOfSL84493vUqu6eYheUzH3wu0M5uZ9YywAAD+6DUBIPwjjIVHQN08Jo935PZ2ZruFzp9yiP/4&#10;a2HssZGtN6bHxobwj9sWLlbdPCiHkwA2tzMFmDXALACAGxyW5m6+MQn/CESvE6GbR+Wxpblv/jKA&#10;hckf5RD/cYvH23JbAuAz/Pt67wjcWHow1u3DMhvqztD8rjSL//1cRyiqtwSA8I9IliKAbh+Xx2qj&#10;5velfqBqVjeo6JvPBGDtjUn4RyhLFWC6fVweJwE0H5bTj1MNEwBxW08JAOEfsYwT//87ubw52yYA&#10;C7M/ynnSMwOf+kkAHly2MGv+EgxiKQDo9pH5zM6brgW89PMXwwRATOklAejl78A4ljrFdfvQnvSv&#10;c6HlUoBmVZEt/0g4d+cyMc8NnIR/hKOXi9LtY/N5i+7bFcctDf8UwwRATPPZM5cXOn22LXl/Awaz&#10;+AZ43SE4j5MAtkw32sqsR+SoZwZ+xU8AfIb/+xf9nMCvpel/vcV/pwnAY0ZDU9Ti71+Mnhm4ED0B&#10;cBr+mz1YIITFBWB1h+h8zgLMaGjKOukHqabRH4ggfCYAqdNzCP+IaHH8V3cIz2kCkNrQlKYfoxoW&#10;AMCsyAkA4R8hLc7/0h3ic9rO/HvTD2rCLBtiAiDmOb0xExIAs1k0WQj/WLLY/OsOHXDazrSZIreY&#10;AJbS5K9DJE5vzMUEwGdNEeEfi/Si+UN36IHP3ro28wDNHl2YAIglL4uPI00sJACEfwS1OP2vy/jv&#10;NgFoMFtnsQCkFCYAYpHT4pzZBIDwj6iWp3/pHn3wec+2mAZgtgBAp1cSioqXAPhsSl4J/1i2/PSn&#10;e3TC5137799xpqWpYjkDLIUJAFgWLQHw2ZBQbIMUy6O/ukcvfDYz9tMA7BYA4A2ASOA0AZiIqIR/&#10;BLZc/a179MJpM2N/8+rpq2ECIFI4vTNv3paEf0S2POFG9+jG6VH/VC9sS3eWU8BC3vXMwC1hEoCT&#10;2b2T5e8HBW5J6PzVXfrhdLax9dsA3vXstdzrmYGbgiQAQT4mMCGh+Et36YjfBOBoOFa+XAJaip4Z&#10;uO0UoV+d8I/gEubB6y49sZv7ls2uCnDxDVDF2C9ugKj8JwCEf0SX8Oynu3QlIf9pxew+TugDKoQJ&#10;gEjmPQFwGv7tnhsQX0L9iu7SF8cJgFUV4PISkKUwAQDpfCcATsP/5DIFwF8JJfC6S2d8tjIfrKoA&#10;9bzVmHVpoAc+b83PtJzwjw7o9XOD7tIbn63MB6O1AM2aMt4AhBw+b81zAkD4RwdShn51n+74bGU+&#10;PeuHrSFhEKgQPTMwx+eteX86JPSbNkD4R5aU0W/dpztOc/lP7wZFAAlFoIUwAQBZnCYAPucNE/6R&#10;Z3n1/wHiv+8E4L5+EUBKFlgGEwCQx25yaniEf2RK6fnVfTrkOgGovxRQyihQGUwAQCa75DQ4wj9y&#10;pfRj6T49OqV8Ec3UjpoJi0AXwgQA5CIBSHGkaw25khp+3alLflcCPqtdBKDnq4Y3ACAbCcCyY/1R&#10;QnQnqeNXd+qT7wSg8koAKcNAZeiZgUUkAEsI/1ghqfBbd+qU7wSg7koAdlXWtFPIRwIwj/CPNZLa&#10;fd2pV0mdIe3UXAkgKQ8sonotI3pEAjCH8I9VksredaduOW9kKr4OwO41iLVLGdEn5/dmU4R/rKNX&#10;0k26U7+cNzL1SnwPeqpqWAEYqzy5Hp5rifCPddKafd2rY84TgHrv9tQTVfOoZwaS+K7PaYfwj5XS&#10;wp3u1bO0b6SdWhMBkwaCiqj0B6B7JAC33LOkNlZKK/vSvbrmPQGoNBHwXc9TTbUxDPSOBOCvikVB&#10;6F3atG/dq29JUyJaqjIRMC0TLIECQKxFAqAI/1gv7XbSvTrnPgF4rXDP200AYAVgrEYCcI3wj/Ve&#10;9HK6TXfrnfsEoMIbAe3WPmAFYKxHAnCJ8I8NEh/6dLfuuU8AKiwGqKeoR88MpCMB+EX4xxaJg766&#10;W//cJwDlxwAe9QzVUACIDQ52U1WcI/xjk7TyvwHjf4AEoPQYgN0EgGprGGAIJxKAD4R/bJPYlaa7&#10;jcB/AnAsG0cT+4IKqPkeAwyABOCs1kogGEVi+d+Q8T9AAlC2BUisBSmAFYCxDQkA02iwWWqTr/uN&#10;IUACUHItoLSloIvQUwN5SAAI/9gqtctX9xtEgASg5GI6euh6CmYtGNPoCQDhH5sllv+NGv9DJAD7&#10;YmMAdi1q+cmLGM3YCQDhH9sllv8NG/9DJADHJ/3UK9lNAKD1wmYjJwDcQNgutfxv3PgfIgH491ym&#10;CyB1NGg7VgDEdie7hNUZwj8KSC3/Gzj+x0gAyiwFYLcC8MgXFMoJcXOWR/hHCc96YU3RHUcSo40p&#10;sRRAcnfQdqwAiBJi3JyFFSz5xchSy/+Gjv9B2pgSZYCp5SDblUhXgCA3Z1EUz6IMvbIm6Y5jidHG&#10;FCgDTM4HN6MHE2XEuDkLIvyjjPQFX3TPwQRpYza/ESh5PGizRz01sE6Qm7MUwj8KedBra5LuOZog&#10;bczjxmH19Atis62pCvAlyM1ZBuEfpaTfOLrncNK/qra2lQaldwhttjFTAX5EuTkLIPyjmPT1M3TP&#10;8URpY7bNBNSj1bMtUQEu2C1c0RjhH8Wc9OqaprsOKEoCsKm0Pj0j3IpXAKIcw4Grlgj/KCdjuRfd&#10;dURhEoD9i370ZHZ/41FPDaw3QgJQYIIP8COj10x3HZJddfxGx9VdAG96qHrWJynAH/0nAMdNI3uA&#10;yJjtrbuOKU4bs7YLIKNLaCv6MlFSnJtzHcI/yspY7U13HVScNmZtF4Aepx5WAEJRcW7ONQj/KCtn&#10;spfuO6pAbcy6LoBHPUw1vAIQZQW6ObMR/lFYzliv7jusQG3Mqi4AwzeqsgIQygp0c2Yi/KO0nFpv&#10;3XdcDxmjJq2t6ALIqAndihWAUNhToJszB+EfxeV09eq+AzsEamPyuwAMCwBZAQilRbo50xH+UVzW&#10;y95155GFamNyuwAy1oTaihWAUFyomzPRtiU9gVue9DKbozsPLVQbk9sFkNMrtJGeGtgs1M2Z5J5C&#10;GZSXtZqN7jy2g90yuQXkdQEYFgDyWIPyeksACP+oISuG6c6DO2V9ec3ljLTnzArZKLNnAkjRVwJA&#10;+EcNeQO9uvfogiUAGSOIhgWA73puoICeEgDCP6rIGv4n/qtTxuLJHjwntyO6Zz28AghV9JMAEP5R&#10;R9bwP/H/r5zlExx4TJ1ub9izkd4rAWQ4GFax1kT4RyV5zbzujXAJwL/3tMbE8M/iFUCoI9j43ATC&#10;P2rRa22e7g3btfKKSJsKaFgAyCuAUEkPCcCe8I9KMsu8dHechVtvfJ/Q457zWqiNHvXcQCHxEwCy&#10;Y1ST+eyqu+NDuATg3275mUJ3qShrZQIgQ/QEgPCPejLL13V3fIpXabxcB5h5aWxBAQCqiZ0AEP5R&#10;kV5uC3R3fImXAPx7X3jqzpsZsgmNHOqJnABwZ6CivNn/xP9pL/EamYU6wNxrYwMKAFBR3ASA8I+a&#10;cp/xdH/8iNjI3M8NAmS9GHKjha4IYItoq3R9I/yjqtyYpfvj18lwxnwxrzN1gIaLp1AAgKoi3puE&#10;f9SVt/g/8X9BxEZmZhDA8BWAtHSoK+C9+ax/A1BU9hCvHgBXDNfMKWdyEMDwr6EAAJWFSwDoE0Nl&#10;ucP/xP8F8RYCOJsYBMhcG2oTCgBQWbAEgPCP2nKH/4n/S+7izQM8DwLs9O/4oJtVND0KAZQRKgEg&#10;/KO2/ApvPQJUwIUAzm4uB2RYNf2u5wZKC5QAEP5RXX5vtR4Bf0ScB3h2Yzmg7OGh9Y56bqC4MAkA&#10;4R/15d8OegT8dTKsmy/qzzsBsstDN0h4IxGwkWFGuwXhHwbyJ3jrEXBLfl7lw1HanfzxofUoAICB&#10;/C7PBgj/MLDiDa96CNxkOHOuLJkLmJ8grra/OjFQRYiVAPe3inGAslZEKT0EbnuIWQWoZQCWHRkX&#10;pwXqiHJfvv4txgHKWjFOrYfAhKDTAM4uygAse0ufrr4/oLi7OKW5xz/FOEBZes0l0ENgSsD3AX77&#10;LQNYMUK0GqudoqqXFc87DWkxDlDUmuXd9BiYFHYawOVqAIa9GPfy/QEFnXZ6wbl3c00OoIw1c2H0&#10;GJhhOXpe2v5zPp5lDsOQJ6p5M8xky/m6C4Hy1nRQ6zEwx3L4vLiPEqQVJaKr0d+JSp4MJ7KURSEg&#10;6lg1uVsPglkx3wbw5VyCZFkAwDuAUcVdhDl/UygERBWrHk71IJh3WNPJ4sbxbU2N6FosAYwKXiIP&#10;w50dWRoL5a26LfQgWBBivZFpj5Ydpwx2orTTmionbx4ZGkNpq7qm9SBYtCrPGtLtlxADa512q1o5&#10;f2RdTmCjdSO7ehQsWzXQMiJmAKKoKKv9pWBNYJS0rl9Mj4IEoasALVHphHIeLMeuDOyZCoBi1hWm&#10;6VGQInYVoB2GOVFKoLV+kzEZEIWsmv1H/F8p8lqAhpgBiDJCT/mbQQaAIlYOSuthkCje6qMNMAMQ&#10;JfQa/c9YDgAFrHwg1cMgVU+1SNUwAxCbhZ/wP48FgbDdymikh0GyQ2flSDXwDkBs1Hn0PyMDwEZP&#10;ek0l0uMgXfClgCwwAxCbDBD9z8gAsMm62X/E/23WfuvjoLwJ6w0S/c/IALDB2r5oPQ6yUASwgBmA&#10;WGug6H9GBoC11i3+R/zfjCKAee/6hQFJBov+Z2QAWGf1a931QMhEEcA8/b6ABANG/zMyAKyxem0s&#10;PRCysRLAnCf9uoAlg0b/MzIAZFu5+B/xv4gnigCmsQQgMg0c/c+OrAmIPCsX/yP+l8HrAKaxBCCy&#10;DB79P5ABIMfKxf+I/4WcaLMmsQQg0t2tb8q68sptg1QnvXrS6aGwzuoCzO6xBCBS9bzOf679nX47&#10;wE1rF/8j/pdzoAjgtkf9poCbnoj+V/bUziLFht5nPRTWYiLgBMYykeCBlTT+eGT5LCzb8Oiph8J6&#10;TAS86U2/J0Cc3oj+Nz0yHRALNnT/E/9LYiLgLbwDCPNOO26cScdnOtAwZ0P3P/G/qBcmAt5A+4UZ&#10;TPhbwmQAzNiSPOuxsA1vBPyLAQBMYsJfCkoBMWX1u3/O9GDYiDGAP/b6HQGfHiiaTfT4QCEAbtn0&#10;yKkHw1aMAfxBy4UbKPrLctwxkIa/Nt1EejBstykh6xGzmPDHyzM9ZbleWRMIYlP3P/G/BsYArr3r&#10;F4TRMey/zp5cGle2PW3q0VACYwDXGADApQfuj9VYEQCXNnX/E/8r2ZaV9YaHFvx4Ybb/RgwD4Nu2&#10;7n/ify13NHK/GADAlztm+xdwT0aNDxsfNPVwKIX3AVygyxLne4JF/kthWUCcbbyh9HAoh/cB/OBx&#10;Bf+9vNInVhKLAmFj9z/xv6bDxuSsHwwADI+lfsp7ZEmAwW3s/if+V3ViltMXBgCGRs1fLe90Aoxs&#10;6xOmHg9lPdDufWAAYGBPpMEV0Qkwrq3d/8T/2lgK4AMDAKN62W19RsESOgEGtbX7n/hfH2WAZwwA&#10;DIlHfxuPTAcY0ebUWg+I8u42/0odYABgPC/PXPl2WBp4OHd6DWTTI6ICygB5CfBwThT8Wzu+HvRX&#10;QM+2r6WlR0QVlAH+o39yJAfm+jfx+MZ9No7t95geEXW8DP8w9KZfCXr18ka/fzvvjAMM4kl/+nx6&#10;SNQyehngvX4h6NMDo12NHXlB0BC2d/8T/+0cBp8JSMfkAOj394FFAfp3KnCr6TFR0ebZmqHt9OtA&#10;Z5jq78n9G3Nuu/agv/gKekzUNPRMwEf9NtCT09vg/VsOvT+QAvSrxDibHhNVnUbuAmByUrdODPo7&#10;9crSgJ066U+9hh4UlT0VGLQJ6lm/C/ThiUF/x46kAF160x96DT0oaht3MaCjfhXoAMHfPxYG6lCR&#10;4TY9KOobtguA55DeHJ5HvZajeXwmBejKi/7Cq+hRYWDULoBX/SIQ2YHl/UMhBehJmUoyPSpMDNoF&#10;QDVyNwj+ET1SC9CLMrefHhU2xuwCYGXSPtwR/MOiHLAL21/990EPCytDdgHc83qS8Cj4i+74yroA&#10;ob0UW2tDjwwzY3YB/LvfMQoZ1ong34n3BzLxmA7PpYI/8b+tIbsAPgqReD9JQCzy05f7NzLxaJ4K&#10;j7zp8WFp0C6Az1FIuiAjKdflCD8enykGCOP0UL7zTc8BW6N2AZy9UwwQBPV+/TrykoAIDm97/eVK&#10;0NPA2NBvBPh3z0iAdzWeOuALNTm+le71/6VngrmhXwrI84drhx29/mNgToBTL281B4n1bLA3dhfA&#10;2f2ObgB3Tk+vY2emw6EbwJt6D/5f9IRo4cBT1pEJSZ4cdlWGG+Ect6Ebh6oP/l/0pGhjxxjrRzUy&#10;fZDtvTDiPzRuw+ZOD0Z9b3piNPLC89aHPX2QLZ2eSq4ugqj2jMg1Y3kL6rnRzAMPXZ+O7yxM0sQd&#10;nf74xW1oz/oW1POjndOr/jrjOr4yDmmq0vxihEYqbsg69p/pZ0BLg08FFI/kADYOb+/0PX06fnwR&#10;3IYXyAEMtIj9Z/o50NZOf6DBPb4+0PjUROy/9H46HP/9uz8d2rTGbh3fqQeoplXsP9PPgsaoA/yD&#10;B5BKWjY8Hj2eY9zheH+ufqca54/9jnkBhZ2entvegvqB0NzIrwSYtt/d0fiU07zhcWj3eYG9fP6H&#10;apxb7hmTK+Xl4dWuzn+Kfii0x3qAE+6faXwKOFhNLg5l/+fSumvfPLvEYMBmdzsno276weABw4+T&#10;aHy2ON3t9j4aHmeON9+D+8Z3NeWewpx1Dh4e+3/op4MPDD/OofFZ4e6Nx/4pzxNjSy8GS7AGtt89&#10;/ek1waSXJ3cFN/oR4QTDj0v2zyQBiQ4PjPbP2M9cR0zJXXAkCUhwDv0eH+n0c8KNO5rsZSQBCwj9&#10;S44P+p1d49Ucy0gCpnkN/R/0w8IRBgHSkATcdEfoTzDV9f+LQYBE++cHanMunZNv3224fmJ4wkyA&#10;dPevzBD8drrbeSoycmyu6/8XgwDp7t93d3QFRLkD9XPDF2YCZDnud4M/gtw9OO5t9Gap6/8XMwHy&#10;7J/fBs3GT3dv3h/6L+inhzcPPHvketzvnsbLAg5Pu/cIjxx+fC34k4R63HzHcxYwTl9ArMj/Sf8G&#10;uHPinQCrPA7TF3B+5ify5/q74M886nFX2r/unpKGWcI63O1eo0X+T/qXwCEKkNY77p93d722Poe7&#10;XbgnDiceby74M4963A0ee7wRX+7eYqfe+gfBJZYi3aiz1ucQvd1p7LjTbzQJXXGbnW/EDgbnDne7&#10;Lm5A/bvgFAVIJRz3r7uHwEOSp7un3eueipCNXjMG/q/RFVfIfr/b3cXLA86J93tHXW7698Er5gIW&#10;9PiRB8TpD3i5e9o99/C84cF+U9ihK66o+/1zgDvxfP/t9h0WgOgfCr949ijuuHfd/Bw+m51+Hjcc&#10;eEye8zeFMoAa7vfvu92Tq1vx5e7ubffcY9j/oX8yPOPZo5r7c4fkw52DScunu3PUf+dpv4Zjzpy/&#10;KZQBVPV4Tsp3T43uxbu7u9056R7j9tO/Hr7x7FHf/Uf783Bn+Cxy+Ij5u33XzxoOrB/4v/bCagA2&#10;HvfnvHz3dlfvbny5u7t72J0z7kFi/iX9MuDcideRmDo3QK9fLVCxwsHT+WDnNud5P2Kj00raYr9p&#10;WA2gifv9/iM73310EJyl/6Yfd93duU//7HwgfkP9juAezx6NfbQcH48lnz5SgwnnIP/p/XMvsrdW&#10;HjeV/f3Fwpz+fKQHl3QDXNOLGgHwUgAgT/pS/+noikNwekkjBAoBgXRFyv7+ohAQsekVjSDofQQS&#10;vZYq3PiDwThEptczwqD3EUhQsuzvLwoBEZdezYiDqQDAkm2r/aVgMA5R6bWMSOh9BOZsX+0vBYNx&#10;iEmvZMRCBgBMqVH0fxuv50JEeh0jGsYfgVsqFf3fxmAcAtLLGPGQAQB/WEb/MyYDIhy9iBHRE+OP&#10;wKV6U/6mMRiHYPQSRkxUIAE/WkT/MzIAhKIXMKIiAwA+1J3wP++FwTjEoZcv4iIDAAwm/M+jHAdh&#10;6MWLwKhBxuhaR/8zMgAEoZcuQiMDwMg8RP8zMgCEoBcugiMDwKgenUT/MzIABKCXLcIjA8CIbJb6&#10;TUcGAPf0okUHyAAwGm/R/4wMAM7pJYsukAFgJB6j/xkZAFzTCxadOO2YDYgxeI3+Z2QAcEwvV/SD&#10;9QAwgL3j6H9GBgC39GJFT8gA0DkvM/7mkAHAKb1U0RcyAHQsQvQ/u3vXTw44oBcqevPEwwf6FCX6&#10;n/FmIDiklyn6Q/cjOvQeKPqfkQHAHb1I0aM7mh70pdUbfrd4eWZWLlzRSxR94uEDHYkY/c9YlwOu&#10;6AWKXr3Q9KALx91JL+44Tm9U5MINvTzRL5YEQnyPkaP/B+bkwAu9NtE1mh6E5nmpv3RU5MIHvTLR&#10;OaYDIqz9k17OUVGRCw/0ukT3DjQ9iCjahL95L6/U46A1vSoxAOYhIZpj1JL/adTjoDW9JjEEqpAR&#10;SeiS/xkP9/qXAob0gsQoHigEQAx9FP3dxpsB0JBejhgHhQAIINIq/2tQCIBm9GLESFgTCL51OOz/&#10;F6NxaEQvRQyGEUi4FX+tn1SMxqEFvQ4xHKYiw6V9x8P+fzEaB3t6FWJAL0xEgjevB71Me8d8QFjT&#10;axBjov8RjozT8X+N1TlhSi9AjOpAGTJ8GKvj/xqzAWBILz+M68TbgdDcEBX/c06U5MKKXnwYGrWA&#10;aOrxYcyO/2vchrChVx4Gx1xkNPPa+VI/6bgNYUGvO4CnDzTw+Maj/yVWBkZ1etEBPH3A3PuTXoRg&#10;Xi4q00sO+EAnAMw87gav+Zv0RCcAKtLrDfhCJwBM8Og/h9sQ9ejVBvxiTQBUxqj/MvriUMn/Siln&#10;tsRigxcAAAAASUVORK5CYIJQSwMEFAAGAAgAAAAhALaBi0fdAAAABwEAAA8AAABkcnMvZG93bnJl&#10;di54bWxMj0FLw0AQhe+C/2EZwZvdxGKoMZtSinoqgq0g3qbJNAnNzobsNkn/vVMv9TLM8B5vvpct&#10;J9uqgXrfODYQzyJQxIUrG64MfO3eHhagfEAusXVMBs7kYZnf3mSYlm7kTxq2oVISwj5FA3UIXaq1&#10;L2qy6GeuIxbt4HqLQc6+0mWPo4TbVj9GUaItNiwfauxoXVNx3J6sgfcRx9U8fh02x8P6/LN7+vje&#10;xGTM/d20egEVaApXM1zwBR1yYdq7E5detQakSPibFy1ZzKXHXrb4OUpA55n+z5//Ag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M12ljEZBAAA9wkAAA4AAAAAAAAA&#10;AAAAAAAAOgIAAGRycy9lMm9Eb2MueG1sUEsBAi0ACgAAAAAAAAAhAFC35S00vgAANL4AABQAAAAA&#10;AAAAAAAAAAAAfwYAAGRycy9tZWRpYS9pbWFnZTEucG5nUEsBAi0AFAAGAAgAAAAhALaBi0fdAAAA&#10;BwEAAA8AAAAAAAAAAAAAAAAA5cQAAGRycy9kb3ducmV2LnhtbFBLAQItABQABgAIAAAAIQCqJg6+&#10;vAAAACEBAAAZAAAAAAAAAAAAAAAAAO/FAABkcnMvX3JlbHMvZTJvRG9jLnhtbC5yZWxzUEsFBgAA&#10;AAAGAAYAfAEAAOLGAAAAAA==&#10;">
                    <v:rect id="Rectangle 15" o:spid="_x0000_s1027" alt="&quot;&quot;" style="position:absolute;width:106920;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moXwQAAANsAAAAPAAAAZHJzL2Rvd25yZXYueG1sRE9LSwMx&#10;EL4L/Q9hCt5s1i1au21atFDx2sfB45BMdxc3kyUZt6u/3giCt/n4nrPejr5TA8XUBjZwPytAEdvg&#10;Wq4NnE/7uydQSZAddoHJwBcl2G4mN2usXLjygYaj1CqHcKrQQCPSV1on25DHNAs9ceYuIXqUDGOt&#10;XcRrDvedLoviUXtsOTc02NOuIftx/PQG3OLFxsu8X5a7+Xd5eB/kdW/FmNvp+LwCJTTKv/jP/eby&#10;/Af4/SUfoDc/AAAA//8DAFBLAQItABQABgAIAAAAIQDb4fbL7gAAAIUBAAATAAAAAAAAAAAAAAAA&#10;AAAAAABbQ29udGVudF9UeXBlc10ueG1sUEsBAi0AFAAGAAgAAAAhAFr0LFu/AAAAFQEAAAsAAAAA&#10;AAAAAAAAAAAAHwEAAF9yZWxzLy5yZWxzUEsBAi0AFAAGAAgAAAAhACYuahfBAAAA2wAAAA8AAAAA&#10;AAAAAAAAAAAABwIAAGRycy9kb3ducmV2LnhtbFBLBQYAAAAAAwADALcAAAD1AgAAAAA=&#10;" fillcolor="#57c1a5" stroked="f" strokeweight="1pt">
                      <v:fill color2="#fbdc00" rotate="t" angle="90" colors="0 #57c1a5;2621f #57c1a5"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8" type="#_x0000_t75" alt="&quot;&quot;" style="position:absolute;left:26462;width:80403;height:75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2h4wAAAANsAAAAPAAAAZHJzL2Rvd25yZXYueG1sRE/LisIw&#10;FN0L/kO4wuw0VVCkGkUEUYfB8bVweUmubbG5KU2qnb83C2GWh/OeL1tbiifVvnCsYDhIQBBrZwrO&#10;FFwvm/4UhA/IBkvHpOCPPCwX3c4cU+NefKLnOWQihrBPUUEeQpVK6XVOFv3AVcSRu7vaYoiwzqSp&#10;8RXDbSlHSTKRFguODTlWtM5JP86NVbDXx9/vrS6v61Njxofmx8vbcarUV69dzUAEasO/+OPeGQWj&#10;ODZ+iT9ALt4AAAD//wMAUEsBAi0AFAAGAAgAAAAhANvh9svuAAAAhQEAABMAAAAAAAAAAAAAAAAA&#10;AAAAAFtDb250ZW50X1R5cGVzXS54bWxQSwECLQAUAAYACAAAACEAWvQsW78AAAAVAQAACwAAAAAA&#10;AAAAAAAAAAAfAQAAX3JlbHMvLnJlbHNQSwECLQAUAAYACAAAACEAygtoeMAAAADbAAAADwAAAAAA&#10;AAAAAAAAAAAHAgAAZHJzL2Rvd25yZXYueG1sUEsFBgAAAAADAAMAtwAAAPQCAAAAAA==&#10;">
                      <v:imagedata r:id="rId10" o:title="" cropleft="-695f"/>
                    </v:shape>
                    <w10:wrap anchorx="page" anchory="page"/>
                    <w10:anchorlock/>
                  </v:group>
                </w:pict>
              </mc:Fallback>
            </mc:AlternateContent>
          </w:r>
        </w:p>
        <w:tbl>
          <w:tblPr>
            <w:tblStyle w:val="Blank"/>
            <w:tblpPr w:leftFromText="181" w:rightFromText="181" w:horzAnchor="page" w:tblpXSpec="right" w:tblpYSpec="bottom"/>
            <w:tblW w:w="7937" w:type="dxa"/>
            <w:tblLayout w:type="fixed"/>
            <w:tblLook w:val="04A0" w:firstRow="1" w:lastRow="0" w:firstColumn="1" w:lastColumn="0" w:noHBand="0" w:noVBand="1"/>
          </w:tblPr>
          <w:tblGrid>
            <w:gridCol w:w="7937"/>
          </w:tblGrid>
          <w:tr w:rsidR="005213D5" w14:paraId="1A884E14" w14:textId="77777777" w:rsidTr="00955587">
            <w:trPr>
              <w:trHeight w:hRule="exact" w:val="3402"/>
            </w:trPr>
            <w:tc>
              <w:tcPr>
                <w:tcW w:w="7937" w:type="dxa"/>
                <w:tcMar>
                  <w:right w:w="851" w:type="dxa"/>
                </w:tcMar>
                <w:vAlign w:val="center"/>
              </w:tcPr>
              <w:p w14:paraId="7C734D6D" w14:textId="58539F6F" w:rsidR="005213D5" w:rsidRDefault="003F21EE" w:rsidP="00955587">
                <w:pPr>
                  <w:pStyle w:val="Subtitle"/>
                </w:pPr>
                <w:r>
                  <w:t>Department of Health, Disability and Ageing</w:t>
                </w:r>
              </w:p>
              <w:p w14:paraId="6E6E5730" w14:textId="083710B5" w:rsidR="005213D5" w:rsidRPr="00080F43" w:rsidRDefault="003F21EE" w:rsidP="00955587">
                <w:pPr>
                  <w:pStyle w:val="Title"/>
                </w:pPr>
                <w:r w:rsidRPr="003F21EE">
                  <w:rPr>
                    <w:sz w:val="36"/>
                    <w:szCs w:val="52"/>
                  </w:rPr>
                  <w:t>Improving Palliative Care Training and Outcomes in Aged Care Evaluation</w:t>
                </w:r>
              </w:p>
              <w:p w14:paraId="1A13D1BD" w14:textId="3CADE9A0" w:rsidR="005213D5" w:rsidRPr="00FA7DA6" w:rsidRDefault="002C24D7" w:rsidP="00955587">
                <w:pPr>
                  <w:pStyle w:val="Subtitle"/>
                </w:pPr>
                <w:r>
                  <w:t>Final</w:t>
                </w:r>
                <w:r w:rsidR="00351CEB">
                  <w:t xml:space="preserve"> Evaluation</w:t>
                </w:r>
                <w:r>
                  <w:t xml:space="preserve"> Report</w:t>
                </w:r>
              </w:p>
              <w:p w14:paraId="0561F889" w14:textId="3281C681" w:rsidR="005213D5" w:rsidRPr="005213D5" w:rsidRDefault="00351CEB" w:rsidP="005213D5">
                <w:pPr>
                  <w:pStyle w:val="Date"/>
                  <w:rPr>
                    <w:rStyle w:val="CommentReference"/>
                    <w:sz w:val="24"/>
                    <w:szCs w:val="22"/>
                  </w:rPr>
                </w:pPr>
                <w:r w:rsidRPr="00665DCD">
                  <w:rPr>
                    <w:rStyle w:val="PlaceholderText"/>
                    <w:color w:val="595959" w:themeColor="text1" w:themeTint="A6"/>
                    <w:szCs w:val="16"/>
                  </w:rPr>
                  <w:t>8 May 2026</w:t>
                </w:r>
              </w:p>
            </w:tc>
          </w:tr>
        </w:tbl>
        <w:p w14:paraId="7A28127B" w14:textId="77777777" w:rsidR="005213D5" w:rsidRPr="00955587" w:rsidRDefault="005213D5" w:rsidP="00260059">
          <w:pPr>
            <w:pStyle w:val="Date"/>
          </w:pPr>
          <w:r>
            <w:rPr>
              <w:noProof/>
            </w:rPr>
            <mc:AlternateContent>
              <mc:Choice Requires="wpg">
                <w:drawing>
                  <wp:anchor distT="0" distB="0" distL="114300" distR="114300" simplePos="0" relativeHeight="251658242" behindDoc="1" locked="1" layoutInCell="1" allowOverlap="1" wp14:anchorId="1A08B480" wp14:editId="37A90D45">
                    <wp:simplePos x="0" y="0"/>
                    <wp:positionH relativeFrom="page">
                      <wp:align>right</wp:align>
                    </wp:positionH>
                    <wp:positionV relativeFrom="margin">
                      <wp:align>bottom</wp:align>
                    </wp:positionV>
                    <wp:extent cx="10130400" cy="2160000"/>
                    <wp:effectExtent l="0" t="0" r="4445" b="0"/>
                    <wp:wrapNone/>
                    <wp:docPr id="6" name="Group 6" descr="Document title: Department of Health, Disability and Ageing - Improving Palliative Care Training and Outcomes in Aged Care Evaluation - Final evaluation report - 8 May 2026"/>
                    <wp:cNvGraphicFramePr/>
                    <a:graphic xmlns:a="http://schemas.openxmlformats.org/drawingml/2006/main">
                      <a:graphicData uri="http://schemas.microsoft.com/office/word/2010/wordprocessingGroup">
                        <wpg:wgp>
                          <wpg:cNvGrpSpPr/>
                          <wpg:grpSpPr>
                            <a:xfrm>
                              <a:off x="0" y="0"/>
                              <a:ext cx="10130400" cy="2160000"/>
                              <a:chOff x="0" y="0"/>
                              <a:chExt cx="10129520" cy="2159635"/>
                            </a:xfrm>
                          </wpg:grpSpPr>
                          <wps:wsp>
                            <wps:cNvPr id="4" name="Free-form: Shape 3">
                              <a:extLst>
                                <a:ext uri="{FF2B5EF4-FFF2-40B4-BE49-F238E27FC236}">
                                  <a16:creationId xmlns:a16="http://schemas.microsoft.com/office/drawing/2014/main" id="{834FF06F-E69D-DAD3-CEB8-3F95E1854C31}"/>
                                </a:ext>
                              </a:extLst>
                            </wps:cNvPr>
                            <wps:cNvSpPr/>
                            <wps:spPr>
                              <a:xfrm>
                                <a:off x="0" y="0"/>
                                <a:ext cx="10129520" cy="2159635"/>
                              </a:xfrm>
                              <a:custGeom>
                                <a:avLst/>
                                <a:gdLst>
                                  <a:gd name="connsiteX0" fmla="*/ 430372 w 10129520"/>
                                  <a:gd name="connsiteY0" fmla="*/ 0 h 2159635"/>
                                  <a:gd name="connsiteX1" fmla="*/ 6043295 w 10129520"/>
                                  <a:gd name="connsiteY1" fmla="*/ 0 h 2159635"/>
                                  <a:gd name="connsiteX2" fmla="*/ 8920003 w 10129520"/>
                                  <a:gd name="connsiteY2" fmla="*/ 0 h 2159635"/>
                                  <a:gd name="connsiteX3" fmla="*/ 10129520 w 10129520"/>
                                  <a:gd name="connsiteY3" fmla="*/ 0 h 2159635"/>
                                  <a:gd name="connsiteX4" fmla="*/ 10129520 w 10129520"/>
                                  <a:gd name="connsiteY4" fmla="*/ 2159635 h 2159635"/>
                                  <a:gd name="connsiteX5" fmla="*/ 8920003 w 10129520"/>
                                  <a:gd name="connsiteY5" fmla="*/ 2159635 h 2159635"/>
                                  <a:gd name="connsiteX6" fmla="*/ 6043295 w 10129520"/>
                                  <a:gd name="connsiteY6" fmla="*/ 2159635 h 2159635"/>
                                  <a:gd name="connsiteX7" fmla="*/ 430372 w 10129520"/>
                                  <a:gd name="connsiteY7" fmla="*/ 2159635 h 2159635"/>
                                  <a:gd name="connsiteX8" fmla="*/ 0 w 10129520"/>
                                  <a:gd name="connsiteY8" fmla="*/ 1729263 h 2159635"/>
                                  <a:gd name="connsiteX9" fmla="*/ 0 w 10129520"/>
                                  <a:gd name="connsiteY9" fmla="*/ 430372 h 2159635"/>
                                  <a:gd name="connsiteX10" fmla="*/ 430372 w 10129520"/>
                                  <a:gd name="connsiteY10" fmla="*/ 0 h 21596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129520" h="2159635">
                                    <a:moveTo>
                                      <a:pt x="430372" y="0"/>
                                    </a:moveTo>
                                    <a:lnTo>
                                      <a:pt x="6043295" y="0"/>
                                    </a:lnTo>
                                    <a:lnTo>
                                      <a:pt x="8920003" y="0"/>
                                    </a:lnTo>
                                    <a:lnTo>
                                      <a:pt x="10129520" y="0"/>
                                    </a:lnTo>
                                    <a:lnTo>
                                      <a:pt x="10129520" y="2159635"/>
                                    </a:lnTo>
                                    <a:lnTo>
                                      <a:pt x="8920003" y="2159635"/>
                                    </a:lnTo>
                                    <a:lnTo>
                                      <a:pt x="6043295" y="2159635"/>
                                    </a:lnTo>
                                    <a:lnTo>
                                      <a:pt x="430372" y="2159635"/>
                                    </a:lnTo>
                                    <a:cubicBezTo>
                                      <a:pt x="192684" y="2159635"/>
                                      <a:pt x="0" y="1966951"/>
                                      <a:pt x="0" y="1729263"/>
                                    </a:cubicBezTo>
                                    <a:lnTo>
                                      <a:pt x="0" y="430372"/>
                                    </a:lnTo>
                                    <a:cubicBezTo>
                                      <a:pt x="0" y="192684"/>
                                      <a:pt x="192684" y="0"/>
                                      <a:pt x="430372" y="0"/>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 name="Picture 2" descr="Text&#10;&#10;Description automatically generated with medium confidence"/>
                              <pic:cNvPicPr>
                                <a:picLocks noChangeAspect="1"/>
                              </pic:cNvPicPr>
                            </pic:nvPicPr>
                            <pic:blipFill rotWithShape="1">
                              <a:blip r:embed="rId11" cstate="print">
                                <a:extLst>
                                  <a:ext uri="{28A0092B-C50C-407E-A947-70E740481C1C}">
                                    <a14:useLocalDpi xmlns:a14="http://schemas.microsoft.com/office/drawing/2010/main" val="0"/>
                                  </a:ext>
                                </a:extLst>
                              </a:blip>
                              <a:srcRect t="-1" b="-10177"/>
                              <a:stretch/>
                            </pic:blipFill>
                            <pic:spPr bwMode="auto">
                              <a:xfrm>
                                <a:off x="270344" y="262393"/>
                                <a:ext cx="3958590" cy="172212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C827540" id="Group 6" o:spid="_x0000_s1026" alt="Document title: Department of Health, Disability and Ageing - Improving Palliative Care Training and Outcomes in Aged Care Evaluation - Final evaluation report - 8 May 2026" style="position:absolute;margin-left:746.45pt;margin-top:0;width:797.65pt;height:170.1pt;z-index:-251658238;mso-position-horizontal:right;mso-position-horizontal-relative:page;mso-position-vertical:bottom;mso-position-vertical-relative:margin;mso-width-relative:margin;mso-height-relative:margin" coordsize="101295,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HCZVCwYAAGoTAAAOAAAAZHJzL2Uyb0RvYy54bWykWG1v2zYQ/j5g/4HQ&#10;gH0YkFqSXxJ7cYosWYoCWRe0Gbp9pCnKEiqJGknHTn99H5KiQjsZIncBYpPmHZ+7h8cjj+dvd3VF&#10;HrhUpWiWUfImjghvmMjKZr2M/rq/OTmLiNK0yWglGr6MHrmK3l78+MP5tl3wVBSiyrgkmKRRi227&#10;jAqt28VopFjBa6reiJY3GMyFrKlGV65HmaRbzF5XozSOZ6OtkFkrBeNK4ddrNxhd2PnznDP9Z54r&#10;rkm1jGCbtp/Sfq7M5+jinC7WkrZFyToz6HdYUdOyAWg/1TXVlGxk+WyqumRSKJHrN0zUI5HnJePW&#10;B3iTxAfevJNi01pf1ovtuu1pArUHPH33tOzDwzvZfmrvJJjYtmtwYXvGl10ua/MNK8nOUvbYU8Z3&#10;mjD8mMTJOJ7EoJZhME1mMf4cq6wA9c8UWfH7k2o6n6a96nQ+G0+N6shDj/YM2rYIEfXEgvp/LHwq&#10;aMstuWoBFu4kKbNlNIlIQ2sE6o3k/MTE3YJYSTI2phkbINzzpRYK1B1B1ise0wXbKP2OC0s8fbhV&#10;2kVohpaNr6yzj4mmUaXmf4O/vK4QtL+MyGQcj09TsiVYFofUaR8o/RMqxaQgadKzjxh+hpEEGLN4&#10;MsbcA0BCrQEgaQByNsfmjscDQEKtASDjAMSTNAAlVBuAgijq1+QIlFCtW5HX12YaYA2nLdQaDDUL&#10;oIaHQag1GOo0gBoc1aHSYCQcUP1axQNCIZRPTtN5Ohu/vkjzI0FC+c791zdpuKkHc5aEWgehjUS8&#10;9omHFj4XsV3TJSO0CDUHfWzPvlYok+7DzIQzwXeRc1xuh5bJZK8oI3mEyslRykgKoXJ6lDL2eqhs&#10;8z6YGGY2tnCoPDkKGZsyVPaH4TBkbLNQeXYUMnZOqHx6lDJ2RKh8dpQyIj1Unh+lbII31EY/iDG3&#10;aF2sSlwFzSWwspdAHRFcAmVEcAlcGR26aKk2Ie6bZGsvN915XZi7jTsijUAtHvi9sKLahLzbbdYW&#10;b8GTSNWEol3e3JP1Ev67tZN2yXyApD9ijhX1LjnOPLr/fm7FEPnQvyHyAXUvi7PNqmS/8a8hiQmy&#10;7pnbaoES1tAS54Iimc9m86nNGwcDLmn7SNmbft93N1Fn4T5JL1nlca1tLqasPYG13dXY2Rm47qNm&#10;f1pWCcUdrolOezPuw9REd3BXVKIqs5uyqkxU2vKJX1WSPFDE/Grt0+eeVGXzcCOMlvcOGOaO6261&#10;tqUfK27mrJqPPMcdGeGe2nR/AEIZ441O3FBBM+6wp74ggL29hvXETmhmzoHfz91NYOq/Jwf83M7K&#10;Tt6oclvi9cruHOphnAX7yr2GRRaN7pXrshHyJc8qeNUhO3lPkqPGsLQS2SMqCClcgaladlNKpW+p&#10;0ndU4nKO2ECVjNFCyK8R2aLiXEbq3w2VPCLV+wbFzDyZTCCmbWcyPTWVkQxHVuFIs6mvBNYW5yTQ&#10;bNPI68o3cynqzyiOLw0qhmjDgI3zWCPtuc6VRh9DKHMYv7y0bZSlCLHb5lPLzOSGpRae3O8+U9kS&#10;01xGGtXfB+ELKLrwdQqW+EnWaDbicqNFXpoixsaV46nroJi7OG9LtsB/V9ui9ayqe/0NAFp6Y4h0&#10;7wj1oDlqKr9s2hPnb7kqq1I/2icF+GyMah7uSmZqO9N5KhBxtXAFIkYNKMEPGVcMTN6Dlp9/2l3+&#10;aj+uzY9lq/EwQihYwANGyWhVPZI1b7ikmmdkW+qC1DwrNzXBPSkvMzyecBNsHtSZAF5LdivYF0Ua&#10;cVXgzsUvVYsTzSyR4XZf3Hb37F9VZWu2uYnQzwC1a+fX1wx21MGLg5eFF9h3rxbXgm1q7Hj3DCN5&#10;Bf9Eo4qyVYjDBa9XPMMR+z5DhDI8AWkU1a0sG20MRi6Q7KM5kuHCCSRW5itOTu3NA6Nacs0K75o3&#10;3/FikhNZbf8QGaY01NooPXitSE/j8aQ7ImbpeG6vcUgY3ePDeD49m84R++bZAtf4NMF2M3D+7cGF&#10;sqnEu6A3FwgLdBDtvlj/j2xqVsZlU7sq6Nrotw86Fq57fDIvRmHfSj09kV18AwAA//8DAFBLAwQK&#10;AAAAAAAAACEARLoCmBO7AAATuwAAFAAAAGRycy9tZWRpYS9pbWFnZTEucG5niVBORw0KGgoAAAAN&#10;SUhEUgAAA7kAAAF4CAYAAACRjD74AAAAAXNSR0IArs4c6QAAAARnQU1BAACxjwv8YQUAAAAJcEhZ&#10;cwAAIdUAACHVAQSctJ0AALqoSURBVHhe7N0HdBzVvQZwmR5Ceu+NNKfHKbw0JYCJwPLuzNyZ2Z1Z&#10;gynGdAy2AdMscMfduNOMTQuG0HuTrd6b5W5IQgm99xLmnStZifx5pL2zO9uk73fOd96Lvf87dyVZ&#10;6NPuzBQVUUG4snLSt1c1nnf61Y2T71jTOOnFqxonvXpt0zmvrmo8/62rG897a3XjeW+taTr3rTVN&#10;k966pnHSWzc2nf2qzHVNZ7+4tvGsO25snHDO2roJw3BdIiIiIiIiooxZ2VAWuaKhrOKq+oufWllT&#10;9uGqxou8q7tS5q1unOytaZzsXdN0oXdN44XetU0XdOW6pvO965vO925oPs+7oflc729N53o3Nk3q&#10;ytrmc7ybms/2bu7KWd4tLWd5t7ZM7MpNzeOfua1pfOutjWechvsgIiIiIiIiCqSsrGyPZbUXX7Cy&#10;YVrbZQ1TvcsbpnhXNEzxrmy82LtqZzJZcm9rmeDd3pXx3h0tZ3p3tp7h3dZy6qN3NJ+x7J6W0z6H&#10;+yUiIiIiIiLaxZL6qX9aXj/l5uUN07wVDdO8lTuTLyX3rq6M8+5uHefd03a6d3fLyRX3NJ80Ep8H&#10;ERERERERDVILa6f/dHHdjL8vrZ/hLWuY4S1vmO4VSsm9t/U0797WU7372k717m87uf7B1hP+jM+P&#10;iIiIiIiIBrjT7jlt3wV1s05YXD/TW1I/01valUIvuad05YG2k737Wk+4/MH6Iz+Dz5uIiIiIiIgG&#10;kGUdMz+1sHZm66L6Wd7irgzMkvtg+0neQ+0neg+1jXnh3sbjv4QfByIiIiIiIipwcysveXNh/Wxv&#10;Yf0l3qApue0neg+3neA90j72g4ebj/0GfkyIiIiIiIiogJR1lu0zv2rO0/PrZnsL6mTBHbQl1yuX&#10;aRvz6gMtznfx40RERERERER5bO3atXvOrZvTPK9ujje/K1ksuY3ntV3TcOHqa5rPW3ZN4/njZW5o&#10;PveQrjROGi9zY+OkC29sOnv12saJbVktue3He+vax3jlbcf8q7Yj/gX8uBEREREREVGemV07d/7c&#10;urmeLLiZKrlXNpR1Xll/8aQra8//w4LycZ/EPaRq7Vprz1ubJwz7e+P4Mbc0j38kUyV3ffsYr6Lj&#10;OG992zF34x6IiIiIiIgoD8xoWPjr2RVz35xTO88LveQ2Tr39itppAo+ZLbfVj/vTHS3jrrm1ddzb&#10;YZbcio5jvcqOYz6obD/axWMSERERERFRbgyZVTfn5kvq5nmy4IZTcsteWl43ZZG11toTD5YP7moe&#10;d8Hdjac+GVLJ9apk2kb/q7x89H54LCIiIiIiIsqSmZUzvz2rdr43q3ael27JXVI3/f2ltVNuwWPk&#10;u7vbTpl9X/Mpr6VdcjuO9qo7RnvVbUf+FY9BREREREREGTajev7FM7sKbnold3H1lDcW1l5Q8Fcc&#10;XlVevN/9zSe/eHfjSR+mU3JrZFpH1RZ5RUPwGERERERERJQBF1fMfWFm7QIvnZK7sGrWK/Nq5n0E&#10;1y50nZ3WPve3n/BIOiW3tuMor7Ij/h6uTURERERERCEqKy/bb3rN/LdndBXc1EruvNpZG+bVlH0a&#10;1x5o7mgau//9rWNvTrXk1m040qtsif2nccNRf8G1iYiIiIiIKE1llQv+PH39wv9Mr1ngpVJyZ1dc&#10;8syc6qnfwHUHultbR3/yobax61IpuXUbRnn1G0Z5De3OIlyXiIiIiIiIUnRx1fyzp9Us9KZ3JXjJ&#10;XVA/a9BfTKmibcz3Hmgd83ZKJXdDwqvvcG7CNYmIiIiIiCigiyoXzptas8hLpeTOqZ79N1xvsFvX&#10;dszkVEpuY6frNXY4LbgeERERERERKbqo+tIbp9Qs8oKW3Nm1s1+fWjX1O7gedbvnnpJ913cc+2Tg&#10;krvB9Rrb4xvLyor2wDWJiIiIiIioH2U1i26+uOZSL2jJnV0zuxbXIn/r24+ZF7TkNm1wvMa22Ase&#10;bzFERERERESk5sLqRXfLghu05M6umF2Ca1H/7mhyPlvefPSHQUpuU2fcq+8QT+FaREREREREBC6o&#10;XHTVRTsLbpCSO+nBGZ/BtUjNWs/as7ol8U6QktvcGfcaN4h/4FpERERERES00+TqSy++qGaxF6jk&#10;Vsx7t8wr4zmiIahqS6wLUnJbOm2veYPZjOsQERERERENemU1i0rKugquesmdVjOvAdeh9FS1HjU3&#10;SMlt6bS8lo1iMa5DREREREQ0aE26a9mnJq9f8GGQkjujesGNuA6Fo7p91ClBSm7rxq6iG8V1iIiI&#10;iIiIBp3R5WX7Ta5Z4smoltxp1XOvxnUoXNWdCSdIyW3baHqtrdFv4jpERERERESDyjnr5r8ZpORO&#10;q1kwB9egzKjbOEoLUnLbNgqvvLx4L1yHiIiIiIhoUDi/cuHsC6q7C65KyZ1SteAWXIMyq7YlPjxI&#10;yW3foG/FNYiIiIiIiAa882oW/1IWXPWSO3cLrkHZUd/mnKRccjcaXusG7QJcg4iIiIiIaEA7b93C&#10;91RLbln1wteKioqG4BqUPfXtTrlqye3YqHs1NQd9BNcgIiIiIiIakM6rWPbI+dVLuwpuspJbtn7h&#10;WzhPudHYYW9TLbkbOqMv4TwREREREdGAc1bV4l+dV73MUy25J5eXHYBrUO7UdphvKJXcjZrXvnHk&#10;TJwnIiIiIiIaUM5at+hN1ZJ7QfWlGs5TbrVuNb+iWnI7N0W9tWuL9sQ1iIiIiIiIBoRJlUtvkAVX&#10;peReVHPpTThP+aGp0zpeteR2dpa+gfNEREREREQFr8wr22tS9fKugpus5JatX+R7Hm5Z08r9y2rm&#10;fXpazbyvzKiZd6DMJeXzfzWjZm5CZm7N3MS8mnkH7sxXZtfP/uK8mnmfXnTPafviWoNNmVe0x21V&#10;x36souWYzz3UetRXajqPO1Dm4cbEYVUdoxMylS2jhtd0jjqwK63mV1pazM892GR9oqysaA9cr7E9&#10;1qpUcjdFvMb2w3+C80RERERERAVtUuWiV9RL7vxfllUtXIL3yZ3elQXejNoF3syuzPdmdWWed0nd&#10;PG9ObXfm1s315tXN6cr8rsz2FtTN9hbWy1ziLaybcc+lVdP/WFZWtlt5K3SykN7fPGbY/a0nXPdQ&#10;+4new20neI+0j/XKu3K8t659jLe+fYxX0XGcV9FxrFfZcYxX1ZWjveqO0V5Nx2ivtuMor27DkV7d&#10;hlFe/YZR3m73yd0QW1uzSf+lasnduCni4T6JiIiIiIgK1pkPLf+KLLiqJRdvIRR2yV1UP8tb3JWZ&#10;3pL6md7S6ilvLKqe/viltdNH4d7z3R0NJxXf23Zq411tJ79yf9sp3gNtJ3sPtp/kyYKbsZIb4Jzc&#10;npK7cWNJwX1siYiIiIiIfJ29btmreV1yuzLDW9Yww1veMN1b1jDt/RUNF9cur51yBD6XXLu3ddw3&#10;72w+7eHbGk96497W07x7W0/17ms71ZMFN59L7qZNpXw1l4iIiIiICt+E6mU/PmdnwS2Ukru8YZq3&#10;omGat3JnlteUdV5WP+VofG7ZcmfLmUfc0TKu9q7WM7y7Wsd5d7eO8+5pO90rtJK7efPh5+FzIyIi&#10;IiIiKggn3bXsUxMqli2UBbfQS+5lDVO9yxumeFc0TPEury+ru6K+7E/4fMN2Y83JB97acubfb28Z&#10;793RcqZ3Z1fBLfSSO0K+bfnmrVtHfBufLxERERERUV46o2rZH8dXrHjhrOoVnsxAK7lXNl7sXfXf&#10;XHRO2dqyffBjkCrPKxpya/OZ4taWie/d1jLBu70rA6vkbtl0hLdl0+He1k2HvLt106GGfM74cSAi&#10;IiIiIsotr2jIuIrlzvjyJR9OqFrpTaxa2VVwB3rJXdV4kXe1TH3ZA6tayz6JHxZVq8pH73dT04Rp&#10;t7Sc5d3aMrErA7/klnjbNv/V2775r97WjQdP2batZNDf5omIiIiIiHKszCvbY1zV5eefWXWZN75q&#10;pScL7qAsuY1l3urGyd6qhvOeWNlUtj9+nPqysmns3jc2Tvz7zc1nezc3n+UN1pK7ffNwb8fmQ72t&#10;mw6+salp2N74cSIiIiIiIsq40ypWnDauatkHZ1Rd5rHkdpfcNY2TvatqL/hwdcP5/8CPF7qhaeLV&#10;19Wd/eFNXQWXJVeW3B2bD/G2bDj4w+2b/3IXfryIiIiIiIgyYkz5kp+fVrn87XFVl3tndCXzJffi&#10;6gWN02oWzJlaOfcPU2oXfres6pIvl5XP/eyctjkflenZW1l52X7yf5eVlx2wsHb6F2ZXzf7O7NrZ&#10;P51XM+u4udWX3LGg6pJ3M11yr2m60Lum8ULv2qYLZK7e9aNXVHR9w6Qzrq0958MbmyZ5a5vP8bJR&#10;ch9uGVvxSMuY4x7ecMzPHm486jsPdRz3hfLW0Z+8v23UR+9oGvvfV57l/25rG/XRyg73U7Ud8S9U&#10;bYh9p6bd/mVde+KMxk6nOhsl99Eth3iPbT7Y29ZR/J/HNv7h9F0/ekRERERERCEZe8fK/U9Zt3LL&#10;aZVXeKdXXeFlouSet/7SFyfXLJ55YfXCX5eVLzkA9xCmhbVTvntp7XRjUfWMBzJYcr1r6s5759qm&#10;SaXXNk/4xg21k57/W9O5niy4mSi597Wd0vlA60nH3N1+/E/Ky4v3wuccFrl2ywb7Z82d9mkNnWJT&#10;JkruPzb/xfvH5j9727cUv7S986ADcQ9EREREREQpO7nyimmnVl7hyYIbZsk9v3rxa+dXXzrt7Nql&#10;P8RjZltZefFeS2qm2Evrp5WHWXKvazrfu77pfO+G5vO8G5rP9cIsuXe3nLb57tZTj7+1dXTKF70K&#10;S1ub/vnWTv3M9vbIP8Msuf/c8mfvX1v+5D2+6fe34TGJiIiIiIgCOaFm+VdOqFzx8qmVV3rhl9yF&#10;L+Hx8smyhim/WFE79c6V1dP+k18l97SaO5pPG4n7zSftndG7Qi+5W/7o/WPzb9//15bf/gGPR0RE&#10;RERElNQJ6644+eTKq7xTugpu+CX33MolJ+Ax89Wyugv/eHndxZtzVXJvbR739G1N447HfeWrlo0j&#10;vpuJkvv4lj94T2z5vfevLQfdjMckIiIiIiLyVVZWtseYR6586aTKq7xMllw8bqFYWVd2R7ZK7i3N&#10;41rWdlr74B4KQSZL7pNbfuc9ueUg79lnh2b0vG0iIiIiIipw1oMrP3FixSpPFtwMl9wmPHahuaL+&#10;4gsuqyn7MOySu7Z+4oe3No6/EY9XaDo6I5MyXXKf3PJb78ntv/odHpuIiIiIiKjouHWrLFlws1Fy&#10;J1UtPQyPX5C8oiFX1ZeND6vk/r1x/B1r11p74mEKUUXFHz6XjZL71JbfeE9uHnYZHp+IiIiIiAax&#10;49evumps5dVdBTeVkntq+dJ3T69e9uPxlSvqVUquNUCKXI+y8rK9rmy44LJUS+5NDRObrqk77eO4&#10;bqFTLbmbNv3xS9s3HfJEqiX331t/7f17y8+b8fhERERERDQIHbf+qkdkwU255FZedkrPWqdXrXg/&#10;WcmdVLnolV13MDBcVXOBm2rJ/VvzxNm43kDQvmnk31RKbllZ0R7y8Ts2/vmQVEvu01uHeU9s+cUz&#10;uAciIiIiIhpEjq24evPxFd0FN2jJPb1yZdVp2xbt27OWtbZsH5W3K59bteSkXXdR+FY3XuCm+3bl&#10;m5omXILrFrpt20o+p1JyN2/+y/d7z+3Y+OfLUim5z2z9pffslh+/2XstIiIiIiIaJEZXrHpeFtxU&#10;Su6p1ZcdjOudXnv5F1RK7vj1c7+Gs4XsqtrJsdDOyW2eOAPXL2SeVzSkrX3kh8lK7vbNh56Ps//q&#10;+MOntnUWvxW45G77pffkxp/959lOXnmZiIiIiGhw8LwhR1Wsfue4itVdBTdIyT2x8vLHioqKhuCS&#10;0hmVy5eplFycK2RXNVw4MuyrK/+9dfzFeJxCtnHT4e8mK7nbNg9/Aed6PLbpTw8FLbnPbvu59+zW&#10;n3kvPfrtT+B6REREREQ0kHjeEFluexKk5J5cecU0XK43lasrT1i3/D84V6iurLmwOFP3yb2tZWIZ&#10;Hq9QdXaW3pWs5MqrK+Ncb//c/H+/e3TDH/4TtOQ+t+0nnvfUl/bH9YiIiIiIaIAYVb76xVRK7mnl&#10;l30V10IqJfecquULcK4Qraq/8JCVNWUfZqrkdmf8VDxuIaqs/MOn0i25kldevFcqJfffG4d+gGsR&#10;EREREdEAcMy61U3HVqz5b8FVKbknVa58e2zTyuSvhJWV7aFScs+uW5S0LOe7K+sv1K9qvNiTUS25&#10;V9ee+/wNTefcFKTk3tYywft7y5kD4mJUKiV3x+ZDfoJzyFtbtOc/N/3f40FK7vPbfuI9vXHogLyi&#10;NxERERHRoDW6fM3fZMENUnJPrLzqMfn2ZlzLz/iGpV9TKbmj7p/zUZwtJJfXl7lX7iy4qiX3mrrz&#10;nisrK+u6Rc71TZPWBim5t7dM8G5rHTcH91Fo1EruX1yc68tTW353VZCS+8K2H3vPb/nedlyHiIiI&#10;iIgK0JHrVk84Zn13wVUtuSdWXLke1+nPKetW/F+yknvOuks/xLlCckXd5COvaJjiBSm519Sd/1zP&#10;PWB73NA46ZYgJff2lvHebc3j5vZeo9C0tR/+QrKSu23jIUtwrj9PbPrNtCAl94XtQ70XtvzwTlyH&#10;iKiHro/6vGknvP6CMwOBsJw38Xn2jmHGa3GGiIgoZ46quPqnsuAGKbnHr1/1AK6TzGnrl09MVnIn&#10;VC97H+cKxWX1FyUub5jiBSu5578gb6GDa0k3Np19d5CSe0fLmd7tzWfMxnUKxYbNI7cmK7k7Nh/c&#10;hHPJPLX516cHKrnbf+i9sPX7p+M6REQSS65/WHKJiChvFJeV7XXUuis/CFJyT1h35UO4joozKlfc&#10;nKzknlO1/B2cKwQr6y+2LmuY6gUpuWsaJ72I66C/NZ59b5CSe2frGd4dracX5H10N26MrEpecg9N&#10;6YfHp7b88owgJffF7T/wXtj2lYI/N5yIwseS6x+WXCIiyhvOQ2teG73+mq6Cq1Jyj1u3ah2uoWrc&#10;+hX/VCi5nTiX7y6vn1qysmGaF6Tkrqm74Dlcpy83Np11T5CSe5dM87gpuE6+27RpxPGZKrnSU5uG&#10;zQlScl/a/n3P84r2xHWIaHBjyfUPSy4REeWFox5Zc50suKold0zlqo24RhBnVl3mJS251csuwLl8&#10;trTu4r/Ighuk5K5WeAUX3dg84c5AJbd1nHd32+kFdXuhjo4RwzJZcqV/b/nlpUFK7svbvvkarkFE&#10;gxtLrn9YcomIKOdi993wtZ6Cq1Jyj3v4irdwjaBUSu6kymWH4ly+WlxbFlmxs+CqltzLGy98oajI&#10;/xzcZG5qmnhToJLbOs67q+Xkgrq9UKZLrvT01l9UKZfc7d/1Xtz27RNxDSIavFhy/cOSS0REOXfU&#10;+mv/W3BVSu7o8lX74RpBqZTcc9Yt+wXO5aMldRc5yxumeUFK7hUN5z3b10WmVN3UNPGGICX3nrbT&#10;vXtaTp6H6+SrbJRc+UuGZ7b86E3Vkvvy9u94/9524OdwkYHCNM2v4A+rGMNO1OBcIRHCuR2fE0a3&#10;E7/GOSI/LLn+YcklIqKcGrVuzZ1BSm7instCuQCPSsnFmXy0tG7KUcsbpntBSq4suD33wU3XrS0T&#10;bwxScu9tPc27t+WU+bhOPspSyS3q7By6T5CS+/LWbz2NawwULLndYcklVSy5/mHJJSKinHHLV/38&#10;yPXXeqol96h1V0dwjVQNhJK7uH7q6GUNM7xAJbeu7LmwCm6PW1om3B6o5LaeWhCv6Gar5ErPP//9&#10;jymX3O3f9l7e8bVzcI2BgCW3Oyy5pIol1z8suURElDOjyq96V7XkHrN+dTnOp6PQS+7C+unu0voZ&#10;XpCSe2VD2UupnoObzK3NZ94VpOTe1yZzUl7fR1el5G7Z8sdv4Vyqnt78o7NUS+4rO74xIK+2zJLb&#10;HZZcUsWS6x+WXCIiygl33bVlo9Zf66mU3CPXrw79frWFXHIvrZuuLa2f6QUquXVlyrcJStUtzePv&#10;DlJy7287xbuv9aTpuE6+yHbJlZ7d+qMNqiX3lS1fbcb5QseS2x2WXFLFkusfllwiIso+zxsyav11&#10;nmrJxfEwFGrJXVh/8SFLugquesldkYWC2+P2lvF3BCm5XWk5eRqukw9USu62ew7cF+fS9fSmoR+o&#10;lNxXd3zNe23bAQPqIlQsud1hySVVLLn+YcklIqKsS6y/plK55K5bdQ3Oh6EQS+6ltbMOX1w/0wtS&#10;ci9rKJO3CcqqO1rO/HuQkvtA28neA20n5t3thVRKLs6E4bkdPzxCueRu/bx8C/qAwZLbHZZcUsWS&#10;6x+WXCIiyrrugpu85I4qX/0mzoal0ErugtoZscX1s7wgJXd5Xdlz6d4mKFV3tJ55fZCS+2D7Sd5D&#10;bSfm1VWXc1Vypee2/ahOqeTu+Ir35o7PDsP5QsWS2x2WXFLFkusfllwiIsoqt/zaraol98gHV38P&#10;58OiUnLPWb/kTziXC/NrZoxe1FVw1Uvu0oayZ8rKikK9inJQd7SecX2gktt+ovdg69iFuE6u5LLk&#10;Pv74Vz+iWnJf2vKl/+B8oWLJ7Q5LLqliyfUPSy4REWWV+9+C23/JPXpduFdTRkolt3rZBTiXbQuq&#10;Lzl2Yf0lXrCSO/XZXBfcHne1nn5TkJLbldYxi3CdbLvnnpJ9c1lypRe3/2C8Ssl9/dEvea9t+dzv&#10;cb4QseR2hyWXVLHk+ocll4iIssZet2azask1b5z3EZwPk1LJrVr6AM5l09yq2UcvrJ/tBSm5K+Q5&#10;uDl6i3Jf7mg57fYgJffhthO8h9uOX4DrZNOGDaWH5brkSqol9/VHv5DxvWQDS253WHJJFUuuf1hy&#10;iYgoK4rLV+0nC65KyT2q/OolOB+209evbExecpeFfusiVfNqZ8UX1MmCq15y5Tm4uE6+uKvl9DuC&#10;lNxH2sd6j7Qdl7P76G7YWDolL0ruY9/9rWrJfXPHJwr+3FyW3O6w5JIqllz/sOQSEVFWOOuvu1K1&#10;5OJsJoyrWLY8acldd+l7OJcN8+vmjJhfN9sLUnLlObi4Tr65q+WUO4KU3PL2sd669jEzcJ1s6Nh0&#10;RGeykrt10yH/xLlMeGbT9z9QKbmv7/h03v6SQxVLbndYckkVS65/WHKJiCgregpuspJ7VMXVU3A2&#10;E8ZVrjw8WcmdsG5Z1i/oM7d+1l/n183xgpTcZVXZv01Qqu5tO/WWICW3vP14r7xtTNZvL9TZOfLJ&#10;5CX34NtwLhOe7fzOgSol940dn/M+fPJjn8H5QsKS2x2WXFKVi5KL62Pw8ZnAkktERDkXL19Tolpy&#10;i8rKsnLBpFMrl/8sWcmdVL3cs9aW7YOzmTKnepY5r6vgqpfcpXUXyVfv8uoc3GTuaz3l+iAld137&#10;GG9d25is3l6os7PkrWQld9vGP4/DuUx5dtu331MpuW/u+NRqnC0kLLndYcklVSy5/mHJJSKijHMe&#10;uvotlZJ7ZPk11+JspoxuXfVJlZJ7Sv3irLwyNrtu9lGy4AYquQ0XPZNvF5lSdW/bydcEKbnrZdFt&#10;P+ZSXCdTNm6KeMlK7ubNxX/GuUx5ccu3f69Sct/Y8Zms/ICZKSy53WHJJVUsuf5hySUioozSHlz9&#10;GadXwe2v5MqLU+F8JqmU3InrFwucC9slNXPHzK2b21VwVUvukvoZz5Rl6VXvTLmv9cTrg5Tcio7j&#10;vPK2ozN+UTJJpeTuaBv+eZzLpOe2feNdlZL7xqMfK8XZQsGS2x2WXFLFkusfllwiIsqoePnq6Sol&#10;98h1q1/B2UxTKblnVy1/HOfCNKdm3nFzaud5gUpu3YznCr3g9ri/9aSbg5Tcio5jvcr2ozP6im7n&#10;psNPUSm5OJdpr2z/zpUqJffNbR9rx9lCwZLbHZZcUsWS6x+WXCIiyihn/fWeUsl9cHVW3hbc2xmV&#10;y6uTlVwZnAvLrJo5o2XBDVJy51VeXDAXmVJ1f/MJtwYquR3HeBUdR2fsPrpt7SPfzseSKymV3Ec/&#10;lZO9hYEltzssuaSKJdc/LLlERJQxbuV1n1IpuYn11+TkfrQTq1YcplJyxzat3B9n0zWrbo55SV13&#10;wVUtuQuqpj2N6wwUD7SdcGuQklvVcYxX2XF0Ru6j29l5+AfJSu62zYfcgnPZ8NL2b29RKblv7fho&#10;HGcLAUtud1hySRVLrn9YcomIKGPi66+bpVJyj1x/9R04mw2n1S36uErJPXv9ot/hbDpmrJt3xKza&#10;eV6Qkjunfmbe3wc3XQ+2n/D3ICW3quNor7rjqFBvL9TWNvyjnZsiXrKSu3XjwX/E2Wx4Yeu3daWS&#10;++gBjThbCFhyu8OSS6pYcv3DkktERBkjHr7+JZWSm8srBI8vX/JhspJ7TtWydTiXqikVc7VZtfO9&#10;ICV3QfX053GdgeqhlhP+FqzkjpYJ7fZCnZ0jR6uU3NbW4k/ibLaoldxPZOUHzbCx5HaHJZdUseT6&#10;hyWXiIgyprvg9l9yRz286i2cy6YJVSvfSVZyz6teFsp/tKdWzD9yZlfBVS+5s+tnF+xtglL1UPvx&#10;q4OU3BqZtiNDueryho2l76mUXJzLppe2fKtGpeS+9lTRZ3E237Hkdocll1Sx5PqHJZeIiDLCXr/6&#10;ryolN1Gx5jaczabxVSvGqJTcc2qXfxNng5hWNX/MzNoFXpCSO79q+tNFZUUD4irKQT3YOmZNkJJb&#10;23GUV9cxaimuE4TnFe3RuSnqJSu5WzYf2oyz2fTqtq+PUim5b+3YP6f/tlLBktsdllxSxZLrH5Zc&#10;IiLKCHvdtXeplNwjH1j9Q5zNNpWSO6lqyUKcU1VWPbd0RlfBDVBya6c/O9hewUUPd4y9IVDJ3XBk&#10;WkV3w4bo71RK7ub2P/0EZ7NNqeQ+esCzOJfvWHK7w5JLqlhy/cOSS0REGRF/6PrXVEouzuXC+PLF&#10;byYruam+ZXlqzbyS6TULvCAld548B3eQF9we5e3H3Ryo5G4YJZPSfXRbO0t3qJTclSuH7Y2z2fbK&#10;5q+/lazkvv3ox1L6ms0lltzusOSSKpZc/7DkEhFRRvyv4PZdcp3ya/6Fc7kwvmLF3Sol9+zaBYFe&#10;dS6rnvOn6TULvSAld658izLt4pGWY/4epOTWy3Q4ge6j29Q0bO8NGzUveck97D2czYWXt391OUtu&#10;YWLJpTCx5PqHJZeIiEJXXL5qP6WSu+7aQEUkk1RK7qTKJffhXF/KKmb/dFpXwVUvuXPr5jyF61C3&#10;ivbjbg5Schs2JLzGTmcOrtOX9g3RMSold+um4TrO5sJrj33xTyol953H9hmHs/mMJbc7LLmkiiXX&#10;Pyy5REQUOvuRa8tUSm68fPWvcDZXTi9f8m6yknt+9VKl/3iXVSz86dSaRV6QkjujdkbBnT+Zbevb&#10;jr0xWMl1vYYN7jxcx0/HRt1TKbk4l0sqJfftrfu+hHP5jCW3O3lWcvewLGsfw4idpFtOBe61dzQz&#10;sT6iJ3T5+KKiwjzlori4eK+DDjI/EjViMd10Horq9tv4PHd5zpbbaRjO+JKSkn3lxwrXyzSWXP+k&#10;UXKHyM+lEM55huE+j+v+d33DrdFNZ0yuPu8hGzJs2LC9RTz+K8NOLMfn2jvCct83zPjftVjiMDmD&#10;C+WRru9bQsR+J4Q7U35vwueC0YTzNyHiv5DfA3CxQiU/R5qIjzIstwmf73+ft+V26rodHzZsbOif&#10;T/mxNE1zqLDdxfJrB4/dE123XxVWYq6u618dSB9/GoDM9ddtUCm5OJdL49evWK1Scs+rWVKGs72d&#10;Xzn3D1NqFnlBSu70mrmy4BbkD4TZtr7j2NVBSm7jBtdraosvxnV6a2sb8WOVktvZediTOJtLKiX3&#10;9a0feRPn8hlL7s7/4OdByRXCuS5qu6/j3oJEWPHXdOHOxrXzjWHG1wor9rKw3A/xOQSNrltv6KZz&#10;JR4jU9ItuXJeM53/CxJcH4OPDxohRNJfgIddcjURdwwj8VKqXwPy34puOlfjuvlMt2IXpft1H9Xt&#10;/8hfBuhmfDiun2266RxjWPa/heW+g/sMmqid+EBY9j91Xf8SHidT8N8BBh/fH8N0mvsrlb6x3Hdw&#10;nVRomlMc1dzn5NfGbsdQTFS33xPC3WEYzndxfaKcMtZf/3yhldyxK1furVJyz69a0uc3gfNr5pVc&#10;XHOpF6TkTq+a+zQvMhVMRcfRqwKV3A2O17AhthzX6dG+IbJBpeS2tR3yC5zNpVcf/eJ2hZL7Ic7l&#10;M5bc7uSq5Jq2c5RhJPp89SqdaLbzpHxVBY+ZC5qmfUZ0/xCY8g/3KhHC/Yd8ZQKPH6Z0S65pJ8bg&#10;43MdIdxncJ8orJJrCPcunE03uh3fPny4/nk8Vj6IGo6Iau7TuOewYhixjuHDh38Uj5spuohPE1bs&#10;BdxHmJFlUbdiM/DYYcPjYvDxKBKJfEzX44/hnGrk1wWuqUq++irMeG3Gvqda8YK7JSINULFdCq5/&#10;yU2sX7MZ53JtfPWSfyUruRdUL/HOrV5yCM5eWDN/pCy4QUrutKq5T3uex4Kbgqr2o9cEKblNnXGv&#10;pXP3otvZWXxA+0bDS1pyNx7+Ps7m2qs7vjw9Wcl957H9vW33FMm30xUEltzuZLvk6mbiNPmbc9xH&#10;JiJfLdN1O6vPr8fOH/BfxD1lOvKHP9xLWFhy/ZOs5ArhrMGZsCPM+Ho8bq4Ypjsharvv4h4zFfkq&#10;aKllfR33EYYDDyzZ1xDuw3jMTEd+j5SvUuJ+woLHw+DjezOM+LX4+MAxY5fhusmUJBIfN4xY625r&#10;ZSiG5V6LeyDKKqWSW37dEpzLtTMrl+sqJfecqsUv954rq13w54t2FlzVkju9du6zLLjpqWgf/bcg&#10;Jbe5M+41dZrn9l6jrdOoUSm5mzeVrOk9lw9e2vrVP6mU3A+3FX0cZ/MVS253slVydX3Uj+XbFfH4&#10;2YgwnYZMnAPmx7Dd3+u6/QbuIZuJ2IkPNMsdhntLF0uuf/oquVHT/Yl8Kyo+PlORb50tLXU+i/vI&#10;Fs1y/hDG23dTjTDjD4Z4juUQYbr34TGyHcN01+LGwoDHweDjJfk9NGq7z+FjU4p51Fdw/f4IO75q&#10;tzWyFMN0Y7gfoqxQKblu+eojcS4fqJRcmfOqFnedM3R23aKvXlSz2AtScmdWzE76H3BSU9k66qYg&#10;Jbel0/aaOvSuKyTX1Bz0kbaNwlMpuXjcfPDy5i98U6Xkvr9j393eeZCvWHK7k42SK0R8JR43FxEi&#10;9mfcW4iGyAsE4TFzGV2Ph3qFdpZc//iVXN1ypuLjshXDcL+N+8kky7L2FGb8EdxHrhK13J/jHoPQ&#10;9YSOa+Yy8pVq3GO68BgYfHxJSeLjgc+77Se4fl8Mw/lBmMdNNfJiWrg3ooyKVN32MZWSG38gf66s&#10;3NuEqmVnqZTcC2uWvGOtXbvn5Or5HwQpuTNqF+TVxYsGgpqOo9YGKbktnZbX1jbyW82d+haVkrtp&#10;4+H1eMx84HUW7aNSct/esa/yrZRyjSW3O5ksuV2/+desfq8YnP2o3+5LlTwXdvfj5EeiIvZH3G+q&#10;WHL9gyVXCOcWfEw2I89VlKWk954yRdcTX8Lj50N0M34G7lXBEGEmHsS18iFRO/VzWP3g+phdH23t&#10;Geo7EixX6ZQs03by6vuF/BgUFxcfgPskygir/JpRKiXXKl/1RZzNFyold3JNd8q6Cq5ayZ1WO5/3&#10;wc2Qmo4jbwhScls3Wl7bRtNTKbmd9Ufk7deqUsndvs9ur2jkK5bc7mSq5Eaj0U/isYJG3lInarsv&#10;Cst+Vgj3KflWOXnhF/l24HQuOqLr8S2431TJ8+Zw/VQS0dx35RWi5cW4hLxqq3Cfkv9/9/NP7y2g&#10;JeYxn8N9p4Il1z+9S65hxu/Ev08WuX7X533n59wwLHnl5bQ+5zKZvpOCvLgbHjNo5FVx//t1L9yn&#10;upPo/trX0rvielS4D+Ce+7FHxE68hWsEjfy+JK9+Lb9P9TwneZGl7n/X8dfSuQqwplktuOlU4dqY&#10;Xg8dErXd8Apu98co6XVyTCv+d5wLErnnXb6uLPvfPZ+DdP9tHXKI9hncL1Ho7EeuXaxScnEun5xV&#10;uXRR2CV3eu0C3gc3w2raE2vCLrmbNh2xA4+TT1RK7juP7ZfX/956Y8ntTiZKbklJiXxrW0olVIjY&#10;3ar3vpXn38nzAKO2+wqukyy6Ht+I6wWlm/GDcd0g0S3nItXn2n1/0bF7C+EswHWSRf5gjYulgiXX&#10;Pz0lVzPc1fh3fum6gq5uJ1Tu/TpU3jfajE/HNVRiWO5VuF5YNC357Z36jiyAzg/k25xxXT/y42RY&#10;saW7r5M8qm8zTfY57i/yFjqmaX5L9fnIx+l24qBUzt0fOdI8ENdLBa6L6XlcKhd6iliJfworMVWP&#10;jxreE2G5p+s7fwFkGP1fdEpeNRvXVEnUdt+S/z1Q/DwM6bq3sZ24AtdJFvnftuLi6CdxQaJQxR65&#10;/o5CL7ll5WV7hVlyp1UtkG9pUfmBidJU2+5cGWbJbWk5NK/v0caSW3hyUXIPO+ywTwd9tcLoeiUr&#10;vXsUyh+ETdM5BtfuL0K4M3GdoORFrXDd/iJE/JTS0tL9cZ2gIiL+C1y7vximOwvXCCrdkit/KSGf&#10;e5Dg+hh8fNCYpvkR3CdKVoBkyTUM+/f45xhDuI+PHBn/Aq6vStO0H+KayZKJC1FZlvUHPI5KhHAN&#10;xQLSJxHw617GsGKX4zpIiPhPca6/CBHfWlqa/hWdi4utA0TAqzfjGqkQVuJRXBePEYmY38c/7ysR&#10;Meq3YVz0y7RSeCeEcM476KDk/477I6/OLd8Sjmv3FXn1a1yDKFR2+ZoXC73kSmdVLJ0cRsmdVrXg&#10;bd4HN7vq2hNVYZTcjRsPT/r2nVwbjCV3MCTskivfYozH6C8jRfynuEaa9jDsxGV4nL4SMexDcYGA&#10;hiR7m2NEcz+IilgmLso2xLSch/B4fSXdH0LTLbmpwPUx+PhMUCm5yW6LZRj2n3DdVAlb/ZZEuuVU&#10;4Hw6ZJkI/EusmDMO10mXLtyJeJy+ommOvD5J0p+NDDN2HM5iDCt+Q3Fx8X44my4h4r/CY/UVYTlT&#10;cT4olZKb7Hu5/Hv5ywFcO1XCci7EY/QXYTmXyO/3uE46IqY5VJ46gsfyi6Y5/8J5otAYD13/0kAo&#10;ucXlZXuFUXLHNq1M+tYnCl99h/NkuiW3rW3453HdfMOSOzATZskVlrsN1+8rQsTTfhW1P7pt/xqP&#10;2VdU3jban+Li0fvhmj0xzHgZPj5spuksweP6xbDcpTgbBEtu8Mjza3e+JT1UuulcicfqK+n+cqO3&#10;IOczyreCH3qo9QlcIyzRaPSbeExM0HcwCBFfhmvsfC7/iETiX8bHh0lex0D1NA+cDUoI9wFcs3eS&#10;vTPBEO6luGY6dN0+CI/RV7qu1RDN7NuF5f3G8bh+MWxnEc4ShcIov/7VgVBypYnrl4l0Su6E++d8&#10;FNek7Glsi7+WasndsGnkPbhePnp1+5fqWXIHXsIquYbpluHafum6h6vp/AbnM0HTtM+o3H5CM91G&#10;nA1KvrrT+wfUiOW+MsI0A90LMh2a5bTg8/ILzgXBkhssQjiP41ph0vX4Y3hMvwiR/it/knxVGNfu&#10;K/KetTifKRHN3e2dFDvPe/4lPlaFZrmNvdcyzPgu97zPJFmk8bn4xTBdF2eDSFZyhXAfxz/rSTTq&#10;HIHrpUvl+7SMbjkP4WymGMK5C4/vl0wXbhqkBlLJlSZWLXs9lZJbVj0n718FHAwaOpz3Uym5nV74&#10;v+XPBJbcgZkwSq48zw7X9UtUt94uLS0N/RzB/kTiaj80jhiR3jnBkqbFus6Z1C23Dv8uG1TeRqqZ&#10;TjHOqWLJVY9huM/jOpmAx/WNFXsZ54KSF4rabd0+IszYHTifab3fWisLGv59UFGr+2J2hmFk9Z7D&#10;km459+PHFBPVnOdwLgjDclfgmiqJRq207kHsR7fcajyOXwwz0e8FqzJBmPEq3AeGb1umjBhoJffc&#10;hxZ+IWjJvahq/mpch3KjvtP6edCSu3HjyItxnXzFkjswE0bJFSLxDK6LkQUsV7de0PW4jvvBhFVK&#10;DMMN7dzLoHThzsbnhRGmm3IBYclVizwHG9fIFEM4N+Hx/YJzQeF6fUUIdxPOZoM8V7jr+HZ8Ff5d&#10;GtK6SFY6VN62jDNBpFJyM/G9zTTNT+Nx/CJEfCXOZkuyc5NlsnVfahpEBlrJPXvdsleDltyuV3LL&#10;y0I734ZSNiTVtyt7XrgXTsgUltyBmXRLrjzfD9f0i2EY38DZbDKMRNJbYYwY4X4K5woNPieMvIcn&#10;zqhiyVWLiMUOwzUyCY/vF8Ow/4JzqnQzPhzX80tYt6qirhK6Dj++GPnqOs6pEsL1Pfe4rxiWswDX&#10;CIO8nzAeC6NZbjvOZVM0Gkt67re8jR3OEaVlIJXcc6pX/Cmdc3LHNo1N68IplJ6GDeZLqZbcTZtK&#10;r8X18hFL7sBMuiU3arsf4Jq7xXTG4Fy2yXNmd9sXJKK5ab0FMB8I02nD54XBGVUsucljGG7Wbzsm&#10;LHcz7gNjGO4NOKcqaieS/xuXUbgdE6mRt1Tb7eOLn1Mz9atWG6ZzFq7XX3A+DL/7XeRjeBy/qFwZ&#10;O9OEcO7FfWGGDh1aEKeeUYEYKFdXlv+A07668vq5b+KilB0NHYlt6V5dubPzsE/juvnmxc1f/oAl&#10;d+AlnZJ78MiRX8D1/IJzuaLy1s6wb0mRbboZPwOfEwZnVLHkJk9JScm+OJ9phumchPvAyF9+4JwK&#10;zXT+D9fyi8jQK32DGX6MMYblXoUzqoKU3EO0zJxmonKrntJSI+VXq8N00EEHdb0dvt/k6FoMNEAN&#10;mPvkVi0/M+2SK++TWzP/KVybMqtmQ+LuMO6Tu2lTaSuunW8G4y2E5FU2R46Mf6FQI0z3PnxOmHRK&#10;riHcrbgeJpO3EAmquLT0s7g/jLDcM3GukJQaRtILBOGMKpbc/iOEswZns6HnfNT+ErFTe5eCMJ1m&#10;XAsj7xGMc5S+iO2+iB/r3pFvacYZVaolN6xrFSD53wU8Fkb+9wXncknl+wDOEKXMXnf9ukIvufJ8&#10;2nN2Ftx0S+50WXSr56f021oKrqZ11ML6DaO8kEqut3HjETk9ZzGZwVhyDTuR9bcehkkI53Z8TphU&#10;S67KubjCsp/AuVzDPfoFZwoNPh9M1HJTukIqS27/KSkxP4ez2YJ78QvOqMA1/GIIvoqbCcKMr8eP&#10;de/oenw7zqhSLbkluv5VnA2DEM51eCyMPMUE53KptNT6Ou4RIx+Dc0Qpscuvu6LQS+7EqqVTwyy5&#10;02sWeFOq5uX0JP3BoKrNWVC3YZQXZsndtOmIFjxOPmHJLTyZLLlCxA7DtTA4kw9007kS94mRt0TC&#10;uUKCzwfDkhuMSsnN9auZQrhP4Z4wOJOMELFSXMMvOEfhECLRbxEUIvEPnFGlUnLlVYVxLix4LEye&#10;Xh9hCO4TI0R8IQ4RpcRaf+2JKiXXrLgyZ79d7ZdXNEQWXKWSu37Bh6old0btAm9GzdwteDgKR3Xr&#10;UZfWbTjSC7vkbt48wnty0yEZOfclDEold9s+VTiXr1hyu5NyyU1ygSNdt97AmXwwfPjwj+JeMSNH&#10;mt/CuUKCzwfDkhuMSsk1zfgFOJdNQsSv2G1PaX6sTIX7tRqGW49zFA5huZfix7t3Ml1yhXAfxrkw&#10;6Lr+VTwWxjDcrN+fWEVEc1/HvWJwhigl+vprvqRScp2HrvsNzuaDMyuWnK5Sci+sWND1G+Kymvkf&#10;qJbcmbLo1s5/Eo9J6anpGHVZbcdRnmrJrW81P2zYEP1aS6d4VKXkbtl4eDkeMx94XtEQlZL79qP7&#10;zsLZfMWS251USy6ug9HM+IM4kw+GDRu2N+4VY5huTgtLuvD5YFhyg1EpuZGIORTnskk3nRNwTxic&#10;SQbn/WKYsRjOUThyXXI108nIz86maR+Fx8LgTL7IxDsmiPqkUnLj666xcS4fTFy3+EOVknt+9YKu&#10;G3CXlS/4ZJCSO7N2vje1dt5reFxKTWXrkTfUdIz2gpTclnYxWs6WlRXtoVRyNx2Rl98gX9nwue+o&#10;lNx3Ht1nJM7mK5bc7qRScg87zPw0roOJiPivcC5f4F4xmuYU9C8I8flgWHKDUSm58hx1nMsmTbhR&#10;3BMGZ5LBeb/gDIUn1yUXZ8IizyXGY/VO1HZfxJl8oZvuzbhfzCGHZOZq1DQIqZRct/zaeTiXaxOr&#10;lh52VvWKroLbX8k9p2rB673nzq9ZVBKk5M6qne9Nq5r3dO81KLjK9qNuqO4Y7QUpufVtYnHvNVo2&#10;GM0qJXfTxpKUbwuQKS9t/dIfVUruh9uKPo6z+YoltzuplFzdjI/AdTA4k0+idiLprStwJluESBxm&#10;WM4kTTjXCeFuElbin/LVg6jtPqfr9hsyKrfe6C8sucGolFycyTZdT/wa94TBmf6MULhPa9A1B5No&#10;1Pq5sNxTDMtdbRixVlns5L9l+e9YWLEXev4t48czSAq15OJxMEK4O3AmXximOwH3i9F1+yCcI0qJ&#10;SslNlF+TdxdimlixfLtKyT1v/aIozk6uXuAEKbmzaud5M+rmbsN1SE1l2+irqjqO9oKU3KbO2M24&#10;TkfHiE+plNwtm0pyegETP6/u+Op0xZKb9XtEpoold+d/kFMoucJypuI6GJzJJ/lQcg0jFpPnvMkL&#10;rOCxMx2W3GAKoeRGY7Gv4Z4wONMfXbhn4jwmU+dsFhJ57qgQiVXyF1L48cl0MllyDcN6CWfCgsfC&#10;aJabdz+z91C5b7RuxiM4R5QSe911LyQrufl4hWVZcJOV3POrlryDcz0uqru0q+iqltxL6uZ5s2rm&#10;bsB1qH/r20Yvreo4xgtSchvb43/DdXq0boxuTl5yD/e2bDn4pzibS69u/8pjKiUX5/IZS+7O/yCn&#10;UHJ1hQvSFHrwOacrEol/2TDc1em+ChtGWHKDKYSSG4nHv4x7wuBMf0zbvRHnMYbpTse5QWCIYTon&#10;JXvLbTaSyZIbtd2MvANQ07TP4LEGWgy7sK/pQHnEXHfdhkIrueMrVyxVKrmVl/Z7EZ+y6oXxICV3&#10;Tu08b07V3Lz9DVm+Wd9+9KLKroKrXnL7K7jSxo2R3yqV3I1//RfO5tKrO77mJSu5r2/9SMZuN5AJ&#10;LLndSaXkarbzL1xnoAWfcyrkRa4M0y3DtXMdltxgkpVczXJzfvu3sEuuYbs1OI/RrEReXu8kEzTT&#10;KRaWuw0/BrlMQZZcyx2GxxpoMSz3cnzeRCmxyq+5RKXkxh+6Om9eGRtfvvhNlZKLc37KquebgUpu&#10;7TxvbvXcjbgO7Wpd6zGXVnQc6wUquR27v0XZT8dG7f1kJXfrphKlz382yCsrq5Tctx7d53mczWcs&#10;ud1JpeTiGgMxw4aN3RuftzprT8O0F+Ga+RKW3GCSlVzDjNfiTLaFXXJ1Pb4R5zGa5fwB5wYaXbd/&#10;HbXdt/C550MKsuQKV+ney4UcIRL9vthBpKy0/LrPqpRc55HVc3A2F8rKy/aaWLWyq+D2V3LPrVqi&#10;fCuZKVULIoFKbt1cb07dnJS/OQ505W3HrqzoOM4LVHI7nHtxnb60d0ZOUSm52zr+XIyzufDq9i//&#10;n0rJfXPHPuNwNp+x5HaHJdc/mnZkSlfI1Ewz6TlbuQ5LbjCDseQK4W7FeUw0Fvsmzg0UlmXtYwj3&#10;GXzO+RSW3PwMSy6FSqXkJspXP4pzuTChavmtKiX3nMp5P8PZ/kypXRAJUnLn1c2RydiFBQpVefNx&#10;165vH+MFKrkdwX7AWbmyaG+lkrv5sLy4ANUr27++UKXk4ly+Y8ntDkuuf1IpuZm++ExUt/8TtRMf&#10;yAtnQd7qHZzDsOQGw5Lrn4FacqPR6DfxuYYd+e9YWO77/f07ln+Pc73DkpufYcmlUIn117+RrOSO&#10;Wn9toG/wmTKueslrKiUX51RMq1moByy53iWVs17FdQarda3H3rSufYwXpOTWtcUfxHVUtG8Y8Wyy&#10;krux47APPa9oD5zNtud3fP19ltzCxJKbeoKW3HRvB9ITQ7hbdeGeLgtlNBr9ZGlp6f5B3zqNa2JY&#10;coNhyfXPQCy5hukeh88z1QiRWGnY9p9M0/z08OGjPrrz3/EQPGZfcnmfXJbc1MOSS6Gy1117r0rJ&#10;NSqv/DbOZtuEqpWeQsm9AudUTaufZwUpufPr5nhzay/Jq4sc5cLDrcfdUN5+vBek5Na0ubfiOqra&#10;N0b+lKzkbtv8V29T2x++h7PZ9sqOb3jJS+6+z+FcvmPJ7Q5Lrn+ClFx5uw2cV4l8pUaI2HnyNiS4&#10;ZjrwOBiW3GBYcv2jWdYwnCtkmuGcis9RNbrpVAsR/5VlWQfguqliyS3MsORSqOzKNSNVSu6oddfe&#10;hLPZdFblSkul5J5bfekPcDaIqVVzY0FK7vy62d78uks24zqDxcOtYy4vbx/rBSm5Ne2JG3CdIDzP&#10;2lOl5G7bdGg9zmbTy9u+bqqU3Le2f/QunM13LLndSaXkRjX3aVwHgzMDlRDuU/jck0VYztxDD7U+&#10;gWuFBY+HYckNZjCWXJWrK+tmfATOFSrTtOP4/JIlYtmP6rp9EK4VlgFZchWurmyYrotzRIOaSsmN&#10;P3ztaziXTeMrV7yjUnJxLhXTa+bbQUrugrrZ3rzaWYPuProPtB639JGugqtecqvaRl2H66RCpeRu&#10;3/zXUL4eUvXy9m9UqJTcN/5R9EWczXcsud1JpeQKM74e18HgzEBkmE6gKyjrwp0Z5O2KqcLjYlhy&#10;gxmMJde04nfiPMYw42fjXCGSbyPG59Zf5C/5Rprmt3CdsA3EkqvriS/hsTCG5a7FOaJBLb5+9evJ&#10;Su6R66/1isvL98LZbDm9fMV/kpbcqqV1OJeq6dVzzCAld2H9bG9hwyWduM5A9UDbCUsebjvBC1Jy&#10;q1tGhfY2lA0bRx6nUnLr6n7zcZzNlpe3f9tTKbk4VwhYcruTSsk1TGcOroMpLi7O2ffabCgpSXwc&#10;n3NfidpuVt/Oj8fHsOQGMxhLrmY4k3EeI0xX6bZ5+c4wnQ343PqKrjsn43ymDMSSK+GxMEK4KT8v&#10;ogEptv66uSolN7H+mjU4mw3HVl3yMVlwk5Xc86sX/Q5n0zGjavb4QCW3/hJvft2MHbjOQPNg+4nL&#10;H2o/0QtScmvajkz5HFw/ddtKPq5Scrd0HpqTexG+uPmrf1Uquds+1oGzhYAltzuplFwhXAPXwURN&#10;dwLODSRCuHfhc/aLfNUbZzMN94BhyQ1mMJZcXbd/ifOYiOa+iHOFRt4qCJ+XX6Ka+66u65/H+UwS&#10;wl2M++idAVtyTecdnCEa1PS/r/m8Ssl11l3zNs5mw/jKJX9QKblnVV3yMZxN16za2RcHKbmL6md5&#10;l9bPegbXGSjubz9xtSy4QUpuZctRD+M6YejsLPkgWcndvunQa3EuG17e/u02lZL79qP7H4ezhYAl&#10;tzuplNyR8fgXcB2MsNxtODeQ4PP1i67HN+JcNuA+MCy5wQzGkivhvF9wptCYZiLpqRddMc3P4Wym&#10;CeHcsts+eqVQS65hxV7G42FwhmjQUym5R+XoVkLjq1ZUqZRcnAvLzJo5k4OU3MUydVMG3G/THmg7&#10;8ZYH20/qKriqJbeidXTGXolpax/5TrKSu6nj0A9xLhte3v4dT6Xk4lyhYMntTiolV8J1MMJyc/J1&#10;mw1REfsdPl+/4Fw2DB06NOkrUyy5wbDk9p1S3f4lzhWSqGa9jc8JY5jOeJzLBvlLMtxL7xRqyRWW&#10;eyYeD6OLuLx+ARH1cNdfN0ul5I4qX5P1t9iM31lw+yu551Quy9g3FemS+jnnBCq59TO9hfXTn8V1&#10;CtUDbSfd8kDbyV6QklvRevTtuE6YNm4sPStZyd2+eXjgH07S9fK27yxSKblvbP9EwV6VmyV35w8T&#10;KZZcIZzHcS2MpsVyfgusTDAt5358rhgh4itxLhuEiP0Z94JhyQ1msJZcw3KbcI3dYsVvw7lCstvz&#10;8Uk2LhbnJ6rb/8G99E6hltxoNPZNPB4mornv4hzRoKbfL9+ynLzkHvXQVR9anWv3wflMUim5E6uW&#10;H41zYbuk5pKzgpTcJfUzvUtrpj6K6xSa+1pPWnN/2ylekJK7rv3otG4TpEql5D7eedCncS6TXtj4&#10;jXdUSu7r2z8ew9lCwZLbnVRLbtSwR+JamIideAXnBgIh3B34XDHRqPkTnMsGw3IW4F4wLLnBDNaS&#10;K0T8dFwDI4sYzhWKYcNK98fng9H1+HacyxbcC6ZQS66Ex/NLJm+zRlSQ4uuueSdZyR29/hpv9LrV&#10;l+NsphxbdcXHVEruafcsyso5H3Nq50wIUnKXyqJbN30TrlMo7mk+8TJZcIOU3HVtx16D62SKSsnd&#10;tunPxTiXKa9s+d6vX97+XU+l5OJsIWHJ7U6qJbekpGRfXMsvxcXFB+BsoROW+w4+TwzOZEtUc1/E&#10;vWBYcoMZrCW3qMjaE9fwi2HYAicLgW46J+NzweTqNklRw/kr7gVTyCVX2O4DeEyMsBL/xDmiQS2+&#10;7hpbqeSuv8YrWmvtifOZcFrF8qEqJbcsi68uz62bPTFIyV1aP8NbUj8lJxdRScddracsu6/t1K6C&#10;q1pys1lwpba2ke8kK7k7Nh48Ducy5dlt33pXqeRu/3RB38uOJbc7qZZcSVj2v3E9jLBiL+NcocPn&#10;6BecyRbch19YcoMZvCW365cmz+E6mEK9yrIQzk34XDBCxEK944UqYcZrcS+YQi65mqZ9Bo/plyOO&#10;sL6Is0SDl1e2h2rJPXLd6qxcTGBc5bLDk5XcCeuWZf0tP3NqZp0bpOQua5CZshXXyVf3tJ66/N7W&#10;U70gJXd9+3E34jqZ1tFx+FPJSu72jQdnpVA+t+Pb331p+/c9lZL75taPfAXnCwlLbnfSKbkjRiT/&#10;GMqM0O2f4WwujTRHHYh/FgQ+P7/gTDYIEZuI+/ALS24wg7nk6qYTx3X8IkTsMJzNd4btPozPA5Or&#10;kov78Eshl1wp2TnHMoZhvYRzuRaJxL+Mf0aUNbHyNXerlNyuV3M9L+MXFBhXtWJOspJ7zrpF7+Fc&#10;NlxSc8nkICV3ecN0b1nDtCdwnXxzZ9tpq+5tPc0LUnLXtY25C9fJho0bj2hPXnKLs3Je9Ivbf+Cp&#10;lNzXt3/iDZwtNCy53Umn5EoRO/EBrumXoqKiPXA2R4ZE7cQHUdt9buhQK6V3z+Bz8wvOZENEt9/D&#10;ffiFJTeYwVxyJVzHL/LfVK4u0JQqlZKrm/EzcC7TdOFciPvwS6GXXF3Xv4TH9YsQ8VE4myuG7SyR&#10;ezJs+1D8O6KsGHbHyv2dh67+UKXkjl6/6iKcD9sZ65e3Ji25Vctydrue+bWzLwxScpc3TPNW1E97&#10;HdfJF3e3jlt7T9vpXpCS+0jrcRm7TVAyHZtKFyYruTs2H5ryDyiqXnrsuz9TLbmvbv3Yb3G+0LDk&#10;difdkltcHP0krukXw3ArcTYX5MWweu8rlXOG8bn55QjD+AbOZZJhuMfhHvoKS24wg73kJitEPRHC&#10;fRxn85khkp8XaphOG85lmvyFAe7DL4VeciVhxV/DY/tl+PDhH8XZbNP1xFd770mI+Dx8DFFWOOVr&#10;XlQpucesX5PyN35Vp6677D/JSu7ZVUsexLlsml89e1KgktswzVtSX/YarpNrd7WedvvdreO8ICX3&#10;4dbj7sF1sqmj4/Dh+VByn9n8gw9USy7OFiKW3O6kW3Ilw3Cfx3X9ogtnKs5mk2G49bgneT9f03R+&#10;g4/tj65bb+A6GCHi03Auk1Te+teTgVRyRxjOd3EmbIO95MpXaHGtvmKYsbNwOFuiuv2ertvK388M&#10;wz0a9+8XnMskYTrNePy+MhBK7siR8S/gsf0iP7c4m00lJSUfxz3JiBz8EoSoSN4iSLXkHvXI1Xfg&#10;fJjOrLrMS1Zyz6ledgHOZdv86lkTg5TclQ3TvGX1U/Pmrct3tY5be1frOC9IyX2w7fisn4OL/vGP&#10;4v1yXXJf2Pb9Y1/Y/kNPqeRu/8xfcL4QseR2J4ySW2xZB+C6fcUw3Vk4nw26GS/HvfSOELEZONMX&#10;XY9vwXlMNm+tIoTzFB6/vwykkmuY7gScCRtLrvz3k4jgen1FWHEH5zNNmPYTPcfXTUfx4pFqV4/W&#10;RNzGyUzQdfsgPHZ/GQglVxKmswGP7xf5qi/OZoM8Bxf3kg/7okHOXnfdEyolV2bU+su+hfNhUSq5&#10;65f8CedyYWHNzDODlNyuopsHF6O6rfn0VXe1nuEFKbkPto5dg+vkSi5LblNT0d4vbB/qqZTcl7Z8&#10;KWs/uGcaS253wii5km46V+LafUUIdyHOZ5JmuS24B7/ollOBs34Ms/u8rGSRHxOcDZvKVVgxA6rk&#10;Wm4TzoSNJbcbrtdfNMs9HuczxTBirXh8IVylAohzfQXnwhaJmEPxmMkyUEquZan9skFG1+2sXg9E&#10;iNjhuAe/yLeYa1rsOzhPlDGR2674mGrJHb1+1fM4HxaVkjv2wVl5c9PrBbUzxgcpuZc1TPVW1Jfl&#10;7D66tzWOW3lnV8ENUHLbTrga18mlXJbcF7b+6CHVkvv6o58fMBdbYMntTlglV9I050lcv6/oejzj&#10;tySLRmNfUz3nS8Yw3TJcw488Pwxn+4rI4KtAQiS/cI5fDMs9GtdSkY8lNxPHRCy5/7VHkLfFG1b8&#10;BlwgTLIcyXup4nF7IveqJ7mye0Rzkt4iSUa+ewNnw2IY9u/xeCqJ6vbbuJaqfCq5kqbFSnEPfUWe&#10;YqLr8eG4Rth0EV+Jx+4rEc19t9AuvEYDQGLddVUqJffYCpmr5+J8GFRKLs7k2uK6GRODlNzLG6Z4&#10;K2vLMvYfgb78vfHMlXe0nOkFKrltJyi+lSl7clVyn9rwvd+/sO3HnlrJ/fKrOF/IWHK7E2bJHTZs&#10;2N7Cct/HY/QXTcQOx3XCYJjOZDxWfzEsJ9C5+fLeoLhGX9FN18L5dJSWOp+NRvv+4dwwnXH4Z7v8&#10;fQGVXHkxIzwGxjDcjJYpltz/0UTsMFy3v8hX3iKmORTXSZeu2z/GY/UVw3Sn43wPw3BG4uP7iq7H&#10;t+N8uoSIX4zH+e++hXsX/hkG11OVbyVX0k3natxHf9Et56GSkpJ9cZ10abHYd6K2u8sFCvuLPF+4&#10;uHj0frgOUVaol9w13timlfvjfLoKseRKi2pmnBuk5F7RMEW+ovtPXCdTbm8688rbW8Z7QUru/a0n&#10;3Yzr5AOVktvZOTSl2530599bv/+ecsnd8pkf4HwhY8ntTpglVxo50vwWHiNZInbirVTfQguG6Gb8&#10;YFw/WeQ5YbhQMroZVz5HUUb+gGxZVuArOe+qbA8h4rNx7d4Rwl1mmq6Ff77LXlJ8u3guSq7qLytS&#10;vJ/pHoYRS1r4WXJ3pdvuMlw7WWRpklenxbWCKh49ej9hunfj+v1FCPcpXKc3Ybnv4Ex/0TSnGNcI&#10;Spb0qJ14C9fuibw1m3wc/jkG11WVjyVXMoxYB+4lWQzbnWJZqd0Orjd5ESzVU1t60vXOBtP8Cq5F&#10;lDWJddfMVy25xz50xVs4n65CLbnSktqZFwQpuVc2Xuxd1XDxi7hO2G5rmnD97S0TvEAlt/XEB3Cd&#10;fKFScrds+WOo540/s+VHnc9v+4mnUnJf2fHlTpwvdCy53Qm75EpCiJ/icZRjJk6ORCIfwzX7McQ0&#10;zc8JkfjbbmspJJ23IQZ5e3ZPDOFukm+jDvLWNvnKrWa69+FamKjtdt3aLSoSf8a/6x3NdO/GY6jI&#10;RcktLbW+jsfoK4aZWCLfwoprIF3XPy9fBVLdM0vu7oRw1uD6qtHNeIlpmh/BNfsjP2dBrjz832Mp&#10;nMMZ9NXpnshTEUpLS5VfGJHPOWo4I1Xe8q1psR92zfj8Xe/gMVTla8mVhBV7GfejkohlPyrvvRvs&#10;e2vp/oZh/xXXUol823QkEvkyrkmUdaol97iK1d4x668sx/l0FHLJlZbUTp8UqOQ2XuytbCzr+i1k&#10;JtzacOZdt3UV3CAl96S8LbhStkvu01t+Yj237SeeasnF+YGAJbc7mSi50siRIwO/ots78gdB+dZn&#10;3XTKDTMxWTOdYhlhuWcK210Y1ay35cU+um4B5DOvFDOe1v2x5VvldltTMXLf3fuPvdz1/IRryOcn&#10;C4D831HTaY7abqDn17OvZCXXMNyUvq5zUXIlWVTwOH1Ffrzk142wnZt00xkjP6by4ylLbdef+3w8&#10;8XiIJdefYTrz8RhB0vNvXDPjD/b+N97zOZP31g76b6B35Cu0uOe+yGPhvGp6nochnLsMM3H+/56D&#10;e65hxW+Tf6dSbHuim/HTevaFf4fZ9Vmoy+eSK+H9zIPkf99b7SeE5SwQVmJ01+fDdg/t+roS7sNB&#10;Pyd+2VmoiXLPrbj296olVybx0FW/xDVSVeglV1pcP3V8kJIrs6qu7DlcJ123Nk+489aWiV6QkntP&#10;nr5FuTeVkoszqfKaivZ+svOnH6qW3Fd3fCWr9/vMFpbcnf+hzlDJlUaMGPGpdH+QyFQM0w3ltm3y&#10;hydcOxexLOuLPXsSIv4j/PveEcJN6Yr4uSq5yZ5PusHjIZbcvmki7uBx8iEpvENjiLyQE66T7Qjh&#10;3NJ7U/j3mN6PDSLfS64kPxa4r3zJ8OGjPor7JcqpI9etLlctuV2v6FZc+TlcIxUDoeRKi+umnRGo&#10;5DZe5F3VWPYYrpOqW5rHXycLbpCSe3frqXlzm6D+ZKvkel7RkGe3/dx7duvPPLWS+7UBe/83ltzu&#10;ZLLk9tDt5PeVzVbkb/k1yx2Ge0xH1LCPwONkK/L5HNGr4EryFQZ8XO9ENDelX0DmquRKZsBz5YIE&#10;j4VYcvuX7D6i2Y7Wz4Wm+iMvnJfLoqubzo24J0O4/d8D2zRT+jm1EEquFBWxft+Vku0Ywr23qKgo&#10;6SkRRFk3tmnl3kFK7uiHr36vuKxsL1wnKJWSO6FiUehXH8yEpQ1TxgUpuVc3XuStapwc9Dequ7mx&#10;ceJVt7Sc1VVwVUvuXS2nXoXr5Ktsldxnt/3isSAl96VHv/R1XGOgYMntTjZKriTfjovHznZ0ywn1&#10;VJTeoiJ2SKpvq0w1Udt9a+jQ3S+4UlxcvBc+dpc53U7pfte5LLnJnlM6wWMhllw1QriL8ZjZjLyN&#10;i2E4aV0gUV7ASAj3GVw70xEifjruRdJNpwIfu+tcalenL5SSKxUXF+8nTKcN95jNdJ3qIGKH4d6I&#10;8sqR5at/pVpyj6+42htTsepxXCMolZJ7VvniUpzLV8vqLj4jSMm9urHMu7rxwpSL7trm8Zfd3HyW&#10;F6Tk3t182ipcJ59lo+Q+tennNz677Zeeasl9Zdu3J+EaAwlLbneyVXJ7dF3912cfmYy8l2ay+2WG&#10;oeuHMct+Ao+fiRhm/O94/N7w8Rh8vIpcltyd5FtK38Njphs8CGLJVScvGidMpwGPnemEdfpBD124&#10;8/AYmUhUc1+PmIk+X+QQdv+/OFC9tzcqpJLbQzOd3wiRyMUvIGbjXojy1qjy1ferltyuolt59UO4&#10;RhAqJffs6uUpvb0mV5Y3TJ0YpOSubpzsra45/1FcJ5mbmiZecXPz2V6Qkntn67jrcJ18tnXriG9n&#10;uuT+e/MvZjyzVRZctZL74qYDn8U1BhqW3O5ku+T20G3nyky/8mkYiVbDML6Lx840w3SPTFaMUo2u&#10;xx9TueAJzmHw8SryoOR2kbdjwuOmE1wfJftcsuTubvjw4R81LHcd7iHMyF94yF+a4bHDpJluIx43&#10;rBhmPGlBNSx3LM71jm7GbsUZFYVYcnvouv1LeV0B3HOYkW9bN8x4Qf1cTvRfR6278g3Vkju28mrv&#10;2HWrbsI1VI2rWPlCspJ7TuWyapzLd8vrppwbpOSuaZzsXd14wTO4Tl9ubJx47U1dBTdAyW057XZc&#10;J99t2lR6ciZL7r+3/nLC01uHeUFKbmdn0W5vgRxo5LlMhhFr7S+67VyNc4VECGcBPifMSBH/Ec5l&#10;kzy+vE+tvBom/qCRSoRwH5c/wOFxckHX7YOEcHfgHoNG3jNTXh1YvlKMx+iLMONV+LnuHXy8ihEj&#10;3E/hOhicyZSobY8UVvw1/FipZucVcTcbhvENXBsJM16Lz3OXWO5qnMm2EoXvZziTLfJWO5rm/CuM&#10;X2p1XY3ZcttHmqMOxONkkmkmbgvjfF35Tg956gau35do1P0Jfh57xzTd3c7jVaGJ+Ghcq3fkFa9x&#10;Jh8JEV8orNgL+HFOJV3F1nArDwp4eyuivHTUQ1d9qFpyu1K+6j5cQ8W4ipV3Jyu5E9YteRfnCsHS&#10;uinnBim51zRd6F1Td0HSy/rf2HTWbWubz/GClNw7m0/L69sE9WXjxsjVyUru5o5DPsQ5FU9u+mXp&#10;v7f+2lMtuc9s+sGHT7d94fO4DlG26OaouLwyqnz1rK9bvsjsvAXE27puv2qYzmRcJx/pIr4qaide&#10;j9qJd/t9XnbiLWHa/9RN52Rcg1DxXobtLJK3GZIfO/x49nxM5e1k5NeKbiUukRcYwlUoezTTOcsQ&#10;iWe6vs77+Jzhv3HTtMfgOrlims5RhpF4Se4tqrm+v5zbeXuzd0wr/pr8d69p2mdwHQrXH0aM+JRu&#10;xq6U9wuXH/u+fnEqf8EVtd135fcMw3YrNc38P1yLqODFK67+aZCSe2LFKm9s+VXrcJ1kTq9aeWbS&#10;klu17H2cKxQr6i+aEKjkNl7orao/53Vcp8eNDZPuu7Fpkhek5N7WfFpKb9nJB52dI7YkK7nbOw8O&#10;fE7zE5t+OeKpLb/xgpTcF7Z/j+eeUN6xLGtPWUxk5AWI8O8L2B49z0s+R/xLSk3Px5RltnDIf9eF&#10;/Hkr5L0PdPzc0KB1zLrVU4OU3O5cFeg8vVMrlv8+Wck9Z92lKb1Sly8ur7/49CAl99qmC7zV9ec9&#10;hetc1zDpFllwg5TcWxtPvxbXKSSdnSOfS1pyNx28COf68/jmX1/w5JbfekFK7vNbftiM6xARERER&#10;UQE66pGr7whSck+qvMo7seJy5UIwoe7SbyUruZOql3uj7p9T0DeXvqL+otOClFyZa+om7eiZv7Zx&#10;0jV/azq3q+CqltxbG8+4ctddFJ7OzsM/SFZyt20+xMW5vjy55dcrn9xykBek5D69/YdP4jpERERE&#10;RFTAjlm3ujNIye0qupVXPlFcnvw+uvL+vCold2L9ki/ibKG5rH7yaUFK7nVN53vXNp639drGc6+6&#10;oflcL0jJva15wuV4/EK0cVPES1Zyt3YW/xzn/Pxry/+VP7nld16wkvuj17zyoqRfx0REREREVGBG&#10;r1/1fJCSe3LlVd4pj1zx3gnrrkp6iwqVkjupctnFOFeIrmiYPC5Iyb2+6XzvhubzvEAlt3lCQd0H&#10;ty8dHSM+pVJyPa+o3/P1Hn/8qx95dPPvX3xiy++9ICX331u///4L2w78OK5HREREREQDQVnZHseu&#10;v/yNQCW38krv1K5cYeFyvSmV3OrlKd8mJt9c0XDRWRkruc3jU7pkfj7q2DjiepWSi3O9PbHlDz99&#10;fMsfvce3/MELWnKf2/SDpPfbJCIiIiKiAndU+dVvplByvZMqlsl7wA7B9aQzqpcvG0wlV7qqfvI5&#10;oZfcpon34HEK2cZNh7+bvOT+uc/bS/1z0x+v/NeWP3mplNzHO4d+GtcjIiIiIqIB6tiHr3graMk9&#10;rfIK79RHln94bNXiL+N6p1Qt/rJKyT3LZ7aQXVk/eUJoJbdh4l24fqFrbR/5YfKSe+j5OOeVFe3x&#10;2Kbi9/655c9eKiX3qaYv7Y9rEhERERHRQOZ5Q45fv+qZoCVX5vSqK7zTKy+v7r3c6FVl+6mU3HOr&#10;lo7qPTcQrGq88PR0S+7apgnX47qFbsuW4s92bop4yUpuZ+cfhvaee7Tzzwv+sfkv3j82/9kLWnKf&#10;3PiTD7zOofv0Xo+IiIiIiAaRYytWNaRScsdVXe6NK7/svXGVlx3Vs9bpVSveT1Zyz1637NVddzAw&#10;rGo4/5RUS+7axgkFf5sgP20bIytVSu7atd0XndrRVvzjRzv/9Mpjmw/2Uim5j2/5xRvbth24L+6D&#10;iIiIiIgGmePWXX1DKiX3jK5c5p1RvuKpU9df+q0zK5ZvSFZyz6teNqDOy+2xquGCeSmX3Oazb8X1&#10;BoLOTVFPpeTec8+B+27beHDjjs2HeI9uOcRLpeQ+ueWXnXh8IiIiIiIaxMZUXDU+1ZJ7ZtVlnry6&#10;8viqFY+qlNxzq1ccgscvVKtqJx+/qvG899N9u3LXObnNE+bg+oVK3jpIpeRu3nTYy/Lqyjs2H+ql&#10;WnKf2jrsb3h8IiIiIiKiojEPXva9dEquyjm5suROqlxSj8cuNFc1TI5d1lj2QehXV+66T+6ECSub&#10;xu6NxywkHZ0jT1UpuT23EEq15D69+ddH47GJiIiIiIh2MabysqczWXIL9S3Li+45bd8rGi8656rG&#10;iz2ZjN0nt2Wid1vLBO/2lnE33FV50qdwH4Vgw0bNy2TJfWLLb9/dtu03H8fjEhERERER+Tpp3RWX&#10;Z7LkTqpeciQeM18tKS87YGV12eNXNEzxrtxZcLNTcmXGe3+vP/WNm1tO/y7uK1/Vtv71m5ksuU9s&#10;+r+NeEwiIiIiIqKkxpbP/WymSu65VZc+j8fLM0NW1k99YEX9tPcva5jqXd4wxctVyb2j5UzvztYz&#10;vDsbTvnP7Y2n/KNu22l5/Qpmx0Z9baZK7lMbDvo9Ho+IiIiIiEidVzTk1IrLF4Zdcs+vXuqdXbXo&#10;8QsqL70QD5kri6qn/GJp7dSaJdXT3l3RMM1buTP5UnLv6so47+7Wcd49bad/cGfryRvvazulFJ9H&#10;rrRs0kY3bdC3dmzUvbBL7j83/b7+Q94eiIiIiIiIwnJs1eIvn1Z+xZthltwLqpd0ZXJNdy6oWtR8&#10;YdWls85bP/9LePwMGLKwZpp1ac3025bWzXhuaf0Mb1nDDG95w3RvecM0L8ySe139pMQ1LZN+HXLJ&#10;9e5tPc27t/VU7762U707W09++/7mkx+5p+2k426sMT+CTzZsVZsjH2tqN8Y1t5vlrZ3aB20bTa9t&#10;o/DaNxpe2CX3sY2//S0en4iIiIiIKBQnVa60Tqq8/P1MlNyymsXeRV251Lt4Z8pq5u+YUrvw2ilV&#10;C8umVM8tnV499wdl5WX74b78zKmb8605dXMOnlc76/h51ZcsW1h3SfnC+qlvLaqf5S3uykxvSf1M&#10;b2lXwi+5axrPv6asrGiP3nu6vmFSWSZK7v1tp3TlgbaTvQfbT/Ieaj/Ru7f9uPcfbjmh+eG241c9&#10;3Drm+PKWYw5d3zbmW73305+6tlHfqu2ID2/siJ/W0Blf3bghvqFpg+M1dca95s6419Jpey2dlte6&#10;0fIyUXIf6/zTZNwTERERERFRRpxeefnsbJTcKTWLvKk1i7xpNQu96V1Z4M2oXeDN7Mp8b1ZX5nmX&#10;1M3z5tR2Z27dXG9e3ZyuzO/KbG9B3WxvYb3MJV6mS+7q2vMa1q4t2wc/Zr3d2HTODZkuuTIPt53g&#10;PdI+1ivvyvHeuvYx3vr2MV5Fx3FeRcexXmXHMV5VV472qjtGezUdo73ajqO8ug1HenUbRnn1G0Z5&#10;DRsSXmOn6zVucL1slNxHN//lVvx4UUr20PXEl4KmuLh4L1xooLIs6xP4/FWC6xARERHRADKuavl1&#10;LLndJXdV/fnbF9dP+gx+jPpzY9NZ5Sy5O0vuxj8/gh8fSp1pml8x7YQXNLrp1uFaAxU+d9XgOkRE&#10;REQ0AJ1ZsXzJ+KolHwzGkntF3eQda73+X7lNZm3zxPsGa8ndtunQe/DjQelLteQOlhIXjZo/weet&#10;GlyLiIiIiAawCdVLfz1YSu5VDWW34PNP161NE88YLCV368bhp+Pzp/CkU3I1wzkL1xtoNNNtxOet&#10;GlyLiIiIiAaB8eUrP3tW5fK7BlzJrb/o9RU1F/wEn2/Ybqw58yt/bzrjsYFWcjdvPHz75s2Hfhmf&#10;L4UvnZIrLPcdXG+gweccJLgWEREREQ0iZ1cuO6jQS+7S+ilvX1F30ZFLOssOwOeXaWXlxXvd2njy&#10;EXe0jHuh0EtuZ+fh0/D5UeakU3JlRo6MfwHXHCh0EZ+JzzdIcD0iIiIiGmTGVy16u+BKbv3UpqW1&#10;U0aVeWV5daXZu1pOPfSullMfKsSS63m73k6JMivdkius+Gu45kAhLPd9fL5BgusRERER0SBzZvmS&#10;A/O95C6un9a0pH7qBUuqp34D95+vyjtPPuDu1lNOubf1lIcKoOSegvunzEq35MqUlJR8HNctdJqI&#10;HY7PM2hwTSIiIiIahCZUL39OteReWL3ggrLqBbeVVS7aVLZ+4Vthlty5tVP/Nb925kNL6mdesKhi&#10;+lDcZ6G7r+a4A+9vPeHsB1pPuOfBtrHb72s79v3wSq7zfn1bfHvThtjdTRut84KUXNwnZV4YJdew&#10;nAW4bqHT9fh2fJ5Bg2sSERER0SBkrbX2nLTu0g9VSu556+e+ivO9zaybO2x6zbwTZGZWzTtrZs2c&#10;y2bWzblsTs2cy2bXzDthds3sE+bWzR02v2Hmt3F2sHuw/sjPPNI8Ztj61uNOWN969AkV7aNnVLcd&#10;dVlXWo+cXtl61Ak1rYkT6jrcYTU15qdxvkdzp3W/asndtKn0/3CeMi+MkiuD6xay4uLivfD5pRJc&#10;l4iIiIgGqXMql69TKbny7cqT189fjfOUH+o7LFv17cobNo58H+cpO8IquYZh/xXXLlS65TyEzy+V&#10;4LpERERENIidVbX0fZWSK8/HvbB64a9xnnKrvLx4v9rW2IeqJbezc+g+uAZlR1glN6rb7+HahUpY&#10;7of4/FIJrktEREREg9g5lUv+oFpyy6rnfYDzlFv1LfHXlS88tTmyFOcpe8IquTLRaOxruH6h0U3n&#10;KHxeqQbXJiIiIqJB7ryKZQ0qJbe76C58A+cpNxo6Yk2qV1duadMG7O1nCoVKyTXsRI2u26/in2OE&#10;cG7B9QuNrltv4PPCCOE+jH/mF1ybiIiIiAa54vKyvVRLbtcthKrn/gvXoOxq3OheFeQWQm1t+udx&#10;Dcou1ZJrmInz8c/9gusXkkMPtT6Bz8cvIwzj2/hnfsH1iYiIiAqdbiZM/Jmnd4RIPIMzBM6pXnaw&#10;csmtWeRNqZl/M65B2dHQGh8V5D65bZ3R2bgGZZ9qye16rM/fYQzLmYTHKBTCtJ/A54OJ2ol35WPx&#10;z/2C6xMREREVOpbckJxXvfga1ZIr75M7tXI+y1OW1bQ4xf+7T65Cyd2g/wPXoNwIUnINM34n/h1G&#10;WM6beIxCMHSotQ8+F78IEfujfDz+uV/wGERERESFjiU3ROesW/CmasmdXrPQm1Iz7yxcgzKjqj32&#10;x/oNozzVktvYFvkPrkG5E6TkRqPRT+Lf+SUai30Tj5PvNMuZhM/DLz2Pxz/3y65HICIiIip8LLkh&#10;Kutcu0+Qkju9ZoE3rWbBQlyHwlXV6v6lbsMoL0jJbd8c+T6uQ7kTpORKwoq9jH+/Wyy3c9ej5L/d&#10;noNPDCt+bZDH73oEIiIiosLHkhuysvIlXwxScmfULvCmVS64CtehcFS3jYrXbTjSC1JyWzsiFq5D&#10;uRW05EYNR+Df+2XXo+Q3w7B/j/v3S3Fx8V49M/h3ftn1KERERESFjyU3AyZXLraClNyZtQu8GTXz&#10;H8J1KD3VHaOm1XYc5QUpuS0bDf7CIQ8FLbldMz6PwQjb+VvvmXxmCPcp3D9GWLEXes/g3/ul9+OJ&#10;iIiIBgKW3AyZXLNoZpCSO7N2vjejau42XIdSU9kx6qaajtFekJLb2GHy45+nUim5unAuwsdgeq5C&#10;nO+i0dFK5xnreuKrvefw7/3S+/FEREREAwFLbgaVVS/6W5CSO6sr87xzHjznE7gWqSkrK9pjfftR&#10;/6zuGO0FKbn1HeIpXIvyRyold/jw4R/Fx/jGNH/Sey4fGZZ7+W77hui6/QbO4WP8gjNEREREhY4l&#10;N8Mm1yysCFpyL6mb582snnMwrkX9W7/h6K9VdRzjVXUc7QUpuU2dgl/keS6VkisZwt2Kj/MLzuUb&#10;3K9fhIhNTWUOZ4iIiIgKHUtuFpTVLKoJWnLn1M7zZtfO/u9VUql/6ztGn1jZVXADltwNsVdwLco/&#10;qZZcTYt9Bx/nF3nbIZzNF4bljsX9+gXnJHyMX3CGiIiIqNCx5GbJBVXz2oOWXJm5lXPfLWsq2x/X&#10;o25NTWP3rmg99umKjmO9oCW3scV5Edej/JRqyZXwcX4RZuwOnMsXum6/ivvdLZZzD85Juz3OJzhD&#10;REREVOhYcrPo4uqFtwcuuXVzvVmVMz6cXcdXddHD7Ue75c2j/1PRcZwXtOTWbLDeKPKKhuCalJ/S&#10;KblCxA7Dx/oF5/JBaWnpZ3GffolEIh/DWQkf5xecISIiIip0LLlZNrVmweSgJXde3ZzuVM5+d2bt&#10;zG/imoONvLjUA61jnl7XPsZb3z7GC1py6zfEa3FNym/plNyioqIhwnI/xMfvFtPNu/sjCzNeu9s+&#10;IUIk+rxoGj7WLzhDREREVOhYcnOgrGreEamU3Pldme3Nq521YV7NvE/jugOd5xXt8XD72DvL28d6&#10;5e3He6mU3PoOZwmuS/kvzZJbJIT7MD4eIyz3fZzLNdyjXzThGjjXAx/rF5whIiIiKnQsuTkyvWLO&#10;0Gk1C95PpeQuqJvtLayf7c2vnXnnyqaVe+PaA9GDbWMXP9x2gvdIV8FNseS2uy6uS4Uh3ZIr4eP9&#10;IoT4Ec7lihDxabg/v+Bcb/hYv+BMthQXF++lm/ESYSUuEaZ7sxDuVmE5b+L+ekf+B0m3nPsNKzGp&#10;1LK+jmsOBJqVGG1a8b8L4T6Fz78nUdt9WpjxR+TXiGY6xbhGPotGY18TIj7aMJ3lwoyv12znX/j8&#10;MMJyNwsRX2WaThzXKzSa5vyfEO5M+fnTbOdJfK49iWjuu5rlNgoRXxm1HVFcXLwfrjXA7CFEfJRu&#10;O1cbRqJD/tIRPyY96fr6F+7DQsQv1m3717hQIev6vmgnThCme4ewYy/gc+96/pr7nGG563ThzNAs&#10;dxiukQmaZg0TVmKuZrmduJ/eMYxYq/y3apjukZZlHYDrFBLDcH+vC+cS+bE2jMTz+Fx7fT7e2vm8&#10;rxBW3LYsa09cq9DpppMQwrlJ/tvD598TYdvP6pZTLixnhvzY4Rq5wJKbQ2Obxu49vXrB46mW3IX1&#10;l3iL6md5i+pmPFBWXlbQ30z8yItK3d9+4pyH2k/0ZNIouW/VtJpfwfWpcIRRcoVlP4EzGGHGq3Au&#10;V6K2+xbuD6MLZ7fbBvWGj/cLzmSKZVmf0E3nBM102nEP6UR+zoSI/wqPl0nCduf1F12Pj8CZvsgf&#10;aoWIn4LPK2gMI/GSbjpjZFnAY+RS1HJ/bpjOomS/wAgaw3an93Uuej456CDzI4blTFL596wU01ku&#10;rxqPx0kGv0Yx+PhsMAznu4blXrvbc0whUTvxovz6l/+e8DiZUFJS8nH8GGJ0Mx7BOT+lpaX768K5&#10;CJ9TkAjhPqBpsR/i2ukYaZrfEsK5HY8VNEI4a0aMyP+fwYqLR++nCffEiJ0I59+q7czX9cRX8TiZ&#10;gl9/mKhIHIIzfZFFXRfu6f39skklUdt9xTSdY4qKwin++JySxTTjd+KeekfXrTdwJmh2/neX+jKj&#10;av516ZTcxV2Z6S2um/nc4saZP8H1C819G0762v3tp9z7QNvJ3oPtJ3UV3FRLblVroh3Xp8ITSskV&#10;8d/ijF+y9UNSf0pM83O4L7+UlJTsi7O94eP9gjNhkv+hFCJuR+3EB3jcTMSwnb/iHjIhYrvv4rF3&#10;2Ydw7sUZJEu/EM69OBtGhIjNzWXZjcTjXzaMcMpLshim0zByZPwLuIdci5ruT8w+XokLIxHN/cAw&#10;7D/hcfuC8xh8fCYZtqNFdPs93ENYka8mZfprorTUSXpRQCH6/+WBaZqfE6bTgHPpRNftN+S7JfBY&#10;QchfPgjLfhbXTjfCir2cyi9oMm2kOepA3Y5vxP2Gla4iJeK/xeOGLVkh1W33epxB8tV303TX4mwY&#10;MWxnebplF9fMh+hWwvfuFtRLWcXc702tveSDdErukvqZ3tKuzPAW1087Z07bnI/icfLVyqaxe9/T&#10;cvoR97Wd6t3fdkpX0i25dRtGH4fHocIURsmVkv1HYOc3rEtwLttU9imEuwPnEM74BWfCYFnWPvKt&#10;W3isbERY8ddKShIfxz2FKaq5r+Nxd9mDcPt9C5Ruu9fgTCai6/Yv8diZJH+4NkJ+xVY1huXegPvJ&#10;hWg09k3Dct/B/WUy8tVy3AfCGQw+PhOiQvwZj5vJ6Hp8Y7JfBKZKfo/B42H6KblDNDOxHh8fZoSI&#10;z8SDKtjDEO4mXCvsGMKVvwTM+d0tTNP8dERzX8T9ZSryApgjR5rfwn2ERf4SAY/ZO4bpbMCZXoYY&#10;VmwFzmQikUhiKB5cFa6VD2HJDWDW+llPhlFylzXM8JY3TPeWN0zzltdPTeBx8sUdLacV39148rv3&#10;tp7m3dt6qhdGyS1vHv2hvAIzHosKV1gl17BiS3HOLziXTcOHj/oo7scvI0eaB+Iswhm/4Ey65C8J&#10;8Bi5iK7bP8O9hSViua/g8TA4s9MQfFzGYzrluIlMULqfc4YT1e33cvnDs6YlP784U9E050ncT2/4&#10;eAw+PkymaX4Ej5fNCCth457SJcszHgfjV3Llq7f4uEwl2ddEb8NHqf13J6zs/LeaM7od34J7ylbk&#10;ea24nzAI4T6Ox8LgTA98XMZjJe7EPajYbZ08CEtuQNOqZv88zJK7omGat7JhmresuuyNFXVTHlhc&#10;VfZlPGa2lJeP3u+OtjOuub35lBfvah3n3d06zrun7XQvrJK7vv3I0XhMKnxhlVzVkiECnLsSNsOI&#10;X4X78QvO+cEZv+BMOswcvYrXZzJ0rkzUTv7bf5wxrNhYfEy2In+gw/2ERQj3YqVbdGUpUd3+T7bP&#10;1TVN81vyuLiXbCequR9Eo/6v6uJjMfj4sBimOwWPlYtEbfc53Fu68BgYLLmG5R6Nj8l0hBV7ofce&#10;/BhGbBzOZSO5uKPBEUdYX1R5p1SmI/cQiZgpv6LpR75zAY+DwRnDjB2Xq+/fuulU4H6SwTXyISy5&#10;KSgrK9vjkupLrgiz5Mpc1jDVu7xhindFwxRvRe1FL1/RWNZwZV3Z2atayz6JewjDrS0T3b83n1l+&#10;a/O4p29vGe/d0XKmd2frGd5dXQmz5B7TUfO4+RE8Pg0MIZZc+YPGOpzFqLwVOFNwL34RIhbFOT84&#10;5xecSYVuOsfk6j+UySL3hvtNV1Tr+wqTPen9eNV3EGQyuoiv7L2nMIgsvLUxlcgfIIcNK90f95sJ&#10;8qJaePxcxzDc6bhPfAwGHx8GYbqb8Ti5jLwKrjwXHveZKlwf07vkyov44N9nK7L87Lrz/zEMZxI+&#10;PpuJ6tZ/0j1PU5Vuxs/A4+c6QsRPx32mKtmVr2V6P16I+N/w77Mdw4pd3ntPyeB8PoQlNw1zqud8&#10;fnbt7I5MlNwrGy/2rtqZVY0XeVd3pcy7ovHCt1Y3XNC+puG8O9c0XHDZNQ3nL1rTdP5Emesazht5&#10;XfM5I29omjTxhqazJ95Qf/aFNzSec9mNzWffeVPzWU03N5/14s3NZ3m3tJzl3doysSu3tUzwbu9K&#10;+CX3oeYxr1VuOCZjb0uk/BBmyR1hGN/FWb/gXDbICyfhPjDyFSPViwrhrF9wJijDsJfgmqlEWIl/&#10;yttmGLYzpyumc778v0I4t6j8x7u/jBwZD/XWUIbhNuExMD2PFZZzKf5dshjCfVyIxJr/fgwsZ0HX&#10;VaTTfAVCs5w/7PpMUjN0qLVP1E70e16yarpvk+Os6f5cxy/u+fzLrwV5wRZ8vGoitvsi7jtshsL9&#10;t5NF/nJImPFaYbmXdn/dx8/e+XW/Jp23VOoisar3XvHvMb0fGwbDcPu85YpKIpr73H+/H5jO5N5f&#10;F4ZhvYSPD5KwzotM9up9T8kVImbg3yWLMN27//u9sPt5353snMv+Yhju0t32bzgCH5c0lnNP957c&#10;Kb0/J+m8VV9Y9qO4t7CFcY0Iecuz/z5n4U7r/r+JvxnC3YGPDRLdSszA/abCMNwaXBvT81gh4vPw&#10;75LFsOx/y+9LwnLO6/k4mJZTke5/l6LR2J93fSZ9w9l8CEtuCGbVzvrh/LoZL2aj5K5unOytaZzs&#10;XdN0oXdN44XetU0XdOW6pvO965vO925oPs+7oflc729N53o3Nk3qytrmc7ybms/2bu5KFkpu0+h3&#10;Hmk7VuDHiQamMEuupHI7j50Xx8gqoXDBGsOI1eNcX3DWLzgThKY5xbieSuR/FHXTvdGwXeWrw/Yw&#10;bSeh6/HtuGZ/kfccxXXSYQjnFjwGRj5O3g8W/9wvwkps1s24jsfpi2E4P9BN53pcRyW4VipUXsn2&#10;iywuhumWGYb7DVyzP4eZ5qc1KzEX10sWw3SW4FphkfdrxuMpx4rfFgl4tVUh4j81DHf1bmv1E124&#10;y3rm8e8wux4tPREt+fdXjLwCuxDuwpEjRypfFXnYsGF7y9t3BP1+0BXT/ByuF1Syq8bLkjt8+HCl&#10;c11107m61DpS6d7f8tVozXLmRpIcH3Pggf+7CJe8+jT+vW8st1rX1e9FLG+HJH9ZJc+53W2tfhI1&#10;nJG4VliEcO/C46nEsBL3jDTsQPd7jYrY7+R9znGtZNFF/GJcKyhNOGtwXYx8nG66Fv65X+Q7dQwz&#10;FsPj9GXnf5dSuqgirtUXnMuHsOSGaH7VJb+aXzXt6cFacu9vOub1da1jxuLHhQa2sEuuJuIOzmMi&#10;3a+YZk00Fvsm7sEvONcfnPULzgRlCPcBXLOvCNPZENYVf0eMcD8VpGwZlrsC10iVEO5EXB9Tkkh+&#10;9VXTcjene/6oYamdw90T3ediOEHJH5Zx3f6im+41spDgOqkwzNipyV5B2yWm+WlcI13CdG/d7TgK&#10;Mcx4Ga6VCvnLIcNIKL1SquvOCXIG/xyDx0hF1y3DAr6qI6zEtrC+Jwgz/iCu31fCOB9UpeQmuxVP&#10;ur9MFVZiBq7ZVyJ24pWeuajmPod/3zvyIkaHHZbevx094P2/cT4Muhm7Eo/TX+TXhWY6k3GdVBiG&#10;c36Qfw+aZhbjGkEYlpv0tBiV2xPKd5BEo9G0TmE0LPdyXLe/iF6/kAuTbiZMPNaux030eycEypF5&#10;NfO+Mq9+xrbBUnLvbx3z9D0txyv/NpEGlrBLroTzflE99zUM8u1oeHyMLHU41x+c9wvOpCLZWxOF&#10;cP9xkJmZc+aFiCm/HTiseyCrlFxDuP/AP+sd3YyPwHVTdeih1ieS/cDdO2Fcgbi4uPiA/s7Dln+n&#10;C3cxzoUlojn9/pD+332YTjPOpsOw4xfgMfqL/DgYRjwjtzeKiPgvVN79ocViP8Q/w+DaqYgEeAu7&#10;vJ9rqZ4I/b/phx566CcMI6H0dmaVizL1J0iB8YumWcNwzVTouv5VXLuvRCKRL2uWeyL+ee/oIp72&#10;L8J6yKtQq/5SShPu8TifDk3EoniM/pKpd34EuR+6/OUtzqsyTPc4XA8jLPsJ/LOeyP+G6GY8guum&#10;Sr6LIcgr+jgfBpbcAWBR1YzV8+unfDDQSu7djSd9+EDz8VuamsaG8goAFa5MlFzDdC7DNTDRkN/m&#10;2g+lqz5HReKPONgfnPcLzqQqqttv49ryh8B4PJ7xq7kLEZ+Nx/aLfJsxzqZCyLek+ayvEllKioqK&#10;MnKhFdUfJoVwLsTZVMirg+LaMvL8PHxsJsj7EeOx/RLWLzdKSpK/CtI7UTuRle8fKufiJQuuGZRm&#10;q19F2TAz//Y+w3Qa8Lh+EcJN5X6yXVItuTtvnxPq9wBdTygVXcOKv9bfvjP1i13V7004l6qDDjpI&#10;+bZV8r9dOB82w3APxeP2FZxVpVJy+0rUlj/rhPNuG6T6uZdXYsfZdLHkDiCXVJV9+dLq6c8Xesm9&#10;q23s+/c0H/dTz0v/1QYaGDJRcuVbsXANvxQXp/e2HRWmGZ+Ax/ULziWD837BmTTs0XtdzXQ7w3jF&#10;UJVhOffgc8PIV9VwLhWpltydFw3L2MdEnueJx/SLsJw3cTZV8qJAu6wt3FJ8TAbt8jXXV+TbWHEw&#10;FUFeldD1+GM4n0lRI+biHoIE1wtC10f9GNfrK+m+JTMI04onPW9afk/43e9SO2Wgv7LYX8L6pQsS&#10;wjkHjxUkuhk3cc2wCBG38Xh+iZiJ7+NsKvp7l0nvyItJ4WymyFNT8Ph+MQxnHM6qSKfkql7MMhW6&#10;nTgIj+cXeWE1nE0XS+4AtHatteeyymkHLWuY1lk4JffEV+/uOGX42k5rH3w+RJkouVJEc5O+vS5i&#10;2f/EubBFbPddPC7GEM4CnEsG1/ALzqSj52ImuohNxL/LAqVXw0sN5wc4GFQqJXfnqzcZ+0Gih2HH&#10;OvDYfsG5dBhm/Da5Zmmp81n8u0yTF0bB54aJ2u4HOBeUCHAlZWG69+F8NsgLBOFeVINrBeH3Lg6/&#10;RKOxr+FspgnhJL3ybapvW06l5IZ1Zec+DFF91QwjLHczLhY2Ydn/xuNi5FWQcS4ow7Tn47p+MYzY&#10;bleczjRdt3+G+/BLKtcwEPH4L3CdZJG/DMjUL116My23EY/tF5xLF0vuILC8Zcp3VzRMPW9FXdk7&#10;+VJy72w45T93NZ++7K6O04cV8RVbSiJTJdcw3G/jOn456KDMnE8qmab5EzyeX3BOBa7hF5xJVxhX&#10;LU2VYTpn4fPD6JZTjnNBpVJyI5HMv21b0jTtM3hsv8h7RuJsOoqLi/fDP8sWfG5+wZkg5NVscb2+&#10;EtarxqkyDPsvuCeV4DqqDDN+Lq7lFyHCvY1XALL4JX0FvtSylK5s3FvQkut3G5+w6WYi8L1gI1r6&#10;vwRSoQk36Tmy6b51WPX7XzZfwUUqV0k3DPdanEsmlZIrr+eA62SC/O8fHtsvhhk7CWfTwZI7CC2v&#10;veC7l9dddMIV9Rffna2Se2vz+Kpbm84479bWcT/H/RAlk6mSK6m8rUkXbsZemTSMWCseD5NqMcN1&#10;/IIzBS7p21fl1U5xKKigJdcwnTm4RiZpmvMk7gFjGK7yrajynSbix+PzwwgRd3BOlSHcp3A9v8gL&#10;sOFsLugpvG0V11CF6/jFMJ1TcS6b5DsMcE8Y3Q7+9vIgJVfX7VdxPlPw2Eljxs/FNTJlt2P7BGeC&#10;MEynDdfDyFuZ4Vy2ya8H3BcGZ5IJWnINy7kU18gkQ+EaCmGf5sGSS/91VcsF372yYfIxqxsuWLSm&#10;fvJtq5vOa1hdf95TMn2V3L/Vn/OUzNqmsxpubDrrtpsazlr296aJp/y9ZULoV02kwSuTJVcX8TNx&#10;Lb/gXFjwOH5J9TwlXMcvOFPo5FsP8TlicCaoICU3mz/c9jBM90jcByZiu/+9nUihGzasdH98fhjD&#10;iK3DORXRaPRruFZfkfcIxflcUS3mPcF5FSq3LIma8SqcywXNctpxb5igr2oFKblGwPutpiPI537n&#10;aRRZI4Sb9ErDQe6V3JvKheGiupXV59sXXTcPxr1hdOHMwLn+BCm5mTj/NRmV87IjVrj/XWLJJaK8&#10;l8mSK6m8mqtZzh9wLl2acP6Gx8HIW23gnCpcyy84U+h00zkZnyMGZ4IKUnLlxaBwPhtwH37BmUKG&#10;zw2j2ald8VmzHKVzyTTTydoFlRTtEeT8TBxWgWv4BWdyCfeGESI+DWf6o1pyDcN6CWczST4P3ENf&#10;MYzw7h+uwjCSn0Ov2933dg7KEO5duBYmajsC53Ilavd/TZCgFwgMUnIjkfgvcD7zrD1xH37BqXSw&#10;5BJR3st0ydUstxPXw8i3gOJculR+SNJNO45zqnAtv+BMoYta7s/xOWJwJijVkivv14mz2aJScHCm&#10;kAlhb8bnB5+LwG8llhdkwXX8outWyr+IyiTdTCS9TVpPcDYZXY/3+8OjjGE6oZ5fly55ayvcIwZn&#10;+qPy/VsmF7/owj30FZzLBtwDRrfdG3FGBa6DEab9b5zJJcOKjcU9YoJcgEq15Oby7dq4F7/gTDpY&#10;coko72W65Eq4nl/kje1xLlXylWFc3y84FwSu5RecKXQjRoz4FD5HDM4EpVpyNc0ahbPZopuxm3E/&#10;GJwpZELEF+Lz652gr4pIupk4DdfxC87lE5V3qaTyHIRw/4Fr9E5Yt+sKk27aST+fxcWjlS+gplpy&#10;cS4bcA9+ydXnCPeBEWbiEZxJRlhu0vPySw0j7Svrhw33iDEs9QtQqZZcw4y5OJstQthJX23HmXSw&#10;5BJR3stGyVW5vYEu4qtwLlXy1R9cH2MYsbTeSobr+QVnBgJ8jhh8fFCqJRfnsklTOP8JZwqZsPp/&#10;vqmU3KiW/NZeQrhP4Vw+0S3nIdyzX3AuGZzHGJYzCWfyQNLbjBmmMx6H+qJScnN1tW3ch18My70K&#10;57IB94ExjFgHziSj6/EtuE7vpHvV5kzBfWKEcB/Hmb6ollycyyZ5WgfuB4Mz6WDJJaK8l5WSq1AK&#10;ZHAuFfICNbiub0zz0zgbxG7r+QRnBgJ8jhh8fFAqJTdiJ97CuWzS7eT3Y5T3bMS5QmXY7u/x+fVO&#10;KiUX1/CLEPGf4lw+MU3zI7hnv+Bcf6LR5F//8rZLOJcPcJ8Y3XIqcKYvKiVXM53f4Fw2CIUr2UYN&#10;5wicywbDcptwL7t8zCy3E2eSwTUwQriBzrfOFiHiq3CvGJzpi0rJjWpOzt6qLKncthFn0sGSS0R5&#10;LxslV8I1/WJY7tE4F5RmuS24LiaMi5Xgmn7BmYEAnyMGHx+USsnVrMRcnMumQw89NOm9XUUOzhXM&#10;lLBLrso9PWVwLh9Fdett3DcGZ/ojb7eD8xicyRfCtP+Je8XgTF9USu6IEe6ncC4bVK4zMXTo0H1w&#10;Lht0070R99I7QUuupsW+h2tgdF3/Ks7lAyFcA/eKwZm+qJRcYTk5/u9S8nuO40w6WHKJKO9lq+Qa&#10;ChdqSfc+q6oXsxlhON/F2aBwTb/gzECAzxGDjw9KpeQahvsXnMs23BOGJbdvuulcjWtgDMOtxLl8&#10;ZFrx23DvGJzpT0Rz38L53gn7XpdhUrmFDc70RaXk4ky2mJZbjXvB4Ey2CNvt9/z5oCXXsNwVuAYG&#10;Z/KFrtu/xL1idDOu45wflZKrCfdwnMs23BMGH58OllwiynvZKrnySoa4rl/kxY1wVpVhui6u5xec&#10;SwWu6RecyQVN0z6j64mDTNOJm6YzR5juHbod34h7DSt4/KBUSm40GvsazmUb7gmT65KrabHv6Gb8&#10;YGG5p8u37RmGWyOvYo77DCOBS66e/NXKqJE/tyPpj7xCO+4dgzP9UDmvdQ4O5QvDclfjfjE40xeW&#10;3NTowrkQ99I7QUuuMJ02XAODM/lC5T7chuWuxTk/KiVX1/Uv4Vy24Z4w+Ph0sOQSUd7LVsmVDIX/&#10;YMq3G+OcKlzLL4YdPxfnUoHr+gVnMs2yrD2FiP9IiPgVuJdsBfcUlErJxZlcwD1hslly5fnluh4v&#10;0UxX6b6zYSdoycV5v+BMPsO9Y/DxfZFXmMdZTBindGSKsBJzcb8Y1fOs87nkyl8U4l52eY6W+w7O&#10;ZIuw3FNwP70TtORGLPcVXAODM/lC10d9HveKUX1nhErJxZlcwD1h8PHpYMkloryXzZKr6/avcW2/&#10;4JyKkSL+U1wHE+ZtHXBtv+BMJgy1rH0Mw9Giuv0eHj8Xwf0FxZKrJhKJfMww4tficXMRltzd95/K&#10;c7Es6wCcHXAxXQuft59kJTes/yalIlnJ1e34FpzJlrBLLs4PtKhewZ0ld3csuUSU97JZciVc2y+6&#10;iF2Cc8loltuO62CC3DIgGVzbLzgTpuLi4gOitvu66r06sxXcZ1Asuf2TF22KKNx+J5thyd19/6k8&#10;FxFzD8fZgRbNdMvwefsp5JIrhHM7zmQLS26wGEZC6SKULLm7Y8kloryX7ZKrm84xuP7uCfZ2L9Xz&#10;feXbAXE2Vbi2X3AmDPLVHmHZT+Cx8iW436BYcv1FLffofHm1HhN2yY1q7os4k89w/xh8fF+EcC7C&#10;2YEW3UpchM/bT7KSK4Q7D2eyJVnJNa3EbTiTLSy5wcKSmzqWXCLKe9kuuUVFRXvi+n4JcgEqeTEW&#10;nMdEQr6HHa7vF5xJVy7PtVUN7jkoltxdyV/MCMv+N66fTwm75Mpf4uBMPsP9Y/DxfRFWYgbODrSw&#10;5GYWS26wsOSmjiWXiPJeDkpukSHcB/AYGF23X8W5vuCsX3TTSeBcOnB9v+BMOgzhPoPrhxl56xJD&#10;uDuE6TSblnN/n/GZ7R3cd1Asuf+jWXEH1w07wkr8U37ed/s894phuPU4t+saLLn9BR/fF5bc/2HJ&#10;TQ1LbrCw5KaOJZeI8l4uSm5pqfNZPIZf5HmnOIs0hRu+R+zEBziXLjyGX3AmFaZpfi6iuR/g2kES&#10;0e33hHAfMEy3zLDdP+ExgsC1Mfj4oFhyuxlm4nxcM2jkLYOEcK7TTWeMYbjfxmOoCvs+uTjvF5zJ&#10;Z7h3DD6+Lyy5/8OSmxqW3GBhyU0dSy4R5b1clFxJ5fxCw4gtxTlkCPdxnMPopnMlzqULj+EXnAnq&#10;sMMO+zSuqZKonfhAmPH1phkfjmumC4+FwccHxZIr73XpTsT1VGIY7vOG5V4eiRz7MVwzHSy5/cO9&#10;Y/DxfRFJ7nEqI295ouvx7QUb4Z6Oz9sPS25qsl1yDcN6abfPcQHFsNwmfM5+WHJ3x5JLRHkvVyXX&#10;NM0D8Th+wbneLMvaBx/vF5wLAx7DLzgTRHFx8V64XrJEbfdFeZsmXCtMeEwMPj6owV5y5dWTca1k&#10;MQy3EtcJE0tu/3DvGHx8XwzbPRRnMdFo7Js4NxCx5KYm6yXXjN+JMwMRS+7uWHKJKO/lquRKyX6Q&#10;kdFE7DCc66FbTgU+HqOZwf6jrgqP4xecCUK+YoPr9ZWobv+nRNO+g2tkAh4bg48PajCX3KFD1X5p&#10;0xPNdp7ENTIhFyVXt+0f41y+wr1j8PF9GT58+Edxdrdk4N0Z+SjZfxtYcv1lu+TK4MxAxJK7O5Zc&#10;Isp7uSy5hhW7HI+FEVbftxNSuUdsVMR+h3NhwOP4BWdUCZH8P6g90S3noaKioiG4Rqbg8TH4+KAG&#10;c8k1rEQTrtNXNM0dhvOZEnbJFaazAdfA6HZiFc7lI92M9/uDngzO9EXlnSnCdO/DuYGIJTc1YZfc&#10;iOa+iGtgcGYgYsndHUsuEeW9XJZcCY/lF8Nwv4Fzwoofj4/zC86FBY/jF5xRpXrLGE3EHZzNNNwD&#10;Bh8f1GAtufIia7iGXyKa++7w4aM+ivOZZNjOSNzHLs81aMkV8Xm4xm6x7GdxLh8J4d61294hONMf&#10;nPULzgxELLmpCbvkCtNpwDUwKheILHQsubtjySWivJfrkqvr8Y14PIwQzu04F9Xc1/FxGN10TsC5&#10;sOCx/IIzKoYNG7Y3ruMXXcRX4mymWZaVtIjhTFCDteQKEZ+Na/jl0EOtT+Bsphmm0++VnoOWXM10&#10;foNr+AXn8pHKBfRwpj+6br2B8xj5PQLnBhqW3NSEXnIVvi8J4Z6CcwMNS+7uWHKJKO/lvuTqX8Lj&#10;+aX3zLBhpfvj3/slkz8M4rH8gjMqdDN+Bq6DidqJ13EuGzQt9kPcCwZnghqsJTei8Esbw4qtwLls&#10;6LpSt89+/vtcA5ZcCdfwizDdm3Eun0Sjsa/hnv2Cc/1Recu6YTgazg00LLmpCbvkjhjhfgrXwAjL&#10;3YZzAw1L7u5Ycoko7+W65EryXnV4zN3jntvz+KjtPrf730Msp2LXo4Rrt+P5BGdUJCsUMobpTMa5&#10;bND1uI57weBMUIO15OK8X3AmW3AfmFRKrjDdzbgOJqLb/8G5fGIYsQ7cs19wrj8q34+jtvsKzg00&#10;LLmpCbvkSriGXyzL2hPnBhKW3N2x5BJR3lP5oSrTJTdqxk/DY2LkuYjysSUlJfvi3/ll5Mj4F/A4&#10;YcLj+QVnVMjnietgcCZbdMu5H/eCwZmgBmPJjUajn8R5jLDsR3EuW3AvmFRKbjRq/xXX8YthuZfi&#10;bD4YOnRo0otE9QRnk1G5oN6IESM+hXMDCUtuajJRcoUZr8V1MIbl5uRdJtnCkrs7llwiynv5UHIl&#10;PKZfDMP5gXwVE/8cE7UTH+D6YcNj+gVnVOAafsGZbMF9+AVnghqMJdcwHIHzGMNy1+JcNmiamfT8&#10;2VRKroTr9BX5iy2czTXDcJ/HffYVnE1G3vYM18Dk+1u508WSm5pMlFxdjw/HdfyCcwMJS+7uWHKJ&#10;KO/lS8nVhLMGj4sxjFgr/plfNC2W8XvG4jH9gjMqcA2/4Ew2RKOxb+I+/IJzQQ3GkqslubCTjGE7&#10;i3AuGwzLXY17waRacnXLnYhr+SVqJ7rexZEv5PcX3GN/wflkdF3/Kq7hl298o3g/nB0oWHJTk4mS&#10;K+E6ftGFuxDnBgqW3N2x5BJR3suXkiuvGovHTSXyhyNcOxPwuH7BGRW4hl9wJhuEiK/EffgF54Ia&#10;jCXXsN0LcB6Tq5KL+/BLqiW3uLh4L1yrz5jxCTifC8XFxfvttrckwTVUyI8proMRlrsZ53Jp6FBr&#10;n9JS6+v456lgyU1NpkquLuLTcC1MNA/PoZf7xj9LBUvu7lhyiSjv5UvJlYRlP4HHDhr5yhOumwl4&#10;XL/gjApcwy84kw24h76Cc0Gx5PpHmO7dOJdpmumcivvwS6olV9KFcx6u11ei0dgfcT7bhBV/DfeV&#10;LLiGCiHU7gOum84YnM0VQ7j/6NqX6ZyEfxcUS25qMlVyVX8hJUz7CZzNFd10jurek9OAfxcUS+7u&#10;kpXcqG6/jTNERFmVTyVX05xiPHbQ4JqZgsf1C86owDX8Im/rgHOZJBTeSt4TnA1qMJZc3XROxnmM&#10;LFc4l2nJisb/9pZ6yS0qKhoiz6HHNfuKrts/xgWyRdOcf+F+VILrqIra7lu4ll9KSko+jrPZppvO&#10;lb33ZBjuDfiYIJJ97bHk+stUyZVU7pkrI0RsBs5mW8Q0h+6yJ8t9xzTNj+DjVLHk7i5ZyQ37eERE&#10;geVTyZXw2EGi2/EtuF6m4LH9gjMqcA2/GKazHOcyRfVc3J7gfFCDsuTq9q9x3i/y1RSczRTDit+G&#10;x+8raZbcohEjkn8P2uV4QvwZ18ik4cOHf1RYsZdxH6rB9VTpptoFf3quPJ8reh9Xx5e/FCgqKtoD&#10;H6+CJTc1mSy58nOJ6/WVaDR2CA5ni2VZX8T99MQwjB/g41Ww5O6OJZeI8l6+lVzDcMbj8VUjf1jG&#10;9TIFj+0XnFGh6/HtuI5fcC5T5FuO8Nj9BeeDGowlV8J5v8gfrnEuE4SIHY7H7i/pllwpark34Lr9&#10;RRfu6bhGJmha7Id47KDBNYMQlrsN1/OLPB9y2LBhe+N8phmmexzuBZPKO09YclOT4ZIrf6ExAtfs&#10;K5rpFON8pvVXcHsiRNzBuWRYcnenCTeK62Py8cr4RDSI5FvJlT+o4fFVouv2G7hWJuHx/YIzKoTl&#10;XIrr+EW3nIdwNmy6br2Kx00WXCOowVpyZUnBNfwi76mLs2HSdf1LeMxkCaPkSprmPIlr9xdDuM/I&#10;C0HhOiHZQ7cSd+IxMYZwn8I/w+DCQci3WOJ6/SWb98+V54nj8ftK0F9AsuSmJtMlVzIM6yVct68Y&#10;VuxonM+UkSL+Izx+XzFMZwnO94cld3ea5g7D9TFCuItxjogoa/Kt5ErCSvwT95As8hVgXCeT8Ph+&#10;wRkV8odUXKfPmE4C50Oyh2rpwuBCQQ3WkmsovpK58x7QQ3A+DLqu/xiPpxpcK1WpfN3pwl0W5sdE&#10;CPdMPEZfKSpK/ks5XD8ow7B/j2v2F8NwjsA1Qqb8tlUZXQ9+GglLbmqyUXKliOYqn0evWW4jzofN&#10;MONJfyHVE2G5H+J8Miy5/nB9jDwXGmeIiLImH0uufHsb7iFZcI1Mw+P7BWdUBXmLsBCxS3E+Hbpu&#10;/6y/oqHb3Ves7CuG7f4e1wxisJZcXdc/j2v0FVl0i4utA3CNdOimU4HH6YlmuS34ZxhcL1WWZe2D&#10;a6tEfs0K4dyF66k68MCSfTXTva+/r32Mbtu/lLP45xg8Vip0070e1+0v8lVxXCMMhuFMwmMlSyq/&#10;gGDJTU22Sm5JSeLjuHZ/kfe6jkatn+M66Sp1nM/Kd3Hh8fqLYRjfwHWSYcn1h+v7xTBjLs4REWVF&#10;PpZcKWq77+I++opuOjfifKbhHvyCM6p0Xe2CMz0Rwn1m5Mj4F3CdII6wrC/qdv/nA2vCLTVi7pH4&#10;57vsxUqMwrWDGKwlV9Istx3X6S9h3FZIN52E/AEU1+5JRLffk4/DP8fguukoLS3dH9cPFCv+mm45&#10;5ZqIjy4qKtoT15e6zt0z42cbdqKpv+ffVzTTGdezFv4dZtcjp07X4xtx7WQRZmI9rpMKYVnHRu3E&#10;K7h+f9l531ReeCqLslVyJfmOAVw/WaKa+7RpmgfiWkGNMM2vpPLvQb7FFtdSwZLrT3494TEw8pVz&#10;0zQ/jbPJyM+xZob39UpEg1C+llwRix2G++gzKXwDTddue/AJzgQhhLsD10sWWXZN2z0b1+qPELGJ&#10;KudCGpZzj3x8spJrmG4ZHiOIwVxyDzPNT+M6KjEsd13EsP+E6/VFnndrGO5VUd1+D9fC9NyyB/8c&#10;g8dIlzw3X9fjj+Fx8iGG5a7ovVf8e0zvx6YrksKpHDLy+4lhxk4dOnToPrhmX3TdPFgI5/auH1J9&#10;1uwvum6/iusFwZKbmmyWXKmvK2sni/zeI0R85RFHuMqvquq6/lXNdOZHLDfQL1t6Iv/bgmuqYsn1&#10;p3oFeBnDcK/t65eOPbquZC/cxT33Iw/reg9ENEjla8mVVO6fKYT7OM5lA+7DLzgTRLFlHYDrBY5l&#10;/1s3nXIh4qt027lSRpjxR4RlP7HbY/uJZv/vrY+mmfg+/v0ujzVj9+36TIIZzCVX0k3nBFwraHQ7&#10;/pj8PPd8zg3LXWsYiRp8XLLowj2lZ1/4d5hdn0V4NCsxF4+Vy+iWcyHuER+DwcenyzBilXiMoJG/&#10;EOv9NdLzvUF+7eBjg8YQ7j9wz0Gx5KYm2yVXiujJbyWTLPLzrVtutW671//v69G9W+WVwmSR7ygo&#10;LbW+jvsOgiW3b3iMZJHvDtItp2LXn0kSj+LjZFhyiSgt+VxyDTP5vTrlW3txLhtwH37BmaCC3qM2&#10;E4lq7uu978+qabHv4GN6R1ixF3Z9FsEM9pIrGZb6RVQyFtNe1HtPu/09pPdjwya/R6Vzn9owIi+0&#10;Yxj2X3BvEj4Wg48Pg2E5C/A4+ZB0zovujSU3NbkouZK8lgMeKx8iXxHEvaaCJbdvhhFz8ThhhReu&#10;IqK05HPJlXAvGHx8tuA+/IIzqdA07YepvF0wjEQ190V8e1GJrn8VH9c78rZDvR8fFEtuN2E6G3DN&#10;7MXe7fYawnTadn/c/6Lr3RdhyiQt5oxLVn4yEfm5wL30ho/H4OPDomnObyIK73bJVoSwbNxjqpJ9&#10;nlly/eWq5O60h6Y5/8Jj5iqaGX8EN5gqltz+6boV6OJfqmHJJaK05H3JtRJ9vl1JCOcifHy24F78&#10;gjOpklfSVXnrdpjp6xXZ4uLoJ/GxvSOvDI0zQbDk/o9hxK7FdTMZ+csU3YyX4D4kkeRtw4aZmIwz&#10;mSJE/GKV84nTjXwVSNcTX8LjI5zD4OPDFvSCZWEnanf9MixULLmpyXHJ7WJY7tFBrlIedmQx6rmW&#10;QFhYcpMakonPufw+gAciIlKW7yVXt/t+G9RBBx30EXx8tuBe/IIzadojlatJphLdTETw4L3h43sn&#10;lXsQ9saSu6vDDkvtYlRBE9Xct+TFnvD4PUTMNXCmdwzhPowzmSY/NsnKUCrR9Xi1vJURHq8vOI/B&#10;x2eC3K88fw2PnclEbfeDSCTyMdxLGJJ9Xlly/eVDyd1piGG5l+PxMx3Nco/HjYSBJTc5eVoTHi/d&#10;RDRLXqGdiCg1+V5ypYi2++2EhHB24OOyCffjF5wJw8iR5rcimvsWHiuM6KZ7Te/zb/uCc5j+ylIy&#10;LLm+hmgiMRqPEVZ03T4ID4g0TfsMzvVOjn/jvocWi31PCOc63JdqDNOdpeuJr+LCKnAtDD4+k+T9&#10;lg3bDXyRsSAxhLs1Go19DY8dJpbc1ORRye0y1LL2MczYeNxHmJHv6pBX+U3lfsyqWHLVdP2yzbT/&#10;jcdNJ3gMIiJlxcXF+8lX7vpLVMT+iHPZFLWsn+OeMvUKgircj19wJkzybZSGFVuK/0EIGvlWQ8Nw&#10;tCD3s8TnicHzeIMYMcL9FK6HwZlcwD1hotHoJ3EmDBHD/osQzj/w8xg0Qji3aFrsh7h+XyzL2hOf&#10;466J58Xnpcehh1qfiJiJ7xu2+3vDcEb27FP+//LPNC32vWHDxqb8y5je8GOLwcdnyR6aFisN69xu&#10;WY7kx07ll2Bh6P0584sQ8R/hTLZopvMb3E/vyL/HmWwZaZrfwv30jmG4vhdPywb5ORMifgV+baUS&#10;+ZZkw3ImyV/q4HEy4VDL+gR+LDE4kwu4Jww+PlPkz4zyc4SfN9XIC15qwhqF6xIR0SAj7y2nm3HT&#10;MBNL+js/T7fj24Xp3myYzqnyapi4DhWWiJkYKoR7Yndh9b/gi3wLqzCdZmE5C3QzoZum+Tlch9KD&#10;H3MMPj4XIpH4lw0zFhPCXahZbqPfu2NkdN1+wzDcGsN25mvCNUpLnc/iWkTpkr8sMQz3UGE5Fwnh&#10;PiD6uf+zEO5W+S4jw3ROMk3zJ7gW5a/f/S7yMc2K2/JdNsL0v3Xhzp9L7jNM56xsXMCQiIiIiBTg&#10;D20YfDwRERERERFRXtK0I3+IpRaDM0RERERERER5yTBjR2KpxeAMERERERERUV4yLPcqLLW9I6zE&#10;ozhDRERERERElJd0Pb4Fi23vGKa7FmeIiIiIiIiI8hKWWoy8kjnOEBEREREREeWdAw8s2RdLLWaE&#10;bv8Y54iIiIiIiIjyjhDuMiy1GJwhIiIiIiIiykvCir+GpRaDM0RERERERER5R9O0z2ChxRimswTn&#10;iIiIiIiIaJAQIv5TYTrN+Of5yDCsl7DU7hbTHIpzRERERERENAgUF1sHCMv9UJZDXbjL8O/ziabF&#10;vrNbofUJzhEREREREdEgEdXt/+z6Kmj8AnxMnhiCZdYvwnLPxEEiIiIiIsoSy7L20W37x/0FZ4jC&#10;EIlEPtbzCi5GiPjF+Phc0+34Y7hPvxQXF++Fs0RERERElCVaLPZD/CEdgzNE6ZIFF7/OMMJ078a5&#10;XDGEczvuzy+GmZiMs0RERERElEUsuZRtJSUl++LXWF+J6vbb8mrGuEY2GcK9C/fll4jmvouzRERE&#10;RESUZSy5lG26Ht+OX2PJopnOWbhOpslXm6Oa8zTupa+UllpfxzWIiIiIiCjLWHIpFwzDfR6/zlQi&#10;RPxXuFYmRA33aDx2f9HN+N9xDSIiIiIiygGWXMqVqG6/h19rqhHCGiWvdoxrpmlI1HAEHitpLHcb&#10;LkREREREg4BmOv/Xb7TYD3GGMo8ll3LJNJ12/HoLEsNIPK+JuIPrBqFp1jBDuP/AtVUSiTrPZaBs&#10;ExEREVG+04VzIf5wiJH3ysQ5yjyWXMo104yfjV9zqUR+DxHCfdww3HpduIsNyx0rROLYnhimc5Jh&#10;xJYatlspLPufwnLfxzWCRAjnGRZcIiIiokFK9W2JUTM+AWcps1hyw6GZTrFuuXVRO/GWrtuvCjP+&#10;iGEY38DHkT9dt3+m+n0iHyKE+wA+ByIiIiIaJDTTLMYfEPtK1HZfx3nKLJbc9Ol231cLFsK9Fx9P&#10;fTOEcwt+DPMpwnI/lK8I476JiIiIaBCRbx/EHxT7i2G4fPUri1hy0yOs2Av48cLollOBc9S3EYb7&#10;bWHZ/8aPY64jLHcz7pWIiIiIBhnLsvbBHxSTxTCsl3AdyhyW3NQJ4ZyDH6u+IkTsEJyn/kVE/FfC&#10;sp/Fj2W2E7HcV+TFqXB/RERERDQI6Xr8MfyBUSXDhg3bG9eizGDJTV3Udt/Fj1VfMUynGedJzbBh&#10;pfubprtZvlUYP66ZTFSWW4vlloiIiIh6SfWHUmHZj+JalBksuanDj1Oy4DwFNuSII6wv6nrf50CH&#10;EcN0zrIsa088OBERERENcoaILcAfHoOkqKhoL1yTwseSm7Ih+HFKFlyA0mNZ1gGG4XxXWM7UiJX4&#10;J368VSJM91bdjOsjTPMrvB0QEREREfUr1Vdxe2KYzjhck8LHkpu6QLe8sRL/xHkiIiIiIioQhmH/&#10;abcf8lMIrkvhY8lNnbwXLn6s+oqw3NNxnoiIiIiICgT+gO8XYTob8M8wuh4/GNemcLHkpieicPEp&#10;XjGciIiIiKiAabHY9/CHfIyuW6/Kx+KfY6K6/TauT+FiyU3PQQcd9BFhOW/ix6wn8hY4xcXFPL+c&#10;iIiIiKhQ6Xp8C/6gj7Es64vysUK4T+HfYTQt9h08BoWHJTcchhW/TVjuOz0fM1233zBtez4+joiI&#10;iIiICkhJScm+WJAwwnLe6Xm8YTh/xb/H6JZTsetRKEwsuURERERERH0wjNgKLEgYYcUu6T2Df++X&#10;3o+ncLHkEhERERER9QHLkV9wRhOJNfgYjGE7S3COwsGSS0RERERE5EPeIgXLEUaY8SqcU3mLc0Rz&#10;P8A5CgdLLhERERERkQ95JWQsR5hIJP5lnJNUbidkWO5YnKP0seQSEREREREBIeK/wmKEMYxEn/cK&#10;NWz7T/h4TFRzX8Q5Sh9LLhEREREREVC5bZBhOifhXG9RO/EBzmA0TfsMzlF6WHKJiIiIiIh6KS4u&#10;3gtLkV9wDplm/GycwQjhPo5zlB6WXCIiIiIiol40y23BUoQRwlmDc35wzi84Q+lhySUiIiIiIupF&#10;WO6HWIowqm8zNi23EWcxwozX4hyljiWXiIiIiIhoJ8OMnY+FCNPfBafQSNM8EOcxslQXFRXtgbOU&#10;GpZcIiIiIiKinYTlvo+FCKNp1h9wrj847xfddMbgHKWGJZeIiIiIiEi+6iriP8Iy5BecS0bX4xFc&#10;wy84R6lhySUiIiIiIlJ8xVWI+MU4p2APpfN8Tec3OEjBseQSEREREdGgN8I0v4JFyC8HHWR+BGdV&#10;GMLdhGthDMt5E+cGmuLi4v2GDx/10d7Bx6SLJXfQGJLpr6Vcw+e38zkOwccNFvL2bj4fj4yzLGuf&#10;XByXiIiIKC26EWvFIoSJ6vZ7OBcErueXSCTyZZwrRMOGjd1bvjIthPMwPsf+Iu8bHDUcUVJSsi+u&#10;qYold+CRvxwxTPdsYbnv4Oeyr+h6/LFoNPHHYcOG7Y3r5RtZojThlup2/DF8HslimLHLSktL9y8q&#10;KhtoF68bYprmtwwjVo/P2S/yegqG4ZyEiwQkj/kRw4otxfX7i2YmHikttb5uWdaeuCARERFRjhTv&#10;hT+0+EUWN5wMIqK5z+GaGCGcu3CuUAwdOnQfXXcqIrb7Lj6vVNL9Q2uiY9gw+QO8ujBKrm4mTCHc&#10;Z5IlH19VE5b9BO4TYxixDpzrDR+PwcdnwmGHmZ+Oau5zKm/1T5ao5r4lRHwhHiOXTNP8iq7Ht0dt&#10;9wPcb6qJ2u7rQjhT8VjZMHKk+S38OsHgTB/20u349pQ+72b8flxMhWW5w6Ka+2JKx4Touv2qbtq8&#10;kCARERHllhDxmfiDCkbXrTdwLihNJA7Ddf2Cc/lOF+4pUdt9BZ9HmJEff8N0j8Nj+wmj5MpXZHDG&#10;L1E78QrO5pjS+d+6nfglDvaGj8fg48Okm84xum69iscMK8J02vCY2SREfGU0pF8E9Rf5qvAIw/ku&#10;Hj9TDMP5Lu4BgzO9ybci63p8I84EiWG7f8F1+yOEu1C+QwfXCSNR3f6PMN378JhEREREWYE/nPhF&#10;NxNn4FwqVG5RZNjuFJzLR7rlnKfyfMJMRLffE8Itxb30FkbJlQzDVXqbZD69HVYT7uG4P7/gHMLH&#10;Y/DxYdC02PcimvsiHitTMSx3Be4hkwzTuQz3kI0IK/ayvHI87icT8NgYfHwPXXcS+NhUguv2RTfj&#10;eqbKLUaWXd20j8I9EBEREWWMfNUIfyjxC86lSjed63FtjCyOOJdPoqb7k2z9gNhXhHC3RiKRj+He&#10;pLBKbome+CrO+UXXEybO5gruzT/xC3AO7T6za/Dx6RLCnYfHyEbkebvy1W/cT5iEiDt43FxEmE6D&#10;PN8U9xcmPCYGHy8ZlnstPi7V4Np+DMtdh3PZiDDdu3EvRERERBkhLOdN/GFkt1jOQziXjt3W94kQ&#10;cRvn8oEQietwr7mMbiZG4B7DKrkSzvUVnMuFEtP8HO7LLwcemPyiXjiDwcenQ7ecalw/mzEs9510&#10;LnTWF/n2W81yO/F4OY/pWrjXsOx2LAg+XpjxBnxMqtE051+4fm/ymgFK3+8zGcvtxH0RERERhUrT&#10;tO/t9kOIT4qLR++Hs+kQCrcTEpb9b5zLJcuyDoho7lu4z7yI6Vzde69hllzdjJs46xddT3wVZ7NN&#10;E4m5uC+MMGMv4JwfnMPg41OlW04Frp2LyAtc4d7SUWpZX8dj5FOEcDNygTs8Dqb3Y4Vwbse/Tyf9&#10;XbRPnmOf84K7M4aVuA33R0RERBQaw3Kb8AcQTCbKphCxP+Nx/BJ2uU6Vruufx70FSfdVkt3nhZlY&#10;Lyz3TN1OHNQ78s+EiK83jMTzUTuR0pVmjV5Xbg2z5MqrJ6tcyMmw3NU4mG24J7/87nf+b/FGOIfB&#10;x6fCMJ2zcN1kkec3Rm33RWEmHtHNxGm9v44MM36uvCpv1E7tlzFCOLfgHlMxcqR5IK4dJFE78ZYQ&#10;7lO6lVirCff4XZ6j7R5q2vHp8hdl8lxbnA0SeYywrw6Ox8D0PM4wHIF/l250Mx7ZdTf/Y1puCz4+&#10;WSKa+0HUdp/TROI6Tbgn7vq15syRH79UT9swzJjSRfSIiIiIAsMfPPximLEYzoUBj+MXYbmbcS7b&#10;5O17VEqeXwzTnp/KfSPljGHGZ+F6ySJEvOuquSGX3CLDTnTgvF9wLps0zfoD7gcT1a23ca4vOIvB&#10;xwd1yCHaZ3DNZPmrrn8J1+mL/BrSbOdfuEayyNvg4FpB6Hp8eCr/XuQvgna+9T5w6ZT3yE3luXYf&#10;13kT10sHro+RjykpKfk4/nl/kb/8ElZ8lHz7987zp+XHqCd7yD+XpRP30kPedxvX7C+yvMr7MuM6&#10;fZHnOeMaySK/RnAdIiIiorTJWzvgDx5+wbmw6JZzDh7LLziXbfKVM9xTf5E/rGta7Du4TqoMw/2G&#10;fBUYj9NnzPiEsEuu/CEa5/0iROIQnM0Ww3BrcD8Y3VK/fyrOYvDxQamWsq6rd5vmV3Be1YgR7qeC&#10;vE1V3goL11Clac5vcL1kEcLZdJhpfhrXStEeQsSPx2Mki67bad8erQeujZGPMSz73/jnGPl9J2Ka&#10;Q1Mp/Uj1PsTyNmV9XcxORTQa+xqu2V+EGa/FNYiIiIjSolLedBFfiHNhkbedweP5RZjuHTibLUHf&#10;imfYjoZrhOVwLaZ0/nTXPgw76Ss3uH4yQrjP4BoYIdwdOJctuBe/4Ex/cBaDjw9C3ioI1/NNiKcK&#10;qJ77Kz/POKtC/mIH1+ovETvx1kgzvVeN+7GHEE6gC8TJtz/jIqnAdTFR0/wJ/hkmajh/xXVTZZjO&#10;qbi+X3Qztst5/amz9ozaztO4vm8stxqniYiIiFKmm/bJu/3A4ZNiyzoAZ8Okck6wPEc1jFczgtJ1&#10;+1XcS18Rlv1okLf3pcMwnfPx+KkE100mqlCcZXa+pTKrDNMZh/vAyHv+4lx/cB6Djw9C5YJD8tV7&#10;nEuXMOMP4nF6Rzfjp+GMqiC/EDLMxGU4nwmRSPwXeOz+IoT6K/19wTUxuh7fjn/W++/C/vdjGNZL&#10;eByMfBcEzqVL05wn8Ti9o4nYYThDRERElBaVqwQbWXhVTtOSv622ay+GMxJnMynI+bDCdG/G+UyT&#10;rwR2vY3VZz+qwTVVqFwUSwR4S3BYIpr7Iu4DU1p65Ndxrj84j8HHB4Fr+aVE1zNytWrTsp/AY8lX&#10;4A891PoEPlaVfEUO1+wzZixjt+/xM3SotY+w4q/tto8+Iv9t4RpB4HqqEaZ7K64VBjyOX3AmDH2d&#10;4iDM+COpXKeAiIiIqF+q502V6vavcTYT8Lh9BecyRddHqV9J2XSux/lskT+8q7xK01dwPRVCODfh&#10;OpiwL+STjDyHEPeAkeca4lwyuAYGHx8EroWJhHw7n96GDx/10d7HMsz4BHxMEFHbOQL331c00ynG&#10;+WyJKvwiREZY7js4GwSup5JMnZIhRCyKx8IYlrsW58Kimbueo63r9i/xMUREREShwB9y+grOZYom&#10;XAOP7ZfSUuMHOJsJwoq9gMf2i2E6XVcyzrWo5r6Le1MJrqNC3tIJ1/HLcH3U53E2U3TTvRGPj9GF&#10;OxHnksE1MPh4VULEDsO1MMKOX4FzYdKFe4qmOf/CP09FRPFtyhHhno6z2SZvTYT78othOpNxVhWu&#10;lSzyysm4RlgMK/53PB5G3soI58KkWW67PC0F/5yIiIgoNKWlzmfxhxz/jDoGZzNoyO7H3z0RO/E6&#10;DoYtYtiH4nH9ku1XK/sT9HYkPcF1VOl2/DFcC6NbTjnOZQoe2y84owLXwODjVelWYgauhdF1+2Sc&#10;y0eG5V6Oe/eNFb8TZ3NF9fZGOKcK10mWoqKiUM/B7c2w3Xo8HiYai30T54iIiIgKim64lfhDjl+K&#10;isK9+Ekypul04h78omnaZ3A2TKoXz8m3c8pUrtiKwTVURW1Hw7Uw2boHpmY6/4fHxsiLPOGcClwH&#10;g49XZVjx23AtjLDcM3EuH6lcoV0G53JJsxLH4v78optOShfHikYVryychbfv9neRq56w5BIREVFB&#10;Kykp2Rd/wPGL/MEIZzNN9XZChuVei7NhEULtSqyG7c7C2XwgzHgV7rW/4HwQuJZfDDMWw7mwCdPd&#10;hsfFpHrPYlwHg49XJc+/xLUw8hVSnMs3woqdh/v2S0TEf4uzuabybgRZ4HFOhRCJHbiWXyJW6vcj&#10;VqVScoVwDZwjIiIiKhiG6ZyFP+D4Zdiw0v1xNhuEFXsZ9+IXnAuLZrmNeCxMVLffxrk8MkT1lTUZ&#10;HA7CMJ05uB7GSPF+q0HgMTHpfL5wLQw+XlXUTCzCtTDCsp/FuXwjL9CE+8aEdd5v2I44wv0G7tUv&#10;umkfhbPJqJbc0lIr0NW+UyHPh8Xj7h73GpwjIiIiKhi7/3Cze1K5Cm1YDMNVOh/WMJ3xOBsGPI5f&#10;hJX7i+f0RzMT43HPfQVng5C3m8H1/IJzYdKFcw4eDyMvaoZzqnAtDD5elWE6J+Fafikxzc/hbL6w&#10;LOsA3K9fRhjOd3E2X+h6fCPuFyOE+xTOJaNSciOam/HrC0iGcB/GY/sF5+j/2zv7mEuuuo5vy1tX&#10;FAQBWwVKI0XZgE1chYdoeSjdpbf7PM+dOW9zZ85dsqK0SohVqBCCNaVEy1sjRutbgJZEJBKhEASB&#10;0tQEIm8SDSJBIIVSmlJAaGmhQO0f5mx42mc/e+6dM/fO3DvPc3+f5PPPs+f7O+fcfXYz587MOYIg&#10;CIIg7Ap0wnuUwaEqh8wuktSzX5mbF2PKi9hHTOb6yDD3tWfZtjEXY/ztrElVh0cspZz1vG/fvlOZ&#10;S4W1KNunsrm5mbT5m3HFzcz2BeuqGzjemMz1CWPKX+V4YzJXR8oiVzt/DXNdkOvqFew7pp7xvXVB&#10;EARBEISlopT7Li9saFaM72Nu0Rjr381xxVS2HDA7D7mtah/rC2fEMtdHtKmu49hjMteUsGkOa9Kw&#10;4GauDQ4fPnzCWa8xdeHfx1wTWI+yfRNYa5JhwdS3Tc4CHGdMZauSub7BMcfU1jd6tzxlkbu2Zvcz&#10;1xXse5LK+s6+kBIEQRAEQWid4XD4c7ygiZnb8QeZXQYcV0zjipuYmwfWj6lUcQ5zfYVjj8nMLLBm&#10;zCNHjpzO3LyohDuJ4Y4pc01gPcr2TVCu+gjrTdO48mh455p1lkHqkVUHN5fzbn8TdDG+muOmTc+x&#10;TVnkMtMl4RUU9j/J8E5/lvmns4YgCIIgCELv0Np/jBczMZlbFsb4L3BsMdvcIIu1YzLTZ7JifDfH&#10;T5mZBV34V7Mu1W50B3Pzwj5iMtMU1qNs34RwFBbr1RmOZTLWv5O1Fs2GKs7h2GIy10dUUT+XsMEW&#10;c9OoW+QuejOusHkWx1BnWOxqW17GWoIgCIIgCL2BFzAxjfOfZ25ZKFU+l+OLaWz5cWZnwVo7YG1q&#10;bHEbc31Gu/JdnANlZhbW19dPY92Y4YgoZmclHEnD+jQcB8VcU1iTsn1TjPEfYM1UjSvvCgvew4eP&#10;Ppx1u8YY/5ccD9XGX89cTzmFY4/Z5N3uukWusX7hT8yk7lwfM9zJNq66kjUFQRAEQRCWRnjPihct&#10;MTMzPpfZZcLxTZK5WVBF9RbWpeHCnrk+o3X9RmPMzIpSRe373spWY+ZmZVj4O1l/p229B8y6lO1n&#10;IGmBlWJeVF81prw2z0dPZSdtU/f5B7Ns9CTm+grHHnNtbS35Hdq6Ra4qqrcy0zXPe559NMcxi8ef&#10;JjD+C8b4129s+EexH0EQBEEQhIUQNpPihQrNVHEvc8vGGH8FxxlTO/8mZpsS7mKzLs10ZZjrO5wD&#10;ZftZSXn0dtjS71jK0TWmpZ1iWZey/SykfHazGBaiqvB/b8zoQvY5L+wrZpM7n8smy6uvc/z08GH1&#10;OOYmUbfIXdZjwFoXz+ZY2tAYf4u11dVKFb/GPgVBEARBEFrHuPIYL0hiGlP+CbPLJuwoy3HGbGOB&#10;blzxNdalufMHmes7nANl+3kwrvo+69Msy57AXFO0rV7GupSZWWFdyvazkrox3LwaM/4HVYznXoiw&#10;bsy+bJKVQviijOOn4Qg25iZRt8jN3fgVzCwKrasjHE/bhneYta3eoLU+k/0LgiAIgiDMTcqxQXvB&#10;PK+ewbk3Iem8VzU+g7m+wzlQtp8H5cavY30aHqdlrimsSY3xX2FmVlibsv2cnKK1+w776Eplyks4&#10;gFRYKyYzfca4ce2XgcaNk99J7fMiN6CUOiP1PPJ5zQp/T577TY5BEARBEARhJgaDcdIxH3tFzr8J&#10;aTsRrz+Yub7DOVC2nxfWj8lME5QqnsZ61LnqN5ibFdambN8G2lZ/E3a2ZV9dqVS5wTHUwRoxmekz&#10;q7bI3UZr/1GOrSvD7/SG1mdzDIIgCIIgCI2wzv+QFxp72QuUmvlOa9oid/fBOVC2nxdjq0+xD5rp&#10;4ghzqdiaHaPDhTQz88D6lO3bROvRR8MmP+yzC8NOzU3eoWU+JjN9ZlUXudvkRXUrx9iVufP/zv4F&#10;QRAEQRCSWF+v35xnrznM/Tf5OaSSssjd2ip/lrm+wzlQtp+XwUA9nn1QY6vPMpcKa1Flxm9mZh5Y&#10;n7J924T30o0ZPYf9dmFW+PvCJlgcQwxmYzLTZ1Z9kRtwzj3UOH8Jx9qFWe7vYf+CIAiCIAi1aOPf&#10;xwuLVfAZg8Ej+FmkIO/ktodSxffYD2UmBa3981mHrq+3+0g561O27xb3IKWKc7Qr38NxtOXxx6St&#10;fSx7JszFZKbP6MK/luOne32RuxNr7f6wE3PKkxmzmuX+bvYrCIIgCIIwkXChzwuKVVG70UzHCRlX&#10;3MRaNM+rdeb6DudA2b4Ncjt6KfuhypSvZ64Opcovs84JNVX5OWbmhX1Qtl8k4d/50JTPVK66ss3H&#10;mlPOGGYm5m7aXVm56gaOn+qiSn7Mfrcvcsn6sWOnKVs+15jyzZzLPBpXfIN9CYIgCIIgRFG2egEv&#10;JlZJfh4p5M5/hnWocePfYq7PpBxLw0xbsB8aHg9npg7WoJkZnc/MvLAPyvbLRmt9tnHVHxtX3Myx&#10;NjHPq1tZeydsH3Ofcw9irq9w7DHD+czMTWKvLXJjhDNxdVH9mbHlXZxfE7WprmNtQRAEQRCEk+BF&#10;xKqZG38RP5M6lKlexTpUu/Kfmesz1pYv5xwoM21hrH8/+6JN3nHWuv4cU2bagH1Qtu8bWle5Ksov&#10;cdwp5m58jPW20bb8ONtTbb1nrq9w7DEHg8HDmJvEKixyibb+5Vnuv825pri5WT2G9QRBEARBEO5n&#10;qP15vICIGc5IZLbvHDy4+ROcxySZrSPLsiewRkzm+oxJWIgw0xZbW/Ys9kW1G3+auUkMc/8j5nea&#10;W38ZM23Afijb9xnrqn/l+KeZqeIHrLFNrqsXsT0dznC3fhkMh8Of4thpeBycuWms4iJ3m/BOd3h1&#10;gHOepjH+FtYRBEEQBEG4n2HiN+lD7Q8xuxsIR51wLjHz3DU+K5U1YjY5ZmXZcOwxmWmT8EUK+6PM&#10;xNjcrP9yY21tbT9zbcB+KNvvBowrbuM8JnnkiDud+cCGrs5m25jM9ZFMFxdw3HTYcJOkVV7kbmOt&#10;fbRx1fc590kyLwiCIAiCcJxDhw49khcOMbNiXLuxTF/Ro6p2U6PgLMfUpFyQaT16PnN9ZGvLPplj&#10;j8lcm+RmXLC/k7QjxxzRxt9yUu4Ei9uYaYuT+zpRtt8tWFd9hHOJqbT/FrPbsG3Mra2t5EfSl4Ux&#10;1dQF6XFteSNz05BF7gOk/L8aVKZ8MbOCIAiCIAhhh9AP8cIhprL+HczuJjifSa6t2UZ396wb/wtr&#10;UGOqXfFYnXH+8xx7TOZa5hT2R40b3cEQqds5eEPrs5lpC/ZF2X43wbnEDEcKMbcN28bUunwbc32D&#10;Y44ZniZgbhqyyH2AgwcPPoTzjxkWw8wKgiAIgiAkXawFmdttGOvfzTnFNNZ/kNlppN79bLIBzbLg&#10;mCfJXNuEvwP2SaedbatUucH2lJk2YV+U7XcTShW/wvnEDIsUZgPK+BezbUzm+oRx/iUcb0zm6pBF&#10;7okYV72SnwHdjftECIIgCILQMcZVf8GLhpjhqBxmdxvhKA/Oa5LM1sF8TGP8+5jrE7nz/80xT5LZ&#10;thkM7GPZJ1WmfDNz27AtNab8XWbahP1Rtt9tcD4xnXOPZC6QeodO2WrMbF9IeW/c2OpTzNUhi9wT&#10;GQ7L2uPMmm7uJQiCIAjCCpBysRbM89FTmd2NWOe/yLnFNG58JbPTMMb/NWvEnHR3a9kopR7HsU6T&#10;+S5gnzGZCaxn2U+z3U7DRbHr+CxW9knZfrfB+cSctMgNaO2/xfYxmesDypZ/wHHGnOV4G1nkngw/&#10;g5jMCIIgCIKwwig7HvJiIeZeeucpM6PzOb+Y045BiXHw4MVJd6eMK25mtgfUvgNLWaALMjM6l/3S&#10;2Hu12o3+iu12alxxEzNtwz4p2+82OJ+Y0xa5eZ7/DNvH1LZ6A7PLxT2IY4xpzPh2JlOQRe7J8DOI&#10;yYwgCIIgCCtM6rFBxvk/ZHY3EzbF4RxjDvLRLzA7jZT3SIPG+AuZXSa59e/nGOtkja6o+7sypvoK&#10;M2xD2b4L2Cdl+3nI89FT+LOu4XxiDgaDRzC3k9T/fy64YHwGs8vCOv8fHF9MpcrDzKbQ80XuKYeP&#10;Hn04f9g1/AyoPK4sCIIgCML9hE17eLEwSWZ3O2HRzjnGNM7/kNlppL5rGGy662pXaD3yHFuKrNMV&#10;1lX/xr5puPjebl+3KdLQ+TtP7KEb2C9l+1nY+W/4wIEDD+WfdwnnE7NuTOGYIGZiNv132BXGlBdx&#10;bDHDmdzMptLXRe7239WiN3nKal49WMaYBEEQBEHoMcYV3+DFQkxjqn9kdg9wKuc5ybq7UcQY/xrW&#10;iPnjI1ZOZX6RGFMe47hSZa0OqX2UWtnqBduNrZ1+BFLuqoUsEtgvZfum5K48uvOIpEUuBLXWZ3I+&#10;NPXumlLl55iNaZz/IrOLZDi0B+qOpNo29gh9Kn1c5KqiessJ47DuE2zTFcoeHfAzoIv83RcEQRAE&#10;occ0ueMYvsFnfi+gtf8Y5xpTqfLLzNZQuyjbNlPuB+EdPxZYBNYWv8fxNJH1uiS8x8z+d5qp4t7t&#10;tvwzemLl7mC/lO2bEBZ8rBc0tryRbbtA69F/sW+aendtff3YacxOUqnyf5hfBFrrX0pd4Crr3858&#10;E/q0yA1/N1q773AMx+dp/CVs3wXh3zb7prqormZOEARBEIQVxNryXbxQiLmoRzuXgbX2LM53kmvW&#10;7md+GlmWPYE1JhkWA5ub7oms0SXGVNdxHE1lzS7R2p/H/mn4DI0pp56/uqhFYIB9U7ZPQdlS1e2G&#10;buzovcy1idbFs9lnzNyMkt8719b/NvOT/PHGbfc/nt412vmLOYZpzvt0Rl8Wudr617Jvakz5Euba&#10;RFv/p+wzJnOCIAiCIKwg4egUXiRMMrfVOvN7Cc53ksaUr2G2DmvLy1hnmrmtXsoabWPt0bOywt/D&#10;vmmeV7fyZ5S1u6ZucadMeW3d3JRSC9vAiH1Ttq9D2+pq1piktuXHmW+DobUH2Nckma1DueoG1pim&#10;UsXTWKNtbMMxbWzYn2eNpvRhkWtscRv7naR2/k3Mt4G1Vcm+Yg5zfzezgiAIgiCsIMqOLS8UJsns&#10;XiMs4jnnSTKbgkrYNGmn4dHALi7erbX7tfHXs7+Y4fHAMAb+nLKPrtFu9LccQxOzwn+bNbuE/VO2&#10;TyEca8U6k1TKfc/a8S+yxqzoojLsY5K5LT/MfArGjf6XtaZprH93+N1mnXlR1jv2VafW1RHWmYU+&#10;LHIDdbua79QYf8tgMG60d8E0bOId3OPakWdeEARBEIQV5KSLhAlq6y9ndi+SejE3VKVlNgWlyi+x&#10;Vp3G+Nu3jPll1mpKOFpGF/6TrD/NcLczH42eyp9T9rUIOIYmKlv9Dut1CfunbJ9C6tmyOw13da21&#10;j2atVPLR6Claj6PvZcbMCn8fazTg1OOL80jdaWpTXbe5WT2GxZoSFqrD3N/H+nVq61/NWrPSl0Wu&#10;tcUL2XedxlVXhf0eWCsVpYq1Ye5/xLqTDF8KsoYgCIIgCCtIuIjghcIk19fXT2N+L6Jt+R7OfZLM&#10;phI2r2KtVI0tP3zhhaOnOOd+knVJOJYoy0ZPCnfSWKfOsLHOYKAeH+r0dZEbNh7iOFJlra5h/5Tt&#10;U3Fu9JuslWo4u/WQc49kzZ0cPHjxQ5Qan5Gb8VXMp6hbuLOW5S75jjUN73GG8R9wburxReG93o0N&#10;/6ih9uel7jQf05jy71h4HvqyyA0o69/B/lMMX9KFp0HqjkkLf761tXWWKap/Yo0Uw5c+rCkIgiAI&#10;wgqSejE3LMZ7dsOpGJz/JJUqzmE2Fe38p1mvqWEhOk22b+KhQw8sfvq6yDVm/ByOI0Xt/DWs1TUc&#10;A2X7JjR935vy96at3yE742PKMbLC33lS/YZybpTtm6qtn3tBT/q0yA00fS+Z8jNv6/PXunoZxyoI&#10;giAIwgoSHlnkhcIk19bWWn/Prc8YV3yNn0FMrcf/yWwTjPEXsWYfDHe0do6zr4vcAMeR4hHnTmed&#10;ruEYKNs3RdvyUtZcprmrPsMxzkt4DJn99MU2NpmK0bdFbsBY/16OY5ka4/+cYxQEQRAEYUVJffRs&#10;FXer1Nqfyc9hkoPB4GHMNyFcHLPmslTOf2LfvstPOvKkz4tcY8orOJZpDovxPayxCDgOyvazkJnR&#10;+ay7DMORVBxbW+ii+HX2t0zDZnLzvHdaRx8XuYGw+zvHsgy1Li/l2ARBEARBWGF4sTBJZYsxs6tA&#10;6oY3xvp3MjsLdsl34qadY9rnRe7amt3PsUxzqIvzWGMRcByU7Wcl7Gpri2a7ErepUsULOaYOOFU7&#10;/zb2vWgzMzqXA2ubvi5yA2EjO45nkea5P8gxCYIgCIKwwmhbXs4Lhphhp2FmVwVlqlfx85gks/Og&#10;bPVW1u9S46rXcQykz4vcgDF+6kKgD+PkOCjbz4u2/vlNjhiaV2PLG8Pik+PokrAZnjH+AxxLl4bP&#10;NHflMY6lK/q8yN1GmfKK1F3p21Drxb9TLwiCIAjCLmCYu3t54RAzvHvF7CrBz2OS2lZ/xOy8KFe9&#10;0rjRHeyrDY0r72pycdz3Ra614wMcT0xV+Lczuyg4Fsr2baF1caTJlwBN1YW/vg87rxtTXps1OG6m&#10;qcb5zxszOp/9ds1uWORuo/Xo95uebZzqsBjfF74AZJ+CIAiCIAjC7uTU3FRX5Xl1Ky/8mjjM/TfD&#10;I55PfvJ87xALuxdt/aXWjW+eZyfbYeHvNrb6bJ5Xz2L9PhCO1lKufNe8iy3j/P8Z57+odfs7Ju99&#10;1h+s3eiNWe6/zs+1iZnzd5rCX7+56Z7IHgRBEARBEIQ9RrhzGc7/1Hr0yXC3Nyv83TsNP1OFf4ey&#10;RwfMCsI2mbVP16Z6o3HFTeGIntjvUXjnvI2zbpdJnttnqaJ6a55XX1Wq+G5snspWH9K6elF4x5t5&#10;YX6GpnymMuW1x3+nXHnXiZ9/eVf4ee78NcoePcysIAjCJP4fVkE3gDysxMUAAAAASUVORK5CYIJQ&#10;SwMEFAAGAAgAAAAhADHApEHdAAAABgEAAA8AAABkcnMvZG93bnJldi54bWxMj0FLw0AQhe+C/2EZ&#10;wZvdpDFiYzalFPVUBFtBeptmp0lodjZkt0n679160cvA4z3e+yZfTqYVA/WusawgnkUgiEurG64U&#10;fO3eHp5BOI+ssbVMCi7kYFnc3uSYaTvyJw1bX4lQwi5DBbX3XSalK2sy6Ga2Iw7e0fYGfZB9JXWP&#10;Yyg3rZxH0ZM02HBYqLGjdU3laXs2Ct5HHFdJ/DpsTsf1Zb9LP743MSl1fzetXkB4mvxfGK74AR2K&#10;wHSwZ9ZOtArCI/73Xr10kSYgDgqSx2gOssjlf/zi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YcJlULBgAAahMAAA4AAAAAAAAAAAAAAAAAOgIAAGRycy9lMm9E&#10;b2MueG1sUEsBAi0ACgAAAAAAAAAhAES6ApgTuwAAE7sAABQAAAAAAAAAAAAAAAAAcQgAAGRycy9t&#10;ZWRpYS9pbWFnZTEucG5nUEsBAi0AFAAGAAgAAAAhADHApEHdAAAABgEAAA8AAAAAAAAAAAAAAAAA&#10;tsMAAGRycy9kb3ducmV2LnhtbFBLAQItABQABgAIAAAAIQCqJg6+vAAAACEBAAAZAAAAAAAAAAAA&#10;AAAAAMDEAABkcnMvX3JlbHMvZTJvRG9jLnhtbC5yZWxzUEsFBgAAAAAGAAYAfAEAALPFAAAAAA==&#10;">
                    <v:shape id="Free-form: Shape 3" o:spid="_x0000_s1027" style="position:absolute;width:101295;height:21596;visibility:visible;mso-wrap-style:square;v-text-anchor:middle" coordsize="10129520,215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VzlwwAAANoAAAAPAAAAZHJzL2Rvd25yZXYueG1sRI/BasMw&#10;EETvgf6D2EBvsZxQTHGjhFAIbQ8NJK7vi7W1jK2VsRTH7tdHhUKPw8y8Ybb7yXZipME3jhWskxQE&#10;ceV0w7WCr+K4egbhA7LGzjEpmMnDfvew2GKu3Y3PNF5CLSKEfY4KTAh9LqWvDFn0ieuJo/ftBosh&#10;yqGWesBbhNtObtI0kxYbjgsGe3o1VLWXq1XQZsY0tv0c3w6yLD7mU3n+waNSj8vp8AIi0BT+w3/t&#10;d63gCX6vxBsgd3cAAAD//wMAUEsBAi0AFAAGAAgAAAAhANvh9svuAAAAhQEAABMAAAAAAAAAAAAA&#10;AAAAAAAAAFtDb250ZW50X1R5cGVzXS54bWxQSwECLQAUAAYACAAAACEAWvQsW78AAAAVAQAACwAA&#10;AAAAAAAAAAAAAAAfAQAAX3JlbHMvLnJlbHNQSwECLQAUAAYACAAAACEAVeFc5cMAAADaAAAADwAA&#10;AAAAAAAAAAAAAAAHAgAAZHJzL2Rvd25yZXYueG1sUEsFBgAAAAADAAMAtwAAAPcCAAAAAA==&#10;" path="m430372,l6043295,,8920003,r1209517,l10129520,2159635r-1209517,l6043295,2159635r-5612923,c192684,2159635,,1966951,,1729263l,430372c,192684,192684,,430372,xe" fillcolor="white [3212]" stroked="f" strokeweight="1pt">
                      <v:stroke joinstyle="miter"/>
                      <v:path arrowok="t" o:connecttype="custom" o:connectlocs="430372,0;6043295,0;8920003,0;10129520,0;10129520,2159635;8920003,2159635;6043295,2159635;430372,2159635;0,1729263;0,430372;430372,0" o:connectangles="0,0,0,0,0,0,0,0,0,0,0"/>
                    </v:shape>
                    <v:shape id="Picture 2" o:spid="_x0000_s1028" type="#_x0000_t75" alt="Text&#10;&#10;Description automatically generated with medium confidence" style="position:absolute;left:2703;top:2623;width:39586;height:17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KbswwAAANoAAAAPAAAAZHJzL2Rvd25yZXYueG1sRI9Bi8Iw&#10;FITvwv6H8AQvoqkKslTTIiuCLIuwrqLHR/Nsi81LbaLWf28WBI/DzHzDzNPWVOJGjSstKxgNIxDE&#10;mdUl5wp2f6vBJwjnkTVWlknBgxykyUdnjrG2d/6l29bnIkDYxaig8L6OpXRZQQbd0NbEwTvZxqAP&#10;ssmlbvAe4KaS4yiaSoMlh4UCa/oqKDtvr0bB9/Hn0k6kXT54Y03/cBrtNtVeqV63XcxAeGr9O/xq&#10;r7WCMfxfCTdAJk8AAAD//wMAUEsBAi0AFAAGAAgAAAAhANvh9svuAAAAhQEAABMAAAAAAAAAAAAA&#10;AAAAAAAAAFtDb250ZW50X1R5cGVzXS54bWxQSwECLQAUAAYACAAAACEAWvQsW78AAAAVAQAACwAA&#10;AAAAAAAAAAAAAAAfAQAAX3JlbHMvLnJlbHNQSwECLQAUAAYACAAAACEA5tym7MMAAADaAAAADwAA&#10;AAAAAAAAAAAAAAAHAgAAZHJzL2Rvd25yZXYueG1sUEsFBgAAAAADAAMAtwAAAPcCAAAAAA==&#10;">
                      <v:imagedata r:id="rId12" o:title="Text&#10;&#10;Description automatically generated with medium confidence" croptop="-1f" cropbottom="-6670f"/>
                    </v:shape>
                    <w10:wrap anchorx="page" anchory="margin"/>
                    <w10:anchorlock/>
                  </v:group>
                </w:pict>
              </mc:Fallback>
            </mc:AlternateContent>
          </w:r>
        </w:p>
        <w:p w14:paraId="6E59E1E1" w14:textId="77777777" w:rsidR="005213D5" w:rsidRDefault="005213D5">
          <w:r>
            <w:rPr>
              <w:caps/>
            </w:rPr>
            <w:br w:type="page"/>
          </w:r>
        </w:p>
      </w:sdtContent>
    </w:sdt>
    <w:p w14:paraId="093B75D8" w14:textId="77777777" w:rsidR="00407756" w:rsidRDefault="00BF09E1">
      <w:pPr>
        <w:spacing w:before="0" w:after="160" w:line="259" w:lineRule="auto"/>
      </w:pPr>
      <w:r>
        <w:rPr>
          <w:noProof/>
        </w:rPr>
        <w:lastRenderedPageBreak/>
        <w:drawing>
          <wp:anchor distT="0" distB="0" distL="114300" distR="114300" simplePos="0" relativeHeight="251658243" behindDoc="0" locked="1" layoutInCell="1" allowOverlap="1" wp14:anchorId="5F3347F5" wp14:editId="21C7EE21">
            <wp:simplePos x="0" y="0"/>
            <wp:positionH relativeFrom="margin">
              <wp:posOffset>0</wp:posOffset>
            </wp:positionH>
            <wp:positionV relativeFrom="page">
              <wp:posOffset>1061720</wp:posOffset>
            </wp:positionV>
            <wp:extent cx="3434080" cy="1202055"/>
            <wp:effectExtent l="0" t="0" r="0" b="0"/>
            <wp:wrapTopAndBottom/>
            <wp:docPr id="162750243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02431" name="Graphic 1">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434080" cy="1202055"/>
                    </a:xfrm>
                    <a:prstGeom prst="rect">
                      <a:avLst/>
                    </a:prstGeom>
                  </pic:spPr>
                </pic:pic>
              </a:graphicData>
            </a:graphic>
            <wp14:sizeRelH relativeFrom="margin">
              <wp14:pctWidth>0</wp14:pctWidth>
            </wp14:sizeRelH>
            <wp14:sizeRelV relativeFrom="margin">
              <wp14:pctHeight>0</wp14:pctHeight>
            </wp14:sizeRelV>
          </wp:anchor>
        </w:drawing>
      </w:r>
    </w:p>
    <w:p w14:paraId="492491BF" w14:textId="77777777" w:rsidR="00407756" w:rsidRDefault="00407756">
      <w:pPr>
        <w:spacing w:before="0" w:after="160" w:line="259" w:lineRule="auto"/>
      </w:pPr>
    </w:p>
    <w:sdt>
      <w:sdtPr>
        <w:id w:val="-224521014"/>
        <w:lock w:val="contentLocked"/>
        <w:placeholder>
          <w:docPart w:val="ED8EFE79597643B7A9BBD5E30DB5AD1D"/>
        </w:placeholder>
        <w:group/>
      </w:sdtPr>
      <w:sdtContent>
        <w:p w14:paraId="1AF821A8" w14:textId="77777777" w:rsidR="00407756" w:rsidRDefault="00BD3391">
          <w:pPr>
            <w:spacing w:before="0" w:after="160" w:line="259" w:lineRule="auto"/>
          </w:pPr>
          <w:r>
            <w:rPr>
              <w:noProof/>
            </w:rPr>
            <mc:AlternateContent>
              <mc:Choice Requires="wps">
                <w:drawing>
                  <wp:anchor distT="0" distB="0" distL="114300" distR="114300" simplePos="0" relativeHeight="251658240" behindDoc="1" locked="0" layoutInCell="1" allowOverlap="1" wp14:anchorId="7018E724" wp14:editId="06683C21">
                    <wp:simplePos x="0" y="0"/>
                    <wp:positionH relativeFrom="page">
                      <wp:posOffset>5105400</wp:posOffset>
                    </wp:positionH>
                    <wp:positionV relativeFrom="page">
                      <wp:posOffset>2603500</wp:posOffset>
                    </wp:positionV>
                    <wp:extent cx="5918200" cy="3759200"/>
                    <wp:effectExtent l="0" t="0" r="6350" b="0"/>
                    <wp:wrapNone/>
                    <wp:docPr id="2102716921" name="Rectangle: Rounded Corners 1"/>
                    <wp:cNvGraphicFramePr/>
                    <a:graphic xmlns:a="http://schemas.openxmlformats.org/drawingml/2006/main">
                      <a:graphicData uri="http://schemas.microsoft.com/office/word/2010/wordprocessingShape">
                        <wps:wsp>
                          <wps:cNvSpPr/>
                          <wps:spPr>
                            <a:xfrm>
                              <a:off x="0" y="0"/>
                              <a:ext cx="5918200" cy="3759200"/>
                            </a:xfrm>
                            <a:prstGeom prst="roundRect">
                              <a:avLst>
                                <a:gd name="adj" fmla="val 8824"/>
                              </a:avLst>
                            </a:prstGeom>
                            <a:solidFill>
                              <a:schemeClr val="bg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EE201B" id="Rectangle: Rounded Corners 1" o:spid="_x0000_s1026" style="position:absolute;margin-left:402pt;margin-top:205pt;width:466pt;height:2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57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pWrqgIAAMoFAAAOAAAAZHJzL2Uyb0RvYy54bWysVN1P2zAQf5+0/8Hy+0jTtVupSFEFYprE&#10;AAETz65jt5lsn2e7Tbu/fmc7SWGgPUx7ce7zdx+5u7PzvVZkJ5xvwFS0PBlRIgyHujHrin5/vPow&#10;o8QHZmqmwIiKHoSn54v3785aOxdj2ICqhSMIYvy8tRXdhGDnReH5RmjmT8AKg0oJTrOArFsXtWMt&#10;omtVjEejT0ULrrYOuPAepZdZSRcJX0rBw62UXgSiKoq5hfS69K7iWyzO2HztmN00vEuD/UMWmjUG&#10;gw5QlywwsnXNKyjdcAceZDjhoAuQsuEi1YDVlKM/qnnYMCtSLdgcb4c2+f8Hy292D/bOYRta6+ce&#10;yVjFXjodv5gf2admHYZmiX0gHIXT03KGf4ASjrqPn6enkUGc4uhunQ9fBGgSiYo62Jr6Hn9J6hTb&#10;XfuQWlYTwzTOBqt/UCK1wh+wY4rMZuNJB9jZInQPGR09qKa+apRKTJwYcaEcQd+KrtbjFEVt9Teo&#10;swwTzCmyOYpxLrJ41osRPs1dREl1vAigTAxjIAbMZUZJcWxbosJBiWinzL2QpKmxUTmRATkHZZwL&#10;E8qUo9+wWmRxOe1SfJVLAozIEuMP2B3Ay9p77JxlZx9dRVqIwXmUo//NefBIkcGEwVk3BtxbAAqr&#10;6iJn+75JuTWxSyuoD3eOOMjr6C2/anBCrpkPd8zh78epwpsSbvGRCtqKQkdRsgH36y15tMe1QC0l&#10;Le5zRf3PLXOCEvXV4MKclpNJPACJmUw/j5FxzzWr5xqz1ReAY1Ti9bI8kdE+qJ6UDvQTnp5ljIoq&#10;ZjjGrigPrmcuQr4zeLy4WC6TGS69ZeHaPFgewWNX40Q/7p+Ys92aBNywG+h3n83T8OeOHm2jp4Hl&#10;NoBsQlQe+9oxeDCQenGRnvPJ6niCF78BAAD//wMAUEsDBBQABgAIAAAAIQCvrwOJ3wAAAA0BAAAP&#10;AAAAZHJzL2Rvd25yZXYueG1sTI/BTsMwEETvSPyDtUjc6LptWqIQpwIE4sKFFomrGy9xRGyH2G2T&#10;v2d7orc32tHsTLkZXSeONMQ2eAXzmQRBvg6m9Y2Cz93rXQ4iJu2N7oInBRNF2FTXV6UuTDj5Dzpu&#10;UyM4xMdCK7Ap9QVirC05HWehJ8+37zA4nVgODZpBnzjcdbiQco1Ot54/WN3Ts6X6Z3twChBtlk9P&#10;GF9+l6s6rXZx+np7V+r2Znx8AJFoTP9mONfn6lBxp304eBNFpyCXGW9JCrK5ZDg77pdrpj2TlAsJ&#10;WJV4uaL6AwAA//8DAFBLAQItABQABgAIAAAAIQC2gziS/gAAAOEBAAATAAAAAAAAAAAAAAAAAAAA&#10;AABbQ29udGVudF9UeXBlc10ueG1sUEsBAi0AFAAGAAgAAAAhADj9If/WAAAAlAEAAAsAAAAAAAAA&#10;AAAAAAAALwEAAF9yZWxzLy5yZWxzUEsBAi0AFAAGAAgAAAAhADqWlauqAgAAygUAAA4AAAAAAAAA&#10;AAAAAAAALgIAAGRycy9lMm9Eb2MueG1sUEsBAi0AFAAGAAgAAAAhAK+vA4nfAAAADQEAAA8AAAAA&#10;AAAAAAAAAAAABAUAAGRycy9kb3ducmV2LnhtbFBLBQYAAAAABAAEAPMAAAAQBgAAAAA=&#10;" fillcolor="#ddf2ec [670]" stroked="f" strokeweight="1pt">
                    <v:stroke joinstyle="miter"/>
                    <w10:wrap anchorx="page" anchory="page"/>
                  </v:roundrect>
                </w:pict>
              </mc:Fallback>
            </mc:AlternateContent>
          </w:r>
        </w:p>
      </w:sdtContent>
    </w:sdt>
    <w:tbl>
      <w:tblPr>
        <w:tblStyle w:val="Blank"/>
        <w:tblpPr w:leftFromText="181" w:rightFromText="181" w:vertAnchor="page" w:horzAnchor="margin" w:tblpY="4537"/>
        <w:tblW w:w="14892" w:type="dxa"/>
        <w:tblLayout w:type="fixed"/>
        <w:tblLook w:val="04A0" w:firstRow="1" w:lastRow="0" w:firstColumn="1" w:lastColumn="0" w:noHBand="0" w:noVBand="1"/>
      </w:tblPr>
      <w:tblGrid>
        <w:gridCol w:w="6899"/>
        <w:gridCol w:w="850"/>
        <w:gridCol w:w="7143"/>
      </w:tblGrid>
      <w:tr w:rsidR="00BF09E1" w:rsidRPr="00BF09E1" w14:paraId="4662FD3C" w14:textId="77777777" w:rsidTr="004643AF">
        <w:trPr>
          <w:cantSplit/>
          <w:trHeight w:hRule="exact" w:val="4082"/>
        </w:trPr>
        <w:tc>
          <w:tcPr>
            <w:tcW w:w="6899" w:type="dxa"/>
            <w:vMerge w:val="restart"/>
          </w:tcPr>
          <w:p w14:paraId="3C2FF8A2" w14:textId="77777777" w:rsidR="00BF09E1" w:rsidRPr="00BF09E1" w:rsidRDefault="00BF09E1" w:rsidP="004643AF">
            <w:pPr>
              <w:pStyle w:val="MissionStatementHeading"/>
            </w:pPr>
            <w:r w:rsidRPr="00BF09E1">
              <w:t>OUR VISION</w:t>
            </w:r>
          </w:p>
          <w:p w14:paraId="17622716" w14:textId="4E9C7835" w:rsidR="00BF09E1" w:rsidRPr="00BF09E1" w:rsidRDefault="00BF09E1" w:rsidP="004643AF">
            <w:pPr>
              <w:pStyle w:val="MissionStatementBody"/>
            </w:pPr>
            <w:r w:rsidRPr="00BF09E1">
              <w:t>To positively impact people</w:t>
            </w:r>
            <w:r w:rsidR="003863F5">
              <w:t>’</w:t>
            </w:r>
            <w:r w:rsidRPr="00BF09E1">
              <w:t xml:space="preserve">s lives </w:t>
            </w:r>
            <w:r w:rsidRPr="003426C3">
              <w:t>by</w:t>
            </w:r>
            <w:r w:rsidRPr="00BF09E1">
              <w:t xml:space="preserve"> helping create better health services</w:t>
            </w:r>
          </w:p>
          <w:p w14:paraId="2B822E5E" w14:textId="77777777" w:rsidR="00BF09E1" w:rsidRPr="00BF09E1" w:rsidRDefault="00BF09E1" w:rsidP="004643AF">
            <w:pPr>
              <w:pStyle w:val="MissionStatementHeading"/>
            </w:pPr>
            <w:r w:rsidRPr="00BF09E1">
              <w:t>OUR MISSION</w:t>
            </w:r>
          </w:p>
          <w:p w14:paraId="3C39888B" w14:textId="77777777" w:rsidR="00BF09E1" w:rsidRPr="00BF09E1" w:rsidRDefault="00BF09E1" w:rsidP="004643AF">
            <w:pPr>
              <w:pStyle w:val="MissionStatementBody"/>
              <w:spacing w:after="0"/>
            </w:pPr>
            <w:r w:rsidRPr="00BF09E1">
              <w:t>To use our management consulting skills to provide expert advice and support to health funders, service providers and users</w:t>
            </w:r>
          </w:p>
        </w:tc>
        <w:tc>
          <w:tcPr>
            <w:tcW w:w="850" w:type="dxa"/>
            <w:vMerge w:val="restart"/>
          </w:tcPr>
          <w:p w14:paraId="0637FF69" w14:textId="77777777" w:rsidR="00BF09E1" w:rsidRPr="00BF09E1" w:rsidRDefault="00BF09E1" w:rsidP="004643AF">
            <w:pPr>
              <w:pStyle w:val="MissionStatementHeading"/>
            </w:pPr>
          </w:p>
        </w:tc>
        <w:tc>
          <w:tcPr>
            <w:tcW w:w="7143" w:type="dxa"/>
            <w:vAlign w:val="bottom"/>
          </w:tcPr>
          <w:p w14:paraId="2D4E1A7D" w14:textId="77777777" w:rsidR="004643AF" w:rsidRDefault="004643AF" w:rsidP="004643AF">
            <w:r>
              <w:t>HMA acknowledges Traditional Owners of Country throughout Australia and recognises the continuing connection to lands, waters and communities.</w:t>
            </w:r>
          </w:p>
          <w:p w14:paraId="285B01DB" w14:textId="77777777" w:rsidR="00BF09E1" w:rsidRPr="00BF09E1" w:rsidRDefault="004643AF" w:rsidP="004643AF">
            <w:r>
              <w:t>We pay our respect to Aboriginal and Torres Strait Islander cultures, and to Elders both past and present.</w:t>
            </w:r>
          </w:p>
        </w:tc>
      </w:tr>
      <w:tr w:rsidR="00BF09E1" w:rsidRPr="00BF09E1" w14:paraId="63B1D9FD" w14:textId="77777777" w:rsidTr="004643AF">
        <w:trPr>
          <w:trHeight w:val="1020"/>
        </w:trPr>
        <w:tc>
          <w:tcPr>
            <w:tcW w:w="6899" w:type="dxa"/>
            <w:vMerge/>
          </w:tcPr>
          <w:p w14:paraId="5E99B5FF" w14:textId="77777777" w:rsidR="00BF09E1" w:rsidRPr="00BF09E1" w:rsidRDefault="00BF09E1" w:rsidP="004643AF">
            <w:pPr>
              <w:pStyle w:val="MissionStatementBody"/>
            </w:pPr>
          </w:p>
        </w:tc>
        <w:tc>
          <w:tcPr>
            <w:tcW w:w="850" w:type="dxa"/>
            <w:vMerge/>
          </w:tcPr>
          <w:p w14:paraId="49E7D140" w14:textId="77777777" w:rsidR="00BF09E1" w:rsidRPr="00BF09E1" w:rsidRDefault="00BF09E1" w:rsidP="004643AF">
            <w:pPr>
              <w:pStyle w:val="MissionStatementBody"/>
            </w:pPr>
          </w:p>
        </w:tc>
        <w:tc>
          <w:tcPr>
            <w:tcW w:w="7143" w:type="dxa"/>
            <w:vAlign w:val="bottom"/>
          </w:tcPr>
          <w:p w14:paraId="5D536761" w14:textId="77777777" w:rsidR="00BF09E1" w:rsidRPr="00BF09E1" w:rsidRDefault="00BF09E1" w:rsidP="004643AF">
            <w:r>
              <w:rPr>
                <w:noProof/>
              </w:rPr>
              <mc:AlternateContent>
                <mc:Choice Requires="wpg">
                  <w:drawing>
                    <wp:inline distT="0" distB="0" distL="0" distR="0" wp14:anchorId="67D76EC4" wp14:editId="3E9A1A0E">
                      <wp:extent cx="1801067" cy="359410"/>
                      <wp:effectExtent l="0" t="0" r="8890" b="2540"/>
                      <wp:docPr id="1216696319"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801067" cy="359410"/>
                                <a:chOff x="0" y="0"/>
                                <a:chExt cx="1801067" cy="359410"/>
                              </a:xfrm>
                            </wpg:grpSpPr>
                            <pic:pic xmlns:pic="http://schemas.openxmlformats.org/drawingml/2006/picture">
                              <pic:nvPicPr>
                                <pic:cNvPr id="769797577" name="Picture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233377" y="0"/>
                                  <a:ext cx="567690" cy="359410"/>
                                </a:xfrm>
                                <a:prstGeom prst="rect">
                                  <a:avLst/>
                                </a:prstGeom>
                                <a:noFill/>
                              </pic:spPr>
                            </pic:pic>
                            <pic:pic xmlns:pic="http://schemas.openxmlformats.org/drawingml/2006/picture">
                              <pic:nvPicPr>
                                <pic:cNvPr id="1177610044" name="Picture 2"/>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750" cy="359410"/>
                                </a:xfrm>
                                <a:prstGeom prst="rect">
                                  <a:avLst/>
                                </a:prstGeom>
                                <a:noFill/>
                              </pic:spPr>
                            </pic:pic>
                            <pic:pic xmlns:pic="http://schemas.openxmlformats.org/drawingml/2006/picture">
                              <pic:nvPicPr>
                                <pic:cNvPr id="1005403488" name="Picture 3"/>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37954" y="0"/>
                                  <a:ext cx="487680" cy="359410"/>
                                </a:xfrm>
                                <a:prstGeom prst="rect">
                                  <a:avLst/>
                                </a:prstGeom>
                                <a:noFill/>
                              </pic:spPr>
                            </pic:pic>
                          </wpg:wgp>
                        </a:graphicData>
                      </a:graphic>
                    </wp:inline>
                  </w:drawing>
                </mc:Choice>
                <mc:Fallback>
                  <w:pict>
                    <v:group w14:anchorId="2F46CE25" id="Group 5" o:spid="_x0000_s1026" alt="&quot;&quot;" style="width:141.8pt;height:28.3pt;mso-position-horizontal-relative:char;mso-position-vertical-relative:line" coordsize="18010,35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2BvYpwIAAD4KAAAOAAAAZHJzL2Uyb0RvYy54bWzsVl1v2yAUfZ+0/4B4&#10;b23HiZ1YTappXatJXRft4wcQjG1U8yEgcfrvd8FO2iTVNvVhVaU9xAEDl3POPRdzcbkVLdowY7mS&#10;c5ycxxgxSVXJZT3HP39cn00xso7IkrRKsjl+YBZfLt6/u+h0wUaqUW3JDIIg0hadnuPGOV1EkaUN&#10;E8SeK80kDFbKCOKga+qoNKSD6KKNRnGcRZ0ypTaKMmvh7VU/iBchflUx6r5WlWUOtXMM2Fx4mvBc&#10;+We0uCBFbYhuOB1gkBegEIRL2HQf6oo4gtaGn4QSnBplVeXOqRKRqipOWeAAbJL4iM2NUWsduNRF&#10;V+u9TCDtkU4vDkvvNjdGf9dLA0p0ugYtQs9z2VZG+H9AibZBsoe9ZGzrEIWXyRRgZzlGFMbSyWyc&#10;DJrSBoQ/WUabT79fGO22jQ7AaE4L+A0KQOtEgT87BVa5tWF4CCL+KoYg5n6tzyBZmji+4i13D8F4&#10;kBYPSm6WnC5N3wExlwbxco7zbJbP8kkOwkgiwPcwy2+OEu84v9DP7VcSz+xW0XuLpPrYEFmzD1aD&#10;c0FdPzs6nB66B9uuWq6vedv6XPn2QBBcfuSSZzTqHXil6Fow6fqSMqwFrkrahmuLkSmYWDEgZT6X&#10;CSQaytkBI224dH39WEO/Ad5QS9YZ5mjjsVSAaXgPad0PBAKPmD07C/5Dq+6LKiEwWTsVaunIf8ko&#10;TVOv6KkLJxkIDuV9aMK9l0BhY90NUwL5BjABtGELsrm1HjdM3U3xyKXyeu609+iGNADYPn3QeDNm&#10;TJI8z5I4Ho+P3Th6224cvaIbwW3P+DCFov/vw4PT6fFQBAtOxnE6nsKd4PBUTN+2D9NX9GGW5rMJ&#10;FPapGcfTPJv+MzOG7zVcUsJZOlyo/C3oaR/aT699i18AAAD//wMAUEsDBAoAAAAAAAAAIQDA4mYs&#10;PwMAAD8DAAAUAAAAZHJzL21lZGlhL2ltYWdlMS5wbmeJUE5HDQoaCgAAAA1JSERSAAAAiQAAAFYI&#10;AwAAAMySRQEAAAABc1JHQgCuzhzpAAAABGdBTUEAALGPC/xhBQAAAEJQTFRFYDgUBAcH5h4letHq&#10;96/J9o0e////9p8c+O8U97TMYD0b97PLYT4cDIJAPV6rdCqFCQgMBQcJCggNKRIwOxhFAAAA8ste&#10;BAAAABZ0Uk5T////////////////////////////AAHSwOQAAAAJcEhZcwAAIdUAACHVAQSctJ0A&#10;AAJkSURBVGhDzdrJcttADABROlJk++DokPz/t4ZNNhctKYVlYDB9HWDqHXSiZtj1tvWjfcNJBskg&#10;jxs2nHqhjJJOKEj6oEySLiizpAeKkg4oi6SeskrKKZukmrKTFFOGswySQTLIyeyGcy+UUfKa8rNF&#10;SPqgTJIuKLOkB4qSDiiLpJ6ySsopm6SaspMUU4aLDJJBMkgGuZTScOmFMko6oSDpgzJJuqDMkkOU&#10;95yUHKJ8pLRI6imrpJyySaopO0kxZS+ppdxISim3kkrKnaSQci+pozxIyiiPkirKE8nlU8eYDJJB&#10;MshrAnomqaE8laggFaSCVNBXVM8kIkgEiSAR5DUBffMX6y0RPUpEkAgSQSLIS0J6kIggESSCRJB3&#10;xHQvEUEiSASJIK8I6k4igkSQCBJB3hDVrUQEiSARJIK8IKwbiQgSQSJIBLkf114igkSQCBJBrge2&#10;k4ggESSCRJDbkW0SESSCRJAIcjm0VSKCRJAIEkHuxrZIRJAIEkEiyNXglIggESSCRNCvnGaJCBJB&#10;IkgEuRjeJBFBIkgEiSD34kMigkSQCBJBriU0SkSQCBJBIsitjI59BXUppUNfht3J6cjXcleSOvAP&#10;ghtZrRIRJIJEkAtpLRIRJIJEkPN5KRFBIkgEOZ7YLBFBIkgEOZ3ZJBFBIkgEOZwaEhEkgkSQs7mN&#10;EhEkgkTQtUn/8cLByexev/pwML2XL2Gcy+/V6yDHGrRKRJAIcqpFi0QEiSCHmqREBIkgZ9o0S0SQ&#10;CHKkUZNEBIkgJ1qFRASJIAeaNUpEkAjyvF3/eL382+OGaZhSMfbH03Zdr38Bb7dJw2Ze0NcAAAAA&#10;SUVORK5CYIJQSwMECgAAAAAAAAAhANo7Pww0AgAANAIAABQAAABkcnMvbWVkaWEvaW1hZ2UyLnBu&#10;Z4lQTkcNChoKAAAADUlIRFIAAACCAAAAVggDAAAANHK+9gAAAAFzUkdCAK7OHOkAAAAEZ0FNQQAA&#10;sY8L/GEFAAAAUVBMVEUAAAB+eAD/8gCKgwAYFwAZGABHRABJRQDWywDXzABPSwBQTABTTwBUUADt&#10;HCTyYhjyYxjyXhjyXxj80AX80QXyWBnyWRnuMSD2kRD2hxEAAACaoQOpAAAAG3RSTlP/////////&#10;/////////////////////////wAnNAs1AAAACXBIWXMAACHVAAAh1QEEnLSdAAABRUlEQVRoQ+3S&#10;wW7CMBCE4bYgJDhYSC0Sff8XpYv+A61IPGu8uXS+W+JZ7yjKm5mZmZnZv/F+x8P2Pn7h5YZ2bH6w&#10;42gbe7b+sed4A2x8gkA51j1FpBjLFhAqxapFxAqxaAXBMqxZRbTIgS2rDoRrsKSDcIkjOzqOxCuw&#10;oot4AelPCHV/AwsEDMzH/QIG5uN+AQPTnbhfcGJkNq6XMDIbt0sYmY3bJYxImo7bJYwoXCFkKpy5&#10;XnBmRJGpkPgMDEhcIaQqXFjQdWFAkqogfwbimlyFT1Z0fBHX5CqIn4GwKFlB+htSf0K6gvQZiKqy&#10;FYQOBGXpCt0OxHT5Cp0OhBIGKqx2IJIxUmGlA4GUoQpLJThMGqzQrmx9cOUoa7TCDzaDlwNeqBC+&#10;73gY9GKFGVwhuEJwheAKwRWCKwRXCK4QXCG4Qmut3QChjBX/BQjHFAAAAABJRU5ErkJgglBLAwQK&#10;AAAAAAAAACEAqI1qm4cCAACHAgAAFAAAAGRycy9tZWRpYS9pbWFnZTMucG5niVBORw0KGgoAAAAN&#10;SUhEUgAAAHUAAABXCAMAAAANvvqzAAAAAXNSR0IArs4c6QAAAARnQU1BAACxjwv8YQUAAAB4UExU&#10;RQDKAAABAAAB/Sss/f///8fH/mRl/ZCR/WFi/YKC/kFC/XFy/fT0/hcY/ejp/rS1/ktM/ZGR/lNU&#10;/Q8Q/ezt/vX1/iUm/dbX/Tc4/RUW/VRV/X+A/dLS/uLi/hQV/fr6/jk6/U9Q/WNk/fHx/lJS/QEC&#10;/QCkAAAAAGN2aEoAAAAodFJOU///////////////////////////////////////////////////&#10;/wC+qi4YAAAACXBIWXMAACHVAAAh1QEEnLSdAAABZElEQVRoQ+3Y0W6CQBBGYWqoiXrRNBJjTLzt&#10;+z9imeXEIl3d+SmVEOa7AcbNnpJiY61CCCGEEJbnbQ6rqm7mENWi0+n+KBpTrRM7e7+dafRqCrWG&#10;5wq1uqXT+onW9ScvO4nVXrTe7TlJWOCjVQ8kcljiolUJZB1Z4yFV2f8BFnlMWG1Y5aBU2f0hljmM&#10;rn78HqWJy9gqo03/3eN/0wrVC5sbRoaJYVImVNk6YWSYGCZli6s2XYWJSdcef6hSYWLStcfop6k7&#10;XvrVHQvLhOrgrjj0pnbls7jq5vT66tUm57upTXyU6pHdW0wMk/RkeSnV/G0xUW51CdVsgcn/fYJ5&#10;WuXSRavmEkwOXLpMVuXKZwnVK4lMVcpK1Vs0V1WySrXwt0nICtUzm9d7Bh2GrS2TMqGaduZ8oEmv&#10;DX6cJ/zV0n8U9kvntEh6moq82WmrXquq8s3ea62q+jUHvhEPIYQQQhihqr4Ba6FDfW+cQKIAAAAA&#10;SUVORK5CYIJQSwMEFAAGAAgAAAAhAE6PebrcAAAABAEAAA8AAABkcnMvZG93bnJldi54bWxMj0Fr&#10;wkAQhe9C/8MyBW+6iWKQNBsRaT1JoVoovY3ZMQlmZ0N2TeK/77aXehl4vMd732Sb0TSip87VlhXE&#10;8wgEcWF1zaWCz9PbbA3CeWSNjWVScCcHm/xpkmGq7cAf1B99KUIJuxQVVN63qZSuqMigm9uWOHgX&#10;2xn0QXal1B0Oodw0chFFiTRYc1iosKVdRcX1eDMK9gMO22X82h+ul939+7R6/zrEpNT0edy+gPA0&#10;+v8w/OIHdMgD09neWDvRKAiP+L8bvMV6mYA4K1glCcg8k4/w+Q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JDYG9inAgAAPgoAAA4A&#10;AAAAAAAAAAAAAAAAOgIAAGRycy9lMm9Eb2MueG1sUEsBAi0ACgAAAAAAAAAhAMDiZiw/AwAAPwMA&#10;ABQAAAAAAAAAAAAAAAAADQUAAGRycy9tZWRpYS9pbWFnZTEucG5nUEsBAi0ACgAAAAAAAAAhANo7&#10;Pww0AgAANAIAABQAAAAAAAAAAAAAAAAAfggAAGRycy9tZWRpYS9pbWFnZTIucG5nUEsBAi0ACgAA&#10;AAAAAAAhAKiNapuHAgAAhwIAABQAAAAAAAAAAAAAAAAA5AoAAGRycy9tZWRpYS9pbWFnZTMucG5n&#10;UEsBAi0AFAAGAAgAAAAhAE6PebrcAAAABAEAAA8AAAAAAAAAAAAAAAAAnQ0AAGRycy9kb3ducmV2&#10;LnhtbFBLAQItABQABgAIAAAAIQA3J0dhzAAAACkCAAAZAAAAAAAAAAAAAAAAAKYOAABkcnMvX3Jl&#10;bHMvZTJvRG9jLnhtbC5yZWxzUEsFBgAAAAAIAAgAAAIAAKkPAAAAAA==&#10;">
                      <v:shape id="Picture 1" o:spid="_x0000_s1027" type="#_x0000_t75" style="position:absolute;left:12333;width:5677;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SXjzAAAAOIAAAAPAAAAZHJzL2Rvd25yZXYueG1sRI9PSwMx&#10;FMTvgt8hvII3m63Qxm6blq6geBDsH0F6eySvu0s3L+sm7a7f3giCx2FmfsMs14NrxJW6UHvWMBln&#10;IIiNtzWXGj4Oz/ePIEJEtth4Jg3fFGC9ur1ZYm59zzu67mMpEoRDjhqqGNtcymAqchjGviVO3sl3&#10;DmOSXSlth32Cu0Y+ZNlMOqw5LVTY0lNF5ry/OA318eXLmMOmoM+36SXbvhe7oh+0vhsNmwWISEP8&#10;D/+1X60GNZuruZoqBb+X0h2Qqx8AAAD//wMAUEsBAi0AFAAGAAgAAAAhANvh9svuAAAAhQEAABMA&#10;AAAAAAAAAAAAAAAAAAAAAFtDb250ZW50X1R5cGVzXS54bWxQSwECLQAUAAYACAAAACEAWvQsW78A&#10;AAAVAQAACwAAAAAAAAAAAAAAAAAfAQAAX3JlbHMvLnJlbHNQSwECLQAUAAYACAAAACEAet0l48wA&#10;AADiAAAADwAAAAAAAAAAAAAAAAAHAgAAZHJzL2Rvd25yZXYueG1sUEsFBgAAAAADAAMAtwAAAAAD&#10;AAAAAA==&#10;">
                        <v:imagedata r:id="rId18" o:title=""/>
                      </v:shape>
                      <v:shape id="Picture 2" o:spid="_x0000_s1028" type="#_x0000_t75" style="position:absolute;width:5397;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axgAAAOMAAAAPAAAAZHJzL2Rvd25yZXYueG1sRE9fS8Mw&#10;EH8X9h3CDXxzSWWsUpeNMRAUn9apsLejOZuy5tI1sYvf3giCj/f7f+ttcr2YaAydZw3FQoEgbrzp&#10;uNXwdny6ewARIrLB3jNp+KYA283sZo2V8Vc+0FTHVuQQDhVqsDEOlZShseQwLPxAnLlPPzqM+Rxb&#10;aUa85nDXy3ulVtJhx7nB4kB7S825/nIavHypD+Xp9HpMqeP36SORulitb+dp9wgiUor/4j/3s8nz&#10;i7JcFUotl/D7UwZAbn4AAAD//wMAUEsBAi0AFAAGAAgAAAAhANvh9svuAAAAhQEAABMAAAAAAAAA&#10;AAAAAAAAAAAAAFtDb250ZW50X1R5cGVzXS54bWxQSwECLQAUAAYACAAAACEAWvQsW78AAAAVAQAA&#10;CwAAAAAAAAAAAAAAAAAfAQAAX3JlbHMvLnJlbHNQSwECLQAUAAYACAAAACEAsrf22sYAAADjAAAA&#10;DwAAAAAAAAAAAAAAAAAHAgAAZHJzL2Rvd25yZXYueG1sUEsFBgAAAAADAAMAtwAAAPoCAAAAAA==&#10;">
                        <v:imagedata r:id="rId19" o:title=""/>
                      </v:shape>
                      <v:shape id="Picture 3" o:spid="_x0000_s1029" type="#_x0000_t75" style="position:absolute;left:6379;width:4877;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U8IygAAAOMAAAAPAAAAZHJzL2Rvd25yZXYueG1sRI9PSwMx&#10;EMXvgt8hjNCbTbSr1LVpKYIgSMH+wfOwme4u3UzWJHa3375zEDzOvDfv/WaxGn2nzhRTG9jCw9SA&#10;Iq6Ca7m2cNi/389BpYzssAtMFi6UYLW8vVlg6cLAWzrvcq0khFOJFpqc+1LrVDXkMU1DTyzaMUSP&#10;WcZYaxdxkHDf6UdjnrXHlqWhwZ7eGqpOu19vIW7jujjue//yc9p8fvFh+L64wdrJ3bh+BZVpzP/m&#10;v+sPJ/jGPBVmVswFWn6SBejlFQAA//8DAFBLAQItABQABgAIAAAAIQDb4fbL7gAAAIUBAAATAAAA&#10;AAAAAAAAAAAAAAAAAABbQ29udGVudF9UeXBlc10ueG1sUEsBAi0AFAAGAAgAAAAhAFr0LFu/AAAA&#10;FQEAAAsAAAAAAAAAAAAAAAAAHwEAAF9yZWxzLy5yZWxzUEsBAi0AFAAGAAgAAAAhALlBTwjKAAAA&#10;4wAAAA8AAAAAAAAAAAAAAAAABwIAAGRycy9kb3ducmV2LnhtbFBLBQYAAAAAAwADALcAAAD+AgAA&#10;AAA=&#10;">
                        <v:imagedata r:id="rId20" o:title=""/>
                      </v:shape>
                      <w10:anchorlock/>
                    </v:group>
                  </w:pict>
                </mc:Fallback>
              </mc:AlternateContent>
            </w:r>
          </w:p>
        </w:tc>
      </w:tr>
    </w:tbl>
    <w:p w14:paraId="3904B260" w14:textId="77777777" w:rsidR="00C45B21" w:rsidRDefault="00C45B21">
      <w:pPr>
        <w:spacing w:before="0" w:after="160" w:line="259" w:lineRule="auto"/>
      </w:pPr>
      <w:r>
        <w:br w:type="column"/>
      </w:r>
    </w:p>
    <w:p w14:paraId="043BE332" w14:textId="77777777" w:rsidR="00531096" w:rsidRDefault="00531096">
      <w:pPr>
        <w:spacing w:before="0" w:after="160" w:line="259" w:lineRule="auto"/>
        <w:sectPr w:rsidR="00531096" w:rsidSect="00D002D8">
          <w:headerReference w:type="even" r:id="rId21"/>
          <w:headerReference w:type="default" r:id="rId22"/>
          <w:footerReference w:type="even" r:id="rId23"/>
          <w:footerReference w:type="default" r:id="rId24"/>
          <w:headerReference w:type="first" r:id="rId25"/>
          <w:footerReference w:type="first" r:id="rId26"/>
          <w:pgSz w:w="16838" w:h="11906" w:orient="landscape" w:code="9"/>
          <w:pgMar w:top="851" w:right="851" w:bottom="851" w:left="851" w:header="709" w:footer="567" w:gutter="0"/>
          <w:pgNumType w:fmt="lowerRoman" w:start="0"/>
          <w:cols w:num="2" w:space="709"/>
          <w:docGrid w:linePitch="360"/>
        </w:sectPr>
      </w:pPr>
    </w:p>
    <w:p w14:paraId="0887B23C" w14:textId="77777777" w:rsidR="00A24EF4" w:rsidRDefault="006E5597" w:rsidP="006E5597">
      <w:pPr>
        <w:pStyle w:val="TOCHeading"/>
        <w:framePr w:wrap="around"/>
      </w:pPr>
      <w:r>
        <w:lastRenderedPageBreak/>
        <w:t>Table of Contents</w:t>
      </w:r>
    </w:p>
    <w:p w14:paraId="47CEEFEE" w14:textId="177C69AD" w:rsidR="00E40485" w:rsidRDefault="00E96C93">
      <w:pPr>
        <w:pStyle w:val="TOC4"/>
        <w:rPr>
          <w:rFonts w:asciiTheme="minorHAnsi" w:eastAsiaTheme="minorEastAsia" w:hAnsiTheme="minorHAnsi"/>
          <w:caps w:val="0"/>
          <w:kern w:val="2"/>
          <w:sz w:val="24"/>
          <w:szCs w:val="24"/>
          <w:lang w:eastAsia="en-AU"/>
          <w14:ligatures w14:val="standardContextual"/>
        </w:rPr>
      </w:pPr>
      <w:r>
        <w:fldChar w:fldCharType="begin"/>
      </w:r>
      <w:r>
        <w:instrText xml:space="preserve"> TOC \h \z \t "Heading 1,1,Heading 2,2,Heading 3,3,Heading 1-no number,4,PART Section Heading,7,Section Title,5,Heading-Appendix,5" </w:instrText>
      </w:r>
      <w:r>
        <w:fldChar w:fldCharType="separate"/>
      </w:r>
      <w:hyperlink w:anchor="_Toc232685848" w:history="1">
        <w:r w:rsidR="00E40485" w:rsidRPr="009A6E88">
          <w:rPr>
            <w:rStyle w:val="Hyperlink"/>
            <w:lang w:val="en-US"/>
          </w:rPr>
          <w:t>Abbreviations</w:t>
        </w:r>
        <w:r w:rsidR="00E40485">
          <w:rPr>
            <w:webHidden/>
          </w:rPr>
          <w:tab/>
        </w:r>
        <w:r w:rsidR="00E40485">
          <w:rPr>
            <w:webHidden/>
          </w:rPr>
          <w:fldChar w:fldCharType="begin"/>
        </w:r>
        <w:r w:rsidR="00E40485">
          <w:rPr>
            <w:webHidden/>
          </w:rPr>
          <w:instrText xml:space="preserve"> PAGEREF _Toc232685848 \h </w:instrText>
        </w:r>
        <w:r w:rsidR="00E40485">
          <w:rPr>
            <w:webHidden/>
          </w:rPr>
        </w:r>
        <w:r w:rsidR="00E40485">
          <w:rPr>
            <w:webHidden/>
          </w:rPr>
          <w:fldChar w:fldCharType="separate"/>
        </w:r>
        <w:r w:rsidR="00FD330A">
          <w:rPr>
            <w:webHidden/>
          </w:rPr>
          <w:t>i</w:t>
        </w:r>
        <w:r w:rsidR="00E40485">
          <w:rPr>
            <w:webHidden/>
          </w:rPr>
          <w:fldChar w:fldCharType="end"/>
        </w:r>
      </w:hyperlink>
    </w:p>
    <w:p w14:paraId="68D768AE" w14:textId="05F41EE4" w:rsidR="00E40485" w:rsidRDefault="00E40485">
      <w:pPr>
        <w:pStyle w:val="TOC4"/>
        <w:rPr>
          <w:rFonts w:asciiTheme="minorHAnsi" w:eastAsiaTheme="minorEastAsia" w:hAnsiTheme="minorHAnsi"/>
          <w:caps w:val="0"/>
          <w:kern w:val="2"/>
          <w:sz w:val="24"/>
          <w:szCs w:val="24"/>
          <w:lang w:eastAsia="en-AU"/>
          <w14:ligatures w14:val="standardContextual"/>
        </w:rPr>
      </w:pPr>
      <w:hyperlink w:anchor="_Toc232685849" w:history="1">
        <w:r w:rsidRPr="009A6E88">
          <w:rPr>
            <w:rStyle w:val="Hyperlink"/>
            <w:lang w:val="en-US"/>
          </w:rPr>
          <w:t>Executive summary</w:t>
        </w:r>
        <w:r>
          <w:rPr>
            <w:webHidden/>
          </w:rPr>
          <w:tab/>
        </w:r>
        <w:r>
          <w:rPr>
            <w:webHidden/>
          </w:rPr>
          <w:fldChar w:fldCharType="begin"/>
        </w:r>
        <w:r>
          <w:rPr>
            <w:webHidden/>
          </w:rPr>
          <w:instrText xml:space="preserve"> PAGEREF _Toc232685849 \h </w:instrText>
        </w:r>
        <w:r>
          <w:rPr>
            <w:webHidden/>
          </w:rPr>
        </w:r>
        <w:r>
          <w:rPr>
            <w:webHidden/>
          </w:rPr>
          <w:fldChar w:fldCharType="separate"/>
        </w:r>
        <w:r w:rsidR="00FD330A">
          <w:rPr>
            <w:webHidden/>
          </w:rPr>
          <w:t>ii</w:t>
        </w:r>
        <w:r>
          <w:rPr>
            <w:webHidden/>
          </w:rPr>
          <w:fldChar w:fldCharType="end"/>
        </w:r>
      </w:hyperlink>
    </w:p>
    <w:p w14:paraId="2AD7D8A4" w14:textId="119D233A"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50" w:history="1">
        <w:r w:rsidRPr="009A6E88">
          <w:rPr>
            <w:rStyle w:val="Hyperlink"/>
            <w:noProof/>
          </w:rPr>
          <w:t>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Introduction</w:t>
        </w:r>
        <w:r>
          <w:rPr>
            <w:noProof/>
            <w:webHidden/>
          </w:rPr>
          <w:tab/>
        </w:r>
        <w:r>
          <w:rPr>
            <w:noProof/>
            <w:webHidden/>
          </w:rPr>
          <w:fldChar w:fldCharType="begin"/>
        </w:r>
        <w:r>
          <w:rPr>
            <w:noProof/>
            <w:webHidden/>
          </w:rPr>
          <w:instrText xml:space="preserve"> PAGEREF _Toc232685850 \h </w:instrText>
        </w:r>
        <w:r>
          <w:rPr>
            <w:noProof/>
            <w:webHidden/>
          </w:rPr>
        </w:r>
        <w:r>
          <w:rPr>
            <w:noProof/>
            <w:webHidden/>
          </w:rPr>
          <w:fldChar w:fldCharType="separate"/>
        </w:r>
        <w:r w:rsidR="00FD330A">
          <w:rPr>
            <w:noProof/>
            <w:webHidden/>
          </w:rPr>
          <w:t>1</w:t>
        </w:r>
        <w:r>
          <w:rPr>
            <w:noProof/>
            <w:webHidden/>
          </w:rPr>
          <w:fldChar w:fldCharType="end"/>
        </w:r>
      </w:hyperlink>
    </w:p>
    <w:p w14:paraId="359EE7F7" w14:textId="7BDC44F2"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51" w:history="1">
        <w:r w:rsidRPr="009A6E88">
          <w:rPr>
            <w:rStyle w:val="Hyperlink"/>
            <w:noProof/>
          </w:rPr>
          <w:t>1.1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The Measure</w:t>
        </w:r>
        <w:r>
          <w:rPr>
            <w:noProof/>
            <w:webHidden/>
          </w:rPr>
          <w:tab/>
        </w:r>
        <w:r>
          <w:rPr>
            <w:noProof/>
            <w:webHidden/>
          </w:rPr>
          <w:fldChar w:fldCharType="begin"/>
        </w:r>
        <w:r>
          <w:rPr>
            <w:noProof/>
            <w:webHidden/>
          </w:rPr>
          <w:instrText xml:space="preserve"> PAGEREF _Toc232685851 \h </w:instrText>
        </w:r>
        <w:r>
          <w:rPr>
            <w:noProof/>
            <w:webHidden/>
          </w:rPr>
        </w:r>
        <w:r>
          <w:rPr>
            <w:noProof/>
            <w:webHidden/>
          </w:rPr>
          <w:fldChar w:fldCharType="separate"/>
        </w:r>
        <w:r w:rsidR="00FD330A">
          <w:rPr>
            <w:noProof/>
            <w:webHidden/>
          </w:rPr>
          <w:t>1</w:t>
        </w:r>
        <w:r>
          <w:rPr>
            <w:noProof/>
            <w:webHidden/>
          </w:rPr>
          <w:fldChar w:fldCharType="end"/>
        </w:r>
      </w:hyperlink>
    </w:p>
    <w:p w14:paraId="2C35C726" w14:textId="46CAA6F8"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52" w:history="1">
        <w:r w:rsidRPr="009A6E88">
          <w:rPr>
            <w:rStyle w:val="Hyperlink"/>
            <w:noProof/>
          </w:rPr>
          <w:t>1.1.1</w:t>
        </w:r>
        <w:r>
          <w:rPr>
            <w:rFonts w:asciiTheme="minorHAnsi" w:eastAsiaTheme="minorEastAsia" w:hAnsiTheme="minorHAnsi"/>
            <w:noProof/>
            <w:kern w:val="2"/>
            <w:sz w:val="24"/>
            <w:szCs w:val="24"/>
            <w:lang w:eastAsia="en-AU"/>
            <w14:ligatures w14:val="standardContextual"/>
          </w:rPr>
          <w:tab/>
        </w:r>
        <w:r w:rsidRPr="009A6E88">
          <w:rPr>
            <w:rStyle w:val="Hyperlink"/>
            <w:noProof/>
          </w:rPr>
          <w:t>Objectives and intended outcomes</w:t>
        </w:r>
        <w:r>
          <w:rPr>
            <w:noProof/>
            <w:webHidden/>
          </w:rPr>
          <w:tab/>
        </w:r>
        <w:r>
          <w:rPr>
            <w:noProof/>
            <w:webHidden/>
          </w:rPr>
          <w:fldChar w:fldCharType="begin"/>
        </w:r>
        <w:r>
          <w:rPr>
            <w:noProof/>
            <w:webHidden/>
          </w:rPr>
          <w:instrText xml:space="preserve"> PAGEREF _Toc232685852 \h </w:instrText>
        </w:r>
        <w:r>
          <w:rPr>
            <w:noProof/>
            <w:webHidden/>
          </w:rPr>
        </w:r>
        <w:r>
          <w:rPr>
            <w:noProof/>
            <w:webHidden/>
          </w:rPr>
          <w:fldChar w:fldCharType="separate"/>
        </w:r>
        <w:r w:rsidR="00FD330A">
          <w:rPr>
            <w:noProof/>
            <w:webHidden/>
          </w:rPr>
          <w:t>1</w:t>
        </w:r>
        <w:r>
          <w:rPr>
            <w:noProof/>
            <w:webHidden/>
          </w:rPr>
          <w:fldChar w:fldCharType="end"/>
        </w:r>
      </w:hyperlink>
    </w:p>
    <w:p w14:paraId="2625BD2C" w14:textId="298B784B"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53" w:history="1">
        <w:r w:rsidRPr="009A6E88">
          <w:rPr>
            <w:rStyle w:val="Hyperlink"/>
            <w:noProof/>
          </w:rPr>
          <w:t>1.2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aims</w:t>
        </w:r>
        <w:r>
          <w:rPr>
            <w:noProof/>
            <w:webHidden/>
          </w:rPr>
          <w:tab/>
        </w:r>
        <w:r>
          <w:rPr>
            <w:noProof/>
            <w:webHidden/>
          </w:rPr>
          <w:fldChar w:fldCharType="begin"/>
        </w:r>
        <w:r>
          <w:rPr>
            <w:noProof/>
            <w:webHidden/>
          </w:rPr>
          <w:instrText xml:space="preserve"> PAGEREF _Toc232685853 \h </w:instrText>
        </w:r>
        <w:r>
          <w:rPr>
            <w:noProof/>
            <w:webHidden/>
          </w:rPr>
        </w:r>
        <w:r>
          <w:rPr>
            <w:noProof/>
            <w:webHidden/>
          </w:rPr>
          <w:fldChar w:fldCharType="separate"/>
        </w:r>
        <w:r w:rsidR="00FD330A">
          <w:rPr>
            <w:noProof/>
            <w:webHidden/>
          </w:rPr>
          <w:t>2</w:t>
        </w:r>
        <w:r>
          <w:rPr>
            <w:noProof/>
            <w:webHidden/>
          </w:rPr>
          <w:fldChar w:fldCharType="end"/>
        </w:r>
      </w:hyperlink>
    </w:p>
    <w:p w14:paraId="10D6F596" w14:textId="597F486E"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54" w:history="1">
        <w:r w:rsidRPr="009A6E88">
          <w:rPr>
            <w:rStyle w:val="Hyperlink"/>
            <w:noProof/>
          </w:rPr>
          <w:t>1.3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Purpose and structure of this document</w:t>
        </w:r>
        <w:r>
          <w:rPr>
            <w:noProof/>
            <w:webHidden/>
          </w:rPr>
          <w:tab/>
        </w:r>
        <w:r>
          <w:rPr>
            <w:noProof/>
            <w:webHidden/>
          </w:rPr>
          <w:fldChar w:fldCharType="begin"/>
        </w:r>
        <w:r>
          <w:rPr>
            <w:noProof/>
            <w:webHidden/>
          </w:rPr>
          <w:instrText xml:space="preserve"> PAGEREF _Toc232685854 \h </w:instrText>
        </w:r>
        <w:r>
          <w:rPr>
            <w:noProof/>
            <w:webHidden/>
          </w:rPr>
        </w:r>
        <w:r>
          <w:rPr>
            <w:noProof/>
            <w:webHidden/>
          </w:rPr>
          <w:fldChar w:fldCharType="separate"/>
        </w:r>
        <w:r w:rsidR="00FD330A">
          <w:rPr>
            <w:noProof/>
            <w:webHidden/>
          </w:rPr>
          <w:t>2</w:t>
        </w:r>
        <w:r>
          <w:rPr>
            <w:noProof/>
            <w:webHidden/>
          </w:rPr>
          <w:fldChar w:fldCharType="end"/>
        </w:r>
      </w:hyperlink>
    </w:p>
    <w:p w14:paraId="2198429A" w14:textId="7C97C8BF"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55" w:history="1">
        <w:r w:rsidRPr="009A6E88">
          <w:rPr>
            <w:rStyle w:val="Hyperlink"/>
            <w:noProof/>
          </w:rPr>
          <w:t>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approach and method</w:t>
        </w:r>
        <w:r>
          <w:rPr>
            <w:noProof/>
            <w:webHidden/>
          </w:rPr>
          <w:tab/>
        </w:r>
        <w:r>
          <w:rPr>
            <w:noProof/>
            <w:webHidden/>
          </w:rPr>
          <w:fldChar w:fldCharType="begin"/>
        </w:r>
        <w:r>
          <w:rPr>
            <w:noProof/>
            <w:webHidden/>
          </w:rPr>
          <w:instrText xml:space="preserve"> PAGEREF _Toc232685855 \h </w:instrText>
        </w:r>
        <w:r>
          <w:rPr>
            <w:noProof/>
            <w:webHidden/>
          </w:rPr>
        </w:r>
        <w:r>
          <w:rPr>
            <w:noProof/>
            <w:webHidden/>
          </w:rPr>
          <w:fldChar w:fldCharType="separate"/>
        </w:r>
        <w:r w:rsidR="00FD330A">
          <w:rPr>
            <w:noProof/>
            <w:webHidden/>
          </w:rPr>
          <w:t>3</w:t>
        </w:r>
        <w:r>
          <w:rPr>
            <w:noProof/>
            <w:webHidden/>
          </w:rPr>
          <w:fldChar w:fldCharType="end"/>
        </w:r>
      </w:hyperlink>
    </w:p>
    <w:p w14:paraId="693FCFE1" w14:textId="3D259EC0"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56" w:history="1">
        <w:r w:rsidRPr="009A6E88">
          <w:rPr>
            <w:rStyle w:val="Hyperlink"/>
            <w:noProof/>
          </w:rPr>
          <w:t>2.1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approach</w:t>
        </w:r>
        <w:r>
          <w:rPr>
            <w:noProof/>
            <w:webHidden/>
          </w:rPr>
          <w:tab/>
        </w:r>
        <w:r>
          <w:rPr>
            <w:noProof/>
            <w:webHidden/>
          </w:rPr>
          <w:fldChar w:fldCharType="begin"/>
        </w:r>
        <w:r>
          <w:rPr>
            <w:noProof/>
            <w:webHidden/>
          </w:rPr>
          <w:instrText xml:space="preserve"> PAGEREF _Toc232685856 \h </w:instrText>
        </w:r>
        <w:r>
          <w:rPr>
            <w:noProof/>
            <w:webHidden/>
          </w:rPr>
        </w:r>
        <w:r>
          <w:rPr>
            <w:noProof/>
            <w:webHidden/>
          </w:rPr>
          <w:fldChar w:fldCharType="separate"/>
        </w:r>
        <w:r w:rsidR="00FD330A">
          <w:rPr>
            <w:noProof/>
            <w:webHidden/>
          </w:rPr>
          <w:t>3</w:t>
        </w:r>
        <w:r>
          <w:rPr>
            <w:noProof/>
            <w:webHidden/>
          </w:rPr>
          <w:fldChar w:fldCharType="end"/>
        </w:r>
      </w:hyperlink>
    </w:p>
    <w:p w14:paraId="5016E4F2" w14:textId="5EE5E090"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57" w:history="1">
        <w:r w:rsidRPr="009A6E88">
          <w:rPr>
            <w:rStyle w:val="Hyperlink"/>
            <w:noProof/>
          </w:rPr>
          <w:t>2.1.1</w:t>
        </w:r>
        <w:r>
          <w:rPr>
            <w:rFonts w:asciiTheme="minorHAnsi" w:eastAsiaTheme="minorEastAsia" w:hAnsiTheme="minorHAnsi"/>
            <w:noProof/>
            <w:kern w:val="2"/>
            <w:sz w:val="24"/>
            <w:szCs w:val="24"/>
            <w:lang w:eastAsia="en-AU"/>
            <w14:ligatures w14:val="standardContextual"/>
          </w:rPr>
          <w:tab/>
        </w:r>
        <w:r w:rsidRPr="009A6E88">
          <w:rPr>
            <w:rStyle w:val="Hyperlink"/>
            <w:noProof/>
          </w:rPr>
          <w:t>Stage 1: Project initiation and planning</w:t>
        </w:r>
        <w:r>
          <w:rPr>
            <w:noProof/>
            <w:webHidden/>
          </w:rPr>
          <w:tab/>
        </w:r>
        <w:r>
          <w:rPr>
            <w:noProof/>
            <w:webHidden/>
          </w:rPr>
          <w:fldChar w:fldCharType="begin"/>
        </w:r>
        <w:r>
          <w:rPr>
            <w:noProof/>
            <w:webHidden/>
          </w:rPr>
          <w:instrText xml:space="preserve"> PAGEREF _Toc232685857 \h </w:instrText>
        </w:r>
        <w:r>
          <w:rPr>
            <w:noProof/>
            <w:webHidden/>
          </w:rPr>
        </w:r>
        <w:r>
          <w:rPr>
            <w:noProof/>
            <w:webHidden/>
          </w:rPr>
          <w:fldChar w:fldCharType="separate"/>
        </w:r>
        <w:r w:rsidR="00FD330A">
          <w:rPr>
            <w:noProof/>
            <w:webHidden/>
          </w:rPr>
          <w:t>3</w:t>
        </w:r>
        <w:r>
          <w:rPr>
            <w:noProof/>
            <w:webHidden/>
          </w:rPr>
          <w:fldChar w:fldCharType="end"/>
        </w:r>
      </w:hyperlink>
    </w:p>
    <w:p w14:paraId="1959FB92" w14:textId="7E609C8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58" w:history="1">
        <w:r w:rsidRPr="009A6E88">
          <w:rPr>
            <w:rStyle w:val="Hyperlink"/>
            <w:noProof/>
          </w:rPr>
          <w:t>2.1.2</w:t>
        </w:r>
        <w:r>
          <w:rPr>
            <w:rFonts w:asciiTheme="minorHAnsi" w:eastAsiaTheme="minorEastAsia" w:hAnsiTheme="minorHAnsi"/>
            <w:noProof/>
            <w:kern w:val="2"/>
            <w:sz w:val="24"/>
            <w:szCs w:val="24"/>
            <w:lang w:eastAsia="en-AU"/>
            <w14:ligatures w14:val="standardContextual"/>
          </w:rPr>
          <w:tab/>
        </w:r>
        <w:r w:rsidRPr="009A6E88">
          <w:rPr>
            <w:rStyle w:val="Hyperlink"/>
            <w:noProof/>
          </w:rPr>
          <w:t>Stage 2: Evaluation plan</w:t>
        </w:r>
        <w:r>
          <w:rPr>
            <w:noProof/>
            <w:webHidden/>
          </w:rPr>
          <w:tab/>
        </w:r>
        <w:r>
          <w:rPr>
            <w:noProof/>
            <w:webHidden/>
          </w:rPr>
          <w:fldChar w:fldCharType="begin"/>
        </w:r>
        <w:r>
          <w:rPr>
            <w:noProof/>
            <w:webHidden/>
          </w:rPr>
          <w:instrText xml:space="preserve"> PAGEREF _Toc232685858 \h </w:instrText>
        </w:r>
        <w:r>
          <w:rPr>
            <w:noProof/>
            <w:webHidden/>
          </w:rPr>
        </w:r>
        <w:r>
          <w:rPr>
            <w:noProof/>
            <w:webHidden/>
          </w:rPr>
          <w:fldChar w:fldCharType="separate"/>
        </w:r>
        <w:r w:rsidR="00FD330A">
          <w:rPr>
            <w:noProof/>
            <w:webHidden/>
          </w:rPr>
          <w:t>3</w:t>
        </w:r>
        <w:r>
          <w:rPr>
            <w:noProof/>
            <w:webHidden/>
          </w:rPr>
          <w:fldChar w:fldCharType="end"/>
        </w:r>
      </w:hyperlink>
    </w:p>
    <w:p w14:paraId="2C14D9D8" w14:textId="0C14C06F"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59" w:history="1">
        <w:r w:rsidRPr="009A6E88">
          <w:rPr>
            <w:rStyle w:val="Hyperlink"/>
            <w:noProof/>
          </w:rPr>
          <w:t>2.1.3</w:t>
        </w:r>
        <w:r>
          <w:rPr>
            <w:rFonts w:asciiTheme="minorHAnsi" w:eastAsiaTheme="minorEastAsia" w:hAnsiTheme="minorHAnsi"/>
            <w:noProof/>
            <w:kern w:val="2"/>
            <w:sz w:val="24"/>
            <w:szCs w:val="24"/>
            <w:lang w:eastAsia="en-AU"/>
            <w14:ligatures w14:val="standardContextual"/>
          </w:rPr>
          <w:tab/>
        </w:r>
        <w:r w:rsidRPr="009A6E88">
          <w:rPr>
            <w:rStyle w:val="Hyperlink"/>
            <w:noProof/>
          </w:rPr>
          <w:t>Stage 3: Development of data collection instruments</w:t>
        </w:r>
        <w:r>
          <w:rPr>
            <w:noProof/>
            <w:webHidden/>
          </w:rPr>
          <w:tab/>
        </w:r>
        <w:r>
          <w:rPr>
            <w:noProof/>
            <w:webHidden/>
          </w:rPr>
          <w:fldChar w:fldCharType="begin"/>
        </w:r>
        <w:r>
          <w:rPr>
            <w:noProof/>
            <w:webHidden/>
          </w:rPr>
          <w:instrText xml:space="preserve"> PAGEREF _Toc232685859 \h </w:instrText>
        </w:r>
        <w:r>
          <w:rPr>
            <w:noProof/>
            <w:webHidden/>
          </w:rPr>
        </w:r>
        <w:r>
          <w:rPr>
            <w:noProof/>
            <w:webHidden/>
          </w:rPr>
          <w:fldChar w:fldCharType="separate"/>
        </w:r>
        <w:r w:rsidR="00FD330A">
          <w:rPr>
            <w:noProof/>
            <w:webHidden/>
          </w:rPr>
          <w:t>3</w:t>
        </w:r>
        <w:r>
          <w:rPr>
            <w:noProof/>
            <w:webHidden/>
          </w:rPr>
          <w:fldChar w:fldCharType="end"/>
        </w:r>
      </w:hyperlink>
    </w:p>
    <w:p w14:paraId="36F60A16" w14:textId="0C4193DF"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60" w:history="1">
        <w:r w:rsidRPr="009A6E88">
          <w:rPr>
            <w:rStyle w:val="Hyperlink"/>
            <w:noProof/>
          </w:rPr>
          <w:t>2.1.4</w:t>
        </w:r>
        <w:r>
          <w:rPr>
            <w:rFonts w:asciiTheme="minorHAnsi" w:eastAsiaTheme="minorEastAsia" w:hAnsiTheme="minorHAnsi"/>
            <w:noProof/>
            <w:kern w:val="2"/>
            <w:sz w:val="24"/>
            <w:szCs w:val="24"/>
            <w:lang w:eastAsia="en-AU"/>
            <w14:ligatures w14:val="standardContextual"/>
          </w:rPr>
          <w:tab/>
        </w:r>
        <w:r w:rsidRPr="009A6E88">
          <w:rPr>
            <w:rStyle w:val="Hyperlink"/>
            <w:noProof/>
          </w:rPr>
          <w:t>Stage 4: Data collection and analysis</w:t>
        </w:r>
        <w:r>
          <w:rPr>
            <w:noProof/>
            <w:webHidden/>
          </w:rPr>
          <w:tab/>
        </w:r>
        <w:r>
          <w:rPr>
            <w:noProof/>
            <w:webHidden/>
          </w:rPr>
          <w:fldChar w:fldCharType="begin"/>
        </w:r>
        <w:r>
          <w:rPr>
            <w:noProof/>
            <w:webHidden/>
          </w:rPr>
          <w:instrText xml:space="preserve"> PAGEREF _Toc232685860 \h </w:instrText>
        </w:r>
        <w:r>
          <w:rPr>
            <w:noProof/>
            <w:webHidden/>
          </w:rPr>
        </w:r>
        <w:r>
          <w:rPr>
            <w:noProof/>
            <w:webHidden/>
          </w:rPr>
          <w:fldChar w:fldCharType="separate"/>
        </w:r>
        <w:r w:rsidR="00FD330A">
          <w:rPr>
            <w:noProof/>
            <w:webHidden/>
          </w:rPr>
          <w:t>5</w:t>
        </w:r>
        <w:r>
          <w:rPr>
            <w:noProof/>
            <w:webHidden/>
          </w:rPr>
          <w:fldChar w:fldCharType="end"/>
        </w:r>
      </w:hyperlink>
    </w:p>
    <w:p w14:paraId="17EDC6EF" w14:textId="157CB61F"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61" w:history="1">
        <w:r w:rsidRPr="009A6E88">
          <w:rPr>
            <w:rStyle w:val="Hyperlink"/>
            <w:noProof/>
          </w:rPr>
          <w:t>2.1.5</w:t>
        </w:r>
        <w:r>
          <w:rPr>
            <w:rFonts w:asciiTheme="minorHAnsi" w:eastAsiaTheme="minorEastAsia" w:hAnsiTheme="minorHAnsi"/>
            <w:noProof/>
            <w:kern w:val="2"/>
            <w:sz w:val="24"/>
            <w:szCs w:val="24"/>
            <w:lang w:eastAsia="en-AU"/>
            <w14:ligatures w14:val="standardContextual"/>
          </w:rPr>
          <w:tab/>
        </w:r>
        <w:r w:rsidRPr="009A6E88">
          <w:rPr>
            <w:rStyle w:val="Hyperlink"/>
            <w:noProof/>
          </w:rPr>
          <w:t>Stage 5: Final evaluation report</w:t>
        </w:r>
        <w:r>
          <w:rPr>
            <w:noProof/>
            <w:webHidden/>
          </w:rPr>
          <w:tab/>
        </w:r>
        <w:r>
          <w:rPr>
            <w:noProof/>
            <w:webHidden/>
          </w:rPr>
          <w:fldChar w:fldCharType="begin"/>
        </w:r>
        <w:r>
          <w:rPr>
            <w:noProof/>
            <w:webHidden/>
          </w:rPr>
          <w:instrText xml:space="preserve"> PAGEREF _Toc232685861 \h </w:instrText>
        </w:r>
        <w:r>
          <w:rPr>
            <w:noProof/>
            <w:webHidden/>
          </w:rPr>
        </w:r>
        <w:r>
          <w:rPr>
            <w:noProof/>
            <w:webHidden/>
          </w:rPr>
          <w:fldChar w:fldCharType="separate"/>
        </w:r>
        <w:r w:rsidR="00FD330A">
          <w:rPr>
            <w:noProof/>
            <w:webHidden/>
          </w:rPr>
          <w:t>6</w:t>
        </w:r>
        <w:r>
          <w:rPr>
            <w:noProof/>
            <w:webHidden/>
          </w:rPr>
          <w:fldChar w:fldCharType="end"/>
        </w:r>
      </w:hyperlink>
    </w:p>
    <w:p w14:paraId="17F5899B" w14:textId="513ABAC9"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62" w:history="1">
        <w:r w:rsidRPr="009A6E88">
          <w:rPr>
            <w:rStyle w:val="Hyperlink"/>
            <w:noProof/>
          </w:rPr>
          <w:t>2.2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design and scope</w:t>
        </w:r>
        <w:r>
          <w:rPr>
            <w:noProof/>
            <w:webHidden/>
          </w:rPr>
          <w:tab/>
        </w:r>
        <w:r>
          <w:rPr>
            <w:noProof/>
            <w:webHidden/>
          </w:rPr>
          <w:fldChar w:fldCharType="begin"/>
        </w:r>
        <w:r>
          <w:rPr>
            <w:noProof/>
            <w:webHidden/>
          </w:rPr>
          <w:instrText xml:space="preserve"> PAGEREF _Toc232685862 \h </w:instrText>
        </w:r>
        <w:r>
          <w:rPr>
            <w:noProof/>
            <w:webHidden/>
          </w:rPr>
        </w:r>
        <w:r>
          <w:rPr>
            <w:noProof/>
            <w:webHidden/>
          </w:rPr>
          <w:fldChar w:fldCharType="separate"/>
        </w:r>
        <w:r w:rsidR="00FD330A">
          <w:rPr>
            <w:noProof/>
            <w:webHidden/>
          </w:rPr>
          <w:t>7</w:t>
        </w:r>
        <w:r>
          <w:rPr>
            <w:noProof/>
            <w:webHidden/>
          </w:rPr>
          <w:fldChar w:fldCharType="end"/>
        </w:r>
      </w:hyperlink>
    </w:p>
    <w:p w14:paraId="41ACBD6D" w14:textId="011A2146"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63" w:history="1">
        <w:r w:rsidRPr="009A6E88">
          <w:rPr>
            <w:rStyle w:val="Hyperlink"/>
            <w:noProof/>
          </w:rPr>
          <w:t>2.2.1</w:t>
        </w:r>
        <w:r>
          <w:rPr>
            <w:rFonts w:asciiTheme="minorHAnsi" w:eastAsiaTheme="minorEastAsia" w:hAnsiTheme="minorHAnsi"/>
            <w:noProof/>
            <w:kern w:val="2"/>
            <w:sz w:val="24"/>
            <w:szCs w:val="24"/>
            <w:lang w:eastAsia="en-AU"/>
            <w14:ligatures w14:val="standardContextual"/>
          </w:rPr>
          <w:tab/>
        </w:r>
        <w:r w:rsidRPr="009A6E88">
          <w:rPr>
            <w:rStyle w:val="Hyperlink"/>
            <w:noProof/>
          </w:rPr>
          <w:t>Key evaluation areas</w:t>
        </w:r>
        <w:r>
          <w:rPr>
            <w:noProof/>
            <w:webHidden/>
          </w:rPr>
          <w:tab/>
        </w:r>
        <w:r>
          <w:rPr>
            <w:noProof/>
            <w:webHidden/>
          </w:rPr>
          <w:fldChar w:fldCharType="begin"/>
        </w:r>
        <w:r>
          <w:rPr>
            <w:noProof/>
            <w:webHidden/>
          </w:rPr>
          <w:instrText xml:space="preserve"> PAGEREF _Toc232685863 \h </w:instrText>
        </w:r>
        <w:r>
          <w:rPr>
            <w:noProof/>
            <w:webHidden/>
          </w:rPr>
        </w:r>
        <w:r>
          <w:rPr>
            <w:noProof/>
            <w:webHidden/>
          </w:rPr>
          <w:fldChar w:fldCharType="separate"/>
        </w:r>
        <w:r w:rsidR="00FD330A">
          <w:rPr>
            <w:noProof/>
            <w:webHidden/>
          </w:rPr>
          <w:t>7</w:t>
        </w:r>
        <w:r>
          <w:rPr>
            <w:noProof/>
            <w:webHidden/>
          </w:rPr>
          <w:fldChar w:fldCharType="end"/>
        </w:r>
      </w:hyperlink>
    </w:p>
    <w:p w14:paraId="1AEBC854" w14:textId="44D3DDF9"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64" w:history="1">
        <w:r w:rsidRPr="009A6E88">
          <w:rPr>
            <w:rStyle w:val="Hyperlink"/>
            <w:noProof/>
          </w:rPr>
          <w:t>2.3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limitations</w:t>
        </w:r>
        <w:r>
          <w:rPr>
            <w:noProof/>
            <w:webHidden/>
          </w:rPr>
          <w:tab/>
        </w:r>
        <w:r>
          <w:rPr>
            <w:noProof/>
            <w:webHidden/>
          </w:rPr>
          <w:fldChar w:fldCharType="begin"/>
        </w:r>
        <w:r>
          <w:rPr>
            <w:noProof/>
            <w:webHidden/>
          </w:rPr>
          <w:instrText xml:space="preserve"> PAGEREF _Toc232685864 \h </w:instrText>
        </w:r>
        <w:r>
          <w:rPr>
            <w:noProof/>
            <w:webHidden/>
          </w:rPr>
        </w:r>
        <w:r>
          <w:rPr>
            <w:noProof/>
            <w:webHidden/>
          </w:rPr>
          <w:fldChar w:fldCharType="separate"/>
        </w:r>
        <w:r w:rsidR="00FD330A">
          <w:rPr>
            <w:noProof/>
            <w:webHidden/>
          </w:rPr>
          <w:t>7</w:t>
        </w:r>
        <w:r>
          <w:rPr>
            <w:noProof/>
            <w:webHidden/>
          </w:rPr>
          <w:fldChar w:fldCharType="end"/>
        </w:r>
      </w:hyperlink>
    </w:p>
    <w:p w14:paraId="62710E2A" w14:textId="5D58E9D1" w:rsidR="00E40485" w:rsidRDefault="00E40485">
      <w:pPr>
        <w:pStyle w:val="TOC7"/>
        <w:rPr>
          <w:rFonts w:eastAsiaTheme="minorEastAsia"/>
          <w:noProof/>
          <w:color w:val="auto"/>
          <w:kern w:val="2"/>
          <w:sz w:val="24"/>
          <w:szCs w:val="24"/>
          <w:lang w:eastAsia="en-AU"/>
          <w14:ligatures w14:val="standardContextual"/>
        </w:rPr>
      </w:pPr>
      <w:hyperlink w:anchor="_Toc232685865" w:history="1">
        <w:r w:rsidRPr="009A6E88">
          <w:rPr>
            <w:rStyle w:val="Hyperlink"/>
            <w:noProof/>
          </w:rPr>
          <w:t>Part A</w:t>
        </w:r>
        <w:r>
          <w:rPr>
            <w:rFonts w:eastAsiaTheme="minorEastAsia"/>
            <w:noProof/>
            <w:color w:val="auto"/>
            <w:kern w:val="2"/>
            <w:sz w:val="24"/>
            <w:szCs w:val="24"/>
            <w:lang w:eastAsia="en-AU"/>
            <w14:ligatures w14:val="standardContextual"/>
          </w:rPr>
          <w:tab/>
        </w:r>
        <w:r w:rsidRPr="009A6E88">
          <w:rPr>
            <w:rStyle w:val="Hyperlink"/>
            <w:noProof/>
          </w:rPr>
          <w:t>Project context and approach</w:t>
        </w:r>
        <w:r>
          <w:rPr>
            <w:noProof/>
            <w:webHidden/>
          </w:rPr>
          <w:tab/>
        </w:r>
        <w:r>
          <w:rPr>
            <w:noProof/>
            <w:webHidden/>
          </w:rPr>
          <w:fldChar w:fldCharType="begin"/>
        </w:r>
        <w:r>
          <w:rPr>
            <w:noProof/>
            <w:webHidden/>
          </w:rPr>
          <w:instrText xml:space="preserve"> PAGEREF _Toc232685865 \h </w:instrText>
        </w:r>
        <w:r>
          <w:rPr>
            <w:noProof/>
            <w:webHidden/>
          </w:rPr>
        </w:r>
        <w:r>
          <w:rPr>
            <w:noProof/>
            <w:webHidden/>
          </w:rPr>
          <w:fldChar w:fldCharType="separate"/>
        </w:r>
        <w:r w:rsidR="00FD330A">
          <w:rPr>
            <w:noProof/>
            <w:webHidden/>
          </w:rPr>
          <w:t>9</w:t>
        </w:r>
        <w:r>
          <w:rPr>
            <w:noProof/>
            <w:webHidden/>
          </w:rPr>
          <w:fldChar w:fldCharType="end"/>
        </w:r>
      </w:hyperlink>
    </w:p>
    <w:p w14:paraId="26393E52" w14:textId="38C43ED7"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66" w:history="1">
        <w:r w:rsidRPr="009A6E88">
          <w:rPr>
            <w:rStyle w:val="Hyperlink"/>
            <w:noProof/>
          </w:rPr>
          <w:t>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Program context</w:t>
        </w:r>
        <w:r>
          <w:rPr>
            <w:noProof/>
            <w:webHidden/>
          </w:rPr>
          <w:tab/>
        </w:r>
        <w:r>
          <w:rPr>
            <w:noProof/>
            <w:webHidden/>
          </w:rPr>
          <w:fldChar w:fldCharType="begin"/>
        </w:r>
        <w:r>
          <w:rPr>
            <w:noProof/>
            <w:webHidden/>
          </w:rPr>
          <w:instrText xml:space="preserve"> PAGEREF _Toc232685866 \h </w:instrText>
        </w:r>
        <w:r>
          <w:rPr>
            <w:noProof/>
            <w:webHidden/>
          </w:rPr>
        </w:r>
        <w:r>
          <w:rPr>
            <w:noProof/>
            <w:webHidden/>
          </w:rPr>
          <w:fldChar w:fldCharType="separate"/>
        </w:r>
        <w:r w:rsidR="00FD330A">
          <w:rPr>
            <w:noProof/>
            <w:webHidden/>
          </w:rPr>
          <w:t>10</w:t>
        </w:r>
        <w:r>
          <w:rPr>
            <w:noProof/>
            <w:webHidden/>
          </w:rPr>
          <w:fldChar w:fldCharType="end"/>
        </w:r>
      </w:hyperlink>
    </w:p>
    <w:p w14:paraId="7D189A31" w14:textId="7F3B1FA3"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867" w:history="1">
        <w:r w:rsidRPr="009A6E88">
          <w:rPr>
            <w:rStyle w:val="Hyperlink"/>
          </w:rPr>
          <w:t>Section A</w:t>
        </w:r>
        <w:r>
          <w:rPr>
            <w:rFonts w:asciiTheme="minorHAnsi" w:eastAsiaTheme="minorEastAsia" w:hAnsiTheme="minorHAnsi"/>
            <w:caps w:val="0"/>
            <w:kern w:val="2"/>
            <w:sz w:val="24"/>
            <w:szCs w:val="24"/>
            <w:lang w:eastAsia="en-AU"/>
            <w14:ligatures w14:val="standardContextual"/>
          </w:rPr>
          <w:tab/>
        </w:r>
        <w:r w:rsidRPr="009A6E88">
          <w:rPr>
            <w:rStyle w:val="Hyperlink"/>
          </w:rPr>
          <w:t>Policy context</w:t>
        </w:r>
        <w:r>
          <w:rPr>
            <w:webHidden/>
          </w:rPr>
          <w:tab/>
        </w:r>
        <w:r>
          <w:rPr>
            <w:webHidden/>
          </w:rPr>
          <w:fldChar w:fldCharType="begin"/>
        </w:r>
        <w:r>
          <w:rPr>
            <w:webHidden/>
          </w:rPr>
          <w:instrText xml:space="preserve"> PAGEREF _Toc232685867 \h </w:instrText>
        </w:r>
        <w:r>
          <w:rPr>
            <w:webHidden/>
          </w:rPr>
        </w:r>
        <w:r>
          <w:rPr>
            <w:webHidden/>
          </w:rPr>
          <w:fldChar w:fldCharType="separate"/>
        </w:r>
        <w:r w:rsidR="00FD330A">
          <w:rPr>
            <w:webHidden/>
          </w:rPr>
          <w:t>10</w:t>
        </w:r>
        <w:r>
          <w:rPr>
            <w:webHidden/>
          </w:rPr>
          <w:fldChar w:fldCharType="end"/>
        </w:r>
      </w:hyperlink>
    </w:p>
    <w:p w14:paraId="33E031CD" w14:textId="6166D9AE"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68" w:history="1">
        <w:r w:rsidRPr="009A6E88">
          <w:rPr>
            <w:rStyle w:val="Hyperlink"/>
            <w:noProof/>
          </w:rPr>
          <w:t>3.1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National Palliative Care Strategy</w:t>
        </w:r>
        <w:r>
          <w:rPr>
            <w:noProof/>
            <w:webHidden/>
          </w:rPr>
          <w:tab/>
        </w:r>
        <w:r>
          <w:rPr>
            <w:noProof/>
            <w:webHidden/>
          </w:rPr>
          <w:fldChar w:fldCharType="begin"/>
        </w:r>
        <w:r>
          <w:rPr>
            <w:noProof/>
            <w:webHidden/>
          </w:rPr>
          <w:instrText xml:space="preserve"> PAGEREF _Toc232685868 \h </w:instrText>
        </w:r>
        <w:r>
          <w:rPr>
            <w:noProof/>
            <w:webHidden/>
          </w:rPr>
        </w:r>
        <w:r>
          <w:rPr>
            <w:noProof/>
            <w:webHidden/>
          </w:rPr>
          <w:fldChar w:fldCharType="separate"/>
        </w:r>
        <w:r w:rsidR="00FD330A">
          <w:rPr>
            <w:noProof/>
            <w:webHidden/>
          </w:rPr>
          <w:t>10</w:t>
        </w:r>
        <w:r>
          <w:rPr>
            <w:noProof/>
            <w:webHidden/>
          </w:rPr>
          <w:fldChar w:fldCharType="end"/>
        </w:r>
      </w:hyperlink>
    </w:p>
    <w:p w14:paraId="3AE363CF" w14:textId="771477A4"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69" w:history="1">
        <w:r w:rsidRPr="009A6E88">
          <w:rPr>
            <w:rStyle w:val="Hyperlink"/>
            <w:noProof/>
          </w:rPr>
          <w:t>3.2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State and territory palliative care policies</w:t>
        </w:r>
        <w:r>
          <w:rPr>
            <w:noProof/>
            <w:webHidden/>
          </w:rPr>
          <w:tab/>
        </w:r>
        <w:r>
          <w:rPr>
            <w:noProof/>
            <w:webHidden/>
          </w:rPr>
          <w:fldChar w:fldCharType="begin"/>
        </w:r>
        <w:r>
          <w:rPr>
            <w:noProof/>
            <w:webHidden/>
          </w:rPr>
          <w:instrText xml:space="preserve"> PAGEREF _Toc232685869 \h </w:instrText>
        </w:r>
        <w:r>
          <w:rPr>
            <w:noProof/>
            <w:webHidden/>
          </w:rPr>
        </w:r>
        <w:r>
          <w:rPr>
            <w:noProof/>
            <w:webHidden/>
          </w:rPr>
          <w:fldChar w:fldCharType="separate"/>
        </w:r>
        <w:r w:rsidR="00FD330A">
          <w:rPr>
            <w:noProof/>
            <w:webHidden/>
          </w:rPr>
          <w:t>10</w:t>
        </w:r>
        <w:r>
          <w:rPr>
            <w:noProof/>
            <w:webHidden/>
          </w:rPr>
          <w:fldChar w:fldCharType="end"/>
        </w:r>
      </w:hyperlink>
    </w:p>
    <w:p w14:paraId="4078C9FA" w14:textId="3D029EB5"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0" w:history="1">
        <w:r w:rsidRPr="009A6E88">
          <w:rPr>
            <w:rStyle w:val="Hyperlink"/>
            <w:noProof/>
          </w:rPr>
          <w:t>3.3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National palliative care guidance</w:t>
        </w:r>
        <w:r>
          <w:rPr>
            <w:noProof/>
            <w:webHidden/>
          </w:rPr>
          <w:tab/>
        </w:r>
        <w:r>
          <w:rPr>
            <w:noProof/>
            <w:webHidden/>
          </w:rPr>
          <w:fldChar w:fldCharType="begin"/>
        </w:r>
        <w:r>
          <w:rPr>
            <w:noProof/>
            <w:webHidden/>
          </w:rPr>
          <w:instrText xml:space="preserve"> PAGEREF _Toc232685870 \h </w:instrText>
        </w:r>
        <w:r>
          <w:rPr>
            <w:noProof/>
            <w:webHidden/>
          </w:rPr>
        </w:r>
        <w:r>
          <w:rPr>
            <w:noProof/>
            <w:webHidden/>
          </w:rPr>
          <w:fldChar w:fldCharType="separate"/>
        </w:r>
        <w:r w:rsidR="00FD330A">
          <w:rPr>
            <w:noProof/>
            <w:webHidden/>
          </w:rPr>
          <w:t>11</w:t>
        </w:r>
        <w:r>
          <w:rPr>
            <w:noProof/>
            <w:webHidden/>
          </w:rPr>
          <w:fldChar w:fldCharType="end"/>
        </w:r>
      </w:hyperlink>
    </w:p>
    <w:p w14:paraId="74E94420" w14:textId="37907C64"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1" w:history="1">
        <w:r w:rsidRPr="009A6E88">
          <w:rPr>
            <w:rStyle w:val="Hyperlink"/>
            <w:noProof/>
          </w:rPr>
          <w:t>3.4</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Related national palliative care initiatives</w:t>
        </w:r>
        <w:r>
          <w:rPr>
            <w:noProof/>
            <w:webHidden/>
          </w:rPr>
          <w:tab/>
        </w:r>
        <w:r>
          <w:rPr>
            <w:noProof/>
            <w:webHidden/>
          </w:rPr>
          <w:fldChar w:fldCharType="begin"/>
        </w:r>
        <w:r>
          <w:rPr>
            <w:noProof/>
            <w:webHidden/>
          </w:rPr>
          <w:instrText xml:space="preserve"> PAGEREF _Toc232685871 \h </w:instrText>
        </w:r>
        <w:r>
          <w:rPr>
            <w:noProof/>
            <w:webHidden/>
          </w:rPr>
        </w:r>
        <w:r>
          <w:rPr>
            <w:noProof/>
            <w:webHidden/>
          </w:rPr>
          <w:fldChar w:fldCharType="separate"/>
        </w:r>
        <w:r w:rsidR="00FD330A">
          <w:rPr>
            <w:noProof/>
            <w:webHidden/>
          </w:rPr>
          <w:t>11</w:t>
        </w:r>
        <w:r>
          <w:rPr>
            <w:noProof/>
            <w:webHidden/>
          </w:rPr>
          <w:fldChar w:fldCharType="end"/>
        </w:r>
      </w:hyperlink>
    </w:p>
    <w:p w14:paraId="33E76454" w14:textId="013804E1"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2" w:history="1">
        <w:r w:rsidRPr="009A6E88">
          <w:rPr>
            <w:rStyle w:val="Hyperlink"/>
            <w:noProof/>
          </w:rPr>
          <w:t>3.5</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Royal Commission</w:t>
        </w:r>
        <w:r>
          <w:rPr>
            <w:noProof/>
            <w:webHidden/>
          </w:rPr>
          <w:tab/>
        </w:r>
        <w:r>
          <w:rPr>
            <w:noProof/>
            <w:webHidden/>
          </w:rPr>
          <w:fldChar w:fldCharType="begin"/>
        </w:r>
        <w:r>
          <w:rPr>
            <w:noProof/>
            <w:webHidden/>
          </w:rPr>
          <w:instrText xml:space="preserve"> PAGEREF _Toc232685872 \h </w:instrText>
        </w:r>
        <w:r>
          <w:rPr>
            <w:noProof/>
            <w:webHidden/>
          </w:rPr>
        </w:r>
        <w:r>
          <w:rPr>
            <w:noProof/>
            <w:webHidden/>
          </w:rPr>
          <w:fldChar w:fldCharType="separate"/>
        </w:r>
        <w:r w:rsidR="00FD330A">
          <w:rPr>
            <w:noProof/>
            <w:webHidden/>
          </w:rPr>
          <w:t>12</w:t>
        </w:r>
        <w:r>
          <w:rPr>
            <w:noProof/>
            <w:webHidden/>
          </w:rPr>
          <w:fldChar w:fldCharType="end"/>
        </w:r>
      </w:hyperlink>
    </w:p>
    <w:p w14:paraId="4F00C926" w14:textId="7F7852E8"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873" w:history="1">
        <w:r w:rsidRPr="009A6E88">
          <w:rPr>
            <w:rStyle w:val="Hyperlink"/>
          </w:rPr>
          <w:t>Section B</w:t>
        </w:r>
        <w:r>
          <w:rPr>
            <w:rFonts w:asciiTheme="minorHAnsi" w:eastAsiaTheme="minorEastAsia" w:hAnsiTheme="minorHAnsi"/>
            <w:caps w:val="0"/>
            <w:kern w:val="2"/>
            <w:sz w:val="24"/>
            <w:szCs w:val="24"/>
            <w:lang w:eastAsia="en-AU"/>
            <w14:ligatures w14:val="standardContextual"/>
          </w:rPr>
          <w:tab/>
        </w:r>
        <w:r w:rsidRPr="009A6E88">
          <w:rPr>
            <w:rStyle w:val="Hyperlink"/>
          </w:rPr>
          <w:t>Program arrangements</w:t>
        </w:r>
        <w:r>
          <w:rPr>
            <w:webHidden/>
          </w:rPr>
          <w:tab/>
        </w:r>
        <w:r>
          <w:rPr>
            <w:webHidden/>
          </w:rPr>
          <w:fldChar w:fldCharType="begin"/>
        </w:r>
        <w:r>
          <w:rPr>
            <w:webHidden/>
          </w:rPr>
          <w:instrText xml:space="preserve"> PAGEREF _Toc232685873 \h </w:instrText>
        </w:r>
        <w:r>
          <w:rPr>
            <w:webHidden/>
          </w:rPr>
        </w:r>
        <w:r>
          <w:rPr>
            <w:webHidden/>
          </w:rPr>
          <w:fldChar w:fldCharType="separate"/>
        </w:r>
        <w:r w:rsidR="00FD330A">
          <w:rPr>
            <w:webHidden/>
          </w:rPr>
          <w:t>12</w:t>
        </w:r>
        <w:r>
          <w:rPr>
            <w:webHidden/>
          </w:rPr>
          <w:fldChar w:fldCharType="end"/>
        </w:r>
      </w:hyperlink>
    </w:p>
    <w:p w14:paraId="6C31A074" w14:textId="0D1F0D1B"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4" w:history="1">
        <w:r w:rsidRPr="009A6E88">
          <w:rPr>
            <w:rStyle w:val="Hyperlink"/>
            <w:noProof/>
          </w:rPr>
          <w:t>3.6</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PEPA Aged Care</w:t>
        </w:r>
        <w:r>
          <w:rPr>
            <w:noProof/>
            <w:webHidden/>
          </w:rPr>
          <w:tab/>
        </w:r>
        <w:r>
          <w:rPr>
            <w:noProof/>
            <w:webHidden/>
          </w:rPr>
          <w:fldChar w:fldCharType="begin"/>
        </w:r>
        <w:r>
          <w:rPr>
            <w:noProof/>
            <w:webHidden/>
          </w:rPr>
          <w:instrText xml:space="preserve"> PAGEREF _Toc232685874 \h </w:instrText>
        </w:r>
        <w:r>
          <w:rPr>
            <w:noProof/>
            <w:webHidden/>
          </w:rPr>
        </w:r>
        <w:r>
          <w:rPr>
            <w:noProof/>
            <w:webHidden/>
          </w:rPr>
          <w:fldChar w:fldCharType="separate"/>
        </w:r>
        <w:r w:rsidR="00FD330A">
          <w:rPr>
            <w:noProof/>
            <w:webHidden/>
          </w:rPr>
          <w:t>12</w:t>
        </w:r>
        <w:r>
          <w:rPr>
            <w:noProof/>
            <w:webHidden/>
          </w:rPr>
          <w:fldChar w:fldCharType="end"/>
        </w:r>
      </w:hyperlink>
    </w:p>
    <w:p w14:paraId="46E56053" w14:textId="6D320DE8"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75" w:history="1">
        <w:r w:rsidRPr="009A6E88">
          <w:rPr>
            <w:rStyle w:val="Hyperlink"/>
            <w:noProof/>
          </w:rPr>
          <w:t>3.6.1</w:t>
        </w:r>
        <w:r>
          <w:rPr>
            <w:rFonts w:asciiTheme="minorHAnsi" w:eastAsiaTheme="minorEastAsia" w:hAnsiTheme="minorHAnsi"/>
            <w:noProof/>
            <w:kern w:val="2"/>
            <w:sz w:val="24"/>
            <w:szCs w:val="24"/>
            <w:lang w:eastAsia="en-AU"/>
            <w14:ligatures w14:val="standardContextual"/>
          </w:rPr>
          <w:tab/>
        </w:r>
        <w:r w:rsidRPr="009A6E88">
          <w:rPr>
            <w:rStyle w:val="Hyperlink"/>
            <w:noProof/>
          </w:rPr>
          <w:t>Design and delivery model</w:t>
        </w:r>
        <w:r>
          <w:rPr>
            <w:noProof/>
            <w:webHidden/>
          </w:rPr>
          <w:tab/>
        </w:r>
        <w:r>
          <w:rPr>
            <w:noProof/>
            <w:webHidden/>
          </w:rPr>
          <w:fldChar w:fldCharType="begin"/>
        </w:r>
        <w:r>
          <w:rPr>
            <w:noProof/>
            <w:webHidden/>
          </w:rPr>
          <w:instrText xml:space="preserve"> PAGEREF _Toc232685875 \h </w:instrText>
        </w:r>
        <w:r>
          <w:rPr>
            <w:noProof/>
            <w:webHidden/>
          </w:rPr>
        </w:r>
        <w:r>
          <w:rPr>
            <w:noProof/>
            <w:webHidden/>
          </w:rPr>
          <w:fldChar w:fldCharType="separate"/>
        </w:r>
        <w:r w:rsidR="00FD330A">
          <w:rPr>
            <w:noProof/>
            <w:webHidden/>
          </w:rPr>
          <w:t>12</w:t>
        </w:r>
        <w:r>
          <w:rPr>
            <w:noProof/>
            <w:webHidden/>
          </w:rPr>
          <w:fldChar w:fldCharType="end"/>
        </w:r>
      </w:hyperlink>
    </w:p>
    <w:p w14:paraId="68AD366D" w14:textId="3FEA405D"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76" w:history="1">
        <w:r w:rsidRPr="009A6E88">
          <w:rPr>
            <w:rStyle w:val="Hyperlink"/>
            <w:noProof/>
          </w:rPr>
          <w:t>3.6.2</w:t>
        </w:r>
        <w:r>
          <w:rPr>
            <w:rFonts w:asciiTheme="minorHAnsi" w:eastAsiaTheme="minorEastAsia" w:hAnsiTheme="minorHAnsi"/>
            <w:noProof/>
            <w:kern w:val="2"/>
            <w:sz w:val="24"/>
            <w:szCs w:val="24"/>
            <w:lang w:eastAsia="en-AU"/>
            <w14:ligatures w14:val="standardContextual"/>
          </w:rPr>
          <w:tab/>
        </w:r>
        <w:r w:rsidRPr="009A6E88">
          <w:rPr>
            <w:rStyle w:val="Hyperlink"/>
            <w:noProof/>
          </w:rPr>
          <w:t>Administration, funding, and governance</w:t>
        </w:r>
        <w:r>
          <w:rPr>
            <w:noProof/>
            <w:webHidden/>
          </w:rPr>
          <w:tab/>
        </w:r>
        <w:r>
          <w:rPr>
            <w:noProof/>
            <w:webHidden/>
          </w:rPr>
          <w:fldChar w:fldCharType="begin"/>
        </w:r>
        <w:r>
          <w:rPr>
            <w:noProof/>
            <w:webHidden/>
          </w:rPr>
          <w:instrText xml:space="preserve"> PAGEREF _Toc232685876 \h </w:instrText>
        </w:r>
        <w:r>
          <w:rPr>
            <w:noProof/>
            <w:webHidden/>
          </w:rPr>
        </w:r>
        <w:r>
          <w:rPr>
            <w:noProof/>
            <w:webHidden/>
          </w:rPr>
          <w:fldChar w:fldCharType="separate"/>
        </w:r>
        <w:r w:rsidR="00FD330A">
          <w:rPr>
            <w:noProof/>
            <w:webHidden/>
          </w:rPr>
          <w:t>13</w:t>
        </w:r>
        <w:r>
          <w:rPr>
            <w:noProof/>
            <w:webHidden/>
          </w:rPr>
          <w:fldChar w:fldCharType="end"/>
        </w:r>
      </w:hyperlink>
    </w:p>
    <w:p w14:paraId="580DF17A" w14:textId="72C6CCE7"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77" w:history="1">
        <w:r w:rsidRPr="009A6E88">
          <w:rPr>
            <w:rStyle w:val="Hyperlink"/>
            <w:noProof/>
          </w:rPr>
          <w:t>3.6.3</w:t>
        </w:r>
        <w:r>
          <w:rPr>
            <w:rFonts w:asciiTheme="minorHAnsi" w:eastAsiaTheme="minorEastAsia" w:hAnsiTheme="minorHAnsi"/>
            <w:noProof/>
            <w:kern w:val="2"/>
            <w:sz w:val="24"/>
            <w:szCs w:val="24"/>
            <w:lang w:eastAsia="en-AU"/>
            <w14:ligatures w14:val="standardContextual"/>
          </w:rPr>
          <w:tab/>
        </w:r>
        <w:r w:rsidRPr="009A6E88">
          <w:rPr>
            <w:rStyle w:val="Hyperlink"/>
            <w:noProof/>
          </w:rPr>
          <w:t>Key performance indicators</w:t>
        </w:r>
        <w:r>
          <w:rPr>
            <w:noProof/>
            <w:webHidden/>
          </w:rPr>
          <w:tab/>
        </w:r>
        <w:r>
          <w:rPr>
            <w:noProof/>
            <w:webHidden/>
          </w:rPr>
          <w:fldChar w:fldCharType="begin"/>
        </w:r>
        <w:r>
          <w:rPr>
            <w:noProof/>
            <w:webHidden/>
          </w:rPr>
          <w:instrText xml:space="preserve"> PAGEREF _Toc232685877 \h </w:instrText>
        </w:r>
        <w:r>
          <w:rPr>
            <w:noProof/>
            <w:webHidden/>
          </w:rPr>
        </w:r>
        <w:r>
          <w:rPr>
            <w:noProof/>
            <w:webHidden/>
          </w:rPr>
          <w:fldChar w:fldCharType="separate"/>
        </w:r>
        <w:r w:rsidR="00FD330A">
          <w:rPr>
            <w:noProof/>
            <w:webHidden/>
          </w:rPr>
          <w:t>13</w:t>
        </w:r>
        <w:r>
          <w:rPr>
            <w:noProof/>
            <w:webHidden/>
          </w:rPr>
          <w:fldChar w:fldCharType="end"/>
        </w:r>
      </w:hyperlink>
    </w:p>
    <w:p w14:paraId="29F5B528" w14:textId="3CA5151C"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8" w:history="1">
        <w:r w:rsidRPr="009A6E88">
          <w:rPr>
            <w:rStyle w:val="Hyperlink"/>
            <w:noProof/>
          </w:rPr>
          <w:t>3.7</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PACOP</w:t>
        </w:r>
        <w:r>
          <w:rPr>
            <w:noProof/>
            <w:webHidden/>
          </w:rPr>
          <w:tab/>
        </w:r>
        <w:r>
          <w:rPr>
            <w:noProof/>
            <w:webHidden/>
          </w:rPr>
          <w:fldChar w:fldCharType="begin"/>
        </w:r>
        <w:r>
          <w:rPr>
            <w:noProof/>
            <w:webHidden/>
          </w:rPr>
          <w:instrText xml:space="preserve"> PAGEREF _Toc232685878 \h </w:instrText>
        </w:r>
        <w:r>
          <w:rPr>
            <w:noProof/>
            <w:webHidden/>
          </w:rPr>
        </w:r>
        <w:r>
          <w:rPr>
            <w:noProof/>
            <w:webHidden/>
          </w:rPr>
          <w:fldChar w:fldCharType="separate"/>
        </w:r>
        <w:r w:rsidR="00FD330A">
          <w:rPr>
            <w:noProof/>
            <w:webHidden/>
          </w:rPr>
          <w:t>14</w:t>
        </w:r>
        <w:r>
          <w:rPr>
            <w:noProof/>
            <w:webHidden/>
          </w:rPr>
          <w:fldChar w:fldCharType="end"/>
        </w:r>
      </w:hyperlink>
    </w:p>
    <w:p w14:paraId="52337F38" w14:textId="76638F67"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79" w:history="1">
        <w:r w:rsidRPr="009A6E88">
          <w:rPr>
            <w:rStyle w:val="Hyperlink"/>
            <w:noProof/>
          </w:rPr>
          <w:t>3.7.1</w:t>
        </w:r>
        <w:r>
          <w:rPr>
            <w:rFonts w:asciiTheme="minorHAnsi" w:eastAsiaTheme="minorEastAsia" w:hAnsiTheme="minorHAnsi"/>
            <w:noProof/>
            <w:kern w:val="2"/>
            <w:sz w:val="24"/>
            <w:szCs w:val="24"/>
            <w:lang w:eastAsia="en-AU"/>
            <w14:ligatures w14:val="standardContextual"/>
          </w:rPr>
          <w:tab/>
        </w:r>
        <w:r w:rsidRPr="009A6E88">
          <w:rPr>
            <w:rStyle w:val="Hyperlink"/>
            <w:noProof/>
          </w:rPr>
          <w:t>Design and delivery model</w:t>
        </w:r>
        <w:r>
          <w:rPr>
            <w:noProof/>
            <w:webHidden/>
          </w:rPr>
          <w:tab/>
        </w:r>
        <w:r>
          <w:rPr>
            <w:noProof/>
            <w:webHidden/>
          </w:rPr>
          <w:fldChar w:fldCharType="begin"/>
        </w:r>
        <w:r>
          <w:rPr>
            <w:noProof/>
            <w:webHidden/>
          </w:rPr>
          <w:instrText xml:space="preserve"> PAGEREF _Toc232685879 \h </w:instrText>
        </w:r>
        <w:r>
          <w:rPr>
            <w:noProof/>
            <w:webHidden/>
          </w:rPr>
        </w:r>
        <w:r>
          <w:rPr>
            <w:noProof/>
            <w:webHidden/>
          </w:rPr>
          <w:fldChar w:fldCharType="separate"/>
        </w:r>
        <w:r w:rsidR="00FD330A">
          <w:rPr>
            <w:noProof/>
            <w:webHidden/>
          </w:rPr>
          <w:t>14</w:t>
        </w:r>
        <w:r>
          <w:rPr>
            <w:noProof/>
            <w:webHidden/>
          </w:rPr>
          <w:fldChar w:fldCharType="end"/>
        </w:r>
      </w:hyperlink>
    </w:p>
    <w:p w14:paraId="1CA47052" w14:textId="07E6D2AC"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0" w:history="1">
        <w:r w:rsidRPr="009A6E88">
          <w:rPr>
            <w:rStyle w:val="Hyperlink"/>
            <w:noProof/>
          </w:rPr>
          <w:t>3.7.2</w:t>
        </w:r>
        <w:r>
          <w:rPr>
            <w:rFonts w:asciiTheme="minorHAnsi" w:eastAsiaTheme="minorEastAsia" w:hAnsiTheme="minorHAnsi"/>
            <w:noProof/>
            <w:kern w:val="2"/>
            <w:sz w:val="24"/>
            <w:szCs w:val="24"/>
            <w:lang w:eastAsia="en-AU"/>
            <w14:ligatures w14:val="standardContextual"/>
          </w:rPr>
          <w:tab/>
        </w:r>
        <w:r w:rsidRPr="009A6E88">
          <w:rPr>
            <w:rStyle w:val="Hyperlink"/>
            <w:noProof/>
          </w:rPr>
          <w:t>Administration, funding, and governance</w:t>
        </w:r>
        <w:r>
          <w:rPr>
            <w:noProof/>
            <w:webHidden/>
          </w:rPr>
          <w:tab/>
        </w:r>
        <w:r>
          <w:rPr>
            <w:noProof/>
            <w:webHidden/>
          </w:rPr>
          <w:fldChar w:fldCharType="begin"/>
        </w:r>
        <w:r>
          <w:rPr>
            <w:noProof/>
            <w:webHidden/>
          </w:rPr>
          <w:instrText xml:space="preserve"> PAGEREF _Toc232685880 \h </w:instrText>
        </w:r>
        <w:r>
          <w:rPr>
            <w:noProof/>
            <w:webHidden/>
          </w:rPr>
        </w:r>
        <w:r>
          <w:rPr>
            <w:noProof/>
            <w:webHidden/>
          </w:rPr>
          <w:fldChar w:fldCharType="separate"/>
        </w:r>
        <w:r w:rsidR="00FD330A">
          <w:rPr>
            <w:noProof/>
            <w:webHidden/>
          </w:rPr>
          <w:t>15</w:t>
        </w:r>
        <w:r>
          <w:rPr>
            <w:noProof/>
            <w:webHidden/>
          </w:rPr>
          <w:fldChar w:fldCharType="end"/>
        </w:r>
      </w:hyperlink>
    </w:p>
    <w:p w14:paraId="6B75BF9F" w14:textId="2E5760A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1" w:history="1">
        <w:r w:rsidRPr="009A6E88">
          <w:rPr>
            <w:rStyle w:val="Hyperlink"/>
            <w:noProof/>
          </w:rPr>
          <w:t>3.7.3</w:t>
        </w:r>
        <w:r>
          <w:rPr>
            <w:rFonts w:asciiTheme="minorHAnsi" w:eastAsiaTheme="minorEastAsia" w:hAnsiTheme="minorHAnsi"/>
            <w:noProof/>
            <w:kern w:val="2"/>
            <w:sz w:val="24"/>
            <w:szCs w:val="24"/>
            <w:lang w:eastAsia="en-AU"/>
            <w14:ligatures w14:val="standardContextual"/>
          </w:rPr>
          <w:tab/>
        </w:r>
        <w:r w:rsidRPr="009A6E88">
          <w:rPr>
            <w:rStyle w:val="Hyperlink"/>
            <w:noProof/>
          </w:rPr>
          <w:t>Key performance indicators</w:t>
        </w:r>
        <w:r>
          <w:rPr>
            <w:noProof/>
            <w:webHidden/>
          </w:rPr>
          <w:tab/>
        </w:r>
        <w:r>
          <w:rPr>
            <w:noProof/>
            <w:webHidden/>
          </w:rPr>
          <w:fldChar w:fldCharType="begin"/>
        </w:r>
        <w:r>
          <w:rPr>
            <w:noProof/>
            <w:webHidden/>
          </w:rPr>
          <w:instrText xml:space="preserve"> PAGEREF _Toc232685881 \h </w:instrText>
        </w:r>
        <w:r>
          <w:rPr>
            <w:noProof/>
            <w:webHidden/>
          </w:rPr>
        </w:r>
        <w:r>
          <w:rPr>
            <w:noProof/>
            <w:webHidden/>
          </w:rPr>
          <w:fldChar w:fldCharType="separate"/>
        </w:r>
        <w:r w:rsidR="00FD330A">
          <w:rPr>
            <w:noProof/>
            <w:webHidden/>
          </w:rPr>
          <w:t>15</w:t>
        </w:r>
        <w:r>
          <w:rPr>
            <w:noProof/>
            <w:webHidden/>
          </w:rPr>
          <w:fldChar w:fldCharType="end"/>
        </w:r>
      </w:hyperlink>
    </w:p>
    <w:p w14:paraId="1F451BB1" w14:textId="4FF64EE6" w:rsidR="00E40485" w:rsidRDefault="00E40485">
      <w:pPr>
        <w:pStyle w:val="TOC7"/>
        <w:rPr>
          <w:rFonts w:eastAsiaTheme="minorEastAsia"/>
          <w:noProof/>
          <w:color w:val="auto"/>
          <w:kern w:val="2"/>
          <w:sz w:val="24"/>
          <w:szCs w:val="24"/>
          <w:lang w:eastAsia="en-AU"/>
          <w14:ligatures w14:val="standardContextual"/>
        </w:rPr>
      </w:pPr>
      <w:hyperlink w:anchor="_Toc232685882" w:history="1">
        <w:r w:rsidRPr="009A6E88">
          <w:rPr>
            <w:rStyle w:val="Hyperlink"/>
            <w:noProof/>
          </w:rPr>
          <w:t>Part B</w:t>
        </w:r>
        <w:r>
          <w:rPr>
            <w:rFonts w:eastAsiaTheme="minorEastAsia"/>
            <w:noProof/>
            <w:color w:val="auto"/>
            <w:kern w:val="2"/>
            <w:sz w:val="24"/>
            <w:szCs w:val="24"/>
            <w:lang w:eastAsia="en-AU"/>
            <w14:ligatures w14:val="standardContextual"/>
          </w:rPr>
          <w:tab/>
        </w:r>
        <w:r w:rsidRPr="009A6E88">
          <w:rPr>
            <w:rStyle w:val="Hyperlink"/>
            <w:noProof/>
          </w:rPr>
          <w:t>Evaluation findings and recommendations</w:t>
        </w:r>
        <w:r>
          <w:rPr>
            <w:noProof/>
            <w:webHidden/>
          </w:rPr>
          <w:tab/>
        </w:r>
        <w:r>
          <w:rPr>
            <w:noProof/>
            <w:webHidden/>
          </w:rPr>
          <w:fldChar w:fldCharType="begin"/>
        </w:r>
        <w:r>
          <w:rPr>
            <w:noProof/>
            <w:webHidden/>
          </w:rPr>
          <w:instrText xml:space="preserve"> PAGEREF _Toc232685882 \h </w:instrText>
        </w:r>
        <w:r>
          <w:rPr>
            <w:noProof/>
            <w:webHidden/>
          </w:rPr>
        </w:r>
        <w:r>
          <w:rPr>
            <w:noProof/>
            <w:webHidden/>
          </w:rPr>
          <w:fldChar w:fldCharType="separate"/>
        </w:r>
        <w:r w:rsidR="00FD330A">
          <w:rPr>
            <w:noProof/>
            <w:webHidden/>
          </w:rPr>
          <w:t>18</w:t>
        </w:r>
        <w:r>
          <w:rPr>
            <w:noProof/>
            <w:webHidden/>
          </w:rPr>
          <w:fldChar w:fldCharType="end"/>
        </w:r>
      </w:hyperlink>
    </w:p>
    <w:p w14:paraId="3944228D" w14:textId="489BF800"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83" w:history="1">
        <w:r w:rsidRPr="009A6E88">
          <w:rPr>
            <w:rStyle w:val="Hyperlink"/>
            <w:noProof/>
          </w:rPr>
          <w:t>4</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Appropriateness</w:t>
        </w:r>
        <w:r>
          <w:rPr>
            <w:noProof/>
            <w:webHidden/>
          </w:rPr>
          <w:tab/>
        </w:r>
        <w:r>
          <w:rPr>
            <w:noProof/>
            <w:webHidden/>
          </w:rPr>
          <w:fldChar w:fldCharType="begin"/>
        </w:r>
        <w:r>
          <w:rPr>
            <w:noProof/>
            <w:webHidden/>
          </w:rPr>
          <w:instrText xml:space="preserve"> PAGEREF _Toc232685883 \h </w:instrText>
        </w:r>
        <w:r>
          <w:rPr>
            <w:noProof/>
            <w:webHidden/>
          </w:rPr>
        </w:r>
        <w:r>
          <w:rPr>
            <w:noProof/>
            <w:webHidden/>
          </w:rPr>
          <w:fldChar w:fldCharType="separate"/>
        </w:r>
        <w:r w:rsidR="00FD330A">
          <w:rPr>
            <w:noProof/>
            <w:webHidden/>
          </w:rPr>
          <w:t>19</w:t>
        </w:r>
        <w:r>
          <w:rPr>
            <w:noProof/>
            <w:webHidden/>
          </w:rPr>
          <w:fldChar w:fldCharType="end"/>
        </w:r>
      </w:hyperlink>
    </w:p>
    <w:p w14:paraId="05EE5F7B" w14:textId="3AA4C6C6"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884" w:history="1">
        <w:r w:rsidRPr="009A6E88">
          <w:rPr>
            <w:rStyle w:val="Hyperlink"/>
          </w:rPr>
          <w:t>Analysis and findings</w:t>
        </w:r>
        <w:r>
          <w:rPr>
            <w:webHidden/>
          </w:rPr>
          <w:tab/>
        </w:r>
        <w:r>
          <w:rPr>
            <w:webHidden/>
          </w:rPr>
          <w:fldChar w:fldCharType="begin"/>
        </w:r>
        <w:r>
          <w:rPr>
            <w:webHidden/>
          </w:rPr>
          <w:instrText xml:space="preserve"> PAGEREF _Toc232685884 \h </w:instrText>
        </w:r>
        <w:r>
          <w:rPr>
            <w:webHidden/>
          </w:rPr>
        </w:r>
        <w:r>
          <w:rPr>
            <w:webHidden/>
          </w:rPr>
          <w:fldChar w:fldCharType="separate"/>
        </w:r>
        <w:r w:rsidR="00FD330A">
          <w:rPr>
            <w:webHidden/>
          </w:rPr>
          <w:t>19</w:t>
        </w:r>
        <w:r>
          <w:rPr>
            <w:webHidden/>
          </w:rPr>
          <w:fldChar w:fldCharType="end"/>
        </w:r>
      </w:hyperlink>
    </w:p>
    <w:p w14:paraId="24D1A683" w14:textId="10BB3021"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85" w:history="1">
        <w:r w:rsidRPr="009A6E88">
          <w:rPr>
            <w:rStyle w:val="Hyperlink"/>
            <w:noProof/>
          </w:rPr>
          <w:t>4.1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The Measure</w:t>
        </w:r>
        <w:r>
          <w:rPr>
            <w:noProof/>
            <w:webHidden/>
          </w:rPr>
          <w:tab/>
        </w:r>
        <w:r>
          <w:rPr>
            <w:noProof/>
            <w:webHidden/>
          </w:rPr>
          <w:fldChar w:fldCharType="begin"/>
        </w:r>
        <w:r>
          <w:rPr>
            <w:noProof/>
            <w:webHidden/>
          </w:rPr>
          <w:instrText xml:space="preserve"> PAGEREF _Toc232685885 \h </w:instrText>
        </w:r>
        <w:r>
          <w:rPr>
            <w:noProof/>
            <w:webHidden/>
          </w:rPr>
        </w:r>
        <w:r>
          <w:rPr>
            <w:noProof/>
            <w:webHidden/>
          </w:rPr>
          <w:fldChar w:fldCharType="separate"/>
        </w:r>
        <w:r w:rsidR="00FD330A">
          <w:rPr>
            <w:noProof/>
            <w:webHidden/>
          </w:rPr>
          <w:t>19</w:t>
        </w:r>
        <w:r>
          <w:rPr>
            <w:noProof/>
            <w:webHidden/>
          </w:rPr>
          <w:fldChar w:fldCharType="end"/>
        </w:r>
      </w:hyperlink>
    </w:p>
    <w:p w14:paraId="19EDA53E" w14:textId="7755ACF8"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6" w:history="1">
        <w:r w:rsidRPr="009A6E88">
          <w:rPr>
            <w:rStyle w:val="Hyperlink"/>
            <w:noProof/>
          </w:rPr>
          <w:t>4.1.1</w:t>
        </w:r>
        <w:r>
          <w:rPr>
            <w:rFonts w:asciiTheme="minorHAnsi" w:eastAsiaTheme="minorEastAsia" w:hAnsiTheme="minorHAnsi"/>
            <w:noProof/>
            <w:kern w:val="2"/>
            <w:sz w:val="24"/>
            <w:szCs w:val="24"/>
            <w:lang w:eastAsia="en-AU"/>
            <w14:ligatures w14:val="standardContextual"/>
          </w:rPr>
          <w:tab/>
        </w:r>
        <w:r w:rsidRPr="009A6E88">
          <w:rPr>
            <w:rStyle w:val="Hyperlink"/>
            <w:noProof/>
          </w:rPr>
          <w:t>Continued need for palliative care education, training, and quality improvement</w:t>
        </w:r>
        <w:r>
          <w:rPr>
            <w:noProof/>
            <w:webHidden/>
          </w:rPr>
          <w:tab/>
        </w:r>
        <w:r>
          <w:rPr>
            <w:noProof/>
            <w:webHidden/>
          </w:rPr>
          <w:fldChar w:fldCharType="begin"/>
        </w:r>
        <w:r>
          <w:rPr>
            <w:noProof/>
            <w:webHidden/>
          </w:rPr>
          <w:instrText xml:space="preserve"> PAGEREF _Toc232685886 \h </w:instrText>
        </w:r>
        <w:r>
          <w:rPr>
            <w:noProof/>
            <w:webHidden/>
          </w:rPr>
        </w:r>
        <w:r>
          <w:rPr>
            <w:noProof/>
            <w:webHidden/>
          </w:rPr>
          <w:fldChar w:fldCharType="separate"/>
        </w:r>
        <w:r w:rsidR="00FD330A">
          <w:rPr>
            <w:noProof/>
            <w:webHidden/>
          </w:rPr>
          <w:t>20</w:t>
        </w:r>
        <w:r>
          <w:rPr>
            <w:noProof/>
            <w:webHidden/>
          </w:rPr>
          <w:fldChar w:fldCharType="end"/>
        </w:r>
      </w:hyperlink>
    </w:p>
    <w:p w14:paraId="4CE8F119" w14:textId="084B41A9"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7" w:history="1">
        <w:r w:rsidRPr="009A6E88">
          <w:rPr>
            <w:rStyle w:val="Hyperlink"/>
            <w:noProof/>
          </w:rPr>
          <w:t>4.1.2</w:t>
        </w:r>
        <w:r>
          <w:rPr>
            <w:rFonts w:asciiTheme="minorHAnsi" w:eastAsiaTheme="minorEastAsia" w:hAnsiTheme="minorHAnsi"/>
            <w:noProof/>
            <w:kern w:val="2"/>
            <w:sz w:val="24"/>
            <w:szCs w:val="24"/>
            <w:lang w:eastAsia="en-AU"/>
            <w14:ligatures w14:val="standardContextual"/>
          </w:rPr>
          <w:tab/>
        </w:r>
        <w:r w:rsidRPr="009A6E88">
          <w:rPr>
            <w:rStyle w:val="Hyperlink"/>
            <w:noProof/>
          </w:rPr>
          <w:t>Gaps and areas of duplication</w:t>
        </w:r>
        <w:r>
          <w:rPr>
            <w:noProof/>
            <w:webHidden/>
          </w:rPr>
          <w:tab/>
        </w:r>
        <w:r>
          <w:rPr>
            <w:noProof/>
            <w:webHidden/>
          </w:rPr>
          <w:fldChar w:fldCharType="begin"/>
        </w:r>
        <w:r>
          <w:rPr>
            <w:noProof/>
            <w:webHidden/>
          </w:rPr>
          <w:instrText xml:space="preserve"> PAGEREF _Toc232685887 \h </w:instrText>
        </w:r>
        <w:r>
          <w:rPr>
            <w:noProof/>
            <w:webHidden/>
          </w:rPr>
        </w:r>
        <w:r>
          <w:rPr>
            <w:noProof/>
            <w:webHidden/>
          </w:rPr>
          <w:fldChar w:fldCharType="separate"/>
        </w:r>
        <w:r w:rsidR="00FD330A">
          <w:rPr>
            <w:noProof/>
            <w:webHidden/>
          </w:rPr>
          <w:t>21</w:t>
        </w:r>
        <w:r>
          <w:rPr>
            <w:noProof/>
            <w:webHidden/>
          </w:rPr>
          <w:fldChar w:fldCharType="end"/>
        </w:r>
      </w:hyperlink>
    </w:p>
    <w:p w14:paraId="1F76210E" w14:textId="26DCC354"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88" w:history="1">
        <w:r w:rsidRPr="009A6E88">
          <w:rPr>
            <w:rStyle w:val="Hyperlink"/>
            <w:noProof/>
          </w:rPr>
          <w:t>4.2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PEPA Aged Care</w:t>
        </w:r>
        <w:r>
          <w:rPr>
            <w:noProof/>
            <w:webHidden/>
          </w:rPr>
          <w:tab/>
        </w:r>
        <w:r>
          <w:rPr>
            <w:noProof/>
            <w:webHidden/>
          </w:rPr>
          <w:fldChar w:fldCharType="begin"/>
        </w:r>
        <w:r>
          <w:rPr>
            <w:noProof/>
            <w:webHidden/>
          </w:rPr>
          <w:instrText xml:space="preserve"> PAGEREF _Toc232685888 \h </w:instrText>
        </w:r>
        <w:r>
          <w:rPr>
            <w:noProof/>
            <w:webHidden/>
          </w:rPr>
        </w:r>
        <w:r>
          <w:rPr>
            <w:noProof/>
            <w:webHidden/>
          </w:rPr>
          <w:fldChar w:fldCharType="separate"/>
        </w:r>
        <w:r w:rsidR="00FD330A">
          <w:rPr>
            <w:noProof/>
            <w:webHidden/>
          </w:rPr>
          <w:t>23</w:t>
        </w:r>
        <w:r>
          <w:rPr>
            <w:noProof/>
            <w:webHidden/>
          </w:rPr>
          <w:fldChar w:fldCharType="end"/>
        </w:r>
      </w:hyperlink>
    </w:p>
    <w:p w14:paraId="11DEC8D1" w14:textId="670C602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9" w:history="1">
        <w:r w:rsidRPr="009A6E88">
          <w:rPr>
            <w:rStyle w:val="Hyperlink"/>
            <w:noProof/>
          </w:rPr>
          <w:t>4.2.1</w:t>
        </w:r>
        <w:r>
          <w:rPr>
            <w:rFonts w:asciiTheme="minorHAnsi" w:eastAsiaTheme="minorEastAsia" w:hAnsiTheme="minorHAnsi"/>
            <w:noProof/>
            <w:kern w:val="2"/>
            <w:sz w:val="24"/>
            <w:szCs w:val="24"/>
            <w:lang w:eastAsia="en-AU"/>
            <w14:ligatures w14:val="standardContextual"/>
          </w:rPr>
          <w:tab/>
        </w:r>
        <w:r w:rsidRPr="009A6E88">
          <w:rPr>
            <w:rStyle w:val="Hyperlink"/>
            <w:noProof/>
          </w:rPr>
          <w:t>Training content and delivery</w:t>
        </w:r>
        <w:r>
          <w:rPr>
            <w:noProof/>
            <w:webHidden/>
          </w:rPr>
          <w:tab/>
        </w:r>
        <w:r>
          <w:rPr>
            <w:noProof/>
            <w:webHidden/>
          </w:rPr>
          <w:fldChar w:fldCharType="begin"/>
        </w:r>
        <w:r>
          <w:rPr>
            <w:noProof/>
            <w:webHidden/>
          </w:rPr>
          <w:instrText xml:space="preserve"> PAGEREF _Toc232685889 \h </w:instrText>
        </w:r>
        <w:r>
          <w:rPr>
            <w:noProof/>
            <w:webHidden/>
          </w:rPr>
        </w:r>
        <w:r>
          <w:rPr>
            <w:noProof/>
            <w:webHidden/>
          </w:rPr>
          <w:fldChar w:fldCharType="separate"/>
        </w:r>
        <w:r w:rsidR="00FD330A">
          <w:rPr>
            <w:noProof/>
            <w:webHidden/>
          </w:rPr>
          <w:t>23</w:t>
        </w:r>
        <w:r>
          <w:rPr>
            <w:noProof/>
            <w:webHidden/>
          </w:rPr>
          <w:fldChar w:fldCharType="end"/>
        </w:r>
      </w:hyperlink>
    </w:p>
    <w:p w14:paraId="2ACAAC47" w14:textId="34F0B52B"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0" w:history="1">
        <w:r w:rsidRPr="009A6E88">
          <w:rPr>
            <w:rStyle w:val="Hyperlink"/>
            <w:noProof/>
          </w:rPr>
          <w:t>4.2.2</w:t>
        </w:r>
        <w:r>
          <w:rPr>
            <w:rFonts w:asciiTheme="minorHAnsi" w:eastAsiaTheme="minorEastAsia" w:hAnsiTheme="minorHAnsi"/>
            <w:noProof/>
            <w:kern w:val="2"/>
            <w:sz w:val="24"/>
            <w:szCs w:val="24"/>
            <w:lang w:eastAsia="en-AU"/>
            <w14:ligatures w14:val="standardContextual"/>
          </w:rPr>
          <w:tab/>
        </w:r>
        <w:r w:rsidRPr="009A6E88">
          <w:rPr>
            <w:rStyle w:val="Hyperlink"/>
            <w:noProof/>
          </w:rPr>
          <w:t>Sustainability and reach of the training model</w:t>
        </w:r>
        <w:r>
          <w:rPr>
            <w:noProof/>
            <w:webHidden/>
          </w:rPr>
          <w:tab/>
        </w:r>
        <w:r>
          <w:rPr>
            <w:noProof/>
            <w:webHidden/>
          </w:rPr>
          <w:fldChar w:fldCharType="begin"/>
        </w:r>
        <w:r>
          <w:rPr>
            <w:noProof/>
            <w:webHidden/>
          </w:rPr>
          <w:instrText xml:space="preserve"> PAGEREF _Toc232685890 \h </w:instrText>
        </w:r>
        <w:r>
          <w:rPr>
            <w:noProof/>
            <w:webHidden/>
          </w:rPr>
        </w:r>
        <w:r>
          <w:rPr>
            <w:noProof/>
            <w:webHidden/>
          </w:rPr>
          <w:fldChar w:fldCharType="separate"/>
        </w:r>
        <w:r w:rsidR="00FD330A">
          <w:rPr>
            <w:noProof/>
            <w:webHidden/>
          </w:rPr>
          <w:t>24</w:t>
        </w:r>
        <w:r>
          <w:rPr>
            <w:noProof/>
            <w:webHidden/>
          </w:rPr>
          <w:fldChar w:fldCharType="end"/>
        </w:r>
      </w:hyperlink>
    </w:p>
    <w:p w14:paraId="3C3FFC08" w14:textId="12768E4B"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1" w:history="1">
        <w:r w:rsidRPr="009A6E88">
          <w:rPr>
            <w:rStyle w:val="Hyperlink"/>
            <w:noProof/>
          </w:rPr>
          <w:t>4.2.3</w:t>
        </w:r>
        <w:r>
          <w:rPr>
            <w:rFonts w:asciiTheme="minorHAnsi" w:eastAsiaTheme="minorEastAsia" w:hAnsiTheme="minorHAnsi"/>
            <w:noProof/>
            <w:kern w:val="2"/>
            <w:sz w:val="24"/>
            <w:szCs w:val="24"/>
            <w:lang w:eastAsia="en-AU"/>
            <w14:ligatures w14:val="standardContextual"/>
          </w:rPr>
          <w:tab/>
        </w:r>
        <w:r w:rsidRPr="009A6E88">
          <w:rPr>
            <w:rStyle w:val="Hyperlink"/>
            <w:noProof/>
          </w:rPr>
          <w:t>Clinical and cultural safety</w:t>
        </w:r>
        <w:r>
          <w:rPr>
            <w:noProof/>
            <w:webHidden/>
          </w:rPr>
          <w:tab/>
        </w:r>
        <w:r>
          <w:rPr>
            <w:noProof/>
            <w:webHidden/>
          </w:rPr>
          <w:fldChar w:fldCharType="begin"/>
        </w:r>
        <w:r>
          <w:rPr>
            <w:noProof/>
            <w:webHidden/>
          </w:rPr>
          <w:instrText xml:space="preserve"> PAGEREF _Toc232685891 \h </w:instrText>
        </w:r>
        <w:r>
          <w:rPr>
            <w:noProof/>
            <w:webHidden/>
          </w:rPr>
        </w:r>
        <w:r>
          <w:rPr>
            <w:noProof/>
            <w:webHidden/>
          </w:rPr>
          <w:fldChar w:fldCharType="separate"/>
        </w:r>
        <w:r w:rsidR="00FD330A">
          <w:rPr>
            <w:noProof/>
            <w:webHidden/>
          </w:rPr>
          <w:t>25</w:t>
        </w:r>
        <w:r>
          <w:rPr>
            <w:noProof/>
            <w:webHidden/>
          </w:rPr>
          <w:fldChar w:fldCharType="end"/>
        </w:r>
      </w:hyperlink>
    </w:p>
    <w:p w14:paraId="7DB48962" w14:textId="44E805C5"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92" w:history="1">
        <w:r w:rsidRPr="009A6E88">
          <w:rPr>
            <w:rStyle w:val="Hyperlink"/>
            <w:noProof/>
          </w:rPr>
          <w:t>4.3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PACOP</w:t>
        </w:r>
        <w:r>
          <w:rPr>
            <w:noProof/>
            <w:webHidden/>
          </w:rPr>
          <w:tab/>
        </w:r>
        <w:r>
          <w:rPr>
            <w:noProof/>
            <w:webHidden/>
          </w:rPr>
          <w:fldChar w:fldCharType="begin"/>
        </w:r>
        <w:r>
          <w:rPr>
            <w:noProof/>
            <w:webHidden/>
          </w:rPr>
          <w:instrText xml:space="preserve"> PAGEREF _Toc232685892 \h </w:instrText>
        </w:r>
        <w:r>
          <w:rPr>
            <w:noProof/>
            <w:webHidden/>
          </w:rPr>
        </w:r>
        <w:r>
          <w:rPr>
            <w:noProof/>
            <w:webHidden/>
          </w:rPr>
          <w:fldChar w:fldCharType="separate"/>
        </w:r>
        <w:r w:rsidR="00FD330A">
          <w:rPr>
            <w:noProof/>
            <w:webHidden/>
          </w:rPr>
          <w:t>25</w:t>
        </w:r>
        <w:r>
          <w:rPr>
            <w:noProof/>
            <w:webHidden/>
          </w:rPr>
          <w:fldChar w:fldCharType="end"/>
        </w:r>
      </w:hyperlink>
    </w:p>
    <w:p w14:paraId="12076393" w14:textId="20383E9A"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3" w:history="1">
        <w:r w:rsidRPr="009A6E88">
          <w:rPr>
            <w:rStyle w:val="Hyperlink"/>
            <w:noProof/>
          </w:rPr>
          <w:t>4.3.1</w:t>
        </w:r>
        <w:r>
          <w:rPr>
            <w:rFonts w:asciiTheme="minorHAnsi" w:eastAsiaTheme="minorEastAsia" w:hAnsiTheme="minorHAnsi"/>
            <w:noProof/>
            <w:kern w:val="2"/>
            <w:sz w:val="24"/>
            <w:szCs w:val="24"/>
            <w:lang w:eastAsia="en-AU"/>
            <w14:ligatures w14:val="standardContextual"/>
          </w:rPr>
          <w:tab/>
        </w:r>
        <w:r w:rsidRPr="009A6E88">
          <w:rPr>
            <w:rStyle w:val="Hyperlink"/>
            <w:noProof/>
          </w:rPr>
          <w:t>Systems approach</w:t>
        </w:r>
        <w:r>
          <w:rPr>
            <w:noProof/>
            <w:webHidden/>
          </w:rPr>
          <w:tab/>
        </w:r>
        <w:r>
          <w:rPr>
            <w:noProof/>
            <w:webHidden/>
          </w:rPr>
          <w:fldChar w:fldCharType="begin"/>
        </w:r>
        <w:r>
          <w:rPr>
            <w:noProof/>
            <w:webHidden/>
          </w:rPr>
          <w:instrText xml:space="preserve"> PAGEREF _Toc232685893 \h </w:instrText>
        </w:r>
        <w:r>
          <w:rPr>
            <w:noProof/>
            <w:webHidden/>
          </w:rPr>
        </w:r>
        <w:r>
          <w:rPr>
            <w:noProof/>
            <w:webHidden/>
          </w:rPr>
          <w:fldChar w:fldCharType="separate"/>
        </w:r>
        <w:r w:rsidR="00FD330A">
          <w:rPr>
            <w:noProof/>
            <w:webHidden/>
          </w:rPr>
          <w:t>25</w:t>
        </w:r>
        <w:r>
          <w:rPr>
            <w:noProof/>
            <w:webHidden/>
          </w:rPr>
          <w:fldChar w:fldCharType="end"/>
        </w:r>
      </w:hyperlink>
    </w:p>
    <w:p w14:paraId="4083B254" w14:textId="44ED7BE4"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4" w:history="1">
        <w:r w:rsidRPr="009A6E88">
          <w:rPr>
            <w:rStyle w:val="Hyperlink"/>
            <w:noProof/>
          </w:rPr>
          <w:t>4.3.2</w:t>
        </w:r>
        <w:r>
          <w:rPr>
            <w:rFonts w:asciiTheme="minorHAnsi" w:eastAsiaTheme="minorEastAsia" w:hAnsiTheme="minorHAnsi"/>
            <w:noProof/>
            <w:kern w:val="2"/>
            <w:sz w:val="24"/>
            <w:szCs w:val="24"/>
            <w:lang w:eastAsia="en-AU"/>
            <w14:ligatures w14:val="standardContextual"/>
          </w:rPr>
          <w:tab/>
        </w:r>
        <w:r w:rsidRPr="009A6E88">
          <w:rPr>
            <w:rStyle w:val="Hyperlink"/>
            <w:noProof/>
          </w:rPr>
          <w:t>Resource investment and model complexity</w:t>
        </w:r>
        <w:r>
          <w:rPr>
            <w:noProof/>
            <w:webHidden/>
          </w:rPr>
          <w:tab/>
        </w:r>
        <w:r>
          <w:rPr>
            <w:noProof/>
            <w:webHidden/>
          </w:rPr>
          <w:fldChar w:fldCharType="begin"/>
        </w:r>
        <w:r>
          <w:rPr>
            <w:noProof/>
            <w:webHidden/>
          </w:rPr>
          <w:instrText xml:space="preserve"> PAGEREF _Toc232685894 \h </w:instrText>
        </w:r>
        <w:r>
          <w:rPr>
            <w:noProof/>
            <w:webHidden/>
          </w:rPr>
        </w:r>
        <w:r>
          <w:rPr>
            <w:noProof/>
            <w:webHidden/>
          </w:rPr>
          <w:fldChar w:fldCharType="separate"/>
        </w:r>
        <w:r w:rsidR="00FD330A">
          <w:rPr>
            <w:noProof/>
            <w:webHidden/>
          </w:rPr>
          <w:t>26</w:t>
        </w:r>
        <w:r>
          <w:rPr>
            <w:noProof/>
            <w:webHidden/>
          </w:rPr>
          <w:fldChar w:fldCharType="end"/>
        </w:r>
      </w:hyperlink>
    </w:p>
    <w:p w14:paraId="175D15A3" w14:textId="7513C344"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5" w:history="1">
        <w:r w:rsidRPr="009A6E88">
          <w:rPr>
            <w:rStyle w:val="Hyperlink"/>
            <w:noProof/>
          </w:rPr>
          <w:t>4.3.3</w:t>
        </w:r>
        <w:r>
          <w:rPr>
            <w:rFonts w:asciiTheme="minorHAnsi" w:eastAsiaTheme="minorEastAsia" w:hAnsiTheme="minorHAnsi"/>
            <w:noProof/>
            <w:kern w:val="2"/>
            <w:sz w:val="24"/>
            <w:szCs w:val="24"/>
            <w:lang w:eastAsia="en-AU"/>
            <w14:ligatures w14:val="standardContextual"/>
          </w:rPr>
          <w:tab/>
        </w:r>
        <w:r w:rsidRPr="009A6E88">
          <w:rPr>
            <w:rStyle w:val="Hyperlink"/>
            <w:noProof/>
          </w:rPr>
          <w:t>Technology</w:t>
        </w:r>
        <w:r>
          <w:rPr>
            <w:noProof/>
            <w:webHidden/>
          </w:rPr>
          <w:tab/>
        </w:r>
        <w:r>
          <w:rPr>
            <w:noProof/>
            <w:webHidden/>
          </w:rPr>
          <w:fldChar w:fldCharType="begin"/>
        </w:r>
        <w:r>
          <w:rPr>
            <w:noProof/>
            <w:webHidden/>
          </w:rPr>
          <w:instrText xml:space="preserve"> PAGEREF _Toc232685895 \h </w:instrText>
        </w:r>
        <w:r>
          <w:rPr>
            <w:noProof/>
            <w:webHidden/>
          </w:rPr>
        </w:r>
        <w:r>
          <w:rPr>
            <w:noProof/>
            <w:webHidden/>
          </w:rPr>
          <w:fldChar w:fldCharType="separate"/>
        </w:r>
        <w:r w:rsidR="00FD330A">
          <w:rPr>
            <w:noProof/>
            <w:webHidden/>
          </w:rPr>
          <w:t>27</w:t>
        </w:r>
        <w:r>
          <w:rPr>
            <w:noProof/>
            <w:webHidden/>
          </w:rPr>
          <w:fldChar w:fldCharType="end"/>
        </w:r>
      </w:hyperlink>
    </w:p>
    <w:p w14:paraId="6913CEE0" w14:textId="28662D96"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6" w:history="1">
        <w:r w:rsidRPr="009A6E88">
          <w:rPr>
            <w:rStyle w:val="Hyperlink"/>
            <w:noProof/>
          </w:rPr>
          <w:t>4.3.4</w:t>
        </w:r>
        <w:r>
          <w:rPr>
            <w:rFonts w:asciiTheme="minorHAnsi" w:eastAsiaTheme="minorEastAsia" w:hAnsiTheme="minorHAnsi"/>
            <w:noProof/>
            <w:kern w:val="2"/>
            <w:sz w:val="24"/>
            <w:szCs w:val="24"/>
            <w:lang w:eastAsia="en-AU"/>
            <w14:ligatures w14:val="standardContextual"/>
          </w:rPr>
          <w:tab/>
        </w:r>
        <w:r w:rsidRPr="009A6E88">
          <w:rPr>
            <w:rStyle w:val="Hyperlink"/>
            <w:noProof/>
          </w:rPr>
          <w:t>Assessment tools</w:t>
        </w:r>
        <w:r>
          <w:rPr>
            <w:noProof/>
            <w:webHidden/>
          </w:rPr>
          <w:tab/>
        </w:r>
        <w:r>
          <w:rPr>
            <w:noProof/>
            <w:webHidden/>
          </w:rPr>
          <w:fldChar w:fldCharType="begin"/>
        </w:r>
        <w:r>
          <w:rPr>
            <w:noProof/>
            <w:webHidden/>
          </w:rPr>
          <w:instrText xml:space="preserve"> PAGEREF _Toc232685896 \h </w:instrText>
        </w:r>
        <w:r>
          <w:rPr>
            <w:noProof/>
            <w:webHidden/>
          </w:rPr>
        </w:r>
        <w:r>
          <w:rPr>
            <w:noProof/>
            <w:webHidden/>
          </w:rPr>
          <w:fldChar w:fldCharType="separate"/>
        </w:r>
        <w:r w:rsidR="00FD330A">
          <w:rPr>
            <w:noProof/>
            <w:webHidden/>
          </w:rPr>
          <w:t>27</w:t>
        </w:r>
        <w:r>
          <w:rPr>
            <w:noProof/>
            <w:webHidden/>
          </w:rPr>
          <w:fldChar w:fldCharType="end"/>
        </w:r>
      </w:hyperlink>
    </w:p>
    <w:p w14:paraId="37F45E36" w14:textId="61300B17"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7" w:history="1">
        <w:r w:rsidRPr="009A6E88">
          <w:rPr>
            <w:rStyle w:val="Hyperlink"/>
            <w:noProof/>
          </w:rPr>
          <w:t>4.3.5</w:t>
        </w:r>
        <w:r>
          <w:rPr>
            <w:rFonts w:asciiTheme="minorHAnsi" w:eastAsiaTheme="minorEastAsia" w:hAnsiTheme="minorHAnsi"/>
            <w:noProof/>
            <w:kern w:val="2"/>
            <w:sz w:val="24"/>
            <w:szCs w:val="24"/>
            <w:lang w:eastAsia="en-AU"/>
            <w14:ligatures w14:val="standardContextual"/>
          </w:rPr>
          <w:tab/>
        </w:r>
        <w:r w:rsidRPr="009A6E88">
          <w:rPr>
            <w:rStyle w:val="Hyperlink"/>
            <w:noProof/>
          </w:rPr>
          <w:t>Outcome data accessibility</w:t>
        </w:r>
        <w:r>
          <w:rPr>
            <w:noProof/>
            <w:webHidden/>
          </w:rPr>
          <w:tab/>
        </w:r>
        <w:r>
          <w:rPr>
            <w:noProof/>
            <w:webHidden/>
          </w:rPr>
          <w:fldChar w:fldCharType="begin"/>
        </w:r>
        <w:r>
          <w:rPr>
            <w:noProof/>
            <w:webHidden/>
          </w:rPr>
          <w:instrText xml:space="preserve"> PAGEREF _Toc232685897 \h </w:instrText>
        </w:r>
        <w:r>
          <w:rPr>
            <w:noProof/>
            <w:webHidden/>
          </w:rPr>
        </w:r>
        <w:r>
          <w:rPr>
            <w:noProof/>
            <w:webHidden/>
          </w:rPr>
          <w:fldChar w:fldCharType="separate"/>
        </w:r>
        <w:r w:rsidR="00FD330A">
          <w:rPr>
            <w:noProof/>
            <w:webHidden/>
          </w:rPr>
          <w:t>28</w:t>
        </w:r>
        <w:r>
          <w:rPr>
            <w:noProof/>
            <w:webHidden/>
          </w:rPr>
          <w:fldChar w:fldCharType="end"/>
        </w:r>
      </w:hyperlink>
    </w:p>
    <w:p w14:paraId="34CF1A9B" w14:textId="1AA9805B"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8" w:history="1">
        <w:r w:rsidRPr="009A6E88">
          <w:rPr>
            <w:rStyle w:val="Hyperlink"/>
            <w:noProof/>
          </w:rPr>
          <w:t>4.3.6</w:t>
        </w:r>
        <w:r>
          <w:rPr>
            <w:rFonts w:asciiTheme="minorHAnsi" w:eastAsiaTheme="minorEastAsia" w:hAnsiTheme="minorHAnsi"/>
            <w:noProof/>
            <w:kern w:val="2"/>
            <w:sz w:val="24"/>
            <w:szCs w:val="24"/>
            <w:lang w:eastAsia="en-AU"/>
            <w14:ligatures w14:val="standardContextual"/>
          </w:rPr>
          <w:tab/>
        </w:r>
        <w:r w:rsidRPr="009A6E88">
          <w:rPr>
            <w:rStyle w:val="Hyperlink"/>
            <w:noProof/>
          </w:rPr>
          <w:t>Clinical and cultural safety</w:t>
        </w:r>
        <w:r>
          <w:rPr>
            <w:noProof/>
            <w:webHidden/>
          </w:rPr>
          <w:tab/>
        </w:r>
        <w:r>
          <w:rPr>
            <w:noProof/>
            <w:webHidden/>
          </w:rPr>
          <w:fldChar w:fldCharType="begin"/>
        </w:r>
        <w:r>
          <w:rPr>
            <w:noProof/>
            <w:webHidden/>
          </w:rPr>
          <w:instrText xml:space="preserve"> PAGEREF _Toc232685898 \h </w:instrText>
        </w:r>
        <w:r>
          <w:rPr>
            <w:noProof/>
            <w:webHidden/>
          </w:rPr>
        </w:r>
        <w:r>
          <w:rPr>
            <w:noProof/>
            <w:webHidden/>
          </w:rPr>
          <w:fldChar w:fldCharType="separate"/>
        </w:r>
        <w:r w:rsidR="00FD330A">
          <w:rPr>
            <w:noProof/>
            <w:webHidden/>
          </w:rPr>
          <w:t>28</w:t>
        </w:r>
        <w:r>
          <w:rPr>
            <w:noProof/>
            <w:webHidden/>
          </w:rPr>
          <w:fldChar w:fldCharType="end"/>
        </w:r>
      </w:hyperlink>
    </w:p>
    <w:p w14:paraId="083C6FBF" w14:textId="2927349C"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99" w:history="1">
        <w:r w:rsidRPr="009A6E88">
          <w:rPr>
            <w:rStyle w:val="Hyperlink"/>
            <w:noProof/>
          </w:rPr>
          <w:t>5</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Implementation</w:t>
        </w:r>
        <w:r>
          <w:rPr>
            <w:noProof/>
            <w:webHidden/>
          </w:rPr>
          <w:tab/>
        </w:r>
        <w:r>
          <w:rPr>
            <w:noProof/>
            <w:webHidden/>
          </w:rPr>
          <w:fldChar w:fldCharType="begin"/>
        </w:r>
        <w:r>
          <w:rPr>
            <w:noProof/>
            <w:webHidden/>
          </w:rPr>
          <w:instrText xml:space="preserve"> PAGEREF _Toc232685899 \h </w:instrText>
        </w:r>
        <w:r>
          <w:rPr>
            <w:noProof/>
            <w:webHidden/>
          </w:rPr>
        </w:r>
        <w:r>
          <w:rPr>
            <w:noProof/>
            <w:webHidden/>
          </w:rPr>
          <w:fldChar w:fldCharType="separate"/>
        </w:r>
        <w:r w:rsidR="00FD330A">
          <w:rPr>
            <w:noProof/>
            <w:webHidden/>
          </w:rPr>
          <w:t>29</w:t>
        </w:r>
        <w:r>
          <w:rPr>
            <w:noProof/>
            <w:webHidden/>
          </w:rPr>
          <w:fldChar w:fldCharType="end"/>
        </w:r>
      </w:hyperlink>
    </w:p>
    <w:p w14:paraId="1197B826" w14:textId="6D3724D7"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00" w:history="1">
        <w:r w:rsidRPr="009A6E88">
          <w:rPr>
            <w:rStyle w:val="Hyperlink"/>
          </w:rPr>
          <w:t>Analysis and findings</w:t>
        </w:r>
        <w:r>
          <w:rPr>
            <w:webHidden/>
          </w:rPr>
          <w:tab/>
        </w:r>
        <w:r>
          <w:rPr>
            <w:webHidden/>
          </w:rPr>
          <w:fldChar w:fldCharType="begin"/>
        </w:r>
        <w:r>
          <w:rPr>
            <w:webHidden/>
          </w:rPr>
          <w:instrText xml:space="preserve"> PAGEREF _Toc232685900 \h </w:instrText>
        </w:r>
        <w:r>
          <w:rPr>
            <w:webHidden/>
          </w:rPr>
        </w:r>
        <w:r>
          <w:rPr>
            <w:webHidden/>
          </w:rPr>
          <w:fldChar w:fldCharType="separate"/>
        </w:r>
        <w:r w:rsidR="00FD330A">
          <w:rPr>
            <w:webHidden/>
          </w:rPr>
          <w:t>29</w:t>
        </w:r>
        <w:r>
          <w:rPr>
            <w:webHidden/>
          </w:rPr>
          <w:fldChar w:fldCharType="end"/>
        </w:r>
      </w:hyperlink>
    </w:p>
    <w:p w14:paraId="04804168" w14:textId="4FF74CF1"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01" w:history="1">
        <w:r w:rsidRPr="009A6E88">
          <w:rPr>
            <w:rStyle w:val="Hyperlink"/>
            <w:noProof/>
          </w:rPr>
          <w:t>5.1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Implementation of the Measure</w:t>
        </w:r>
        <w:r>
          <w:rPr>
            <w:noProof/>
            <w:webHidden/>
          </w:rPr>
          <w:tab/>
        </w:r>
        <w:r>
          <w:rPr>
            <w:noProof/>
            <w:webHidden/>
          </w:rPr>
          <w:fldChar w:fldCharType="begin"/>
        </w:r>
        <w:r>
          <w:rPr>
            <w:noProof/>
            <w:webHidden/>
          </w:rPr>
          <w:instrText xml:space="preserve"> PAGEREF _Toc232685901 \h </w:instrText>
        </w:r>
        <w:r>
          <w:rPr>
            <w:noProof/>
            <w:webHidden/>
          </w:rPr>
        </w:r>
        <w:r>
          <w:rPr>
            <w:noProof/>
            <w:webHidden/>
          </w:rPr>
          <w:fldChar w:fldCharType="separate"/>
        </w:r>
        <w:r w:rsidR="00FD330A">
          <w:rPr>
            <w:noProof/>
            <w:webHidden/>
          </w:rPr>
          <w:t>29</w:t>
        </w:r>
        <w:r>
          <w:rPr>
            <w:noProof/>
            <w:webHidden/>
          </w:rPr>
          <w:fldChar w:fldCharType="end"/>
        </w:r>
      </w:hyperlink>
    </w:p>
    <w:p w14:paraId="4759DDB7" w14:textId="32319813"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02" w:history="1">
        <w:r w:rsidRPr="009A6E88">
          <w:rPr>
            <w:rStyle w:val="Hyperlink"/>
            <w:noProof/>
            <w:lang w:val="en-US"/>
          </w:rPr>
          <w:t>5.2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lang w:val="en-US"/>
          </w:rPr>
          <w:t>Implementation of PEPA Aged Care</w:t>
        </w:r>
        <w:r>
          <w:rPr>
            <w:noProof/>
            <w:webHidden/>
          </w:rPr>
          <w:tab/>
        </w:r>
        <w:r>
          <w:rPr>
            <w:noProof/>
            <w:webHidden/>
          </w:rPr>
          <w:fldChar w:fldCharType="begin"/>
        </w:r>
        <w:r>
          <w:rPr>
            <w:noProof/>
            <w:webHidden/>
          </w:rPr>
          <w:instrText xml:space="preserve"> PAGEREF _Toc232685902 \h </w:instrText>
        </w:r>
        <w:r>
          <w:rPr>
            <w:noProof/>
            <w:webHidden/>
          </w:rPr>
        </w:r>
        <w:r>
          <w:rPr>
            <w:noProof/>
            <w:webHidden/>
          </w:rPr>
          <w:fldChar w:fldCharType="separate"/>
        </w:r>
        <w:r w:rsidR="00FD330A">
          <w:rPr>
            <w:noProof/>
            <w:webHidden/>
          </w:rPr>
          <w:t>30</w:t>
        </w:r>
        <w:r>
          <w:rPr>
            <w:noProof/>
            <w:webHidden/>
          </w:rPr>
          <w:fldChar w:fldCharType="end"/>
        </w:r>
      </w:hyperlink>
    </w:p>
    <w:p w14:paraId="5D9B9264" w14:textId="28C3E761"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03" w:history="1">
        <w:r w:rsidRPr="009A6E88">
          <w:rPr>
            <w:rStyle w:val="Hyperlink"/>
            <w:noProof/>
            <w:lang w:val="en-US"/>
          </w:rPr>
          <w:t>5.2.1</w:t>
        </w:r>
        <w:r>
          <w:rPr>
            <w:rFonts w:asciiTheme="minorHAnsi" w:eastAsiaTheme="minorEastAsia" w:hAnsiTheme="minorHAnsi"/>
            <w:noProof/>
            <w:kern w:val="2"/>
            <w:sz w:val="24"/>
            <w:szCs w:val="24"/>
            <w:lang w:eastAsia="en-AU"/>
            <w14:ligatures w14:val="standardContextual"/>
          </w:rPr>
          <w:tab/>
        </w:r>
        <w:r w:rsidRPr="009A6E88">
          <w:rPr>
            <w:rStyle w:val="Hyperlink"/>
            <w:noProof/>
            <w:lang w:val="en-US"/>
          </w:rPr>
          <w:t>Delivery of planned activities and outputs</w:t>
        </w:r>
        <w:r>
          <w:rPr>
            <w:noProof/>
            <w:webHidden/>
          </w:rPr>
          <w:tab/>
        </w:r>
        <w:r>
          <w:rPr>
            <w:noProof/>
            <w:webHidden/>
          </w:rPr>
          <w:fldChar w:fldCharType="begin"/>
        </w:r>
        <w:r>
          <w:rPr>
            <w:noProof/>
            <w:webHidden/>
          </w:rPr>
          <w:instrText xml:space="preserve"> PAGEREF _Toc232685903 \h </w:instrText>
        </w:r>
        <w:r>
          <w:rPr>
            <w:noProof/>
            <w:webHidden/>
          </w:rPr>
        </w:r>
        <w:r>
          <w:rPr>
            <w:noProof/>
            <w:webHidden/>
          </w:rPr>
          <w:fldChar w:fldCharType="separate"/>
        </w:r>
        <w:r w:rsidR="00FD330A">
          <w:rPr>
            <w:noProof/>
            <w:webHidden/>
          </w:rPr>
          <w:t>30</w:t>
        </w:r>
        <w:r>
          <w:rPr>
            <w:noProof/>
            <w:webHidden/>
          </w:rPr>
          <w:fldChar w:fldCharType="end"/>
        </w:r>
      </w:hyperlink>
    </w:p>
    <w:p w14:paraId="344BE929" w14:textId="1AD5D7B5"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04" w:history="1">
        <w:r w:rsidRPr="009A6E88">
          <w:rPr>
            <w:rStyle w:val="Hyperlink"/>
            <w:noProof/>
          </w:rPr>
          <w:t>5.2.2</w:t>
        </w:r>
        <w:r>
          <w:rPr>
            <w:rFonts w:asciiTheme="minorHAnsi" w:eastAsiaTheme="minorEastAsia" w:hAnsiTheme="minorHAnsi"/>
            <w:noProof/>
            <w:kern w:val="2"/>
            <w:sz w:val="24"/>
            <w:szCs w:val="24"/>
            <w:lang w:eastAsia="en-AU"/>
            <w14:ligatures w14:val="standardContextual"/>
          </w:rPr>
          <w:tab/>
        </w:r>
        <w:r w:rsidRPr="009A6E88">
          <w:rPr>
            <w:rStyle w:val="Hyperlink"/>
            <w:noProof/>
          </w:rPr>
          <w:t>Engagement and uptake</w:t>
        </w:r>
        <w:r>
          <w:rPr>
            <w:noProof/>
            <w:webHidden/>
          </w:rPr>
          <w:tab/>
        </w:r>
        <w:r>
          <w:rPr>
            <w:noProof/>
            <w:webHidden/>
          </w:rPr>
          <w:fldChar w:fldCharType="begin"/>
        </w:r>
        <w:r>
          <w:rPr>
            <w:noProof/>
            <w:webHidden/>
          </w:rPr>
          <w:instrText xml:space="preserve"> PAGEREF _Toc232685904 \h </w:instrText>
        </w:r>
        <w:r>
          <w:rPr>
            <w:noProof/>
            <w:webHidden/>
          </w:rPr>
        </w:r>
        <w:r>
          <w:rPr>
            <w:noProof/>
            <w:webHidden/>
          </w:rPr>
          <w:fldChar w:fldCharType="separate"/>
        </w:r>
        <w:r w:rsidR="00FD330A">
          <w:rPr>
            <w:noProof/>
            <w:webHidden/>
          </w:rPr>
          <w:t>31</w:t>
        </w:r>
        <w:r>
          <w:rPr>
            <w:noProof/>
            <w:webHidden/>
          </w:rPr>
          <w:fldChar w:fldCharType="end"/>
        </w:r>
      </w:hyperlink>
    </w:p>
    <w:p w14:paraId="5F3C93C6" w14:textId="56A6448A"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05" w:history="1">
        <w:r w:rsidRPr="009A6E88">
          <w:rPr>
            <w:rStyle w:val="Hyperlink"/>
            <w:noProof/>
          </w:rPr>
          <w:t>5.3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Implementation of PACOP</w:t>
        </w:r>
        <w:r>
          <w:rPr>
            <w:noProof/>
            <w:webHidden/>
          </w:rPr>
          <w:tab/>
        </w:r>
        <w:r>
          <w:rPr>
            <w:noProof/>
            <w:webHidden/>
          </w:rPr>
          <w:fldChar w:fldCharType="begin"/>
        </w:r>
        <w:r>
          <w:rPr>
            <w:noProof/>
            <w:webHidden/>
          </w:rPr>
          <w:instrText xml:space="preserve"> PAGEREF _Toc232685905 \h </w:instrText>
        </w:r>
        <w:r>
          <w:rPr>
            <w:noProof/>
            <w:webHidden/>
          </w:rPr>
        </w:r>
        <w:r>
          <w:rPr>
            <w:noProof/>
            <w:webHidden/>
          </w:rPr>
          <w:fldChar w:fldCharType="separate"/>
        </w:r>
        <w:r w:rsidR="00FD330A">
          <w:rPr>
            <w:noProof/>
            <w:webHidden/>
          </w:rPr>
          <w:t>34</w:t>
        </w:r>
        <w:r>
          <w:rPr>
            <w:noProof/>
            <w:webHidden/>
          </w:rPr>
          <w:fldChar w:fldCharType="end"/>
        </w:r>
      </w:hyperlink>
    </w:p>
    <w:p w14:paraId="31FDF084" w14:textId="0C3B707C"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06" w:history="1">
        <w:r w:rsidRPr="009A6E88">
          <w:rPr>
            <w:rStyle w:val="Hyperlink"/>
            <w:noProof/>
          </w:rPr>
          <w:t>5.3.1</w:t>
        </w:r>
        <w:r>
          <w:rPr>
            <w:rFonts w:asciiTheme="minorHAnsi" w:eastAsiaTheme="minorEastAsia" w:hAnsiTheme="minorHAnsi"/>
            <w:noProof/>
            <w:kern w:val="2"/>
            <w:sz w:val="24"/>
            <w:szCs w:val="24"/>
            <w:lang w:eastAsia="en-AU"/>
            <w14:ligatures w14:val="standardContextual"/>
          </w:rPr>
          <w:tab/>
        </w:r>
        <w:r w:rsidRPr="009A6E88">
          <w:rPr>
            <w:rStyle w:val="Hyperlink"/>
            <w:noProof/>
          </w:rPr>
          <w:t>Delivery of planned activities and outputs</w:t>
        </w:r>
        <w:r>
          <w:rPr>
            <w:noProof/>
            <w:webHidden/>
          </w:rPr>
          <w:tab/>
        </w:r>
        <w:r>
          <w:rPr>
            <w:noProof/>
            <w:webHidden/>
          </w:rPr>
          <w:fldChar w:fldCharType="begin"/>
        </w:r>
        <w:r>
          <w:rPr>
            <w:noProof/>
            <w:webHidden/>
          </w:rPr>
          <w:instrText xml:space="preserve"> PAGEREF _Toc232685906 \h </w:instrText>
        </w:r>
        <w:r>
          <w:rPr>
            <w:noProof/>
            <w:webHidden/>
          </w:rPr>
        </w:r>
        <w:r>
          <w:rPr>
            <w:noProof/>
            <w:webHidden/>
          </w:rPr>
          <w:fldChar w:fldCharType="separate"/>
        </w:r>
        <w:r w:rsidR="00FD330A">
          <w:rPr>
            <w:noProof/>
            <w:webHidden/>
          </w:rPr>
          <w:t>34</w:t>
        </w:r>
        <w:r>
          <w:rPr>
            <w:noProof/>
            <w:webHidden/>
          </w:rPr>
          <w:fldChar w:fldCharType="end"/>
        </w:r>
      </w:hyperlink>
    </w:p>
    <w:p w14:paraId="7600CCC5" w14:textId="6D1A6909"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07" w:history="1">
        <w:r w:rsidRPr="009A6E88">
          <w:rPr>
            <w:rStyle w:val="Hyperlink"/>
            <w:noProof/>
          </w:rPr>
          <w:t>5.3.2</w:t>
        </w:r>
        <w:r>
          <w:rPr>
            <w:rFonts w:asciiTheme="minorHAnsi" w:eastAsiaTheme="minorEastAsia" w:hAnsiTheme="minorHAnsi"/>
            <w:noProof/>
            <w:kern w:val="2"/>
            <w:sz w:val="24"/>
            <w:szCs w:val="24"/>
            <w:lang w:eastAsia="en-AU"/>
            <w14:ligatures w14:val="standardContextual"/>
          </w:rPr>
          <w:tab/>
        </w:r>
        <w:r w:rsidRPr="009A6E88">
          <w:rPr>
            <w:rStyle w:val="Hyperlink"/>
            <w:noProof/>
          </w:rPr>
          <w:t>Engagement and uptake</w:t>
        </w:r>
        <w:r>
          <w:rPr>
            <w:noProof/>
            <w:webHidden/>
          </w:rPr>
          <w:tab/>
        </w:r>
        <w:r>
          <w:rPr>
            <w:noProof/>
            <w:webHidden/>
          </w:rPr>
          <w:fldChar w:fldCharType="begin"/>
        </w:r>
        <w:r>
          <w:rPr>
            <w:noProof/>
            <w:webHidden/>
          </w:rPr>
          <w:instrText xml:space="preserve"> PAGEREF _Toc232685907 \h </w:instrText>
        </w:r>
        <w:r>
          <w:rPr>
            <w:noProof/>
            <w:webHidden/>
          </w:rPr>
        </w:r>
        <w:r>
          <w:rPr>
            <w:noProof/>
            <w:webHidden/>
          </w:rPr>
          <w:fldChar w:fldCharType="separate"/>
        </w:r>
        <w:r w:rsidR="00FD330A">
          <w:rPr>
            <w:noProof/>
            <w:webHidden/>
          </w:rPr>
          <w:t>35</w:t>
        </w:r>
        <w:r>
          <w:rPr>
            <w:noProof/>
            <w:webHidden/>
          </w:rPr>
          <w:fldChar w:fldCharType="end"/>
        </w:r>
      </w:hyperlink>
    </w:p>
    <w:p w14:paraId="17BC9316" w14:textId="1E5BBC7E"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908" w:history="1">
        <w:r w:rsidRPr="009A6E88">
          <w:rPr>
            <w:rStyle w:val="Hyperlink"/>
            <w:noProof/>
          </w:rPr>
          <w:t>6</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Effectiveness</w:t>
        </w:r>
        <w:r>
          <w:rPr>
            <w:noProof/>
            <w:webHidden/>
          </w:rPr>
          <w:tab/>
        </w:r>
        <w:r>
          <w:rPr>
            <w:noProof/>
            <w:webHidden/>
          </w:rPr>
          <w:fldChar w:fldCharType="begin"/>
        </w:r>
        <w:r>
          <w:rPr>
            <w:noProof/>
            <w:webHidden/>
          </w:rPr>
          <w:instrText xml:space="preserve"> PAGEREF _Toc232685908 \h </w:instrText>
        </w:r>
        <w:r>
          <w:rPr>
            <w:noProof/>
            <w:webHidden/>
          </w:rPr>
        </w:r>
        <w:r>
          <w:rPr>
            <w:noProof/>
            <w:webHidden/>
          </w:rPr>
          <w:fldChar w:fldCharType="separate"/>
        </w:r>
        <w:r w:rsidR="00FD330A">
          <w:rPr>
            <w:noProof/>
            <w:webHidden/>
          </w:rPr>
          <w:t>41</w:t>
        </w:r>
        <w:r>
          <w:rPr>
            <w:noProof/>
            <w:webHidden/>
          </w:rPr>
          <w:fldChar w:fldCharType="end"/>
        </w:r>
      </w:hyperlink>
    </w:p>
    <w:p w14:paraId="38636DA9" w14:textId="2F04D853"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09" w:history="1">
        <w:r w:rsidRPr="009A6E88">
          <w:rPr>
            <w:rStyle w:val="Hyperlink"/>
          </w:rPr>
          <w:t>Analysis and findings</w:t>
        </w:r>
        <w:r>
          <w:rPr>
            <w:webHidden/>
          </w:rPr>
          <w:tab/>
        </w:r>
        <w:r>
          <w:rPr>
            <w:webHidden/>
          </w:rPr>
          <w:fldChar w:fldCharType="begin"/>
        </w:r>
        <w:r>
          <w:rPr>
            <w:webHidden/>
          </w:rPr>
          <w:instrText xml:space="preserve"> PAGEREF _Toc232685909 \h </w:instrText>
        </w:r>
        <w:r>
          <w:rPr>
            <w:webHidden/>
          </w:rPr>
        </w:r>
        <w:r>
          <w:rPr>
            <w:webHidden/>
          </w:rPr>
          <w:fldChar w:fldCharType="separate"/>
        </w:r>
        <w:r w:rsidR="00FD330A">
          <w:rPr>
            <w:webHidden/>
          </w:rPr>
          <w:t>41</w:t>
        </w:r>
        <w:r>
          <w:rPr>
            <w:webHidden/>
          </w:rPr>
          <w:fldChar w:fldCharType="end"/>
        </w:r>
      </w:hyperlink>
    </w:p>
    <w:p w14:paraId="5972CED9" w14:textId="04BBC0DD"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10" w:history="1">
        <w:r w:rsidRPr="009A6E88">
          <w:rPr>
            <w:rStyle w:val="Hyperlink"/>
            <w:noProof/>
          </w:rPr>
          <w:t>6.1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PEPA Aged Care</w:t>
        </w:r>
        <w:r>
          <w:rPr>
            <w:noProof/>
            <w:webHidden/>
          </w:rPr>
          <w:tab/>
        </w:r>
        <w:r>
          <w:rPr>
            <w:noProof/>
            <w:webHidden/>
          </w:rPr>
          <w:fldChar w:fldCharType="begin"/>
        </w:r>
        <w:r>
          <w:rPr>
            <w:noProof/>
            <w:webHidden/>
          </w:rPr>
          <w:instrText xml:space="preserve"> PAGEREF _Toc232685910 \h </w:instrText>
        </w:r>
        <w:r>
          <w:rPr>
            <w:noProof/>
            <w:webHidden/>
          </w:rPr>
        </w:r>
        <w:r>
          <w:rPr>
            <w:noProof/>
            <w:webHidden/>
          </w:rPr>
          <w:fldChar w:fldCharType="separate"/>
        </w:r>
        <w:r w:rsidR="00FD330A">
          <w:rPr>
            <w:noProof/>
            <w:webHidden/>
          </w:rPr>
          <w:t>41</w:t>
        </w:r>
        <w:r>
          <w:rPr>
            <w:noProof/>
            <w:webHidden/>
          </w:rPr>
          <w:fldChar w:fldCharType="end"/>
        </w:r>
      </w:hyperlink>
    </w:p>
    <w:p w14:paraId="24764E99" w14:textId="3C0F3629"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1" w:history="1">
        <w:r w:rsidRPr="009A6E88">
          <w:rPr>
            <w:rStyle w:val="Hyperlink"/>
            <w:noProof/>
          </w:rPr>
          <w:t>6.1.1</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workforce capability</w:t>
        </w:r>
        <w:r>
          <w:rPr>
            <w:noProof/>
            <w:webHidden/>
          </w:rPr>
          <w:tab/>
        </w:r>
        <w:r>
          <w:rPr>
            <w:noProof/>
            <w:webHidden/>
          </w:rPr>
          <w:fldChar w:fldCharType="begin"/>
        </w:r>
        <w:r>
          <w:rPr>
            <w:noProof/>
            <w:webHidden/>
          </w:rPr>
          <w:instrText xml:space="preserve"> PAGEREF _Toc232685911 \h </w:instrText>
        </w:r>
        <w:r>
          <w:rPr>
            <w:noProof/>
            <w:webHidden/>
          </w:rPr>
        </w:r>
        <w:r>
          <w:rPr>
            <w:noProof/>
            <w:webHidden/>
          </w:rPr>
          <w:fldChar w:fldCharType="separate"/>
        </w:r>
        <w:r w:rsidR="00FD330A">
          <w:rPr>
            <w:noProof/>
            <w:webHidden/>
          </w:rPr>
          <w:t>41</w:t>
        </w:r>
        <w:r>
          <w:rPr>
            <w:noProof/>
            <w:webHidden/>
          </w:rPr>
          <w:fldChar w:fldCharType="end"/>
        </w:r>
      </w:hyperlink>
    </w:p>
    <w:p w14:paraId="69B20F68" w14:textId="35C818A3"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2" w:history="1">
        <w:r w:rsidRPr="009A6E88">
          <w:rPr>
            <w:rStyle w:val="Hyperlink"/>
            <w:noProof/>
          </w:rPr>
          <w:t>6.1.2</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organisational capability, quality improvement, and collaboration</w:t>
        </w:r>
        <w:r>
          <w:rPr>
            <w:noProof/>
            <w:webHidden/>
          </w:rPr>
          <w:tab/>
        </w:r>
        <w:r>
          <w:rPr>
            <w:noProof/>
            <w:webHidden/>
          </w:rPr>
          <w:fldChar w:fldCharType="begin"/>
        </w:r>
        <w:r>
          <w:rPr>
            <w:noProof/>
            <w:webHidden/>
          </w:rPr>
          <w:instrText xml:space="preserve"> PAGEREF _Toc232685912 \h </w:instrText>
        </w:r>
        <w:r>
          <w:rPr>
            <w:noProof/>
            <w:webHidden/>
          </w:rPr>
        </w:r>
        <w:r>
          <w:rPr>
            <w:noProof/>
            <w:webHidden/>
          </w:rPr>
          <w:fldChar w:fldCharType="separate"/>
        </w:r>
        <w:r w:rsidR="00FD330A">
          <w:rPr>
            <w:noProof/>
            <w:webHidden/>
          </w:rPr>
          <w:t>43</w:t>
        </w:r>
        <w:r>
          <w:rPr>
            <w:noProof/>
            <w:webHidden/>
          </w:rPr>
          <w:fldChar w:fldCharType="end"/>
        </w:r>
      </w:hyperlink>
    </w:p>
    <w:p w14:paraId="6F060216" w14:textId="7A7044D3"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3" w:history="1">
        <w:r w:rsidRPr="009A6E88">
          <w:rPr>
            <w:rStyle w:val="Hyperlink"/>
            <w:noProof/>
          </w:rPr>
          <w:t>6.1.3</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health outcomes and quality of life</w:t>
        </w:r>
        <w:r>
          <w:rPr>
            <w:noProof/>
            <w:webHidden/>
          </w:rPr>
          <w:tab/>
        </w:r>
        <w:r>
          <w:rPr>
            <w:noProof/>
            <w:webHidden/>
          </w:rPr>
          <w:fldChar w:fldCharType="begin"/>
        </w:r>
        <w:r>
          <w:rPr>
            <w:noProof/>
            <w:webHidden/>
          </w:rPr>
          <w:instrText xml:space="preserve"> PAGEREF _Toc232685913 \h </w:instrText>
        </w:r>
        <w:r>
          <w:rPr>
            <w:noProof/>
            <w:webHidden/>
          </w:rPr>
        </w:r>
        <w:r>
          <w:rPr>
            <w:noProof/>
            <w:webHidden/>
          </w:rPr>
          <w:fldChar w:fldCharType="separate"/>
        </w:r>
        <w:r w:rsidR="00FD330A">
          <w:rPr>
            <w:noProof/>
            <w:webHidden/>
          </w:rPr>
          <w:t>45</w:t>
        </w:r>
        <w:r>
          <w:rPr>
            <w:noProof/>
            <w:webHidden/>
          </w:rPr>
          <w:fldChar w:fldCharType="end"/>
        </w:r>
      </w:hyperlink>
    </w:p>
    <w:p w14:paraId="548B091E" w14:textId="1D1D212F"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4" w:history="1">
        <w:r w:rsidRPr="009A6E88">
          <w:rPr>
            <w:rStyle w:val="Hyperlink"/>
            <w:noProof/>
          </w:rPr>
          <w:t>6.1.4</w:t>
        </w:r>
        <w:r>
          <w:rPr>
            <w:rFonts w:asciiTheme="minorHAnsi" w:eastAsiaTheme="minorEastAsia" w:hAnsiTheme="minorHAnsi"/>
            <w:noProof/>
            <w:kern w:val="2"/>
            <w:sz w:val="24"/>
            <w:szCs w:val="24"/>
            <w:lang w:eastAsia="en-AU"/>
            <w14:ligatures w14:val="standardContextual"/>
          </w:rPr>
          <w:tab/>
        </w:r>
        <w:r w:rsidRPr="009A6E88">
          <w:rPr>
            <w:rStyle w:val="Hyperlink"/>
            <w:noProof/>
          </w:rPr>
          <w:t>Factors influencing effectiveness</w:t>
        </w:r>
        <w:r>
          <w:rPr>
            <w:noProof/>
            <w:webHidden/>
          </w:rPr>
          <w:tab/>
        </w:r>
        <w:r>
          <w:rPr>
            <w:noProof/>
            <w:webHidden/>
          </w:rPr>
          <w:fldChar w:fldCharType="begin"/>
        </w:r>
        <w:r>
          <w:rPr>
            <w:noProof/>
            <w:webHidden/>
          </w:rPr>
          <w:instrText xml:space="preserve"> PAGEREF _Toc232685914 \h </w:instrText>
        </w:r>
        <w:r>
          <w:rPr>
            <w:noProof/>
            <w:webHidden/>
          </w:rPr>
        </w:r>
        <w:r>
          <w:rPr>
            <w:noProof/>
            <w:webHidden/>
          </w:rPr>
          <w:fldChar w:fldCharType="separate"/>
        </w:r>
        <w:r w:rsidR="00FD330A">
          <w:rPr>
            <w:noProof/>
            <w:webHidden/>
          </w:rPr>
          <w:t>46</w:t>
        </w:r>
        <w:r>
          <w:rPr>
            <w:noProof/>
            <w:webHidden/>
          </w:rPr>
          <w:fldChar w:fldCharType="end"/>
        </w:r>
      </w:hyperlink>
    </w:p>
    <w:p w14:paraId="74E998F0" w14:textId="1113E0EA"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15" w:history="1">
        <w:r w:rsidRPr="009A6E88">
          <w:rPr>
            <w:rStyle w:val="Hyperlink"/>
            <w:noProof/>
          </w:rPr>
          <w:t>6.2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PACOP</w:t>
        </w:r>
        <w:r>
          <w:rPr>
            <w:noProof/>
            <w:webHidden/>
          </w:rPr>
          <w:tab/>
        </w:r>
        <w:r>
          <w:rPr>
            <w:noProof/>
            <w:webHidden/>
          </w:rPr>
          <w:fldChar w:fldCharType="begin"/>
        </w:r>
        <w:r>
          <w:rPr>
            <w:noProof/>
            <w:webHidden/>
          </w:rPr>
          <w:instrText xml:space="preserve"> PAGEREF _Toc232685915 \h </w:instrText>
        </w:r>
        <w:r>
          <w:rPr>
            <w:noProof/>
            <w:webHidden/>
          </w:rPr>
        </w:r>
        <w:r>
          <w:rPr>
            <w:noProof/>
            <w:webHidden/>
          </w:rPr>
          <w:fldChar w:fldCharType="separate"/>
        </w:r>
        <w:r w:rsidR="00FD330A">
          <w:rPr>
            <w:noProof/>
            <w:webHidden/>
          </w:rPr>
          <w:t>47</w:t>
        </w:r>
        <w:r>
          <w:rPr>
            <w:noProof/>
            <w:webHidden/>
          </w:rPr>
          <w:fldChar w:fldCharType="end"/>
        </w:r>
      </w:hyperlink>
    </w:p>
    <w:p w14:paraId="409D359C" w14:textId="68C3726D"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6" w:history="1">
        <w:r w:rsidRPr="009A6E88">
          <w:rPr>
            <w:rStyle w:val="Hyperlink"/>
            <w:noProof/>
          </w:rPr>
          <w:t>6.2.1</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workforce capability</w:t>
        </w:r>
        <w:r>
          <w:rPr>
            <w:noProof/>
            <w:webHidden/>
          </w:rPr>
          <w:tab/>
        </w:r>
        <w:r>
          <w:rPr>
            <w:noProof/>
            <w:webHidden/>
          </w:rPr>
          <w:fldChar w:fldCharType="begin"/>
        </w:r>
        <w:r>
          <w:rPr>
            <w:noProof/>
            <w:webHidden/>
          </w:rPr>
          <w:instrText xml:space="preserve"> PAGEREF _Toc232685916 \h </w:instrText>
        </w:r>
        <w:r>
          <w:rPr>
            <w:noProof/>
            <w:webHidden/>
          </w:rPr>
        </w:r>
        <w:r>
          <w:rPr>
            <w:noProof/>
            <w:webHidden/>
          </w:rPr>
          <w:fldChar w:fldCharType="separate"/>
        </w:r>
        <w:r w:rsidR="00FD330A">
          <w:rPr>
            <w:noProof/>
            <w:webHidden/>
          </w:rPr>
          <w:t>47</w:t>
        </w:r>
        <w:r>
          <w:rPr>
            <w:noProof/>
            <w:webHidden/>
          </w:rPr>
          <w:fldChar w:fldCharType="end"/>
        </w:r>
      </w:hyperlink>
    </w:p>
    <w:p w14:paraId="6A1E766A" w14:textId="651CC96C"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7" w:history="1">
        <w:r w:rsidRPr="009A6E88">
          <w:rPr>
            <w:rStyle w:val="Hyperlink"/>
            <w:noProof/>
          </w:rPr>
          <w:t>6.2.2</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organisational capability, quality improvement, and collaboration</w:t>
        </w:r>
        <w:r>
          <w:rPr>
            <w:noProof/>
            <w:webHidden/>
          </w:rPr>
          <w:tab/>
        </w:r>
        <w:r>
          <w:rPr>
            <w:noProof/>
            <w:webHidden/>
          </w:rPr>
          <w:fldChar w:fldCharType="begin"/>
        </w:r>
        <w:r>
          <w:rPr>
            <w:noProof/>
            <w:webHidden/>
          </w:rPr>
          <w:instrText xml:space="preserve"> PAGEREF _Toc232685917 \h </w:instrText>
        </w:r>
        <w:r>
          <w:rPr>
            <w:noProof/>
            <w:webHidden/>
          </w:rPr>
        </w:r>
        <w:r>
          <w:rPr>
            <w:noProof/>
            <w:webHidden/>
          </w:rPr>
          <w:fldChar w:fldCharType="separate"/>
        </w:r>
        <w:r w:rsidR="00FD330A">
          <w:rPr>
            <w:noProof/>
            <w:webHidden/>
          </w:rPr>
          <w:t>49</w:t>
        </w:r>
        <w:r>
          <w:rPr>
            <w:noProof/>
            <w:webHidden/>
          </w:rPr>
          <w:fldChar w:fldCharType="end"/>
        </w:r>
      </w:hyperlink>
    </w:p>
    <w:p w14:paraId="2DB1AB0F" w14:textId="1A28AFE9"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8" w:history="1">
        <w:r w:rsidRPr="009A6E88">
          <w:rPr>
            <w:rStyle w:val="Hyperlink"/>
            <w:noProof/>
          </w:rPr>
          <w:t>6.2.3</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health outcomes and quality of life</w:t>
        </w:r>
        <w:r>
          <w:rPr>
            <w:noProof/>
            <w:webHidden/>
          </w:rPr>
          <w:tab/>
        </w:r>
        <w:r>
          <w:rPr>
            <w:noProof/>
            <w:webHidden/>
          </w:rPr>
          <w:fldChar w:fldCharType="begin"/>
        </w:r>
        <w:r>
          <w:rPr>
            <w:noProof/>
            <w:webHidden/>
          </w:rPr>
          <w:instrText xml:space="preserve"> PAGEREF _Toc232685918 \h </w:instrText>
        </w:r>
        <w:r>
          <w:rPr>
            <w:noProof/>
            <w:webHidden/>
          </w:rPr>
        </w:r>
        <w:r>
          <w:rPr>
            <w:noProof/>
            <w:webHidden/>
          </w:rPr>
          <w:fldChar w:fldCharType="separate"/>
        </w:r>
        <w:r w:rsidR="00FD330A">
          <w:rPr>
            <w:noProof/>
            <w:webHidden/>
          </w:rPr>
          <w:t>52</w:t>
        </w:r>
        <w:r>
          <w:rPr>
            <w:noProof/>
            <w:webHidden/>
          </w:rPr>
          <w:fldChar w:fldCharType="end"/>
        </w:r>
      </w:hyperlink>
    </w:p>
    <w:p w14:paraId="13FC1D2B" w14:textId="5D9ADF82"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9" w:history="1">
        <w:r w:rsidRPr="009A6E88">
          <w:rPr>
            <w:rStyle w:val="Hyperlink"/>
            <w:noProof/>
          </w:rPr>
          <w:t>6.2.4</w:t>
        </w:r>
        <w:r>
          <w:rPr>
            <w:rFonts w:asciiTheme="minorHAnsi" w:eastAsiaTheme="minorEastAsia" w:hAnsiTheme="minorHAnsi"/>
            <w:noProof/>
            <w:kern w:val="2"/>
            <w:sz w:val="24"/>
            <w:szCs w:val="24"/>
            <w:lang w:eastAsia="en-AU"/>
            <w14:ligatures w14:val="standardContextual"/>
          </w:rPr>
          <w:tab/>
        </w:r>
        <w:r w:rsidRPr="009A6E88">
          <w:rPr>
            <w:rStyle w:val="Hyperlink"/>
            <w:noProof/>
          </w:rPr>
          <w:t>Factors influencing effectiveness</w:t>
        </w:r>
        <w:r>
          <w:rPr>
            <w:noProof/>
            <w:webHidden/>
          </w:rPr>
          <w:tab/>
        </w:r>
        <w:r>
          <w:rPr>
            <w:noProof/>
            <w:webHidden/>
          </w:rPr>
          <w:fldChar w:fldCharType="begin"/>
        </w:r>
        <w:r>
          <w:rPr>
            <w:noProof/>
            <w:webHidden/>
          </w:rPr>
          <w:instrText xml:space="preserve"> PAGEREF _Toc232685919 \h </w:instrText>
        </w:r>
        <w:r>
          <w:rPr>
            <w:noProof/>
            <w:webHidden/>
          </w:rPr>
        </w:r>
        <w:r>
          <w:rPr>
            <w:noProof/>
            <w:webHidden/>
          </w:rPr>
          <w:fldChar w:fldCharType="separate"/>
        </w:r>
        <w:r w:rsidR="00FD330A">
          <w:rPr>
            <w:noProof/>
            <w:webHidden/>
          </w:rPr>
          <w:t>54</w:t>
        </w:r>
        <w:r>
          <w:rPr>
            <w:noProof/>
            <w:webHidden/>
          </w:rPr>
          <w:fldChar w:fldCharType="end"/>
        </w:r>
      </w:hyperlink>
    </w:p>
    <w:p w14:paraId="49F7AF5F" w14:textId="2C1E1391"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920" w:history="1">
        <w:r w:rsidRPr="009A6E88">
          <w:rPr>
            <w:rStyle w:val="Hyperlink"/>
            <w:noProof/>
          </w:rPr>
          <w:t>7</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Efficiency</w:t>
        </w:r>
        <w:r>
          <w:rPr>
            <w:noProof/>
            <w:webHidden/>
          </w:rPr>
          <w:tab/>
        </w:r>
        <w:r>
          <w:rPr>
            <w:noProof/>
            <w:webHidden/>
          </w:rPr>
          <w:fldChar w:fldCharType="begin"/>
        </w:r>
        <w:r>
          <w:rPr>
            <w:noProof/>
            <w:webHidden/>
          </w:rPr>
          <w:instrText xml:space="preserve"> PAGEREF _Toc232685920 \h </w:instrText>
        </w:r>
        <w:r>
          <w:rPr>
            <w:noProof/>
            <w:webHidden/>
          </w:rPr>
        </w:r>
        <w:r>
          <w:rPr>
            <w:noProof/>
            <w:webHidden/>
          </w:rPr>
          <w:fldChar w:fldCharType="separate"/>
        </w:r>
        <w:r w:rsidR="00FD330A">
          <w:rPr>
            <w:noProof/>
            <w:webHidden/>
          </w:rPr>
          <w:t>56</w:t>
        </w:r>
        <w:r>
          <w:rPr>
            <w:noProof/>
            <w:webHidden/>
          </w:rPr>
          <w:fldChar w:fldCharType="end"/>
        </w:r>
      </w:hyperlink>
    </w:p>
    <w:p w14:paraId="3E0FA48E" w14:textId="4199E24D"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21" w:history="1">
        <w:r w:rsidRPr="009A6E88">
          <w:rPr>
            <w:rStyle w:val="Hyperlink"/>
          </w:rPr>
          <w:t>Analysis and findings</w:t>
        </w:r>
        <w:r>
          <w:rPr>
            <w:webHidden/>
          </w:rPr>
          <w:tab/>
        </w:r>
        <w:r>
          <w:rPr>
            <w:webHidden/>
          </w:rPr>
          <w:fldChar w:fldCharType="begin"/>
        </w:r>
        <w:r>
          <w:rPr>
            <w:webHidden/>
          </w:rPr>
          <w:instrText xml:space="preserve"> PAGEREF _Toc232685921 \h </w:instrText>
        </w:r>
        <w:r>
          <w:rPr>
            <w:webHidden/>
          </w:rPr>
        </w:r>
        <w:r>
          <w:rPr>
            <w:webHidden/>
          </w:rPr>
          <w:fldChar w:fldCharType="separate"/>
        </w:r>
        <w:r w:rsidR="00FD330A">
          <w:rPr>
            <w:webHidden/>
          </w:rPr>
          <w:t>56</w:t>
        </w:r>
        <w:r>
          <w:rPr>
            <w:webHidden/>
          </w:rPr>
          <w:fldChar w:fldCharType="end"/>
        </w:r>
      </w:hyperlink>
    </w:p>
    <w:p w14:paraId="7928BBA4" w14:textId="7104DC75"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22" w:history="1">
        <w:r w:rsidRPr="009A6E88">
          <w:rPr>
            <w:rStyle w:val="Hyperlink"/>
            <w:noProof/>
          </w:rPr>
          <w:t>7.1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PEPA Aged Care</w:t>
        </w:r>
        <w:r>
          <w:rPr>
            <w:noProof/>
            <w:webHidden/>
          </w:rPr>
          <w:tab/>
        </w:r>
        <w:r>
          <w:rPr>
            <w:noProof/>
            <w:webHidden/>
          </w:rPr>
          <w:fldChar w:fldCharType="begin"/>
        </w:r>
        <w:r>
          <w:rPr>
            <w:noProof/>
            <w:webHidden/>
          </w:rPr>
          <w:instrText xml:space="preserve"> PAGEREF _Toc232685922 \h </w:instrText>
        </w:r>
        <w:r>
          <w:rPr>
            <w:noProof/>
            <w:webHidden/>
          </w:rPr>
        </w:r>
        <w:r>
          <w:rPr>
            <w:noProof/>
            <w:webHidden/>
          </w:rPr>
          <w:fldChar w:fldCharType="separate"/>
        </w:r>
        <w:r w:rsidR="00FD330A">
          <w:rPr>
            <w:noProof/>
            <w:webHidden/>
          </w:rPr>
          <w:t>56</w:t>
        </w:r>
        <w:r>
          <w:rPr>
            <w:noProof/>
            <w:webHidden/>
          </w:rPr>
          <w:fldChar w:fldCharType="end"/>
        </w:r>
      </w:hyperlink>
    </w:p>
    <w:p w14:paraId="2AB37D89" w14:textId="3FB500E6"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3" w:history="1">
        <w:r w:rsidRPr="009A6E88">
          <w:rPr>
            <w:rStyle w:val="Hyperlink"/>
            <w:noProof/>
            <w:lang w:eastAsia="en-AU"/>
          </w:rPr>
          <w:t>7.1.1</w:t>
        </w:r>
        <w:r>
          <w:rPr>
            <w:rFonts w:asciiTheme="minorHAnsi" w:eastAsiaTheme="minorEastAsia" w:hAnsiTheme="minorHAnsi"/>
            <w:noProof/>
            <w:kern w:val="2"/>
            <w:sz w:val="24"/>
            <w:szCs w:val="24"/>
            <w:lang w:eastAsia="en-AU"/>
            <w14:ligatures w14:val="standardContextual"/>
          </w:rPr>
          <w:tab/>
        </w:r>
        <w:r w:rsidRPr="009A6E88">
          <w:rPr>
            <w:rStyle w:val="Hyperlink"/>
            <w:noProof/>
            <w:lang w:eastAsia="en-AU"/>
          </w:rPr>
          <w:t>Program funding and expenditure</w:t>
        </w:r>
        <w:r>
          <w:rPr>
            <w:noProof/>
            <w:webHidden/>
          </w:rPr>
          <w:tab/>
        </w:r>
        <w:r>
          <w:rPr>
            <w:noProof/>
            <w:webHidden/>
          </w:rPr>
          <w:fldChar w:fldCharType="begin"/>
        </w:r>
        <w:r>
          <w:rPr>
            <w:noProof/>
            <w:webHidden/>
          </w:rPr>
          <w:instrText xml:space="preserve"> PAGEREF _Toc232685923 \h </w:instrText>
        </w:r>
        <w:r>
          <w:rPr>
            <w:noProof/>
            <w:webHidden/>
          </w:rPr>
        </w:r>
        <w:r>
          <w:rPr>
            <w:noProof/>
            <w:webHidden/>
          </w:rPr>
          <w:fldChar w:fldCharType="separate"/>
        </w:r>
        <w:r w:rsidR="00FD330A">
          <w:rPr>
            <w:noProof/>
            <w:webHidden/>
          </w:rPr>
          <w:t>57</w:t>
        </w:r>
        <w:r>
          <w:rPr>
            <w:noProof/>
            <w:webHidden/>
          </w:rPr>
          <w:fldChar w:fldCharType="end"/>
        </w:r>
      </w:hyperlink>
    </w:p>
    <w:p w14:paraId="42E3CD75" w14:textId="3A52CE0A"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4" w:history="1">
        <w:r w:rsidRPr="009A6E88">
          <w:rPr>
            <w:rStyle w:val="Hyperlink"/>
            <w:noProof/>
          </w:rPr>
          <w:t>7.1.2</w:t>
        </w:r>
        <w:r>
          <w:rPr>
            <w:rFonts w:asciiTheme="minorHAnsi" w:eastAsiaTheme="minorEastAsia" w:hAnsiTheme="minorHAnsi"/>
            <w:noProof/>
            <w:kern w:val="2"/>
            <w:sz w:val="24"/>
            <w:szCs w:val="24"/>
            <w:lang w:eastAsia="en-AU"/>
            <w14:ligatures w14:val="standardContextual"/>
          </w:rPr>
          <w:tab/>
        </w:r>
        <w:r w:rsidRPr="009A6E88">
          <w:rPr>
            <w:rStyle w:val="Hyperlink"/>
            <w:noProof/>
          </w:rPr>
          <w:t>Cost per placement and participant</w:t>
        </w:r>
        <w:r>
          <w:rPr>
            <w:noProof/>
            <w:webHidden/>
          </w:rPr>
          <w:tab/>
        </w:r>
        <w:r>
          <w:rPr>
            <w:noProof/>
            <w:webHidden/>
          </w:rPr>
          <w:fldChar w:fldCharType="begin"/>
        </w:r>
        <w:r>
          <w:rPr>
            <w:noProof/>
            <w:webHidden/>
          </w:rPr>
          <w:instrText xml:space="preserve"> PAGEREF _Toc232685924 \h </w:instrText>
        </w:r>
        <w:r>
          <w:rPr>
            <w:noProof/>
            <w:webHidden/>
          </w:rPr>
        </w:r>
        <w:r>
          <w:rPr>
            <w:noProof/>
            <w:webHidden/>
          </w:rPr>
          <w:fldChar w:fldCharType="separate"/>
        </w:r>
        <w:r w:rsidR="00FD330A">
          <w:rPr>
            <w:noProof/>
            <w:webHidden/>
          </w:rPr>
          <w:t>59</w:t>
        </w:r>
        <w:r>
          <w:rPr>
            <w:noProof/>
            <w:webHidden/>
          </w:rPr>
          <w:fldChar w:fldCharType="end"/>
        </w:r>
      </w:hyperlink>
    </w:p>
    <w:p w14:paraId="384DCF6E" w14:textId="7D25DE4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5" w:history="1">
        <w:r w:rsidRPr="009A6E88">
          <w:rPr>
            <w:rStyle w:val="Hyperlink"/>
            <w:noProof/>
          </w:rPr>
          <w:t>7.1.3</w:t>
        </w:r>
        <w:r>
          <w:rPr>
            <w:rFonts w:asciiTheme="minorHAnsi" w:eastAsiaTheme="minorEastAsia" w:hAnsiTheme="minorHAnsi"/>
            <w:noProof/>
            <w:kern w:val="2"/>
            <w:sz w:val="24"/>
            <w:szCs w:val="24"/>
            <w:lang w:eastAsia="en-AU"/>
            <w14:ligatures w14:val="standardContextual"/>
          </w:rPr>
          <w:tab/>
        </w:r>
        <w:r w:rsidRPr="009A6E88">
          <w:rPr>
            <w:rStyle w:val="Hyperlink"/>
            <w:noProof/>
          </w:rPr>
          <w:t>Participation costs for sites</w:t>
        </w:r>
        <w:r>
          <w:rPr>
            <w:noProof/>
            <w:webHidden/>
          </w:rPr>
          <w:tab/>
        </w:r>
        <w:r>
          <w:rPr>
            <w:noProof/>
            <w:webHidden/>
          </w:rPr>
          <w:fldChar w:fldCharType="begin"/>
        </w:r>
        <w:r>
          <w:rPr>
            <w:noProof/>
            <w:webHidden/>
          </w:rPr>
          <w:instrText xml:space="preserve"> PAGEREF _Toc232685925 \h </w:instrText>
        </w:r>
        <w:r>
          <w:rPr>
            <w:noProof/>
            <w:webHidden/>
          </w:rPr>
        </w:r>
        <w:r>
          <w:rPr>
            <w:noProof/>
            <w:webHidden/>
          </w:rPr>
          <w:fldChar w:fldCharType="separate"/>
        </w:r>
        <w:r w:rsidR="00FD330A">
          <w:rPr>
            <w:noProof/>
            <w:webHidden/>
          </w:rPr>
          <w:t>60</w:t>
        </w:r>
        <w:r>
          <w:rPr>
            <w:noProof/>
            <w:webHidden/>
          </w:rPr>
          <w:fldChar w:fldCharType="end"/>
        </w:r>
      </w:hyperlink>
    </w:p>
    <w:p w14:paraId="1C1B8535" w14:textId="3BC1AE72"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6" w:history="1">
        <w:r w:rsidRPr="009A6E88">
          <w:rPr>
            <w:rStyle w:val="Hyperlink"/>
            <w:noProof/>
            <w:lang w:eastAsia="en-AU"/>
          </w:rPr>
          <w:t>7.1.4</w:t>
        </w:r>
        <w:r>
          <w:rPr>
            <w:rFonts w:asciiTheme="minorHAnsi" w:eastAsiaTheme="minorEastAsia" w:hAnsiTheme="minorHAnsi"/>
            <w:noProof/>
            <w:kern w:val="2"/>
            <w:sz w:val="24"/>
            <w:szCs w:val="24"/>
            <w:lang w:eastAsia="en-AU"/>
            <w14:ligatures w14:val="standardContextual"/>
          </w:rPr>
          <w:tab/>
        </w:r>
        <w:r w:rsidRPr="009A6E88">
          <w:rPr>
            <w:rStyle w:val="Hyperlink"/>
            <w:noProof/>
            <w:lang w:eastAsia="en-AU"/>
          </w:rPr>
          <w:t>Program benefits</w:t>
        </w:r>
        <w:r>
          <w:rPr>
            <w:noProof/>
            <w:webHidden/>
          </w:rPr>
          <w:tab/>
        </w:r>
        <w:r>
          <w:rPr>
            <w:noProof/>
            <w:webHidden/>
          </w:rPr>
          <w:fldChar w:fldCharType="begin"/>
        </w:r>
        <w:r>
          <w:rPr>
            <w:noProof/>
            <w:webHidden/>
          </w:rPr>
          <w:instrText xml:space="preserve"> PAGEREF _Toc232685926 \h </w:instrText>
        </w:r>
        <w:r>
          <w:rPr>
            <w:noProof/>
            <w:webHidden/>
          </w:rPr>
        </w:r>
        <w:r>
          <w:rPr>
            <w:noProof/>
            <w:webHidden/>
          </w:rPr>
          <w:fldChar w:fldCharType="separate"/>
        </w:r>
        <w:r w:rsidR="00FD330A">
          <w:rPr>
            <w:noProof/>
            <w:webHidden/>
          </w:rPr>
          <w:t>60</w:t>
        </w:r>
        <w:r>
          <w:rPr>
            <w:noProof/>
            <w:webHidden/>
          </w:rPr>
          <w:fldChar w:fldCharType="end"/>
        </w:r>
      </w:hyperlink>
    </w:p>
    <w:p w14:paraId="66D1F85A" w14:textId="2CA7A0BF"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27" w:history="1">
        <w:r w:rsidRPr="009A6E88">
          <w:rPr>
            <w:rStyle w:val="Hyperlink"/>
            <w:noProof/>
          </w:rPr>
          <w:t>7.2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PACOP</w:t>
        </w:r>
        <w:r>
          <w:rPr>
            <w:noProof/>
            <w:webHidden/>
          </w:rPr>
          <w:tab/>
        </w:r>
        <w:r>
          <w:rPr>
            <w:noProof/>
            <w:webHidden/>
          </w:rPr>
          <w:fldChar w:fldCharType="begin"/>
        </w:r>
        <w:r>
          <w:rPr>
            <w:noProof/>
            <w:webHidden/>
          </w:rPr>
          <w:instrText xml:space="preserve"> PAGEREF _Toc232685927 \h </w:instrText>
        </w:r>
        <w:r>
          <w:rPr>
            <w:noProof/>
            <w:webHidden/>
          </w:rPr>
        </w:r>
        <w:r>
          <w:rPr>
            <w:noProof/>
            <w:webHidden/>
          </w:rPr>
          <w:fldChar w:fldCharType="separate"/>
        </w:r>
        <w:r w:rsidR="00FD330A">
          <w:rPr>
            <w:noProof/>
            <w:webHidden/>
          </w:rPr>
          <w:t>61</w:t>
        </w:r>
        <w:r>
          <w:rPr>
            <w:noProof/>
            <w:webHidden/>
          </w:rPr>
          <w:fldChar w:fldCharType="end"/>
        </w:r>
      </w:hyperlink>
    </w:p>
    <w:p w14:paraId="20317415" w14:textId="45E07983"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8" w:history="1">
        <w:r w:rsidRPr="009A6E88">
          <w:rPr>
            <w:rStyle w:val="Hyperlink"/>
            <w:noProof/>
          </w:rPr>
          <w:t>7.2.1</w:t>
        </w:r>
        <w:r>
          <w:rPr>
            <w:rFonts w:asciiTheme="minorHAnsi" w:eastAsiaTheme="minorEastAsia" w:hAnsiTheme="minorHAnsi"/>
            <w:noProof/>
            <w:kern w:val="2"/>
            <w:sz w:val="24"/>
            <w:szCs w:val="24"/>
            <w:lang w:eastAsia="en-AU"/>
            <w14:ligatures w14:val="standardContextual"/>
          </w:rPr>
          <w:tab/>
        </w:r>
        <w:r w:rsidRPr="009A6E88">
          <w:rPr>
            <w:rStyle w:val="Hyperlink"/>
            <w:noProof/>
          </w:rPr>
          <w:t>Program funding and expenditure</w:t>
        </w:r>
        <w:r>
          <w:rPr>
            <w:noProof/>
            <w:webHidden/>
          </w:rPr>
          <w:tab/>
        </w:r>
        <w:r>
          <w:rPr>
            <w:noProof/>
            <w:webHidden/>
          </w:rPr>
          <w:fldChar w:fldCharType="begin"/>
        </w:r>
        <w:r>
          <w:rPr>
            <w:noProof/>
            <w:webHidden/>
          </w:rPr>
          <w:instrText xml:space="preserve"> PAGEREF _Toc232685928 \h </w:instrText>
        </w:r>
        <w:r>
          <w:rPr>
            <w:noProof/>
            <w:webHidden/>
          </w:rPr>
        </w:r>
        <w:r>
          <w:rPr>
            <w:noProof/>
            <w:webHidden/>
          </w:rPr>
          <w:fldChar w:fldCharType="separate"/>
        </w:r>
        <w:r w:rsidR="00FD330A">
          <w:rPr>
            <w:noProof/>
            <w:webHidden/>
          </w:rPr>
          <w:t>61</w:t>
        </w:r>
        <w:r>
          <w:rPr>
            <w:noProof/>
            <w:webHidden/>
          </w:rPr>
          <w:fldChar w:fldCharType="end"/>
        </w:r>
      </w:hyperlink>
    </w:p>
    <w:p w14:paraId="243F05E0" w14:textId="77459B50"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9" w:history="1">
        <w:r w:rsidRPr="009A6E88">
          <w:rPr>
            <w:rStyle w:val="Hyperlink"/>
            <w:noProof/>
          </w:rPr>
          <w:t>7.2.2</w:t>
        </w:r>
        <w:r>
          <w:rPr>
            <w:rFonts w:asciiTheme="minorHAnsi" w:eastAsiaTheme="minorEastAsia" w:hAnsiTheme="minorHAnsi"/>
            <w:noProof/>
            <w:kern w:val="2"/>
            <w:sz w:val="24"/>
            <w:szCs w:val="24"/>
            <w:lang w:eastAsia="en-AU"/>
            <w14:ligatures w14:val="standardContextual"/>
          </w:rPr>
          <w:tab/>
        </w:r>
        <w:r w:rsidRPr="009A6E88">
          <w:rPr>
            <w:rStyle w:val="Hyperlink"/>
            <w:noProof/>
          </w:rPr>
          <w:t>Program cost per participating provider and home</w:t>
        </w:r>
        <w:r>
          <w:rPr>
            <w:noProof/>
            <w:webHidden/>
          </w:rPr>
          <w:tab/>
        </w:r>
        <w:r>
          <w:rPr>
            <w:noProof/>
            <w:webHidden/>
          </w:rPr>
          <w:fldChar w:fldCharType="begin"/>
        </w:r>
        <w:r>
          <w:rPr>
            <w:noProof/>
            <w:webHidden/>
          </w:rPr>
          <w:instrText xml:space="preserve"> PAGEREF _Toc232685929 \h </w:instrText>
        </w:r>
        <w:r>
          <w:rPr>
            <w:noProof/>
            <w:webHidden/>
          </w:rPr>
        </w:r>
        <w:r>
          <w:rPr>
            <w:noProof/>
            <w:webHidden/>
          </w:rPr>
          <w:fldChar w:fldCharType="separate"/>
        </w:r>
        <w:r w:rsidR="00FD330A">
          <w:rPr>
            <w:noProof/>
            <w:webHidden/>
          </w:rPr>
          <w:t>63</w:t>
        </w:r>
        <w:r>
          <w:rPr>
            <w:noProof/>
            <w:webHidden/>
          </w:rPr>
          <w:fldChar w:fldCharType="end"/>
        </w:r>
      </w:hyperlink>
    </w:p>
    <w:p w14:paraId="20D1175A" w14:textId="417FA73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30" w:history="1">
        <w:r w:rsidRPr="009A6E88">
          <w:rPr>
            <w:rStyle w:val="Hyperlink"/>
            <w:noProof/>
          </w:rPr>
          <w:t>7.2.3</w:t>
        </w:r>
        <w:r>
          <w:rPr>
            <w:rFonts w:asciiTheme="minorHAnsi" w:eastAsiaTheme="minorEastAsia" w:hAnsiTheme="minorHAnsi"/>
            <w:noProof/>
            <w:kern w:val="2"/>
            <w:sz w:val="24"/>
            <w:szCs w:val="24"/>
            <w:lang w:eastAsia="en-AU"/>
            <w14:ligatures w14:val="standardContextual"/>
          </w:rPr>
          <w:tab/>
        </w:r>
        <w:r w:rsidRPr="009A6E88">
          <w:rPr>
            <w:rStyle w:val="Hyperlink"/>
            <w:noProof/>
          </w:rPr>
          <w:t>Participation costs for aged care homes</w:t>
        </w:r>
        <w:r>
          <w:rPr>
            <w:noProof/>
            <w:webHidden/>
          </w:rPr>
          <w:tab/>
        </w:r>
        <w:r>
          <w:rPr>
            <w:noProof/>
            <w:webHidden/>
          </w:rPr>
          <w:fldChar w:fldCharType="begin"/>
        </w:r>
        <w:r>
          <w:rPr>
            <w:noProof/>
            <w:webHidden/>
          </w:rPr>
          <w:instrText xml:space="preserve"> PAGEREF _Toc232685930 \h </w:instrText>
        </w:r>
        <w:r>
          <w:rPr>
            <w:noProof/>
            <w:webHidden/>
          </w:rPr>
        </w:r>
        <w:r>
          <w:rPr>
            <w:noProof/>
            <w:webHidden/>
          </w:rPr>
          <w:fldChar w:fldCharType="separate"/>
        </w:r>
        <w:r w:rsidR="00FD330A">
          <w:rPr>
            <w:noProof/>
            <w:webHidden/>
          </w:rPr>
          <w:t>64</w:t>
        </w:r>
        <w:r>
          <w:rPr>
            <w:noProof/>
            <w:webHidden/>
          </w:rPr>
          <w:fldChar w:fldCharType="end"/>
        </w:r>
      </w:hyperlink>
    </w:p>
    <w:p w14:paraId="10799B49" w14:textId="0A744D9A"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31" w:history="1">
        <w:r w:rsidRPr="009A6E88">
          <w:rPr>
            <w:rStyle w:val="Hyperlink"/>
            <w:noProof/>
          </w:rPr>
          <w:t>7.2.4</w:t>
        </w:r>
        <w:r>
          <w:rPr>
            <w:rFonts w:asciiTheme="minorHAnsi" w:eastAsiaTheme="minorEastAsia" w:hAnsiTheme="minorHAnsi"/>
            <w:noProof/>
            <w:kern w:val="2"/>
            <w:sz w:val="24"/>
            <w:szCs w:val="24"/>
            <w:lang w:eastAsia="en-AU"/>
            <w14:ligatures w14:val="standardContextual"/>
          </w:rPr>
          <w:tab/>
        </w:r>
        <w:r w:rsidRPr="009A6E88">
          <w:rPr>
            <w:rStyle w:val="Hyperlink"/>
            <w:noProof/>
          </w:rPr>
          <w:t>Program benefits</w:t>
        </w:r>
        <w:r>
          <w:rPr>
            <w:noProof/>
            <w:webHidden/>
          </w:rPr>
          <w:tab/>
        </w:r>
        <w:r>
          <w:rPr>
            <w:noProof/>
            <w:webHidden/>
          </w:rPr>
          <w:fldChar w:fldCharType="begin"/>
        </w:r>
        <w:r>
          <w:rPr>
            <w:noProof/>
            <w:webHidden/>
          </w:rPr>
          <w:instrText xml:space="preserve"> PAGEREF _Toc232685931 \h </w:instrText>
        </w:r>
        <w:r>
          <w:rPr>
            <w:noProof/>
            <w:webHidden/>
          </w:rPr>
        </w:r>
        <w:r>
          <w:rPr>
            <w:noProof/>
            <w:webHidden/>
          </w:rPr>
          <w:fldChar w:fldCharType="separate"/>
        </w:r>
        <w:r w:rsidR="00FD330A">
          <w:rPr>
            <w:noProof/>
            <w:webHidden/>
          </w:rPr>
          <w:t>64</w:t>
        </w:r>
        <w:r>
          <w:rPr>
            <w:noProof/>
            <w:webHidden/>
          </w:rPr>
          <w:fldChar w:fldCharType="end"/>
        </w:r>
      </w:hyperlink>
    </w:p>
    <w:p w14:paraId="2446ECDA" w14:textId="39E6E220"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932" w:history="1">
        <w:r w:rsidRPr="009A6E88">
          <w:rPr>
            <w:rStyle w:val="Hyperlink"/>
            <w:noProof/>
          </w:rPr>
          <w:t>8</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Opportunities</w:t>
        </w:r>
        <w:r>
          <w:rPr>
            <w:noProof/>
            <w:webHidden/>
          </w:rPr>
          <w:tab/>
        </w:r>
        <w:r>
          <w:rPr>
            <w:noProof/>
            <w:webHidden/>
          </w:rPr>
          <w:fldChar w:fldCharType="begin"/>
        </w:r>
        <w:r>
          <w:rPr>
            <w:noProof/>
            <w:webHidden/>
          </w:rPr>
          <w:instrText xml:space="preserve"> PAGEREF _Toc232685932 \h </w:instrText>
        </w:r>
        <w:r>
          <w:rPr>
            <w:noProof/>
            <w:webHidden/>
          </w:rPr>
        </w:r>
        <w:r>
          <w:rPr>
            <w:noProof/>
            <w:webHidden/>
          </w:rPr>
          <w:fldChar w:fldCharType="separate"/>
        </w:r>
        <w:r w:rsidR="00FD330A">
          <w:rPr>
            <w:noProof/>
            <w:webHidden/>
          </w:rPr>
          <w:t>67</w:t>
        </w:r>
        <w:r>
          <w:rPr>
            <w:noProof/>
            <w:webHidden/>
          </w:rPr>
          <w:fldChar w:fldCharType="end"/>
        </w:r>
      </w:hyperlink>
    </w:p>
    <w:p w14:paraId="4FF93CEA" w14:textId="34A38C6D"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933" w:history="1">
        <w:r w:rsidRPr="009A6E88">
          <w:rPr>
            <w:rStyle w:val="Hyperlink"/>
            <w:noProof/>
          </w:rPr>
          <w:t>9</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Appendices</w:t>
        </w:r>
        <w:r>
          <w:rPr>
            <w:noProof/>
            <w:webHidden/>
          </w:rPr>
          <w:tab/>
        </w:r>
        <w:r>
          <w:rPr>
            <w:noProof/>
            <w:webHidden/>
          </w:rPr>
          <w:fldChar w:fldCharType="begin"/>
        </w:r>
        <w:r>
          <w:rPr>
            <w:noProof/>
            <w:webHidden/>
          </w:rPr>
          <w:instrText xml:space="preserve"> PAGEREF _Toc232685933 \h </w:instrText>
        </w:r>
        <w:r>
          <w:rPr>
            <w:noProof/>
            <w:webHidden/>
          </w:rPr>
        </w:r>
        <w:r>
          <w:rPr>
            <w:noProof/>
            <w:webHidden/>
          </w:rPr>
          <w:fldChar w:fldCharType="separate"/>
        </w:r>
        <w:r w:rsidR="00FD330A">
          <w:rPr>
            <w:noProof/>
            <w:webHidden/>
          </w:rPr>
          <w:t>76</w:t>
        </w:r>
        <w:r>
          <w:rPr>
            <w:noProof/>
            <w:webHidden/>
          </w:rPr>
          <w:fldChar w:fldCharType="end"/>
        </w:r>
      </w:hyperlink>
    </w:p>
    <w:p w14:paraId="27A2AF0E" w14:textId="52D11079"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4" w:history="1">
        <w:r w:rsidRPr="009A6E88">
          <w:rPr>
            <w:rStyle w:val="Hyperlink"/>
          </w:rPr>
          <w:t>Appendix A</w:t>
        </w:r>
        <w:r>
          <w:rPr>
            <w:rFonts w:asciiTheme="minorHAnsi" w:eastAsiaTheme="minorEastAsia" w:hAnsiTheme="minorHAnsi"/>
            <w:caps w:val="0"/>
            <w:kern w:val="2"/>
            <w:sz w:val="24"/>
            <w:szCs w:val="24"/>
            <w:lang w:eastAsia="en-AU"/>
            <w14:ligatures w14:val="standardContextual"/>
          </w:rPr>
          <w:tab/>
        </w:r>
        <w:r w:rsidRPr="009A6E88">
          <w:rPr>
            <w:rStyle w:val="Hyperlink"/>
          </w:rPr>
          <w:t>Evaluation framework</w:t>
        </w:r>
        <w:r>
          <w:rPr>
            <w:webHidden/>
          </w:rPr>
          <w:tab/>
        </w:r>
        <w:r>
          <w:rPr>
            <w:webHidden/>
          </w:rPr>
          <w:fldChar w:fldCharType="begin"/>
        </w:r>
        <w:r>
          <w:rPr>
            <w:webHidden/>
          </w:rPr>
          <w:instrText xml:space="preserve"> PAGEREF _Toc232685934 \h </w:instrText>
        </w:r>
        <w:r>
          <w:rPr>
            <w:webHidden/>
          </w:rPr>
        </w:r>
        <w:r>
          <w:rPr>
            <w:webHidden/>
          </w:rPr>
          <w:fldChar w:fldCharType="separate"/>
        </w:r>
        <w:r w:rsidR="00FD330A">
          <w:rPr>
            <w:webHidden/>
          </w:rPr>
          <w:t>76</w:t>
        </w:r>
        <w:r>
          <w:rPr>
            <w:webHidden/>
          </w:rPr>
          <w:fldChar w:fldCharType="end"/>
        </w:r>
      </w:hyperlink>
    </w:p>
    <w:p w14:paraId="272281F5" w14:textId="6CFA6EE5"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5" w:history="1">
        <w:r w:rsidRPr="009A6E88">
          <w:rPr>
            <w:rStyle w:val="Hyperlink"/>
          </w:rPr>
          <w:t>Appendix B</w:t>
        </w:r>
        <w:r>
          <w:rPr>
            <w:rFonts w:asciiTheme="minorHAnsi" w:eastAsiaTheme="minorEastAsia" w:hAnsiTheme="minorHAnsi"/>
            <w:caps w:val="0"/>
            <w:kern w:val="2"/>
            <w:sz w:val="24"/>
            <w:szCs w:val="24"/>
            <w:lang w:eastAsia="en-AU"/>
            <w14:ligatures w14:val="standardContextual"/>
          </w:rPr>
          <w:tab/>
        </w:r>
        <w:r w:rsidRPr="009A6E88">
          <w:rPr>
            <w:rStyle w:val="Hyperlink"/>
          </w:rPr>
          <w:t>Stakeholders involved in consultations and case studies</w:t>
        </w:r>
        <w:r>
          <w:rPr>
            <w:webHidden/>
          </w:rPr>
          <w:tab/>
        </w:r>
        <w:r>
          <w:rPr>
            <w:webHidden/>
          </w:rPr>
          <w:fldChar w:fldCharType="begin"/>
        </w:r>
        <w:r>
          <w:rPr>
            <w:webHidden/>
          </w:rPr>
          <w:instrText xml:space="preserve"> PAGEREF _Toc232685935 \h </w:instrText>
        </w:r>
        <w:r>
          <w:rPr>
            <w:webHidden/>
          </w:rPr>
        </w:r>
        <w:r>
          <w:rPr>
            <w:webHidden/>
          </w:rPr>
          <w:fldChar w:fldCharType="separate"/>
        </w:r>
        <w:r w:rsidR="00FD330A">
          <w:rPr>
            <w:webHidden/>
          </w:rPr>
          <w:t>88</w:t>
        </w:r>
        <w:r>
          <w:rPr>
            <w:webHidden/>
          </w:rPr>
          <w:fldChar w:fldCharType="end"/>
        </w:r>
      </w:hyperlink>
    </w:p>
    <w:p w14:paraId="71E04D9F" w14:textId="45AC8AFD"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6" w:history="1">
        <w:r w:rsidRPr="009A6E88">
          <w:rPr>
            <w:rStyle w:val="Hyperlink"/>
          </w:rPr>
          <w:t>Appendix C</w:t>
        </w:r>
        <w:r>
          <w:rPr>
            <w:rFonts w:asciiTheme="minorHAnsi" w:eastAsiaTheme="minorEastAsia" w:hAnsiTheme="minorHAnsi"/>
            <w:caps w:val="0"/>
            <w:kern w:val="2"/>
            <w:sz w:val="24"/>
            <w:szCs w:val="24"/>
            <w:lang w:eastAsia="en-AU"/>
            <w14:ligatures w14:val="standardContextual"/>
          </w:rPr>
          <w:tab/>
        </w:r>
        <w:r w:rsidRPr="009A6E88">
          <w:rPr>
            <w:rStyle w:val="Hyperlink"/>
          </w:rPr>
          <w:t>PEPA Aged Care program data</w:t>
        </w:r>
        <w:r>
          <w:rPr>
            <w:webHidden/>
          </w:rPr>
          <w:tab/>
        </w:r>
        <w:r>
          <w:rPr>
            <w:webHidden/>
          </w:rPr>
          <w:fldChar w:fldCharType="begin"/>
        </w:r>
        <w:r>
          <w:rPr>
            <w:webHidden/>
          </w:rPr>
          <w:instrText xml:space="preserve"> PAGEREF _Toc232685936 \h </w:instrText>
        </w:r>
        <w:r>
          <w:rPr>
            <w:webHidden/>
          </w:rPr>
        </w:r>
        <w:r>
          <w:rPr>
            <w:webHidden/>
          </w:rPr>
          <w:fldChar w:fldCharType="separate"/>
        </w:r>
        <w:r w:rsidR="00FD330A">
          <w:rPr>
            <w:webHidden/>
          </w:rPr>
          <w:t>91</w:t>
        </w:r>
        <w:r>
          <w:rPr>
            <w:webHidden/>
          </w:rPr>
          <w:fldChar w:fldCharType="end"/>
        </w:r>
      </w:hyperlink>
    </w:p>
    <w:p w14:paraId="450EC0C0" w14:textId="7DA4F1D7"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7" w:history="1">
        <w:r w:rsidRPr="009A6E88">
          <w:rPr>
            <w:rStyle w:val="Hyperlink"/>
          </w:rPr>
          <w:t>Appendix D</w:t>
        </w:r>
        <w:r>
          <w:rPr>
            <w:rFonts w:asciiTheme="minorHAnsi" w:eastAsiaTheme="minorEastAsia" w:hAnsiTheme="minorHAnsi"/>
            <w:caps w:val="0"/>
            <w:kern w:val="2"/>
            <w:sz w:val="24"/>
            <w:szCs w:val="24"/>
            <w:lang w:eastAsia="en-AU"/>
            <w14:ligatures w14:val="standardContextual"/>
          </w:rPr>
          <w:tab/>
        </w:r>
        <w:r w:rsidRPr="009A6E88">
          <w:rPr>
            <w:rStyle w:val="Hyperlink"/>
          </w:rPr>
          <w:t>PACOP program data</w:t>
        </w:r>
        <w:r>
          <w:rPr>
            <w:webHidden/>
          </w:rPr>
          <w:tab/>
        </w:r>
        <w:r>
          <w:rPr>
            <w:webHidden/>
          </w:rPr>
          <w:fldChar w:fldCharType="begin"/>
        </w:r>
        <w:r>
          <w:rPr>
            <w:webHidden/>
          </w:rPr>
          <w:instrText xml:space="preserve"> PAGEREF _Toc232685937 \h </w:instrText>
        </w:r>
        <w:r>
          <w:rPr>
            <w:webHidden/>
          </w:rPr>
        </w:r>
        <w:r>
          <w:rPr>
            <w:webHidden/>
          </w:rPr>
          <w:fldChar w:fldCharType="separate"/>
        </w:r>
        <w:r w:rsidR="00FD330A">
          <w:rPr>
            <w:webHidden/>
          </w:rPr>
          <w:t>104</w:t>
        </w:r>
        <w:r>
          <w:rPr>
            <w:webHidden/>
          </w:rPr>
          <w:fldChar w:fldCharType="end"/>
        </w:r>
      </w:hyperlink>
    </w:p>
    <w:p w14:paraId="6205667B" w14:textId="33A94BD8"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8" w:history="1">
        <w:r w:rsidRPr="009A6E88">
          <w:rPr>
            <w:rStyle w:val="Hyperlink"/>
          </w:rPr>
          <w:t>Appendix E</w:t>
        </w:r>
        <w:r>
          <w:rPr>
            <w:rFonts w:asciiTheme="minorHAnsi" w:eastAsiaTheme="minorEastAsia" w:hAnsiTheme="minorHAnsi"/>
            <w:caps w:val="0"/>
            <w:kern w:val="2"/>
            <w:sz w:val="24"/>
            <w:szCs w:val="24"/>
            <w:lang w:eastAsia="en-AU"/>
            <w14:ligatures w14:val="standardContextual"/>
          </w:rPr>
          <w:tab/>
        </w:r>
        <w:r w:rsidRPr="009A6E88">
          <w:rPr>
            <w:rStyle w:val="Hyperlink"/>
          </w:rPr>
          <w:t>Economic analysis approach</w:t>
        </w:r>
        <w:r>
          <w:rPr>
            <w:webHidden/>
          </w:rPr>
          <w:tab/>
        </w:r>
        <w:r>
          <w:rPr>
            <w:webHidden/>
          </w:rPr>
          <w:fldChar w:fldCharType="begin"/>
        </w:r>
        <w:r>
          <w:rPr>
            <w:webHidden/>
          </w:rPr>
          <w:instrText xml:space="preserve"> PAGEREF _Toc232685938 \h </w:instrText>
        </w:r>
        <w:r>
          <w:rPr>
            <w:webHidden/>
          </w:rPr>
        </w:r>
        <w:r>
          <w:rPr>
            <w:webHidden/>
          </w:rPr>
          <w:fldChar w:fldCharType="separate"/>
        </w:r>
        <w:r w:rsidR="00FD330A">
          <w:rPr>
            <w:webHidden/>
          </w:rPr>
          <w:t>119</w:t>
        </w:r>
        <w:r>
          <w:rPr>
            <w:webHidden/>
          </w:rPr>
          <w:fldChar w:fldCharType="end"/>
        </w:r>
      </w:hyperlink>
    </w:p>
    <w:p w14:paraId="043969A2" w14:textId="2F490020"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9" w:history="1">
        <w:r w:rsidRPr="009A6E88">
          <w:rPr>
            <w:rStyle w:val="Hyperlink"/>
          </w:rPr>
          <w:t>Appendix F</w:t>
        </w:r>
        <w:r>
          <w:rPr>
            <w:rFonts w:asciiTheme="minorHAnsi" w:eastAsiaTheme="minorEastAsia" w:hAnsiTheme="minorHAnsi"/>
            <w:caps w:val="0"/>
            <w:kern w:val="2"/>
            <w:sz w:val="24"/>
            <w:szCs w:val="24"/>
            <w:lang w:eastAsia="en-AU"/>
            <w14:ligatures w14:val="standardContextual"/>
          </w:rPr>
          <w:tab/>
        </w:r>
        <w:r w:rsidRPr="009A6E88">
          <w:rPr>
            <w:rStyle w:val="Hyperlink"/>
          </w:rPr>
          <w:t>References</w:t>
        </w:r>
        <w:r>
          <w:rPr>
            <w:webHidden/>
          </w:rPr>
          <w:tab/>
        </w:r>
        <w:r>
          <w:rPr>
            <w:webHidden/>
          </w:rPr>
          <w:fldChar w:fldCharType="begin"/>
        </w:r>
        <w:r>
          <w:rPr>
            <w:webHidden/>
          </w:rPr>
          <w:instrText xml:space="preserve"> PAGEREF _Toc232685939 \h </w:instrText>
        </w:r>
        <w:r>
          <w:rPr>
            <w:webHidden/>
          </w:rPr>
        </w:r>
        <w:r>
          <w:rPr>
            <w:webHidden/>
          </w:rPr>
          <w:fldChar w:fldCharType="separate"/>
        </w:r>
        <w:r w:rsidR="00FD330A">
          <w:rPr>
            <w:webHidden/>
          </w:rPr>
          <w:t>125</w:t>
        </w:r>
        <w:r>
          <w:rPr>
            <w:webHidden/>
          </w:rPr>
          <w:fldChar w:fldCharType="end"/>
        </w:r>
      </w:hyperlink>
    </w:p>
    <w:p w14:paraId="5AE68767" w14:textId="29962360" w:rsidR="00742350" w:rsidRDefault="00E96C93" w:rsidP="006E5597">
      <w:r>
        <w:rPr>
          <w:rFonts w:ascii="Franklin Gothic Book" w:hAnsi="Franklin Gothic Book"/>
          <w:caps/>
          <w:noProof/>
          <w:sz w:val="28"/>
        </w:rPr>
        <w:fldChar w:fldCharType="end"/>
      </w:r>
    </w:p>
    <w:p w14:paraId="58E57347" w14:textId="77777777" w:rsidR="001150FB" w:rsidRDefault="001150FB" w:rsidP="006E5597">
      <w:pPr>
        <w:sectPr w:rsidR="001150FB" w:rsidSect="00D002D8">
          <w:headerReference w:type="default" r:id="rId27"/>
          <w:footerReference w:type="default" r:id="rId28"/>
          <w:pgSz w:w="16838" w:h="11906" w:orient="landscape" w:code="9"/>
          <w:pgMar w:top="851" w:right="851" w:bottom="851" w:left="851" w:header="709" w:footer="567" w:gutter="0"/>
          <w:pgNumType w:fmt="lowerRoman" w:start="1"/>
          <w:cols w:num="2" w:space="709"/>
          <w:docGrid w:linePitch="360"/>
        </w:sectPr>
      </w:pPr>
    </w:p>
    <w:p w14:paraId="7584441B" w14:textId="77777777" w:rsidR="00D4100E" w:rsidRDefault="00D4100E" w:rsidP="00D4100E">
      <w:pPr>
        <w:pStyle w:val="Heading1-nonumber"/>
        <w:framePr w:wrap="around"/>
        <w:rPr>
          <w:lang w:val="en-US"/>
        </w:rPr>
      </w:pPr>
      <w:bookmarkStart w:id="1" w:name="_Toc232685848"/>
      <w:r>
        <w:rPr>
          <w:lang w:val="en-US"/>
        </w:rPr>
        <w:lastRenderedPageBreak/>
        <w:t>Abbreviations</w:t>
      </w:r>
      <w:bookmarkEnd w:id="1"/>
    </w:p>
    <w:tbl>
      <w:tblPr>
        <w:tblStyle w:val="HMATable-Abbreviations"/>
        <w:tblW w:w="0" w:type="auto"/>
        <w:tblBorders>
          <w:left w:val="single" w:sz="4" w:space="0" w:color="auto"/>
          <w:right w:val="single" w:sz="4" w:space="0" w:color="auto"/>
          <w:insideV w:val="single" w:sz="4" w:space="0" w:color="auto"/>
        </w:tblBorders>
        <w:tblLook w:val="0420" w:firstRow="1" w:lastRow="0" w:firstColumn="0" w:lastColumn="0" w:noHBand="0" w:noVBand="1"/>
      </w:tblPr>
      <w:tblGrid>
        <w:gridCol w:w="1843"/>
        <w:gridCol w:w="5103"/>
      </w:tblGrid>
      <w:tr w:rsidR="00CC1E93" w:rsidRPr="000F15F6" w14:paraId="09D3D14B" w14:textId="77777777" w:rsidTr="00C13835">
        <w:trPr>
          <w:cnfStyle w:val="100000000000" w:firstRow="1" w:lastRow="0" w:firstColumn="0" w:lastColumn="0" w:oddVBand="0" w:evenVBand="0" w:oddHBand="0" w:evenHBand="0" w:firstRowFirstColumn="0" w:firstRowLastColumn="0" w:lastRowFirstColumn="0" w:lastRowLastColumn="0"/>
        </w:trPr>
        <w:tc>
          <w:tcPr>
            <w:tcW w:w="1843" w:type="dxa"/>
            <w:shd w:val="clear" w:color="auto" w:fill="F2F2F2" w:themeFill="background1" w:themeFillShade="F2"/>
          </w:tcPr>
          <w:p w14:paraId="6E35AD6D" w14:textId="77777777" w:rsidR="00CC1E93" w:rsidRPr="000F15F6" w:rsidRDefault="00CC1E93">
            <w:pPr>
              <w:rPr>
                <w:i/>
                <w:iCs/>
                <w:color w:val="595959" w:themeColor="text1" w:themeTint="A6"/>
              </w:rPr>
            </w:pPr>
            <w:r w:rsidRPr="000F15F6">
              <w:rPr>
                <w:i/>
                <w:iCs/>
                <w:color w:val="595959" w:themeColor="text1" w:themeTint="A6"/>
              </w:rPr>
              <w:t>Abbreviation</w:t>
            </w:r>
          </w:p>
        </w:tc>
        <w:tc>
          <w:tcPr>
            <w:tcW w:w="5103" w:type="dxa"/>
            <w:shd w:val="clear" w:color="auto" w:fill="F2F2F2" w:themeFill="background1" w:themeFillShade="F2"/>
          </w:tcPr>
          <w:p w14:paraId="1C4B24E9" w14:textId="77777777" w:rsidR="00CC1E93" w:rsidRPr="000F15F6" w:rsidRDefault="00CC1E93">
            <w:pPr>
              <w:rPr>
                <w:i/>
                <w:iCs/>
                <w:color w:val="595959" w:themeColor="text1" w:themeTint="A6"/>
              </w:rPr>
            </w:pPr>
            <w:r w:rsidRPr="000F15F6">
              <w:rPr>
                <w:i/>
                <w:iCs/>
                <w:color w:val="595959" w:themeColor="text1" w:themeTint="A6"/>
              </w:rPr>
              <w:t>Definition</w:t>
            </w:r>
          </w:p>
        </w:tc>
      </w:tr>
      <w:tr w:rsidR="00F601AE" w14:paraId="79E84BB7" w14:textId="77777777" w:rsidTr="00C13835">
        <w:tc>
          <w:tcPr>
            <w:tcW w:w="1843" w:type="dxa"/>
          </w:tcPr>
          <w:p w14:paraId="2E5F8558" w14:textId="5854EF8B" w:rsidR="00F601AE" w:rsidRPr="00F601AE" w:rsidRDefault="00F601AE">
            <w:r>
              <w:t>ACQS</w:t>
            </w:r>
          </w:p>
        </w:tc>
        <w:tc>
          <w:tcPr>
            <w:tcW w:w="5103" w:type="dxa"/>
          </w:tcPr>
          <w:p w14:paraId="218B5929" w14:textId="01014DD9" w:rsidR="00F601AE" w:rsidRPr="00F601AE" w:rsidRDefault="00F601AE">
            <w:r>
              <w:t>Aged Care Quality Standards</w:t>
            </w:r>
          </w:p>
        </w:tc>
      </w:tr>
      <w:tr w:rsidR="00D52999" w14:paraId="0A07428F" w14:textId="77777777" w:rsidTr="00C13835">
        <w:tc>
          <w:tcPr>
            <w:tcW w:w="1843" w:type="dxa"/>
          </w:tcPr>
          <w:p w14:paraId="1E10EB23" w14:textId="4BFD20F3" w:rsidR="00D52999" w:rsidRDefault="00D52999" w:rsidP="00D52999">
            <w:r>
              <w:t>ACQSC</w:t>
            </w:r>
          </w:p>
        </w:tc>
        <w:tc>
          <w:tcPr>
            <w:tcW w:w="5103" w:type="dxa"/>
          </w:tcPr>
          <w:p w14:paraId="0A195CBC" w14:textId="48E5D5E1" w:rsidR="00D52999" w:rsidRDefault="00D52999" w:rsidP="00D52999">
            <w:r>
              <w:t>Aged Care Quality and Safety Commission</w:t>
            </w:r>
          </w:p>
        </w:tc>
      </w:tr>
      <w:tr w:rsidR="003F31F4" w14:paraId="620BDD86" w14:textId="77777777" w:rsidTr="00C13835">
        <w:tc>
          <w:tcPr>
            <w:tcW w:w="1843" w:type="dxa"/>
          </w:tcPr>
          <w:p w14:paraId="53912C82" w14:textId="6FDAF404" w:rsidR="003F31F4" w:rsidRDefault="003F31F4" w:rsidP="003F31F4">
            <w:r>
              <w:t>Department, the</w:t>
            </w:r>
          </w:p>
        </w:tc>
        <w:tc>
          <w:tcPr>
            <w:tcW w:w="5103" w:type="dxa"/>
          </w:tcPr>
          <w:p w14:paraId="036558CA" w14:textId="790825B5" w:rsidR="003F31F4" w:rsidRDefault="003F31F4" w:rsidP="003F31F4">
            <w:r>
              <w:t>Department of Health, Disability and Ageing</w:t>
            </w:r>
          </w:p>
        </w:tc>
      </w:tr>
      <w:tr w:rsidR="00F601AE" w14:paraId="72725D20" w14:textId="77777777" w:rsidTr="00C13835">
        <w:tc>
          <w:tcPr>
            <w:tcW w:w="1843" w:type="dxa"/>
          </w:tcPr>
          <w:p w14:paraId="6F3C0A6E" w14:textId="3AD2115B" w:rsidR="00F601AE" w:rsidRDefault="00F601AE" w:rsidP="003F31F4">
            <w:r>
              <w:t>ED</w:t>
            </w:r>
          </w:p>
        </w:tc>
        <w:tc>
          <w:tcPr>
            <w:tcW w:w="5103" w:type="dxa"/>
          </w:tcPr>
          <w:p w14:paraId="6D690F06" w14:textId="588C36C4" w:rsidR="00F601AE" w:rsidRDefault="00F601AE" w:rsidP="003F31F4">
            <w:r>
              <w:t>Emergency department</w:t>
            </w:r>
          </w:p>
        </w:tc>
      </w:tr>
      <w:tr w:rsidR="003F31F4" w14:paraId="16FFFBA9" w14:textId="77777777" w:rsidTr="00C13835">
        <w:tc>
          <w:tcPr>
            <w:tcW w:w="1843" w:type="dxa"/>
          </w:tcPr>
          <w:p w14:paraId="7C3E5AF5" w14:textId="489B7BE7" w:rsidR="003F31F4" w:rsidRDefault="003F31F4" w:rsidP="003F31F4">
            <w:r>
              <w:t>ELDAC</w:t>
            </w:r>
          </w:p>
        </w:tc>
        <w:tc>
          <w:tcPr>
            <w:tcW w:w="5103" w:type="dxa"/>
          </w:tcPr>
          <w:p w14:paraId="7F345DD0" w14:textId="0FED1D2B" w:rsidR="003F31F4" w:rsidRDefault="003F31F4" w:rsidP="003F31F4">
            <w:r>
              <w:t>End-of-Life Directions for Aged Care</w:t>
            </w:r>
          </w:p>
        </w:tc>
      </w:tr>
      <w:tr w:rsidR="003F31F4" w14:paraId="4BA5601F" w14:textId="77777777" w:rsidTr="00C13835">
        <w:tc>
          <w:tcPr>
            <w:tcW w:w="1843" w:type="dxa"/>
          </w:tcPr>
          <w:p w14:paraId="7566490D" w14:textId="1684C2B4" w:rsidR="003F31F4" w:rsidRDefault="003F31F4" w:rsidP="003F31F4">
            <w:r>
              <w:t>FTE</w:t>
            </w:r>
          </w:p>
        </w:tc>
        <w:tc>
          <w:tcPr>
            <w:tcW w:w="5103" w:type="dxa"/>
          </w:tcPr>
          <w:p w14:paraId="700D5C93" w14:textId="7E2E4330" w:rsidR="003F31F4" w:rsidRDefault="003F31F4" w:rsidP="003F31F4">
            <w:r>
              <w:t>Full-time equivalent</w:t>
            </w:r>
          </w:p>
        </w:tc>
      </w:tr>
      <w:tr w:rsidR="003F31F4" w14:paraId="343F8ACD" w14:textId="77777777" w:rsidTr="00C13835">
        <w:tc>
          <w:tcPr>
            <w:tcW w:w="1843" w:type="dxa"/>
          </w:tcPr>
          <w:p w14:paraId="226574AF" w14:textId="4FD4736F" w:rsidR="003F31F4" w:rsidRDefault="003F31F4" w:rsidP="003F31F4">
            <w:r>
              <w:t>GP</w:t>
            </w:r>
          </w:p>
        </w:tc>
        <w:tc>
          <w:tcPr>
            <w:tcW w:w="5103" w:type="dxa"/>
          </w:tcPr>
          <w:p w14:paraId="293A14DF" w14:textId="245D51DA" w:rsidR="003F31F4" w:rsidRDefault="003F31F4" w:rsidP="003F31F4">
            <w:r>
              <w:t>General practitioner</w:t>
            </w:r>
          </w:p>
        </w:tc>
      </w:tr>
      <w:tr w:rsidR="003F31F4" w14:paraId="57C35D21" w14:textId="77777777" w:rsidTr="00C13835">
        <w:tc>
          <w:tcPr>
            <w:tcW w:w="1843" w:type="dxa"/>
          </w:tcPr>
          <w:p w14:paraId="04BCA182" w14:textId="2B19DA95" w:rsidR="003F31F4" w:rsidRDefault="003F31F4" w:rsidP="003F31F4">
            <w:r>
              <w:t>HMA</w:t>
            </w:r>
          </w:p>
        </w:tc>
        <w:tc>
          <w:tcPr>
            <w:tcW w:w="5103" w:type="dxa"/>
          </w:tcPr>
          <w:p w14:paraId="538CB332" w14:textId="19E35D6C" w:rsidR="003F31F4" w:rsidRDefault="003F31F4" w:rsidP="003F31F4">
            <w:r>
              <w:t xml:space="preserve">Healthcare Management Advisors </w:t>
            </w:r>
          </w:p>
        </w:tc>
      </w:tr>
      <w:tr w:rsidR="00F601AE" w14:paraId="46DFC286" w14:textId="77777777" w:rsidTr="00C13835">
        <w:tc>
          <w:tcPr>
            <w:tcW w:w="1843" w:type="dxa"/>
          </w:tcPr>
          <w:p w14:paraId="1DF2024F" w14:textId="12A33455" w:rsidR="00F601AE" w:rsidRDefault="00F601AE" w:rsidP="003F31F4">
            <w:r>
              <w:t>IPEPA</w:t>
            </w:r>
          </w:p>
        </w:tc>
        <w:tc>
          <w:tcPr>
            <w:tcW w:w="5103" w:type="dxa"/>
          </w:tcPr>
          <w:p w14:paraId="684F5794" w14:textId="084BAE73" w:rsidR="00F601AE" w:rsidRDefault="00F601AE" w:rsidP="003F31F4">
            <w:r>
              <w:t>Indigenous Program of Experience in the Palliative Approach</w:t>
            </w:r>
          </w:p>
        </w:tc>
      </w:tr>
      <w:tr w:rsidR="003F31F4" w14:paraId="3696098D" w14:textId="77777777" w:rsidTr="00C13835">
        <w:tc>
          <w:tcPr>
            <w:tcW w:w="1843" w:type="dxa"/>
          </w:tcPr>
          <w:p w14:paraId="7CD89E44" w14:textId="4283C32A" w:rsidR="003F31F4" w:rsidRDefault="003F31F4" w:rsidP="003F31F4">
            <w:r>
              <w:t>IT</w:t>
            </w:r>
          </w:p>
        </w:tc>
        <w:tc>
          <w:tcPr>
            <w:tcW w:w="5103" w:type="dxa"/>
          </w:tcPr>
          <w:p w14:paraId="1D3C8A65" w14:textId="53E2EE4F" w:rsidR="003F31F4" w:rsidRDefault="003F31F4" w:rsidP="003F31F4">
            <w:r>
              <w:t>Information technology</w:t>
            </w:r>
          </w:p>
        </w:tc>
      </w:tr>
      <w:tr w:rsidR="00F601AE" w14:paraId="7ED52804" w14:textId="77777777" w:rsidTr="00C13835">
        <w:tc>
          <w:tcPr>
            <w:tcW w:w="1843" w:type="dxa"/>
          </w:tcPr>
          <w:p w14:paraId="6191E4D2" w14:textId="3849B0C8" w:rsidR="00F601AE" w:rsidRDefault="00F601AE" w:rsidP="003F31F4">
            <w:r>
              <w:t>KEA</w:t>
            </w:r>
          </w:p>
        </w:tc>
        <w:tc>
          <w:tcPr>
            <w:tcW w:w="5103" w:type="dxa"/>
          </w:tcPr>
          <w:p w14:paraId="35043E42" w14:textId="3CF53C3F" w:rsidR="00F601AE" w:rsidRDefault="00F601AE" w:rsidP="003F31F4">
            <w:r>
              <w:t>Key evaluation area</w:t>
            </w:r>
          </w:p>
        </w:tc>
      </w:tr>
      <w:tr w:rsidR="003F31F4" w14:paraId="1D965B7C" w14:textId="77777777" w:rsidTr="00C13835">
        <w:tc>
          <w:tcPr>
            <w:tcW w:w="1843" w:type="dxa"/>
          </w:tcPr>
          <w:p w14:paraId="34F93D4A" w14:textId="43DD348D" w:rsidR="003F31F4" w:rsidRDefault="003F31F4" w:rsidP="003F31F4">
            <w:r>
              <w:t>Measure, the</w:t>
            </w:r>
          </w:p>
        </w:tc>
        <w:tc>
          <w:tcPr>
            <w:tcW w:w="5103" w:type="dxa"/>
          </w:tcPr>
          <w:p w14:paraId="58B11C45" w14:textId="1835D5A0" w:rsidR="003F31F4" w:rsidRDefault="003F31F4" w:rsidP="003F31F4">
            <w:r>
              <w:t>Extension of the Improving Palliative Care Training and Outcomes in Aged Care</w:t>
            </w:r>
          </w:p>
        </w:tc>
      </w:tr>
      <w:tr w:rsidR="00990AA0" w14:paraId="74763F8A" w14:textId="77777777" w:rsidTr="00C13835">
        <w:tc>
          <w:tcPr>
            <w:tcW w:w="1843" w:type="dxa"/>
          </w:tcPr>
          <w:p w14:paraId="66812482" w14:textId="5A8AFADE" w:rsidR="00990AA0" w:rsidRDefault="00990AA0" w:rsidP="003F31F4">
            <w:r>
              <w:t>MM</w:t>
            </w:r>
          </w:p>
        </w:tc>
        <w:tc>
          <w:tcPr>
            <w:tcW w:w="5103" w:type="dxa"/>
          </w:tcPr>
          <w:p w14:paraId="03627D86" w14:textId="6277226D" w:rsidR="00990AA0" w:rsidRDefault="00990AA0" w:rsidP="003F31F4">
            <w:r>
              <w:t>Modified Monash (Model)</w:t>
            </w:r>
          </w:p>
        </w:tc>
      </w:tr>
      <w:tr w:rsidR="00F601AE" w14:paraId="6194A50C" w14:textId="77777777" w:rsidTr="00C13835">
        <w:tc>
          <w:tcPr>
            <w:tcW w:w="1843" w:type="dxa"/>
          </w:tcPr>
          <w:p w14:paraId="180B1AF9" w14:textId="37929E07" w:rsidR="00F601AE" w:rsidRDefault="00F601AE" w:rsidP="003F31F4">
            <w:r>
              <w:t>NPCP</w:t>
            </w:r>
          </w:p>
        </w:tc>
        <w:tc>
          <w:tcPr>
            <w:tcW w:w="5103" w:type="dxa"/>
          </w:tcPr>
          <w:p w14:paraId="7D167508" w14:textId="0EAFF5AD" w:rsidR="00F601AE" w:rsidRDefault="00F601AE" w:rsidP="003F31F4">
            <w:r>
              <w:t>National Palliative Care Project</w:t>
            </w:r>
          </w:p>
        </w:tc>
      </w:tr>
      <w:tr w:rsidR="00F601AE" w14:paraId="64969DF2" w14:textId="77777777" w:rsidTr="00C13835">
        <w:tc>
          <w:tcPr>
            <w:tcW w:w="1843" w:type="dxa"/>
          </w:tcPr>
          <w:p w14:paraId="449E36A0" w14:textId="039B553C" w:rsidR="00F601AE" w:rsidRDefault="00F601AE" w:rsidP="003F31F4">
            <w:r>
              <w:t>National Palliative Care Standards</w:t>
            </w:r>
          </w:p>
        </w:tc>
        <w:tc>
          <w:tcPr>
            <w:tcW w:w="5103" w:type="dxa"/>
          </w:tcPr>
          <w:p w14:paraId="04A26202" w14:textId="6C428E13" w:rsidR="00F601AE" w:rsidRDefault="00F601AE" w:rsidP="003F31F4">
            <w:r>
              <w:t xml:space="preserve">National Palliative Care Standards for </w:t>
            </w:r>
            <w:r w:rsidR="00F25F4F">
              <w:t xml:space="preserve">All </w:t>
            </w:r>
            <w:r>
              <w:t>Health</w:t>
            </w:r>
            <w:r w:rsidR="00F25F4F">
              <w:t xml:space="preserve"> Professionals and Aged Care Services</w:t>
            </w:r>
          </w:p>
        </w:tc>
      </w:tr>
      <w:tr w:rsidR="00F601AE" w14:paraId="28F8D69F" w14:textId="77777777" w:rsidTr="00C13835">
        <w:tc>
          <w:tcPr>
            <w:tcW w:w="1843" w:type="dxa"/>
          </w:tcPr>
          <w:p w14:paraId="1C26216E" w14:textId="0DA99EDC" w:rsidR="00F601AE" w:rsidRDefault="00F601AE" w:rsidP="003F31F4">
            <w:r>
              <w:t>National Strategy</w:t>
            </w:r>
          </w:p>
        </w:tc>
        <w:tc>
          <w:tcPr>
            <w:tcW w:w="5103" w:type="dxa"/>
          </w:tcPr>
          <w:p w14:paraId="7DDD2C49" w14:textId="23C38652" w:rsidR="00F601AE" w:rsidRDefault="00F601AE" w:rsidP="003F31F4">
            <w:r>
              <w:t>National Palliative Care Strategy</w:t>
            </w:r>
          </w:p>
        </w:tc>
      </w:tr>
      <w:tr w:rsidR="003F31F4" w14:paraId="17405848" w14:textId="77777777" w:rsidTr="00C13835">
        <w:tc>
          <w:tcPr>
            <w:tcW w:w="1843" w:type="dxa"/>
          </w:tcPr>
          <w:p w14:paraId="2C406469" w14:textId="64510AC7" w:rsidR="003F31F4" w:rsidRDefault="003F31F4" w:rsidP="003F31F4">
            <w:r>
              <w:t>PACOP</w:t>
            </w:r>
          </w:p>
        </w:tc>
        <w:tc>
          <w:tcPr>
            <w:tcW w:w="5103" w:type="dxa"/>
          </w:tcPr>
          <w:p w14:paraId="3D58EB1C" w14:textId="14176237" w:rsidR="003F31F4" w:rsidRDefault="003F31F4" w:rsidP="003F31F4">
            <w:r>
              <w:t>Palliative Aged Care Outcomes Program</w:t>
            </w:r>
          </w:p>
        </w:tc>
      </w:tr>
      <w:tr w:rsidR="003F31F4" w14:paraId="3CFC57F8" w14:textId="77777777" w:rsidTr="00C13835">
        <w:tc>
          <w:tcPr>
            <w:tcW w:w="1843" w:type="dxa"/>
          </w:tcPr>
          <w:p w14:paraId="1A878419" w14:textId="601F9D5D" w:rsidR="003F31F4" w:rsidRDefault="003F31F4" w:rsidP="003F31F4">
            <w:r>
              <w:t>PCOC</w:t>
            </w:r>
          </w:p>
        </w:tc>
        <w:tc>
          <w:tcPr>
            <w:tcW w:w="5103" w:type="dxa"/>
          </w:tcPr>
          <w:p w14:paraId="5BE36090" w14:textId="37E4DA45" w:rsidR="003F31F4" w:rsidRDefault="003F31F4" w:rsidP="003F31F4">
            <w:r>
              <w:t>Palliative Care Outcomes Collaboration</w:t>
            </w:r>
          </w:p>
        </w:tc>
      </w:tr>
      <w:tr w:rsidR="003F31F4" w14:paraId="125B44ED" w14:textId="77777777" w:rsidTr="00C13835">
        <w:tc>
          <w:tcPr>
            <w:tcW w:w="1843" w:type="dxa"/>
          </w:tcPr>
          <w:p w14:paraId="37C78EE6" w14:textId="6196489B" w:rsidR="003F31F4" w:rsidRDefault="003F31F4" w:rsidP="003F31F4">
            <w:r>
              <w:t>PEPA</w:t>
            </w:r>
          </w:p>
        </w:tc>
        <w:tc>
          <w:tcPr>
            <w:tcW w:w="5103" w:type="dxa"/>
          </w:tcPr>
          <w:p w14:paraId="7DC1E42B" w14:textId="5D6C3D58" w:rsidR="003F31F4" w:rsidRDefault="003F31F4" w:rsidP="003F31F4">
            <w:r>
              <w:t>Program of Experience in the Palliative Approach</w:t>
            </w:r>
          </w:p>
        </w:tc>
      </w:tr>
      <w:tr w:rsidR="003F31F4" w14:paraId="381E182E" w14:textId="77777777" w:rsidTr="00C13835">
        <w:tc>
          <w:tcPr>
            <w:tcW w:w="1843" w:type="dxa"/>
          </w:tcPr>
          <w:p w14:paraId="527002F3" w14:textId="1C7A4D69" w:rsidR="003F31F4" w:rsidRDefault="003F31F4" w:rsidP="003F31F4">
            <w:r>
              <w:t>PHN</w:t>
            </w:r>
          </w:p>
        </w:tc>
        <w:tc>
          <w:tcPr>
            <w:tcW w:w="5103" w:type="dxa"/>
          </w:tcPr>
          <w:p w14:paraId="2E2E0FBA" w14:textId="1AF872F7" w:rsidR="003F31F4" w:rsidRDefault="003F31F4" w:rsidP="003F31F4">
            <w:r>
              <w:t>Primary Health Network</w:t>
            </w:r>
          </w:p>
        </w:tc>
      </w:tr>
      <w:tr w:rsidR="003F31F4" w14:paraId="0D848AFB" w14:textId="77777777" w:rsidTr="00C13835">
        <w:tc>
          <w:tcPr>
            <w:tcW w:w="1843" w:type="dxa"/>
          </w:tcPr>
          <w:p w14:paraId="75926CBB" w14:textId="485F1B96" w:rsidR="003F31F4" w:rsidRDefault="003F31F4" w:rsidP="003F31F4">
            <w:r>
              <w:t>QUT</w:t>
            </w:r>
          </w:p>
        </w:tc>
        <w:tc>
          <w:tcPr>
            <w:tcW w:w="5103" w:type="dxa"/>
          </w:tcPr>
          <w:p w14:paraId="0D6241D7" w14:textId="03B229A1" w:rsidR="003F31F4" w:rsidRDefault="003F31F4" w:rsidP="003F31F4">
            <w:r>
              <w:t>Queensland University of Technology</w:t>
            </w:r>
          </w:p>
        </w:tc>
      </w:tr>
      <w:tr w:rsidR="003F31F4" w14:paraId="1CD15500" w14:textId="77777777" w:rsidTr="00C13835">
        <w:tc>
          <w:tcPr>
            <w:tcW w:w="1843" w:type="dxa"/>
          </w:tcPr>
          <w:p w14:paraId="30D489AA" w14:textId="64F3BAAF" w:rsidR="003F31F4" w:rsidRDefault="003F31F4" w:rsidP="003F31F4">
            <w:r>
              <w:t>Royal Commission</w:t>
            </w:r>
          </w:p>
        </w:tc>
        <w:tc>
          <w:tcPr>
            <w:tcW w:w="5103" w:type="dxa"/>
          </w:tcPr>
          <w:p w14:paraId="64B2075D" w14:textId="754DCA6D" w:rsidR="003F31F4" w:rsidRDefault="003F31F4" w:rsidP="003F31F4">
            <w:r>
              <w:t>Royal Commission into Aged Care Quality and Safety</w:t>
            </w:r>
          </w:p>
        </w:tc>
      </w:tr>
    </w:tbl>
    <w:p w14:paraId="0487EED0" w14:textId="77777777" w:rsidR="007C373F" w:rsidRDefault="007C373F">
      <w:pPr>
        <w:spacing w:before="0" w:after="160" w:line="259" w:lineRule="auto"/>
        <w:rPr>
          <w:lang w:val="en-US"/>
        </w:rPr>
      </w:pPr>
    </w:p>
    <w:p w14:paraId="6DE160F3" w14:textId="1005D4AC" w:rsidR="00D4100E" w:rsidRDefault="00E96285" w:rsidP="00E96285">
      <w:pPr>
        <w:pStyle w:val="Heading1-nonumber"/>
        <w:framePr w:wrap="around"/>
        <w:rPr>
          <w:lang w:val="en-US"/>
        </w:rPr>
      </w:pPr>
      <w:bookmarkStart w:id="2" w:name="_Toc232685849"/>
      <w:r>
        <w:rPr>
          <w:lang w:val="en-US"/>
        </w:rPr>
        <w:lastRenderedPageBreak/>
        <w:t xml:space="preserve">Executive </w:t>
      </w:r>
      <w:r w:rsidR="00B34347">
        <w:rPr>
          <w:lang w:val="en-US"/>
        </w:rPr>
        <w:t>s</w:t>
      </w:r>
      <w:r>
        <w:rPr>
          <w:lang w:val="en-US"/>
        </w:rPr>
        <w:t>ummary</w:t>
      </w:r>
      <w:bookmarkEnd w:id="2"/>
    </w:p>
    <w:p w14:paraId="1039C16B" w14:textId="397CF5C5" w:rsidR="000A198E" w:rsidRDefault="000A198E" w:rsidP="000A198E">
      <w:r>
        <w:t>The Department of Health, Disability and Ageing (the Department) engaged Healthcare Management Advisors (HMA) to:</w:t>
      </w:r>
    </w:p>
    <w:p w14:paraId="12BDD800" w14:textId="77777777" w:rsidR="000A198E" w:rsidRDefault="000A198E" w:rsidP="000A198E">
      <w:pPr>
        <w:pStyle w:val="Quote"/>
      </w:pPr>
      <w:r>
        <w:t xml:space="preserve">conduct an independent evaluation of the </w:t>
      </w:r>
      <w:r w:rsidRPr="005B7501">
        <w:t>Extension of Improving Palliative Care Training and Outcomes in Aged Care</w:t>
      </w:r>
      <w:r>
        <w:t xml:space="preserve"> Budget Measure (the Measure).</w:t>
      </w:r>
    </w:p>
    <w:p w14:paraId="699C1CDB" w14:textId="655F55F6" w:rsidR="00581C96" w:rsidRDefault="00B94C54" w:rsidP="00B94C54">
      <w:r>
        <w:t xml:space="preserve">This document is the </w:t>
      </w:r>
      <w:r w:rsidR="0000684B">
        <w:t>final report</w:t>
      </w:r>
      <w:r w:rsidR="00B67E42">
        <w:t xml:space="preserve"> for the evaluation. It sets out the evaluation approach, findings, and </w:t>
      </w:r>
      <w:r w:rsidR="004D1FAB">
        <w:t xml:space="preserve">opportunities </w:t>
      </w:r>
      <w:r w:rsidR="00D46044">
        <w:t>for consideration in future</w:t>
      </w:r>
      <w:r w:rsidR="00682C49">
        <w:t>, based on evaluation evidence</w:t>
      </w:r>
      <w:r w:rsidR="00B67E42">
        <w:t>.</w:t>
      </w:r>
    </w:p>
    <w:p w14:paraId="7A513DBD" w14:textId="600F9C17" w:rsidR="00E96285" w:rsidRDefault="00134BB1" w:rsidP="00357C7A">
      <w:pPr>
        <w:pStyle w:val="Heading2-nonumber"/>
      </w:pPr>
      <w:r>
        <w:t>The Measure</w:t>
      </w:r>
    </w:p>
    <w:p w14:paraId="64ACBFC0" w14:textId="39747C18" w:rsidR="003C2615" w:rsidRDefault="00134BB1" w:rsidP="003C2615">
      <w:r>
        <w:t xml:space="preserve">The Australian Government is committed </w:t>
      </w:r>
      <w:r w:rsidR="00043C9F">
        <w:t>to enhancing palliative care for older Australians, as recommended by the Royal Commission into Aged Care Quality and Safety</w:t>
      </w:r>
      <w:r w:rsidR="007F668D">
        <w:t xml:space="preserve"> (Royal Commission)</w:t>
      </w:r>
      <w:r w:rsidR="00043C9F">
        <w:t>.</w:t>
      </w:r>
      <w:r w:rsidR="007F668D">
        <w:t xml:space="preserve"> In </w:t>
      </w:r>
      <w:r w:rsidR="003C2615">
        <w:t xml:space="preserve">response to recommendations from the Royal Commission, the Australian Government allocated </w:t>
      </w:r>
      <w:r w:rsidR="00610E5B">
        <w:t xml:space="preserve">$18.98 million </w:t>
      </w:r>
      <w:r w:rsidR="00C5409B">
        <w:t xml:space="preserve">in the </w:t>
      </w:r>
      <w:r w:rsidR="00C5409B" w:rsidRPr="002A45E7">
        <w:rPr>
          <w:lang w:val="en-US"/>
        </w:rPr>
        <w:t>2021–22 Budget</w:t>
      </w:r>
      <w:r w:rsidR="00C5409B">
        <w:rPr>
          <w:lang w:val="en-US"/>
        </w:rPr>
        <w:t xml:space="preserve"> </w:t>
      </w:r>
      <w:r w:rsidR="00C5409B" w:rsidRPr="00A97E0C">
        <w:rPr>
          <w:lang w:val="en-US"/>
        </w:rPr>
        <w:t>(2021–22 to 2023–24</w:t>
      </w:r>
      <w:r w:rsidR="00C5409B" w:rsidRPr="002A45E7">
        <w:rPr>
          <w:lang w:val="en-US"/>
        </w:rPr>
        <w:t>)</w:t>
      </w:r>
      <w:r w:rsidR="00267306">
        <w:rPr>
          <w:lang w:val="en-US"/>
        </w:rPr>
        <w:t xml:space="preserve"> </w:t>
      </w:r>
      <w:r w:rsidR="00C5409B">
        <w:rPr>
          <w:lang w:val="en-US"/>
        </w:rPr>
        <w:t xml:space="preserve">to establish </w:t>
      </w:r>
      <w:r w:rsidR="00C5409B" w:rsidRPr="00EB795B">
        <w:rPr>
          <w:lang w:val="en-US"/>
        </w:rPr>
        <w:t xml:space="preserve">the Improving Palliative Care Training and Outcomes in Aged Care </w:t>
      </w:r>
      <w:r w:rsidR="003A0801">
        <w:rPr>
          <w:lang w:val="en-US"/>
        </w:rPr>
        <w:t>m</w:t>
      </w:r>
      <w:r w:rsidR="00C5409B" w:rsidRPr="00EB795B">
        <w:rPr>
          <w:lang w:val="en-US"/>
        </w:rPr>
        <w:t>easure</w:t>
      </w:r>
      <w:r w:rsidR="003C2615">
        <w:rPr>
          <w:lang w:val="en-US"/>
        </w:rPr>
        <w:t xml:space="preserve">. </w:t>
      </w:r>
      <w:r w:rsidR="00DF570B">
        <w:t>This measure funded three activities</w:t>
      </w:r>
      <w:r w:rsidR="003C2615">
        <w:t>:</w:t>
      </w:r>
    </w:p>
    <w:p w14:paraId="52450789" w14:textId="77777777" w:rsidR="003C2615" w:rsidRDefault="003C2615" w:rsidP="003C2615">
      <w:pPr>
        <w:pStyle w:val="ListBullet"/>
        <w:numPr>
          <w:ilvl w:val="0"/>
          <w:numId w:val="28"/>
        </w:numPr>
      </w:pPr>
      <w:r>
        <w:t>Program of Experience in the Palliative Approach (PEPA) Aged Care</w:t>
      </w:r>
    </w:p>
    <w:p w14:paraId="3D3EE3FE" w14:textId="77777777" w:rsidR="003C2615" w:rsidRDefault="003C2615" w:rsidP="003C2615">
      <w:pPr>
        <w:pStyle w:val="ListBullet"/>
        <w:numPr>
          <w:ilvl w:val="0"/>
          <w:numId w:val="28"/>
        </w:numPr>
      </w:pPr>
      <w:r>
        <w:t>Palliative Aged Care Outcomes Program (PACOP)</w:t>
      </w:r>
    </w:p>
    <w:p w14:paraId="30BD5D38" w14:textId="77777777" w:rsidR="003C2615" w:rsidRDefault="003C2615" w:rsidP="003C2615">
      <w:pPr>
        <w:pStyle w:val="ListBullet"/>
        <w:numPr>
          <w:ilvl w:val="0"/>
          <w:numId w:val="28"/>
        </w:numPr>
      </w:pPr>
      <w:r>
        <w:t>End-of-Life Directions for Aged Care (ELDAC) Linkage activities.</w:t>
      </w:r>
    </w:p>
    <w:p w14:paraId="634ECED4" w14:textId="7C7C9DC9" w:rsidR="00253BF4" w:rsidRDefault="003C2615" w:rsidP="00253BF4">
      <w:r>
        <w:t xml:space="preserve">A further $10.8 million (2024–25 to 2025–26) was allocated in the 2024–25 Budget to continue PEPA Aged Care and PACOP under the </w:t>
      </w:r>
      <w:r w:rsidRPr="004F7D8B">
        <w:t>Measure</w:t>
      </w:r>
      <w:r>
        <w:t>.</w:t>
      </w:r>
      <w:r w:rsidR="00253BF4">
        <w:t xml:space="preserve"> ELDAC Linkage activities were integrated into the </w:t>
      </w:r>
      <w:r w:rsidR="00505E9C">
        <w:t>existing</w:t>
      </w:r>
      <w:r w:rsidR="00253BF4">
        <w:t xml:space="preserve"> ELDAC program and were out of scope for this evaluation.</w:t>
      </w:r>
    </w:p>
    <w:p w14:paraId="7353E126" w14:textId="77777777" w:rsidR="00253BF4" w:rsidRDefault="00253BF4" w:rsidP="00253BF4">
      <w:r>
        <w:t>The overarching objectives of the Measure were to:</w:t>
      </w:r>
    </w:p>
    <w:p w14:paraId="73F16CAE" w14:textId="77777777" w:rsidR="00253BF4" w:rsidRDefault="00253BF4" w:rsidP="00253BF4">
      <w:pPr>
        <w:pStyle w:val="ListBullet"/>
      </w:pPr>
      <w:r w:rsidRPr="009F5DF8">
        <w:t>enhance training for the aged care workforce to improve the quality of and timely access to palliative care for older Australians</w:t>
      </w:r>
    </w:p>
    <w:p w14:paraId="0FE35569" w14:textId="77777777" w:rsidR="00253BF4" w:rsidRDefault="00253BF4" w:rsidP="00253BF4">
      <w:pPr>
        <w:pStyle w:val="ListBullet"/>
      </w:pPr>
      <w:r w:rsidRPr="009F5DF8">
        <w:t xml:space="preserve">support </w:t>
      </w:r>
      <w:r>
        <w:t xml:space="preserve">the </w:t>
      </w:r>
      <w:r w:rsidRPr="009F5DF8">
        <w:t>development of organisational capabilities to deliver quality palliative care</w:t>
      </w:r>
    </w:p>
    <w:p w14:paraId="1F505CE9" w14:textId="77777777" w:rsidR="00253BF4" w:rsidRDefault="00253BF4" w:rsidP="00253BF4">
      <w:pPr>
        <w:pStyle w:val="ListBullet"/>
      </w:pPr>
      <w:r w:rsidRPr="009F5DF8">
        <w:t xml:space="preserve">support the aged care workforce to deliver quality palliative and </w:t>
      </w:r>
      <w:r>
        <w:t>end-of-life</w:t>
      </w:r>
      <w:r w:rsidRPr="009F5DF8">
        <w:t xml:space="preserve"> care</w:t>
      </w:r>
    </w:p>
    <w:p w14:paraId="69092039" w14:textId="77777777" w:rsidR="00253BF4" w:rsidRDefault="00253BF4" w:rsidP="00253BF4">
      <w:pPr>
        <w:pStyle w:val="ListBullet"/>
      </w:pPr>
      <w:r w:rsidRPr="009F5DF8">
        <w:t>embed quality palliative care across aged care settings</w:t>
      </w:r>
    </w:p>
    <w:p w14:paraId="1E2612C9" w14:textId="77777777" w:rsidR="00253BF4" w:rsidRDefault="00253BF4" w:rsidP="00253BF4">
      <w:pPr>
        <w:pStyle w:val="ListBullet"/>
      </w:pPr>
      <w:r w:rsidRPr="009F5DF8">
        <w:t>establish, maintain and strengthen linkages across the primary care, aged care</w:t>
      </w:r>
      <w:r>
        <w:t>,</w:t>
      </w:r>
      <w:r w:rsidRPr="009F5DF8">
        <w:t xml:space="preserve"> and palliative care sectors</w:t>
      </w:r>
      <w:r>
        <w:t>.</w:t>
      </w:r>
    </w:p>
    <w:p w14:paraId="35AB67F6" w14:textId="77777777" w:rsidR="00253BF4" w:rsidRDefault="00253BF4" w:rsidP="00253BF4">
      <w:pPr>
        <w:keepNext/>
      </w:pPr>
      <w:r>
        <w:t>The intended outcomes of the Measure were:</w:t>
      </w:r>
    </w:p>
    <w:p w14:paraId="0BC01206" w14:textId="77777777" w:rsidR="00253BF4" w:rsidRDefault="00253BF4" w:rsidP="00253BF4">
      <w:pPr>
        <w:pStyle w:val="ListBullet"/>
      </w:pPr>
      <w:r w:rsidRPr="00F0532C">
        <w:t>improve</w:t>
      </w:r>
      <w:r>
        <w:t>d</w:t>
      </w:r>
      <w:r w:rsidRPr="00F0532C">
        <w:t xml:space="preserve"> outcomes for patients and their families at the end of life</w:t>
      </w:r>
    </w:p>
    <w:p w14:paraId="628038DC" w14:textId="77777777" w:rsidR="00253BF4" w:rsidRDefault="00253BF4" w:rsidP="00253BF4">
      <w:pPr>
        <w:pStyle w:val="ListBullet"/>
      </w:pPr>
      <w:r>
        <w:t>high-quality</w:t>
      </w:r>
      <w:r w:rsidRPr="00F0532C">
        <w:t>, safe</w:t>
      </w:r>
      <w:r>
        <w:t>,</w:t>
      </w:r>
      <w:r w:rsidRPr="00F0532C">
        <w:t xml:space="preserve"> and culturally appropriate palliative care that meets individual care needs</w:t>
      </w:r>
    </w:p>
    <w:p w14:paraId="6C12311A" w14:textId="77777777" w:rsidR="00253BF4" w:rsidRDefault="00253BF4" w:rsidP="00253BF4">
      <w:pPr>
        <w:pStyle w:val="ListBullet"/>
      </w:pPr>
      <w:r w:rsidRPr="00F0532C">
        <w:t>increase</w:t>
      </w:r>
      <w:r>
        <w:t>d</w:t>
      </w:r>
      <w:r w:rsidRPr="00F0532C">
        <w:t xml:space="preserve"> </w:t>
      </w:r>
      <w:r>
        <w:t>general practitioner (</w:t>
      </w:r>
      <w:r w:rsidRPr="00F0532C">
        <w:t>GP</w:t>
      </w:r>
      <w:r>
        <w:t>)</w:t>
      </w:r>
      <w:r w:rsidRPr="00F0532C">
        <w:t>, aged care provider</w:t>
      </w:r>
      <w:r>
        <w:t>,</w:t>
      </w:r>
      <w:r w:rsidRPr="00F0532C">
        <w:t xml:space="preserve"> and other healthcare </w:t>
      </w:r>
      <w:r>
        <w:t>staff</w:t>
      </w:r>
      <w:r w:rsidRPr="00F0532C">
        <w:t xml:space="preserve"> confidence and knowledge of palliative care and advance care planning</w:t>
      </w:r>
    </w:p>
    <w:p w14:paraId="10F2A2D7" w14:textId="77777777" w:rsidR="00253BF4" w:rsidRDefault="00253BF4" w:rsidP="00253BF4">
      <w:pPr>
        <w:pStyle w:val="ListBullet"/>
      </w:pPr>
      <w:r w:rsidRPr="00F0532C">
        <w:t>establishment of links between primary care, aged care, and palliative care services</w:t>
      </w:r>
    </w:p>
    <w:p w14:paraId="6BADEDEE" w14:textId="3C921C40" w:rsidR="003C2615" w:rsidRDefault="00253BF4" w:rsidP="00217F41">
      <w:pPr>
        <w:pStyle w:val="ListBullet"/>
      </w:pPr>
      <w:r w:rsidRPr="00F0532C">
        <w:t>aged care providers, GPs</w:t>
      </w:r>
      <w:r>
        <w:t>,</w:t>
      </w:r>
      <w:r w:rsidRPr="00F0532C">
        <w:t xml:space="preserve"> or other healthcare workers are informed about palliative care, advance care planning and advance care directive resources, processes, legislation and accountabilities in the state or territory </w:t>
      </w:r>
      <w:r>
        <w:t>where</w:t>
      </w:r>
      <w:r w:rsidRPr="00F0532C">
        <w:t xml:space="preserve"> the aged care service is located</w:t>
      </w:r>
      <w:r>
        <w:t>.</w:t>
      </w:r>
    </w:p>
    <w:p w14:paraId="42E98CF5" w14:textId="2ADE808D" w:rsidR="00134BB1" w:rsidRPr="00134BB1" w:rsidRDefault="00217F41" w:rsidP="00134BB1">
      <w:r>
        <w:t xml:space="preserve">An overview of </w:t>
      </w:r>
      <w:r w:rsidR="0065453A">
        <w:t xml:space="preserve">the two key activities </w:t>
      </w:r>
      <w:r w:rsidR="001515FE">
        <w:t>within the scope of</w:t>
      </w:r>
      <w:r w:rsidR="0065453A">
        <w:t xml:space="preserve"> this evaluation, PEPA Aged Care and PACOP</w:t>
      </w:r>
      <w:r w:rsidR="00D002D7">
        <w:t>,</w:t>
      </w:r>
      <w:r w:rsidR="0065453A">
        <w:t xml:space="preserve"> is provided below.</w:t>
      </w:r>
    </w:p>
    <w:p w14:paraId="44450553" w14:textId="60EED5AE" w:rsidR="00357C7A" w:rsidRDefault="0065453A" w:rsidP="0065453A">
      <w:pPr>
        <w:pStyle w:val="Heading4"/>
      </w:pPr>
      <w:r>
        <w:lastRenderedPageBreak/>
        <w:t>PEPA Aged Care</w:t>
      </w:r>
    </w:p>
    <w:p w14:paraId="49F7B34E" w14:textId="090987E4" w:rsidR="00BB11BC" w:rsidRDefault="00A91DEF" w:rsidP="00E96285">
      <w:r>
        <w:t xml:space="preserve">PEPA Aged Care was </w:t>
      </w:r>
      <w:r w:rsidR="000B7D25">
        <w:t xml:space="preserve">developed and </w:t>
      </w:r>
      <w:r>
        <w:t xml:space="preserve">delivered by </w:t>
      </w:r>
      <w:r w:rsidRPr="005263D6">
        <w:t>Queensland University of Technology</w:t>
      </w:r>
      <w:r>
        <w:t xml:space="preserve"> (QUT)</w:t>
      </w:r>
      <w:r w:rsidR="009E50E5">
        <w:t>. The program extended</w:t>
      </w:r>
      <w:r w:rsidR="006B239D">
        <w:t xml:space="preserve"> the </w:t>
      </w:r>
      <w:r w:rsidR="006B1FCB">
        <w:t>existing</w:t>
      </w:r>
      <w:r w:rsidR="006B239D">
        <w:t xml:space="preserve"> PEPA program</w:t>
      </w:r>
      <w:r w:rsidR="009E50E5">
        <w:t xml:space="preserve"> into aged care settings to build workforce </w:t>
      </w:r>
      <w:r w:rsidR="00131263">
        <w:t xml:space="preserve">and organisational </w:t>
      </w:r>
      <w:r w:rsidR="009E50E5">
        <w:t>capability in palliative care</w:t>
      </w:r>
      <w:r>
        <w:t xml:space="preserve">. </w:t>
      </w:r>
      <w:r w:rsidR="009E50E5">
        <w:t>PEPA Aged Care</w:t>
      </w:r>
      <w:r w:rsidR="00017446">
        <w:t xml:space="preserve"> centred on the </w:t>
      </w:r>
      <w:r w:rsidR="00733D91">
        <w:t xml:space="preserve">national </w:t>
      </w:r>
      <w:r w:rsidR="00017446">
        <w:t xml:space="preserve">delivery of </w:t>
      </w:r>
      <w:r w:rsidR="003863F5">
        <w:t>‘</w:t>
      </w:r>
      <w:r w:rsidR="00017446">
        <w:t>reverse PEPA Aged Care placements</w:t>
      </w:r>
      <w:r w:rsidR="003863F5">
        <w:t>’</w:t>
      </w:r>
      <w:r w:rsidR="00017446">
        <w:t xml:space="preserve">, where experienced nurse educators provided tailored on-site palliative care education and training directly to staff within participating </w:t>
      </w:r>
      <w:r w:rsidR="00C316CA">
        <w:t>organisations</w:t>
      </w:r>
      <w:r w:rsidR="00017446">
        <w:t xml:space="preserve"> (referred to as </w:t>
      </w:r>
      <w:r w:rsidR="003863F5">
        <w:t>‘</w:t>
      </w:r>
      <w:r w:rsidR="00017446">
        <w:t>placement sites</w:t>
      </w:r>
      <w:r w:rsidR="003863F5">
        <w:t>’</w:t>
      </w:r>
      <w:r w:rsidR="00017446">
        <w:t xml:space="preserve">). This core activity was </w:t>
      </w:r>
      <w:r w:rsidR="00E46061">
        <w:t>supported</w:t>
      </w:r>
      <w:r w:rsidR="005B22D9">
        <w:t xml:space="preserve"> by </w:t>
      </w:r>
      <w:r w:rsidR="00017446">
        <w:t xml:space="preserve">education resources, knowledge translation </w:t>
      </w:r>
      <w:r w:rsidR="007F6719">
        <w:t>activities</w:t>
      </w:r>
      <w:r w:rsidR="00017446">
        <w:t xml:space="preserve">, and service improvement </w:t>
      </w:r>
      <w:r w:rsidR="007F6719">
        <w:t>initiatives</w:t>
      </w:r>
      <w:r w:rsidR="00E46061">
        <w:t xml:space="preserve">, </w:t>
      </w:r>
      <w:r w:rsidR="001515FE">
        <w:t>aimed at strengthening</w:t>
      </w:r>
      <w:r w:rsidR="00E46061">
        <w:t xml:space="preserve"> skills, confidence, and practice in delivering high-quality palliative care</w:t>
      </w:r>
      <w:r w:rsidR="00017446">
        <w:t>.</w:t>
      </w:r>
    </w:p>
    <w:p w14:paraId="0071E1AE" w14:textId="58CF331A" w:rsidR="0065453A" w:rsidRDefault="0065453A" w:rsidP="0065453A">
      <w:pPr>
        <w:pStyle w:val="Heading4"/>
      </w:pPr>
      <w:r>
        <w:t>PACOP</w:t>
      </w:r>
    </w:p>
    <w:p w14:paraId="7FE1830A" w14:textId="197F7B9D" w:rsidR="00697789" w:rsidRDefault="00697789" w:rsidP="00746C45">
      <w:r>
        <w:t>PACOP</w:t>
      </w:r>
      <w:r w:rsidR="00B14778">
        <w:t xml:space="preserve"> was</w:t>
      </w:r>
      <w:r>
        <w:t xml:space="preserve"> </w:t>
      </w:r>
      <w:r w:rsidR="000B7D25">
        <w:t xml:space="preserve">developed and </w:t>
      </w:r>
      <w:r>
        <w:t xml:space="preserve">delivered by the </w:t>
      </w:r>
      <w:r w:rsidRPr="005263D6">
        <w:t>University of Wollongong</w:t>
      </w:r>
      <w:r w:rsidR="00A419EE">
        <w:t xml:space="preserve"> </w:t>
      </w:r>
      <w:r w:rsidR="0052238D">
        <w:t xml:space="preserve">as an extension of the </w:t>
      </w:r>
      <w:r w:rsidR="003E6D8F">
        <w:t>established</w:t>
      </w:r>
      <w:r w:rsidR="0052238D">
        <w:t xml:space="preserve"> Palliative Care Outcomes Collaboration (PCOC) </w:t>
      </w:r>
      <w:r w:rsidR="003807DB">
        <w:t>p</w:t>
      </w:r>
      <w:r w:rsidR="0052238D">
        <w:t>rogram</w:t>
      </w:r>
      <w:r w:rsidR="00A62AEE">
        <w:t xml:space="preserve">. </w:t>
      </w:r>
      <w:bookmarkStart w:id="3" w:name="_Hlk220570745"/>
      <w:r w:rsidR="00A419EE">
        <w:t xml:space="preserve">The program </w:t>
      </w:r>
      <w:r w:rsidR="00B43C44">
        <w:t xml:space="preserve">introduced a system-level framework to </w:t>
      </w:r>
      <w:r w:rsidR="000362A5">
        <w:t xml:space="preserve">support residential aged care homes </w:t>
      </w:r>
      <w:r w:rsidR="008B30B8">
        <w:t>in embedding</w:t>
      </w:r>
      <w:r w:rsidR="00733D91">
        <w:t xml:space="preserve"> structured, evidence-based palliative care </w:t>
      </w:r>
      <w:r w:rsidR="00ED0C8C">
        <w:t xml:space="preserve">assessment </w:t>
      </w:r>
      <w:r w:rsidR="000F4CC7">
        <w:t>and</w:t>
      </w:r>
      <w:r w:rsidR="00C0042A">
        <w:t xml:space="preserve"> outcome meas</w:t>
      </w:r>
      <w:r w:rsidR="00ED0C8C">
        <w:t>urement</w:t>
      </w:r>
      <w:r w:rsidR="00FD52DF">
        <w:t xml:space="preserve"> processes</w:t>
      </w:r>
      <w:r w:rsidR="00733D91">
        <w:t xml:space="preserve">. </w:t>
      </w:r>
      <w:bookmarkEnd w:id="3"/>
      <w:r w:rsidR="00733D91">
        <w:t xml:space="preserve">The PACOP </w:t>
      </w:r>
      <w:r w:rsidR="00DA0826">
        <w:t xml:space="preserve">model combined routine screening </w:t>
      </w:r>
      <w:r w:rsidR="0074676B">
        <w:t xml:space="preserve">assessments </w:t>
      </w:r>
      <w:r w:rsidR="00DA0826">
        <w:t>for all residents</w:t>
      </w:r>
      <w:r w:rsidR="001033C5">
        <w:t xml:space="preserve"> (</w:t>
      </w:r>
      <w:r w:rsidR="0074676B">
        <w:t xml:space="preserve">known as the </w:t>
      </w:r>
      <w:r w:rsidR="001033C5">
        <w:t>Profile Collection)</w:t>
      </w:r>
      <w:r w:rsidR="003B5092">
        <w:t>,</w:t>
      </w:r>
      <w:r w:rsidR="00BF3A68">
        <w:t xml:space="preserve"> systematic monitoring and response protocols for those with identified palliative care needs</w:t>
      </w:r>
      <w:r w:rsidR="001033C5">
        <w:t xml:space="preserve"> (</w:t>
      </w:r>
      <w:r w:rsidR="0074676B">
        <w:t xml:space="preserve">known as the </w:t>
      </w:r>
      <w:r w:rsidR="001033C5">
        <w:t>Outcomes Collection)</w:t>
      </w:r>
      <w:r w:rsidR="003B5092">
        <w:t xml:space="preserve">, and national benchmarking to </w:t>
      </w:r>
      <w:r w:rsidR="00915006">
        <w:t xml:space="preserve">track outcomes and inform quality improvement. </w:t>
      </w:r>
      <w:r w:rsidR="00A8416C">
        <w:t xml:space="preserve">The program was underpinned by a comprehensive </w:t>
      </w:r>
      <w:r w:rsidR="00B71D9B">
        <w:t>educational program</w:t>
      </w:r>
      <w:r w:rsidR="00A749AF">
        <w:t xml:space="preserve"> and</w:t>
      </w:r>
      <w:r w:rsidR="004271ED">
        <w:t xml:space="preserve"> </w:t>
      </w:r>
      <w:r w:rsidR="003E28A0">
        <w:t>c</w:t>
      </w:r>
      <w:r w:rsidR="004271ED">
        <w:t xml:space="preserve">ommunities of </w:t>
      </w:r>
      <w:r w:rsidR="003E28A0">
        <w:t>p</w:t>
      </w:r>
      <w:r w:rsidR="004271ED">
        <w:t>ractice</w:t>
      </w:r>
      <w:r w:rsidR="00853351">
        <w:t xml:space="preserve">. By </w:t>
      </w:r>
      <w:r w:rsidR="00241349">
        <w:t xml:space="preserve">providing a national framework for consistent assessment, outcome measurement, and feedback, PACOP </w:t>
      </w:r>
      <w:r w:rsidR="00C77E53">
        <w:t>aimed</w:t>
      </w:r>
      <w:r w:rsidR="00241349">
        <w:t xml:space="preserve"> to</w:t>
      </w:r>
      <w:r w:rsidR="00C77E53">
        <w:t xml:space="preserve"> integrate</w:t>
      </w:r>
      <w:r w:rsidR="00241349">
        <w:t xml:space="preserve"> palliative care into routine practice, </w:t>
      </w:r>
      <w:r w:rsidR="008758A1">
        <w:t>strengthen organisational capability</w:t>
      </w:r>
      <w:r w:rsidR="007B5E4B">
        <w:t>, and foster a culture of data-driven quality improvement in</w:t>
      </w:r>
      <w:r w:rsidR="004F0917">
        <w:t xml:space="preserve"> </w:t>
      </w:r>
      <w:r w:rsidR="00A13665">
        <w:t>residential aged care.</w:t>
      </w:r>
    </w:p>
    <w:p w14:paraId="1CCBAB7D" w14:textId="538AF59B" w:rsidR="00357C7A" w:rsidRDefault="00357C7A" w:rsidP="00357C7A">
      <w:pPr>
        <w:pStyle w:val="Heading2-nonumber"/>
      </w:pPr>
      <w:r>
        <w:t>Evaluation purpose and approach</w:t>
      </w:r>
    </w:p>
    <w:p w14:paraId="570B8AA6" w14:textId="43CEC512" w:rsidR="003071D2" w:rsidRDefault="00401EC6" w:rsidP="00310BF1">
      <w:r>
        <w:t>The evaluation</w:t>
      </w:r>
      <w:r w:rsidR="00DD6960">
        <w:t xml:space="preserve"> of the Measure</w:t>
      </w:r>
      <w:r>
        <w:t xml:space="preserve"> commenced in March 2025 and culminate</w:t>
      </w:r>
      <w:r w:rsidR="00DD35BC">
        <w:t>d</w:t>
      </w:r>
      <w:r>
        <w:t xml:space="preserve"> in a final report in </w:t>
      </w:r>
      <w:r w:rsidR="00DD35BC">
        <w:t xml:space="preserve">May </w:t>
      </w:r>
      <w:r>
        <w:t>2026.</w:t>
      </w:r>
      <w:r w:rsidR="00C006D9">
        <w:t xml:space="preserve"> It included both formative and summative components to</w:t>
      </w:r>
      <w:r w:rsidR="00B00FAD">
        <w:t xml:space="preserve"> assess</w:t>
      </w:r>
      <w:r w:rsidR="00DE1CD7">
        <w:t xml:space="preserve"> whether the Measure was appropriate, effective, and efficient</w:t>
      </w:r>
      <w:r w:rsidR="00F411E7">
        <w:t>. Findings may be used</w:t>
      </w:r>
      <w:r w:rsidR="00DE1CD7">
        <w:t xml:space="preserve"> to inform continuous improvement and future funding decisions regarding the Measure.</w:t>
      </w:r>
    </w:p>
    <w:p w14:paraId="7130C053" w14:textId="0E3E9900" w:rsidR="00401EC6" w:rsidRDefault="00401EC6" w:rsidP="00401EC6">
      <w:r>
        <w:t xml:space="preserve">All PACOP and PEPA Aged Care activities undertaken </w:t>
      </w:r>
      <w:r w:rsidRPr="003E3B94">
        <w:t>as part of the original 2021</w:t>
      </w:r>
      <w:r>
        <w:t xml:space="preserve">–22 </w:t>
      </w:r>
      <w:r w:rsidRPr="00AD35E7">
        <w:t>Improving Palliative Care Training and Outcomes in Aged Care</w:t>
      </w:r>
      <w:r w:rsidRPr="003E3B94">
        <w:t xml:space="preserve"> measure and the 2024</w:t>
      </w:r>
      <w:r>
        <w:t>–25 e</w:t>
      </w:r>
      <w:r w:rsidRPr="003E3B94">
        <w:t>xtension</w:t>
      </w:r>
      <w:r>
        <w:t xml:space="preserve"> of</w:t>
      </w:r>
      <w:r w:rsidRPr="003E3B94">
        <w:t xml:space="preserve"> </w:t>
      </w:r>
      <w:r>
        <w:t>the Measure were</w:t>
      </w:r>
      <w:r w:rsidRPr="003E3B94">
        <w:t xml:space="preserve"> within scope.</w:t>
      </w:r>
    </w:p>
    <w:p w14:paraId="6A173825" w14:textId="7C481CA1" w:rsidR="000B053F" w:rsidRDefault="00310BF1" w:rsidP="008A527B">
      <w:r>
        <w:t xml:space="preserve">The evaluation employed a mixed-methods approach, </w:t>
      </w:r>
      <w:r w:rsidR="000B053F">
        <w:t xml:space="preserve">synthesising </w:t>
      </w:r>
      <w:r>
        <w:t>both qualitative and quantitative data</w:t>
      </w:r>
      <w:r w:rsidR="000B053F">
        <w:t xml:space="preserve"> from</w:t>
      </w:r>
      <w:r w:rsidR="0046671A">
        <w:t>:</w:t>
      </w:r>
    </w:p>
    <w:p w14:paraId="5AA907DC" w14:textId="70425EFE" w:rsidR="0046671A" w:rsidRDefault="0089668D" w:rsidP="0046671A">
      <w:pPr>
        <w:pStyle w:val="ListBullet"/>
      </w:pPr>
      <w:r w:rsidRPr="009C2AAA">
        <w:rPr>
          <w:b/>
          <w:bCs/>
        </w:rPr>
        <w:t>an</w:t>
      </w:r>
      <w:r>
        <w:t xml:space="preserve"> </w:t>
      </w:r>
      <w:r w:rsidRPr="009C2AAA">
        <w:rPr>
          <w:b/>
          <w:bCs/>
        </w:rPr>
        <w:t>online survey</w:t>
      </w:r>
      <w:r>
        <w:t xml:space="preserve"> of organisations providing aged care services, including both </w:t>
      </w:r>
      <w:r w:rsidR="003C5A96">
        <w:t>participants in PEPA Aged Care and/or PACOP and non-participa</w:t>
      </w:r>
      <w:r w:rsidR="005D238A">
        <w:t>ting organisations</w:t>
      </w:r>
      <w:r w:rsidR="005835DD">
        <w:t xml:space="preserve"> (n=306 respondents)</w:t>
      </w:r>
    </w:p>
    <w:p w14:paraId="5218A463" w14:textId="7DCFBBE4" w:rsidR="005835DD" w:rsidRDefault="005835DD" w:rsidP="0046671A">
      <w:pPr>
        <w:pStyle w:val="ListBullet"/>
      </w:pPr>
      <w:r w:rsidRPr="009C2AAA">
        <w:rPr>
          <w:b/>
          <w:bCs/>
        </w:rPr>
        <w:t>case study interviews</w:t>
      </w:r>
      <w:r>
        <w:t xml:space="preserve"> with 12 aged care organisations, including four PEPA Aged Care sites, four </w:t>
      </w:r>
      <w:r w:rsidR="009221E3">
        <w:t xml:space="preserve">aged care </w:t>
      </w:r>
      <w:r>
        <w:t>homes/providers participating in PACOP, and four non-participating organisations</w:t>
      </w:r>
    </w:p>
    <w:p w14:paraId="77A7325F" w14:textId="1D1B6CC3" w:rsidR="005835DD" w:rsidRDefault="009C2AAA" w:rsidP="0046671A">
      <w:pPr>
        <w:pStyle w:val="ListBullet"/>
      </w:pPr>
      <w:r w:rsidRPr="009C2AAA">
        <w:rPr>
          <w:b/>
          <w:bCs/>
        </w:rPr>
        <w:t>focus groups</w:t>
      </w:r>
      <w:r>
        <w:t xml:space="preserve"> with 17 consumer, carer, and family representatives</w:t>
      </w:r>
    </w:p>
    <w:p w14:paraId="51A36163" w14:textId="4B497252" w:rsidR="00651ED0" w:rsidRDefault="00CF4B65" w:rsidP="0046671A">
      <w:pPr>
        <w:pStyle w:val="ListBullet"/>
      </w:pPr>
      <w:r w:rsidRPr="00651ED0">
        <w:rPr>
          <w:b/>
          <w:bCs/>
        </w:rPr>
        <w:t>interviews</w:t>
      </w:r>
      <w:r>
        <w:t xml:space="preserve"> with 93 key stakeholders, including </w:t>
      </w:r>
      <w:r w:rsidR="00651ED0">
        <w:t>government representatives, program delivery teams, related national palliative care initiatives, peak bodies and professional associations, aged care providers, and health professionals</w:t>
      </w:r>
    </w:p>
    <w:p w14:paraId="3CDCA682" w14:textId="3C96C5F3" w:rsidR="00915210" w:rsidRDefault="00A6375C" w:rsidP="0046671A">
      <w:pPr>
        <w:pStyle w:val="ListBullet"/>
      </w:pPr>
      <w:r>
        <w:rPr>
          <w:b/>
          <w:bCs/>
        </w:rPr>
        <w:t xml:space="preserve">a review of </w:t>
      </w:r>
      <w:r w:rsidR="009946CA" w:rsidRPr="005F4B50">
        <w:rPr>
          <w:b/>
          <w:bCs/>
        </w:rPr>
        <w:t xml:space="preserve">Aged Care Quality and Safety Commission </w:t>
      </w:r>
      <w:r w:rsidR="00C76E2A">
        <w:rPr>
          <w:b/>
          <w:bCs/>
        </w:rPr>
        <w:t xml:space="preserve">(ACQSC) </w:t>
      </w:r>
      <w:r w:rsidR="009946CA" w:rsidRPr="005F4B50">
        <w:rPr>
          <w:b/>
          <w:bCs/>
        </w:rPr>
        <w:t>performance reports</w:t>
      </w:r>
      <w:r w:rsidR="009946CA">
        <w:t xml:space="preserve"> </w:t>
      </w:r>
      <w:r w:rsidR="00915210">
        <w:t>(n=176) from 71 sites/homes participating in PEPA Aged Care or PACOP</w:t>
      </w:r>
    </w:p>
    <w:p w14:paraId="483D48B1" w14:textId="2E2E1054" w:rsidR="009C2AAA" w:rsidRDefault="00CE42A1" w:rsidP="0046671A">
      <w:pPr>
        <w:pStyle w:val="ListBullet"/>
      </w:pPr>
      <w:r>
        <w:rPr>
          <w:b/>
          <w:bCs/>
        </w:rPr>
        <w:t xml:space="preserve">analysis of </w:t>
      </w:r>
      <w:r w:rsidR="009C2469">
        <w:rPr>
          <w:b/>
          <w:bCs/>
        </w:rPr>
        <w:t xml:space="preserve">PEPA Aged Care and PACOP </w:t>
      </w:r>
      <w:r w:rsidR="005F4B50" w:rsidRPr="009C2469">
        <w:rPr>
          <w:b/>
          <w:bCs/>
        </w:rPr>
        <w:t>program data</w:t>
      </w:r>
      <w:r w:rsidR="005F4B50">
        <w:t xml:space="preserve"> </w:t>
      </w:r>
      <w:r w:rsidR="009C2469">
        <w:t>to examine program uptake, available outcomes, engagement activities, expenditure, and internal evaluation</w:t>
      </w:r>
      <w:r w:rsidR="00CF4B65">
        <w:t xml:space="preserve"> </w:t>
      </w:r>
      <w:r w:rsidR="009C2469">
        <w:t>findings</w:t>
      </w:r>
    </w:p>
    <w:p w14:paraId="5A19A5DA" w14:textId="160A94FE" w:rsidR="009C2469" w:rsidRDefault="009A32B2" w:rsidP="0046671A">
      <w:pPr>
        <w:pStyle w:val="ListBullet"/>
      </w:pPr>
      <w:r>
        <w:rPr>
          <w:b/>
          <w:bCs/>
        </w:rPr>
        <w:t xml:space="preserve">a </w:t>
      </w:r>
      <w:r w:rsidR="008655BA">
        <w:rPr>
          <w:b/>
          <w:bCs/>
        </w:rPr>
        <w:t>desktop</w:t>
      </w:r>
      <w:r>
        <w:rPr>
          <w:b/>
          <w:bCs/>
        </w:rPr>
        <w:t xml:space="preserve"> review </w:t>
      </w:r>
      <w:r>
        <w:t xml:space="preserve">which informed </w:t>
      </w:r>
      <w:r w:rsidR="008655BA">
        <w:t xml:space="preserve">a </w:t>
      </w:r>
      <w:r>
        <w:t>comprehensive understanding of each program</w:t>
      </w:r>
      <w:r w:rsidR="008655BA">
        <w:t xml:space="preserve"> and the broader context </w:t>
      </w:r>
      <w:r w:rsidR="009A2EFE">
        <w:t>of</w:t>
      </w:r>
      <w:r w:rsidR="008655BA">
        <w:t xml:space="preserve"> their implementation.</w:t>
      </w:r>
    </w:p>
    <w:p w14:paraId="46BE6928" w14:textId="7C171265" w:rsidR="00310BF1" w:rsidRDefault="006F68DA" w:rsidP="00F618BF">
      <w:pPr>
        <w:pStyle w:val="Heading3-nonumber"/>
      </w:pPr>
      <w:r>
        <w:lastRenderedPageBreak/>
        <w:t>Limitations</w:t>
      </w:r>
    </w:p>
    <w:p w14:paraId="662E4DF5" w14:textId="293D11AF" w:rsidR="006F68DA" w:rsidRDefault="00D3047D" w:rsidP="00E96285">
      <w:r>
        <w:t>The following limitations should be noted:</w:t>
      </w:r>
    </w:p>
    <w:p w14:paraId="14EE4B65" w14:textId="45C9AAAB" w:rsidR="00D3047D" w:rsidRDefault="00D3047D" w:rsidP="00D3047D">
      <w:pPr>
        <w:pStyle w:val="ListBullet"/>
      </w:pPr>
      <w:r>
        <w:t>The evaluation concluded prior to the end of current grant agreements (30 June 2026) and only included data from 1 November 2021 to 30 June 2025</w:t>
      </w:r>
      <w:r w:rsidR="007B7370">
        <w:t>. Consequently</w:t>
      </w:r>
      <w:r>
        <w:t>, activities and outcomes delivered in the Measure</w:t>
      </w:r>
      <w:r w:rsidR="003863F5">
        <w:t>’</w:t>
      </w:r>
      <w:r>
        <w:t>s final year were not captured.</w:t>
      </w:r>
    </w:p>
    <w:p w14:paraId="18E17598" w14:textId="49630E17" w:rsidR="00D3047D" w:rsidRDefault="00D3047D" w:rsidP="00D3047D">
      <w:pPr>
        <w:pStyle w:val="ListBullet"/>
      </w:pPr>
      <w:r>
        <w:t>Outcome data were limited, with no health ou</w:t>
      </w:r>
      <w:r w:rsidR="00B25E83">
        <w:t xml:space="preserve">tcome data available for PEPA Aged Care and only a small amount for PACOP. This limited the ability to comprehensively assess program impact and precluded a full economic analysis. </w:t>
      </w:r>
      <w:r w:rsidR="00470B3F">
        <w:t>A</w:t>
      </w:r>
      <w:r w:rsidR="00B25E83">
        <w:t>n exploratory economic analysis using PACOP data was undertaken</w:t>
      </w:r>
      <w:r w:rsidR="00470B3F">
        <w:t xml:space="preserve"> to demonstrate an approach that could be considered </w:t>
      </w:r>
      <w:r w:rsidR="00F52155">
        <w:t>in future economic analyses</w:t>
      </w:r>
      <w:r w:rsidR="00B25E83">
        <w:t>.</w:t>
      </w:r>
    </w:p>
    <w:p w14:paraId="5555C889" w14:textId="43A6FA8E" w:rsidR="00B25E83" w:rsidRDefault="00A9729C" w:rsidP="00D3047D">
      <w:pPr>
        <w:pStyle w:val="ListBullet"/>
      </w:pPr>
      <w:r>
        <w:t>Responses to the online survey were relatively low, limiting representativeness</w:t>
      </w:r>
      <w:r w:rsidR="00902441">
        <w:t xml:space="preserve"> and generalisability of findings</w:t>
      </w:r>
      <w:r>
        <w:t>.</w:t>
      </w:r>
    </w:p>
    <w:p w14:paraId="3806C229" w14:textId="7158F369" w:rsidR="00A9729C" w:rsidRDefault="00A9729C" w:rsidP="00D3047D">
      <w:pPr>
        <w:pStyle w:val="ListBullet"/>
      </w:pPr>
      <w:r>
        <w:t xml:space="preserve">Direct engagement with care recipients of organisations involved in PEPA Aged Care/PACOP </w:t>
      </w:r>
      <w:r w:rsidR="00F75D52">
        <w:t xml:space="preserve">was not possible due to ethical and recruitment challenges. </w:t>
      </w:r>
      <w:r w:rsidR="00C6645A">
        <w:t>However, critical</w:t>
      </w:r>
      <w:r w:rsidR="00F75D52">
        <w:t xml:space="preserve"> input</w:t>
      </w:r>
      <w:r w:rsidR="00C6645A">
        <w:t xml:space="preserve"> from</w:t>
      </w:r>
      <w:r w:rsidR="00F75D52">
        <w:t xml:space="preserve"> </w:t>
      </w:r>
      <w:r w:rsidR="00C6645A">
        <w:t xml:space="preserve">consumer, family, and carer representatives </w:t>
      </w:r>
      <w:r w:rsidR="00F75D52">
        <w:t>was</w:t>
      </w:r>
      <w:r w:rsidR="00C6645A">
        <w:t xml:space="preserve"> </w:t>
      </w:r>
      <w:r w:rsidR="00F75D52">
        <w:t xml:space="preserve">gathered through </w:t>
      </w:r>
      <w:r w:rsidR="00AD4EA1">
        <w:t xml:space="preserve">the </w:t>
      </w:r>
      <w:r w:rsidR="00F75D52">
        <w:t>focus groups.</w:t>
      </w:r>
    </w:p>
    <w:p w14:paraId="108FC7F7" w14:textId="0CDDFD7F" w:rsidR="00F75D52" w:rsidRDefault="008A7BC2" w:rsidP="00D3047D">
      <w:pPr>
        <w:pStyle w:val="ListBullet"/>
      </w:pPr>
      <w:r>
        <w:t xml:space="preserve">Data collected through </w:t>
      </w:r>
      <w:r w:rsidR="00AD4EA1">
        <w:t xml:space="preserve">the </w:t>
      </w:r>
      <w:r>
        <w:t>survey and consultations may reflect personal bias</w:t>
      </w:r>
      <w:r w:rsidR="00AD4EA1">
        <w:t xml:space="preserve">. This </w:t>
      </w:r>
      <w:r>
        <w:t>was mitigated by engaging a broad range of stakeholders.</w:t>
      </w:r>
    </w:p>
    <w:p w14:paraId="2240E58A" w14:textId="77777777" w:rsidR="004B60F8" w:rsidRDefault="004B60F8" w:rsidP="004B60F8">
      <w:pPr>
        <w:pStyle w:val="ListBullet"/>
      </w:pPr>
      <w:r>
        <w:t>Some requested program data were missing or suppressed due to small cell counts, limiting the completeness and granularity of findings.</w:t>
      </w:r>
    </w:p>
    <w:p w14:paraId="6F1B2544" w14:textId="2FD0C77A" w:rsidR="008A7BC2" w:rsidRDefault="008A7BC2" w:rsidP="00D3047D">
      <w:pPr>
        <w:pStyle w:val="ListBullet"/>
      </w:pPr>
      <w:r>
        <w:t>Fewer ACQSC performance reports than planned were available for review</w:t>
      </w:r>
      <w:r w:rsidR="002A4469">
        <w:t>,</w:t>
      </w:r>
      <w:r w:rsidR="002D499A">
        <w:t xml:space="preserve"> and very few reports were available pre- and post-participation in PEPA Aged Care/PACOP.</w:t>
      </w:r>
      <w:r w:rsidR="00A530C8">
        <w:t xml:space="preserve"> This reduced</w:t>
      </w:r>
      <w:r>
        <w:t xml:space="preserve"> </w:t>
      </w:r>
      <w:r w:rsidR="00C76E2A">
        <w:t xml:space="preserve">the </w:t>
      </w:r>
      <w:r>
        <w:t xml:space="preserve">depth of analysis and </w:t>
      </w:r>
      <w:r w:rsidR="00A530C8">
        <w:t>limited</w:t>
      </w:r>
      <w:r>
        <w:t xml:space="preserve"> </w:t>
      </w:r>
      <w:r w:rsidR="00C76E2A">
        <w:t xml:space="preserve">the </w:t>
      </w:r>
      <w:r>
        <w:t>insights</w:t>
      </w:r>
      <w:r w:rsidR="00546DEB">
        <w:t xml:space="preserve"> gathered from this data source</w:t>
      </w:r>
      <w:r>
        <w:t>.</w:t>
      </w:r>
    </w:p>
    <w:p w14:paraId="6CF0CFB2" w14:textId="53A8EE98" w:rsidR="00357C7A" w:rsidRDefault="00552B0B" w:rsidP="00357C7A">
      <w:pPr>
        <w:pStyle w:val="Heading2-nonumber"/>
      </w:pPr>
      <w:r>
        <w:t>Summary of k</w:t>
      </w:r>
      <w:r w:rsidR="003F1AD5">
        <w:t>ey f</w:t>
      </w:r>
      <w:r w:rsidR="00357C7A">
        <w:t>indings</w:t>
      </w:r>
    </w:p>
    <w:p w14:paraId="777422B9" w14:textId="676E993E" w:rsidR="00357C7A" w:rsidRDefault="00BE57C3" w:rsidP="00E96285">
      <w:r>
        <w:t>A summary of k</w:t>
      </w:r>
      <w:r w:rsidR="00F86684">
        <w:t xml:space="preserve">ey findings </w:t>
      </w:r>
      <w:r w:rsidR="00FD2612">
        <w:t>for each evaluation area examined is presented below</w:t>
      </w:r>
      <w:r w:rsidR="003F336C">
        <w:t>.</w:t>
      </w:r>
    </w:p>
    <w:p w14:paraId="0B3475CA" w14:textId="280FA81A" w:rsidR="00357C7A" w:rsidRDefault="00EE5B0D" w:rsidP="00EE5B0D">
      <w:pPr>
        <w:pStyle w:val="Heading3-nonumber"/>
      </w:pPr>
      <w:r>
        <w:t>Appropriateness</w:t>
      </w:r>
    </w:p>
    <w:p w14:paraId="21E03B79" w14:textId="6E6B1702" w:rsidR="00320DBD" w:rsidRDefault="00CB2712" w:rsidP="00E96285">
      <w:r>
        <w:t xml:space="preserve">The Measure was widely </w:t>
      </w:r>
      <w:r w:rsidR="001A5D89">
        <w:t xml:space="preserve">perceived by stakeholders </w:t>
      </w:r>
      <w:r>
        <w:t>as a</w:t>
      </w:r>
      <w:r w:rsidR="002653D4">
        <w:t xml:space="preserve"> suitable</w:t>
      </w:r>
      <w:r>
        <w:t xml:space="preserve"> and timely response to critical gaps in palliative care capability within the aged care sector</w:t>
      </w:r>
      <w:r w:rsidR="00100EDB">
        <w:t>, particularly in residential aged care settings</w:t>
      </w:r>
      <w:r>
        <w:t xml:space="preserve">. Its dual </w:t>
      </w:r>
      <w:r w:rsidR="00244E02">
        <w:t xml:space="preserve">focus on workforce education through PEPA Aged Care and organisational systems and outcome monitoring through PACOP </w:t>
      </w:r>
      <w:r w:rsidR="002653D4">
        <w:t xml:space="preserve">was considered strategically appropriate and aligned with relevant recommendations from the Royal Commission. </w:t>
      </w:r>
      <w:r w:rsidR="006E5111">
        <w:t xml:space="preserve">The decision to </w:t>
      </w:r>
      <w:r w:rsidR="008C1919">
        <w:t>fund adaptations of</w:t>
      </w:r>
      <w:r w:rsidR="00B6595F">
        <w:t xml:space="preserve"> established</w:t>
      </w:r>
      <w:r w:rsidR="00A109EC">
        <w:t>, evidence-based</w:t>
      </w:r>
      <w:r w:rsidR="00B6595F">
        <w:t xml:space="preserve"> programs (PEPA and </w:t>
      </w:r>
      <w:r w:rsidR="003E28A0">
        <w:t>PCOC</w:t>
      </w:r>
      <w:r w:rsidR="00B6595F">
        <w:t>) was endorsed</w:t>
      </w:r>
      <w:r w:rsidR="00547A6F">
        <w:t xml:space="preserve"> by stakeholders</w:t>
      </w:r>
      <w:r w:rsidR="003D3D4F">
        <w:t>, providing credibility and</w:t>
      </w:r>
      <w:r w:rsidR="00233766">
        <w:t xml:space="preserve"> supporting </w:t>
      </w:r>
      <w:r w:rsidR="00373A27">
        <w:t>rapid mobilisation.</w:t>
      </w:r>
      <w:r w:rsidR="007531E0">
        <w:t xml:space="preserve"> </w:t>
      </w:r>
      <w:r w:rsidR="00BC2A66">
        <w:t xml:space="preserve">While the Measure was </w:t>
      </w:r>
      <w:r w:rsidR="00430C86">
        <w:t xml:space="preserve">regarded as </w:t>
      </w:r>
      <w:r w:rsidR="00BC2A66">
        <w:t>highly relevant for residential aged care, its</w:t>
      </w:r>
      <w:r w:rsidR="00E011F7">
        <w:t xml:space="preserve"> </w:t>
      </w:r>
      <w:r w:rsidR="00E26B9C">
        <w:t xml:space="preserve">applicability </w:t>
      </w:r>
      <w:r w:rsidR="007531E0">
        <w:t xml:space="preserve">to both home care and the primary care sector </w:t>
      </w:r>
      <w:r w:rsidR="00E011F7">
        <w:t>was</w:t>
      </w:r>
      <w:r w:rsidR="007531E0">
        <w:t xml:space="preserve"> perceived as less clear. </w:t>
      </w:r>
      <w:r w:rsidR="000770CB">
        <w:t xml:space="preserve">Stakeholders suggested that </w:t>
      </w:r>
      <w:r w:rsidR="007F6F0E">
        <w:t xml:space="preserve">targeted strategies to </w:t>
      </w:r>
      <w:r w:rsidR="00A303B4">
        <w:t>strengthen</w:t>
      </w:r>
      <w:r w:rsidR="007F6F0E">
        <w:t xml:space="preserve"> </w:t>
      </w:r>
      <w:r w:rsidR="00D2454E">
        <w:t xml:space="preserve">engagement among </w:t>
      </w:r>
      <w:r w:rsidR="007F6F0E">
        <w:t>home care</w:t>
      </w:r>
      <w:r w:rsidR="00D2454E">
        <w:t xml:space="preserve"> providers</w:t>
      </w:r>
      <w:r w:rsidR="007F6F0E">
        <w:t xml:space="preserve"> and primary care</w:t>
      </w:r>
      <w:r w:rsidR="00A303B4">
        <w:t xml:space="preserve"> </w:t>
      </w:r>
      <w:r w:rsidR="00D2454E">
        <w:t>professionals</w:t>
      </w:r>
      <w:r w:rsidR="007531E0">
        <w:t xml:space="preserve"> </w:t>
      </w:r>
      <w:r w:rsidR="007F6F0E">
        <w:t>could</w:t>
      </w:r>
      <w:r w:rsidR="00FB747E">
        <w:t xml:space="preserve"> </w:t>
      </w:r>
      <w:r w:rsidR="0090013F">
        <w:t xml:space="preserve">strengthen multidisciplinary palliative care delivery and </w:t>
      </w:r>
      <w:r w:rsidR="007531E0">
        <w:t>amplify the Measure’s impact.</w:t>
      </w:r>
    </w:p>
    <w:p w14:paraId="2D178556" w14:textId="73A86723" w:rsidR="00320DBD" w:rsidRDefault="00320DBD" w:rsidP="00320DBD">
      <w:r>
        <w:t xml:space="preserve">Stakeholders consistently reported a strong and ongoing </w:t>
      </w:r>
      <w:r w:rsidR="00FF24A3">
        <w:t xml:space="preserve">perceived </w:t>
      </w:r>
      <w:r>
        <w:t>need for palliative care education, training, and quality improvement in aged care, driven by system-level</w:t>
      </w:r>
      <w:r w:rsidR="004E7D24">
        <w:t xml:space="preserve"> pressures</w:t>
      </w:r>
      <w:r>
        <w:t>, workforce</w:t>
      </w:r>
      <w:r w:rsidR="004E7D24">
        <w:t xml:space="preserve"> challenges</w:t>
      </w:r>
      <w:r>
        <w:t xml:space="preserve">, and community factors. This need was expected to persist and potentially </w:t>
      </w:r>
      <w:r w:rsidR="00837C54">
        <w:t xml:space="preserve">grow as regulatory reforms </w:t>
      </w:r>
      <w:r w:rsidR="00537941">
        <w:t>took</w:t>
      </w:r>
      <w:r w:rsidR="00837C54">
        <w:t xml:space="preserve"> effect and demographic pressures increase</w:t>
      </w:r>
      <w:r w:rsidR="00537941">
        <w:t>d</w:t>
      </w:r>
      <w:r w:rsidR="00837C54">
        <w:t xml:space="preserve">. </w:t>
      </w:r>
      <w:r w:rsidR="00B95AAE">
        <w:t>Most s</w:t>
      </w:r>
      <w:r>
        <w:t xml:space="preserve">takeholders advocated for sustained investment in the Measure and its funded programs to address </w:t>
      </w:r>
      <w:r w:rsidR="00837C54">
        <w:t>these challenges</w:t>
      </w:r>
      <w:r>
        <w:t>.</w:t>
      </w:r>
    </w:p>
    <w:p w14:paraId="59F72CF8" w14:textId="1A2789C5" w:rsidR="00B12BD1" w:rsidRDefault="00642819" w:rsidP="00E94B43">
      <w:r>
        <w:t xml:space="preserve">No direct duplication </w:t>
      </w:r>
      <w:r w:rsidR="00FB3C0F">
        <w:t>was identified</w:t>
      </w:r>
      <w:r>
        <w:t xml:space="preserve"> </w:t>
      </w:r>
      <w:r w:rsidR="00867735">
        <w:t xml:space="preserve">between PEPA Aged Care and PACOP, and </w:t>
      </w:r>
      <w:r w:rsidR="00542244">
        <w:t xml:space="preserve">stakeholders generally viewed </w:t>
      </w:r>
      <w:r w:rsidR="00867735">
        <w:t xml:space="preserve">their activities </w:t>
      </w:r>
      <w:r w:rsidR="00FB3C0F">
        <w:t>as</w:t>
      </w:r>
      <w:r w:rsidR="00867735">
        <w:t xml:space="preserve"> complementary. </w:t>
      </w:r>
      <w:r w:rsidR="00831E86">
        <w:t>However, o</w:t>
      </w:r>
      <w:r w:rsidR="00867735">
        <w:t xml:space="preserve">pportunities to strengthen strategic </w:t>
      </w:r>
      <w:r w:rsidR="009C244F">
        <w:t>collaboration</w:t>
      </w:r>
      <w:r w:rsidR="00867735">
        <w:t xml:space="preserve"> between the programs </w:t>
      </w:r>
      <w:r w:rsidR="008B6988">
        <w:t xml:space="preserve">were identified </w:t>
      </w:r>
      <w:r w:rsidR="00867735">
        <w:t>to maximise</w:t>
      </w:r>
      <w:r w:rsidR="008B6988">
        <w:t xml:space="preserve"> their shared</w:t>
      </w:r>
      <w:r w:rsidR="00867735">
        <w:t xml:space="preserve"> impact.</w:t>
      </w:r>
      <w:r w:rsidR="00147588">
        <w:t xml:space="preserve"> </w:t>
      </w:r>
      <w:r w:rsidR="00F8313F">
        <w:t xml:space="preserve">More broadly, stakeholders reported perceived overlap and confusion </w:t>
      </w:r>
      <w:r w:rsidR="006F1D6B">
        <w:t xml:space="preserve">arising from </w:t>
      </w:r>
      <w:r w:rsidR="0029208D">
        <w:t>the number of palli</w:t>
      </w:r>
      <w:r w:rsidR="00D4336B">
        <w:t>a</w:t>
      </w:r>
      <w:r w:rsidR="00625747">
        <w:t>tive care initiatives targeting aged care</w:t>
      </w:r>
      <w:r w:rsidR="00D4336B">
        <w:t>.</w:t>
      </w:r>
      <w:r w:rsidR="00262A9E">
        <w:t xml:space="preserve"> </w:t>
      </w:r>
      <w:r w:rsidR="006F1D6B">
        <w:t>C</w:t>
      </w:r>
      <w:r w:rsidR="00F6556D">
        <w:t xml:space="preserve">learer program positioning and </w:t>
      </w:r>
      <w:r w:rsidR="00646A44">
        <w:t xml:space="preserve">more </w:t>
      </w:r>
      <w:r w:rsidR="00F6556D">
        <w:t xml:space="preserve">coordinated communication across initiatives </w:t>
      </w:r>
      <w:r w:rsidR="006F1D6B">
        <w:t>were highlighted as important for</w:t>
      </w:r>
      <w:r w:rsidR="002803C9">
        <w:t xml:space="preserve"> </w:t>
      </w:r>
      <w:r w:rsidR="006F1D6B">
        <w:t xml:space="preserve">improving </w:t>
      </w:r>
      <w:r w:rsidR="0067723B">
        <w:t>sector understanding</w:t>
      </w:r>
      <w:r w:rsidR="007B6386">
        <w:t xml:space="preserve"> and </w:t>
      </w:r>
      <w:r w:rsidR="002803C9">
        <w:t>provider engagement</w:t>
      </w:r>
      <w:r w:rsidR="00831E86">
        <w:t>.</w:t>
      </w:r>
    </w:p>
    <w:p w14:paraId="11873EB7" w14:textId="7BAB8C4C" w:rsidR="00557FEB" w:rsidRDefault="00557FEB" w:rsidP="00557FEB">
      <w:pPr>
        <w:pStyle w:val="Heading4"/>
      </w:pPr>
      <w:r>
        <w:lastRenderedPageBreak/>
        <w:t>PEPA Aged Care</w:t>
      </w:r>
    </w:p>
    <w:p w14:paraId="6045CB45" w14:textId="591B199E" w:rsidR="00557FEB" w:rsidRDefault="00557FEB" w:rsidP="00E96285">
      <w:r>
        <w:t xml:space="preserve">PEPA Aged Care was considered </w:t>
      </w:r>
      <w:r w:rsidR="00106D27">
        <w:t>a suitable approach</w:t>
      </w:r>
      <w:r>
        <w:t xml:space="preserve"> for addressing foundational workforce knowledge gaps</w:t>
      </w:r>
      <w:r w:rsidR="009904B7">
        <w:t xml:space="preserve"> in palliative care</w:t>
      </w:r>
      <w:r>
        <w:t xml:space="preserve">, particularly in residential aged care. </w:t>
      </w:r>
      <w:r w:rsidR="00526158">
        <w:t>Key</w:t>
      </w:r>
      <w:r w:rsidR="006815E7">
        <w:t xml:space="preserve"> s</w:t>
      </w:r>
      <w:r>
        <w:t>trengths</w:t>
      </w:r>
      <w:r w:rsidR="006815E7">
        <w:t xml:space="preserve"> </w:t>
      </w:r>
      <w:r w:rsidR="00A5020A">
        <w:t xml:space="preserve">identified </w:t>
      </w:r>
      <w:r>
        <w:t>included its on-site reverse placement model,</w:t>
      </w:r>
      <w:r w:rsidR="00284249">
        <w:t xml:space="preserve"> </w:t>
      </w:r>
      <w:r w:rsidR="00526158">
        <w:t>inclusi</w:t>
      </w:r>
      <w:r w:rsidR="00A5020A">
        <w:t>ve participation across</w:t>
      </w:r>
      <w:r w:rsidR="002803F2">
        <w:t xml:space="preserve"> both clinical and non-clinical </w:t>
      </w:r>
      <w:r w:rsidR="00A5020A">
        <w:t>roles</w:t>
      </w:r>
      <w:r>
        <w:t xml:space="preserve">, </w:t>
      </w:r>
      <w:r w:rsidR="008B04E4">
        <w:t>evidence-based training</w:t>
      </w:r>
      <w:r>
        <w:t xml:space="preserve"> content,</w:t>
      </w:r>
      <w:r w:rsidR="00335E11">
        <w:t xml:space="preserve"> </w:t>
      </w:r>
      <w:r>
        <w:t>and financial support for participation.</w:t>
      </w:r>
      <w:r w:rsidR="00FB2729">
        <w:t xml:space="preserve"> Cultural and clinical safety were embedded through tailored modules, culturally specific mentors, and support from Indigenous PEPA</w:t>
      </w:r>
      <w:r w:rsidR="00E40D18">
        <w:t xml:space="preserve"> (IPEPA)</w:t>
      </w:r>
      <w:r w:rsidR="00FB2729">
        <w:t>.</w:t>
      </w:r>
      <w:r w:rsidR="00335E11">
        <w:t xml:space="preserve"> However, s</w:t>
      </w:r>
      <w:r>
        <w:t xml:space="preserve">ustainability </w:t>
      </w:r>
      <w:r w:rsidR="00FE2653">
        <w:t>was identified as a significant concern</w:t>
      </w:r>
      <w:r w:rsidR="00335E11">
        <w:t xml:space="preserve">. </w:t>
      </w:r>
      <w:r w:rsidR="00935A15">
        <w:t xml:space="preserve">Stakeholders emphasised that the one-off training model and </w:t>
      </w:r>
      <w:r>
        <w:t xml:space="preserve">limited reach within </w:t>
      </w:r>
      <w:r w:rsidR="001D4FC0">
        <w:t xml:space="preserve">each </w:t>
      </w:r>
      <w:r>
        <w:t>site</w:t>
      </w:r>
      <w:r w:rsidR="001D4FC0">
        <w:t xml:space="preserve"> meant that benefits </w:t>
      </w:r>
      <w:r w:rsidR="009A69AF">
        <w:t>could diminish over time</w:t>
      </w:r>
      <w:r w:rsidR="00715690">
        <w:t>,</w:t>
      </w:r>
      <w:r w:rsidR="009A69AF">
        <w:t xml:space="preserve"> particularly in the context of</w:t>
      </w:r>
      <w:r w:rsidR="00062CDF">
        <w:t xml:space="preserve"> high </w:t>
      </w:r>
      <w:r w:rsidR="009A69AF">
        <w:t xml:space="preserve">workforce </w:t>
      </w:r>
      <w:r w:rsidR="00062CDF">
        <w:t>turnover in aged care</w:t>
      </w:r>
      <w:r w:rsidR="00443D40">
        <w:t xml:space="preserve">. The need for </w:t>
      </w:r>
      <w:r w:rsidR="0061235D">
        <w:t xml:space="preserve">mechanisms </w:t>
      </w:r>
      <w:r w:rsidR="00715690">
        <w:t>to support</w:t>
      </w:r>
      <w:r w:rsidR="0061235D">
        <w:t xml:space="preserve"> ongoing reinforcement</w:t>
      </w:r>
      <w:r w:rsidR="00715690">
        <w:t xml:space="preserve"> was consistently highlighted</w:t>
      </w:r>
      <w:r w:rsidR="0061235D">
        <w:t xml:space="preserve">. </w:t>
      </w:r>
      <w:r w:rsidR="007C5100">
        <w:t>Some stakeholders also questioned th</w:t>
      </w:r>
      <w:r w:rsidR="001001F0">
        <w:t>e</w:t>
      </w:r>
      <w:r w:rsidR="0061235D">
        <w:t xml:space="preserve"> suitability </w:t>
      </w:r>
      <w:r w:rsidR="001001F0">
        <w:t xml:space="preserve">of the reverse placement model </w:t>
      </w:r>
      <w:r w:rsidR="0061235D">
        <w:t>for home care settings, suggesting</w:t>
      </w:r>
      <w:r w:rsidR="001001F0">
        <w:t xml:space="preserve"> that </w:t>
      </w:r>
      <w:r w:rsidR="006727BB">
        <w:t>adapted delivery approaches may be required</w:t>
      </w:r>
      <w:r w:rsidR="0061235D">
        <w:t xml:space="preserve"> </w:t>
      </w:r>
      <w:r w:rsidR="008D0D40">
        <w:t xml:space="preserve">to support </w:t>
      </w:r>
      <w:r w:rsidR="00036B27">
        <w:t>participation</w:t>
      </w:r>
      <w:r w:rsidR="008D0D40">
        <w:t xml:space="preserve"> in this context.</w:t>
      </w:r>
    </w:p>
    <w:p w14:paraId="6393480E" w14:textId="6D92286C" w:rsidR="00557FEB" w:rsidRDefault="00557FEB" w:rsidP="00557FEB">
      <w:pPr>
        <w:pStyle w:val="Heading4"/>
      </w:pPr>
      <w:r>
        <w:t>PACOP</w:t>
      </w:r>
    </w:p>
    <w:p w14:paraId="2C6F3D83" w14:textId="344DB3E9" w:rsidR="00D97FC0" w:rsidRDefault="00D97FC0" w:rsidP="00E96285">
      <w:r>
        <w:t>PACOP</w:t>
      </w:r>
      <w:r w:rsidR="003863F5">
        <w:t>’</w:t>
      </w:r>
      <w:r>
        <w:t>s systematic, evidence-based approach was</w:t>
      </w:r>
      <w:r w:rsidR="00036B27">
        <w:t xml:space="preserve"> </w:t>
      </w:r>
      <w:r w:rsidR="00413BC6">
        <w:t xml:space="preserve">broadly </w:t>
      </w:r>
      <w:r w:rsidR="00036B27">
        <w:t>viewed as</w:t>
      </w:r>
      <w:r>
        <w:t xml:space="preserve"> conceptually appropriate and aligned with </w:t>
      </w:r>
      <w:r w:rsidR="005633E7">
        <w:t xml:space="preserve">sector needs. Its emphasis on routine </w:t>
      </w:r>
      <w:r w:rsidR="008C32B7">
        <w:t xml:space="preserve">palliative care </w:t>
      </w:r>
      <w:r w:rsidR="005633E7">
        <w:t xml:space="preserve">assessment, benchmarking, and quality improvement was </w:t>
      </w:r>
      <w:r w:rsidR="00413BC6">
        <w:t xml:space="preserve">generally </w:t>
      </w:r>
      <w:r w:rsidR="005633E7">
        <w:t xml:space="preserve">supported. </w:t>
      </w:r>
      <w:r w:rsidR="00036F32" w:rsidRPr="00036F32">
        <w:t xml:space="preserve">Clinical and cultural responsiveness were </w:t>
      </w:r>
      <w:r w:rsidR="00B833C0">
        <w:t>incorporated</w:t>
      </w:r>
      <w:r w:rsidR="00B833C0" w:rsidRPr="00036F32">
        <w:t xml:space="preserve"> </w:t>
      </w:r>
      <w:r w:rsidR="00036F32" w:rsidRPr="00036F32">
        <w:t>through the program</w:t>
      </w:r>
      <w:r w:rsidR="003863F5">
        <w:t>’</w:t>
      </w:r>
      <w:r w:rsidR="00036F32" w:rsidRPr="00036F32">
        <w:t>s evidence-based model of care, educational activities, translated resources, and plans to develop First Nations-focused materials</w:t>
      </w:r>
      <w:r w:rsidR="00AC3AE3">
        <w:t xml:space="preserve">. </w:t>
      </w:r>
      <w:r w:rsidR="005633E7">
        <w:t xml:space="preserve">However, </w:t>
      </w:r>
      <w:r w:rsidR="00D259CA">
        <w:t xml:space="preserve">several </w:t>
      </w:r>
      <w:r w:rsidR="005633E7">
        <w:t xml:space="preserve">practical challenges tempered </w:t>
      </w:r>
      <w:r w:rsidR="008C32B7">
        <w:t xml:space="preserve">stakeholder </w:t>
      </w:r>
      <w:r w:rsidR="005633E7">
        <w:t xml:space="preserve">perceptions of </w:t>
      </w:r>
      <w:r w:rsidR="008C32B7">
        <w:t xml:space="preserve">the program’s </w:t>
      </w:r>
      <w:r w:rsidR="005633E7">
        <w:t>suitability</w:t>
      </w:r>
      <w:r w:rsidR="00B833C0">
        <w:t xml:space="preserve"> in practice</w:t>
      </w:r>
      <w:r w:rsidR="005633E7">
        <w:t xml:space="preserve">. </w:t>
      </w:r>
      <w:r w:rsidR="008E6BB7">
        <w:t xml:space="preserve">Stakeholders consistently </w:t>
      </w:r>
      <w:r w:rsidR="00B833C0">
        <w:t>identified</w:t>
      </w:r>
      <w:r w:rsidR="005633E7">
        <w:t xml:space="preserve"> the program</w:t>
      </w:r>
      <w:r w:rsidR="003863F5">
        <w:t>’</w:t>
      </w:r>
      <w:r w:rsidR="005633E7">
        <w:t xml:space="preserve">s </w:t>
      </w:r>
      <w:r w:rsidR="000C6DB3">
        <w:t xml:space="preserve">complexity and </w:t>
      </w:r>
      <w:r w:rsidR="005633E7">
        <w:t>resource</w:t>
      </w:r>
      <w:r w:rsidR="008E6BB7">
        <w:t xml:space="preserve"> </w:t>
      </w:r>
      <w:r w:rsidR="00A16A86">
        <w:t>intensity as barriers to implementation</w:t>
      </w:r>
      <w:r w:rsidR="005633E7">
        <w:t xml:space="preserve">, </w:t>
      </w:r>
      <w:r w:rsidR="00D71AAD">
        <w:t>which were</w:t>
      </w:r>
      <w:r w:rsidR="008E6BB7">
        <w:t xml:space="preserve"> </w:t>
      </w:r>
      <w:r w:rsidR="00D71AAD">
        <w:t>compounded by</w:t>
      </w:r>
      <w:r w:rsidR="005633E7">
        <w:t xml:space="preserve"> </w:t>
      </w:r>
      <w:r w:rsidR="00CD0263">
        <w:t xml:space="preserve">ongoing digital integration issues. </w:t>
      </w:r>
      <w:r w:rsidR="00FF7148">
        <w:t>The suitability of s</w:t>
      </w:r>
      <w:r w:rsidR="00076CE8">
        <w:t xml:space="preserve">ome </w:t>
      </w:r>
      <w:r w:rsidR="00A16A86">
        <w:t xml:space="preserve">PACOP </w:t>
      </w:r>
      <w:r w:rsidR="00076CE8">
        <w:t xml:space="preserve">assessment tools </w:t>
      </w:r>
      <w:r w:rsidR="007F24AA">
        <w:t xml:space="preserve">was </w:t>
      </w:r>
      <w:r w:rsidR="00C9185A">
        <w:t xml:space="preserve">also </w:t>
      </w:r>
      <w:r w:rsidR="00A16A86">
        <w:t xml:space="preserve">questioned </w:t>
      </w:r>
      <w:r w:rsidR="00076CE8">
        <w:t xml:space="preserve">for residential aged care populations. </w:t>
      </w:r>
      <w:r w:rsidR="00C9185A">
        <w:t xml:space="preserve">Suggested </w:t>
      </w:r>
      <w:r w:rsidR="00A16A86">
        <w:t>refinements</w:t>
      </w:r>
      <w:r w:rsidR="00086783">
        <w:t xml:space="preserve"> to any future iterations</w:t>
      </w:r>
      <w:r w:rsidR="00A16A86">
        <w:t xml:space="preserve"> </w:t>
      </w:r>
      <w:r w:rsidR="00C9185A">
        <w:t xml:space="preserve">included </w:t>
      </w:r>
      <w:r w:rsidR="00076CE8">
        <w:t>simplifying</w:t>
      </w:r>
      <w:r w:rsidR="00CD0263">
        <w:t xml:space="preserve"> the model</w:t>
      </w:r>
      <w:r w:rsidR="00A70935">
        <w:t xml:space="preserve"> to </w:t>
      </w:r>
      <w:r w:rsidR="00086783">
        <w:t xml:space="preserve">improve </w:t>
      </w:r>
      <w:r w:rsidR="00A70935">
        <w:t>feasibility</w:t>
      </w:r>
      <w:r w:rsidR="00182158">
        <w:t xml:space="preserve"> within aged care settings</w:t>
      </w:r>
      <w:r w:rsidR="00076CE8">
        <w:t>, accelerating IT integration</w:t>
      </w:r>
      <w:r w:rsidR="0041150E">
        <w:t xml:space="preserve"> </w:t>
      </w:r>
      <w:r w:rsidR="00182158">
        <w:t xml:space="preserve">activities </w:t>
      </w:r>
      <w:r w:rsidR="0041150E">
        <w:t xml:space="preserve">to reduce </w:t>
      </w:r>
      <w:r w:rsidR="0041150E">
        <w:t>administrative burden</w:t>
      </w:r>
      <w:r w:rsidR="00182158">
        <w:t xml:space="preserve"> for providers</w:t>
      </w:r>
      <w:r w:rsidR="00D50637">
        <w:t>, and continuing to validate and adapt assessment tools to ensure clinical appropriateness</w:t>
      </w:r>
      <w:r w:rsidR="00216F6D">
        <w:t xml:space="preserve"> for aged care residents</w:t>
      </w:r>
      <w:r w:rsidR="00E3224E">
        <w:t>.</w:t>
      </w:r>
    </w:p>
    <w:p w14:paraId="2FDE81D0" w14:textId="684A9222" w:rsidR="00EE5B0D" w:rsidRDefault="00EE5B0D" w:rsidP="00EE5B0D">
      <w:pPr>
        <w:pStyle w:val="Heading3-nonumber"/>
      </w:pPr>
      <w:r>
        <w:t>Implementation</w:t>
      </w:r>
    </w:p>
    <w:p w14:paraId="73242221" w14:textId="116BB485" w:rsidR="00EE5B0D" w:rsidRDefault="00233766" w:rsidP="00E96285">
      <w:r>
        <w:t>The Measure was largely implemented as intended, with only minor contracting delays that did not significantly affect delivery</w:t>
      </w:r>
      <w:r w:rsidR="00086783">
        <w:t xml:space="preserve"> of core activities</w:t>
      </w:r>
      <w:r>
        <w:t>.</w:t>
      </w:r>
      <w:r w:rsidR="00BC2BC4">
        <w:t xml:space="preserve"> Leveraging the established infrastructure and evidence base of PEPA </w:t>
      </w:r>
      <w:r w:rsidR="007A429F">
        <w:t>and PCOC</w:t>
      </w:r>
      <w:r w:rsidR="00BC2BC4">
        <w:t xml:space="preserve"> </w:t>
      </w:r>
      <w:r w:rsidR="00B93E2F">
        <w:t xml:space="preserve">reportedly </w:t>
      </w:r>
      <w:r w:rsidR="00BC2BC4">
        <w:t>enabled streamlined implementation and reduced lead time.</w:t>
      </w:r>
    </w:p>
    <w:p w14:paraId="06834527" w14:textId="77777777" w:rsidR="00BC2BC4" w:rsidRDefault="00BC2BC4" w:rsidP="00BC2BC4">
      <w:pPr>
        <w:pStyle w:val="Heading4"/>
      </w:pPr>
      <w:r>
        <w:t>PEPA Aged Care</w:t>
      </w:r>
    </w:p>
    <w:p w14:paraId="4D01E655" w14:textId="5ECE9706" w:rsidR="00BC2BC4" w:rsidRDefault="00C7485A" w:rsidP="005102B4">
      <w:r>
        <w:t>PEPA Aged Care delivered all planned activities and exceeded</w:t>
      </w:r>
      <w:r w:rsidR="00700E9B">
        <w:t xml:space="preserve"> four of five key performance indicators</w:t>
      </w:r>
      <w:r w:rsidR="00E82C56">
        <w:t xml:space="preserve"> during the evaluation period</w:t>
      </w:r>
      <w:r w:rsidR="00700E9B">
        <w:t xml:space="preserve">. However, </w:t>
      </w:r>
      <w:r w:rsidR="002A2A2D">
        <w:t xml:space="preserve">completion of post-placement service improvement activities fell </w:t>
      </w:r>
      <w:r w:rsidR="00D66B7F">
        <w:t>below</w:t>
      </w:r>
      <w:r w:rsidR="002A2A2D">
        <w:t xml:space="preserve"> </w:t>
      </w:r>
      <w:r w:rsidR="001B277A">
        <w:t xml:space="preserve">planned </w:t>
      </w:r>
      <w:r w:rsidR="002A2A2D">
        <w:t>target</w:t>
      </w:r>
      <w:r w:rsidR="001B277A">
        <w:t>s</w:t>
      </w:r>
      <w:r w:rsidR="002D6FB5">
        <w:t>, indicating challenges in sustain</w:t>
      </w:r>
      <w:r w:rsidR="003A2936">
        <w:t xml:space="preserve">ing engagement and translating placement learnings into practice </w:t>
      </w:r>
      <w:r w:rsidR="00907ED7">
        <w:t>within participating sites</w:t>
      </w:r>
      <w:r w:rsidR="002A2A2D">
        <w:t>.</w:t>
      </w:r>
    </w:p>
    <w:p w14:paraId="2BB8BCAE" w14:textId="77777777" w:rsidR="00711A70" w:rsidRDefault="006834E8" w:rsidP="005102B4">
      <w:r>
        <w:t xml:space="preserve">Program uptake grew </w:t>
      </w:r>
      <w:proofErr w:type="gramStart"/>
      <w:r>
        <w:t>steadily</w:t>
      </w:r>
      <w:r w:rsidR="002A2A2D">
        <w:t>,</w:t>
      </w:r>
      <w:proofErr w:type="gramEnd"/>
      <w:r w:rsidR="002A2A2D">
        <w:t xml:space="preserve"> with 471 reverse PEPA Aged Care placements </w:t>
      </w:r>
      <w:r w:rsidR="005102B4">
        <w:t xml:space="preserve">delivered to 425 sites and 5,250 participants engaged nationally by June 2025. </w:t>
      </w:r>
      <w:r w:rsidR="002E7424">
        <w:t>Key participation enablers included the</w:t>
      </w:r>
      <w:r w:rsidR="003F5925">
        <w:t xml:space="preserve"> on-site</w:t>
      </w:r>
      <w:r w:rsidR="002E7424">
        <w:t xml:space="preserve"> reverse placement model</w:t>
      </w:r>
      <w:r w:rsidR="003F5925">
        <w:t>,</w:t>
      </w:r>
      <w:r w:rsidR="00753C78">
        <w:t xml:space="preserve"> funding for staff backfill</w:t>
      </w:r>
      <w:r w:rsidR="002E7424">
        <w:t xml:space="preserve">, </w:t>
      </w:r>
      <w:r w:rsidR="003F5925">
        <w:t xml:space="preserve">and </w:t>
      </w:r>
      <w:r w:rsidR="002E7424">
        <w:t xml:space="preserve">strong organisational leadership. </w:t>
      </w:r>
    </w:p>
    <w:p w14:paraId="19A562BF" w14:textId="23F36A64" w:rsidR="006834E8" w:rsidRDefault="006834E8" w:rsidP="005102B4">
      <w:r>
        <w:t>Participation was concentrated in residential aged care, with limited reach into home and community care settings</w:t>
      </w:r>
      <w:r w:rsidR="009E3BBB">
        <w:t xml:space="preserve"> and minimal engagement from </w:t>
      </w:r>
      <w:r>
        <w:t>primary and allied health professionals</w:t>
      </w:r>
      <w:r w:rsidR="0034148D">
        <w:t xml:space="preserve">. </w:t>
      </w:r>
    </w:p>
    <w:p w14:paraId="093B4C69" w14:textId="7B826F93" w:rsidR="00AA21F9" w:rsidRDefault="005102B4" w:rsidP="00E96285">
      <w:r w:rsidRPr="005102B4">
        <w:t xml:space="preserve">Demand </w:t>
      </w:r>
      <w:r w:rsidR="00DF5FC4">
        <w:t xml:space="preserve">for reverse PEPA Aged Care placements </w:t>
      </w:r>
      <w:r w:rsidRPr="005102B4">
        <w:t xml:space="preserve">consistently exceeded delivery capacity, evidenced by a waiting list of </w:t>
      </w:r>
      <w:r w:rsidR="0034148D">
        <w:t xml:space="preserve">more than </w:t>
      </w:r>
      <w:r w:rsidRPr="005102B4">
        <w:t>6</w:t>
      </w:r>
      <w:r w:rsidR="0034148D">
        <w:t>0</w:t>
      </w:r>
      <w:r w:rsidRPr="005102B4">
        <w:t xml:space="preserve"> sites</w:t>
      </w:r>
      <w:r w:rsidR="00D50C9C">
        <w:t xml:space="preserve"> in June 2025</w:t>
      </w:r>
      <w:r w:rsidRPr="005102B4">
        <w:t xml:space="preserve"> and an average wait time of 18 weeks. </w:t>
      </w:r>
      <w:r w:rsidR="00E121C3">
        <w:t>O</w:t>
      </w:r>
      <w:r w:rsidRPr="005102B4">
        <w:t>verall sector penetration remained modest at approximately 14% of aged care providers.</w:t>
      </w:r>
      <w:r w:rsidR="002E7424">
        <w:t xml:space="preserve"> </w:t>
      </w:r>
    </w:p>
    <w:p w14:paraId="34C2966F" w14:textId="7B653F01" w:rsidR="00BC2BC4" w:rsidRDefault="00AA21F9" w:rsidP="00E96285">
      <w:r>
        <w:t>Identified b</w:t>
      </w:r>
      <w:r w:rsidR="006B5861">
        <w:t>arriers</w:t>
      </w:r>
      <w:r w:rsidR="002E7424">
        <w:t xml:space="preserve"> to participation</w:t>
      </w:r>
      <w:r w:rsidR="006B5861">
        <w:t xml:space="preserve"> included</w:t>
      </w:r>
      <w:r w:rsidR="00146B05">
        <w:t xml:space="preserve"> the</w:t>
      </w:r>
      <w:r w:rsidR="006B5861">
        <w:t xml:space="preserve"> </w:t>
      </w:r>
      <w:r w:rsidR="00812F6A">
        <w:t>finite</w:t>
      </w:r>
      <w:r w:rsidR="00146B05">
        <w:t xml:space="preserve"> capacity of the PEPA Aged Care</w:t>
      </w:r>
      <w:r w:rsidR="00812F6A">
        <w:t xml:space="preserve"> nurse educator</w:t>
      </w:r>
      <w:r w:rsidR="00146B05">
        <w:t xml:space="preserve"> team</w:t>
      </w:r>
      <w:r w:rsidR="00AC293B">
        <w:t xml:space="preserve"> and</w:t>
      </w:r>
      <w:r w:rsidR="00812F6A">
        <w:t xml:space="preserve"> </w:t>
      </w:r>
      <w:r w:rsidR="008C5BC5">
        <w:t xml:space="preserve">low program awareness. The program employed </w:t>
      </w:r>
      <w:r w:rsidR="00303717">
        <w:t xml:space="preserve">a </w:t>
      </w:r>
      <w:r w:rsidR="00812F6A">
        <w:t>deliberately narrow promotional strateg</w:t>
      </w:r>
      <w:r w:rsidR="008C5BC5">
        <w:t xml:space="preserve">y </w:t>
      </w:r>
      <w:r w:rsidR="00711CF8">
        <w:t>to</w:t>
      </w:r>
      <w:r w:rsidR="00197A63">
        <w:t xml:space="preserve"> manage demand within </w:t>
      </w:r>
      <w:r w:rsidR="000218C8">
        <w:t>limited nurse educator capacity. However, this</w:t>
      </w:r>
      <w:r w:rsidR="00197A63">
        <w:t xml:space="preserve"> likely restricted </w:t>
      </w:r>
      <w:r w:rsidR="00E00E68">
        <w:t>program</w:t>
      </w:r>
      <w:r w:rsidR="00197A63">
        <w:t xml:space="preserve"> </w:t>
      </w:r>
      <w:r w:rsidR="00197A63">
        <w:lastRenderedPageBreak/>
        <w:t>visibility</w:t>
      </w:r>
      <w:r w:rsidR="00AC79E3">
        <w:t xml:space="preserve"> and </w:t>
      </w:r>
      <w:r w:rsidR="00E00E68">
        <w:t>masked</w:t>
      </w:r>
      <w:r w:rsidR="00C17584">
        <w:t xml:space="preserve"> the true extent of</w:t>
      </w:r>
      <w:r w:rsidR="00197A63">
        <w:t xml:space="preserve"> unmet </w:t>
      </w:r>
      <w:r w:rsidR="00FB52DA">
        <w:t>need</w:t>
      </w:r>
      <w:r w:rsidR="00197A63">
        <w:t>.</w:t>
      </w:r>
      <w:r w:rsidR="004A504E">
        <w:t xml:space="preserve"> Referral source data were inconsistently collected, limiting insights into engagement pathways. </w:t>
      </w:r>
    </w:p>
    <w:p w14:paraId="26285ABD" w14:textId="77777777" w:rsidR="00BC2BC4" w:rsidRDefault="00BC2BC4" w:rsidP="00BC2BC4">
      <w:pPr>
        <w:pStyle w:val="Heading4"/>
      </w:pPr>
      <w:r>
        <w:t>PACOP</w:t>
      </w:r>
    </w:p>
    <w:p w14:paraId="50CF098C" w14:textId="477ACC09" w:rsidR="00654458" w:rsidRDefault="00042645" w:rsidP="00E96285">
      <w:r>
        <w:t>PACOP delivered most planned activities</w:t>
      </w:r>
      <w:r w:rsidR="000A5341">
        <w:t xml:space="preserve"> during the evaluation period</w:t>
      </w:r>
      <w:r w:rsidR="00E2553E">
        <w:t xml:space="preserve">. </w:t>
      </w:r>
      <w:r w:rsidR="00B735FD">
        <w:t>However, plan</w:t>
      </w:r>
      <w:r w:rsidR="00E95B34">
        <w:t xml:space="preserve">ned IT integration </w:t>
      </w:r>
      <w:r w:rsidR="00CD1AC9">
        <w:t xml:space="preserve">activities were </w:t>
      </w:r>
      <w:r w:rsidR="005E3235">
        <w:t>consistently</w:t>
      </w:r>
      <w:r w:rsidR="00F8472A">
        <w:t xml:space="preserve"> delayed</w:t>
      </w:r>
      <w:r w:rsidR="00F51C1D">
        <w:t>, largely</w:t>
      </w:r>
      <w:r w:rsidR="00F8472A">
        <w:t xml:space="preserve"> </w:t>
      </w:r>
      <w:r w:rsidR="00BB59E9">
        <w:t>due to</w:t>
      </w:r>
      <w:r w:rsidR="00F8472A">
        <w:t xml:space="preserve"> competing priorities among IT vendors and internal capacity constraints.</w:t>
      </w:r>
    </w:p>
    <w:p w14:paraId="7337AEF0" w14:textId="3F5C9FC2" w:rsidR="00481222" w:rsidRDefault="00AC40CF" w:rsidP="00E96285">
      <w:r>
        <w:t>E</w:t>
      </w:r>
      <w:r w:rsidR="00E2553E">
        <w:t>arly provider participation targets</w:t>
      </w:r>
      <w:r w:rsidR="00F51C1D">
        <w:t xml:space="preserve"> for PACOP</w:t>
      </w:r>
      <w:r w:rsidR="00E2553E">
        <w:t xml:space="preserve"> were exceeded, </w:t>
      </w:r>
      <w:r>
        <w:t xml:space="preserve">but </w:t>
      </w:r>
      <w:r w:rsidR="000C424E">
        <w:t xml:space="preserve">uptake </w:t>
      </w:r>
      <w:r w:rsidR="00E2553E">
        <w:t>slowed over time</w:t>
      </w:r>
      <w:r w:rsidR="00D445AD">
        <w:t>. By June 2025,</w:t>
      </w:r>
      <w:r w:rsidR="00E2553E">
        <w:t xml:space="preserve"> approximately 17% of aged care homes and 12% of providers </w:t>
      </w:r>
      <w:r w:rsidR="00393104">
        <w:t xml:space="preserve">nationally </w:t>
      </w:r>
      <w:r w:rsidR="00D445AD">
        <w:t xml:space="preserve">were </w:t>
      </w:r>
      <w:r w:rsidR="00E2553E">
        <w:t xml:space="preserve">registered </w:t>
      </w:r>
      <w:r w:rsidR="00D445AD">
        <w:t>in the program</w:t>
      </w:r>
      <w:r w:rsidR="00E2553E">
        <w:t xml:space="preserve">. </w:t>
      </w:r>
      <w:r w:rsidR="00F32285">
        <w:t>Program uptake was driven primarily by smaller providers, while engagement among medium and larger providers remained relatively stable</w:t>
      </w:r>
      <w:r w:rsidR="0075093B">
        <w:t xml:space="preserve"> over time. </w:t>
      </w:r>
      <w:r w:rsidR="00285AD6">
        <w:t>Key enablers of participation included strong leadership commitment, alignment with sector reforms, and dedicated internal resources to champion and drive implementation</w:t>
      </w:r>
      <w:r w:rsidR="0075093B">
        <w:t xml:space="preserve">. </w:t>
      </w:r>
      <w:r w:rsidR="00E90161">
        <w:t>Identified</w:t>
      </w:r>
      <w:r w:rsidR="001077AF">
        <w:t xml:space="preserve"> barriers to participation and sustained engagement</w:t>
      </w:r>
      <w:r w:rsidR="00FE4323">
        <w:t xml:space="preserve"> </w:t>
      </w:r>
      <w:r w:rsidR="00E90161">
        <w:t>included</w:t>
      </w:r>
      <w:r w:rsidR="00FE4323">
        <w:t xml:space="preserve"> </w:t>
      </w:r>
      <w:r w:rsidR="001C4113">
        <w:t>the program’s resource intensity and</w:t>
      </w:r>
      <w:r w:rsidR="00251574">
        <w:t xml:space="preserve"> </w:t>
      </w:r>
      <w:r w:rsidR="00FE4323">
        <w:t xml:space="preserve">lack of </w:t>
      </w:r>
      <w:r w:rsidR="005C586B">
        <w:t xml:space="preserve">IT </w:t>
      </w:r>
      <w:r w:rsidR="00FE4323">
        <w:t>integration</w:t>
      </w:r>
      <w:r w:rsidR="0075093B">
        <w:t>, both of which</w:t>
      </w:r>
      <w:r w:rsidR="00C57D54">
        <w:t xml:space="preserve"> likely contributed to slowed uptake</w:t>
      </w:r>
      <w:r w:rsidR="00A5685C">
        <w:t xml:space="preserve"> and </w:t>
      </w:r>
      <w:r w:rsidR="00315737">
        <w:t xml:space="preserve">limited </w:t>
      </w:r>
      <w:r w:rsidR="00A5685C">
        <w:t xml:space="preserve">participation in </w:t>
      </w:r>
      <w:r w:rsidR="00315737">
        <w:t xml:space="preserve">benchmarking </w:t>
      </w:r>
      <w:r w:rsidR="00A5685C">
        <w:t>activities</w:t>
      </w:r>
      <w:r w:rsidR="00315737">
        <w:t xml:space="preserve">. Stakeholders </w:t>
      </w:r>
      <w:r w:rsidR="00FE4323">
        <w:t xml:space="preserve">consistently </w:t>
      </w:r>
      <w:r w:rsidR="003E5D80">
        <w:t>highlighted the need for a simplified model</w:t>
      </w:r>
      <w:r w:rsidR="00ED70C1">
        <w:t>, additional implementation support, and</w:t>
      </w:r>
      <w:r w:rsidR="007A6AEA">
        <w:t xml:space="preserve"> streamlined IT solutions</w:t>
      </w:r>
      <w:r w:rsidR="00ED70C1">
        <w:t xml:space="preserve"> </w:t>
      </w:r>
      <w:r w:rsidR="00C86E69">
        <w:t>to improve feasibility</w:t>
      </w:r>
      <w:r w:rsidR="007F1038">
        <w:t xml:space="preserve"> and support broader uptake</w:t>
      </w:r>
      <w:r w:rsidR="003036E7">
        <w:t>.</w:t>
      </w:r>
      <w:r w:rsidR="008F4A47">
        <w:t xml:space="preserve"> </w:t>
      </w:r>
      <w:r w:rsidR="003A04B9">
        <w:t xml:space="preserve">Low program awareness was also identified as a </w:t>
      </w:r>
      <w:r w:rsidR="00A6580E">
        <w:t xml:space="preserve">barrier to uptake. </w:t>
      </w:r>
      <w:r w:rsidR="003E5D80">
        <w:t xml:space="preserve">Although </w:t>
      </w:r>
      <w:r w:rsidR="00A6580E">
        <w:t>PACOP</w:t>
      </w:r>
      <w:r w:rsidR="003E5D80">
        <w:t xml:space="preserve"> use</w:t>
      </w:r>
      <w:r w:rsidR="00A6580E">
        <w:t xml:space="preserve"> multiple</w:t>
      </w:r>
      <w:r w:rsidR="003E5D80">
        <w:t xml:space="preserve"> engagement</w:t>
      </w:r>
      <w:r w:rsidR="00A6580E">
        <w:t xml:space="preserve"> channel</w:t>
      </w:r>
      <w:r w:rsidR="0086450E">
        <w:t xml:space="preserve">s, </w:t>
      </w:r>
      <w:r w:rsidR="0069128C">
        <w:t xml:space="preserve">reliance on PACOP-owned platforms and </w:t>
      </w:r>
      <w:r w:rsidR="00B778CD">
        <w:t>minimal</w:t>
      </w:r>
      <w:r w:rsidR="0069128C">
        <w:t xml:space="preserve"> external marketing likely </w:t>
      </w:r>
      <w:r w:rsidR="00B778CD">
        <w:t>limited</w:t>
      </w:r>
      <w:r w:rsidR="00A03F7F">
        <w:t xml:space="preserve"> visibility. </w:t>
      </w:r>
      <w:r w:rsidR="0069128C">
        <w:t xml:space="preserve">A broader engagement approach was recommended to </w:t>
      </w:r>
      <w:r w:rsidR="00B778CD">
        <w:t>improve</w:t>
      </w:r>
      <w:r w:rsidR="0069128C">
        <w:t xml:space="preserve"> reach</w:t>
      </w:r>
      <w:r w:rsidR="000654D7">
        <w:t xml:space="preserve"> and</w:t>
      </w:r>
      <w:r w:rsidR="0069128C">
        <w:t xml:space="preserve"> identify unmet demand.</w:t>
      </w:r>
    </w:p>
    <w:p w14:paraId="68F4C0AF" w14:textId="754F1E65" w:rsidR="003A04B9" w:rsidRDefault="003A04B9" w:rsidP="003A04B9">
      <w:r>
        <w:t xml:space="preserve">By June 2025, nearly 70% of registered homes were implementing the full PACOP </w:t>
      </w:r>
      <w:r w:rsidR="0086450E">
        <w:t xml:space="preserve">Profile and Outcomes Collections </w:t>
      </w:r>
      <w:r>
        <w:t xml:space="preserve">protocol, </w:t>
      </w:r>
      <w:r w:rsidR="00CC380A">
        <w:t>indicating</w:t>
      </w:r>
      <w:r w:rsidR="0086450E">
        <w:t xml:space="preserve"> </w:t>
      </w:r>
      <w:r>
        <w:t>depth of</w:t>
      </w:r>
      <w:r w:rsidR="00CC380A">
        <w:t xml:space="preserve"> </w:t>
      </w:r>
      <w:r w:rsidR="008545CF">
        <w:t>adoption</w:t>
      </w:r>
      <w:r>
        <w:t xml:space="preserve">. However, fewer than 30% </w:t>
      </w:r>
      <w:r w:rsidR="000654D7">
        <w:t xml:space="preserve">of registered homes </w:t>
      </w:r>
      <w:r>
        <w:t>were engaged in national benchmarking, limiting opportunities for sector-wide quality improvement.</w:t>
      </w:r>
    </w:p>
    <w:p w14:paraId="0250ACE2" w14:textId="4F1CEEF0" w:rsidR="003036E7" w:rsidRDefault="0069128C" w:rsidP="00E96285">
      <w:r>
        <w:t>PACOP</w:t>
      </w:r>
      <w:r w:rsidR="003863F5">
        <w:t>’</w:t>
      </w:r>
      <w:r>
        <w:t xml:space="preserve">s educational activities, including workshops, online modules, and communities of practice, were widely accessed and highly rated. </w:t>
      </w:r>
      <w:r w:rsidR="00673930">
        <w:t xml:space="preserve">Delivery </w:t>
      </w:r>
      <w:r w:rsidR="00673930">
        <w:t>models were adapted over time to meet evolving sector needs and expand reach.</w:t>
      </w:r>
    </w:p>
    <w:p w14:paraId="26B3DDC6" w14:textId="4BD6E829" w:rsidR="00EE5B0D" w:rsidRDefault="00EE5B0D" w:rsidP="00EE5B0D">
      <w:pPr>
        <w:pStyle w:val="Heading3-nonumber"/>
      </w:pPr>
      <w:r>
        <w:t>Effectiveness</w:t>
      </w:r>
    </w:p>
    <w:p w14:paraId="0D0C237A" w14:textId="68E342FC" w:rsidR="00EE5B0D" w:rsidRDefault="008C0D80" w:rsidP="00E96285">
      <w:r>
        <w:t>Evaluation findings indicated the Measure cont</w:t>
      </w:r>
      <w:r w:rsidR="00545FF2">
        <w:t xml:space="preserve">ributed to improvements in workforce and organisational capability in participating aged care </w:t>
      </w:r>
      <w:r w:rsidR="002A2751">
        <w:t>sites/homes</w:t>
      </w:r>
      <w:r w:rsidR="00545FF2">
        <w:t>.</w:t>
      </w:r>
      <w:r w:rsidR="000F58E3">
        <w:t xml:space="preserve"> Early outcome signals were mixed, </w:t>
      </w:r>
      <w:r w:rsidR="00403BF5">
        <w:t xml:space="preserve">likely </w:t>
      </w:r>
      <w:r w:rsidR="000F58E3">
        <w:t>r</w:t>
      </w:r>
      <w:r w:rsidR="009F7ABD">
        <w:t>eflecting the programs</w:t>
      </w:r>
      <w:r w:rsidR="003863F5">
        <w:t>’</w:t>
      </w:r>
      <w:r w:rsidR="009F7ABD">
        <w:t xml:space="preserve"> early stage of implementation</w:t>
      </w:r>
      <w:r w:rsidR="008545CF">
        <w:t xml:space="preserve"> and limitations in available data</w:t>
      </w:r>
      <w:r w:rsidR="009F7ABD">
        <w:t>.</w:t>
      </w:r>
    </w:p>
    <w:p w14:paraId="3C140A64" w14:textId="77777777" w:rsidR="00BC2BC4" w:rsidRDefault="00BC2BC4" w:rsidP="00BC2BC4">
      <w:pPr>
        <w:pStyle w:val="Heading4"/>
      </w:pPr>
      <w:r>
        <w:t>PEPA Aged Care</w:t>
      </w:r>
    </w:p>
    <w:p w14:paraId="4FE70A71" w14:textId="7A06ACA1" w:rsidR="00F057C9" w:rsidRDefault="00143E84" w:rsidP="00E96285">
      <w:r>
        <w:t>Triangulated evidence suggested that PEPA Aged Care</w:t>
      </w:r>
      <w:r w:rsidR="008545CF">
        <w:t xml:space="preserve"> contributed to perceived</w:t>
      </w:r>
      <w:r>
        <w:t xml:space="preserve"> </w:t>
      </w:r>
      <w:r w:rsidR="00C63736">
        <w:t>improve</w:t>
      </w:r>
      <w:r w:rsidR="008545CF">
        <w:t>ments i</w:t>
      </w:r>
      <w:r w:rsidR="00470E38">
        <w:t>n staff</w:t>
      </w:r>
      <w:r w:rsidR="00EF0379">
        <w:t xml:space="preserve"> knowledge, skills, and confidence </w:t>
      </w:r>
      <w:r w:rsidR="00DE48D2">
        <w:t>across core domains</w:t>
      </w:r>
      <w:r w:rsidR="00400274">
        <w:t xml:space="preserve"> of palliative care delivery</w:t>
      </w:r>
      <w:r w:rsidR="00DE48D2">
        <w:t xml:space="preserve">. </w:t>
      </w:r>
      <w:r w:rsidR="00580D1B">
        <w:t>Findings suggested that b</w:t>
      </w:r>
      <w:r w:rsidR="000D0B87">
        <w:t xml:space="preserve">enefits were </w:t>
      </w:r>
      <w:r w:rsidR="0044622E">
        <w:t xml:space="preserve">concentrated among </w:t>
      </w:r>
      <w:r w:rsidR="00E970D4">
        <w:t xml:space="preserve">direct </w:t>
      </w:r>
      <w:r w:rsidR="00EA610B">
        <w:t xml:space="preserve">aged </w:t>
      </w:r>
      <w:r w:rsidR="00E970D4">
        <w:t xml:space="preserve">care staff, including </w:t>
      </w:r>
      <w:r w:rsidR="00DD3FAC">
        <w:t>registered and enrolled nurses and personal care workers.</w:t>
      </w:r>
    </w:p>
    <w:p w14:paraId="0E746F93" w14:textId="2160C6AB" w:rsidR="00EE5B0D" w:rsidRDefault="000511B9" w:rsidP="00E96285">
      <w:r>
        <w:t xml:space="preserve">At the organisational level, sites reported greater integration of palliative care into core business, </w:t>
      </w:r>
      <w:r w:rsidR="00713B33">
        <w:t xml:space="preserve">improved palliative care capability and culture, </w:t>
      </w:r>
      <w:r w:rsidR="00566762">
        <w:t>enhanced end-of-life planning</w:t>
      </w:r>
      <w:r w:rsidR="00630EC6">
        <w:t>, and strengthened linkages with external palliative care providers</w:t>
      </w:r>
      <w:r w:rsidR="00580D1B">
        <w:t xml:space="preserve"> </w:t>
      </w:r>
      <w:proofErr w:type="gramStart"/>
      <w:r w:rsidR="00580D1B">
        <w:t>as a result of</w:t>
      </w:r>
      <w:proofErr w:type="gramEnd"/>
      <w:r w:rsidR="00580D1B">
        <w:t xml:space="preserve"> participation in PEPA Aged Care</w:t>
      </w:r>
      <w:r w:rsidR="00566762">
        <w:t xml:space="preserve">. </w:t>
      </w:r>
      <w:r w:rsidR="004814F1">
        <w:t xml:space="preserve">Post-placement service improvement </w:t>
      </w:r>
      <w:r w:rsidR="00C179E1">
        <w:t>activities</w:t>
      </w:r>
      <w:r w:rsidR="002E7B7C">
        <w:t>,</w:t>
      </w:r>
      <w:r w:rsidR="00C179E1">
        <w:t xml:space="preserve"> </w:t>
      </w:r>
      <w:r w:rsidR="00727BED">
        <w:t>such as internal education and resource development,</w:t>
      </w:r>
      <w:r w:rsidR="004814F1">
        <w:t xml:space="preserve"> were</w:t>
      </w:r>
      <w:r w:rsidR="00C179E1">
        <w:t xml:space="preserve"> identified as an important</w:t>
      </w:r>
      <w:r w:rsidR="00F057C9">
        <w:t xml:space="preserve"> mechanism for translating </w:t>
      </w:r>
      <w:r w:rsidR="00C27A7C">
        <w:t>learning into practice</w:t>
      </w:r>
      <w:r w:rsidR="00E5439C">
        <w:t>.</w:t>
      </w:r>
    </w:p>
    <w:p w14:paraId="21984A7E" w14:textId="33F6C098" w:rsidR="00BC2BC4" w:rsidRDefault="00682C11" w:rsidP="00E96285">
      <w:r>
        <w:t>Perceive</w:t>
      </w:r>
      <w:r w:rsidR="00E11E31">
        <w:t xml:space="preserve">d outcomes for </w:t>
      </w:r>
      <w:r>
        <w:t>care</w:t>
      </w:r>
      <w:r w:rsidR="00E11E31">
        <w:t xml:space="preserve"> recipients</w:t>
      </w:r>
      <w:r w:rsidR="000773A8">
        <w:t xml:space="preserve"> and families</w:t>
      </w:r>
      <w:r>
        <w:t xml:space="preserve"> included timelier identification of palliative care needs, more consistent family communication and support, </w:t>
      </w:r>
      <w:r w:rsidR="007A6166">
        <w:t xml:space="preserve">and improved end-of-life outcomes. However, </w:t>
      </w:r>
      <w:r w:rsidR="000773A8">
        <w:t xml:space="preserve">these </w:t>
      </w:r>
      <w:r w:rsidR="00532034">
        <w:t xml:space="preserve">perceived </w:t>
      </w:r>
      <w:r w:rsidR="007A6166">
        <w:t xml:space="preserve">outcomes could not be objectively validated </w:t>
      </w:r>
      <w:r w:rsidR="000773A8">
        <w:t>due to the absence of</w:t>
      </w:r>
      <w:r w:rsidR="00D6711C">
        <w:t xml:space="preserve"> measurable outcome data</w:t>
      </w:r>
      <w:r w:rsidR="00D10A17">
        <w:t xml:space="preserve"> during the evaluation period</w:t>
      </w:r>
      <w:r w:rsidR="00532034">
        <w:t>.</w:t>
      </w:r>
    </w:p>
    <w:p w14:paraId="4F6AB41D" w14:textId="77777777" w:rsidR="00BC2BC4" w:rsidRDefault="00BC2BC4" w:rsidP="00BC2BC4">
      <w:pPr>
        <w:pStyle w:val="Heading4"/>
      </w:pPr>
      <w:r>
        <w:lastRenderedPageBreak/>
        <w:t>PACOP</w:t>
      </w:r>
    </w:p>
    <w:p w14:paraId="5E558F41" w14:textId="331C23A7" w:rsidR="00BC2BC4" w:rsidRDefault="006A08E5" w:rsidP="00E96285">
      <w:r>
        <w:t xml:space="preserve">Evaluation findings indicated that </w:t>
      </w:r>
      <w:r w:rsidR="00D607D0">
        <w:t xml:space="preserve">PACOP contributed to </w:t>
      </w:r>
      <w:r w:rsidR="008C268F">
        <w:t xml:space="preserve">improved staff confidence and capability in key domains of palliative care delivery, including recognising deterioration, </w:t>
      </w:r>
      <w:r w:rsidR="00F16151">
        <w:t>initiating timely conversations</w:t>
      </w:r>
      <w:r w:rsidR="00864CF7">
        <w:t xml:space="preserve">, and collaborating with external providers. </w:t>
      </w:r>
      <w:r w:rsidR="00951D40">
        <w:t>Findings suggested that b</w:t>
      </w:r>
      <w:r w:rsidR="00A80901">
        <w:t xml:space="preserve">enefits were likely concentrated among </w:t>
      </w:r>
      <w:r w:rsidR="004D6CDF">
        <w:t>direct care staff</w:t>
      </w:r>
      <w:r w:rsidR="00490ADF">
        <w:t xml:space="preserve">. </w:t>
      </w:r>
      <w:r w:rsidR="00C727AA" w:rsidRPr="00C727AA">
        <w:t xml:space="preserve">While </w:t>
      </w:r>
      <w:r w:rsidR="00C727AA">
        <w:t>PACOP</w:t>
      </w:r>
      <w:r w:rsidR="00C727AA" w:rsidRPr="00C727AA">
        <w:t xml:space="preserve"> survey</w:t>
      </w:r>
      <w:r w:rsidR="00C727AA">
        <w:t xml:space="preserve"> </w:t>
      </w:r>
      <w:r w:rsidR="00C727AA" w:rsidRPr="00C727AA">
        <w:t xml:space="preserve">respondents </w:t>
      </w:r>
      <w:r w:rsidR="00A602BD">
        <w:t>identified</w:t>
      </w:r>
      <w:r w:rsidR="00C727AA" w:rsidRPr="00C727AA">
        <w:t xml:space="preserve"> potential benefits for GPs, </w:t>
      </w:r>
      <w:r w:rsidR="00694DE3">
        <w:t xml:space="preserve">evidence suggested </w:t>
      </w:r>
      <w:r w:rsidR="00633FDA">
        <w:t>minimal</w:t>
      </w:r>
      <w:r w:rsidR="00694DE3">
        <w:t xml:space="preserve"> participation</w:t>
      </w:r>
      <w:r w:rsidR="004509D7">
        <w:t xml:space="preserve"> among </w:t>
      </w:r>
      <w:r w:rsidR="002B41EE">
        <w:t>this group.</w:t>
      </w:r>
    </w:p>
    <w:p w14:paraId="72C78596" w14:textId="4A5963B8" w:rsidR="00B33E73" w:rsidRDefault="00B33E73" w:rsidP="00E96285">
      <w:r>
        <w:t xml:space="preserve">Participating homes reported </w:t>
      </w:r>
      <w:r w:rsidR="00B26BD7">
        <w:t>positive improvements in</w:t>
      </w:r>
      <w:r>
        <w:t xml:space="preserve"> </w:t>
      </w:r>
      <w:r w:rsidR="00676445">
        <w:t xml:space="preserve">a range of areas, including </w:t>
      </w:r>
      <w:r>
        <w:t xml:space="preserve">organisational </w:t>
      </w:r>
      <w:r w:rsidR="002B41EE">
        <w:t xml:space="preserve">palliative care </w:t>
      </w:r>
      <w:r>
        <w:t>capability</w:t>
      </w:r>
      <w:r w:rsidR="007F67A7">
        <w:t xml:space="preserve"> and culture</w:t>
      </w:r>
      <w:r>
        <w:t xml:space="preserve">, </w:t>
      </w:r>
      <w:r w:rsidR="004D2111">
        <w:t>processes</w:t>
      </w:r>
      <w:r w:rsidR="007F67A7">
        <w:t xml:space="preserve"> for </w:t>
      </w:r>
      <w:r w:rsidR="00655A66">
        <w:t xml:space="preserve">measuring and monitoring palliative care outcomes, and </w:t>
      </w:r>
      <w:r w:rsidR="0032618B">
        <w:t>the</w:t>
      </w:r>
      <w:r w:rsidR="00655A66">
        <w:t xml:space="preserve"> use of data to inform quality improvement. </w:t>
      </w:r>
      <w:r w:rsidR="00272E47">
        <w:t>Most</w:t>
      </w:r>
      <w:r w:rsidR="001B4105">
        <w:t xml:space="preserve"> </w:t>
      </w:r>
      <w:r w:rsidR="00530726">
        <w:t xml:space="preserve">PACOP survey respondents reported making organisational improvements </w:t>
      </w:r>
      <w:proofErr w:type="gramStart"/>
      <w:r w:rsidR="00530726">
        <w:t>as a result of</w:t>
      </w:r>
      <w:proofErr w:type="gramEnd"/>
      <w:r w:rsidR="00530726">
        <w:t xml:space="preserve"> participation, </w:t>
      </w:r>
      <w:r w:rsidR="00E64556">
        <w:t xml:space="preserve">such as </w:t>
      </w:r>
      <w:r w:rsidR="000F6325">
        <w:t xml:space="preserve">enhancing </w:t>
      </w:r>
      <w:r w:rsidR="00530726">
        <w:t xml:space="preserve">policies and procedures, </w:t>
      </w:r>
      <w:r w:rsidR="000F6325">
        <w:t>developing new</w:t>
      </w:r>
      <w:r w:rsidR="00530726">
        <w:t xml:space="preserve"> resources, </w:t>
      </w:r>
      <w:r w:rsidR="000F6325">
        <w:t>delivering</w:t>
      </w:r>
      <w:r w:rsidR="003C0007">
        <w:t xml:space="preserve"> additional staff training, and strengthening</w:t>
      </w:r>
      <w:r w:rsidR="00941635">
        <w:t xml:space="preserve"> </w:t>
      </w:r>
      <w:r w:rsidR="00215EE8">
        <w:t xml:space="preserve">external </w:t>
      </w:r>
      <w:r w:rsidR="00941635">
        <w:t>collaboration.</w:t>
      </w:r>
    </w:p>
    <w:p w14:paraId="57AFBE1B" w14:textId="6FEB1734" w:rsidR="00E72CA4" w:rsidRDefault="00361A8D" w:rsidP="00E96285">
      <w:r>
        <w:t xml:space="preserve">PACOP was perceived </w:t>
      </w:r>
      <w:r w:rsidR="00E249F9">
        <w:t xml:space="preserve">by stakeholders </w:t>
      </w:r>
      <w:r>
        <w:t xml:space="preserve">to improve care experiences for residents and families, primarily through </w:t>
      </w:r>
      <w:r w:rsidR="00AE152D">
        <w:t xml:space="preserve">supporting </w:t>
      </w:r>
      <w:r>
        <w:t xml:space="preserve">earlier identification of palliative care needs and better symptom management. </w:t>
      </w:r>
      <w:r w:rsidR="003A3298">
        <w:t>However, b</w:t>
      </w:r>
      <w:r>
        <w:t xml:space="preserve">enchmarking data </w:t>
      </w:r>
      <w:r w:rsidR="003A3298">
        <w:t xml:space="preserve">did not consistently reflect these perceived gains, </w:t>
      </w:r>
      <w:r>
        <w:t>show</w:t>
      </w:r>
      <w:r w:rsidR="00E5663D">
        <w:t>ing</w:t>
      </w:r>
      <w:r>
        <w:t xml:space="preserve"> early improvements in </w:t>
      </w:r>
      <w:r w:rsidR="00C34ADF">
        <w:t xml:space="preserve">some areas, such as </w:t>
      </w:r>
      <w:r>
        <w:t xml:space="preserve">pain </w:t>
      </w:r>
      <w:r w:rsidR="00B32B7B">
        <w:t>management</w:t>
      </w:r>
      <w:r w:rsidR="00E5663D">
        <w:t xml:space="preserve">, alongside </w:t>
      </w:r>
      <w:r w:rsidR="00580CDB">
        <w:t>declines in several indicators of timely identification of palliative care needs, palliative care initiation, and stabilisation during acute phases</w:t>
      </w:r>
      <w:r w:rsidR="006F4033">
        <w:t>.</w:t>
      </w:r>
      <w:r w:rsidR="00B32B7B">
        <w:t xml:space="preserve"> </w:t>
      </w:r>
      <w:r w:rsidR="006F4033">
        <w:t>S</w:t>
      </w:r>
      <w:r w:rsidR="00067882">
        <w:t xml:space="preserve">everal process </w:t>
      </w:r>
      <w:r w:rsidR="00C47B3E">
        <w:t xml:space="preserve">benchmarking </w:t>
      </w:r>
      <w:r w:rsidR="00067882">
        <w:t>indicators</w:t>
      </w:r>
      <w:r w:rsidR="0009380B">
        <w:t xml:space="preserve"> tracking adherence to the PACOP protocol</w:t>
      </w:r>
      <w:r w:rsidR="00067882">
        <w:t xml:space="preserve"> </w:t>
      </w:r>
      <w:r w:rsidR="00003A51">
        <w:t xml:space="preserve">also </w:t>
      </w:r>
      <w:r w:rsidR="00067882">
        <w:t>declined</w:t>
      </w:r>
      <w:r w:rsidR="00185559">
        <w:t xml:space="preserve"> over the evaluation period, </w:t>
      </w:r>
      <w:r w:rsidR="00A20477">
        <w:t>suggesting implementation</w:t>
      </w:r>
      <w:r w:rsidR="002A529B">
        <w:t xml:space="preserve"> </w:t>
      </w:r>
      <w:r w:rsidR="00C14FBE">
        <w:t>challenges in some homes</w:t>
      </w:r>
      <w:r w:rsidR="00A20477">
        <w:t xml:space="preserve">. </w:t>
      </w:r>
    </w:p>
    <w:p w14:paraId="57CE1A57" w14:textId="0683B8E4" w:rsidR="00361A8D" w:rsidRDefault="00882D88" w:rsidP="00E96285">
      <w:r>
        <w:t xml:space="preserve">Perceptions of </w:t>
      </w:r>
      <w:r w:rsidR="00E72CA4">
        <w:t>the program</w:t>
      </w:r>
      <w:r w:rsidR="003863F5">
        <w:t>’</w:t>
      </w:r>
      <w:r w:rsidR="00E72CA4">
        <w:t>s impact</w:t>
      </w:r>
      <w:r>
        <w:t xml:space="preserve"> on hospital utilisation were mixed</w:t>
      </w:r>
      <w:r w:rsidR="00DC39EA">
        <w:t>,</w:t>
      </w:r>
      <w:r>
        <w:t xml:space="preserve"> and </w:t>
      </w:r>
      <w:r w:rsidR="00E72CA4">
        <w:t>PACOP assessment</w:t>
      </w:r>
      <w:r>
        <w:t xml:space="preserve"> data did not yet</w:t>
      </w:r>
      <w:r w:rsidR="001C4B1E">
        <w:t xml:space="preserve"> </w:t>
      </w:r>
      <w:r w:rsidR="00211AE1">
        <w:t>show</w:t>
      </w:r>
      <w:r w:rsidR="001C4B1E">
        <w:t xml:space="preserve"> aggregate reductions</w:t>
      </w:r>
      <w:r w:rsidR="00E405FB">
        <w:t xml:space="preserve"> in hospital or emergency department presentations</w:t>
      </w:r>
      <w:r w:rsidR="005A786C">
        <w:t>, likely due to the early stage of</w:t>
      </w:r>
      <w:r w:rsidR="00962C86">
        <w:t xml:space="preserve"> program implementation</w:t>
      </w:r>
      <w:r w:rsidR="003D78B5">
        <w:t xml:space="preserve"> and potential external confounding influences</w:t>
      </w:r>
      <w:r w:rsidR="00F26D64">
        <w:t>.</w:t>
      </w:r>
    </w:p>
    <w:p w14:paraId="37B4AA24" w14:textId="597A4447" w:rsidR="00EE5B0D" w:rsidRDefault="00EE5B0D" w:rsidP="00EE5B0D">
      <w:pPr>
        <w:pStyle w:val="Heading3-nonumber"/>
      </w:pPr>
      <w:r>
        <w:t>Efficiency</w:t>
      </w:r>
    </w:p>
    <w:p w14:paraId="584131FB" w14:textId="762019FF" w:rsidR="00E812CA" w:rsidRPr="00E812CA" w:rsidRDefault="00E812CA" w:rsidP="00E812CA">
      <w:r>
        <w:t xml:space="preserve">A comprehensive economic analysis was not </w:t>
      </w:r>
      <w:r w:rsidR="00FF0C72">
        <w:t xml:space="preserve">feasible within the evaluation timeframe due to data and timing limitations. </w:t>
      </w:r>
      <w:r w:rsidR="0095594B">
        <w:t>T</w:t>
      </w:r>
      <w:r w:rsidR="00FF0C72">
        <w:t xml:space="preserve">he efficiency assessment </w:t>
      </w:r>
      <w:r w:rsidR="008016A5">
        <w:t xml:space="preserve">therefore </w:t>
      </w:r>
      <w:r w:rsidR="00FF0C72">
        <w:t xml:space="preserve">focused on </w:t>
      </w:r>
      <w:r w:rsidR="00E268CF">
        <w:t xml:space="preserve">funding utilisation, </w:t>
      </w:r>
      <w:r w:rsidR="00FF0C72">
        <w:t>cost-efficiency</w:t>
      </w:r>
      <w:r w:rsidR="00E268CF">
        <w:t>,</w:t>
      </w:r>
      <w:r w:rsidR="001E576D">
        <w:t xml:space="preserve"> </w:t>
      </w:r>
      <w:r w:rsidR="00FF0C72">
        <w:t>and indicative benefits</w:t>
      </w:r>
      <w:r w:rsidR="00AF325A">
        <w:t>, highlighting opportunities to strengthen future value for investment</w:t>
      </w:r>
      <w:r w:rsidR="00FF0C72">
        <w:t>.</w:t>
      </w:r>
    </w:p>
    <w:p w14:paraId="3B9C1392" w14:textId="77777777" w:rsidR="00BC2BC4" w:rsidRDefault="00BC2BC4" w:rsidP="00BC2BC4">
      <w:pPr>
        <w:pStyle w:val="Heading4"/>
      </w:pPr>
      <w:r>
        <w:t>PEPA Aged Care</w:t>
      </w:r>
    </w:p>
    <w:p w14:paraId="6EEAF0C4" w14:textId="77777777" w:rsidR="003A74A5" w:rsidRDefault="0065591F" w:rsidP="00E96285">
      <w:r>
        <w:t>The Australian Government provided</w:t>
      </w:r>
      <w:r w:rsidR="00AF325A">
        <w:t xml:space="preserve"> QUT with</w:t>
      </w:r>
      <w:r>
        <w:t xml:space="preserve"> $7.62 million </w:t>
      </w:r>
      <w:r w:rsidR="00E20035">
        <w:t>to deliver PEPA Aged Care over 2021–22</w:t>
      </w:r>
      <w:r w:rsidR="00060875">
        <w:t xml:space="preserve"> to 2024–25</w:t>
      </w:r>
      <w:r w:rsidR="00E20035">
        <w:t xml:space="preserve">. </w:t>
      </w:r>
      <w:r w:rsidR="007A3D98" w:rsidRPr="007A3D98">
        <w:t>While the program was delivered within budget, a cumulative underspend of more than $2 million was carried forward to June 2025</w:t>
      </w:r>
      <w:r w:rsidR="00EE4FD5">
        <w:t>. M</w:t>
      </w:r>
      <w:r w:rsidR="00EB36F8" w:rsidRPr="00EB36F8">
        <w:t>ost budget lines were well below allocations</w:t>
      </w:r>
      <w:r w:rsidR="00E24774">
        <w:t>,</w:t>
      </w:r>
      <w:r w:rsidR="00EE4FD5">
        <w:t xml:space="preserve"> and r</w:t>
      </w:r>
      <w:r w:rsidR="00EB36F8" w:rsidRPr="00EB36F8">
        <w:t xml:space="preserve">olled-over funds were largely </w:t>
      </w:r>
      <w:r w:rsidR="00E24774">
        <w:t>un</w:t>
      </w:r>
      <w:r w:rsidR="00EB36F8" w:rsidRPr="00EB36F8">
        <w:t>expended</w:t>
      </w:r>
      <w:r w:rsidR="00EE4FD5">
        <w:t xml:space="preserve">, </w:t>
      </w:r>
      <w:r w:rsidR="007A3D98" w:rsidRPr="007A3D98">
        <w:t>indicat</w:t>
      </w:r>
      <w:r w:rsidR="00EE4FD5">
        <w:t>ing</w:t>
      </w:r>
      <w:r w:rsidR="007A3D98" w:rsidRPr="007A3D98">
        <w:t xml:space="preserve"> delivery constraints</w:t>
      </w:r>
      <w:r w:rsidR="00530443">
        <w:t>.</w:t>
      </w:r>
      <w:r w:rsidR="007F26C9">
        <w:t xml:space="preserve"> </w:t>
      </w:r>
    </w:p>
    <w:p w14:paraId="7B4A2E1B" w14:textId="3E30AEDA" w:rsidR="002E31E8" w:rsidRDefault="007F26C9" w:rsidP="00E96285">
      <w:r>
        <w:t xml:space="preserve">Marketing </w:t>
      </w:r>
      <w:proofErr w:type="gramStart"/>
      <w:r w:rsidR="00600A33">
        <w:t>spend</w:t>
      </w:r>
      <w:proofErr w:type="gramEnd"/>
      <w:r>
        <w:t xml:space="preserve"> remained low (~2% of total </w:t>
      </w:r>
      <w:r w:rsidR="00600A33">
        <w:t>expenditure</w:t>
      </w:r>
      <w:r>
        <w:t>)</w:t>
      </w:r>
      <w:r w:rsidR="001F1169">
        <w:t>. This reflected</w:t>
      </w:r>
      <w:r>
        <w:t xml:space="preserve"> the program</w:t>
      </w:r>
      <w:r w:rsidR="003863F5">
        <w:t>’</w:t>
      </w:r>
      <w:r>
        <w:t>s deliberate</w:t>
      </w:r>
      <w:r w:rsidR="00600A33">
        <w:t xml:space="preserve"> strategy to manage demand within </w:t>
      </w:r>
      <w:r w:rsidR="005C5ECA">
        <w:t xml:space="preserve">nurse educator </w:t>
      </w:r>
      <w:r w:rsidR="000752B8">
        <w:t>capacity but</w:t>
      </w:r>
      <w:r w:rsidR="00A75D2B">
        <w:t xml:space="preserve"> likely</w:t>
      </w:r>
      <w:r w:rsidR="002526DB">
        <w:t xml:space="preserve"> contributed to </w:t>
      </w:r>
      <w:r w:rsidR="000449B1">
        <w:t>low program awareness</w:t>
      </w:r>
      <w:r w:rsidR="00A75D2B">
        <w:t xml:space="preserve">. </w:t>
      </w:r>
      <w:r w:rsidR="00532F4C" w:rsidRPr="00532F4C">
        <w:t xml:space="preserve">Persistent waiting lists and stakeholder calls for recurring access to placements </w:t>
      </w:r>
      <w:r w:rsidR="002000BE">
        <w:t xml:space="preserve">suggest an opportunity </w:t>
      </w:r>
      <w:r w:rsidR="00532F4C" w:rsidRPr="00532F4C">
        <w:t>to</w:t>
      </w:r>
      <w:r w:rsidR="007C35B3">
        <w:t xml:space="preserve"> utilise</w:t>
      </w:r>
      <w:r w:rsidR="0079070B">
        <w:t xml:space="preserve"> underspends to</w:t>
      </w:r>
      <w:r w:rsidR="00532F4C" w:rsidRPr="00532F4C">
        <w:t xml:space="preserve"> </w:t>
      </w:r>
      <w:r w:rsidR="006F5E8B">
        <w:t>scale delivery</w:t>
      </w:r>
      <w:r w:rsidR="002E31E8">
        <w:t>.</w:t>
      </w:r>
    </w:p>
    <w:p w14:paraId="3E64C405" w14:textId="6CB0C7D8" w:rsidR="004A6436" w:rsidRPr="004A6436" w:rsidRDefault="004A6436" w:rsidP="004A6436">
      <w:r w:rsidRPr="004A6436">
        <w:t xml:space="preserve">Unit costs </w:t>
      </w:r>
      <w:r w:rsidR="00077702">
        <w:t xml:space="preserve">for reverse PEPA Aged Care placements </w:t>
      </w:r>
      <w:r w:rsidRPr="004A6436">
        <w:t>stabilised after the initial implementation year</w:t>
      </w:r>
      <w:r w:rsidR="00C956AB">
        <w:t>. T</w:t>
      </w:r>
      <w:r w:rsidR="0062694E">
        <w:t xml:space="preserve">hroughput </w:t>
      </w:r>
      <w:r w:rsidR="00C956AB">
        <w:t xml:space="preserve">also </w:t>
      </w:r>
      <w:r w:rsidR="0062694E">
        <w:t>increased (more participants per placement)</w:t>
      </w:r>
      <w:r w:rsidRPr="004A6436">
        <w:t>, suggesting early economies of scale. Cost efficiencies were achieved through resource sharing with other PEPA programs</w:t>
      </w:r>
      <w:r>
        <w:t>.</w:t>
      </w:r>
    </w:p>
    <w:p w14:paraId="6951ADDF" w14:textId="54EFA3D3" w:rsidR="00F53174" w:rsidRDefault="00454437" w:rsidP="00E96285">
      <w:r>
        <w:t>B</w:t>
      </w:r>
      <w:r w:rsidR="00F53174">
        <w:t xml:space="preserve">enefits </w:t>
      </w:r>
      <w:r w:rsidR="001E1F69">
        <w:t xml:space="preserve">identified over the evaluation period </w:t>
      </w:r>
      <w:r w:rsidR="00F53174">
        <w:t xml:space="preserve">were largely qualitative </w:t>
      </w:r>
      <w:r>
        <w:t>due to a lack of measurable outcome data</w:t>
      </w:r>
      <w:r w:rsidR="003A5700">
        <w:t xml:space="preserve">. </w:t>
      </w:r>
      <w:r w:rsidR="00C956AB">
        <w:t>PEPA Aged Care</w:t>
      </w:r>
      <w:r w:rsidR="003A5700">
        <w:t xml:space="preserve"> achieved value through </w:t>
      </w:r>
      <w:r w:rsidR="00DD6AEC">
        <w:t>expand</w:t>
      </w:r>
      <w:r w:rsidR="003A5700">
        <w:t>ing</w:t>
      </w:r>
      <w:r w:rsidR="003D51A2">
        <w:t xml:space="preserve"> access to</w:t>
      </w:r>
      <w:r w:rsidR="00E87554">
        <w:t xml:space="preserve"> palliative care</w:t>
      </w:r>
      <w:r w:rsidR="00DD6AEC">
        <w:t xml:space="preserve"> </w:t>
      </w:r>
      <w:r w:rsidR="003D51A2">
        <w:t xml:space="preserve">education </w:t>
      </w:r>
      <w:r w:rsidR="00DD6AEC">
        <w:t>(</w:t>
      </w:r>
      <w:r w:rsidR="003D51A2">
        <w:t xml:space="preserve">training </w:t>
      </w:r>
      <w:r w:rsidR="00DD6AEC">
        <w:t>5,250 participants across 425 sites)</w:t>
      </w:r>
      <w:r w:rsidR="000428FD">
        <w:t>, improving</w:t>
      </w:r>
      <w:r w:rsidR="00DD6AEC">
        <w:t xml:space="preserve"> workforce</w:t>
      </w:r>
      <w:r w:rsidR="000428FD">
        <w:t xml:space="preserve"> skills and capability, and enhancing</w:t>
      </w:r>
      <w:r w:rsidR="00DD6AEC">
        <w:t xml:space="preserve"> organisational </w:t>
      </w:r>
      <w:r w:rsidR="000428FD">
        <w:t>readiness</w:t>
      </w:r>
      <w:r w:rsidR="00115516">
        <w:t xml:space="preserve"> for palliative care</w:t>
      </w:r>
      <w:r w:rsidR="00DD6AEC">
        <w:t xml:space="preserve">. </w:t>
      </w:r>
      <w:r w:rsidR="005E413E">
        <w:t>To enable future economic analysis and</w:t>
      </w:r>
      <w:r w:rsidR="001F364B">
        <w:t xml:space="preserve"> </w:t>
      </w:r>
      <w:r w:rsidR="00115516">
        <w:t>demonstrate value for investment</w:t>
      </w:r>
      <w:r w:rsidR="001F364B">
        <w:t xml:space="preserve">, </w:t>
      </w:r>
      <w:r w:rsidR="00EB72CE">
        <w:t xml:space="preserve">mechanisms to collect </w:t>
      </w:r>
      <w:r w:rsidR="00115516">
        <w:t xml:space="preserve">measurable </w:t>
      </w:r>
      <w:r w:rsidR="00EB72CE">
        <w:t>outcome</w:t>
      </w:r>
      <w:r w:rsidR="007D3E1E">
        <w:t xml:space="preserve"> data</w:t>
      </w:r>
      <w:r w:rsidR="00EB72CE">
        <w:t xml:space="preserve"> will </w:t>
      </w:r>
      <w:r w:rsidR="00115516">
        <w:t>be required</w:t>
      </w:r>
      <w:r w:rsidR="00EB72CE">
        <w:t>.</w:t>
      </w:r>
    </w:p>
    <w:p w14:paraId="7FA55BEE" w14:textId="77777777" w:rsidR="00BC2BC4" w:rsidRDefault="00BC2BC4" w:rsidP="00BC2BC4">
      <w:pPr>
        <w:pStyle w:val="Heading4"/>
      </w:pPr>
      <w:r>
        <w:lastRenderedPageBreak/>
        <w:t>PACOP</w:t>
      </w:r>
    </w:p>
    <w:p w14:paraId="01487CD7" w14:textId="4F1B193C" w:rsidR="004A6436" w:rsidRDefault="001B05B4" w:rsidP="00E96285">
      <w:r>
        <w:t>The University of Wollongong received $11.9</w:t>
      </w:r>
      <w:r w:rsidR="00CA63B4">
        <w:t>4</w:t>
      </w:r>
      <w:r>
        <w:t xml:space="preserve"> million to deliver PACOP over 2021–22 to 2024–25.</w:t>
      </w:r>
      <w:r w:rsidR="00B229EC">
        <w:t xml:space="preserve"> Actual expenditure ranged from </w:t>
      </w:r>
      <w:r w:rsidR="00C03D27">
        <w:t xml:space="preserve">44% to </w:t>
      </w:r>
      <w:r w:rsidR="00B229EC">
        <w:t xml:space="preserve">51% of </w:t>
      </w:r>
      <w:r w:rsidR="003623B0">
        <w:t xml:space="preserve">available </w:t>
      </w:r>
      <w:r w:rsidR="00B229EC">
        <w:t xml:space="preserve">annual </w:t>
      </w:r>
      <w:r w:rsidR="003623B0">
        <w:t>funding</w:t>
      </w:r>
      <w:r w:rsidR="00261040">
        <w:t xml:space="preserve"> (including </w:t>
      </w:r>
      <w:r w:rsidR="00DA69E9">
        <w:t>carried-forward balances</w:t>
      </w:r>
      <w:r w:rsidR="00261040">
        <w:t>)</w:t>
      </w:r>
      <w:r w:rsidR="00B229EC">
        <w:t xml:space="preserve">, resulting in a </w:t>
      </w:r>
      <w:r w:rsidR="007F5530">
        <w:t xml:space="preserve">cumulative </w:t>
      </w:r>
      <w:r w:rsidR="00B229EC">
        <w:t>underspend of $</w:t>
      </w:r>
      <w:r w:rsidR="00D46050">
        <w:t>2</w:t>
      </w:r>
      <w:r w:rsidR="00B229EC">
        <w:t>.</w:t>
      </w:r>
      <w:r w:rsidR="00D46050">
        <w:t>6</w:t>
      </w:r>
      <w:r w:rsidR="00B229EC">
        <w:t>5 million by June 2025.</w:t>
      </w:r>
      <w:r w:rsidR="00BC13BB">
        <w:t xml:space="preserve"> </w:t>
      </w:r>
      <w:r w:rsidR="007F5530">
        <w:t>U</w:t>
      </w:r>
      <w:r w:rsidR="00757B3A">
        <w:t>nderspend</w:t>
      </w:r>
      <w:r w:rsidR="007F5530">
        <w:t xml:space="preserve">s </w:t>
      </w:r>
      <w:r w:rsidR="00757B3A">
        <w:t xml:space="preserve">occurred across all budget item lines. </w:t>
      </w:r>
      <w:r w:rsidR="00BC13BB">
        <w:t xml:space="preserve">Key </w:t>
      </w:r>
      <w:r w:rsidR="00C21430">
        <w:t>contributors</w:t>
      </w:r>
      <w:r w:rsidR="007D3E1E">
        <w:t xml:space="preserve"> to lower expenditure</w:t>
      </w:r>
      <w:r w:rsidR="009B60EE">
        <w:t xml:space="preserve"> </w:t>
      </w:r>
      <w:r w:rsidR="00BC13BB">
        <w:t xml:space="preserve">included </w:t>
      </w:r>
      <w:r w:rsidR="00CA6E31">
        <w:t xml:space="preserve">delivery </w:t>
      </w:r>
      <w:r w:rsidR="009B60EE">
        <w:t xml:space="preserve">disruptions during </w:t>
      </w:r>
      <w:r w:rsidR="00B95DB9">
        <w:t xml:space="preserve">the COVID-19 pandemic, </w:t>
      </w:r>
      <w:r w:rsidR="00BC13BB">
        <w:t>staff recruitment challenges</w:t>
      </w:r>
      <w:r w:rsidR="00B95DB9">
        <w:t>,</w:t>
      </w:r>
      <w:r w:rsidR="00BC13BB">
        <w:t xml:space="preserve"> and</w:t>
      </w:r>
      <w:r w:rsidR="00ED0FDC">
        <w:t xml:space="preserve"> delays in</w:t>
      </w:r>
      <w:r w:rsidR="00BC13BB">
        <w:t xml:space="preserve"> IT infrastructure development.</w:t>
      </w:r>
      <w:r w:rsidR="001A09AA">
        <w:t xml:space="preserve"> Despite these constraints, </w:t>
      </w:r>
      <w:r w:rsidR="003F0C3B">
        <w:t>u</w:t>
      </w:r>
      <w:r w:rsidR="00F2405D">
        <w:t xml:space="preserve">nit costs per </w:t>
      </w:r>
      <w:r w:rsidR="00011E9E">
        <w:t xml:space="preserve">registered provider, </w:t>
      </w:r>
      <w:r w:rsidR="00EB638D">
        <w:t>per home, and per benchmarking home declin</w:t>
      </w:r>
      <w:r w:rsidR="00DF1070">
        <w:t>ed</w:t>
      </w:r>
      <w:r w:rsidR="00011E9E">
        <w:t xml:space="preserve"> substantially</w:t>
      </w:r>
      <w:r w:rsidR="00DF1070">
        <w:t xml:space="preserve"> over </w:t>
      </w:r>
      <w:r w:rsidR="001C2C3A">
        <w:t>the evaluation period</w:t>
      </w:r>
      <w:r w:rsidR="00011E9E">
        <w:t xml:space="preserve"> without a proportional </w:t>
      </w:r>
      <w:r w:rsidR="00465B06">
        <w:t>rise in total</w:t>
      </w:r>
      <w:r w:rsidR="00011E9E">
        <w:t xml:space="preserve"> expenditure. </w:t>
      </w:r>
      <w:r w:rsidR="00A219A0">
        <w:t>These gains suggest e</w:t>
      </w:r>
      <w:r w:rsidR="00AD03A1">
        <w:t xml:space="preserve">conomies of scale </w:t>
      </w:r>
      <w:r w:rsidR="00C47559">
        <w:t xml:space="preserve">and </w:t>
      </w:r>
      <w:r w:rsidR="005B5FC2">
        <w:t>increased</w:t>
      </w:r>
      <w:r w:rsidR="00C47559">
        <w:t xml:space="preserve"> throughput per PACOP staff member.</w:t>
      </w:r>
      <w:r w:rsidR="00B67617">
        <w:t xml:space="preserve"> However, with more than 70% of registered homes not yet participating in benchmarking</w:t>
      </w:r>
      <w:r w:rsidR="008230A1">
        <w:t xml:space="preserve"> activities</w:t>
      </w:r>
      <w:r w:rsidR="008868C2">
        <w:t xml:space="preserve">, </w:t>
      </w:r>
      <w:r w:rsidR="00B022A4">
        <w:t xml:space="preserve">additional </w:t>
      </w:r>
      <w:r w:rsidR="00C86CA2">
        <w:t xml:space="preserve">workforce </w:t>
      </w:r>
      <w:r w:rsidR="00B022A4">
        <w:t xml:space="preserve">capacity </w:t>
      </w:r>
      <w:r w:rsidR="008868C2">
        <w:t>w</w:t>
      </w:r>
      <w:r w:rsidR="00B022A4">
        <w:t>ould likely</w:t>
      </w:r>
      <w:r w:rsidR="008868C2">
        <w:t xml:space="preserve"> be re</w:t>
      </w:r>
      <w:r w:rsidR="00445528">
        <w:t xml:space="preserve">quired to maintain quality and </w:t>
      </w:r>
      <w:r w:rsidR="00083541">
        <w:t xml:space="preserve">responsiveness </w:t>
      </w:r>
      <w:r w:rsidR="00C86CA2">
        <w:t>as participation grows</w:t>
      </w:r>
      <w:r w:rsidR="00083541">
        <w:t>.</w:t>
      </w:r>
    </w:p>
    <w:p w14:paraId="669F866F" w14:textId="22372116" w:rsidR="003F0C3B" w:rsidRDefault="003F0C3B" w:rsidP="00E96285">
      <w:r>
        <w:t xml:space="preserve">Marketing spend </w:t>
      </w:r>
      <w:r w:rsidR="00617C2A">
        <w:t xml:space="preserve">for </w:t>
      </w:r>
      <w:r w:rsidR="00A00C9D">
        <w:t xml:space="preserve">PACOP </w:t>
      </w:r>
      <w:r>
        <w:t>was minimal (~3% of total expenditure)</w:t>
      </w:r>
      <w:r w:rsidR="00A50907">
        <w:t>, l</w:t>
      </w:r>
      <w:r>
        <w:t>ikely constrain</w:t>
      </w:r>
      <w:r w:rsidR="00A50907">
        <w:t>ing</w:t>
      </w:r>
      <w:r>
        <w:t xml:space="preserve"> reach</w:t>
      </w:r>
      <w:r w:rsidR="00AC4DEA">
        <w:t xml:space="preserve"> and program visibility</w:t>
      </w:r>
      <w:r w:rsidR="00023A30">
        <w:t>.</w:t>
      </w:r>
    </w:p>
    <w:p w14:paraId="66388502" w14:textId="2C6130D0" w:rsidR="00EE5B0D" w:rsidRDefault="00681EE0" w:rsidP="005A786C">
      <w:r>
        <w:t xml:space="preserve">Early qualitative benefits </w:t>
      </w:r>
      <w:r w:rsidR="005E1C39">
        <w:t xml:space="preserve">reported for PACOP </w:t>
      </w:r>
      <w:r>
        <w:t xml:space="preserve">included improved organisational capability, stronger integration of palliative care into core business, and increased use of data to support quality improvement. </w:t>
      </w:r>
      <w:r w:rsidR="000E60FE">
        <w:t>A</w:t>
      </w:r>
      <w:r w:rsidR="00915CE6">
        <w:t>nalysis of a</w:t>
      </w:r>
      <w:r w:rsidR="000E60FE">
        <w:t xml:space="preserve">vailable PACOP assessment data </w:t>
      </w:r>
      <w:r w:rsidR="00BD6129">
        <w:t>showed</w:t>
      </w:r>
      <w:r w:rsidR="000E60FE">
        <w:t xml:space="preserve"> no measurable impact on unplann</w:t>
      </w:r>
      <w:r w:rsidR="00915CE6">
        <w:t>ed hospitalisations or emergency department visits</w:t>
      </w:r>
      <w:r w:rsidR="00D16454">
        <w:t xml:space="preserve"> within the evaluation period. </w:t>
      </w:r>
      <w:r w:rsidR="0004333F">
        <w:t xml:space="preserve">Given that </w:t>
      </w:r>
      <w:r w:rsidR="005C7F02">
        <w:t>quantifiable</w:t>
      </w:r>
      <w:r w:rsidR="0004333F">
        <w:t xml:space="preserve"> impacts on hospital utilisation were </w:t>
      </w:r>
      <w:r w:rsidR="0004333F">
        <w:t xml:space="preserve">not expected until at least five years post-implementation, these findings </w:t>
      </w:r>
      <w:r w:rsidR="00BB55BF">
        <w:t>likely reflected the program’s early stage</w:t>
      </w:r>
      <w:r w:rsidR="00EB1EA1">
        <w:t>.</w:t>
      </w:r>
      <w:r w:rsidR="00A74059">
        <w:t xml:space="preserve"> More mature data and longer follow-up will be required before economic benefits can be reliably assessed.</w:t>
      </w:r>
    </w:p>
    <w:p w14:paraId="24130948" w14:textId="279A5B1A" w:rsidR="00357C7A" w:rsidRDefault="006C1B85" w:rsidP="00357C7A">
      <w:pPr>
        <w:pStyle w:val="Heading2-nonumber"/>
      </w:pPr>
      <w:r>
        <w:t>Opportunities</w:t>
      </w:r>
    </w:p>
    <w:p w14:paraId="049779CE" w14:textId="67A5CF7B" w:rsidR="000C5E11" w:rsidRDefault="00CF1FD3" w:rsidP="00CF1FD3">
      <w:r>
        <w:t xml:space="preserve">Overall, the evaluation identified </w:t>
      </w:r>
      <w:r w:rsidR="00A74059">
        <w:t xml:space="preserve">that the Measure and its funded programs had achieved </w:t>
      </w:r>
      <w:r>
        <w:t xml:space="preserve">clear </w:t>
      </w:r>
      <w:r w:rsidR="00A74059">
        <w:t>progress</w:t>
      </w:r>
      <w:r>
        <w:t xml:space="preserve"> to date in strengthening </w:t>
      </w:r>
      <w:r w:rsidR="00A74059">
        <w:t xml:space="preserve">palliative care </w:t>
      </w:r>
      <w:r>
        <w:t xml:space="preserve">workforce and organisational capability in participating </w:t>
      </w:r>
      <w:r w:rsidR="00A74059">
        <w:t>organisations</w:t>
      </w:r>
      <w:r>
        <w:t xml:space="preserve">, alongside implementation, scalability, and sustainability challenges. </w:t>
      </w:r>
      <w:r w:rsidR="000C5E11">
        <w:t xml:space="preserve">Taken together, the evaluation </w:t>
      </w:r>
      <w:r w:rsidR="00A74059">
        <w:t>findings provide</w:t>
      </w:r>
      <w:r w:rsidR="000C5E11">
        <w:t xml:space="preserve"> a basis for</w:t>
      </w:r>
      <w:r w:rsidR="00A74059">
        <w:t xml:space="preserve"> </w:t>
      </w:r>
      <w:r w:rsidR="0019700D">
        <w:t>g</w:t>
      </w:r>
      <w:r w:rsidR="000C5E11">
        <w:t xml:space="preserve">overnment to consider continuation </w:t>
      </w:r>
      <w:r w:rsidR="00354291">
        <w:t xml:space="preserve">of the Measure and its funded programs to address ongoing palliative care capability-building needs across the aged care sector. If </w:t>
      </w:r>
      <w:r w:rsidR="00CC0C6C">
        <w:t xml:space="preserve">the Measure were extended or adapted in future, targeted refinements could </w:t>
      </w:r>
      <w:r w:rsidR="004D2463">
        <w:t xml:space="preserve">be considered to strengthen effectiveness, scalability, and sustainability. </w:t>
      </w:r>
    </w:p>
    <w:p w14:paraId="6C1B391D" w14:textId="05DA20C8" w:rsidR="00357C7A" w:rsidRDefault="00110444" w:rsidP="00E96285">
      <w:r>
        <w:t xml:space="preserve">Table ES.1.1 presents </w:t>
      </w:r>
      <w:r w:rsidR="00286E3A">
        <w:t>a set of opportunities</w:t>
      </w:r>
      <w:r>
        <w:t>,</w:t>
      </w:r>
      <w:r w:rsidR="007A39E3">
        <w:t xml:space="preserve"> their</w:t>
      </w:r>
      <w:r>
        <w:t xml:space="preserve"> rationale</w:t>
      </w:r>
      <w:r w:rsidR="00BF7C06">
        <w:t>s</w:t>
      </w:r>
      <w:r>
        <w:t xml:space="preserve">, and </w:t>
      </w:r>
      <w:r w:rsidR="008373D9">
        <w:t xml:space="preserve">relevant evaluation </w:t>
      </w:r>
      <w:r>
        <w:t>findings for the Measure, PEPA Aged Care, and PACOP.</w:t>
      </w:r>
      <w:r w:rsidR="00875EF0">
        <w:t xml:space="preserve"> The</w:t>
      </w:r>
      <w:r w:rsidR="007A39E3">
        <w:t xml:space="preserve">se opportunities </w:t>
      </w:r>
      <w:r w:rsidR="00857F8F">
        <w:t>were</w:t>
      </w:r>
      <w:r w:rsidR="00875EF0">
        <w:t xml:space="preserve"> </w:t>
      </w:r>
      <w:r w:rsidR="00D43B97">
        <w:t>synthesised</w:t>
      </w:r>
      <w:r w:rsidR="00875EF0">
        <w:t xml:space="preserve"> from </w:t>
      </w:r>
      <w:r w:rsidR="007A39E3">
        <w:t xml:space="preserve">evidence </w:t>
      </w:r>
      <w:r w:rsidR="00875EF0">
        <w:t>across all evaluation activities</w:t>
      </w:r>
      <w:r w:rsidR="00857F8F">
        <w:t>. They</w:t>
      </w:r>
      <w:r w:rsidR="00875EF0">
        <w:t xml:space="preserve"> </w:t>
      </w:r>
      <w:r w:rsidR="00D43B97">
        <w:t>are intended to inform</w:t>
      </w:r>
      <w:r w:rsidR="00DF47F9">
        <w:t xml:space="preserve"> consideration of</w:t>
      </w:r>
      <w:r w:rsidR="00D43B97">
        <w:t xml:space="preserve"> future iterations of the Measure and its funded programs</w:t>
      </w:r>
      <w:r w:rsidR="00325C6D">
        <w:t>, drawing on lessons from the current funding period</w:t>
      </w:r>
      <w:r w:rsidR="00D43B97">
        <w:t>.</w:t>
      </w:r>
      <w:r w:rsidR="0001251C">
        <w:t xml:space="preserve"> Importantly, the</w:t>
      </w:r>
      <w:r w:rsidR="0004205F">
        <w:t xml:space="preserve">se opportunities </w:t>
      </w:r>
      <w:r w:rsidR="0001251C">
        <w:t xml:space="preserve">were developed with consideration of the broader aged care </w:t>
      </w:r>
      <w:r w:rsidR="00DF47F9">
        <w:t xml:space="preserve">policy </w:t>
      </w:r>
      <w:r w:rsidR="0001251C">
        <w:t>environment</w:t>
      </w:r>
      <w:r w:rsidR="004215BF">
        <w:t xml:space="preserve"> and concurrent aged care </w:t>
      </w:r>
      <w:r w:rsidR="00963D84">
        <w:t>reforms and</w:t>
      </w:r>
      <w:r w:rsidR="002D1055">
        <w:t xml:space="preserve"> </w:t>
      </w:r>
      <w:r w:rsidR="00DF47F9">
        <w:t xml:space="preserve">focus on </w:t>
      </w:r>
      <w:r w:rsidR="002D1055">
        <w:t>actions within the Measure</w:t>
      </w:r>
      <w:r w:rsidR="003863F5">
        <w:t>’</w:t>
      </w:r>
      <w:r w:rsidR="002D1055">
        <w:t xml:space="preserve">s </w:t>
      </w:r>
      <w:r w:rsidR="00F47C19">
        <w:t>scope</w:t>
      </w:r>
      <w:r w:rsidR="002D1055">
        <w:t>.</w:t>
      </w:r>
    </w:p>
    <w:p w14:paraId="6244CADD" w14:textId="77777777" w:rsidR="004B3B09" w:rsidRDefault="004B3B09" w:rsidP="00E96285">
      <w:pPr>
        <w:sectPr w:rsidR="004B3B09" w:rsidSect="00D002D8">
          <w:headerReference w:type="default" r:id="rId29"/>
          <w:footerReference w:type="default" r:id="rId30"/>
          <w:pgSz w:w="16838" w:h="11906" w:orient="landscape" w:code="9"/>
          <w:pgMar w:top="851" w:right="851" w:bottom="851" w:left="851" w:header="709" w:footer="567" w:gutter="0"/>
          <w:pgNumType w:fmt="lowerRoman" w:start="1"/>
          <w:cols w:num="2" w:space="709"/>
          <w:docGrid w:linePitch="360"/>
        </w:sectPr>
      </w:pPr>
    </w:p>
    <w:p w14:paraId="07985D8B" w14:textId="66BF47C1" w:rsidR="00110444" w:rsidRDefault="00110444" w:rsidP="00110444">
      <w:pPr>
        <w:pStyle w:val="Caption"/>
      </w:pPr>
      <w:r>
        <w:t>Table ES.</w:t>
      </w:r>
      <w:fldSimple w:instr=" STYLEREF 1 \s ">
        <w:r w:rsidR="0091457A">
          <w:rPr>
            <w:noProof/>
          </w:rPr>
          <w:t>1</w:t>
        </w:r>
      </w:fldSimple>
      <w:r w:rsidR="0091457A">
        <w:t>.</w:t>
      </w:r>
      <w:fldSimple w:instr=" SEQ Table \* ARABIC \s 1 ">
        <w:r w:rsidR="0091457A">
          <w:rPr>
            <w:noProof/>
          </w:rPr>
          <w:t>1</w:t>
        </w:r>
      </w:fldSimple>
      <w:r>
        <w:t xml:space="preserve">: </w:t>
      </w:r>
      <w:r w:rsidR="006C1B85">
        <w:t>Opportunities</w:t>
      </w:r>
      <w:r w:rsidR="00843E5E">
        <w:t xml:space="preserve"> for consideration</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future program opportunities"/>
        <w:tblDescription w:val="Table summarises opportunities to strengthen palliative care capability in aged care."/>
      </w:tblPr>
      <w:tblGrid>
        <w:gridCol w:w="3684"/>
        <w:gridCol w:w="3825"/>
        <w:gridCol w:w="7617"/>
      </w:tblGrid>
      <w:tr w:rsidR="00BC5A92" w14:paraId="09D62CE0" w14:textId="77777777" w:rsidTr="00485FD5">
        <w:trPr>
          <w:cnfStyle w:val="100000000000" w:firstRow="1" w:lastRow="0" w:firstColumn="0" w:lastColumn="0" w:oddVBand="0" w:evenVBand="0" w:oddHBand="0" w:evenHBand="0" w:firstRowFirstColumn="0" w:firstRowLastColumn="0" w:lastRowFirstColumn="0" w:lastRowLastColumn="0"/>
          <w:tblHeader/>
        </w:trPr>
        <w:tc>
          <w:tcPr>
            <w:tcW w:w="3686" w:type="dxa"/>
          </w:tcPr>
          <w:p w14:paraId="0E8A4FFC" w14:textId="5330B01F" w:rsidR="00BD22D2" w:rsidRDefault="00843E5E">
            <w:pPr>
              <w:spacing w:before="0" w:after="0"/>
            </w:pPr>
            <w:r>
              <w:t>Opportunities</w:t>
            </w:r>
          </w:p>
        </w:tc>
        <w:tc>
          <w:tcPr>
            <w:tcW w:w="3827" w:type="dxa"/>
          </w:tcPr>
          <w:p w14:paraId="6B2B3DCD" w14:textId="77777777" w:rsidR="00BD22D2" w:rsidRDefault="00BD22D2">
            <w:pPr>
              <w:spacing w:before="0" w:after="0"/>
            </w:pPr>
            <w:r>
              <w:t>Rationale</w:t>
            </w:r>
          </w:p>
        </w:tc>
        <w:tc>
          <w:tcPr>
            <w:tcW w:w="7623" w:type="dxa"/>
          </w:tcPr>
          <w:p w14:paraId="74EED7B5" w14:textId="77777777" w:rsidR="00BD22D2" w:rsidRDefault="00BD22D2">
            <w:pPr>
              <w:spacing w:before="0" w:after="0"/>
            </w:pPr>
            <w:r>
              <w:t>Associated findings</w:t>
            </w:r>
          </w:p>
        </w:tc>
      </w:tr>
      <w:tr w:rsidR="00BD22D2" w:rsidRPr="00546DBC" w14:paraId="5046EA4B" w14:textId="77777777" w:rsidTr="00485FD5">
        <w:tc>
          <w:tcPr>
            <w:tcW w:w="3686" w:type="dxa"/>
            <w:shd w:val="clear" w:color="auto" w:fill="DDF2EC" w:themeFill="background2" w:themeFillTint="33"/>
          </w:tcPr>
          <w:p w14:paraId="78843310" w14:textId="77777777" w:rsidR="00BD22D2" w:rsidRPr="00546DBC" w:rsidRDefault="00BD22D2">
            <w:pPr>
              <w:spacing w:before="0" w:after="0"/>
              <w:rPr>
                <w:rFonts w:asciiTheme="majorHAnsi" w:hAnsiTheme="majorHAnsi"/>
              </w:rPr>
            </w:pPr>
            <w:r>
              <w:rPr>
                <w:rFonts w:asciiTheme="majorHAnsi" w:hAnsiTheme="majorHAnsi"/>
              </w:rPr>
              <w:t>The Measure</w:t>
            </w:r>
          </w:p>
        </w:tc>
        <w:tc>
          <w:tcPr>
            <w:tcW w:w="3827" w:type="dxa"/>
            <w:shd w:val="clear" w:color="auto" w:fill="DDF2EC" w:themeFill="background2" w:themeFillTint="33"/>
          </w:tcPr>
          <w:p w14:paraId="02A7D4AB" w14:textId="6F5B6E98" w:rsidR="00BD22D2" w:rsidRPr="00546DBC" w:rsidRDefault="00485FD5">
            <w:pPr>
              <w:spacing w:before="0" w:after="0"/>
              <w:rPr>
                <w:rFonts w:asciiTheme="majorHAnsi" w:hAnsiTheme="majorHAnsi"/>
              </w:rPr>
            </w:pPr>
            <w:r>
              <w:rPr>
                <w:rFonts w:asciiTheme="majorHAnsi" w:hAnsiTheme="majorHAnsi"/>
              </w:rPr>
              <w:t>The Measure</w:t>
            </w:r>
          </w:p>
        </w:tc>
        <w:tc>
          <w:tcPr>
            <w:tcW w:w="7623" w:type="dxa"/>
            <w:shd w:val="clear" w:color="auto" w:fill="DDF2EC" w:themeFill="background2" w:themeFillTint="33"/>
          </w:tcPr>
          <w:p w14:paraId="7B964E4D" w14:textId="1793698F" w:rsidR="00BD22D2" w:rsidRPr="00546DBC" w:rsidRDefault="00485FD5">
            <w:pPr>
              <w:spacing w:before="0" w:after="0"/>
              <w:rPr>
                <w:rFonts w:asciiTheme="majorHAnsi" w:hAnsiTheme="majorHAnsi"/>
              </w:rPr>
            </w:pPr>
            <w:r>
              <w:rPr>
                <w:rFonts w:asciiTheme="majorHAnsi" w:hAnsiTheme="majorHAnsi"/>
              </w:rPr>
              <w:t>The Measure</w:t>
            </w:r>
          </w:p>
        </w:tc>
      </w:tr>
      <w:tr w:rsidR="00BC5A92" w14:paraId="47FBE43C" w14:textId="77777777" w:rsidTr="00485FD5">
        <w:tc>
          <w:tcPr>
            <w:tcW w:w="3686" w:type="dxa"/>
          </w:tcPr>
          <w:p w14:paraId="4B9715A3" w14:textId="0DE17C84" w:rsidR="00BD22D2" w:rsidRDefault="00B81D79">
            <w:pPr>
              <w:pStyle w:val="TableList"/>
            </w:pPr>
            <w:r>
              <w:t xml:space="preserve">If the Australian Government were to consider a future extension of the Measure, there </w:t>
            </w:r>
            <w:r w:rsidR="00155672">
              <w:t>is</w:t>
            </w:r>
            <w:r>
              <w:t xml:space="preserve"> an opportunity to continue its focus on </w:t>
            </w:r>
            <w:r w:rsidR="00E97BBF">
              <w:t>strengthening</w:t>
            </w:r>
            <w:r w:rsidR="00155672">
              <w:t xml:space="preserve"> </w:t>
            </w:r>
            <w:r w:rsidR="00E97BBF">
              <w:lastRenderedPageBreak/>
              <w:t xml:space="preserve">palliative care </w:t>
            </w:r>
            <w:r>
              <w:t xml:space="preserve">workforce training and organisational capability </w:t>
            </w:r>
            <w:r w:rsidR="00E97BBF">
              <w:t>across the aged care sector</w:t>
            </w:r>
            <w:r>
              <w:t>, while addressing identified gaps in engagement with home and community aged care services and the in-reach workforce, including primary care and allied health professionals.</w:t>
            </w:r>
          </w:p>
        </w:tc>
        <w:tc>
          <w:tcPr>
            <w:tcW w:w="3827" w:type="dxa"/>
          </w:tcPr>
          <w:p w14:paraId="1CE2446F" w14:textId="77777777" w:rsidR="00494B1F" w:rsidRDefault="00C406F1">
            <w:pPr>
              <w:spacing w:before="0"/>
            </w:pPr>
            <w:r>
              <w:lastRenderedPageBreak/>
              <w:t xml:space="preserve">Evidence from the evaluation indicated that palliative care workforce training and organisational capability-building remained ongoing needs across the aged care </w:t>
            </w:r>
            <w:r>
              <w:lastRenderedPageBreak/>
              <w:t xml:space="preserve">sector, driven by workforce pressures, increasing care complexity, and heightened community expectations. </w:t>
            </w:r>
          </w:p>
          <w:p w14:paraId="11BF762E" w14:textId="01D3B055" w:rsidR="00BD22D2" w:rsidRDefault="00C406F1">
            <w:pPr>
              <w:spacing w:before="0" w:after="0"/>
            </w:pPr>
            <w:r>
              <w:t xml:space="preserve">While the Measure was consistently viewed as relevant and timely, findings suggest its impact was strongest in residential aged care settings, with more limited uptake and perceived relevance within home and community aged care and primary care. Strengthening engagement with these sectors could support more integrated, multidisciplinary models of palliative care and improve outcomes for older Australians. </w:t>
            </w:r>
            <w:r w:rsidR="00BD22D2">
              <w:t xml:space="preserve"> </w:t>
            </w:r>
          </w:p>
        </w:tc>
        <w:tc>
          <w:tcPr>
            <w:tcW w:w="7623" w:type="dxa"/>
          </w:tcPr>
          <w:p w14:paraId="79257FC6" w14:textId="3F57C309" w:rsidR="00BD22D2" w:rsidRDefault="00BD22D2">
            <w:pPr>
              <w:spacing w:before="0"/>
            </w:pPr>
            <w:r>
              <w:lastRenderedPageBreak/>
              <w:t xml:space="preserve">Finding 1. </w:t>
            </w:r>
            <w:r w:rsidR="00C406F1">
              <w:t>Evaluation evidence suggests that t</w:t>
            </w:r>
            <w:r w:rsidR="001E73C1">
              <w:t>he Measure remain</w:t>
            </w:r>
            <w:r w:rsidR="00C406F1">
              <w:t>ed</w:t>
            </w:r>
            <w:r w:rsidR="001E73C1">
              <w:t xml:space="preserve"> an appropriate and timely response to the needs of the aged care sector, addressing critical gaps in workforce and organisational capability. While </w:t>
            </w:r>
            <w:r w:rsidR="00C406F1">
              <w:t xml:space="preserve">stakeholders considered </w:t>
            </w:r>
            <w:r w:rsidR="001E73C1">
              <w:t xml:space="preserve">the Measure </w:t>
            </w:r>
            <w:r w:rsidR="00B561A0">
              <w:t>to be</w:t>
            </w:r>
            <w:r w:rsidR="001E73C1">
              <w:t xml:space="preserve"> highly relevant to residential aged care, its applicability to home and community </w:t>
            </w:r>
            <w:r w:rsidR="001E73C1">
              <w:lastRenderedPageBreak/>
              <w:t xml:space="preserve">aged care services was </w:t>
            </w:r>
            <w:r w:rsidR="00B561A0">
              <w:t xml:space="preserve">perceived as </w:t>
            </w:r>
            <w:r w:rsidR="001E73C1">
              <w:t xml:space="preserve">less clear, given the design focus of PACOP and PEPA Aged Care. Similarly, its perceived relevance to the primary care sector was limited, with available data suggesting minimal engagement among primary care professionals. </w:t>
            </w:r>
            <w:r w:rsidR="00B561A0">
              <w:t>These findings suggest that t</w:t>
            </w:r>
            <w:r w:rsidR="001E73C1">
              <w:t>argeted strategies to increase involvement across both home care and primary care could strengthen team-based palliative care and amplify the Measure’s impact</w:t>
            </w:r>
            <w:r>
              <w:t>.</w:t>
            </w:r>
          </w:p>
          <w:p w14:paraId="2EA3D08F" w14:textId="24E1FA27" w:rsidR="00BD22D2" w:rsidRDefault="00BD22D2">
            <w:pPr>
              <w:spacing w:before="0"/>
            </w:pPr>
            <w:r>
              <w:t xml:space="preserve">Finding 2. There </w:t>
            </w:r>
            <w:r w:rsidR="00B561A0">
              <w:t xml:space="preserve">was </w:t>
            </w:r>
            <w:r>
              <w:t xml:space="preserve">a strong and ongoing </w:t>
            </w:r>
            <w:r w:rsidR="00B561A0">
              <w:t xml:space="preserve">perceived </w:t>
            </w:r>
            <w:r>
              <w:t>need for palliative care education, training, and quality improvement in aged care, driven by systemic, workforce, and community factors.</w:t>
            </w:r>
          </w:p>
          <w:p w14:paraId="5D84BAB7" w14:textId="77777777" w:rsidR="00BD22D2" w:rsidRDefault="00BD22D2">
            <w:pPr>
              <w:spacing w:before="0" w:after="0"/>
            </w:pPr>
            <w:r>
              <w:t>Finding 7. Identified gaps in palliative care training and support included targeted education for GPs, targeted support for home and community aged care services, and structured education for families and carers.</w:t>
            </w:r>
          </w:p>
        </w:tc>
      </w:tr>
      <w:tr w:rsidR="008F3B5B" w:rsidRPr="00546DBC" w14:paraId="3A1EAB50" w14:textId="77777777" w:rsidTr="00485FD5">
        <w:tc>
          <w:tcPr>
            <w:tcW w:w="3686" w:type="dxa"/>
            <w:shd w:val="clear" w:color="auto" w:fill="auto"/>
          </w:tcPr>
          <w:p w14:paraId="256F9EE6" w14:textId="0C466165" w:rsidR="008F3B5B" w:rsidRDefault="008F3B5B" w:rsidP="008F3B5B">
            <w:pPr>
              <w:pStyle w:val="TableList"/>
            </w:pPr>
            <w:r>
              <w:lastRenderedPageBreak/>
              <w:t>If the Australian Government were to consider future iterations of the Measure, there is an opportunity to strengthen governance arrangements to more explicitly support active</w:t>
            </w:r>
            <w:r w:rsidR="004D0422">
              <w:t xml:space="preserve"> engagement and</w:t>
            </w:r>
            <w:r>
              <w:t xml:space="preserve"> collaboration between funded programs, with the aim of leveraging synergies and maximising impact.</w:t>
            </w:r>
          </w:p>
        </w:tc>
        <w:tc>
          <w:tcPr>
            <w:tcW w:w="3827" w:type="dxa"/>
            <w:shd w:val="clear" w:color="auto" w:fill="auto"/>
          </w:tcPr>
          <w:p w14:paraId="462FB3DF" w14:textId="03130E27" w:rsidR="008F3B5B" w:rsidRPr="00546DBC" w:rsidRDefault="008F3B5B" w:rsidP="008F3B5B">
            <w:pPr>
              <w:pStyle w:val="TableText"/>
            </w:pPr>
            <w:r>
              <w:t>Stakeholders identified opportunities for stronger collaboration and integration between funded programs to better align activities and maximise collective impact. Embedding expectations for collaboration within governance and reporting processes, rather than relying on discretionary or informal mechanisms, could support more consistent engagement between programs and strengthen alignment of activities.</w:t>
            </w:r>
          </w:p>
        </w:tc>
        <w:tc>
          <w:tcPr>
            <w:tcW w:w="7623" w:type="dxa"/>
            <w:shd w:val="clear" w:color="auto" w:fill="auto"/>
          </w:tcPr>
          <w:p w14:paraId="2F145571" w14:textId="77777777" w:rsidR="008F3B5B" w:rsidRPr="00382928" w:rsidRDefault="008F3B5B" w:rsidP="008F3B5B">
            <w:pPr>
              <w:pStyle w:val="TableText"/>
            </w:pPr>
            <w:r w:rsidRPr="00382928">
              <w:t xml:space="preserve">Finding 4. </w:t>
            </w:r>
            <w:r>
              <w:t>PEPA Aged Care and PACOP were conceptually distinct, and QUT and the University of Wollongong</w:t>
            </w:r>
            <w:r w:rsidRPr="00F623F9">
              <w:t xml:space="preserve"> </w:t>
            </w:r>
            <w:r>
              <w:t xml:space="preserve">made concerted efforts to </w:t>
            </w:r>
            <w:r w:rsidRPr="00F623F9">
              <w:t>mitigate duplication of activities</w:t>
            </w:r>
            <w:r>
              <w:t xml:space="preserve">. However, opportunities exist to </w:t>
            </w:r>
            <w:r w:rsidRPr="00F623F9">
              <w:t xml:space="preserve">strengthen </w:t>
            </w:r>
            <w:r>
              <w:t xml:space="preserve">strategic collaboration and </w:t>
            </w:r>
            <w:r w:rsidRPr="00F623F9">
              <w:t>synerg</w:t>
            </w:r>
            <w:r>
              <w:t>ies</w:t>
            </w:r>
            <w:r w:rsidRPr="00F623F9">
              <w:t xml:space="preserve"> between the</w:t>
            </w:r>
            <w:r>
              <w:t xml:space="preserve"> programs</w:t>
            </w:r>
            <w:r w:rsidRPr="00382928">
              <w:t>.</w:t>
            </w:r>
          </w:p>
        </w:tc>
      </w:tr>
      <w:tr w:rsidR="00C60BE3" w:rsidRPr="00546DBC" w14:paraId="7627B9EC" w14:textId="77777777" w:rsidTr="00485FD5">
        <w:tc>
          <w:tcPr>
            <w:tcW w:w="3686" w:type="dxa"/>
            <w:shd w:val="clear" w:color="auto" w:fill="auto"/>
          </w:tcPr>
          <w:p w14:paraId="459EFF0B" w14:textId="0D1292F6" w:rsidR="00C60BE3" w:rsidRDefault="00C60BE3" w:rsidP="00C60BE3">
            <w:pPr>
              <w:pStyle w:val="TableList"/>
            </w:pPr>
            <w:r>
              <w:t xml:space="preserve">There is an opportunity to strengthen strategic coordination between </w:t>
            </w:r>
            <w:r w:rsidR="00FF53AC">
              <w:t xml:space="preserve">all </w:t>
            </w:r>
            <w:r>
              <w:t xml:space="preserve">palliative care initiatives targeting aged care, alongside more consolidated and coherent communication to </w:t>
            </w:r>
            <w:r w:rsidR="001D3BA2">
              <w:t xml:space="preserve">aged care </w:t>
            </w:r>
            <w:r>
              <w:t>providers about relevant initiatives.</w:t>
            </w:r>
          </w:p>
        </w:tc>
        <w:tc>
          <w:tcPr>
            <w:tcW w:w="3827" w:type="dxa"/>
            <w:shd w:val="clear" w:color="auto" w:fill="auto"/>
          </w:tcPr>
          <w:p w14:paraId="1D14BD5B" w14:textId="4C00A319" w:rsidR="00C60BE3" w:rsidRDefault="00C60BE3" w:rsidP="00C60BE3">
            <w:pPr>
              <w:pStyle w:val="TableText"/>
              <w:spacing w:after="120"/>
              <w:contextualSpacing w:val="0"/>
            </w:pPr>
            <w:r>
              <w:t>Stronger program linkages</w:t>
            </w:r>
            <w:r w:rsidR="001D3BA2">
              <w:t xml:space="preserve"> between palliative care initiatives targeting aged care</w:t>
            </w:r>
            <w:r>
              <w:t xml:space="preserve">, such as through shared messaging, clearer articulation of respective program roles, or more explicit sequencing of participation between initiatives, could support a more coherent palliative care offering to the aged care sector, improve </w:t>
            </w:r>
            <w:r>
              <w:lastRenderedPageBreak/>
              <w:t xml:space="preserve">engagement, and maximise collective impact. </w:t>
            </w:r>
          </w:p>
          <w:p w14:paraId="7FAB20CF" w14:textId="1C9CA1F7" w:rsidR="00C60BE3" w:rsidRDefault="00303E4C" w:rsidP="00C60BE3">
            <w:pPr>
              <w:pStyle w:val="TableText"/>
            </w:pPr>
            <w:r>
              <w:t>Evaluation f</w:t>
            </w:r>
            <w:r w:rsidR="00C60BE3">
              <w:t xml:space="preserve">indings also indicated that fragmented communication about palliative care initiatives made it difficult for aged care providers to understand where to engage, how programs differed, and how participation in one initiative related to participation in others. Perceived overlap between PACOP and ELDAC also reportedly contributed to sector confusion. More coordinated and consolidated communication across palliative care initiatives targeting aged care could therefore improve provider understanding, reduce perceptions of overlap, and support more informed participation decisions. In turn, this could improve engagement and uptake across the sector. </w:t>
            </w:r>
          </w:p>
        </w:tc>
        <w:tc>
          <w:tcPr>
            <w:tcW w:w="7623" w:type="dxa"/>
            <w:shd w:val="clear" w:color="auto" w:fill="auto"/>
          </w:tcPr>
          <w:p w14:paraId="2BBDA7C1" w14:textId="77777777" w:rsidR="00C60BE3" w:rsidRDefault="00C60BE3" w:rsidP="00C60BE3">
            <w:pPr>
              <w:spacing w:before="0"/>
            </w:pPr>
            <w:r w:rsidRPr="00382928">
              <w:lastRenderedPageBreak/>
              <w:t xml:space="preserve">Finding 4. </w:t>
            </w:r>
            <w:r>
              <w:t>PEPA Aged Care and PACOP were conceptually distinct, and QUT and the University of Wollongong</w:t>
            </w:r>
            <w:r w:rsidRPr="00F623F9">
              <w:t xml:space="preserve"> </w:t>
            </w:r>
            <w:r>
              <w:t xml:space="preserve">made concerted efforts to </w:t>
            </w:r>
            <w:r w:rsidRPr="00F623F9">
              <w:t>mitigate duplication of activities</w:t>
            </w:r>
            <w:r>
              <w:t xml:space="preserve">. However, there are opportunities to </w:t>
            </w:r>
            <w:r w:rsidRPr="00F623F9">
              <w:t xml:space="preserve">strengthen </w:t>
            </w:r>
            <w:r>
              <w:t xml:space="preserve">strategic collaboration and </w:t>
            </w:r>
            <w:r w:rsidRPr="00F623F9">
              <w:t>synerg</w:t>
            </w:r>
            <w:r>
              <w:t>ies</w:t>
            </w:r>
            <w:r w:rsidRPr="00F623F9">
              <w:t xml:space="preserve"> between the</w:t>
            </w:r>
            <w:r>
              <w:t xml:space="preserve"> programs</w:t>
            </w:r>
            <w:r w:rsidRPr="00382928">
              <w:t>.</w:t>
            </w:r>
          </w:p>
          <w:p w14:paraId="25D96138" w14:textId="77777777" w:rsidR="00C60BE3" w:rsidRDefault="00C60BE3" w:rsidP="00C60BE3">
            <w:pPr>
              <w:spacing w:before="0"/>
            </w:pPr>
            <w:r>
              <w:t>Finding 5. There was a perception of overlap between PACOP and ELDAC due to their similar aims and system-level approaches. The</w:t>
            </w:r>
            <w:r w:rsidRPr="000E48FD">
              <w:t xml:space="preserve"> need for clearer positioning and coordinated communication to reduce </w:t>
            </w:r>
            <w:r>
              <w:t xml:space="preserve">sector </w:t>
            </w:r>
            <w:r w:rsidRPr="000E48FD">
              <w:t>confusion</w:t>
            </w:r>
            <w:r>
              <w:t xml:space="preserve"> was highlighted.</w:t>
            </w:r>
          </w:p>
          <w:p w14:paraId="6316A0E7" w14:textId="406E32AC" w:rsidR="00C60BE3" w:rsidRPr="00382928" w:rsidRDefault="00C60BE3" w:rsidP="00C60BE3">
            <w:pPr>
              <w:pStyle w:val="TableText"/>
            </w:pPr>
            <w:r>
              <w:lastRenderedPageBreak/>
              <w:t>Finding 6. Stakeholders consistently reported that the large number of palliative care programs targeting aged care, combined with insufficient communication about their distinctions, had led to provider confusion and perceived overlap between initiatives. The need for initiatives to present clearer and more cohesive communication to the sector was highlighted. Stakeholders also saw a greater leadership role for the Australian Government in facilitating coordinated communication to the sector.</w:t>
            </w:r>
          </w:p>
        </w:tc>
      </w:tr>
      <w:tr w:rsidR="00BD22D2" w:rsidRPr="00546DBC" w14:paraId="390595FF" w14:textId="77777777" w:rsidTr="00485FD5">
        <w:tc>
          <w:tcPr>
            <w:tcW w:w="3686" w:type="dxa"/>
            <w:shd w:val="clear" w:color="auto" w:fill="DDF2EC" w:themeFill="background2" w:themeFillTint="33"/>
          </w:tcPr>
          <w:p w14:paraId="6D14842C" w14:textId="77777777" w:rsidR="00BD22D2" w:rsidRPr="00546DBC" w:rsidRDefault="00BD22D2" w:rsidP="001E73C1">
            <w:pPr>
              <w:keepNext/>
              <w:spacing w:before="0" w:after="0"/>
              <w:rPr>
                <w:rFonts w:asciiTheme="majorHAnsi" w:hAnsiTheme="majorHAnsi"/>
              </w:rPr>
            </w:pPr>
            <w:r>
              <w:rPr>
                <w:rFonts w:asciiTheme="majorHAnsi" w:hAnsiTheme="majorHAnsi"/>
              </w:rPr>
              <w:lastRenderedPageBreak/>
              <w:t>PEPA Aged Care</w:t>
            </w:r>
          </w:p>
        </w:tc>
        <w:tc>
          <w:tcPr>
            <w:tcW w:w="3827" w:type="dxa"/>
            <w:shd w:val="clear" w:color="auto" w:fill="DDF2EC" w:themeFill="background2" w:themeFillTint="33"/>
          </w:tcPr>
          <w:p w14:paraId="471F8C7C" w14:textId="143BB0D4" w:rsidR="00BD22D2" w:rsidRPr="00546DBC" w:rsidRDefault="00485FD5">
            <w:pPr>
              <w:spacing w:before="0" w:after="0"/>
              <w:rPr>
                <w:rFonts w:asciiTheme="majorHAnsi" w:hAnsiTheme="majorHAnsi"/>
              </w:rPr>
            </w:pPr>
            <w:r>
              <w:rPr>
                <w:rFonts w:asciiTheme="majorHAnsi" w:hAnsiTheme="majorHAnsi"/>
              </w:rPr>
              <w:t>PEPA Aged Care</w:t>
            </w:r>
          </w:p>
        </w:tc>
        <w:tc>
          <w:tcPr>
            <w:tcW w:w="7623" w:type="dxa"/>
            <w:shd w:val="clear" w:color="auto" w:fill="DDF2EC" w:themeFill="background2" w:themeFillTint="33"/>
          </w:tcPr>
          <w:p w14:paraId="205D5EAB" w14:textId="047EF9B1" w:rsidR="00BD22D2" w:rsidRPr="00546DBC" w:rsidRDefault="00485FD5">
            <w:pPr>
              <w:spacing w:before="0" w:after="0"/>
              <w:rPr>
                <w:rFonts w:asciiTheme="majorHAnsi" w:hAnsiTheme="majorHAnsi"/>
              </w:rPr>
            </w:pPr>
            <w:r>
              <w:rPr>
                <w:rFonts w:asciiTheme="majorHAnsi" w:hAnsiTheme="majorHAnsi"/>
              </w:rPr>
              <w:t>PEPA Aged Care</w:t>
            </w:r>
          </w:p>
        </w:tc>
      </w:tr>
      <w:tr w:rsidR="002918F4" w14:paraId="1D3A13FC" w14:textId="77777777" w:rsidTr="00485FD5">
        <w:tc>
          <w:tcPr>
            <w:tcW w:w="3686" w:type="dxa"/>
          </w:tcPr>
          <w:p w14:paraId="59268820" w14:textId="4B96131D" w:rsidR="002918F4" w:rsidRDefault="002918F4" w:rsidP="002918F4">
            <w:pPr>
              <w:pStyle w:val="TableList"/>
            </w:pPr>
            <w:r>
              <w:t xml:space="preserve">If the Australian Government were to consider a future extension of PEPA Aged Care, there is an opportunity to strengthen the program’s scalability, reach, and sustainability, while maintaining its role in addressing foundational palliative care capability needs in the aged care workforce. Potential areas for consideration </w:t>
            </w:r>
            <w:r w:rsidR="00AC4FFB">
              <w:t xml:space="preserve">in any future iteration </w:t>
            </w:r>
            <w:r>
              <w:t xml:space="preserve">include:  </w:t>
            </w:r>
          </w:p>
          <w:p w14:paraId="36412A50" w14:textId="77777777" w:rsidR="002918F4" w:rsidRDefault="002918F4" w:rsidP="002918F4">
            <w:pPr>
              <w:pStyle w:val="TableBullets2"/>
            </w:pPr>
            <w:r>
              <w:t xml:space="preserve">expansion of the national nurse educator workforce to better meet demand for reverse </w:t>
            </w:r>
            <w:r>
              <w:lastRenderedPageBreak/>
              <w:t>placements and support recurring access to training opportunities</w:t>
            </w:r>
          </w:p>
          <w:p w14:paraId="7D010E1C" w14:textId="77777777" w:rsidR="002918F4" w:rsidRDefault="002918F4" w:rsidP="002918F4">
            <w:pPr>
              <w:pStyle w:val="TableBullets2"/>
            </w:pPr>
            <w:r>
              <w:t>consideration of alternative delivery models (such as cascade or blended learning approaches) to improve scalability and sustainability</w:t>
            </w:r>
          </w:p>
          <w:p w14:paraId="2C873A37" w14:textId="77777777" w:rsidR="002918F4" w:rsidRDefault="002918F4" w:rsidP="002918F4">
            <w:pPr>
              <w:pStyle w:val="TableBullets2"/>
            </w:pPr>
            <w:r>
              <w:t>adaptation of the program model and content for home and community care services</w:t>
            </w:r>
          </w:p>
          <w:p w14:paraId="5AD11523" w14:textId="77777777" w:rsidR="002918F4" w:rsidRDefault="002918F4" w:rsidP="002918F4">
            <w:pPr>
              <w:pStyle w:val="TableBullets2"/>
            </w:pPr>
            <w:r>
              <w:t>broader and more tailored communication strategies, supported by specialist aged care marketing expertise, to enhance program visibility, surface latent demand, and inform future scaling</w:t>
            </w:r>
          </w:p>
          <w:p w14:paraId="005DBE3B" w14:textId="473BD6F0" w:rsidR="002918F4" w:rsidRDefault="002918F4" w:rsidP="002918F4">
            <w:pPr>
              <w:pStyle w:val="TableBullets2"/>
            </w:pPr>
            <w:r>
              <w:t>targeted engagement strategies for underrepresented provider types (e.g. home care), workforce groups (e.g. primary care professionals), and leadership and governance levels. Strategies could include tailored messaging, strengthened linkages with PHNs and key peak bodies, consideration of financial assistance or incentives (e.g. aligning with professional development requirements), and the development of dedicated training streams.</w:t>
            </w:r>
          </w:p>
        </w:tc>
        <w:tc>
          <w:tcPr>
            <w:tcW w:w="3827" w:type="dxa"/>
          </w:tcPr>
          <w:p w14:paraId="6705994E" w14:textId="70E85EB1" w:rsidR="002918F4" w:rsidRDefault="002918F4" w:rsidP="002918F4">
            <w:pPr>
              <w:spacing w:before="0"/>
            </w:pPr>
            <w:r>
              <w:lastRenderedPageBreak/>
              <w:t xml:space="preserve">Evaluation evidence indicated that PEPA Aged Care was effective in supporting foundational palliative care knowledge and capability gaps in the aged care workforce, particularly within residential aged care settings. However, the current one-off placement model and limited nurse educator capacity constrained the program’s ability to scale delivery and sustain outcomes within participating sites. Findings also indicated that the </w:t>
            </w:r>
            <w:r w:rsidRPr="004C54D0">
              <w:t>true scale of program demand</w:t>
            </w:r>
            <w:r>
              <w:t xml:space="preserve"> remained unclear due to deliberately narrow </w:t>
            </w:r>
            <w:r>
              <w:lastRenderedPageBreak/>
              <w:t>promotional strategies. Addressing these constraints could support greater uptake and improved sustainability of learning outcomes in any future iteration of the program</w:t>
            </w:r>
            <w:r w:rsidRPr="004C54D0">
              <w:t xml:space="preserve">. </w:t>
            </w:r>
          </w:p>
        </w:tc>
        <w:tc>
          <w:tcPr>
            <w:tcW w:w="7623" w:type="dxa"/>
          </w:tcPr>
          <w:p w14:paraId="5CD73521" w14:textId="2BD8C6F4" w:rsidR="002918F4" w:rsidRDefault="002918F4" w:rsidP="002918F4">
            <w:pPr>
              <w:spacing w:before="0"/>
            </w:pPr>
            <w:r>
              <w:lastRenderedPageBreak/>
              <w:t>Finding 3. The underlying concepts and objectives of PEPA Aged Care and PACOP to uplift palliative care capability across the aged care sector were widely supported. However, as discussed in the following sections, refinements may be needed to address identified limitations and better align program delivery with sector needs.</w:t>
            </w:r>
          </w:p>
          <w:p w14:paraId="471E0D20" w14:textId="36555482" w:rsidR="002918F4" w:rsidRDefault="002918F4" w:rsidP="002918F4">
            <w:pPr>
              <w:spacing w:before="0"/>
            </w:pPr>
            <w:r>
              <w:t xml:space="preserve">Finding 8. PEPA </w:t>
            </w:r>
            <w:r w:rsidRPr="00894B2E">
              <w:t>Aged Care was considered appropriate for addressing foundational palliative care knowledge and capability gaps, particularly in residential aged care settings. Key strengths</w:t>
            </w:r>
            <w:r>
              <w:t xml:space="preserve"> identified</w:t>
            </w:r>
            <w:r w:rsidRPr="00894B2E">
              <w:t xml:space="preserve"> included the program</w:t>
            </w:r>
            <w:r>
              <w:t>’</w:t>
            </w:r>
            <w:r w:rsidRPr="00894B2E">
              <w:t>s on-site</w:t>
            </w:r>
            <w:r>
              <w:t xml:space="preserve"> reverse placement model</w:t>
            </w:r>
            <w:r w:rsidRPr="00894B2E">
              <w:t xml:space="preserve">, inclusive delivery </w:t>
            </w:r>
            <w:r>
              <w:t>across staff roles</w:t>
            </w:r>
            <w:r w:rsidRPr="00894B2E">
              <w:t xml:space="preserve">, adaptable training content, and </w:t>
            </w:r>
            <w:r>
              <w:t>site-level funding support.</w:t>
            </w:r>
          </w:p>
          <w:p w14:paraId="66EA722B" w14:textId="2039BD6D" w:rsidR="002918F4" w:rsidRDefault="002918F4" w:rsidP="002918F4">
            <w:pPr>
              <w:spacing w:before="0"/>
            </w:pPr>
            <w:r>
              <w:lastRenderedPageBreak/>
              <w:t>Finding 9. S</w:t>
            </w:r>
            <w:r w:rsidRPr="00894B2E">
              <w:t xml:space="preserve">ustainability was raised as a key concern </w:t>
            </w:r>
            <w:r>
              <w:t xml:space="preserve">for PEPA Aged Care </w:t>
            </w:r>
            <w:r w:rsidRPr="00894B2E">
              <w:t>due to the one-off training model and limited reach within sites. The model</w:t>
            </w:r>
            <w:r>
              <w:t>’</w:t>
            </w:r>
            <w:r w:rsidRPr="00894B2E">
              <w:t xml:space="preserve">s suitability for home care services was also questioned, </w:t>
            </w:r>
            <w:r>
              <w:t>which could limit its</w:t>
            </w:r>
            <w:r w:rsidRPr="00894B2E">
              <w:t xml:space="preserve"> reach in this setting</w:t>
            </w:r>
            <w:r>
              <w:t>.</w:t>
            </w:r>
          </w:p>
          <w:p w14:paraId="4B2ACAE4" w14:textId="0297DF37" w:rsidR="002918F4" w:rsidRDefault="002918F4" w:rsidP="002918F4">
            <w:pPr>
              <w:spacing w:before="0"/>
            </w:pPr>
            <w:r>
              <w:t xml:space="preserve">Finding 17. PEPA Aged Care was primarily promoted through existing PEPA communication channels, with available qualitative data suggesting that referrals relied heavily on ELDAC and PEPA. </w:t>
            </w:r>
            <w:r w:rsidRPr="009251D5">
              <w:t xml:space="preserve">While this </w:t>
            </w:r>
            <w:r>
              <w:t>approach aimed to</w:t>
            </w:r>
            <w:r w:rsidRPr="009251D5">
              <w:t xml:space="preserve"> </w:t>
            </w:r>
            <w:r>
              <w:t>manage demand</w:t>
            </w:r>
            <w:r w:rsidRPr="009251D5">
              <w:t xml:space="preserve"> </w:t>
            </w:r>
            <w:r>
              <w:t>within</w:t>
            </w:r>
            <w:r w:rsidRPr="009251D5">
              <w:t xml:space="preserve"> available educator capacity, it</w:t>
            </w:r>
            <w:r>
              <w:t xml:space="preserve"> likely constrained broader visibility and reach, leading to potential underrepresentation of sector demand. </w:t>
            </w:r>
          </w:p>
          <w:p w14:paraId="43B65C8D" w14:textId="482E8890" w:rsidR="002918F4" w:rsidRDefault="002918F4" w:rsidP="002918F4">
            <w:pPr>
              <w:spacing w:before="0"/>
            </w:pPr>
            <w:r>
              <w:t>Finding 19. PEPA Aged Care achieved steady uptake since launch, supported by practical design features such as on-site delivery and site funding. However, demand for placements consistently exceeded delivery capacity, and overall sector reach remained modest. Evaluation evidence indicates that uptake was likely influenced by the finite capacity of the nurse educator team, deliberately narrow promotional strategy, and broader workforce and system pressures within the aged care sector. Achieving sustained growth would likely</w:t>
            </w:r>
            <w:r w:rsidRPr="00E03CD7">
              <w:t xml:space="preserve"> require </w:t>
            </w:r>
            <w:r>
              <w:t xml:space="preserve">targeted </w:t>
            </w:r>
            <w:r w:rsidRPr="00E03CD7">
              <w:t xml:space="preserve">strategies to </w:t>
            </w:r>
            <w:r>
              <w:t>expand educator capacity</w:t>
            </w:r>
            <w:r w:rsidRPr="00E03CD7">
              <w:t>,</w:t>
            </w:r>
            <w:r>
              <w:t xml:space="preserve"> enhance</w:t>
            </w:r>
            <w:r w:rsidRPr="00E03CD7">
              <w:t xml:space="preserve"> program visibility, and </w:t>
            </w:r>
            <w:r>
              <w:t>offer</w:t>
            </w:r>
            <w:r w:rsidRPr="00E03CD7">
              <w:t xml:space="preserve"> flexib</w:t>
            </w:r>
            <w:r>
              <w:t>le training options.</w:t>
            </w:r>
          </w:p>
          <w:p w14:paraId="46097140" w14:textId="54FD77D1" w:rsidR="002918F4" w:rsidRDefault="002918F4" w:rsidP="002918F4">
            <w:pPr>
              <w:spacing w:before="0"/>
            </w:pPr>
            <w:r>
              <w:t>Finding 20. PEPA Aged Care achieved national coverage and strong engagement in residential aged care settings, with most participants from direct care roles. However, participation by home and community-based aged care services and representation among primary and allied health care professionals remained limited, indicating areas where engagement could be strengthened in future iterations.</w:t>
            </w:r>
          </w:p>
          <w:p w14:paraId="734A90E5" w14:textId="102E9959" w:rsidR="002918F4" w:rsidRDefault="002918F4" w:rsidP="002918F4">
            <w:pPr>
              <w:spacing w:before="0"/>
            </w:pPr>
            <w:r>
              <w:t>Finding 30. There was evidence that PEPA Aged Care contributed to perceived improvements in core palliative care knowledge and capabilities, particularly among nursing and personal care staff. Reported benefits were more limited among other health professional groups, likely reflecting lower levels of participation.</w:t>
            </w:r>
          </w:p>
          <w:p w14:paraId="0EA58992" w14:textId="2131737F" w:rsidR="002918F4" w:rsidRDefault="002918F4" w:rsidP="002918F4">
            <w:pPr>
              <w:spacing w:before="0"/>
            </w:pPr>
            <w:r>
              <w:t xml:space="preserve">Finding 33. Factors identified as impacting the effectiveness of PEPA Aged Care included the one-off reverse placement model, competing organisational priorities, lack of direct leadership engagement, and the program’s relatively limited reach. Suggested strategies to improve the effectiveness and sustainability of outcomes included ongoing, recurring access to placements; expanded online resources and communities </w:t>
            </w:r>
            <w:r>
              <w:lastRenderedPageBreak/>
              <w:t>of practice; strengthened post-placement mentoring; leadership-focused training streams; and increased nurse educator capacity to broaden reach.</w:t>
            </w:r>
          </w:p>
          <w:p w14:paraId="7F9B5A8F" w14:textId="47E3F1FD" w:rsidR="002918F4" w:rsidRPr="008F706C" w:rsidRDefault="002918F4" w:rsidP="002918F4">
            <w:pPr>
              <w:spacing w:before="0"/>
              <w:rPr>
                <w:lang w:eastAsia="en-AU"/>
              </w:rPr>
            </w:pPr>
            <w:r>
              <w:t xml:space="preserve">Finding 39. </w:t>
            </w:r>
            <w:r w:rsidRPr="006763BB">
              <w:rPr>
                <w:lang w:eastAsia="en-AU"/>
              </w:rPr>
              <w:t xml:space="preserve">Although annualised funds were largely expended beyond program implementation, PEPA Aged Care was unable to scale delivery </w:t>
            </w:r>
            <w:r>
              <w:rPr>
                <w:lang w:eastAsia="en-AU"/>
              </w:rPr>
              <w:t>to meet program demand</w:t>
            </w:r>
            <w:r w:rsidRPr="006763BB">
              <w:rPr>
                <w:lang w:eastAsia="en-AU"/>
              </w:rPr>
              <w:t xml:space="preserve">. </w:t>
            </w:r>
            <w:r>
              <w:rPr>
                <w:lang w:eastAsia="en-AU"/>
              </w:rPr>
              <w:t>This was reflected in p</w:t>
            </w:r>
            <w:r w:rsidRPr="006763BB">
              <w:rPr>
                <w:lang w:eastAsia="en-AU"/>
              </w:rPr>
              <w:t>ersistent waiting lists</w:t>
            </w:r>
            <w:r>
              <w:rPr>
                <w:lang w:eastAsia="en-AU"/>
              </w:rPr>
              <w:t xml:space="preserve"> and the accumulation of unspent funds, indicating capacity and delivery limitations.</w:t>
            </w:r>
            <w:r w:rsidRPr="006763BB">
              <w:rPr>
                <w:lang w:eastAsia="en-AU"/>
              </w:rPr>
              <w:t xml:space="preserve"> </w:t>
            </w:r>
          </w:p>
          <w:p w14:paraId="05EE2CD1" w14:textId="77777777" w:rsidR="002918F4" w:rsidRDefault="002918F4" w:rsidP="002918F4">
            <w:pPr>
              <w:spacing w:before="0" w:after="0"/>
            </w:pPr>
            <w:r w:rsidRPr="008F706C">
              <w:t xml:space="preserve">Finding </w:t>
            </w:r>
            <w:r>
              <w:t>41</w:t>
            </w:r>
            <w:r w:rsidRPr="008F706C">
              <w:t xml:space="preserve">. </w:t>
            </w:r>
            <w:r>
              <w:t>Marketing expenditure for PEPA Aged Care was low (~2% of total program expenditure), aligning with the deliberately constrained approach to manage demand within limited educator capacity. However, this likely limited program visibility beyond existing networks. While this strategy achieved cost control, it likely made the true scale of unmet demand unclear</w:t>
            </w:r>
            <w:r w:rsidRPr="008F706C">
              <w:t>.</w:t>
            </w:r>
          </w:p>
        </w:tc>
      </w:tr>
      <w:tr w:rsidR="00B601BF" w14:paraId="4329B628" w14:textId="77777777" w:rsidTr="00485FD5">
        <w:tc>
          <w:tcPr>
            <w:tcW w:w="3686" w:type="dxa"/>
          </w:tcPr>
          <w:p w14:paraId="581D7E04" w14:textId="0EC75B64" w:rsidR="00B601BF" w:rsidRDefault="00B601BF" w:rsidP="00B601BF">
            <w:pPr>
              <w:pStyle w:val="TableList"/>
            </w:pPr>
            <w:r>
              <w:lastRenderedPageBreak/>
              <w:t xml:space="preserve">If the Australian Government were to consider a future extension of PEPA Aged Care, there is an opportunity to strengthen post-placement support to ensure that training outcomes translate into sustained practice change.  </w:t>
            </w:r>
          </w:p>
        </w:tc>
        <w:tc>
          <w:tcPr>
            <w:tcW w:w="3827" w:type="dxa"/>
          </w:tcPr>
          <w:p w14:paraId="7E7846A0" w14:textId="1109D510" w:rsidR="00B601BF" w:rsidRDefault="00B601BF" w:rsidP="00B601BF">
            <w:pPr>
              <w:spacing w:before="0" w:after="0"/>
            </w:pPr>
            <w:r>
              <w:t>Post-placement service improvement activities were identified as a key mechanism for embedding PEPA Aged Care learnings into practice. However, evaluation findings indicated that engagement with these activities was inconsistent, impacted by competing organisational priorities and limited follow-up support once placements conclude</w:t>
            </w:r>
            <w:r w:rsidR="002D06F4">
              <w:t>d</w:t>
            </w:r>
            <w:r>
              <w:t xml:space="preserve">. </w:t>
            </w:r>
            <w:r w:rsidR="00817D7D">
              <w:t xml:space="preserve">Future program design could </w:t>
            </w:r>
            <w:r w:rsidR="00AD7864">
              <w:t>consider</w:t>
            </w:r>
            <w:r w:rsidR="00C74263">
              <w:t xml:space="preserve"> embedding</w:t>
            </w:r>
            <w:r w:rsidR="00817D7D">
              <w:t xml:space="preserve"> structured post-placement follow-up, such as scheduled check-ins, mentoring, and communities of practice</w:t>
            </w:r>
            <w:r w:rsidR="00AD7864">
              <w:t>. These mechanisms</w:t>
            </w:r>
            <w:r w:rsidR="00817D7D">
              <w:t xml:space="preserve"> </w:t>
            </w:r>
            <w:r>
              <w:t>could help reinforce learning outcomes, address implementation barriers as they arise, and improve the sustainability of outcomes beyond the initial placement period.</w:t>
            </w:r>
          </w:p>
        </w:tc>
        <w:tc>
          <w:tcPr>
            <w:tcW w:w="7623" w:type="dxa"/>
          </w:tcPr>
          <w:p w14:paraId="673A6CE5" w14:textId="77777777" w:rsidR="00B601BF" w:rsidRDefault="00B601BF" w:rsidP="00B601BF">
            <w:pPr>
              <w:spacing w:before="0"/>
            </w:pPr>
            <w:r>
              <w:t>Finding 16. PEPA Aged Care delivered all planned activities and exceeded four of five key performance indicators, reflecting strong planning and execution. However, completion of post-placement service improvement plans fell short of target, suggesting the need for stronger follow-up to support sites in translating learnings into practice.</w:t>
            </w:r>
          </w:p>
          <w:p w14:paraId="4770884C" w14:textId="3667D378" w:rsidR="00B601BF" w:rsidRDefault="00B601BF" w:rsidP="00B601BF">
            <w:pPr>
              <w:spacing w:before="0" w:after="0"/>
            </w:pPr>
            <w:r>
              <w:t>Finding 33. Factors identified as potentially impacting the effectiveness of PEPA Aged Care included the one-off reverse placement model, competing organisational priorities, lack of direct leadership engagement, and the program’s relatively limited reach. Suggested strategies to improve the effectiveness and sustainability of outcomes included ongoing, recurring access to placements</w:t>
            </w:r>
            <w:r w:rsidR="00B9563B">
              <w:t xml:space="preserve">; </w:t>
            </w:r>
            <w:r>
              <w:t>expanded online resources and communities of practice</w:t>
            </w:r>
            <w:r w:rsidR="00B9563B">
              <w:t xml:space="preserve">; </w:t>
            </w:r>
            <w:r>
              <w:t>strengthened post-placement mentoring</w:t>
            </w:r>
            <w:r w:rsidR="00B9563B">
              <w:t xml:space="preserve">; </w:t>
            </w:r>
            <w:r>
              <w:t>leadership-focused training streams</w:t>
            </w:r>
            <w:r w:rsidR="00B9563B">
              <w:t xml:space="preserve">; </w:t>
            </w:r>
            <w:r>
              <w:t>and expansion of nurse educator capacity to broaden reach.</w:t>
            </w:r>
          </w:p>
        </w:tc>
      </w:tr>
      <w:tr w:rsidR="00E810F9" w14:paraId="3D90DEB1" w14:textId="77777777" w:rsidTr="00485FD5">
        <w:tc>
          <w:tcPr>
            <w:tcW w:w="3686" w:type="dxa"/>
          </w:tcPr>
          <w:p w14:paraId="323E019C" w14:textId="482880EE" w:rsidR="00E810F9" w:rsidRDefault="00E810F9" w:rsidP="00E810F9">
            <w:pPr>
              <w:pStyle w:val="TableList"/>
            </w:pPr>
            <w:r>
              <w:t xml:space="preserve">If the Australian Government were to consider a future extension of PEPA Aged Care, there is an opportunity to </w:t>
            </w:r>
            <w:r>
              <w:lastRenderedPageBreak/>
              <w:t>strengthen the integration of outcome and referral source data collection within existing performance monitoring and governance frameworks</w:t>
            </w:r>
            <w:r w:rsidR="00FC1FC2">
              <w:t xml:space="preserve"> to</w:t>
            </w:r>
            <w:r>
              <w:t xml:space="preserve"> improve understanding of program impact and engagement pathways.</w:t>
            </w:r>
          </w:p>
        </w:tc>
        <w:tc>
          <w:tcPr>
            <w:tcW w:w="3827" w:type="dxa"/>
          </w:tcPr>
          <w:p w14:paraId="3DEEF71E" w14:textId="447AD9C2" w:rsidR="00E810F9" w:rsidRDefault="00E810F9" w:rsidP="00E810F9">
            <w:pPr>
              <w:spacing w:before="0"/>
            </w:pPr>
            <w:r>
              <w:lastRenderedPageBreak/>
              <w:t xml:space="preserve">PEPA Aged Care established governance and reporting arrangements </w:t>
            </w:r>
            <w:r w:rsidR="003402C1">
              <w:t>to</w:t>
            </w:r>
            <w:r>
              <w:t xml:space="preserve"> support monitoring of program activity and outputs. </w:t>
            </w:r>
            <w:r>
              <w:lastRenderedPageBreak/>
              <w:t>However, the evaluation identified limitations in the availability of outcome-based data, impacting the ability to assess longer-term outcomes for older people and</w:t>
            </w:r>
            <w:r w:rsidR="003402C1">
              <w:t xml:space="preserve"> their</w:t>
            </w:r>
            <w:r>
              <w:t xml:space="preserve"> families. Incorporating a small number of</w:t>
            </w:r>
            <w:r w:rsidR="003402C1">
              <w:t xml:space="preserve"> relevant</w:t>
            </w:r>
            <w:r>
              <w:t xml:space="preserve"> outcome indicators into existing </w:t>
            </w:r>
            <w:r w:rsidR="003402C1">
              <w:t xml:space="preserve">data collection </w:t>
            </w:r>
            <w:r>
              <w:t xml:space="preserve">frameworks could support monitoring and evaluation of program impact over time. It would also </w:t>
            </w:r>
            <w:r w:rsidR="00CD4C9B">
              <w:t xml:space="preserve">facilitate </w:t>
            </w:r>
            <w:r>
              <w:t>future economic analysis.</w:t>
            </w:r>
          </w:p>
          <w:p w14:paraId="50822C10" w14:textId="20A25A28" w:rsidR="00E810F9" w:rsidRDefault="00E810F9" w:rsidP="00E810F9">
            <w:pPr>
              <w:spacing w:before="0" w:after="0"/>
            </w:pPr>
            <w:r>
              <w:t xml:space="preserve">Additionally, systematic collection of referral source data </w:t>
            </w:r>
            <w:r w:rsidR="00CD4C9B">
              <w:t xml:space="preserve">would be beneficial </w:t>
            </w:r>
            <w:r>
              <w:t>in any future iteration</w:t>
            </w:r>
            <w:r w:rsidR="00CD4C9B">
              <w:t>. This would</w:t>
            </w:r>
            <w:r>
              <w:t xml:space="preserve"> strengthen understanding of engagement pathways, highlight gaps in reach, and support targeted engagement and communication strategies. </w:t>
            </w:r>
          </w:p>
        </w:tc>
        <w:tc>
          <w:tcPr>
            <w:tcW w:w="7623" w:type="dxa"/>
          </w:tcPr>
          <w:p w14:paraId="2CE141DF" w14:textId="3E4DEB66" w:rsidR="00E810F9" w:rsidRDefault="00E810F9" w:rsidP="00E810F9">
            <w:pPr>
              <w:spacing w:before="0"/>
            </w:pPr>
            <w:r>
              <w:lastRenderedPageBreak/>
              <w:t xml:space="preserve">Finding 18. Referral </w:t>
            </w:r>
            <w:r w:rsidR="00682C49">
              <w:t xml:space="preserve">source </w:t>
            </w:r>
            <w:r>
              <w:t>data w</w:t>
            </w:r>
            <w:r w:rsidR="00682C49">
              <w:t>ere</w:t>
            </w:r>
            <w:r>
              <w:t xml:space="preserve"> not consistently collected for PEPA Aged Care, limiting understanding of engagement pathways and the ability to identify gaps in program reach. </w:t>
            </w:r>
          </w:p>
          <w:p w14:paraId="58A8DC9B" w14:textId="4E4C8DBB" w:rsidR="00E810F9" w:rsidRDefault="00E810F9" w:rsidP="00E810F9">
            <w:pPr>
              <w:spacing w:before="0"/>
            </w:pPr>
            <w:r>
              <w:lastRenderedPageBreak/>
              <w:t>Finding 32. PEPA Aged Care was perceived to indirectly enhance care quality and experiences for older people and families by improving workforce capability and organisational systems. However, the evaluation was unable to validate these perceived outcomes due to the absence of measurable outcome data during the evaluation period.</w:t>
            </w:r>
          </w:p>
          <w:p w14:paraId="612402EB" w14:textId="77777777" w:rsidR="00E810F9" w:rsidRDefault="00E810F9" w:rsidP="00E810F9">
            <w:pPr>
              <w:spacing w:before="0" w:after="0"/>
            </w:pPr>
            <w:r>
              <w:t xml:space="preserve">Finding 43. </w:t>
            </w:r>
            <w:r w:rsidRPr="00E220A3">
              <w:t xml:space="preserve">PEPA Aged Care performance indicators were largely output-focused. </w:t>
            </w:r>
            <w:r>
              <w:t>T</w:t>
            </w:r>
            <w:r w:rsidRPr="00E220A3">
              <w:t xml:space="preserve">his </w:t>
            </w:r>
            <w:r>
              <w:t>allowed for</w:t>
            </w:r>
            <w:r w:rsidRPr="00E220A3">
              <w:t xml:space="preserve"> adequate monitoring of program activity against contractual obligations</w:t>
            </w:r>
            <w:r>
              <w:t>. However</w:t>
            </w:r>
            <w:r w:rsidRPr="00E220A3">
              <w:t xml:space="preserve">, </w:t>
            </w:r>
            <w:r>
              <w:t>incorporating</w:t>
            </w:r>
            <w:r w:rsidRPr="00E220A3">
              <w:t xml:space="preserve"> outcome-based measures</w:t>
            </w:r>
            <w:r>
              <w:t xml:space="preserve"> in future would enable a more comprehensive understanding of program impact and facilitate economic analysis.</w:t>
            </w:r>
          </w:p>
        </w:tc>
      </w:tr>
      <w:tr w:rsidR="00BD22D2" w:rsidRPr="00546DBC" w14:paraId="765F118F" w14:textId="77777777" w:rsidTr="00485FD5">
        <w:tc>
          <w:tcPr>
            <w:tcW w:w="3686" w:type="dxa"/>
            <w:shd w:val="clear" w:color="auto" w:fill="DDF2EC" w:themeFill="background2" w:themeFillTint="33"/>
          </w:tcPr>
          <w:p w14:paraId="7C7A1B8F" w14:textId="77777777" w:rsidR="00BD22D2" w:rsidRPr="00546DBC" w:rsidRDefault="00BD22D2">
            <w:pPr>
              <w:spacing w:before="0" w:after="0"/>
              <w:rPr>
                <w:rFonts w:asciiTheme="majorHAnsi" w:hAnsiTheme="majorHAnsi"/>
              </w:rPr>
            </w:pPr>
            <w:r>
              <w:rPr>
                <w:rFonts w:asciiTheme="majorHAnsi" w:hAnsiTheme="majorHAnsi"/>
              </w:rPr>
              <w:lastRenderedPageBreak/>
              <w:t>PACOP</w:t>
            </w:r>
          </w:p>
        </w:tc>
        <w:tc>
          <w:tcPr>
            <w:tcW w:w="3827" w:type="dxa"/>
            <w:shd w:val="clear" w:color="auto" w:fill="DDF2EC" w:themeFill="background2" w:themeFillTint="33"/>
          </w:tcPr>
          <w:p w14:paraId="738038F4" w14:textId="049EBA10" w:rsidR="00BD22D2" w:rsidRPr="00546DBC" w:rsidRDefault="00485FD5">
            <w:pPr>
              <w:spacing w:before="0" w:after="0"/>
              <w:rPr>
                <w:rFonts w:asciiTheme="majorHAnsi" w:hAnsiTheme="majorHAnsi"/>
              </w:rPr>
            </w:pPr>
            <w:r>
              <w:rPr>
                <w:rFonts w:asciiTheme="majorHAnsi" w:hAnsiTheme="majorHAnsi"/>
              </w:rPr>
              <w:t>PACOP</w:t>
            </w:r>
          </w:p>
        </w:tc>
        <w:tc>
          <w:tcPr>
            <w:tcW w:w="7623" w:type="dxa"/>
            <w:shd w:val="clear" w:color="auto" w:fill="DDF2EC" w:themeFill="background2" w:themeFillTint="33"/>
          </w:tcPr>
          <w:p w14:paraId="1915DA29" w14:textId="6217B6B2" w:rsidR="00BD22D2" w:rsidRPr="00546DBC" w:rsidRDefault="00485FD5">
            <w:pPr>
              <w:spacing w:before="0" w:after="0"/>
              <w:rPr>
                <w:rFonts w:asciiTheme="majorHAnsi" w:hAnsiTheme="majorHAnsi"/>
              </w:rPr>
            </w:pPr>
            <w:r>
              <w:rPr>
                <w:rFonts w:asciiTheme="majorHAnsi" w:hAnsiTheme="majorHAnsi"/>
              </w:rPr>
              <w:t>PACOP</w:t>
            </w:r>
          </w:p>
        </w:tc>
      </w:tr>
      <w:tr w:rsidR="00994C81" w14:paraId="3BD97B3C" w14:textId="77777777" w:rsidTr="00485FD5">
        <w:tc>
          <w:tcPr>
            <w:tcW w:w="3686" w:type="dxa"/>
          </w:tcPr>
          <w:p w14:paraId="28210012" w14:textId="408BD432" w:rsidR="00994C81" w:rsidRDefault="00994C81" w:rsidP="00994C81">
            <w:pPr>
              <w:pStyle w:val="TableList"/>
            </w:pPr>
            <w:r>
              <w:t>If the Australian Government were to consider a future extension of PACOP, there is an opportunity to strengthen the program’s scalability, feasibility, reach, and sustained implementation, while maintaining its role in supporting organisational palliative care capability in aged care. Potential areas for consideration</w:t>
            </w:r>
            <w:r w:rsidR="002E640E">
              <w:t xml:space="preserve"> in any future iteration</w:t>
            </w:r>
            <w:r>
              <w:t xml:space="preserve"> include:</w:t>
            </w:r>
          </w:p>
          <w:p w14:paraId="150C76BA" w14:textId="77777777" w:rsidR="00994C81" w:rsidRDefault="00994C81" w:rsidP="00994C81">
            <w:pPr>
              <w:pStyle w:val="TableBullets2"/>
            </w:pPr>
            <w:r>
              <w:t xml:space="preserve">simplification of the PACOP model, including data collection protocols and assessment tools, to reduce resource intensity and </w:t>
            </w:r>
            <w:r>
              <w:lastRenderedPageBreak/>
              <w:t>improve feasibility for a wider range of providers</w:t>
            </w:r>
          </w:p>
          <w:p w14:paraId="1A337C4A" w14:textId="77777777" w:rsidR="00994C81" w:rsidRDefault="00994C81" w:rsidP="00994C81">
            <w:pPr>
              <w:pStyle w:val="TableBullets2"/>
            </w:pPr>
            <w:r>
              <w:t>acceleration of digital integration activities to streamline PACOP data collection, reduce administrative burden, and support greater engagement in benchmarking</w:t>
            </w:r>
          </w:p>
          <w:p w14:paraId="4433D7A2" w14:textId="77777777" w:rsidR="00994C81" w:rsidRDefault="00994C81" w:rsidP="00994C81">
            <w:pPr>
              <w:pStyle w:val="TableBullets2"/>
            </w:pPr>
            <w:r>
              <w:t xml:space="preserve">consideration of financial support mechanisms to offset implementation and participation costs </w:t>
            </w:r>
          </w:p>
          <w:p w14:paraId="13E436E6" w14:textId="77777777" w:rsidR="00994C81" w:rsidRDefault="00994C81" w:rsidP="00994C81">
            <w:pPr>
              <w:pStyle w:val="TableBullets2"/>
            </w:pPr>
            <w:r>
              <w:t>strengthened implementation support, such as dedicated mentors and ongoing refresher training, to facilitate successful implementation</w:t>
            </w:r>
          </w:p>
          <w:p w14:paraId="351ACF40" w14:textId="77777777" w:rsidR="00994C81" w:rsidRDefault="00994C81" w:rsidP="00994C81">
            <w:pPr>
              <w:pStyle w:val="TableBullets2"/>
            </w:pPr>
            <w:r>
              <w:t>continued expansion of the PACOP workforce to enable strengthened implementation support and maintain quality as participation grows</w:t>
            </w:r>
          </w:p>
          <w:p w14:paraId="608D9ED8" w14:textId="77777777" w:rsidR="00994C81" w:rsidRDefault="00994C81" w:rsidP="00994C81">
            <w:pPr>
              <w:pStyle w:val="TableBullets2"/>
            </w:pPr>
            <w:r>
              <w:t>broader and more tailored communication strategies, supported by specialist aged care marketing expertise, to enhance program visibility and identify latent demand</w:t>
            </w:r>
          </w:p>
          <w:p w14:paraId="3413A115" w14:textId="77777777" w:rsidR="00994C81" w:rsidRDefault="00994C81" w:rsidP="00994C81">
            <w:pPr>
              <w:pStyle w:val="TableBullets2"/>
            </w:pPr>
            <w:r>
              <w:t>targeted engagement strategies to improve jurisdictional coverage and national representativeness</w:t>
            </w:r>
          </w:p>
          <w:p w14:paraId="518FD48C" w14:textId="2557D2EB" w:rsidR="00994C81" w:rsidRDefault="00994C81" w:rsidP="00994C81">
            <w:pPr>
              <w:pStyle w:val="TableBullets2"/>
            </w:pPr>
            <w:r>
              <w:t>continued focus on expanding engagement with GPs and other primary care professionals.</w:t>
            </w:r>
          </w:p>
        </w:tc>
        <w:tc>
          <w:tcPr>
            <w:tcW w:w="3827" w:type="dxa"/>
          </w:tcPr>
          <w:p w14:paraId="6CA4B870" w14:textId="77777777" w:rsidR="00994C81" w:rsidRDefault="00994C81" w:rsidP="00994C81">
            <w:pPr>
              <w:spacing w:before="0"/>
            </w:pPr>
            <w:r>
              <w:lastRenderedPageBreak/>
              <w:t xml:space="preserve">Evaluation findings indicated that PACOP was conceptually well aligned with sector needs and delivered early benefits for participating homes and staff. However, program implementation was impacted by the model’s resource intensity and persistent IT integration challenges, leading to scalability and sustainability challenges. Strengthening digital integration, simplifying program requirements, and enhancing implementation support could facilitate greater uptake and more consistent adherence over time. </w:t>
            </w:r>
          </w:p>
          <w:p w14:paraId="15D9F074" w14:textId="43E310E1" w:rsidR="00994C81" w:rsidRDefault="00994C81" w:rsidP="00994C81">
            <w:pPr>
              <w:spacing w:before="0"/>
            </w:pPr>
            <w:r>
              <w:lastRenderedPageBreak/>
              <w:t>Findings also indicated that PACOP’s engagement and communication approach may have limited visibility beyond motivated early adopters, making it difficult to determine the true extent of sector-wide demand. Broader and more tailored engagement strategies, including targeted outreach for primary care and improved jurisdictional coverage, could support broader uptake and inform planning for future scale.</w:t>
            </w:r>
          </w:p>
        </w:tc>
        <w:tc>
          <w:tcPr>
            <w:tcW w:w="7623" w:type="dxa"/>
          </w:tcPr>
          <w:p w14:paraId="64EA53B3" w14:textId="4488BDFD" w:rsidR="00994C81" w:rsidRDefault="00994C81" w:rsidP="00994C81">
            <w:pPr>
              <w:spacing w:before="0"/>
            </w:pPr>
            <w:r>
              <w:lastRenderedPageBreak/>
              <w:t>Finding 3. The underlying concepts and objectives of PEPA Aged Care and PACOP to uplift palliative care capability across the aged care sector were widely supported. However, as discussed in the following sections, refinements may be needed to address identified limitations and better align program delivery with sector needs.</w:t>
            </w:r>
          </w:p>
          <w:p w14:paraId="0C99F7C3" w14:textId="33782327" w:rsidR="00994C81" w:rsidRDefault="00994C81" w:rsidP="00994C81">
            <w:pPr>
              <w:spacing w:before="0"/>
            </w:pPr>
            <w:r>
              <w:t>Finding 11. PACOP’s systematic, evidence-based approach was widely viewed as conceptually appropriate and aligned with sector needs.</w:t>
            </w:r>
          </w:p>
          <w:p w14:paraId="09C29F60" w14:textId="70643FE0" w:rsidR="00994C81" w:rsidRDefault="00994C81" w:rsidP="00994C81">
            <w:pPr>
              <w:spacing w:before="0"/>
            </w:pPr>
            <w:r>
              <w:t>Finding 12. Practical challenges, including resource intensity, implementation complexity, and IT integration obstacles, tempered stakeholder perceptions of PACOP’s suitability in practice. Evaluation evidence suggests that simplification of the program model, enhanced implementation support, and accelerated IT integration activities would be important considerations in improving feasibility and sustained uptake among providers.</w:t>
            </w:r>
          </w:p>
          <w:p w14:paraId="0A68EDCF" w14:textId="50F3788C" w:rsidR="00994C81" w:rsidRDefault="00994C81" w:rsidP="00994C81">
            <w:pPr>
              <w:spacing w:before="0"/>
            </w:pPr>
            <w:r>
              <w:lastRenderedPageBreak/>
              <w:t xml:space="preserve">Finding 23. </w:t>
            </w:r>
            <w:r>
              <w:rPr>
                <w:lang w:eastAsia="en-AU"/>
              </w:rPr>
              <w:t>The PACOP</w:t>
            </w:r>
            <w:r w:rsidRPr="007716ED">
              <w:rPr>
                <w:lang w:eastAsia="en-AU"/>
              </w:rPr>
              <w:t xml:space="preserve"> engagement strategy </w:t>
            </w:r>
            <w:r>
              <w:rPr>
                <w:lang w:eastAsia="en-AU"/>
              </w:rPr>
              <w:t xml:space="preserve">used multiple channels but </w:t>
            </w:r>
            <w:r w:rsidRPr="003A6FC1">
              <w:rPr>
                <w:lang w:eastAsia="en-AU"/>
              </w:rPr>
              <w:t xml:space="preserve">relied heavily on PACOP-owned </w:t>
            </w:r>
            <w:r>
              <w:rPr>
                <w:lang w:eastAsia="en-AU"/>
              </w:rPr>
              <w:t>platforms and self-referral, with minimal referrals through sector partnerships and related initiatives (PEPA Aged Care and ELDAC). While this approach likely supported uptake among motivated providers, it may have constrained broader visibility across the aged care sector, masking potential unmet demand. Stakeholders also noted that existing communication materials could benefit from specialist aged care communications expertise to more clearly convey the program’s value and potential benefits.</w:t>
            </w:r>
          </w:p>
          <w:p w14:paraId="7677E00F" w14:textId="46CA9E15" w:rsidR="00994C81" w:rsidRDefault="00994C81" w:rsidP="00994C81">
            <w:pPr>
              <w:spacing w:before="0"/>
            </w:pPr>
            <w:r>
              <w:t xml:space="preserve">Finding 24. </w:t>
            </w:r>
            <w:r w:rsidRPr="00B90D5E">
              <w:rPr>
                <w:lang w:eastAsia="en-AU"/>
              </w:rPr>
              <w:t>PACOP achieved strong early growth</w:t>
            </w:r>
            <w:r>
              <w:rPr>
                <w:lang w:eastAsia="en-AU"/>
              </w:rPr>
              <w:t xml:space="preserve"> in provider and aged care home participation</w:t>
            </w:r>
            <w:r w:rsidRPr="00B90D5E">
              <w:rPr>
                <w:lang w:eastAsia="en-AU"/>
              </w:rPr>
              <w:t>,</w:t>
            </w:r>
            <w:r>
              <w:rPr>
                <w:lang w:eastAsia="en-AU"/>
              </w:rPr>
              <w:t xml:space="preserve"> followed by a deceleration </w:t>
            </w:r>
            <w:r w:rsidRPr="00B90D5E">
              <w:rPr>
                <w:lang w:eastAsia="en-AU"/>
              </w:rPr>
              <w:t xml:space="preserve">in later years. Uptake was driven primarily by smaller providers, while participation among medium and larger organisations remained </w:t>
            </w:r>
            <w:r>
              <w:rPr>
                <w:lang w:eastAsia="en-AU"/>
              </w:rPr>
              <w:t>relatively stable</w:t>
            </w:r>
            <w:r w:rsidRPr="00B90D5E">
              <w:rPr>
                <w:lang w:eastAsia="en-AU"/>
              </w:rPr>
              <w:t>. Overall sector penetration was modest</w:t>
            </w:r>
            <w:r>
              <w:rPr>
                <w:lang w:eastAsia="en-AU"/>
              </w:rPr>
              <w:t>, with evidence suggesting that participation may have been influenced by factors including low awareness, IT interoperability challenges, perceived resource intensity, and the absence of financial support for participation.</w:t>
            </w:r>
          </w:p>
          <w:p w14:paraId="6FDB92B0" w14:textId="5E8172E2" w:rsidR="00994C81" w:rsidRDefault="00994C81" w:rsidP="00994C81">
            <w:pPr>
              <w:spacing w:before="0"/>
            </w:pPr>
            <w:r>
              <w:t xml:space="preserve">Finding 27. </w:t>
            </w:r>
            <w:r w:rsidRPr="00B71D53">
              <w:t>Persistent IT integration issues and the program</w:t>
            </w:r>
            <w:r>
              <w:t>’</w:t>
            </w:r>
            <w:r w:rsidRPr="00B71D53">
              <w:t>s resource intensity were consistently identified as the most significant barriers to sustained participation</w:t>
            </w:r>
            <w:r>
              <w:t xml:space="preserve"> in PACOP</w:t>
            </w:r>
            <w:r w:rsidRPr="00B71D53">
              <w:t xml:space="preserve">. These challenges created administrative burden and impacted benchmarking participation, </w:t>
            </w:r>
            <w:r>
              <w:t>suggesting</w:t>
            </w:r>
            <w:r w:rsidRPr="00B71D53">
              <w:t xml:space="preserve"> the need for improved technology solutions, additional implementation support, and </w:t>
            </w:r>
            <w:r>
              <w:t xml:space="preserve">simplification of the </w:t>
            </w:r>
            <w:r w:rsidRPr="00B71D53">
              <w:t>program model</w:t>
            </w:r>
            <w:r>
              <w:t>.</w:t>
            </w:r>
          </w:p>
          <w:p w14:paraId="559751DD" w14:textId="14137624" w:rsidR="00994C81" w:rsidRDefault="00994C81" w:rsidP="00994C81">
            <w:pPr>
              <w:spacing w:before="0"/>
            </w:pPr>
            <w:r>
              <w:t>Finding 29. Reported barriers to engaging with PACOP educational activities included access to training resources, high workload, and staffing constraints. Participants highlighted the value of continued access to training and dedicated implementation support.</w:t>
            </w:r>
          </w:p>
          <w:p w14:paraId="292C62BA" w14:textId="69CED99D" w:rsidR="00994C81" w:rsidRDefault="00994C81" w:rsidP="00994C81">
            <w:pPr>
              <w:spacing w:before="0"/>
            </w:pPr>
            <w:r>
              <w:t xml:space="preserve">Finding 34. Evidence suggests that </w:t>
            </w:r>
            <w:r w:rsidRPr="00607C0F">
              <w:t xml:space="preserve">PACOP </w:t>
            </w:r>
            <w:r>
              <w:t>contributed to</w:t>
            </w:r>
            <w:r w:rsidRPr="00607C0F">
              <w:t xml:space="preserve"> </w:t>
            </w:r>
            <w:r>
              <w:t>perceived improvements in</w:t>
            </w:r>
            <w:r w:rsidRPr="00607C0F">
              <w:t xml:space="preserve"> workforce capability </w:t>
            </w:r>
            <w:r>
              <w:t>in key domains of palliative care delivery within participating homes, particularly among direct care staff. Survey findings suggested potential cumulative benefits with sustained program engagement. While PACOP was identified as relevant and beneficial for GPs and other medical practitioners, qualitative evidence suggested that engagement among these groups was limited, highlighting opportunities to broaden participation.</w:t>
            </w:r>
          </w:p>
          <w:p w14:paraId="26D45270" w14:textId="77777777" w:rsidR="00994C81" w:rsidRDefault="00994C81" w:rsidP="00994C81">
            <w:pPr>
              <w:spacing w:before="0"/>
            </w:pPr>
            <w:r>
              <w:lastRenderedPageBreak/>
              <w:t>Finding 35. Survey and case study evidence suggested that PACOP contributed to strengthening organisational capability and embedding structured processes for quality improvement and collaboration. Benchmarking data signalled some early signs of improvement in several domains.</w:t>
            </w:r>
          </w:p>
          <w:p w14:paraId="3A6B5680" w14:textId="411D96D1" w:rsidR="00994C81" w:rsidRPr="00006AEE" w:rsidRDefault="00994C81" w:rsidP="00994C81">
            <w:pPr>
              <w:spacing w:before="0"/>
            </w:pPr>
            <w:r>
              <w:t>Finding 36. Declines in key process benchmarking measures, including completion of scheduled Profile Collection assessments and timely initiation of palliative care using the Outcomes Collection, indicate that some homes were struggling to consistently adhere to the PACOP framework. These findings highlight ongoing implementation challenges</w:t>
            </w:r>
            <w:r w:rsidRPr="00006AEE">
              <w:t>.</w:t>
            </w:r>
          </w:p>
          <w:p w14:paraId="42E22EBD" w14:textId="272F9D41" w:rsidR="00994C81" w:rsidRDefault="00994C81" w:rsidP="00994C81">
            <w:pPr>
              <w:spacing w:before="0"/>
            </w:pPr>
            <w:r w:rsidRPr="00006AEE">
              <w:t>Finding 38. Factors influencing PACOP</w:t>
            </w:r>
            <w:r>
              <w:t>’</w:t>
            </w:r>
            <w:r w:rsidRPr="00006AEE">
              <w:t xml:space="preserve">s effectiveness included leadership engagement, IT integration, workforce challenges, the availability of appropriate in-house clinical capability, and program reach. </w:t>
            </w:r>
          </w:p>
          <w:p w14:paraId="7A27D203" w14:textId="4C805A91" w:rsidR="00994C81" w:rsidRDefault="00994C81" w:rsidP="00994C81">
            <w:pPr>
              <w:spacing w:before="0"/>
            </w:pPr>
            <w:r>
              <w:t>Finding 44. PACOP had accumulated a significant unspent balance of $2.65 million over the four financial years from 2021</w:t>
            </w:r>
            <w:r w:rsidRPr="00790A58">
              <w:t>–</w:t>
            </w:r>
            <w:r>
              <w:t>22 to 2024</w:t>
            </w:r>
            <w:r w:rsidRPr="00790A58">
              <w:t>–</w:t>
            </w:r>
            <w:r>
              <w:t>25. Delays related to IT development and persistent staff recruitment challenges contributed to lower expenditure. These constraints likely impacted program reach and scale.</w:t>
            </w:r>
          </w:p>
          <w:p w14:paraId="64B0B69F" w14:textId="54F40CE9" w:rsidR="00994C81" w:rsidRDefault="00994C81" w:rsidP="00994C81">
            <w:pPr>
              <w:spacing w:before="0"/>
              <w:rPr>
                <w:lang w:eastAsia="en-AU"/>
              </w:rPr>
            </w:pPr>
            <w:r>
              <w:t xml:space="preserve">Finding 45. </w:t>
            </w:r>
            <w:r>
              <w:rPr>
                <w:lang w:eastAsia="en-AU"/>
              </w:rPr>
              <w:t>PACOP unit costs decreased per registered provider, per registered home, and per home participating in benchmarking,</w:t>
            </w:r>
            <w:r w:rsidRPr="00F3451E">
              <w:rPr>
                <w:lang w:eastAsia="en-AU"/>
              </w:rPr>
              <w:t xml:space="preserve"> </w:t>
            </w:r>
            <w:r>
              <w:rPr>
                <w:lang w:eastAsia="en-AU"/>
              </w:rPr>
              <w:t>without an</w:t>
            </w:r>
            <w:r w:rsidRPr="00F3451E">
              <w:rPr>
                <w:lang w:eastAsia="en-AU"/>
              </w:rPr>
              <w:t xml:space="preserve"> overall </w:t>
            </w:r>
            <w:r>
              <w:rPr>
                <w:lang w:eastAsia="en-AU"/>
              </w:rPr>
              <w:t xml:space="preserve">increase in </w:t>
            </w:r>
            <w:r w:rsidRPr="00F3451E">
              <w:rPr>
                <w:lang w:eastAsia="en-AU"/>
              </w:rPr>
              <w:t>expenditure</w:t>
            </w:r>
            <w:r>
              <w:rPr>
                <w:lang w:eastAsia="en-AU"/>
              </w:rPr>
              <w:t>. This pattern indicates economies of scale as program participation expanded, although benchmarking participation remained limited at the time of the evaluation.</w:t>
            </w:r>
          </w:p>
          <w:p w14:paraId="6A5AE393" w14:textId="66A66B3E" w:rsidR="00994C81" w:rsidRDefault="00994C81" w:rsidP="00994C81">
            <w:pPr>
              <w:spacing w:before="0" w:after="0"/>
            </w:pPr>
            <w:r>
              <w:rPr>
                <w:lang w:eastAsia="en-AU"/>
              </w:rPr>
              <w:t xml:space="preserve">Finding 46. </w:t>
            </w:r>
            <w:r>
              <w:t>PACOP delivered early qualitative and output-based benefits for participating homes and staff. Evidence from PACOP assessment data suggested no measurable impact on unplanned hospital use to date. This likely reflects the early stage of implementation, limited benchmarking participation, and the influence of external factors. More mature data and longer follow-up will be required before economic benefits can be reliably assessed.</w:t>
            </w:r>
          </w:p>
        </w:tc>
      </w:tr>
      <w:tr w:rsidR="00F006D6" w14:paraId="7D6F2CA2" w14:textId="77777777" w:rsidTr="00485FD5">
        <w:tc>
          <w:tcPr>
            <w:tcW w:w="3686" w:type="dxa"/>
          </w:tcPr>
          <w:p w14:paraId="215977CD" w14:textId="196D2010" w:rsidR="00F006D6" w:rsidRDefault="00F006D6" w:rsidP="00F006D6">
            <w:pPr>
              <w:pStyle w:val="TableList"/>
            </w:pPr>
            <w:r>
              <w:lastRenderedPageBreak/>
              <w:t xml:space="preserve">If the Australian Government were to consider a future extension of PACOP, there is an opportunity to continue validating and adapting the PACOP assessment tools to ensure clinical </w:t>
            </w:r>
            <w:r>
              <w:lastRenderedPageBreak/>
              <w:t>appropriateness for residential aged care populations, including people with dementia and cognitive impairment.</w:t>
            </w:r>
          </w:p>
        </w:tc>
        <w:tc>
          <w:tcPr>
            <w:tcW w:w="3827" w:type="dxa"/>
          </w:tcPr>
          <w:p w14:paraId="0055C67F" w14:textId="7B70AEF2" w:rsidR="00F006D6" w:rsidRDefault="00F006D6" w:rsidP="00F006D6">
            <w:pPr>
              <w:spacing w:before="0" w:after="0"/>
            </w:pPr>
            <w:r>
              <w:lastRenderedPageBreak/>
              <w:t xml:space="preserve">Residential aged care populations are characterised by a high prevalence of dementia and cognitive impairment, coupled with unpredictable end-of-life trajectories. This can complicate the </w:t>
            </w:r>
            <w:r>
              <w:lastRenderedPageBreak/>
              <w:t>application of assessment tools developed primarily for other settings. Evaluation findings suggested that some PACOP assessment items did not consistently reflect the needs or clinical circumstances of the residential aged care cohort. Continued validation and adaptation of assessment tools, alongside efforts to simplify data collection processes (see Opportunity 7), could enhance the clinical relevance and usability of PACOP data.</w:t>
            </w:r>
          </w:p>
        </w:tc>
        <w:tc>
          <w:tcPr>
            <w:tcW w:w="7623" w:type="dxa"/>
          </w:tcPr>
          <w:p w14:paraId="75ACB380" w14:textId="77777777" w:rsidR="00F006D6" w:rsidRDefault="00F006D6" w:rsidP="00F006D6">
            <w:pPr>
              <w:spacing w:before="0" w:after="0"/>
            </w:pPr>
            <w:r>
              <w:lastRenderedPageBreak/>
              <w:t>Finding 13. The suitability of some PACOP assessment tools for aged care populations was questioned, due to high levels of cognitive impairment and unpredictable end-of-life trajectories. This suggests a need for further validation and adaptation to ensure clinical appropriateness.</w:t>
            </w:r>
          </w:p>
        </w:tc>
      </w:tr>
    </w:tbl>
    <w:p w14:paraId="514D4F7B" w14:textId="77777777" w:rsidR="004D564C" w:rsidRDefault="004D564C" w:rsidP="00587C4C">
      <w:pPr>
        <w:rPr>
          <w:lang w:val="en-US"/>
        </w:rPr>
      </w:pPr>
    </w:p>
    <w:p w14:paraId="1DEEF65B" w14:textId="77777777" w:rsidR="004D564C" w:rsidRDefault="004D564C" w:rsidP="00587C4C">
      <w:pPr>
        <w:rPr>
          <w:lang w:val="en-US"/>
        </w:rPr>
        <w:sectPr w:rsidR="004D564C" w:rsidSect="004B3B09">
          <w:type w:val="continuous"/>
          <w:pgSz w:w="16838" w:h="11906" w:orient="landscape" w:code="9"/>
          <w:pgMar w:top="851" w:right="851" w:bottom="851" w:left="851" w:header="709" w:footer="567" w:gutter="0"/>
          <w:pgNumType w:fmt="lowerRoman" w:start="1"/>
          <w:cols w:space="709"/>
          <w:docGrid w:linePitch="360"/>
        </w:sectPr>
      </w:pPr>
    </w:p>
    <w:p w14:paraId="736DBE46" w14:textId="1490F9CF" w:rsidR="00655942" w:rsidRDefault="00B113F5" w:rsidP="00655942">
      <w:pPr>
        <w:pStyle w:val="Heading1"/>
        <w:framePr w:wrap="around"/>
      </w:pPr>
      <w:bookmarkStart w:id="4" w:name="_Toc232685850"/>
      <w:r>
        <w:lastRenderedPageBreak/>
        <w:t>Introduction</w:t>
      </w:r>
      <w:bookmarkEnd w:id="4"/>
    </w:p>
    <w:p w14:paraId="4D391E13" w14:textId="77777777" w:rsidR="00DC588D" w:rsidRDefault="00DC588D" w:rsidP="00DC588D">
      <w:r>
        <w:t>The Department of Health, Disability and Ageing (the Department) engaged Healthcare Management Advisors (HMA) to:</w:t>
      </w:r>
    </w:p>
    <w:p w14:paraId="2343A9AD" w14:textId="77777777" w:rsidR="00DC588D" w:rsidRDefault="00DC588D" w:rsidP="00DC588D">
      <w:pPr>
        <w:pStyle w:val="Quote"/>
      </w:pPr>
      <w:r>
        <w:t xml:space="preserve">conduct an independent evaluation of the </w:t>
      </w:r>
      <w:r w:rsidRPr="005B7501">
        <w:t>Extension of Improving Palliative Care Training and Outcomes in Aged Care</w:t>
      </w:r>
      <w:r>
        <w:t xml:space="preserve"> Budget Measure (Measure).</w:t>
      </w:r>
    </w:p>
    <w:p w14:paraId="1920EB10" w14:textId="3EACBA36" w:rsidR="00062E4A" w:rsidRPr="00062E4A" w:rsidRDefault="00062E4A" w:rsidP="00062E4A">
      <w:pPr>
        <w:pStyle w:val="Heading2"/>
      </w:pPr>
      <w:bookmarkStart w:id="5" w:name="_Toc232685851"/>
      <w:r>
        <w:t>The Measure</w:t>
      </w:r>
      <w:bookmarkEnd w:id="5"/>
    </w:p>
    <w:p w14:paraId="0C4E0D30" w14:textId="40C54256" w:rsidR="00740EAF" w:rsidRDefault="00AA57BB" w:rsidP="00740EAF">
      <w:r w:rsidRPr="00AA57BB">
        <w:t>The Measure was established in response to the Royal Commission into Aged Care Quality and Safety</w:t>
      </w:r>
      <w:r>
        <w:t xml:space="preserve"> (Royal Commission)</w:t>
      </w:r>
      <w:r w:rsidRPr="00AA57BB">
        <w:t>, which identified significant gaps in the delivery of palliative care for older Australians. Informed by the Royal Commission</w:t>
      </w:r>
      <w:r w:rsidR="003863F5">
        <w:t>’</w:t>
      </w:r>
      <w:r w:rsidRPr="00AA57BB">
        <w:t xml:space="preserve">s recommendations, the Australian Government allocated </w:t>
      </w:r>
      <w:r w:rsidR="004B2267">
        <w:t xml:space="preserve">$18.98 million </w:t>
      </w:r>
      <w:r w:rsidRPr="00AA57BB">
        <w:t xml:space="preserve">in the 2021–22 Budget to </w:t>
      </w:r>
      <w:r w:rsidR="00F76102" w:rsidRPr="00F76102">
        <w:t>establish the Improving Palliative Care Training and Outcomes in Aged Care measure</w:t>
      </w:r>
      <w:r w:rsidR="00740EAF">
        <w:t>.</w:t>
      </w:r>
      <w:r w:rsidR="00DC23DE">
        <w:t xml:space="preserve"> </w:t>
      </w:r>
      <w:r w:rsidR="00740EAF">
        <w:rPr>
          <w:lang w:val="en-US"/>
        </w:rPr>
        <w:t>Three</w:t>
      </w:r>
      <w:r w:rsidR="00740EAF">
        <w:t xml:space="preserve"> key activities were initially funded:</w:t>
      </w:r>
    </w:p>
    <w:p w14:paraId="51B60E3A" w14:textId="77777777" w:rsidR="00267DF1" w:rsidRDefault="00267DF1" w:rsidP="00EE3EB9">
      <w:pPr>
        <w:pStyle w:val="ListBullet"/>
        <w:numPr>
          <w:ilvl w:val="0"/>
          <w:numId w:val="28"/>
        </w:numPr>
      </w:pPr>
      <w:r>
        <w:t>Program of Experience in the Palliative Approach (PEPA) Aged Care</w:t>
      </w:r>
    </w:p>
    <w:p w14:paraId="504C9C90" w14:textId="77777777" w:rsidR="00267DF1" w:rsidRDefault="00267DF1" w:rsidP="00EE3EB9">
      <w:pPr>
        <w:pStyle w:val="ListBullet"/>
        <w:numPr>
          <w:ilvl w:val="0"/>
          <w:numId w:val="28"/>
        </w:numPr>
      </w:pPr>
      <w:r>
        <w:t>Palliative Aged Care Outcomes Program (PACOP)</w:t>
      </w:r>
    </w:p>
    <w:p w14:paraId="261F23D2" w14:textId="77777777" w:rsidR="00267DF1" w:rsidRDefault="00267DF1" w:rsidP="00EE3EB9">
      <w:pPr>
        <w:pStyle w:val="ListBullet"/>
        <w:numPr>
          <w:ilvl w:val="0"/>
          <w:numId w:val="28"/>
        </w:numPr>
      </w:pPr>
      <w:r>
        <w:t>End-of-Life Directions for Aged Care (ELDAC) Linkage activities.</w:t>
      </w:r>
    </w:p>
    <w:p w14:paraId="13ADEB29" w14:textId="3D384D9E" w:rsidR="00267DF1" w:rsidRDefault="00267DF1" w:rsidP="00267DF1">
      <w:r>
        <w:t xml:space="preserve">In recognition of the ongoing importance of this work, the 2024–25 Budget </w:t>
      </w:r>
      <w:r w:rsidR="00647598">
        <w:t xml:space="preserve">provided an additional $10.8 million </w:t>
      </w:r>
      <w:r w:rsidR="00EA71F6">
        <w:t>to continue PEPA Aged Care and PACOP under the Measure</w:t>
      </w:r>
      <w:r>
        <w:t>.</w:t>
      </w:r>
      <w:r w:rsidR="00E6408F">
        <w:t xml:space="preserve"> ELDAC Linkage activities were integrated into the broader ELDAC program and were out of scope for this evaluation.</w:t>
      </w:r>
    </w:p>
    <w:p w14:paraId="7FB2A79A" w14:textId="77777777" w:rsidR="0064757C" w:rsidRDefault="0064757C" w:rsidP="0064757C">
      <w:pPr>
        <w:pStyle w:val="Heading3"/>
      </w:pPr>
      <w:bookmarkStart w:id="6" w:name="_Toc195536274"/>
      <w:bookmarkStart w:id="7" w:name="_Toc204343358"/>
      <w:bookmarkStart w:id="8" w:name="_Toc232685852"/>
      <w:r>
        <w:t>Objectives and intended outcomes</w:t>
      </w:r>
      <w:bookmarkEnd w:id="6"/>
      <w:bookmarkEnd w:id="7"/>
      <w:bookmarkEnd w:id="8"/>
    </w:p>
    <w:p w14:paraId="03D4B27D" w14:textId="62D0C82E" w:rsidR="0064757C" w:rsidRDefault="0064757C" w:rsidP="0064757C">
      <w:r>
        <w:t xml:space="preserve">The overarching objectives of the Measure </w:t>
      </w:r>
      <w:r w:rsidR="00E6408F">
        <w:t>were</w:t>
      </w:r>
      <w:r>
        <w:t xml:space="preserve"> to:</w:t>
      </w:r>
    </w:p>
    <w:p w14:paraId="11D01C7C" w14:textId="77777777" w:rsidR="0064757C" w:rsidRDefault="0064757C" w:rsidP="0064757C">
      <w:pPr>
        <w:pStyle w:val="ListBullet"/>
      </w:pPr>
      <w:r w:rsidRPr="009F5DF8">
        <w:t>enhance training for the aged care workforce to improve the quality of and timely access to palliative care for older Australians</w:t>
      </w:r>
    </w:p>
    <w:p w14:paraId="77E187ED" w14:textId="77777777" w:rsidR="0064757C" w:rsidRDefault="0064757C" w:rsidP="0064757C">
      <w:pPr>
        <w:pStyle w:val="ListBullet"/>
      </w:pPr>
      <w:r w:rsidRPr="009F5DF8">
        <w:t xml:space="preserve">support </w:t>
      </w:r>
      <w:r>
        <w:t xml:space="preserve">the </w:t>
      </w:r>
      <w:r w:rsidRPr="009F5DF8">
        <w:t>development of organisational capabilities to deliver quality palliative care</w:t>
      </w:r>
    </w:p>
    <w:p w14:paraId="222888DC" w14:textId="77777777" w:rsidR="0064757C" w:rsidRDefault="0064757C" w:rsidP="0064757C">
      <w:pPr>
        <w:pStyle w:val="ListBullet"/>
      </w:pPr>
      <w:r w:rsidRPr="009F5DF8">
        <w:t xml:space="preserve">support the aged care workforce to deliver quality palliative and </w:t>
      </w:r>
      <w:r>
        <w:t>end-of-life</w:t>
      </w:r>
      <w:r w:rsidRPr="009F5DF8">
        <w:t xml:space="preserve"> care</w:t>
      </w:r>
    </w:p>
    <w:p w14:paraId="081719D8" w14:textId="77777777" w:rsidR="0064757C" w:rsidRDefault="0064757C" w:rsidP="0064757C">
      <w:pPr>
        <w:pStyle w:val="ListBullet"/>
      </w:pPr>
      <w:r w:rsidRPr="009F5DF8">
        <w:t>embed quality palliative care across aged care settings</w:t>
      </w:r>
    </w:p>
    <w:p w14:paraId="7947369A" w14:textId="77777777" w:rsidR="0064757C" w:rsidRDefault="0064757C" w:rsidP="0064757C">
      <w:pPr>
        <w:pStyle w:val="ListBullet"/>
      </w:pPr>
      <w:r w:rsidRPr="009F5DF8">
        <w:t>establish, maintain and strengthen linkages across the primary care, aged care</w:t>
      </w:r>
      <w:r>
        <w:t>,</w:t>
      </w:r>
      <w:r w:rsidRPr="009F5DF8">
        <w:t xml:space="preserve"> and palliative care sectors</w:t>
      </w:r>
      <w:r>
        <w:t>.</w:t>
      </w:r>
    </w:p>
    <w:p w14:paraId="3C06A88F" w14:textId="024144D0" w:rsidR="0064757C" w:rsidRDefault="0064757C" w:rsidP="0064757C">
      <w:pPr>
        <w:keepNext/>
      </w:pPr>
      <w:r>
        <w:t xml:space="preserve">The intended outcomes of the Measure </w:t>
      </w:r>
      <w:r w:rsidR="00E6408F">
        <w:t>were</w:t>
      </w:r>
      <w:r>
        <w:t>:</w:t>
      </w:r>
    </w:p>
    <w:p w14:paraId="667D3E1A" w14:textId="77777777" w:rsidR="0064757C" w:rsidRDefault="0064757C" w:rsidP="0064757C">
      <w:pPr>
        <w:pStyle w:val="ListBullet"/>
      </w:pPr>
      <w:r w:rsidRPr="00F0532C">
        <w:t>improve</w:t>
      </w:r>
      <w:r>
        <w:t>d</w:t>
      </w:r>
      <w:r w:rsidRPr="00F0532C">
        <w:t xml:space="preserve"> outcomes for patients and their families at the end of life</w:t>
      </w:r>
    </w:p>
    <w:p w14:paraId="6DC46893" w14:textId="77777777" w:rsidR="0064757C" w:rsidRDefault="0064757C" w:rsidP="0064757C">
      <w:pPr>
        <w:pStyle w:val="ListBullet"/>
      </w:pPr>
      <w:r>
        <w:t>high-quality</w:t>
      </w:r>
      <w:r w:rsidRPr="00F0532C">
        <w:t>, safe</w:t>
      </w:r>
      <w:r>
        <w:t>,</w:t>
      </w:r>
      <w:r w:rsidRPr="00F0532C">
        <w:t xml:space="preserve"> and culturally appropriate palliative care that meets individual care needs</w:t>
      </w:r>
    </w:p>
    <w:p w14:paraId="22ECB648" w14:textId="77777777" w:rsidR="0064757C" w:rsidRDefault="0064757C" w:rsidP="0064757C">
      <w:pPr>
        <w:pStyle w:val="ListBullet"/>
      </w:pPr>
      <w:r w:rsidRPr="00F0532C">
        <w:t>increase</w:t>
      </w:r>
      <w:r>
        <w:t>d</w:t>
      </w:r>
      <w:r w:rsidRPr="00F0532C">
        <w:t xml:space="preserve"> </w:t>
      </w:r>
      <w:r>
        <w:t>general practitioner (</w:t>
      </w:r>
      <w:r w:rsidRPr="00F0532C">
        <w:t>GP</w:t>
      </w:r>
      <w:r>
        <w:t>)</w:t>
      </w:r>
      <w:r w:rsidRPr="00F0532C">
        <w:t>, aged care provider</w:t>
      </w:r>
      <w:r>
        <w:t>,</w:t>
      </w:r>
      <w:r w:rsidRPr="00F0532C">
        <w:t xml:space="preserve"> and other healthcare </w:t>
      </w:r>
      <w:r>
        <w:t>staff</w:t>
      </w:r>
      <w:r w:rsidRPr="00F0532C">
        <w:t xml:space="preserve"> confidence and knowledge of palliative care and advance care planning</w:t>
      </w:r>
    </w:p>
    <w:p w14:paraId="6E19AAC4" w14:textId="77777777" w:rsidR="0064757C" w:rsidRDefault="0064757C" w:rsidP="0064757C">
      <w:pPr>
        <w:pStyle w:val="ListBullet"/>
      </w:pPr>
      <w:r w:rsidRPr="00F0532C">
        <w:t>establishment of links between primary care, aged care, and palliative care services</w:t>
      </w:r>
    </w:p>
    <w:p w14:paraId="69B90D66" w14:textId="77777777" w:rsidR="0064757C" w:rsidRDefault="0064757C" w:rsidP="0064757C">
      <w:pPr>
        <w:pStyle w:val="ListBullet"/>
      </w:pPr>
      <w:r w:rsidRPr="00F0532C">
        <w:t>aged care providers, GPs</w:t>
      </w:r>
      <w:r>
        <w:t>,</w:t>
      </w:r>
      <w:r w:rsidRPr="00F0532C">
        <w:t xml:space="preserve"> or other healthcare workers are informed about palliative care, advance care planning and advance care directive resources, processes, legislation and accountabilities in the state or territory </w:t>
      </w:r>
      <w:r>
        <w:t>where</w:t>
      </w:r>
      <w:r w:rsidRPr="00F0532C">
        <w:t xml:space="preserve"> the aged care service is located</w:t>
      </w:r>
      <w:r>
        <w:t>.</w:t>
      </w:r>
    </w:p>
    <w:p w14:paraId="33118F6D" w14:textId="0F7EBCC1" w:rsidR="00B113F5" w:rsidRDefault="00A24B11" w:rsidP="00B113F5">
      <w:pPr>
        <w:pStyle w:val="Heading2"/>
      </w:pPr>
      <w:bookmarkStart w:id="9" w:name="_Toc232685853"/>
      <w:r>
        <w:lastRenderedPageBreak/>
        <w:t>E</w:t>
      </w:r>
      <w:r w:rsidR="00B113F5">
        <w:t>valuation</w:t>
      </w:r>
      <w:r>
        <w:t xml:space="preserve"> aims</w:t>
      </w:r>
      <w:bookmarkEnd w:id="9"/>
    </w:p>
    <w:p w14:paraId="0ECD7A2A" w14:textId="70CE8797" w:rsidR="00625A1D" w:rsidRDefault="00F451D3" w:rsidP="00AC771D">
      <w:r>
        <w:t xml:space="preserve">The evaluation </w:t>
      </w:r>
      <w:r w:rsidR="005F6720">
        <w:t>aimed</w:t>
      </w:r>
      <w:r w:rsidR="00625A1D">
        <w:t xml:space="preserve"> to determine whether the Measure is appropriate, effective, and efficient. Findings may inform continuous improvement and future funding decisions regarding the Measure.</w:t>
      </w:r>
    </w:p>
    <w:p w14:paraId="34D58D58" w14:textId="3A85C47A" w:rsidR="00B113F5" w:rsidRDefault="00B113F5" w:rsidP="00E1413B">
      <w:pPr>
        <w:pStyle w:val="Heading2"/>
      </w:pPr>
      <w:bookmarkStart w:id="10" w:name="_Toc232685854"/>
      <w:r>
        <w:t>Purpose and structure of this document</w:t>
      </w:r>
      <w:bookmarkEnd w:id="10"/>
    </w:p>
    <w:p w14:paraId="7E73B923" w14:textId="23BEF625" w:rsidR="00E1413B" w:rsidRDefault="00E1413B" w:rsidP="00B113F5">
      <w:r>
        <w:t xml:space="preserve">The </w:t>
      </w:r>
      <w:r w:rsidR="00646A79">
        <w:t>f</w:t>
      </w:r>
      <w:r>
        <w:t xml:space="preserve">inal </w:t>
      </w:r>
      <w:r w:rsidR="00EE2DB7">
        <w:t xml:space="preserve">evaluation </w:t>
      </w:r>
      <w:r w:rsidR="00646A79">
        <w:t>r</w:t>
      </w:r>
      <w:r>
        <w:t xml:space="preserve">eport (this document) </w:t>
      </w:r>
      <w:r w:rsidR="00D94CA1" w:rsidRPr="00D94CA1">
        <w:t xml:space="preserve">presents the broader contextual environment in which </w:t>
      </w:r>
      <w:r w:rsidR="00273D89">
        <w:t xml:space="preserve">the </w:t>
      </w:r>
      <w:r w:rsidR="00D94CA1">
        <w:t>Measure</w:t>
      </w:r>
      <w:r w:rsidR="00D94CA1" w:rsidRPr="00D94CA1">
        <w:t xml:space="preserve"> operates, an overview of the approach used to evaluate </w:t>
      </w:r>
      <w:r w:rsidR="00D94CA1">
        <w:t>the Measure</w:t>
      </w:r>
      <w:r w:rsidR="00D94CA1" w:rsidRPr="00D94CA1">
        <w:t xml:space="preserve">, and </w:t>
      </w:r>
      <w:r w:rsidR="00D94CA1">
        <w:t xml:space="preserve">comprehensive evaluation </w:t>
      </w:r>
      <w:r w:rsidR="00D94CA1" w:rsidRPr="00D94CA1">
        <w:t xml:space="preserve">findings and </w:t>
      </w:r>
      <w:r w:rsidR="00BD23A8">
        <w:t>opportunities</w:t>
      </w:r>
      <w:r w:rsidR="00B66BB7">
        <w:t xml:space="preserve"> for consideration in any potential future iteration</w:t>
      </w:r>
      <w:r w:rsidR="00D94CA1">
        <w:t>.</w:t>
      </w:r>
    </w:p>
    <w:p w14:paraId="1067348B" w14:textId="77777777" w:rsidR="006C137D" w:rsidRDefault="006C137D" w:rsidP="006C137D">
      <w:r>
        <w:t>The remainder of this document is structured in two parts, as follows:</w:t>
      </w:r>
    </w:p>
    <w:p w14:paraId="62576048" w14:textId="77777777" w:rsidR="006C137D" w:rsidRPr="004E354B" w:rsidRDefault="006C137D" w:rsidP="006C137D">
      <w:pPr>
        <w:rPr>
          <w:b/>
          <w:bCs/>
        </w:rPr>
      </w:pPr>
      <w:r w:rsidRPr="004E354B">
        <w:rPr>
          <w:b/>
          <w:bCs/>
        </w:rPr>
        <w:t xml:space="preserve">Part A – </w:t>
      </w:r>
      <w:r>
        <w:rPr>
          <w:b/>
          <w:bCs/>
        </w:rPr>
        <w:t>Project</w:t>
      </w:r>
      <w:r w:rsidRPr="004E354B">
        <w:rPr>
          <w:b/>
          <w:bCs/>
        </w:rPr>
        <w:t xml:space="preserve"> context and </w:t>
      </w:r>
      <w:r>
        <w:rPr>
          <w:b/>
          <w:bCs/>
        </w:rPr>
        <w:t>approach</w:t>
      </w:r>
    </w:p>
    <w:p w14:paraId="4D15954E" w14:textId="37DEF3DA" w:rsidR="006C137D" w:rsidRDefault="006C137D" w:rsidP="006C137D">
      <w:pPr>
        <w:pStyle w:val="ListBullet"/>
      </w:pPr>
      <w:r w:rsidRPr="00B86A29">
        <w:rPr>
          <w:b/>
          <w:bCs/>
        </w:rPr>
        <w:t>Chapter 2:</w:t>
      </w:r>
      <w:r>
        <w:t xml:space="preserve"> </w:t>
      </w:r>
      <w:r w:rsidR="005E4164">
        <w:t xml:space="preserve">provides the </w:t>
      </w:r>
      <w:r w:rsidR="001F4C54">
        <w:t>evaluation approach and method</w:t>
      </w:r>
    </w:p>
    <w:p w14:paraId="500DA16F" w14:textId="7FEBF0E5" w:rsidR="006C137D" w:rsidRDefault="006C137D" w:rsidP="006C137D">
      <w:pPr>
        <w:pStyle w:val="ListBullet"/>
      </w:pPr>
      <w:r w:rsidRPr="00B86A29">
        <w:rPr>
          <w:b/>
          <w:bCs/>
        </w:rPr>
        <w:t>Chapter 3:</w:t>
      </w:r>
      <w:r>
        <w:t xml:space="preserve"> provides the </w:t>
      </w:r>
      <w:r w:rsidR="001F4C54">
        <w:t>context</w:t>
      </w:r>
      <w:r>
        <w:t xml:space="preserve"> of the evaluation </w:t>
      </w:r>
    </w:p>
    <w:p w14:paraId="35F6FFD5" w14:textId="77777777" w:rsidR="006C137D" w:rsidRPr="004E354B" w:rsidRDefault="006C137D" w:rsidP="006C137D">
      <w:pPr>
        <w:rPr>
          <w:b/>
          <w:bCs/>
        </w:rPr>
      </w:pPr>
      <w:r w:rsidRPr="004E354B">
        <w:rPr>
          <w:b/>
          <w:bCs/>
        </w:rPr>
        <w:t xml:space="preserve">Part B – Evaluation findings and </w:t>
      </w:r>
      <w:r>
        <w:rPr>
          <w:b/>
          <w:bCs/>
        </w:rPr>
        <w:t>recommendations</w:t>
      </w:r>
    </w:p>
    <w:p w14:paraId="5A687D12" w14:textId="35D7D08B" w:rsidR="00F84356" w:rsidRDefault="00F84356" w:rsidP="00F84356">
      <w:pPr>
        <w:pStyle w:val="ListBullet"/>
      </w:pPr>
      <w:r w:rsidRPr="00B86A29">
        <w:rPr>
          <w:b/>
          <w:bCs/>
        </w:rPr>
        <w:t>Chapter 4:</w:t>
      </w:r>
      <w:r>
        <w:t xml:space="preserve"> presents findings </w:t>
      </w:r>
      <w:r w:rsidR="00A21F74">
        <w:t>on the appropriateness of the Measure</w:t>
      </w:r>
      <w:r w:rsidR="000965A9">
        <w:t xml:space="preserve"> and its funded activities</w:t>
      </w:r>
    </w:p>
    <w:p w14:paraId="759308C8" w14:textId="523EF11E" w:rsidR="00F84356" w:rsidRDefault="00F84356" w:rsidP="00F84356">
      <w:pPr>
        <w:pStyle w:val="ListBullet"/>
      </w:pPr>
      <w:r w:rsidRPr="00B86A29">
        <w:rPr>
          <w:b/>
          <w:bCs/>
        </w:rPr>
        <w:t>Chapter 5:</w:t>
      </w:r>
      <w:r>
        <w:t xml:space="preserve"> presents findings </w:t>
      </w:r>
      <w:r w:rsidR="000965A9">
        <w:t>on the implementation of the Measure</w:t>
      </w:r>
    </w:p>
    <w:p w14:paraId="24C4DA6B" w14:textId="5AD77DCB" w:rsidR="00F84356" w:rsidRDefault="00F84356" w:rsidP="00F84356">
      <w:pPr>
        <w:pStyle w:val="ListBullet"/>
      </w:pPr>
      <w:r w:rsidRPr="00B86A29">
        <w:rPr>
          <w:b/>
          <w:bCs/>
        </w:rPr>
        <w:t>Chapter 6:</w:t>
      </w:r>
      <w:r>
        <w:t xml:space="preserve"> </w:t>
      </w:r>
      <w:r w:rsidR="000965A9">
        <w:t>summarises</w:t>
      </w:r>
      <w:r>
        <w:t xml:space="preserve"> findings </w:t>
      </w:r>
      <w:r w:rsidR="000965A9">
        <w:t>on the effectiveness of activities funded under the Measure in achieving the intended outcomes</w:t>
      </w:r>
    </w:p>
    <w:p w14:paraId="2EFBF4CB" w14:textId="7A9646A4" w:rsidR="00F84356" w:rsidRDefault="00F84356" w:rsidP="00F84356">
      <w:pPr>
        <w:pStyle w:val="ListBullet"/>
      </w:pPr>
      <w:r w:rsidRPr="00B86A29">
        <w:rPr>
          <w:b/>
          <w:bCs/>
        </w:rPr>
        <w:t>Chapter 7:</w:t>
      </w:r>
      <w:r>
        <w:t xml:space="preserve"> </w:t>
      </w:r>
      <w:r w:rsidR="000965A9">
        <w:t xml:space="preserve">presents </w:t>
      </w:r>
      <w:r w:rsidR="00820B5D">
        <w:t>findings</w:t>
      </w:r>
      <w:r w:rsidR="000965A9">
        <w:t xml:space="preserve"> on the efficiency of the</w:t>
      </w:r>
      <w:r w:rsidR="00820B5D">
        <w:t xml:space="preserve"> funded activities</w:t>
      </w:r>
    </w:p>
    <w:p w14:paraId="12EAD2E3" w14:textId="1C53D2B5" w:rsidR="00F84356" w:rsidRDefault="00F84356" w:rsidP="00F84356">
      <w:pPr>
        <w:pStyle w:val="ListBullet"/>
      </w:pPr>
      <w:r>
        <w:rPr>
          <w:b/>
          <w:bCs/>
        </w:rPr>
        <w:t>Chapter 8:</w:t>
      </w:r>
      <w:r>
        <w:t xml:space="preserve"> </w:t>
      </w:r>
      <w:r w:rsidR="00820B5D">
        <w:t>presents</w:t>
      </w:r>
      <w:r>
        <w:t xml:space="preserve"> </w:t>
      </w:r>
      <w:r w:rsidR="00DF3E02">
        <w:t xml:space="preserve">opportunities </w:t>
      </w:r>
      <w:r w:rsidR="00820B5D">
        <w:t>to inform</w:t>
      </w:r>
      <w:r w:rsidR="00DF3E02">
        <w:t xml:space="preserve"> potential</w:t>
      </w:r>
      <w:r w:rsidR="00820B5D">
        <w:t xml:space="preserve"> future directions of the Measure and funded activities</w:t>
      </w:r>
    </w:p>
    <w:p w14:paraId="75445652" w14:textId="72551FE5" w:rsidR="006C137D" w:rsidRPr="00A21F74" w:rsidRDefault="00A21F74" w:rsidP="00120E73">
      <w:pPr>
        <w:pStyle w:val="ListBullet"/>
        <w:rPr>
          <w:b/>
          <w:bCs/>
        </w:rPr>
      </w:pPr>
      <w:r w:rsidRPr="00A21F74">
        <w:rPr>
          <w:b/>
          <w:bCs/>
        </w:rPr>
        <w:t>Chapter 9:</w:t>
      </w:r>
      <w:r>
        <w:rPr>
          <w:b/>
          <w:bCs/>
        </w:rPr>
        <w:t xml:space="preserve"> </w:t>
      </w:r>
      <w:r w:rsidR="006C137D" w:rsidRPr="00A21F74">
        <w:t>Appendices</w:t>
      </w:r>
    </w:p>
    <w:p w14:paraId="59B08990" w14:textId="2861E20A" w:rsidR="006C137D" w:rsidRPr="00A21F74" w:rsidRDefault="006C137D" w:rsidP="00A21F74">
      <w:pPr>
        <w:pStyle w:val="ListBullet2"/>
      </w:pPr>
      <w:r w:rsidRPr="00A21F74">
        <w:rPr>
          <w:b/>
          <w:bCs/>
        </w:rPr>
        <w:t>Appendix A:</w:t>
      </w:r>
      <w:r w:rsidRPr="00A21F74">
        <w:t xml:space="preserve"> </w:t>
      </w:r>
      <w:r w:rsidR="006F512F" w:rsidRPr="00A21F74">
        <w:t>Evaluation framework</w:t>
      </w:r>
    </w:p>
    <w:p w14:paraId="3E7204E0" w14:textId="65DE9520" w:rsidR="00F84356" w:rsidRPr="00A21F74" w:rsidRDefault="006C137D" w:rsidP="00A21F74">
      <w:pPr>
        <w:pStyle w:val="ListBullet2"/>
      </w:pPr>
      <w:r w:rsidRPr="00A21F74">
        <w:rPr>
          <w:b/>
          <w:bCs/>
        </w:rPr>
        <w:t>Appendix B:</w:t>
      </w:r>
      <w:r w:rsidRPr="00A21F74">
        <w:t xml:space="preserve"> </w:t>
      </w:r>
      <w:r w:rsidR="00A21F74" w:rsidRPr="00A21F74">
        <w:t xml:space="preserve">Stakeholders </w:t>
      </w:r>
      <w:r w:rsidR="00F8614E">
        <w:t>involved in consultations</w:t>
      </w:r>
    </w:p>
    <w:p w14:paraId="50D9D8C0" w14:textId="34D3B867" w:rsidR="00A21F74" w:rsidRPr="00A21F74" w:rsidRDefault="00A21F74" w:rsidP="00A21F74">
      <w:pPr>
        <w:pStyle w:val="ListBullet2"/>
      </w:pPr>
      <w:r w:rsidRPr="00A21F74">
        <w:rPr>
          <w:b/>
          <w:bCs/>
        </w:rPr>
        <w:t xml:space="preserve">Appendix </w:t>
      </w:r>
      <w:r>
        <w:rPr>
          <w:b/>
          <w:bCs/>
        </w:rPr>
        <w:t xml:space="preserve">C: </w:t>
      </w:r>
      <w:r w:rsidRPr="00A21F74">
        <w:t>PEPA Aged Care program data</w:t>
      </w:r>
    </w:p>
    <w:p w14:paraId="3C3CA38C" w14:textId="0255C660" w:rsidR="00A21F74" w:rsidRPr="00A21F74" w:rsidRDefault="00A21F74" w:rsidP="00A21F74">
      <w:pPr>
        <w:pStyle w:val="ListBullet2"/>
      </w:pPr>
      <w:r w:rsidRPr="00A21F74">
        <w:rPr>
          <w:b/>
          <w:bCs/>
        </w:rPr>
        <w:t xml:space="preserve">Appendix </w:t>
      </w:r>
      <w:r>
        <w:rPr>
          <w:b/>
          <w:bCs/>
        </w:rPr>
        <w:t xml:space="preserve">D: </w:t>
      </w:r>
      <w:r w:rsidRPr="00A21F74">
        <w:t>PACOP program data</w:t>
      </w:r>
    </w:p>
    <w:p w14:paraId="3A5798FB" w14:textId="3C761D16" w:rsidR="00A21F74" w:rsidRPr="00A21F74" w:rsidRDefault="00A21F74" w:rsidP="00A21F74">
      <w:pPr>
        <w:pStyle w:val="ListBullet2"/>
      </w:pPr>
      <w:r w:rsidRPr="00A21F74">
        <w:rPr>
          <w:b/>
          <w:bCs/>
        </w:rPr>
        <w:t xml:space="preserve">Appendix </w:t>
      </w:r>
      <w:r w:rsidR="00E61123">
        <w:rPr>
          <w:b/>
          <w:bCs/>
        </w:rPr>
        <w:t>E</w:t>
      </w:r>
      <w:r>
        <w:rPr>
          <w:b/>
          <w:bCs/>
        </w:rPr>
        <w:t xml:space="preserve">: </w:t>
      </w:r>
      <w:r w:rsidRPr="00A21F74">
        <w:t>Economic analysis approach</w:t>
      </w:r>
    </w:p>
    <w:p w14:paraId="43D8B06A" w14:textId="58A29AB3" w:rsidR="00A21F74" w:rsidRDefault="00A21F74" w:rsidP="00A21F74">
      <w:pPr>
        <w:pStyle w:val="ListBullet2"/>
      </w:pPr>
      <w:r w:rsidRPr="00A21F74">
        <w:rPr>
          <w:b/>
          <w:bCs/>
        </w:rPr>
        <w:t xml:space="preserve">Appendix </w:t>
      </w:r>
      <w:r w:rsidR="00E61123">
        <w:rPr>
          <w:b/>
          <w:bCs/>
        </w:rPr>
        <w:t>F</w:t>
      </w:r>
      <w:r>
        <w:rPr>
          <w:b/>
          <w:bCs/>
        </w:rPr>
        <w:t xml:space="preserve">: </w:t>
      </w:r>
      <w:r w:rsidRPr="00A21F74">
        <w:t>References</w:t>
      </w:r>
    </w:p>
    <w:p w14:paraId="21D3E4CA" w14:textId="6D2F5538" w:rsidR="009774F3" w:rsidRPr="007B62EA" w:rsidRDefault="00A57B50" w:rsidP="009774F3">
      <w:pPr>
        <w:rPr>
          <w:b/>
          <w:bCs/>
        </w:rPr>
      </w:pPr>
      <w:r w:rsidRPr="007B62EA">
        <w:rPr>
          <w:b/>
          <w:bCs/>
        </w:rPr>
        <w:t>Technical paper</w:t>
      </w:r>
    </w:p>
    <w:p w14:paraId="1C23B26D" w14:textId="35B22294" w:rsidR="00A57B50" w:rsidRDefault="00A57B50" w:rsidP="009774F3">
      <w:r>
        <w:t xml:space="preserve">In addition, this </w:t>
      </w:r>
      <w:r w:rsidR="00D11B5B">
        <w:t>report</w:t>
      </w:r>
      <w:r>
        <w:t xml:space="preserve"> is supported by a technical paper that </w:t>
      </w:r>
      <w:r w:rsidR="00D11B5B">
        <w:t>presents</w:t>
      </w:r>
      <w:r w:rsidR="00834B37">
        <w:t xml:space="preserve"> detailed findings from two core data collection activities undertaken as part of the evaluation:</w:t>
      </w:r>
    </w:p>
    <w:p w14:paraId="32D33122" w14:textId="05DBD81A" w:rsidR="00834B37" w:rsidRDefault="007B62EA" w:rsidP="007B62EA">
      <w:pPr>
        <w:pStyle w:val="ListBullet"/>
      </w:pPr>
      <w:r>
        <w:t>a</w:t>
      </w:r>
      <w:r w:rsidR="00834B37">
        <w:t xml:space="preserve"> survey of aged care organisations</w:t>
      </w:r>
    </w:p>
    <w:p w14:paraId="597AE75A" w14:textId="29031BAC" w:rsidR="00834B37" w:rsidRDefault="007B62EA" w:rsidP="007B62EA">
      <w:pPr>
        <w:pStyle w:val="ListBullet"/>
      </w:pPr>
      <w:r>
        <w:t>c</w:t>
      </w:r>
      <w:r w:rsidR="00834B37">
        <w:t>ase studies of aged care organisation</w:t>
      </w:r>
      <w:r>
        <w:t>s</w:t>
      </w:r>
    </w:p>
    <w:p w14:paraId="0F10F7F9" w14:textId="6C80874F" w:rsidR="007B62EA" w:rsidRPr="00A21F74" w:rsidRDefault="007B62EA" w:rsidP="009774F3">
      <w:r>
        <w:t xml:space="preserve">The technical paper should be read </w:t>
      </w:r>
      <w:r w:rsidR="00D11B5B">
        <w:t xml:space="preserve">alongside this </w:t>
      </w:r>
      <w:r w:rsidR="00E61123">
        <w:t>final</w:t>
      </w:r>
      <w:r w:rsidR="00EE2DB7">
        <w:t xml:space="preserve"> evaluation</w:t>
      </w:r>
      <w:r w:rsidR="00E61123">
        <w:t xml:space="preserve"> report. </w:t>
      </w:r>
      <w:r w:rsidR="008C6EA2">
        <w:t xml:space="preserve">Supporting evidence </w:t>
      </w:r>
      <w:r w:rsidR="0061690D">
        <w:t xml:space="preserve">presented in </w:t>
      </w:r>
      <w:r w:rsidR="00E61123">
        <w:t xml:space="preserve">the technical paper </w:t>
      </w:r>
      <w:r w:rsidR="0061690D">
        <w:t>is</w:t>
      </w:r>
      <w:r w:rsidR="00E61123">
        <w:t xml:space="preserve"> cross-referenced throughout this </w:t>
      </w:r>
      <w:r w:rsidR="008C6EA2">
        <w:t>document</w:t>
      </w:r>
      <w:r w:rsidR="00C838A0">
        <w:t xml:space="preserve"> to provide additional depth and context to the findings</w:t>
      </w:r>
      <w:r w:rsidR="00A24EDC">
        <w:t>.</w:t>
      </w:r>
    </w:p>
    <w:p w14:paraId="67C02EE3" w14:textId="49B09683" w:rsidR="00866123" w:rsidRDefault="00866123" w:rsidP="00866123">
      <w:pPr>
        <w:pStyle w:val="Heading1"/>
        <w:framePr w:wrap="around"/>
      </w:pPr>
      <w:bookmarkStart w:id="11" w:name="_Toc232685855"/>
      <w:bookmarkEnd w:id="0"/>
      <w:r>
        <w:lastRenderedPageBreak/>
        <w:t>Evaluation approach and method</w:t>
      </w:r>
      <w:bookmarkEnd w:id="11"/>
    </w:p>
    <w:p w14:paraId="2A982AB8" w14:textId="77777777" w:rsidR="00866123" w:rsidRDefault="00866123" w:rsidP="00866123">
      <w:r>
        <w:t>This chapter provides a summary of the approach and method used to evaluate the Measure.</w:t>
      </w:r>
    </w:p>
    <w:p w14:paraId="2AAB8F70" w14:textId="4AC0D9CE" w:rsidR="00866123" w:rsidRDefault="00866123" w:rsidP="00866123">
      <w:pPr>
        <w:pStyle w:val="Heading2"/>
      </w:pPr>
      <w:bookmarkStart w:id="12" w:name="_Toc232685856"/>
      <w:r>
        <w:t>Evaluation approach</w:t>
      </w:r>
      <w:bookmarkEnd w:id="12"/>
    </w:p>
    <w:p w14:paraId="12AA972E" w14:textId="5900A2DC" w:rsidR="00866123" w:rsidRDefault="00866123" w:rsidP="00866123">
      <w:r>
        <w:t>The evaluation of the Measure commenced in March 2025 and culminated in a final report</w:t>
      </w:r>
      <w:r w:rsidR="00D87845">
        <w:t xml:space="preserve"> due</w:t>
      </w:r>
      <w:r>
        <w:t xml:space="preserve"> in March 2026. It was undertaken in a staged approach as summarised in </w:t>
      </w:r>
      <w:r w:rsidR="00D931FC">
        <w:fldChar w:fldCharType="begin"/>
      </w:r>
      <w:r w:rsidR="00D931FC">
        <w:instrText xml:space="preserve"> REF _Ref216797089 \h </w:instrText>
      </w:r>
      <w:r w:rsidR="00D931FC">
        <w:fldChar w:fldCharType="separate"/>
      </w:r>
      <w:r w:rsidR="00167BA0">
        <w:t xml:space="preserve">Figure </w:t>
      </w:r>
      <w:r w:rsidR="00167BA0">
        <w:rPr>
          <w:noProof/>
        </w:rPr>
        <w:t>2</w:t>
      </w:r>
      <w:r w:rsidR="00167BA0">
        <w:t>.</w:t>
      </w:r>
      <w:r w:rsidR="00167BA0">
        <w:rPr>
          <w:noProof/>
        </w:rPr>
        <w:t>1</w:t>
      </w:r>
      <w:r w:rsidR="00D931FC">
        <w:fldChar w:fldCharType="end"/>
      </w:r>
      <w:r>
        <w:t xml:space="preserve"> and outlined in further detail in the following sections.</w:t>
      </w:r>
    </w:p>
    <w:p w14:paraId="35766ADF" w14:textId="0A35F898" w:rsidR="00866123" w:rsidRDefault="00866123" w:rsidP="00866123">
      <w:pPr>
        <w:pStyle w:val="Caption"/>
        <w:spacing w:after="240"/>
      </w:pPr>
      <w:bookmarkStart w:id="13" w:name="_Ref216797089"/>
      <w:r>
        <w:t xml:space="preserve">Figure </w:t>
      </w:r>
      <w:fldSimple w:instr=" STYLEREF 1 \s ">
        <w:r w:rsidR="00167BA0">
          <w:rPr>
            <w:noProof/>
          </w:rPr>
          <w:t>2</w:t>
        </w:r>
      </w:fldSimple>
      <w:r w:rsidR="00DD3EB1">
        <w:t>.</w:t>
      </w:r>
      <w:fldSimple w:instr=" SEQ Figure \* ARABIC \s 1 ">
        <w:r w:rsidR="00167BA0">
          <w:rPr>
            <w:noProof/>
          </w:rPr>
          <w:t>1</w:t>
        </w:r>
      </w:fldSimple>
      <w:bookmarkEnd w:id="13"/>
      <w:r>
        <w:t>: Staged approach to evaluating the Measure</w:t>
      </w:r>
    </w:p>
    <w:p w14:paraId="1AEEB878" w14:textId="77777777" w:rsidR="00866123" w:rsidRDefault="00866123" w:rsidP="00866123">
      <w:pPr>
        <w:spacing w:before="120"/>
      </w:pPr>
      <w:r>
        <w:rPr>
          <w:noProof/>
        </w:rPr>
        <w:drawing>
          <wp:inline distT="0" distB="0" distL="0" distR="0" wp14:anchorId="331B90D5" wp14:editId="27DE80EC">
            <wp:extent cx="4600575" cy="1571625"/>
            <wp:effectExtent l="19050" t="0" r="9525" b="28575"/>
            <wp:docPr id="1680294813" name="Diagram 3" descr="Figure 2.1 is a diagram showing 5 stages to the approach to evaluating the Measur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532783B2" w14:textId="77777777" w:rsidR="00866123" w:rsidRDefault="00866123" w:rsidP="00866123">
      <w:pPr>
        <w:pStyle w:val="Heading3"/>
      </w:pPr>
      <w:bookmarkStart w:id="14" w:name="_Toc232685857"/>
      <w:r>
        <w:t>Stage 1: Project initiation and planning</w:t>
      </w:r>
      <w:bookmarkEnd w:id="14"/>
    </w:p>
    <w:p w14:paraId="2DF43508" w14:textId="77777777" w:rsidR="00866123" w:rsidRPr="00B275E3" w:rsidRDefault="00866123" w:rsidP="00866123">
      <w:r w:rsidRPr="00A455F5">
        <w:t>Th</w:t>
      </w:r>
      <w:r>
        <w:t>e</w:t>
      </w:r>
      <w:r w:rsidRPr="00A455F5">
        <w:t xml:space="preserve"> initial </w:t>
      </w:r>
      <w:r>
        <w:t xml:space="preserve">project </w:t>
      </w:r>
      <w:r w:rsidRPr="00A455F5">
        <w:t xml:space="preserve">stage focused on confirming project scope and deliverables and </w:t>
      </w:r>
      <w:r>
        <w:t xml:space="preserve">establishing </w:t>
      </w:r>
      <w:r w:rsidRPr="00A455F5">
        <w:t>project management protocols. Key tasks included convening an inception meeting, preparing the detailed project plan, and developing communication and risk management strategies</w:t>
      </w:r>
      <w:r>
        <w:t>.</w:t>
      </w:r>
    </w:p>
    <w:p w14:paraId="0CA346EE" w14:textId="52BFEA5C" w:rsidR="00866123" w:rsidRDefault="00866123" w:rsidP="00866123">
      <w:pPr>
        <w:pStyle w:val="Heading3"/>
      </w:pPr>
      <w:bookmarkStart w:id="15" w:name="_Toc232685858"/>
      <w:r w:rsidRPr="00EF7ED2">
        <w:t>Stage 2:</w:t>
      </w:r>
      <w:r w:rsidRPr="00F0107E">
        <w:t xml:space="preserve"> Evaluation </w:t>
      </w:r>
      <w:r w:rsidR="00CD39C7">
        <w:t>p</w:t>
      </w:r>
      <w:r w:rsidRPr="00F0107E">
        <w:t>lan</w:t>
      </w:r>
      <w:bookmarkEnd w:id="15"/>
    </w:p>
    <w:p w14:paraId="6EE4D5D3" w14:textId="07B9C68A" w:rsidR="00866123" w:rsidRDefault="00866123" w:rsidP="00866123">
      <w:r w:rsidRPr="0047212B">
        <w:t xml:space="preserve">A comprehensive desktop review and preliminary stakeholder consultations were undertaken to inform a situation analysis, which provided context for the Measure and its funded activities. This stage also included </w:t>
      </w:r>
      <w:r>
        <w:t xml:space="preserve">a </w:t>
      </w:r>
      <w:r w:rsidRPr="0047212B">
        <w:t>data scoping</w:t>
      </w:r>
      <w:r>
        <w:t xml:space="preserve"> exercise and the development of a program logic (presented in </w:t>
      </w:r>
      <w:r w:rsidR="00D931FC">
        <w:fldChar w:fldCharType="begin"/>
      </w:r>
      <w:r w:rsidR="00D931FC">
        <w:instrText xml:space="preserve"> REF _Ref216431039 \h </w:instrText>
      </w:r>
      <w:r w:rsidR="00D931FC">
        <w:fldChar w:fldCharType="separate"/>
      </w:r>
      <w:r w:rsidR="00167BA0">
        <w:t xml:space="preserve">Figure </w:t>
      </w:r>
      <w:r w:rsidR="00167BA0">
        <w:rPr>
          <w:noProof/>
        </w:rPr>
        <w:t>2</w:t>
      </w:r>
      <w:r w:rsidR="00167BA0">
        <w:t>.</w:t>
      </w:r>
      <w:r w:rsidR="00167BA0">
        <w:rPr>
          <w:noProof/>
        </w:rPr>
        <w:t>2</w:t>
      </w:r>
      <w:r w:rsidR="00D931FC">
        <w:fldChar w:fldCharType="end"/>
      </w:r>
      <w:r>
        <w:t>), which was based on a draft program logic model provided by the Department.</w:t>
      </w:r>
    </w:p>
    <w:p w14:paraId="5BEBF6C9" w14:textId="5BBAD098" w:rsidR="00866123" w:rsidRDefault="00866123" w:rsidP="00866123">
      <w:r>
        <w:t xml:space="preserve">The situation analysis and program logic informed the development of a </w:t>
      </w:r>
      <w:r w:rsidRPr="00571EC7">
        <w:t xml:space="preserve">comprehensive evaluation plan, including an evaluation framework (see </w:t>
      </w:r>
      <w:r w:rsidR="00571EC7">
        <w:fldChar w:fldCharType="begin"/>
      </w:r>
      <w:r w:rsidR="00571EC7">
        <w:instrText xml:space="preserve"> REF _Ref216962490 \n \h </w:instrText>
      </w:r>
      <w:r w:rsidR="00571EC7">
        <w:fldChar w:fldCharType="separate"/>
      </w:r>
      <w:r w:rsidR="00167BA0">
        <w:t>Appendix A</w:t>
      </w:r>
      <w:r w:rsidR="00571EC7">
        <w:fldChar w:fldCharType="end"/>
      </w:r>
      <w:r w:rsidRPr="00571EC7">
        <w:t>).</w:t>
      </w:r>
      <w:r>
        <w:t xml:space="preserve"> The evaluation framework</w:t>
      </w:r>
      <w:r w:rsidR="0052274E">
        <w:t xml:space="preserve"> </w:t>
      </w:r>
      <w:r>
        <w:t xml:space="preserve">presented the key evaluation questions by </w:t>
      </w:r>
      <w:r w:rsidR="007354B4">
        <w:t>key evaluation area (</w:t>
      </w:r>
      <w:r>
        <w:t>KEA</w:t>
      </w:r>
      <w:r w:rsidR="0052274E">
        <w:t>)</w:t>
      </w:r>
      <w:r>
        <w:t>, sub-questions, indicators, and planned data sources.</w:t>
      </w:r>
    </w:p>
    <w:p w14:paraId="06677608" w14:textId="77777777" w:rsidR="00866123" w:rsidRDefault="00866123" w:rsidP="00866123">
      <w:pPr>
        <w:pStyle w:val="Heading3"/>
      </w:pPr>
      <w:bookmarkStart w:id="16" w:name="_Toc232685859"/>
      <w:r>
        <w:t>Stage 3: Development of data collection instruments</w:t>
      </w:r>
      <w:bookmarkEnd w:id="16"/>
    </w:p>
    <w:p w14:paraId="4A27D1CB" w14:textId="77777777" w:rsidR="00866123" w:rsidRDefault="00866123" w:rsidP="00866123">
      <w:pPr>
        <w:sectPr w:rsidR="00866123" w:rsidSect="00866123">
          <w:headerReference w:type="default" r:id="rId36"/>
          <w:footerReference w:type="default" r:id="rId37"/>
          <w:pgSz w:w="16838" w:h="11906" w:orient="landscape" w:code="9"/>
          <w:pgMar w:top="851" w:right="851" w:bottom="851" w:left="851" w:header="709" w:footer="567" w:gutter="0"/>
          <w:pgNumType w:start="1"/>
          <w:cols w:num="2" w:space="709"/>
          <w:docGrid w:linePitch="360"/>
        </w:sectPr>
      </w:pPr>
      <w:r w:rsidRPr="00E916E7">
        <w:t>Drawing on the evaluation plan, a suite of data collection tools was developed</w:t>
      </w:r>
      <w:r>
        <w:t xml:space="preserve"> to collect quantitative and qualitative data for the evaluation. These included</w:t>
      </w:r>
      <w:r w:rsidRPr="00E916E7">
        <w:t xml:space="preserve"> an online survey for aged care providers, case study and focus group discussion guides, stakeholder consultation protocols</w:t>
      </w:r>
      <w:r>
        <w:t>, and the protocol for the analysis of a sample of Aged Care Quality and Safety Commission (ACQSC) performance reports</w:t>
      </w:r>
      <w:r w:rsidRPr="00E916E7">
        <w:t>.</w:t>
      </w:r>
      <w:r>
        <w:t xml:space="preserve"> Detailed data specifications were also developed to gather program data from QUT and the University of Wollongong for PEPA Aged Care and PACOP, respectively. </w:t>
      </w:r>
    </w:p>
    <w:p w14:paraId="74A83E1F" w14:textId="393A7D9D" w:rsidR="00866123" w:rsidRDefault="00866123" w:rsidP="00866123">
      <w:pPr>
        <w:pStyle w:val="Caption"/>
      </w:pPr>
      <w:bookmarkStart w:id="17" w:name="_Ref216431039"/>
      <w:r>
        <w:lastRenderedPageBreak/>
        <w:t xml:space="preserve">Figure </w:t>
      </w:r>
      <w:fldSimple w:instr=" STYLEREF 1 \s ">
        <w:r w:rsidR="00167BA0">
          <w:rPr>
            <w:noProof/>
          </w:rPr>
          <w:t>2</w:t>
        </w:r>
      </w:fldSimple>
      <w:r w:rsidR="00DD3EB1">
        <w:t>.</w:t>
      </w:r>
      <w:fldSimple w:instr=" SEQ Figure \* ARABIC \s 1 ">
        <w:r w:rsidR="00167BA0">
          <w:rPr>
            <w:noProof/>
          </w:rPr>
          <w:t>2</w:t>
        </w:r>
      </w:fldSimple>
      <w:bookmarkEnd w:id="17"/>
      <w:r>
        <w:t xml:space="preserve">: </w:t>
      </w:r>
      <w:r w:rsidRPr="00E94C12">
        <w:t>Program logic model for the evaluation of the Measure</w:t>
      </w:r>
    </w:p>
    <w:p w14:paraId="7564223F" w14:textId="77777777" w:rsidR="00866123" w:rsidRDefault="00866123" w:rsidP="00866123">
      <w:pPr>
        <w:sectPr w:rsidR="00866123" w:rsidSect="00866123">
          <w:pgSz w:w="16838" w:h="11906" w:orient="landscape" w:code="9"/>
          <w:pgMar w:top="851" w:right="851" w:bottom="851" w:left="851" w:header="709" w:footer="567" w:gutter="0"/>
          <w:cols w:space="709"/>
          <w:docGrid w:linePitch="360"/>
        </w:sectPr>
      </w:pPr>
      <w:r>
        <w:rPr>
          <w:noProof/>
        </w:rPr>
        <w:drawing>
          <wp:inline distT="0" distB="0" distL="0" distR="0" wp14:anchorId="07F58941" wp14:editId="34FA061D">
            <wp:extent cx="9465383" cy="5010150"/>
            <wp:effectExtent l="0" t="0" r="2540" b="0"/>
            <wp:docPr id="1166782105" name="Picture 1" descr="Figure 2.2 is a program logic model for the evaluation of the Measure -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782105" name="Picture 1" descr="Figure 2.2 is a program logic model for the evaluation of the Measure - diagram"/>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476619" cy="5016097"/>
                    </a:xfrm>
                    <a:prstGeom prst="rect">
                      <a:avLst/>
                    </a:prstGeom>
                    <a:noFill/>
                  </pic:spPr>
                </pic:pic>
              </a:graphicData>
            </a:graphic>
          </wp:inline>
        </w:drawing>
      </w:r>
    </w:p>
    <w:p w14:paraId="1D82B5D0" w14:textId="77777777" w:rsidR="00866123" w:rsidRDefault="00866123" w:rsidP="00866123">
      <w:pPr>
        <w:pStyle w:val="Heading3"/>
      </w:pPr>
      <w:bookmarkStart w:id="18" w:name="_Toc232685860"/>
      <w:r>
        <w:lastRenderedPageBreak/>
        <w:t>Stage 4: Data collection and analysis</w:t>
      </w:r>
      <w:bookmarkEnd w:id="18"/>
    </w:p>
    <w:p w14:paraId="3A85A7D5" w14:textId="4A6CB999" w:rsidR="00866123" w:rsidRDefault="00866123" w:rsidP="00866123">
      <w:r>
        <w:t xml:space="preserve">Qualitative and quantitative data were collected from a range of sources </w:t>
      </w:r>
      <w:r w:rsidRPr="002B0EAC">
        <w:t xml:space="preserve">to </w:t>
      </w:r>
      <w:r>
        <w:t>inform the evaluation of</w:t>
      </w:r>
      <w:r w:rsidRPr="002B0EAC">
        <w:t xml:space="preserve"> the Measure and its funded activities (PEPA Aged Care and PACOP)</w:t>
      </w:r>
      <w:r>
        <w:t xml:space="preserve">. These </w:t>
      </w:r>
      <w:r w:rsidR="007E2A47">
        <w:t>are outlined below.</w:t>
      </w:r>
    </w:p>
    <w:p w14:paraId="20B6F911" w14:textId="77777777" w:rsidR="00FD41E6" w:rsidRDefault="00FD41E6" w:rsidP="00FD41E6">
      <w:r>
        <w:t>Qualitative data were thematically analysed, while quantitative data were analysed using descriptive approaches, including counts and percentages.</w:t>
      </w:r>
    </w:p>
    <w:p w14:paraId="267DC656" w14:textId="77777777" w:rsidR="00FD41E6" w:rsidRDefault="00FD41E6" w:rsidP="00FD41E6">
      <w:r w:rsidRPr="002F6B93">
        <w:t>All data collection activities were conducted in accordance with ethical guidelines, and participation was voluntary.</w:t>
      </w:r>
    </w:p>
    <w:p w14:paraId="64B02F93" w14:textId="0B50F649" w:rsidR="007E2A47" w:rsidRDefault="007E2A47" w:rsidP="007E2A47">
      <w:pPr>
        <w:pStyle w:val="Heading4"/>
      </w:pPr>
      <w:r>
        <w:t>Online survey of organisations providing aged care services</w:t>
      </w:r>
    </w:p>
    <w:p w14:paraId="658155CC" w14:textId="79312A0A" w:rsidR="00FB0DFD" w:rsidRDefault="007E2A47" w:rsidP="007E2A47">
      <w:r>
        <w:t>A</w:t>
      </w:r>
      <w:r w:rsidR="00866123">
        <w:t xml:space="preserve">n online survey was </w:t>
      </w:r>
      <w:r w:rsidR="00866123" w:rsidRPr="008E7B83">
        <w:t xml:space="preserve">distributed to all organisations providing aged care across Australia, including both participants and non-participants in PEPA Aged Care and/or PACOP. </w:t>
      </w:r>
      <w:r w:rsidR="00D40178">
        <w:t>The survey aimed to explore and compare key aspects of</w:t>
      </w:r>
      <w:r w:rsidR="00D40178" w:rsidRPr="002A05FB">
        <w:t xml:space="preserve"> palliative care </w:t>
      </w:r>
      <w:r w:rsidR="00D40178">
        <w:t>service delivery</w:t>
      </w:r>
      <w:r w:rsidR="00D40178" w:rsidRPr="002A05FB">
        <w:t xml:space="preserve">, </w:t>
      </w:r>
      <w:r w:rsidR="00D40178">
        <w:t xml:space="preserve">challenges, workforce training needs, and outcomes between </w:t>
      </w:r>
      <w:r w:rsidR="00FB0DFD">
        <w:t xml:space="preserve">organisations </w:t>
      </w:r>
      <w:r w:rsidR="00D40178">
        <w:t>participating</w:t>
      </w:r>
      <w:r w:rsidR="00FB0DFD">
        <w:t xml:space="preserve"> in PEPA Aged Care and/or PACOP</w:t>
      </w:r>
      <w:r w:rsidR="00D40178">
        <w:t xml:space="preserve"> and </w:t>
      </w:r>
      <w:r w:rsidR="00FB0DFD">
        <w:t>those not participating in either program</w:t>
      </w:r>
      <w:r w:rsidR="00D40178">
        <w:t>. It also aimed to identify opportunities to improve the uptake and effectiveness of PEPA Aged Care and PACOP</w:t>
      </w:r>
      <w:r w:rsidR="00D40178" w:rsidRPr="002A05FB">
        <w:t>.</w:t>
      </w:r>
      <w:r w:rsidR="00FB0DFD">
        <w:t xml:space="preserve"> </w:t>
      </w:r>
      <w:r w:rsidR="00866123" w:rsidRPr="008E7B83">
        <w:t>The survey was open for eight weeks and promoted via the Department</w:t>
      </w:r>
      <w:r w:rsidR="003863F5">
        <w:t>’</w:t>
      </w:r>
      <w:r w:rsidR="00866123">
        <w:t>s Your Aged Care Update e-newsletter</w:t>
      </w:r>
      <w:r w:rsidR="00866123" w:rsidRPr="008E7B83">
        <w:t>,</w:t>
      </w:r>
      <w:r w:rsidR="00866123">
        <w:t xml:space="preserve"> as well as</w:t>
      </w:r>
      <w:r w:rsidR="00866123" w:rsidRPr="008E7B83">
        <w:t xml:space="preserve"> </w:t>
      </w:r>
      <w:r w:rsidR="00866123">
        <w:t>PEPA Aged Care and PACOP</w:t>
      </w:r>
      <w:r w:rsidR="00866123" w:rsidRPr="008E7B83">
        <w:t xml:space="preserve"> </w:t>
      </w:r>
      <w:r w:rsidR="00866123">
        <w:t xml:space="preserve">electronic </w:t>
      </w:r>
      <w:r w:rsidR="00866123" w:rsidRPr="008E7B83">
        <w:t>communication channels.</w:t>
      </w:r>
    </w:p>
    <w:p w14:paraId="348463DB" w14:textId="32A0FFC7" w:rsidR="00866123" w:rsidRPr="00F13B70" w:rsidRDefault="00866123" w:rsidP="007E2A47">
      <w:r>
        <w:t xml:space="preserve">A total of 306 respondents were included in the final survey sample, </w:t>
      </w:r>
      <w:r w:rsidRPr="00F13B70">
        <w:t>representing an estimated 10% response rate among aged care providers nationally</w:t>
      </w:r>
      <w:r>
        <w:rPr>
          <w:rStyle w:val="FootnoteReference"/>
        </w:rPr>
        <w:footnoteReference w:id="1"/>
      </w:r>
      <w:r w:rsidRPr="00F13B70">
        <w:t>. The final sample included:</w:t>
      </w:r>
    </w:p>
    <w:p w14:paraId="17820911" w14:textId="77777777" w:rsidR="00AF4316" w:rsidRPr="00F13B70" w:rsidRDefault="00AF4316" w:rsidP="00AF4316">
      <w:pPr>
        <w:pStyle w:val="ListBullet"/>
      </w:pPr>
      <w:r w:rsidRPr="00F13B70">
        <w:t xml:space="preserve">178 respondents from PEPA Aged Care sites (37.8% response rate among </w:t>
      </w:r>
      <w:r>
        <w:t>participating</w:t>
      </w:r>
      <w:r w:rsidRPr="00F13B70">
        <w:t xml:space="preserve"> sites)</w:t>
      </w:r>
    </w:p>
    <w:p w14:paraId="55F79B5A" w14:textId="77777777" w:rsidR="00866123" w:rsidRPr="00F13B70" w:rsidRDefault="00866123" w:rsidP="007E2A47">
      <w:pPr>
        <w:pStyle w:val="ListBullet"/>
      </w:pPr>
      <w:r w:rsidRPr="00F13B70">
        <w:t xml:space="preserve">79 respondents from PACOP-participating providers (17.4% response rate among </w:t>
      </w:r>
      <w:r>
        <w:t>participating aged care homes</w:t>
      </w:r>
      <w:r w:rsidRPr="00F13B70">
        <w:t>)</w:t>
      </w:r>
    </w:p>
    <w:p w14:paraId="52677B3D" w14:textId="77777777" w:rsidR="00866123" w:rsidRDefault="00866123" w:rsidP="007E2A47">
      <w:pPr>
        <w:pStyle w:val="ListBullet"/>
      </w:pPr>
      <w:r w:rsidRPr="00F13B70">
        <w:t>82 respondents from providers not engaged with either program</w:t>
      </w:r>
      <w:r>
        <w:t>.</w:t>
      </w:r>
    </w:p>
    <w:p w14:paraId="34C70488" w14:textId="63E9CA3D" w:rsidR="00D23F8F" w:rsidRPr="00F13B70" w:rsidRDefault="00D23F8F" w:rsidP="00D23F8F">
      <w:r>
        <w:t xml:space="preserve">Detailed findings from the survey are presented in the </w:t>
      </w:r>
      <w:r w:rsidR="00FF5221">
        <w:t xml:space="preserve">accompanying </w:t>
      </w:r>
      <w:r>
        <w:t xml:space="preserve">technical paper </w:t>
      </w:r>
      <w:r w:rsidR="00FF5221">
        <w:t>and cross-referenced throughout this final report.</w:t>
      </w:r>
    </w:p>
    <w:p w14:paraId="59E36E92" w14:textId="494448E1" w:rsidR="007E2A47" w:rsidRDefault="00866123" w:rsidP="007E2A47">
      <w:pPr>
        <w:pStyle w:val="Heading4"/>
      </w:pPr>
      <w:r w:rsidRPr="00934DCA">
        <w:t>Case study interviews</w:t>
      </w:r>
    </w:p>
    <w:p w14:paraId="66EFA488" w14:textId="0DC4651B" w:rsidR="00866123" w:rsidRDefault="007E2A47" w:rsidP="007E2A47">
      <w:r>
        <w:t>T</w:t>
      </w:r>
      <w:r w:rsidR="00866123" w:rsidRPr="00934DCA">
        <w:t xml:space="preserve">welve case study interviews were conducted </w:t>
      </w:r>
      <w:r w:rsidR="00866123">
        <w:t xml:space="preserve">virtually </w:t>
      </w:r>
      <w:r w:rsidR="00866123" w:rsidRPr="00934DCA">
        <w:t>with representatives from a purposive sample of aged care organisations, including four from</w:t>
      </w:r>
      <w:r w:rsidR="00866123">
        <w:t xml:space="preserve"> each of the following</w:t>
      </w:r>
      <w:r w:rsidR="00866123" w:rsidRPr="00934DCA">
        <w:t>:</w:t>
      </w:r>
    </w:p>
    <w:p w14:paraId="1287D94A" w14:textId="2D5F3129" w:rsidR="00866123" w:rsidRDefault="005E5BB2" w:rsidP="007E2A47">
      <w:pPr>
        <w:pStyle w:val="ListBullet"/>
      </w:pPr>
      <w:r>
        <w:t xml:space="preserve">sites participating in </w:t>
      </w:r>
      <w:r w:rsidR="00866123" w:rsidRPr="00934DCA">
        <w:t>PEPA Aged Care</w:t>
      </w:r>
    </w:p>
    <w:p w14:paraId="00A7A43C" w14:textId="5463C9A2" w:rsidR="00866123" w:rsidRDefault="00866123" w:rsidP="007E2A47">
      <w:pPr>
        <w:pStyle w:val="ListBullet"/>
      </w:pPr>
      <w:r>
        <w:t xml:space="preserve">aged care homes/providers participating in </w:t>
      </w:r>
      <w:r w:rsidRPr="00934DCA">
        <w:t>PACOP</w:t>
      </w:r>
    </w:p>
    <w:p w14:paraId="3A5435B0" w14:textId="60B34835" w:rsidR="00866123" w:rsidRDefault="00866123" w:rsidP="007E2A47">
      <w:pPr>
        <w:pStyle w:val="ListBullet"/>
      </w:pPr>
      <w:r w:rsidRPr="00934DCA">
        <w:t>non-participa</w:t>
      </w:r>
      <w:r w:rsidR="005E5BB2">
        <w:t xml:space="preserve">ting </w:t>
      </w:r>
      <w:r w:rsidR="00185D00">
        <w:t>organisations.</w:t>
      </w:r>
    </w:p>
    <w:p w14:paraId="4B9C7B01" w14:textId="0C0F75AB" w:rsidR="00866123" w:rsidRDefault="00866123" w:rsidP="007E2A47">
      <w:r w:rsidRPr="00934DCA">
        <w:t>Case studies explored palliative care delivery, program impact, barriers and enablers, and opportunities for improvement.</w:t>
      </w:r>
      <w:r>
        <w:t xml:space="preserve"> </w:t>
      </w:r>
      <w:r w:rsidRPr="00CC3DB2">
        <w:t xml:space="preserve">Recruitment was via the </w:t>
      </w:r>
      <w:r>
        <w:t>online</w:t>
      </w:r>
      <w:r w:rsidRPr="00CC3DB2">
        <w:t xml:space="preserve"> survey</w:t>
      </w:r>
      <w:r>
        <w:t xml:space="preserve"> conducted as part of the evaluation</w:t>
      </w:r>
      <w:r w:rsidRPr="00CC3DB2">
        <w:t>.</w:t>
      </w:r>
      <w:r>
        <w:t xml:space="preserve"> A summary of the characteristics of aged care </w:t>
      </w:r>
      <w:r w:rsidR="00185D00">
        <w:t>organisations</w:t>
      </w:r>
      <w:r>
        <w:t xml:space="preserve"> participating in case studies is provided in </w:t>
      </w:r>
      <w:r w:rsidR="00571EC7">
        <w:fldChar w:fldCharType="begin"/>
      </w:r>
      <w:r w:rsidR="00571EC7">
        <w:instrText xml:space="preserve"> REF _Ref216962525 \n \h </w:instrText>
      </w:r>
      <w:r w:rsidR="00571EC7">
        <w:fldChar w:fldCharType="separate"/>
      </w:r>
      <w:r w:rsidR="00167BA0">
        <w:t>Appendix B</w:t>
      </w:r>
      <w:r w:rsidR="00571EC7">
        <w:fldChar w:fldCharType="end"/>
      </w:r>
      <w:r>
        <w:t>.</w:t>
      </w:r>
      <w:r w:rsidR="001019D3">
        <w:t xml:space="preserve"> </w:t>
      </w:r>
      <w:r w:rsidR="0026055A">
        <w:t>The detailed c</w:t>
      </w:r>
      <w:r w:rsidR="001019D3">
        <w:t xml:space="preserve">ase studies are presented in </w:t>
      </w:r>
      <w:r w:rsidR="0026055A">
        <w:t>the separate technical paper accompanying this report</w:t>
      </w:r>
      <w:r w:rsidR="001019D3">
        <w:t>.</w:t>
      </w:r>
      <w:r w:rsidR="0026055A">
        <w:t xml:space="preserve"> Relevant case study evidence is cross-referenced </w:t>
      </w:r>
      <w:r w:rsidR="00E030DF">
        <w:t>throughout this document.</w:t>
      </w:r>
    </w:p>
    <w:p w14:paraId="13CA0A04" w14:textId="24C935E1" w:rsidR="007E2A47" w:rsidRDefault="00866123" w:rsidP="007E2A47">
      <w:pPr>
        <w:pStyle w:val="Heading4"/>
      </w:pPr>
      <w:r w:rsidRPr="00331973">
        <w:t>Focus groups</w:t>
      </w:r>
    </w:p>
    <w:p w14:paraId="4D27A10A" w14:textId="38640DD6" w:rsidR="00866123" w:rsidRDefault="007E2A47" w:rsidP="007E2A47">
      <w:r>
        <w:t>F</w:t>
      </w:r>
      <w:r w:rsidR="00866123">
        <w:t xml:space="preserve">ive online focus groups were held with a total of 17 consumer, carer, and family representatives. Participants were </w:t>
      </w:r>
      <w:r w:rsidR="00866123" w:rsidRPr="00331973">
        <w:t>recruited through Palliative Care Australia and the Older Persons</w:t>
      </w:r>
      <w:r w:rsidR="003863F5">
        <w:t>’</w:t>
      </w:r>
      <w:r w:rsidR="00866123" w:rsidRPr="00331973">
        <w:t xml:space="preserve"> Advocacy Network. Each group comprised up to four participants and explored perceptions of palliative care quality, unmet needs, and enablers of high-quality care in aged care settings</w:t>
      </w:r>
      <w:r w:rsidR="00866123">
        <w:t>.</w:t>
      </w:r>
    </w:p>
    <w:p w14:paraId="7FFEA245" w14:textId="7C9E8F51" w:rsidR="007E2A47" w:rsidRDefault="00866123" w:rsidP="007E2A47">
      <w:pPr>
        <w:pStyle w:val="Heading4"/>
      </w:pPr>
      <w:r w:rsidRPr="00C448B0">
        <w:lastRenderedPageBreak/>
        <w:t>Stakeholder consultations</w:t>
      </w:r>
    </w:p>
    <w:p w14:paraId="0459E802" w14:textId="57BA22AA" w:rsidR="00866123" w:rsidRDefault="007E2A47" w:rsidP="007E2A47">
      <w:r>
        <w:t>A</w:t>
      </w:r>
      <w:r w:rsidR="00866123" w:rsidRPr="00C448B0">
        <w:t xml:space="preserve"> total of 46 </w:t>
      </w:r>
      <w:r w:rsidR="00866123">
        <w:t xml:space="preserve">online </w:t>
      </w:r>
      <w:r w:rsidR="00866123" w:rsidRPr="00C448B0">
        <w:t>stakeholder consultation interviews involving 93 individuals</w:t>
      </w:r>
      <w:r w:rsidR="00866123">
        <w:t xml:space="preserve"> </w:t>
      </w:r>
      <w:r w:rsidR="00866123" w:rsidRPr="00C448B0">
        <w:t>were conducted. These included representatives from government, program delivery teams, related national initiatives, peak bodies</w:t>
      </w:r>
      <w:r w:rsidR="000A1976">
        <w:t xml:space="preserve"> and professional associations</w:t>
      </w:r>
      <w:r w:rsidR="00866123" w:rsidRPr="00C448B0">
        <w:t>, aged care providers, and health professionals. Consultations focused on the Measure</w:t>
      </w:r>
      <w:r w:rsidR="003863F5">
        <w:t>’</w:t>
      </w:r>
      <w:r w:rsidR="00866123" w:rsidRPr="00C448B0">
        <w:t xml:space="preserve">s appropriateness, implementation, effectiveness, and opportunities for improvement. </w:t>
      </w:r>
      <w:r w:rsidR="00866123">
        <w:t xml:space="preserve">The list of stakeholders involved in consultations is provided in </w:t>
      </w:r>
      <w:r w:rsidR="00571EC7">
        <w:fldChar w:fldCharType="begin"/>
      </w:r>
      <w:r w:rsidR="00571EC7">
        <w:instrText xml:space="preserve"> REF _Ref216962536 \n \h </w:instrText>
      </w:r>
      <w:r w:rsidR="00571EC7">
        <w:fldChar w:fldCharType="separate"/>
      </w:r>
      <w:r w:rsidR="00167BA0">
        <w:t>Appendix B</w:t>
      </w:r>
      <w:r w:rsidR="00571EC7">
        <w:fldChar w:fldCharType="end"/>
      </w:r>
      <w:r w:rsidR="00866123">
        <w:t>.</w:t>
      </w:r>
    </w:p>
    <w:p w14:paraId="08E59517" w14:textId="7E460F92" w:rsidR="007E2A47" w:rsidRDefault="00866123" w:rsidP="007E2A47">
      <w:pPr>
        <w:pStyle w:val="Heading4"/>
      </w:pPr>
      <w:r w:rsidRPr="006B1E99">
        <w:t>ACQSC performance reports</w:t>
      </w:r>
    </w:p>
    <w:p w14:paraId="401DF73E" w14:textId="10F82005" w:rsidR="009E30D3" w:rsidRDefault="008752C8" w:rsidP="007E2A47">
      <w:r>
        <w:t xml:space="preserve">The ACQSC performance report analysis aimed to explore whether participation in PEPA Aged Care/PACOP supported organisations in meeting relevant ACQS and </w:t>
      </w:r>
      <w:r w:rsidR="009E30D3">
        <w:t>whether any observable chan</w:t>
      </w:r>
      <w:r>
        <w:t xml:space="preserve">ges or improvements to palliative care delivery </w:t>
      </w:r>
      <w:r w:rsidR="009E30D3">
        <w:t>were evident following</w:t>
      </w:r>
      <w:r>
        <w:t xml:space="preserve"> program participation.</w:t>
      </w:r>
    </w:p>
    <w:p w14:paraId="6F5AB96D" w14:textId="72D21D0C" w:rsidR="001746E2" w:rsidRDefault="002C69B1" w:rsidP="007E2A47">
      <w:r>
        <w:t xml:space="preserve">A total of 176 </w:t>
      </w:r>
      <w:r w:rsidR="00763C1A">
        <w:t>ACQSC performance reports (</w:t>
      </w:r>
      <w:r w:rsidR="009E30D3">
        <w:t>including</w:t>
      </w:r>
      <w:r w:rsidR="001746E2">
        <w:t xml:space="preserve"> 109</w:t>
      </w:r>
      <w:r>
        <w:t xml:space="preserve"> Audit Performance Assessment Reports and </w:t>
      </w:r>
      <w:r w:rsidR="001746E2">
        <w:t xml:space="preserve">61 </w:t>
      </w:r>
      <w:r>
        <w:t xml:space="preserve">Performance Reports) from </w:t>
      </w:r>
      <w:r w:rsidR="006245BE">
        <w:t xml:space="preserve">71 aged care organisations </w:t>
      </w:r>
      <w:r>
        <w:t xml:space="preserve">were </w:t>
      </w:r>
      <w:r w:rsidR="001746E2">
        <w:t>reviewed</w:t>
      </w:r>
      <w:r w:rsidR="00EE43B8">
        <w:t xml:space="preserve">. </w:t>
      </w:r>
      <w:r w:rsidR="002B46D2">
        <w:t xml:space="preserve">This </w:t>
      </w:r>
      <w:r w:rsidR="001746E2">
        <w:t>comprised:</w:t>
      </w:r>
    </w:p>
    <w:p w14:paraId="6FCBC30B" w14:textId="0E44A7E2" w:rsidR="001746E2" w:rsidRDefault="009C5F6B" w:rsidP="001746E2">
      <w:pPr>
        <w:pStyle w:val="ListBullet"/>
      </w:pPr>
      <w:r>
        <w:t>71 reports from</w:t>
      </w:r>
      <w:r w:rsidR="002B46D2">
        <w:t xml:space="preserve"> 24</w:t>
      </w:r>
      <w:r>
        <w:t xml:space="preserve"> sites participating in PEPA Aged Care</w:t>
      </w:r>
    </w:p>
    <w:p w14:paraId="6E73D86A" w14:textId="501E8AA9" w:rsidR="001746E2" w:rsidRDefault="009C5F6B" w:rsidP="001746E2">
      <w:pPr>
        <w:pStyle w:val="ListBullet"/>
      </w:pPr>
      <w:r>
        <w:t>105 reports from 47 aged care homes participating in PACOP.</w:t>
      </w:r>
    </w:p>
    <w:p w14:paraId="0826535F" w14:textId="29EBC853" w:rsidR="00866123" w:rsidRPr="006B1E99" w:rsidRDefault="00CF20F4" w:rsidP="007E2A47">
      <w:r>
        <w:t>O</w:t>
      </w:r>
      <w:r w:rsidR="000B74B7">
        <w:t xml:space="preserve">rganisations were </w:t>
      </w:r>
      <w:r>
        <w:t>invited to participate in the analysis</w:t>
      </w:r>
      <w:r w:rsidR="000B74B7">
        <w:t xml:space="preserve"> via QUT and the University of Wollongong and provided </w:t>
      </w:r>
      <w:r w:rsidR="0047544C">
        <w:t xml:space="preserve">express consent </w:t>
      </w:r>
      <w:r w:rsidR="00F04FBD">
        <w:t xml:space="preserve">for </w:t>
      </w:r>
      <w:r w:rsidR="00C03C3A">
        <w:t>the</w:t>
      </w:r>
      <w:r w:rsidR="005630BD">
        <w:t>ir site/home</w:t>
      </w:r>
      <w:r w:rsidR="00C03C3A">
        <w:t xml:space="preserve"> name and program participation </w:t>
      </w:r>
      <w:r w:rsidR="005630BD">
        <w:t xml:space="preserve">dates </w:t>
      </w:r>
      <w:r w:rsidR="00C03C3A">
        <w:t xml:space="preserve">to be </w:t>
      </w:r>
      <w:r w:rsidR="005630BD">
        <w:t>shared</w:t>
      </w:r>
      <w:r w:rsidR="00C03C3A">
        <w:t xml:space="preserve"> </w:t>
      </w:r>
      <w:r w:rsidR="00EE13D3">
        <w:t>for inclusion</w:t>
      </w:r>
      <w:r w:rsidR="0047544C">
        <w:t>. To be</w:t>
      </w:r>
      <w:r w:rsidR="00C27F3D">
        <w:t xml:space="preserve"> eligible,</w:t>
      </w:r>
      <w:r w:rsidR="0047544C">
        <w:t xml:space="preserve"> organisations </w:t>
      </w:r>
      <w:r w:rsidR="00ED687A">
        <w:t>needed to have undergone at least one performance assessment between 1 November 2021 and 30 June 2025.</w:t>
      </w:r>
    </w:p>
    <w:p w14:paraId="2679FD8D" w14:textId="7E239970" w:rsidR="007E2A47" w:rsidRDefault="00866123" w:rsidP="007E2A47">
      <w:pPr>
        <w:pStyle w:val="Heading4"/>
      </w:pPr>
      <w:r w:rsidRPr="00F86B4E">
        <w:t>Program and financial data</w:t>
      </w:r>
    </w:p>
    <w:p w14:paraId="4159114B" w14:textId="34F50993" w:rsidR="00866123" w:rsidRDefault="007E2A47" w:rsidP="007E2A47">
      <w:r>
        <w:t>A</w:t>
      </w:r>
      <w:r w:rsidR="00A07019">
        <w:t>dditional a</w:t>
      </w:r>
      <w:r w:rsidR="00866123">
        <w:t xml:space="preserve">dministrative, </w:t>
      </w:r>
      <w:r w:rsidR="006C4E6B">
        <w:t>programmatic, and financial data were obtained from QUT (PEPA Aged Care) and the University of Wollongong (PACOP) in accordance with detailed data specifications derived from</w:t>
      </w:r>
      <w:r w:rsidR="00D858DE">
        <w:t xml:space="preserve"> the evaluation framework</w:t>
      </w:r>
      <w:r w:rsidR="00866123">
        <w:t xml:space="preserve">. This included data on program uptake and engagement, </w:t>
      </w:r>
      <w:r w:rsidR="00D46798">
        <w:t xml:space="preserve">available </w:t>
      </w:r>
      <w:r w:rsidR="00866123">
        <w:t xml:space="preserve">program outcomes, marketing </w:t>
      </w:r>
      <w:r w:rsidR="002C26FC">
        <w:t>activities</w:t>
      </w:r>
      <w:r w:rsidR="00866123">
        <w:t xml:space="preserve">, expenditure, and internal evaluation. </w:t>
      </w:r>
      <w:r w:rsidR="00866123">
        <w:t>Internal evaluation data sources accessed from QUT and the University of Wollongong included:</w:t>
      </w:r>
    </w:p>
    <w:p w14:paraId="10F9436A" w14:textId="30FE0681" w:rsidR="00866123" w:rsidRDefault="00866123" w:rsidP="007E2A47">
      <w:pPr>
        <w:pStyle w:val="ListBullet"/>
      </w:pPr>
      <w:r>
        <w:t>PEPA Aged Care: pre- and post-placement participant evaluation survey data</w:t>
      </w:r>
      <w:r w:rsidR="003D2901">
        <w:t xml:space="preserve"> </w:t>
      </w:r>
      <w:r>
        <w:t>and anecdotal feedback collected from participants and sites</w:t>
      </w:r>
      <w:r w:rsidR="003D2901">
        <w:t xml:space="preserve"> (both collected on an ongoing basis)</w:t>
      </w:r>
    </w:p>
    <w:p w14:paraId="459BF2D4" w14:textId="7A7393C9" w:rsidR="00866123" w:rsidRDefault="00866123" w:rsidP="007E2A47">
      <w:pPr>
        <w:pStyle w:val="ListBullet"/>
      </w:pPr>
      <w:r>
        <w:t>PACOP: snapshot survey data (conducted in May 2024), pre- and post-</w:t>
      </w:r>
      <w:r w:rsidR="00E836C0">
        <w:t>online learning module</w:t>
      </w:r>
      <w:r>
        <w:t xml:space="preserve"> evaluation survey data, pre- and post-in-person workshop evaluation survey data, and anecdotal feedback collected from participating aged care homes</w:t>
      </w:r>
      <w:r w:rsidR="003D2901">
        <w:t>.</w:t>
      </w:r>
    </w:p>
    <w:p w14:paraId="0ABF8723" w14:textId="77777777" w:rsidR="00866123" w:rsidRDefault="00866123" w:rsidP="007E2A47">
      <w:r>
        <w:t>The data period in scope for the evaluation was from the commencement of the Measure (1 November 2021) to 30 June 2025.</w:t>
      </w:r>
    </w:p>
    <w:p w14:paraId="06CE2A32" w14:textId="014FD1CE" w:rsidR="007E2A47" w:rsidRDefault="00227C3A" w:rsidP="007E2A47">
      <w:pPr>
        <w:pStyle w:val="Heading4"/>
      </w:pPr>
      <w:r>
        <w:t>Desktop review</w:t>
      </w:r>
    </w:p>
    <w:p w14:paraId="70AFEE34" w14:textId="3CBD4AFD" w:rsidR="00866123" w:rsidRPr="00FF5873" w:rsidRDefault="007E2A47" w:rsidP="007E2A47">
      <w:r>
        <w:t>K</w:t>
      </w:r>
      <w:r w:rsidR="00866123">
        <w:t>ey</w:t>
      </w:r>
      <w:r w:rsidR="00227C3A">
        <w:t xml:space="preserve"> program</w:t>
      </w:r>
      <w:r w:rsidR="00866123">
        <w:t xml:space="preserve"> documents</w:t>
      </w:r>
      <w:r w:rsidR="009E31EA">
        <w:t>, including</w:t>
      </w:r>
      <w:r w:rsidR="00866123">
        <w:t xml:space="preserve"> grant funding agreements, </w:t>
      </w:r>
      <w:r w:rsidR="0041217A">
        <w:t>A</w:t>
      </w:r>
      <w:r w:rsidR="00866123">
        <w:t xml:space="preserve">ctivity </w:t>
      </w:r>
      <w:r w:rsidR="0041217A">
        <w:t>W</w:t>
      </w:r>
      <w:r w:rsidR="00866123">
        <w:t xml:space="preserve">ork </w:t>
      </w:r>
      <w:r w:rsidR="0041217A">
        <w:t>P</w:t>
      </w:r>
      <w:r w:rsidR="00866123">
        <w:t>lans, performance reports</w:t>
      </w:r>
      <w:r w:rsidR="003F5FFB">
        <w:t>, and financial statements</w:t>
      </w:r>
      <w:r w:rsidR="009E31EA">
        <w:t>,</w:t>
      </w:r>
      <w:r w:rsidR="00866123">
        <w:t xml:space="preserve"> were reviewed to provide additional context and </w:t>
      </w:r>
      <w:r w:rsidR="00D92193">
        <w:t xml:space="preserve">inform </w:t>
      </w:r>
      <w:r w:rsidR="00DE51C6">
        <w:t>relevant analyses</w:t>
      </w:r>
      <w:r w:rsidR="00866123">
        <w:t>.</w:t>
      </w:r>
      <w:r w:rsidR="00227C3A">
        <w:t xml:space="preserve"> </w:t>
      </w:r>
      <w:r w:rsidR="00E35DEA">
        <w:t>This was complemented by a review of publicly accessible inform</w:t>
      </w:r>
      <w:r w:rsidR="00FF5873">
        <w:t xml:space="preserve">ation, such as relevant </w:t>
      </w:r>
      <w:r w:rsidR="00642EBF">
        <w:t xml:space="preserve">Commonwealth </w:t>
      </w:r>
      <w:r w:rsidR="00FF5873">
        <w:t xml:space="preserve">and jurisdictional policy and strategy documents, the National Palliative Care Standards for </w:t>
      </w:r>
      <w:r w:rsidR="00FF5873" w:rsidRPr="00FF5873">
        <w:t>All Health Professionals and Aged Care Services</w:t>
      </w:r>
      <w:r w:rsidR="00FF5873">
        <w:t xml:space="preserve">, reports related to the Royal Commission, and information on </w:t>
      </w:r>
      <w:r w:rsidR="00575203">
        <w:t xml:space="preserve">related national palliative care initiatives, to inform understanding of the broader context </w:t>
      </w:r>
      <w:r w:rsidR="006F7222">
        <w:t>of</w:t>
      </w:r>
      <w:r w:rsidR="00575203">
        <w:t xml:space="preserve"> the Measure.</w:t>
      </w:r>
    </w:p>
    <w:p w14:paraId="74654CD5" w14:textId="713D0504" w:rsidR="00866123" w:rsidRDefault="00866123" w:rsidP="00866123">
      <w:pPr>
        <w:pStyle w:val="Heading3"/>
      </w:pPr>
      <w:bookmarkStart w:id="19" w:name="_Toc232685861"/>
      <w:r>
        <w:t xml:space="preserve">Stage 5: Final </w:t>
      </w:r>
      <w:r w:rsidR="00EE2DB7">
        <w:t xml:space="preserve">evaluation </w:t>
      </w:r>
      <w:r>
        <w:t>report</w:t>
      </w:r>
      <w:bookmarkEnd w:id="19"/>
    </w:p>
    <w:p w14:paraId="6D41724D" w14:textId="0ADA4E7B" w:rsidR="00866123" w:rsidRDefault="00866123" w:rsidP="00866123">
      <w:r w:rsidRPr="00520138">
        <w:t>The final stage involve</w:t>
      </w:r>
      <w:r>
        <w:t>d</w:t>
      </w:r>
      <w:r w:rsidRPr="00520138">
        <w:t xml:space="preserve"> triangulating and synthesising all data and findings to address the </w:t>
      </w:r>
      <w:r>
        <w:t xml:space="preserve">key </w:t>
      </w:r>
      <w:r w:rsidRPr="00520138">
        <w:t xml:space="preserve">evaluation questions. A </w:t>
      </w:r>
      <w:r w:rsidR="006F7222">
        <w:t>d</w:t>
      </w:r>
      <w:r w:rsidRPr="00520138">
        <w:t xml:space="preserve">raft </w:t>
      </w:r>
      <w:r w:rsidR="006F7222">
        <w:t>e</w:t>
      </w:r>
      <w:r w:rsidRPr="00520138">
        <w:t xml:space="preserve">valuation </w:t>
      </w:r>
      <w:r w:rsidR="006F7222">
        <w:t>r</w:t>
      </w:r>
      <w:r w:rsidRPr="00520138">
        <w:t xml:space="preserve">eport </w:t>
      </w:r>
      <w:r>
        <w:t>was</w:t>
      </w:r>
      <w:r w:rsidRPr="00520138">
        <w:t xml:space="preserve"> prepared and submitted for feedback, followed by the </w:t>
      </w:r>
      <w:r w:rsidR="006F7222">
        <w:t>f</w:t>
      </w:r>
      <w:r w:rsidRPr="00520138">
        <w:t xml:space="preserve">inal </w:t>
      </w:r>
      <w:r w:rsidR="006F7222">
        <w:t>e</w:t>
      </w:r>
      <w:r w:rsidRPr="00520138">
        <w:t xml:space="preserve">valuation </w:t>
      </w:r>
      <w:r w:rsidR="006F7222">
        <w:t>r</w:t>
      </w:r>
      <w:r w:rsidRPr="00520138">
        <w:t>eport and presentation of key findings to the Department.</w:t>
      </w:r>
    </w:p>
    <w:p w14:paraId="02CAD59C" w14:textId="77777777" w:rsidR="00866123" w:rsidRDefault="00866123" w:rsidP="00866123">
      <w:pPr>
        <w:pStyle w:val="Heading2"/>
      </w:pPr>
      <w:bookmarkStart w:id="20" w:name="_Toc232685862"/>
      <w:r>
        <w:lastRenderedPageBreak/>
        <w:t>Evaluation design and scope</w:t>
      </w:r>
      <w:bookmarkEnd w:id="20"/>
    </w:p>
    <w:p w14:paraId="28DB3CF6" w14:textId="673156F6" w:rsidR="00412C5F" w:rsidRDefault="00866123" w:rsidP="00412C5F">
      <w:r>
        <w:t>The evaluation was both formative and summative</w:t>
      </w:r>
      <w:r w:rsidR="006366F1">
        <w:t xml:space="preserve">. It </w:t>
      </w:r>
      <w:r>
        <w:t>assess</w:t>
      </w:r>
      <w:r w:rsidR="006366F1">
        <w:t>ed</w:t>
      </w:r>
      <w:r>
        <w:t xml:space="preserve"> the implementation of the Measure and funded activities and </w:t>
      </w:r>
      <w:r w:rsidR="006366F1">
        <w:t>evaluated measurable</w:t>
      </w:r>
      <w:r>
        <w:t xml:space="preserve"> short- to medium-term outcomes</w:t>
      </w:r>
      <w:r w:rsidR="00D00A3E">
        <w:t xml:space="preserve"> (based on the program logic) for which data were available</w:t>
      </w:r>
      <w:r>
        <w:t xml:space="preserve">. </w:t>
      </w:r>
      <w:r w:rsidR="00412C5F">
        <w:t>The evaluation employed a mixed-methods approach, with both qualitative and quantitative data informing the analysis (as outlined in the previous section).</w:t>
      </w:r>
    </w:p>
    <w:p w14:paraId="2BD099B1" w14:textId="5646922E" w:rsidR="00866123" w:rsidRPr="0056141A" w:rsidRDefault="00866123" w:rsidP="00866123">
      <w:r>
        <w:t xml:space="preserve">The evaluation aimed to determine whether the Measure </w:t>
      </w:r>
      <w:r w:rsidR="00412C5F">
        <w:t>was</w:t>
      </w:r>
      <w:r>
        <w:t xml:space="preserve"> appropriate, effective, and efficient</w:t>
      </w:r>
      <w:r w:rsidR="000548A8">
        <w:t xml:space="preserve"> to </w:t>
      </w:r>
      <w:r>
        <w:t xml:space="preserve">inform continuous improvement and future funding decisions regarding the Measure. Given these aims, the evaluation involved process, outcome, and economic </w:t>
      </w:r>
      <w:r w:rsidRPr="0056141A">
        <w:t>components:</w:t>
      </w:r>
    </w:p>
    <w:p w14:paraId="7CA4D6A4" w14:textId="77777777" w:rsidR="00866123" w:rsidRPr="0056141A" w:rsidRDefault="00866123" w:rsidP="00866123">
      <w:pPr>
        <w:pStyle w:val="ListBullet"/>
      </w:pPr>
      <w:r w:rsidRPr="007D725A">
        <w:rPr>
          <w:b/>
          <w:bCs/>
        </w:rPr>
        <w:t>Process component:</w:t>
      </w:r>
      <w:r w:rsidRPr="0056141A">
        <w:t xml:space="preserve"> examination of the process of implementing and delivering the Measure</w:t>
      </w:r>
    </w:p>
    <w:p w14:paraId="5ACB4C62" w14:textId="172FE6F5" w:rsidR="00866123" w:rsidRPr="0056141A" w:rsidRDefault="00866123" w:rsidP="00866123">
      <w:pPr>
        <w:pStyle w:val="ListBullet"/>
      </w:pPr>
      <w:r w:rsidRPr="007D725A">
        <w:rPr>
          <w:b/>
          <w:bCs/>
        </w:rPr>
        <w:t>Outcome component:</w:t>
      </w:r>
      <w:r w:rsidRPr="0056141A">
        <w:t xml:space="preserve"> assessment of the extent to which the intended </w:t>
      </w:r>
      <w:r w:rsidR="00D00A3E">
        <w:t xml:space="preserve">short- and medium-term </w:t>
      </w:r>
      <w:r w:rsidRPr="0056141A">
        <w:t>outcomes</w:t>
      </w:r>
      <w:r w:rsidR="003B7799">
        <w:t xml:space="preserve"> for which data were available,</w:t>
      </w:r>
      <w:r w:rsidRPr="0056141A">
        <w:t xml:space="preserve"> and</w:t>
      </w:r>
      <w:r w:rsidR="003B7799">
        <w:t xml:space="preserve"> the</w:t>
      </w:r>
      <w:r w:rsidRPr="0056141A">
        <w:t xml:space="preserve"> overarching objectives were achieved</w:t>
      </w:r>
    </w:p>
    <w:p w14:paraId="443E40B7" w14:textId="77777777" w:rsidR="00866123" w:rsidRDefault="00866123" w:rsidP="00866123">
      <w:pPr>
        <w:pStyle w:val="ListBullet"/>
      </w:pPr>
      <w:r w:rsidRPr="007D725A">
        <w:rPr>
          <w:b/>
          <w:bCs/>
        </w:rPr>
        <w:t>Economic component:</w:t>
      </w:r>
      <w:r w:rsidRPr="0056141A">
        <w:t xml:space="preserve"> exploration</w:t>
      </w:r>
      <w:r>
        <w:t xml:space="preserve"> of the cost-efficiency of the Measure.</w:t>
      </w:r>
    </w:p>
    <w:p w14:paraId="234582A6" w14:textId="7C7690FB" w:rsidR="00866123" w:rsidRDefault="00866123" w:rsidP="00866123">
      <w:r>
        <w:t xml:space="preserve">All PACOP and PEPA Aged Care activities undertaken </w:t>
      </w:r>
      <w:r w:rsidRPr="003E3B94">
        <w:t>as part of the original 2021</w:t>
      </w:r>
      <w:r>
        <w:t xml:space="preserve">–22 </w:t>
      </w:r>
      <w:r w:rsidRPr="00AD35E7">
        <w:t>Improving Palliative Care Training and Outcomes in Aged Care</w:t>
      </w:r>
      <w:r w:rsidRPr="003E3B94">
        <w:t xml:space="preserve"> measure and the 2024</w:t>
      </w:r>
      <w:r>
        <w:t>–25 e</w:t>
      </w:r>
      <w:r w:rsidRPr="003E3B94">
        <w:t>xtension</w:t>
      </w:r>
      <w:r>
        <w:t xml:space="preserve"> of</w:t>
      </w:r>
      <w:r w:rsidRPr="003E3B94">
        <w:t xml:space="preserve"> </w:t>
      </w:r>
      <w:r>
        <w:t xml:space="preserve">the Measure </w:t>
      </w:r>
      <w:r w:rsidR="000D33C2">
        <w:t>were</w:t>
      </w:r>
      <w:r w:rsidRPr="003E3B94">
        <w:t xml:space="preserve"> within the scope of the evaluation.</w:t>
      </w:r>
    </w:p>
    <w:p w14:paraId="1149489E" w14:textId="77777777" w:rsidR="00866123" w:rsidRDefault="00866123" w:rsidP="00866123">
      <w:pPr>
        <w:pStyle w:val="Heading3"/>
      </w:pPr>
      <w:bookmarkStart w:id="21" w:name="_Toc232685863"/>
      <w:r>
        <w:t>Key evaluation areas</w:t>
      </w:r>
      <w:bookmarkEnd w:id="21"/>
    </w:p>
    <w:p w14:paraId="43739144" w14:textId="1C07222A" w:rsidR="00866123" w:rsidRDefault="00866123" w:rsidP="00866123">
      <w:r>
        <w:t>The evaluation focused on four KEAs, each addressed by a specific key evaluation question (</w:t>
      </w:r>
      <w:r w:rsidR="00D931FC">
        <w:fldChar w:fldCharType="begin"/>
      </w:r>
      <w:r w:rsidR="00D931FC">
        <w:instrText xml:space="preserve"> REF _Ref216797109 \h </w:instrText>
      </w:r>
      <w:r w:rsidR="00D931FC">
        <w:fldChar w:fldCharType="separate"/>
      </w:r>
      <w:r w:rsidR="00167BA0">
        <w:t xml:space="preserve">Figure </w:t>
      </w:r>
      <w:r w:rsidR="00167BA0">
        <w:rPr>
          <w:noProof/>
        </w:rPr>
        <w:t>2</w:t>
      </w:r>
      <w:r w:rsidR="00167BA0">
        <w:t>.</w:t>
      </w:r>
      <w:r w:rsidR="00167BA0">
        <w:rPr>
          <w:noProof/>
        </w:rPr>
        <w:t>3</w:t>
      </w:r>
      <w:r w:rsidR="00D931FC">
        <w:fldChar w:fldCharType="end"/>
      </w:r>
      <w:r>
        <w:t>).</w:t>
      </w:r>
    </w:p>
    <w:p w14:paraId="4398BC90" w14:textId="66400D94" w:rsidR="00866123" w:rsidRDefault="00866123" w:rsidP="00866123">
      <w:pPr>
        <w:pStyle w:val="Caption"/>
      </w:pPr>
      <w:bookmarkStart w:id="22" w:name="_Ref216797109"/>
      <w:r>
        <w:t xml:space="preserve">Figure </w:t>
      </w:r>
      <w:fldSimple w:instr=" STYLEREF 1 \s ">
        <w:r w:rsidR="00167BA0">
          <w:rPr>
            <w:noProof/>
          </w:rPr>
          <w:t>2</w:t>
        </w:r>
      </w:fldSimple>
      <w:r w:rsidR="00DD3EB1">
        <w:t>.</w:t>
      </w:r>
      <w:fldSimple w:instr=" SEQ Figure \* ARABIC \s 1 ">
        <w:r w:rsidR="00167BA0">
          <w:rPr>
            <w:noProof/>
          </w:rPr>
          <w:t>3</w:t>
        </w:r>
      </w:fldSimple>
      <w:bookmarkEnd w:id="22"/>
      <w:r>
        <w:t>: KEAs for the evaluation of the Measure</w:t>
      </w:r>
    </w:p>
    <w:p w14:paraId="5586B881" w14:textId="77777777" w:rsidR="00866123" w:rsidRDefault="00866123" w:rsidP="00866123">
      <w:r>
        <w:rPr>
          <w:noProof/>
        </w:rPr>
        <w:drawing>
          <wp:inline distT="0" distB="0" distL="0" distR="0" wp14:anchorId="04B1391C" wp14:editId="1822C48D">
            <wp:extent cx="4486275" cy="2019300"/>
            <wp:effectExtent l="0" t="0" r="28575" b="0"/>
            <wp:docPr id="1118387877" name="Diagram 4" descr="Figure 2.30 is a diagram showing KEAs for the evaluation of the Measur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2C60FEB0" w14:textId="0583FCD3" w:rsidR="00866123" w:rsidRDefault="00866123" w:rsidP="00866123">
      <w:r>
        <w:t xml:space="preserve">A series of evaluation sub-questions supported the key evaluation questions, ensuring a comprehensive and targeted assessment. The KEAs, key evaluation questions, and evaluation sub-questions were used to develop the evaluation framework presented in </w:t>
      </w:r>
      <w:r w:rsidR="00571EC7">
        <w:fldChar w:fldCharType="begin"/>
      </w:r>
      <w:r w:rsidR="00571EC7">
        <w:instrText xml:space="preserve"> REF _Ref216962555 \n \h </w:instrText>
      </w:r>
      <w:r w:rsidR="00571EC7">
        <w:fldChar w:fldCharType="separate"/>
      </w:r>
      <w:r w:rsidR="00167BA0">
        <w:t>Appendix A</w:t>
      </w:r>
      <w:r w:rsidR="00571EC7">
        <w:fldChar w:fldCharType="end"/>
      </w:r>
      <w:r>
        <w:t>.</w:t>
      </w:r>
    </w:p>
    <w:p w14:paraId="201766E7" w14:textId="56E7D676" w:rsidR="00866123" w:rsidRDefault="00866123" w:rsidP="00866123">
      <w:r w:rsidRPr="000A709C">
        <w:t xml:space="preserve">The analysis of each KEA and the evaluation findings are presented in </w:t>
      </w:r>
      <w:r w:rsidR="00571EC7">
        <w:fldChar w:fldCharType="begin"/>
      </w:r>
      <w:r w:rsidR="00571EC7">
        <w:instrText xml:space="preserve"> REF _Ref216962579 \n \h </w:instrText>
      </w:r>
      <w:r w:rsidR="00571EC7">
        <w:fldChar w:fldCharType="separate"/>
      </w:r>
      <w:r w:rsidR="00167BA0">
        <w:t>Part B</w:t>
      </w:r>
      <w:r w:rsidR="00571EC7">
        <w:fldChar w:fldCharType="end"/>
      </w:r>
      <w:r w:rsidRPr="000A709C">
        <w:t xml:space="preserve"> of this report, along with recommendations </w:t>
      </w:r>
      <w:r>
        <w:t>to support continuous improvement and future funding decisions regarding the Measure.</w:t>
      </w:r>
    </w:p>
    <w:p w14:paraId="3CD371E7" w14:textId="77777777" w:rsidR="00866123" w:rsidRDefault="00866123" w:rsidP="00866123">
      <w:pPr>
        <w:pStyle w:val="Heading2"/>
      </w:pPr>
      <w:bookmarkStart w:id="23" w:name="_Toc232685864"/>
      <w:r>
        <w:t>Evaluation limitations</w:t>
      </w:r>
      <w:bookmarkEnd w:id="23"/>
    </w:p>
    <w:p w14:paraId="16C5776C" w14:textId="0910F125" w:rsidR="00866123" w:rsidRDefault="0091358A" w:rsidP="00866123">
      <w:r>
        <w:t xml:space="preserve">The evaluation was designed to comprehensively assess the Measure and its funded activities. However, several limitations should be </w:t>
      </w:r>
      <w:r w:rsidR="0010483B">
        <w:t>considered when interpreting the findings and recommendations</w:t>
      </w:r>
      <w:r w:rsidR="00406F2B">
        <w:t>:</w:t>
      </w:r>
    </w:p>
    <w:p w14:paraId="427B6885" w14:textId="37A364E6" w:rsidR="00292D35" w:rsidRPr="00292D35" w:rsidRDefault="00406F2B" w:rsidP="00292D35">
      <w:pPr>
        <w:pStyle w:val="ListBullet"/>
      </w:pPr>
      <w:r w:rsidRPr="00160059">
        <w:rPr>
          <w:b/>
          <w:bCs/>
        </w:rPr>
        <w:t>Timing of evaluation:</w:t>
      </w:r>
      <w:r>
        <w:t xml:space="preserve"> the evaluation concluded before the end of the current grant agreements (30 June 2026) and only included data from 1</w:t>
      </w:r>
      <w:r w:rsidR="00024BA0">
        <w:t> </w:t>
      </w:r>
      <w:r>
        <w:t>November 2021 to 30 June 2025. Activities and outcomes delivered after this period were therefore not captured in this report.</w:t>
      </w:r>
      <w:r w:rsidR="00292D35">
        <w:t xml:space="preserve"> </w:t>
      </w:r>
      <w:r w:rsidR="00292D35" w:rsidRPr="00292D35">
        <w:t xml:space="preserve">This means the </w:t>
      </w:r>
      <w:r w:rsidR="00292D35" w:rsidRPr="00292D35">
        <w:lastRenderedPageBreak/>
        <w:t>report may not reflect the full impact or any subsequent improvements made in the final year of program delivery</w:t>
      </w:r>
      <w:r w:rsidR="00292D35">
        <w:t>.</w:t>
      </w:r>
    </w:p>
    <w:p w14:paraId="4EA130EB" w14:textId="4576ADCB" w:rsidR="00406F2B" w:rsidRDefault="00E72DE0" w:rsidP="00406F2B">
      <w:pPr>
        <w:pStyle w:val="ListBullet"/>
      </w:pPr>
      <w:r w:rsidRPr="00160059">
        <w:rPr>
          <w:b/>
          <w:bCs/>
        </w:rPr>
        <w:t>Limited outcome data:</w:t>
      </w:r>
      <w:r>
        <w:t xml:space="preserve"> there was limited availability of health outcomes or resident-level data, with </w:t>
      </w:r>
      <w:proofErr w:type="gramStart"/>
      <w:r>
        <w:t>none available</w:t>
      </w:r>
      <w:proofErr w:type="gramEnd"/>
      <w:r>
        <w:t xml:space="preserve"> for PEPA Aged Care and a limited amount for PACOP. This constrained the ability </w:t>
      </w:r>
      <w:r w:rsidR="00315EB7">
        <w:t xml:space="preserve">to </w:t>
      </w:r>
      <w:r w:rsidR="00B05745">
        <w:t xml:space="preserve">objectively </w:t>
      </w:r>
      <w:r w:rsidR="00315EB7">
        <w:t xml:space="preserve">assess </w:t>
      </w:r>
      <w:r w:rsidR="00677FDA">
        <w:t>the programs</w:t>
      </w:r>
      <w:r w:rsidR="003863F5">
        <w:t>’</w:t>
      </w:r>
      <w:r w:rsidR="00677FDA">
        <w:t xml:space="preserve"> impact on outcomes for older people and precluded a comprehensive</w:t>
      </w:r>
      <w:r w:rsidR="00A7605D">
        <w:t xml:space="preserve"> economic analysis</w:t>
      </w:r>
      <w:r w:rsidR="0021641C">
        <w:t>. While an exploratory economic analysis utilising available outcome data from PACOP was undertaken to provide early</w:t>
      </w:r>
      <w:r w:rsidR="00744C3E">
        <w:t xml:space="preserve"> insights into </w:t>
      </w:r>
      <w:r w:rsidR="008B1C09">
        <w:t>indicative quantifiable</w:t>
      </w:r>
      <w:r w:rsidR="00744C3E">
        <w:t xml:space="preserve"> benefits, </w:t>
      </w:r>
      <w:r w:rsidR="009A0A47">
        <w:t>these results</w:t>
      </w:r>
      <w:r w:rsidR="00744C3E">
        <w:t xml:space="preserve"> should be interpreted with caution due to </w:t>
      </w:r>
      <w:r w:rsidR="009A0A47">
        <w:t>data and methodological</w:t>
      </w:r>
      <w:r w:rsidR="00744C3E">
        <w:t xml:space="preserve"> limitations</w:t>
      </w:r>
      <w:r w:rsidR="0063195F">
        <w:t xml:space="preserve"> (see Appendix </w:t>
      </w:r>
      <w:r w:rsidR="00C36731">
        <w:t>E</w:t>
      </w:r>
      <w:r w:rsidR="00744C3E">
        <w:t>).</w:t>
      </w:r>
    </w:p>
    <w:p w14:paraId="230B1520" w14:textId="7EDD0F19" w:rsidR="00744C3E" w:rsidRDefault="00437B61" w:rsidP="00406F2B">
      <w:pPr>
        <w:pStyle w:val="ListBullet"/>
      </w:pPr>
      <w:r w:rsidRPr="00160059">
        <w:rPr>
          <w:b/>
          <w:bCs/>
        </w:rPr>
        <w:t>Survey response rates:</w:t>
      </w:r>
      <w:r>
        <w:t xml:space="preserve"> the evaluation sought direct input from end-users of PEPA Aged Care and PACOP through an online survey and case study interviews. However, survey response rates from participant cohorts were relatively low (</w:t>
      </w:r>
      <w:r w:rsidR="00160059">
        <w:t>37.8% for PEPA Aged Care and 17.4% for PACOP). As a result, survey findings may not fully represent the views and experiences of all program participants.</w:t>
      </w:r>
      <w:r w:rsidR="00B3245F">
        <w:t xml:space="preserve"> Additionally, </w:t>
      </w:r>
      <w:r w:rsidR="00BD54D1">
        <w:t>responses from non-participating organisations were low</w:t>
      </w:r>
      <w:r w:rsidR="00BE652B">
        <w:t>.</w:t>
      </w:r>
    </w:p>
    <w:p w14:paraId="1D87C101" w14:textId="10D4EAB2" w:rsidR="00160059" w:rsidRDefault="00160059" w:rsidP="00406F2B">
      <w:pPr>
        <w:pStyle w:val="ListBullet"/>
      </w:pPr>
      <w:r w:rsidRPr="00357C6E">
        <w:rPr>
          <w:b/>
          <w:bCs/>
        </w:rPr>
        <w:t>Direct engagement with care recipients:</w:t>
      </w:r>
      <w:r>
        <w:t xml:space="preserve"> due to ethical considerations and </w:t>
      </w:r>
      <w:r w:rsidR="00357C6E">
        <w:t>recruitment</w:t>
      </w:r>
      <w:r>
        <w:t xml:space="preserve"> challenges, the evaluation did not directly engage with older people and their families with lived experience of PEPA Aged Care and/or PACOP. </w:t>
      </w:r>
      <w:r w:rsidR="008C16D8">
        <w:t>Instead, focus groups were conducted with consumer, family, and carer representatives to gather critical input.</w:t>
      </w:r>
    </w:p>
    <w:p w14:paraId="02939EC2" w14:textId="677F4871" w:rsidR="008C16D8" w:rsidRDefault="008C16D8" w:rsidP="00406F2B">
      <w:pPr>
        <w:pStyle w:val="ListBullet"/>
      </w:pPr>
      <w:r w:rsidRPr="00357C6E">
        <w:rPr>
          <w:b/>
          <w:bCs/>
        </w:rPr>
        <w:t>Potential for bias:</w:t>
      </w:r>
      <w:r w:rsidR="00357C6E">
        <w:t xml:space="preserve"> data collected through the online survey, consultations, and case study interviews may reflect personal bias or self-interest. To mitigate this, a broad range of stakeholders was consulted, and contrasting views were synthesised in the analysis.</w:t>
      </w:r>
    </w:p>
    <w:p w14:paraId="412A409F" w14:textId="77777777" w:rsidR="00287361" w:rsidRDefault="00287361" w:rsidP="00287361">
      <w:pPr>
        <w:pStyle w:val="ListBullet"/>
      </w:pPr>
      <w:r>
        <w:rPr>
          <w:b/>
          <w:bCs/>
        </w:rPr>
        <w:t xml:space="preserve">Program data limitations: </w:t>
      </w:r>
      <w:r w:rsidRPr="00357C6E">
        <w:t>some data</w:t>
      </w:r>
      <w:r>
        <w:t xml:space="preserve"> requested from PEPA Aged Care and PACOP were missing, unavailable, or suppressed due to small cell counts. </w:t>
      </w:r>
      <w:r w:rsidRPr="00247378">
        <w:t>This limited the completeness and granularity of some analyses</w:t>
      </w:r>
      <w:r>
        <w:t>.</w:t>
      </w:r>
    </w:p>
    <w:p w14:paraId="44A9F25F" w14:textId="5E4973DD" w:rsidR="00866123" w:rsidRPr="00866123" w:rsidRDefault="00440076" w:rsidP="0017684D">
      <w:pPr>
        <w:pStyle w:val="ListBullet"/>
      </w:pPr>
      <w:r w:rsidRPr="00F9529D">
        <w:rPr>
          <w:b/>
          <w:bCs/>
        </w:rPr>
        <w:t>ACQSC performance report sample:</w:t>
      </w:r>
      <w:r>
        <w:t xml:space="preserve"> the evaluation aimed to review 150 ACQSC performance reports from participating sites/homes (75 for each program). Lower-than-expected response rates limited the number of </w:t>
      </w:r>
      <w:r>
        <w:t xml:space="preserve">reports available for analysis, reducing the depth of insights. </w:t>
      </w:r>
      <w:r w:rsidR="00DE6ED0">
        <w:t xml:space="preserve">Additionally, fewer than </w:t>
      </w:r>
      <w:r w:rsidR="00E17DC9">
        <w:t>10 reports were available for sites/homes pre- and post-participation</w:t>
      </w:r>
      <w:r w:rsidR="00104E87">
        <w:t>, largely</w:t>
      </w:r>
      <w:r w:rsidR="00E17DC9">
        <w:t xml:space="preserve"> </w:t>
      </w:r>
      <w:r w:rsidR="00287361">
        <w:t>because</w:t>
      </w:r>
      <w:r w:rsidR="00E17DC9">
        <w:t xml:space="preserve"> </w:t>
      </w:r>
      <w:r w:rsidR="00104E87">
        <w:t xml:space="preserve">many sites/homes </w:t>
      </w:r>
      <w:r w:rsidR="00287361">
        <w:t>participated</w:t>
      </w:r>
      <w:r w:rsidR="00104E87">
        <w:t xml:space="preserve"> in PEPA Aged Care or PACOP</w:t>
      </w:r>
      <w:r w:rsidR="00E26925">
        <w:t xml:space="preserve"> relatively </w:t>
      </w:r>
      <w:r w:rsidR="00104E87">
        <w:t>recently. The programs were not mentioned in any reports, meaning no findings could be directly attributed to program participation.</w:t>
      </w:r>
      <w:r w:rsidR="00DE6ED0">
        <w:t xml:space="preserve"> </w:t>
      </w:r>
      <w:r>
        <w:t xml:space="preserve">Nevertheless, the reports provided useful context to triangulate findings from other evaluation data sources and offered valuable </w:t>
      </w:r>
      <w:r w:rsidR="001C1E02">
        <w:t>insights into</w:t>
      </w:r>
      <w:r>
        <w:t xml:space="preserve"> how palliative and end-of-life care were assessed during the accreditation process.</w:t>
      </w:r>
    </w:p>
    <w:p w14:paraId="532AD2A5" w14:textId="35A6C4A4" w:rsidR="00F84356" w:rsidRDefault="00F84356" w:rsidP="00F84356">
      <w:pPr>
        <w:pStyle w:val="PARTSectionHeading"/>
        <w:framePr w:wrap="around"/>
      </w:pPr>
      <w:bookmarkStart w:id="24" w:name="_Toc232685865"/>
      <w:r>
        <w:lastRenderedPageBreak/>
        <w:t>Project context and approach</w:t>
      </w:r>
      <w:bookmarkEnd w:id="24"/>
    </w:p>
    <w:p w14:paraId="1EF51009" w14:textId="14C252D9" w:rsidR="00F84356" w:rsidRDefault="006D0C65" w:rsidP="006E5597">
      <w:pPr>
        <w:pStyle w:val="Heading1"/>
        <w:framePr w:wrap="around"/>
      </w:pPr>
      <w:bookmarkStart w:id="25" w:name="_Toc232685866"/>
      <w:r>
        <w:lastRenderedPageBreak/>
        <w:t>Program</w:t>
      </w:r>
      <w:r w:rsidR="00805CDD">
        <w:t xml:space="preserve"> context</w:t>
      </w:r>
      <w:bookmarkEnd w:id="25"/>
    </w:p>
    <w:p w14:paraId="135926A2" w14:textId="51F015AE" w:rsidR="007F6650" w:rsidRDefault="00B67AAE" w:rsidP="00B67AAE">
      <w:r>
        <w:t xml:space="preserve">This chapter </w:t>
      </w:r>
      <w:r w:rsidR="00E61FE6" w:rsidRPr="00E61FE6">
        <w:t>outlin</w:t>
      </w:r>
      <w:r w:rsidR="00E61FE6">
        <w:t>es</w:t>
      </w:r>
      <w:r w:rsidR="00E61FE6" w:rsidRPr="00E61FE6">
        <w:t xml:space="preserve"> the broader policy context in which the Measure was established, including relevant national strategies, frameworks, and related initiatives aimed at strengthening palliative care delivery in aged care settings. It then provides an overview of the Measure itself</w:t>
      </w:r>
      <w:r w:rsidR="00B96B56">
        <w:t xml:space="preserve">, including its </w:t>
      </w:r>
      <w:r w:rsidR="00E61FE6" w:rsidRPr="00E61FE6">
        <w:t>overarching objectives</w:t>
      </w:r>
      <w:r w:rsidR="002F11E2">
        <w:t xml:space="preserve"> a</w:t>
      </w:r>
      <w:r w:rsidR="00E61FE6" w:rsidRPr="00E61FE6">
        <w:t xml:space="preserve">nd </w:t>
      </w:r>
      <w:r w:rsidR="002F11E2">
        <w:t>a summary of</w:t>
      </w:r>
      <w:r w:rsidR="00E61FE6" w:rsidRPr="00E61FE6">
        <w:t xml:space="preserve"> the program arrangements for PEPA Aged Care and PACOP</w:t>
      </w:r>
      <w:r w:rsidR="0027723A">
        <w:t>.</w:t>
      </w:r>
    </w:p>
    <w:p w14:paraId="18184CA7" w14:textId="77777777" w:rsidR="007F6650" w:rsidRDefault="007F6650" w:rsidP="007F6650">
      <w:pPr>
        <w:pStyle w:val="SectionTitle"/>
      </w:pPr>
      <w:bookmarkStart w:id="26" w:name="_Toc198559741"/>
      <w:bookmarkStart w:id="27" w:name="_Toc232685867"/>
      <w:r>
        <w:t>Policy context</w:t>
      </w:r>
      <w:bookmarkEnd w:id="26"/>
      <w:bookmarkEnd w:id="27"/>
    </w:p>
    <w:p w14:paraId="77415252" w14:textId="368A05D1" w:rsidR="007F6650" w:rsidRDefault="007F6650" w:rsidP="007F6650">
      <w:r>
        <w:t>The Commonwealth and state and territory governments are committed to improving the quality of palliative care for all Australians, including older people accessing aged care services. In response, various policy initiatives have been implemented over the past several decades. Initiatives particularly relevant to the establishment of the Measure are outlined in the following sections.</w:t>
      </w:r>
    </w:p>
    <w:p w14:paraId="200001B6" w14:textId="77777777" w:rsidR="007F6650" w:rsidRDefault="007F6650" w:rsidP="007F6650">
      <w:pPr>
        <w:pStyle w:val="Heading2"/>
      </w:pPr>
      <w:bookmarkStart w:id="28" w:name="_Toc198559742"/>
      <w:bookmarkStart w:id="29" w:name="_Toc232685868"/>
      <w:r>
        <w:t>National Palliative Care Strategy</w:t>
      </w:r>
      <w:bookmarkEnd w:id="28"/>
      <w:bookmarkEnd w:id="29"/>
    </w:p>
    <w:p w14:paraId="3B4E6894" w14:textId="11A20660" w:rsidR="007F6650" w:rsidRDefault="007F6650" w:rsidP="007F6650">
      <w:r>
        <w:t>Australia</w:t>
      </w:r>
      <w:r w:rsidR="003863F5">
        <w:t>’</w:t>
      </w:r>
      <w:r>
        <w:t xml:space="preserve">s national approach to palliative care is outlined in the National Palliative Care Strategy 2018 (the National Strategy), which sets the overarching vision that </w:t>
      </w:r>
      <w:r w:rsidR="003863F5">
        <w:rPr>
          <w:i/>
          <w:iCs/>
        </w:rPr>
        <w:t>‘</w:t>
      </w:r>
      <w:r w:rsidRPr="009F6F09">
        <w:rPr>
          <w:i/>
          <w:iCs/>
        </w:rPr>
        <w:t>people affected by life-limiting illnesses get the care they need to live well</w:t>
      </w:r>
      <w:r w:rsidR="003863F5">
        <w:rPr>
          <w:i/>
          <w:iCs/>
        </w:rPr>
        <w:t>’</w:t>
      </w:r>
      <w:sdt>
        <w:sdtPr>
          <w:id w:val="783997189"/>
          <w:citation/>
        </w:sdtPr>
        <w:sdtContent>
          <w:r>
            <w:fldChar w:fldCharType="begin"/>
          </w:r>
          <w:r w:rsidR="00D77624">
            <w:instrText xml:space="preserve">CITATION Aus181 \l 3081 </w:instrText>
          </w:r>
          <w:r>
            <w:fldChar w:fldCharType="separate"/>
          </w:r>
          <w:r w:rsidR="00D77624">
            <w:rPr>
              <w:noProof/>
            </w:rPr>
            <w:t xml:space="preserve"> </w:t>
          </w:r>
          <w:r w:rsidR="00D77624" w:rsidRPr="00D77624">
            <w:rPr>
              <w:noProof/>
            </w:rPr>
            <w:t>[1]</w:t>
          </w:r>
          <w:r>
            <w:fldChar w:fldCharType="end"/>
          </w:r>
        </w:sdtContent>
      </w:sdt>
      <w:r>
        <w:t xml:space="preserve">. The National Strategy identifies seven goals </w:t>
      </w:r>
      <w:r w:rsidRPr="00E33636">
        <w:t>focused on understanding, capability, access, collaboration, investment, data, and accountability, underpinned by principles of person-centred, high-quality, and accessible care. An accompanying Implementation Plan prioritises actions to improve workforce capability, enhance coordination of care, embed advance care planning, and strengthen national data collection and reporting.</w:t>
      </w:r>
    </w:p>
    <w:p w14:paraId="4A0EB7DA" w14:textId="3A716242" w:rsidR="007F6650" w:rsidRDefault="007F6650" w:rsidP="007F6650">
      <w:r w:rsidRPr="00811DA7">
        <w:t>The</w:t>
      </w:r>
      <w:r w:rsidR="00DB2176">
        <w:t xml:space="preserve"> National</w:t>
      </w:r>
      <w:r w:rsidRPr="00811DA7">
        <w:t xml:space="preserve"> Strategy builds on earlier national frameworks and reflects findings from the evaluation of the 2010 Strategy, which highlighted the pivotal role of </w:t>
      </w:r>
      <w:r w:rsidR="00151031">
        <w:t>National Palliative Care Projects (</w:t>
      </w:r>
      <w:r w:rsidRPr="00811DA7">
        <w:t>NPCP</w:t>
      </w:r>
      <w:r w:rsidR="00151031">
        <w:t>)</w:t>
      </w:r>
      <w:r w:rsidRPr="00811DA7">
        <w:t>—including PEPA and PCOC—in advancing workforce training and data-driven quality improvement. These findings informed the decision to expand PEPA and PCOC into the aged care sector under the Measure.</w:t>
      </w:r>
    </w:p>
    <w:p w14:paraId="74D90E3C" w14:textId="0C88E8A5" w:rsidR="00FC6CA9" w:rsidRDefault="00FC6CA9" w:rsidP="007F6650">
      <w:r>
        <w:t>The Measure directly support</w:t>
      </w:r>
      <w:r w:rsidR="009A631D">
        <w:t>ed</w:t>
      </w:r>
      <w:r>
        <w:t xml:space="preserve"> the</w:t>
      </w:r>
      <w:r w:rsidR="00DB2176">
        <w:t xml:space="preserve"> National</w:t>
      </w:r>
      <w:r>
        <w:t xml:space="preserve"> Strategy</w:t>
      </w:r>
      <w:r w:rsidR="003863F5">
        <w:t>’</w:t>
      </w:r>
      <w:r>
        <w:t>s objectives by funding</w:t>
      </w:r>
      <w:r w:rsidR="00EC3EB8">
        <w:t xml:space="preserve"> initiatives</w:t>
      </w:r>
      <w:r>
        <w:t xml:space="preserve"> </w:t>
      </w:r>
      <w:r w:rsidR="00141BD8">
        <w:t>that aim</w:t>
      </w:r>
      <w:r w:rsidR="00B527E6">
        <w:t>ed</w:t>
      </w:r>
      <w:r w:rsidR="00141BD8">
        <w:t xml:space="preserve"> to enhance</w:t>
      </w:r>
      <w:r w:rsidR="00EC3EB8">
        <w:t xml:space="preserve"> workforce training, </w:t>
      </w:r>
      <w:r w:rsidR="00141BD8">
        <w:t xml:space="preserve">improve </w:t>
      </w:r>
      <w:r w:rsidR="00A57598">
        <w:t xml:space="preserve">organisational capability, and </w:t>
      </w:r>
      <w:r w:rsidR="00141BD8">
        <w:t>promote best</w:t>
      </w:r>
      <w:r w:rsidR="00F256AD">
        <w:t>-</w:t>
      </w:r>
      <w:r w:rsidR="00141BD8">
        <w:t>practice palliative care in aged care settings.</w:t>
      </w:r>
    </w:p>
    <w:p w14:paraId="31B007FA" w14:textId="77777777" w:rsidR="007F6650" w:rsidRDefault="007F6650" w:rsidP="007F6650">
      <w:pPr>
        <w:pStyle w:val="Heading2"/>
      </w:pPr>
      <w:bookmarkStart w:id="30" w:name="_Toc198559743"/>
      <w:bookmarkStart w:id="31" w:name="_Toc232685869"/>
      <w:r>
        <w:t>State and territory palliative care policies</w:t>
      </w:r>
      <w:bookmarkEnd w:id="30"/>
      <w:bookmarkEnd w:id="31"/>
    </w:p>
    <w:p w14:paraId="492EDD3C" w14:textId="77777777" w:rsidR="007F6650" w:rsidRDefault="007F6650" w:rsidP="007F6650">
      <w:r>
        <w:t xml:space="preserve">State and territory governments are responsible for the provision of palliative care services within their respective health systems. Most jurisdictions </w:t>
      </w:r>
      <w:r w:rsidRPr="00427CA6">
        <w:t>maintain palliative care frameworks aligned with the National Strategy, emphasising equitable access, a skilled workforce, and coordinated care across settings</w:t>
      </w:r>
      <w:r>
        <w:t>. State and territory policy and strategy frameworks include:</w:t>
      </w:r>
    </w:p>
    <w:p w14:paraId="25EA115A" w14:textId="7679371E" w:rsidR="007F6650" w:rsidRPr="00141192" w:rsidRDefault="007F6650" w:rsidP="007F6650">
      <w:pPr>
        <w:pStyle w:val="ListBullet"/>
      </w:pPr>
      <w:r w:rsidRPr="00141192">
        <w:t xml:space="preserve">New South Wales Health End of Life and Palliative Care Framework 2019–2024 </w:t>
      </w:r>
      <w:sdt>
        <w:sdtPr>
          <w:id w:val="-1410378778"/>
          <w:citation/>
        </w:sdtPr>
        <w:sdtContent>
          <w:r w:rsidRPr="00141192">
            <w:fldChar w:fldCharType="begin"/>
          </w:r>
          <w:r w:rsidRPr="00141192">
            <w:instrText xml:space="preserve"> CITATION NSW19 \l 1033 </w:instrText>
          </w:r>
          <w:r w:rsidRPr="00141192">
            <w:fldChar w:fldCharType="separate"/>
          </w:r>
          <w:r w:rsidR="008410E0" w:rsidRPr="008410E0">
            <w:rPr>
              <w:noProof/>
            </w:rPr>
            <w:t>[2]</w:t>
          </w:r>
          <w:r w:rsidRPr="00141192">
            <w:fldChar w:fldCharType="end"/>
          </w:r>
        </w:sdtContent>
      </w:sdt>
    </w:p>
    <w:p w14:paraId="1FA87945" w14:textId="0EBEFB52" w:rsidR="007F6650" w:rsidRPr="00141192" w:rsidRDefault="007F6650" w:rsidP="007F6650">
      <w:pPr>
        <w:pStyle w:val="ListBullet"/>
      </w:pPr>
      <w:r w:rsidRPr="00141192">
        <w:t>Victoria</w:t>
      </w:r>
      <w:r w:rsidR="003863F5">
        <w:t>’</w:t>
      </w:r>
      <w:r w:rsidRPr="00141192">
        <w:t xml:space="preserve">s </w:t>
      </w:r>
      <w:r>
        <w:t>end-of-life</w:t>
      </w:r>
      <w:r w:rsidRPr="00141192">
        <w:t xml:space="preserve"> and palliative care framework </w:t>
      </w:r>
      <w:sdt>
        <w:sdtPr>
          <w:id w:val="-505594819"/>
          <w:citation/>
        </w:sdtPr>
        <w:sdtContent>
          <w:r w:rsidRPr="00141192">
            <w:fldChar w:fldCharType="begin"/>
          </w:r>
          <w:r>
            <w:instrText xml:space="preserve">CITATION Sta16 \l 1033 </w:instrText>
          </w:r>
          <w:r w:rsidRPr="00141192">
            <w:fldChar w:fldCharType="separate"/>
          </w:r>
          <w:r w:rsidR="008410E0" w:rsidRPr="008410E0">
            <w:rPr>
              <w:noProof/>
            </w:rPr>
            <w:t>[3]</w:t>
          </w:r>
          <w:r w:rsidRPr="00141192">
            <w:fldChar w:fldCharType="end"/>
          </w:r>
        </w:sdtContent>
      </w:sdt>
    </w:p>
    <w:p w14:paraId="1D412229" w14:textId="470D435D" w:rsidR="007F6650" w:rsidRPr="00141192" w:rsidRDefault="007F6650" w:rsidP="007F6650">
      <w:pPr>
        <w:pStyle w:val="ListBullet"/>
      </w:pPr>
      <w:r w:rsidRPr="00141192">
        <w:t xml:space="preserve">Queensland Health Palliative and End of Life Care Strategy </w:t>
      </w:r>
      <w:sdt>
        <w:sdtPr>
          <w:id w:val="-1531487428"/>
          <w:citation/>
        </w:sdtPr>
        <w:sdtContent>
          <w:r w:rsidRPr="00141192">
            <w:fldChar w:fldCharType="begin"/>
          </w:r>
          <w:r w:rsidRPr="00141192">
            <w:instrText xml:space="preserve"> CITATION Sta22 \l 1033 </w:instrText>
          </w:r>
          <w:r w:rsidRPr="00141192">
            <w:fldChar w:fldCharType="separate"/>
          </w:r>
          <w:r w:rsidR="008410E0" w:rsidRPr="008410E0">
            <w:rPr>
              <w:noProof/>
            </w:rPr>
            <w:t>[4]</w:t>
          </w:r>
          <w:r w:rsidRPr="00141192">
            <w:fldChar w:fldCharType="end"/>
          </w:r>
        </w:sdtContent>
      </w:sdt>
    </w:p>
    <w:p w14:paraId="66C84D6B" w14:textId="02AA2AFB" w:rsidR="007F6650" w:rsidRPr="00141192" w:rsidRDefault="007F6650" w:rsidP="007F6650">
      <w:pPr>
        <w:pStyle w:val="ListBullet"/>
      </w:pPr>
      <w:r w:rsidRPr="00141192">
        <w:t>South Australia</w:t>
      </w:r>
      <w:r w:rsidR="003863F5">
        <w:t>’</w:t>
      </w:r>
      <w:r w:rsidRPr="00141192">
        <w:t xml:space="preserve">s Palliative Care Strategic Framework 2022–2027 </w:t>
      </w:r>
      <w:sdt>
        <w:sdtPr>
          <w:id w:val="-1357661081"/>
          <w:citation/>
        </w:sdtPr>
        <w:sdtContent>
          <w:r w:rsidRPr="00141192">
            <w:fldChar w:fldCharType="begin"/>
          </w:r>
          <w:r w:rsidRPr="00141192">
            <w:instrText xml:space="preserve"> CITATION Gov22 \l 1033 </w:instrText>
          </w:r>
          <w:r w:rsidRPr="00141192">
            <w:fldChar w:fldCharType="separate"/>
          </w:r>
          <w:r w:rsidR="008410E0" w:rsidRPr="008410E0">
            <w:rPr>
              <w:noProof/>
            </w:rPr>
            <w:t>[5]</w:t>
          </w:r>
          <w:r w:rsidRPr="00141192">
            <w:fldChar w:fldCharType="end"/>
          </w:r>
        </w:sdtContent>
      </w:sdt>
    </w:p>
    <w:p w14:paraId="2D4EE980" w14:textId="0232375A" w:rsidR="007F6650" w:rsidRPr="00141192" w:rsidRDefault="007F6650" w:rsidP="007F6650">
      <w:pPr>
        <w:pStyle w:val="ListBullet"/>
      </w:pPr>
      <w:r w:rsidRPr="00141192">
        <w:t>Western Australia</w:t>
      </w:r>
      <w:r w:rsidR="003863F5">
        <w:t>’</w:t>
      </w:r>
      <w:r w:rsidRPr="00141192">
        <w:t xml:space="preserve">s End-of-Life and Palliative Care Strategy 2018–2028 </w:t>
      </w:r>
      <w:sdt>
        <w:sdtPr>
          <w:id w:val="1848598902"/>
          <w:citation/>
        </w:sdtPr>
        <w:sdtContent>
          <w:r w:rsidRPr="00141192">
            <w:fldChar w:fldCharType="begin"/>
          </w:r>
          <w:r w:rsidRPr="00141192">
            <w:instrText xml:space="preserve"> CITATION Gov18 \l 1033 </w:instrText>
          </w:r>
          <w:r w:rsidRPr="00141192">
            <w:fldChar w:fldCharType="separate"/>
          </w:r>
          <w:r w:rsidR="008410E0" w:rsidRPr="008410E0">
            <w:rPr>
              <w:noProof/>
            </w:rPr>
            <w:t>[6]</w:t>
          </w:r>
          <w:r w:rsidRPr="00141192">
            <w:fldChar w:fldCharType="end"/>
          </w:r>
        </w:sdtContent>
      </w:sdt>
    </w:p>
    <w:p w14:paraId="47608EFE" w14:textId="718EC900" w:rsidR="007F6650" w:rsidRDefault="007F6650" w:rsidP="007F6650">
      <w:pPr>
        <w:pStyle w:val="ListBullet"/>
      </w:pPr>
      <w:r w:rsidRPr="00141192">
        <w:t xml:space="preserve">Tasmanian Palliative and End of Life Care Policy Framework 2022–27 </w:t>
      </w:r>
      <w:sdt>
        <w:sdtPr>
          <w:id w:val="-5437278"/>
          <w:citation/>
        </w:sdtPr>
        <w:sdtContent>
          <w:r w:rsidRPr="00141192">
            <w:fldChar w:fldCharType="begin"/>
          </w:r>
          <w:r w:rsidRPr="00141192">
            <w:instrText xml:space="preserve"> CITATION Sta221 \l 1033 </w:instrText>
          </w:r>
          <w:r w:rsidRPr="00141192">
            <w:fldChar w:fldCharType="separate"/>
          </w:r>
          <w:r w:rsidR="008410E0" w:rsidRPr="008410E0">
            <w:rPr>
              <w:noProof/>
            </w:rPr>
            <w:t>[7]</w:t>
          </w:r>
          <w:r w:rsidRPr="00141192">
            <w:fldChar w:fldCharType="end"/>
          </w:r>
        </w:sdtContent>
      </w:sdt>
    </w:p>
    <w:p w14:paraId="4B420446" w14:textId="1B1D4C3D" w:rsidR="005A0BF3" w:rsidRDefault="005A0BF3" w:rsidP="007F6650">
      <w:pPr>
        <w:pStyle w:val="ListBullet"/>
      </w:pPr>
      <w:r>
        <w:t xml:space="preserve">Australian Capital Territory </w:t>
      </w:r>
      <w:r w:rsidR="00B55092">
        <w:t xml:space="preserve">Health Services Plan 2022–2030 </w:t>
      </w:r>
      <w:sdt>
        <w:sdtPr>
          <w:id w:val="1909957781"/>
          <w:citation/>
        </w:sdtPr>
        <w:sdtContent>
          <w:r w:rsidR="00C210AB">
            <w:fldChar w:fldCharType="begin"/>
          </w:r>
          <w:r w:rsidR="008410E0">
            <w:rPr>
              <w:lang w:val="en-US"/>
            </w:rPr>
            <w:instrText xml:space="preserve">CITATION ACT22 \l 1033 </w:instrText>
          </w:r>
          <w:r w:rsidR="00C210AB">
            <w:fldChar w:fldCharType="separate"/>
          </w:r>
          <w:r w:rsidR="008410E0" w:rsidRPr="008410E0">
            <w:rPr>
              <w:noProof/>
              <w:lang w:val="en-US"/>
            </w:rPr>
            <w:t>[8]</w:t>
          </w:r>
          <w:r w:rsidR="00C210AB">
            <w:fldChar w:fldCharType="end"/>
          </w:r>
        </w:sdtContent>
      </w:sdt>
      <w:r w:rsidR="00C210AB">
        <w:t>.</w:t>
      </w:r>
    </w:p>
    <w:p w14:paraId="7A68BEAA" w14:textId="600C58F8" w:rsidR="00141BD8" w:rsidRPr="00141192" w:rsidRDefault="00141BD8" w:rsidP="00141BD8">
      <w:r>
        <w:lastRenderedPageBreak/>
        <w:t>The Measure complement</w:t>
      </w:r>
      <w:r w:rsidR="00B527E6">
        <w:t>ed</w:t>
      </w:r>
      <w:r>
        <w:t xml:space="preserve"> these jurisdictional policies by </w:t>
      </w:r>
      <w:r w:rsidR="00CC4404">
        <w:t xml:space="preserve">supporting national programs that </w:t>
      </w:r>
      <w:r w:rsidR="00C63A1B">
        <w:t>target</w:t>
      </w:r>
      <w:r w:rsidR="00B527E6">
        <w:t>ed</w:t>
      </w:r>
      <w:r w:rsidR="00C63A1B">
        <w:t xml:space="preserve"> workforce skills and </w:t>
      </w:r>
      <w:r w:rsidR="00606DD5">
        <w:t>capability building across all states and territories.</w:t>
      </w:r>
    </w:p>
    <w:p w14:paraId="5E5A88A7" w14:textId="77777777" w:rsidR="007F6650" w:rsidRDefault="007F6650" w:rsidP="007F6650">
      <w:pPr>
        <w:pStyle w:val="Heading2"/>
      </w:pPr>
      <w:bookmarkStart w:id="32" w:name="_Toc198559744"/>
      <w:bookmarkStart w:id="33" w:name="_Toc232685870"/>
      <w:r>
        <w:t>National palliative care guidance</w:t>
      </w:r>
      <w:bookmarkEnd w:id="32"/>
      <w:bookmarkEnd w:id="33"/>
    </w:p>
    <w:p w14:paraId="52395B77" w14:textId="77777777" w:rsidR="007F6650" w:rsidRDefault="007F6650" w:rsidP="007F6650">
      <w:r>
        <w:t>N</w:t>
      </w:r>
      <w:r w:rsidRPr="00E102D1">
        <w:t xml:space="preserve">ational guidance documents </w:t>
      </w:r>
      <w:r w:rsidRPr="00F0799A">
        <w:t>provide the foundation for safe, high-quality palliative care across all settings, including aged care.</w:t>
      </w:r>
      <w:r>
        <w:t xml:space="preserve"> These include:</w:t>
      </w:r>
    </w:p>
    <w:p w14:paraId="7D76B42D" w14:textId="27F81E72" w:rsidR="007F6650" w:rsidRDefault="007F6650" w:rsidP="007F6650">
      <w:pPr>
        <w:pStyle w:val="ListBullet"/>
      </w:pPr>
      <w:r w:rsidRPr="00693EEF">
        <w:rPr>
          <w:b/>
          <w:bCs/>
        </w:rPr>
        <w:t>National Palliative Care Standards:</w:t>
      </w:r>
      <w:r>
        <w:t xml:space="preserve"> outline </w:t>
      </w:r>
      <w:r w:rsidRPr="00693EEF">
        <w:t>nine voluntary standards to guide best practice in non-specialist settings, emphasising person-centred care, comprehensive assessment, evidence-based practice, and integration across services</w:t>
      </w:r>
      <w:r>
        <w:t xml:space="preserve"> </w:t>
      </w:r>
      <w:sdt>
        <w:sdtPr>
          <w:id w:val="1477031"/>
          <w:citation/>
        </w:sdtPr>
        <w:sdtContent>
          <w:r>
            <w:fldChar w:fldCharType="begin"/>
          </w:r>
          <w:r>
            <w:rPr>
              <w:lang w:val="en-US"/>
            </w:rPr>
            <w:instrText xml:space="preserve"> CITATION Pal22 \l 1033 </w:instrText>
          </w:r>
          <w:r>
            <w:fldChar w:fldCharType="separate"/>
          </w:r>
          <w:r w:rsidR="008410E0" w:rsidRPr="008410E0">
            <w:rPr>
              <w:noProof/>
              <w:lang w:val="en-US"/>
            </w:rPr>
            <w:t>[9]</w:t>
          </w:r>
          <w:r>
            <w:fldChar w:fldCharType="end"/>
          </w:r>
        </w:sdtContent>
      </w:sdt>
      <w:r>
        <w:t>.</w:t>
      </w:r>
    </w:p>
    <w:p w14:paraId="4DEB1B48" w14:textId="3933CCD6" w:rsidR="007F6650" w:rsidRDefault="007F6650" w:rsidP="007F6650">
      <w:pPr>
        <w:pStyle w:val="ListBullet"/>
      </w:pPr>
      <w:r w:rsidRPr="00A52678">
        <w:rPr>
          <w:b/>
          <w:bCs/>
        </w:rPr>
        <w:t xml:space="preserve">National Consensus Statement: Essential elements for safe, high-quality end-of-life </w:t>
      </w:r>
      <w:proofErr w:type="gramStart"/>
      <w:r w:rsidRPr="00A52678">
        <w:rPr>
          <w:b/>
          <w:bCs/>
        </w:rPr>
        <w:t>care:</w:t>
      </w:r>
      <w:proofErr w:type="gramEnd"/>
      <w:r>
        <w:t xml:space="preserve"> </w:t>
      </w:r>
      <w:r w:rsidRPr="00A52678">
        <w:t xml:space="preserve">sets principles for care that </w:t>
      </w:r>
      <w:r w:rsidR="009D2B6D">
        <w:t>align</w:t>
      </w:r>
      <w:r w:rsidRPr="00A52678">
        <w:t xml:space="preserve"> with individual values and needs, considers cultural and psychosocial factors, and ensures multidisciplinary expertise</w:t>
      </w:r>
      <w:r>
        <w:t xml:space="preserve"> </w:t>
      </w:r>
      <w:sdt>
        <w:sdtPr>
          <w:id w:val="527990803"/>
          <w:citation/>
        </w:sdtPr>
        <w:sdtContent>
          <w:r>
            <w:fldChar w:fldCharType="begin"/>
          </w:r>
          <w:r>
            <w:rPr>
              <w:lang w:val="en-US"/>
            </w:rPr>
            <w:instrText xml:space="preserve"> CITATION Aus2323 \l 1033 </w:instrText>
          </w:r>
          <w:r>
            <w:fldChar w:fldCharType="separate"/>
          </w:r>
          <w:r w:rsidR="008410E0" w:rsidRPr="008410E0">
            <w:rPr>
              <w:noProof/>
              <w:lang w:val="en-US"/>
            </w:rPr>
            <w:t>[10]</w:t>
          </w:r>
          <w:r>
            <w:fldChar w:fldCharType="end"/>
          </w:r>
        </w:sdtContent>
      </w:sdt>
      <w:r>
        <w:t>.</w:t>
      </w:r>
    </w:p>
    <w:p w14:paraId="4F827997" w14:textId="0205E117" w:rsidR="007F6650" w:rsidRDefault="007F6650" w:rsidP="007F6650">
      <w:pPr>
        <w:pStyle w:val="ListBullet"/>
      </w:pPr>
      <w:r w:rsidRPr="00A52678">
        <w:rPr>
          <w:b/>
          <w:bCs/>
        </w:rPr>
        <w:t>National Framework for Advance Care Planning Documents:</w:t>
      </w:r>
      <w:r>
        <w:t xml:space="preserve"> </w:t>
      </w:r>
      <w:r w:rsidRPr="00A52678">
        <w:t>promotes nationally consistent approaches to advance care planning, supporting individuals to communicate their preferences and guiding health professionals in enacting documented wishes</w:t>
      </w:r>
      <w:r>
        <w:t xml:space="preserve"> </w:t>
      </w:r>
      <w:sdt>
        <w:sdtPr>
          <w:id w:val="-77444505"/>
          <w:citation/>
        </w:sdtPr>
        <w:sdtContent>
          <w:r>
            <w:fldChar w:fldCharType="begin"/>
          </w:r>
          <w:r>
            <w:rPr>
              <w:lang w:val="en-US"/>
            </w:rPr>
            <w:instrText xml:space="preserve"> CITATION Aus219 \l 1033 </w:instrText>
          </w:r>
          <w:r>
            <w:fldChar w:fldCharType="separate"/>
          </w:r>
          <w:r w:rsidR="008410E0" w:rsidRPr="008410E0">
            <w:rPr>
              <w:noProof/>
              <w:lang w:val="en-US"/>
            </w:rPr>
            <w:t>[11]</w:t>
          </w:r>
          <w:r>
            <w:fldChar w:fldCharType="end"/>
          </w:r>
        </w:sdtContent>
      </w:sdt>
      <w:r>
        <w:t>.</w:t>
      </w:r>
    </w:p>
    <w:p w14:paraId="7AD8B6B0" w14:textId="0374B77B" w:rsidR="00606DD5" w:rsidRDefault="00DE2F51" w:rsidP="00606DD5">
      <w:r>
        <w:t>The Measure aim</w:t>
      </w:r>
      <w:r w:rsidR="00B527E6">
        <w:t>ed</w:t>
      </w:r>
      <w:r>
        <w:t xml:space="preserve"> to advance these standards and frameworks by embedding evidence-based training and quality improvement activities in aged care</w:t>
      </w:r>
      <w:r w:rsidR="005A0051">
        <w:t>. In doing so, it aim</w:t>
      </w:r>
      <w:r w:rsidR="00B527E6">
        <w:t>ed</w:t>
      </w:r>
      <w:r w:rsidR="005A0051">
        <w:t xml:space="preserve"> to support providers to meet national expectations for comprehensive assessment, care planning, and </w:t>
      </w:r>
      <w:r w:rsidR="00643F7B">
        <w:t>multidisciplinary collaboration as part of high-quality palliative care</w:t>
      </w:r>
      <w:r w:rsidR="00B527E6">
        <w:t xml:space="preserve"> delivery</w:t>
      </w:r>
      <w:r w:rsidR="00643F7B">
        <w:t>.</w:t>
      </w:r>
    </w:p>
    <w:p w14:paraId="5B7F66ED" w14:textId="77777777" w:rsidR="007F6650" w:rsidRDefault="007F6650" w:rsidP="007F6650">
      <w:pPr>
        <w:pStyle w:val="Heading2"/>
      </w:pPr>
      <w:bookmarkStart w:id="34" w:name="_Toc198559745"/>
      <w:bookmarkStart w:id="35" w:name="_Toc232685871"/>
      <w:r>
        <w:t>Related national palliative care initiatives</w:t>
      </w:r>
      <w:bookmarkEnd w:id="34"/>
      <w:bookmarkEnd w:id="35"/>
    </w:p>
    <w:p w14:paraId="419C8078" w14:textId="11FCC61C" w:rsidR="007F6650" w:rsidRDefault="007F6650" w:rsidP="007F6650">
      <w:r w:rsidRPr="00E25C85">
        <w:t>The Measure operate</w:t>
      </w:r>
      <w:r w:rsidR="00B527E6">
        <w:t>d</w:t>
      </w:r>
      <w:r w:rsidRPr="00E25C85">
        <w:t xml:space="preserve"> within a broader landscape of </w:t>
      </w:r>
      <w:r>
        <w:t xml:space="preserve">Australian </w:t>
      </w:r>
      <w:r w:rsidR="007D411F">
        <w:t>G</w:t>
      </w:r>
      <w:r>
        <w:t>overnment</w:t>
      </w:r>
      <w:r w:rsidRPr="00E25C85">
        <w:t>-funded initiatives</w:t>
      </w:r>
      <w:r w:rsidR="009A631D">
        <w:t xml:space="preserve"> that </w:t>
      </w:r>
      <w:r w:rsidR="00E6784A">
        <w:t xml:space="preserve">collectively aim to improve </w:t>
      </w:r>
      <w:r w:rsidRPr="00E25C85">
        <w:t>palliative care</w:t>
      </w:r>
      <w:r>
        <w:t xml:space="preserve"> access</w:t>
      </w:r>
      <w:r w:rsidR="00E6784A">
        <w:t xml:space="preserve">, </w:t>
      </w:r>
      <w:r w:rsidR="00E6784A">
        <w:t xml:space="preserve">workforce capability, </w:t>
      </w:r>
      <w:r>
        <w:t xml:space="preserve">and </w:t>
      </w:r>
      <w:r w:rsidR="00E6784A">
        <w:t>service integration</w:t>
      </w:r>
      <w:r>
        <w:t xml:space="preserve">. </w:t>
      </w:r>
      <w:r w:rsidR="00B527E6">
        <w:t>T</w:t>
      </w:r>
      <w:r w:rsidR="009A631D">
        <w:t xml:space="preserve">he Measure </w:t>
      </w:r>
      <w:r w:rsidR="00F90A7C">
        <w:t xml:space="preserve">aligned with and complemented these initiatives by specifically targeting the aged care workforce and sector and addressing gaps identified by the Royal Commission. </w:t>
      </w:r>
      <w:r>
        <w:t>Key</w:t>
      </w:r>
      <w:r w:rsidR="00F90A7C">
        <w:t xml:space="preserve"> related</w:t>
      </w:r>
      <w:r>
        <w:t xml:space="preserve"> initiatives include:</w:t>
      </w:r>
    </w:p>
    <w:p w14:paraId="2BF9446D" w14:textId="0711025E" w:rsidR="007F6650" w:rsidRDefault="007F6650" w:rsidP="007F6650">
      <w:pPr>
        <w:pStyle w:val="ListBullet"/>
      </w:pPr>
      <w:r w:rsidRPr="003B74E6">
        <w:rPr>
          <w:b/>
          <w:bCs/>
        </w:rPr>
        <w:t>Comprehensive Palliative Care in Aged Care measure:</w:t>
      </w:r>
      <w:r>
        <w:t xml:space="preserve"> a</w:t>
      </w:r>
      <w:r w:rsidRPr="003B74E6">
        <w:t xml:space="preserve"> $57.2 million investment (2018–2024) to improve access to quality palliative care in residential aged care. </w:t>
      </w:r>
      <w:r>
        <w:t>T</w:t>
      </w:r>
      <w:r w:rsidRPr="003B74E6">
        <w:t xml:space="preserve">his initiative </w:t>
      </w:r>
      <w:r w:rsidR="00E6784A">
        <w:t>was</w:t>
      </w:r>
      <w:r w:rsidRPr="003B74E6">
        <w:t xml:space="preserve"> delivered </w:t>
      </w:r>
      <w:r>
        <w:t xml:space="preserve">via a matched funding arrangement, enabling </w:t>
      </w:r>
      <w:r w:rsidRPr="003B74E6">
        <w:t>state</w:t>
      </w:r>
      <w:r>
        <w:t>s</w:t>
      </w:r>
      <w:r w:rsidRPr="003B74E6">
        <w:t xml:space="preserve"> and territor</w:t>
      </w:r>
      <w:r>
        <w:t>ies to tailor</w:t>
      </w:r>
      <w:r w:rsidRPr="003B74E6">
        <w:t xml:space="preserve"> projects to local needs</w:t>
      </w:r>
      <w:r>
        <w:t xml:space="preserve"> and priorities </w:t>
      </w:r>
      <w:sdt>
        <w:sdtPr>
          <w:id w:val="-2095925897"/>
          <w:citation/>
        </w:sdtPr>
        <w:sdtContent>
          <w:r>
            <w:fldChar w:fldCharType="begin"/>
          </w:r>
          <w:r>
            <w:rPr>
              <w:lang w:val="en-US"/>
            </w:rPr>
            <w:instrText xml:space="preserve">CITATION Dep242 \l 1033 </w:instrText>
          </w:r>
          <w:r>
            <w:fldChar w:fldCharType="separate"/>
          </w:r>
          <w:r w:rsidR="008410E0" w:rsidRPr="008410E0">
            <w:rPr>
              <w:noProof/>
              <w:lang w:val="en-US"/>
            </w:rPr>
            <w:t>[12]</w:t>
          </w:r>
          <w:r>
            <w:fldChar w:fldCharType="end"/>
          </w:r>
        </w:sdtContent>
      </w:sdt>
      <w:r>
        <w:t>.</w:t>
      </w:r>
    </w:p>
    <w:p w14:paraId="14C2D25B" w14:textId="27307113" w:rsidR="007F6650" w:rsidRDefault="007F6650" w:rsidP="007F6650">
      <w:pPr>
        <w:pStyle w:val="ListBullet"/>
      </w:pPr>
      <w:r w:rsidRPr="00B618AC">
        <w:rPr>
          <w:b/>
          <w:bCs/>
        </w:rPr>
        <w:t>Greater Choice for At Home Palliative Care Program:</w:t>
      </w:r>
      <w:r>
        <w:t xml:space="preserve"> d</w:t>
      </w:r>
      <w:r w:rsidRPr="00B618AC">
        <w:t>elivered through Primary Health Networks, this program focuse</w:t>
      </w:r>
      <w:r w:rsidR="004136F9">
        <w:t>d</w:t>
      </w:r>
      <w:r w:rsidRPr="00B618AC">
        <w:t xml:space="preserve"> on improving access to palliative care in the home setting, supporting coordination between primary care and aged care services, and building workforce capacity. While its scope differ</w:t>
      </w:r>
      <w:r w:rsidR="004136F9">
        <w:t>ed</w:t>
      </w:r>
      <w:r w:rsidRPr="00B618AC">
        <w:t xml:space="preserve"> from the Measure, both initiatives share</w:t>
      </w:r>
      <w:r w:rsidR="004136F9">
        <w:t>d</w:t>
      </w:r>
      <w:r w:rsidRPr="00B618AC">
        <w:t xml:space="preserve"> objectives of timely, appropriate care and improved collaboration across sectors</w:t>
      </w:r>
      <w:r>
        <w:t xml:space="preserve"> </w:t>
      </w:r>
      <w:sdt>
        <w:sdtPr>
          <w:id w:val="990842312"/>
          <w:citation/>
        </w:sdtPr>
        <w:sdtContent>
          <w:r>
            <w:fldChar w:fldCharType="begin"/>
          </w:r>
          <w:r>
            <w:rPr>
              <w:lang w:val="en-US"/>
            </w:rPr>
            <w:instrText xml:space="preserve"> CITATION Aus252 \l 1033 </w:instrText>
          </w:r>
          <w:r>
            <w:fldChar w:fldCharType="separate"/>
          </w:r>
          <w:r w:rsidR="008410E0" w:rsidRPr="008410E0">
            <w:rPr>
              <w:noProof/>
              <w:lang w:val="en-US"/>
            </w:rPr>
            <w:t>[13]</w:t>
          </w:r>
          <w:r>
            <w:fldChar w:fldCharType="end"/>
          </w:r>
        </w:sdtContent>
      </w:sdt>
      <w:r w:rsidRPr="003C1F0A">
        <w:t>.</w:t>
      </w:r>
    </w:p>
    <w:p w14:paraId="110CAED9" w14:textId="3601AC8D" w:rsidR="007F6650" w:rsidRDefault="007F6650" w:rsidP="007F6650">
      <w:pPr>
        <w:pStyle w:val="ListBullet"/>
      </w:pPr>
      <w:r>
        <w:rPr>
          <w:b/>
          <w:bCs/>
        </w:rPr>
        <w:t>ELDAC:</w:t>
      </w:r>
      <w:r>
        <w:t xml:space="preserve"> a national program funded by the </w:t>
      </w:r>
      <w:r w:rsidR="00E154B4">
        <w:t xml:space="preserve">Commonwealth </w:t>
      </w:r>
      <w:r>
        <w:t>government since 2017</w:t>
      </w:r>
      <w:r w:rsidR="002E16C7">
        <w:t xml:space="preserve"> </w:t>
      </w:r>
      <w:r>
        <w:t>that provide</w:t>
      </w:r>
      <w:r w:rsidR="004136F9">
        <w:t>d</w:t>
      </w:r>
      <w:r>
        <w:t xml:space="preserve"> </w:t>
      </w:r>
      <w:r w:rsidRPr="004D7B33">
        <w:t>resources, guidance, and workforce development to strengthen palliative care and advance care planning in aged care</w:t>
      </w:r>
      <w:r>
        <w:t xml:space="preserve"> </w:t>
      </w:r>
      <w:sdt>
        <w:sdtPr>
          <w:id w:val="1328933565"/>
          <w:citation/>
        </w:sdtPr>
        <w:sdtContent>
          <w:r>
            <w:fldChar w:fldCharType="begin"/>
          </w:r>
          <w:r>
            <w:instrText xml:space="preserve"> CITATION End25 \l 3081 </w:instrText>
          </w:r>
          <w:r>
            <w:fldChar w:fldCharType="separate"/>
          </w:r>
          <w:r w:rsidR="008410E0" w:rsidRPr="008410E0">
            <w:rPr>
              <w:noProof/>
            </w:rPr>
            <w:t>[14]</w:t>
          </w:r>
          <w:r>
            <w:fldChar w:fldCharType="end"/>
          </w:r>
        </w:sdtContent>
      </w:sdt>
      <w:r>
        <w:t xml:space="preserve"> </w:t>
      </w:r>
      <w:sdt>
        <w:sdtPr>
          <w:id w:val="2080093702"/>
          <w:citation/>
        </w:sdtPr>
        <w:sdtContent>
          <w:r>
            <w:fldChar w:fldCharType="begin"/>
          </w:r>
          <w:r>
            <w:instrText xml:space="preserve"> CITATION Pal253 \l 3081 </w:instrText>
          </w:r>
          <w:r>
            <w:fldChar w:fldCharType="separate"/>
          </w:r>
          <w:r w:rsidR="008410E0" w:rsidRPr="008410E0">
            <w:rPr>
              <w:noProof/>
            </w:rPr>
            <w:t>[15]</w:t>
          </w:r>
          <w:r>
            <w:fldChar w:fldCharType="end"/>
          </w:r>
        </w:sdtContent>
      </w:sdt>
      <w:r>
        <w:t>.</w:t>
      </w:r>
      <w:r w:rsidR="00480380">
        <w:t xml:space="preserve"> ELDAC built on the earlier Decision Assist program, which was delivered by a consortium led by Austin Health from 2012–13 to 2016–17</w:t>
      </w:r>
    </w:p>
    <w:p w14:paraId="2E9C80BE" w14:textId="47295A76" w:rsidR="007F6650" w:rsidRDefault="007F6650" w:rsidP="007F6650">
      <w:pPr>
        <w:pStyle w:val="ListBullet"/>
      </w:pPr>
      <w:r w:rsidRPr="00866123">
        <w:rPr>
          <w:b/>
          <w:bCs/>
        </w:rPr>
        <w:t>NPCPs:</w:t>
      </w:r>
      <w:r>
        <w:t xml:space="preserve"> NPCPs have been funded since the 1990s, with the overarching aim of improving the accessibility and quality of palliative care services for all Australians. The initiative </w:t>
      </w:r>
      <w:r w:rsidR="00EC17F5">
        <w:t>provided</w:t>
      </w:r>
      <w:r>
        <w:t xml:space="preserve"> grant funding to support a range of discrete projects primarily focused on </w:t>
      </w:r>
      <w:r w:rsidRPr="00DB6D68">
        <w:t>research</w:t>
      </w:r>
      <w:r>
        <w:t xml:space="preserve">, education, training, quality improvement, and advance care planning. The most recent NPCP funding round in 2023 invested $53 million (2023–26) in 14 new and existing projects </w:t>
      </w:r>
      <w:sdt>
        <w:sdtPr>
          <w:id w:val="1093670190"/>
          <w:citation/>
        </w:sdtPr>
        <w:sdtContent>
          <w:r>
            <w:fldChar w:fldCharType="begin"/>
          </w:r>
          <w:r w:rsidRPr="00866123">
            <w:rPr>
              <w:lang w:val="en-US"/>
            </w:rPr>
            <w:instrText xml:space="preserve"> CITATION New26 \l 1033 </w:instrText>
          </w:r>
          <w:r>
            <w:fldChar w:fldCharType="separate"/>
          </w:r>
          <w:r w:rsidR="008410E0" w:rsidRPr="008410E0">
            <w:rPr>
              <w:noProof/>
              <w:lang w:val="en-US"/>
            </w:rPr>
            <w:t>[16]</w:t>
          </w:r>
          <w:r>
            <w:fldChar w:fldCharType="end"/>
          </w:r>
        </w:sdtContent>
      </w:sdt>
      <w:r>
        <w:t>. Notably, nine of these initiatives include</w:t>
      </w:r>
      <w:r w:rsidR="00EC17F5">
        <w:t>d</w:t>
      </w:r>
      <w:r>
        <w:t xml:space="preserve"> a focus on supporting and upskilling the aged care and primary care sector in palliative care and advance care planning.</w:t>
      </w:r>
    </w:p>
    <w:p w14:paraId="741CAF9A" w14:textId="038EB857" w:rsidR="003C0547" w:rsidRDefault="00E257DE" w:rsidP="00E257DE">
      <w:pPr>
        <w:pStyle w:val="Heading2"/>
      </w:pPr>
      <w:bookmarkStart w:id="36" w:name="_Toc232685872"/>
      <w:r>
        <w:lastRenderedPageBreak/>
        <w:t>Royal Commission</w:t>
      </w:r>
      <w:bookmarkEnd w:id="36"/>
    </w:p>
    <w:p w14:paraId="4EDC8853" w14:textId="522F7B17" w:rsidR="00E257DE" w:rsidRDefault="00E257DE" w:rsidP="00E257DE">
      <w:pPr>
        <w:rPr>
          <w:lang w:eastAsia="en-AU"/>
        </w:rPr>
      </w:pPr>
      <w:r w:rsidRPr="00940F5D">
        <w:rPr>
          <w:lang w:eastAsia="en-AU"/>
        </w:rPr>
        <w:t xml:space="preserve">The Royal Commission (2018–2021) conducted a comprehensive inquiry into the quality and safety of aged care services in Australia. The Final Report, tabled in March 2021, highlighted </w:t>
      </w:r>
      <w:r w:rsidR="00CD5C1A">
        <w:rPr>
          <w:lang w:eastAsia="en-AU"/>
        </w:rPr>
        <w:t>significant</w:t>
      </w:r>
      <w:r w:rsidRPr="00940F5D">
        <w:rPr>
          <w:lang w:eastAsia="en-AU"/>
        </w:rPr>
        <w:t xml:space="preserve"> shortfalls in palliative care provision, including</w:t>
      </w:r>
      <w:r>
        <w:rPr>
          <w:lang w:eastAsia="en-AU"/>
        </w:rPr>
        <w:t>:</w:t>
      </w:r>
    </w:p>
    <w:p w14:paraId="7D66BD4D" w14:textId="77777777" w:rsidR="00E257DE" w:rsidRDefault="00E257DE" w:rsidP="00E257DE">
      <w:pPr>
        <w:pStyle w:val="ListBullet"/>
        <w:rPr>
          <w:lang w:eastAsia="en-AU"/>
        </w:rPr>
      </w:pPr>
      <w:r>
        <w:rPr>
          <w:lang w:eastAsia="en-AU"/>
        </w:rPr>
        <w:t xml:space="preserve">inadequate </w:t>
      </w:r>
      <w:r>
        <w:t xml:space="preserve">training and skills among the aged care </w:t>
      </w:r>
      <w:proofErr w:type="gramStart"/>
      <w:r>
        <w:t>workforce</w:t>
      </w:r>
      <w:proofErr w:type="gramEnd"/>
    </w:p>
    <w:p w14:paraId="69793B6A" w14:textId="6051927A" w:rsidR="00E257DE" w:rsidRPr="008D3FD4" w:rsidRDefault="00E257DE" w:rsidP="00E257DE">
      <w:pPr>
        <w:pStyle w:val="ListBullet"/>
        <w:rPr>
          <w:lang w:eastAsia="en-AU"/>
        </w:rPr>
      </w:pPr>
      <w:r>
        <w:rPr>
          <w:lang w:eastAsia="en-AU"/>
        </w:rPr>
        <w:t>l</w:t>
      </w:r>
      <w:r w:rsidRPr="008D3FD4">
        <w:rPr>
          <w:lang w:eastAsia="en-AU"/>
        </w:rPr>
        <w:t>imited recognition of palliative care as a core component of aged care</w:t>
      </w:r>
    </w:p>
    <w:p w14:paraId="6AE948DE" w14:textId="0A1F702E" w:rsidR="00E257DE" w:rsidRPr="008D3FD4" w:rsidRDefault="00E257DE" w:rsidP="00E257DE">
      <w:pPr>
        <w:pStyle w:val="ListBullet"/>
        <w:rPr>
          <w:lang w:eastAsia="en-AU"/>
        </w:rPr>
      </w:pPr>
      <w:r>
        <w:rPr>
          <w:lang w:eastAsia="en-AU"/>
        </w:rPr>
        <w:t>l</w:t>
      </w:r>
      <w:r w:rsidRPr="008D3FD4">
        <w:rPr>
          <w:lang w:eastAsia="en-AU"/>
        </w:rPr>
        <w:t>ack of standardised systems to identify and address palliative care needs</w:t>
      </w:r>
    </w:p>
    <w:p w14:paraId="129D540D" w14:textId="77777777" w:rsidR="00E257DE" w:rsidRPr="008D3FD4" w:rsidRDefault="00E257DE" w:rsidP="00E257DE">
      <w:pPr>
        <w:pStyle w:val="ListBullet"/>
        <w:rPr>
          <w:lang w:eastAsia="en-AU"/>
        </w:rPr>
      </w:pPr>
      <w:r>
        <w:rPr>
          <w:lang w:eastAsia="en-AU"/>
        </w:rPr>
        <w:t>i</w:t>
      </w:r>
      <w:r w:rsidRPr="008D3FD4">
        <w:rPr>
          <w:lang w:eastAsia="en-AU"/>
        </w:rPr>
        <w:t>nsufficient use of care plans and advance care planning</w:t>
      </w:r>
    </w:p>
    <w:p w14:paraId="38AE43AD" w14:textId="4B54D8C9" w:rsidR="00E257DE" w:rsidRDefault="00E257DE" w:rsidP="00E257DE">
      <w:pPr>
        <w:pStyle w:val="ListBullet"/>
      </w:pPr>
      <w:r>
        <w:t>insufficient access to, and integration of, specialist palliative care services</w:t>
      </w:r>
    </w:p>
    <w:p w14:paraId="10670C3B" w14:textId="501391A1" w:rsidR="00E257DE" w:rsidRPr="00940F5D" w:rsidRDefault="00E257DE" w:rsidP="00E257DE">
      <w:pPr>
        <w:pStyle w:val="ListBullet"/>
        <w:rPr>
          <w:lang w:eastAsia="en-AU"/>
        </w:rPr>
      </w:pPr>
      <w:r>
        <w:t xml:space="preserve">inadequate reflection and regulation of palliative care delivery within the Aged Care Quality Standards (ACQS) </w:t>
      </w:r>
      <w:sdt>
        <w:sdtPr>
          <w:id w:val="-2032399138"/>
          <w:citation/>
        </w:sdtPr>
        <w:sdtContent>
          <w:r>
            <w:fldChar w:fldCharType="begin"/>
          </w:r>
          <w:r w:rsidRPr="008D3FD4">
            <w:rPr>
              <w:lang w:val="en-US"/>
            </w:rPr>
            <w:instrText xml:space="preserve">CITATION Placeholder1 \l 1033 </w:instrText>
          </w:r>
          <w:r>
            <w:fldChar w:fldCharType="separate"/>
          </w:r>
          <w:r w:rsidR="008410E0" w:rsidRPr="008410E0">
            <w:rPr>
              <w:noProof/>
              <w:lang w:val="en-US"/>
            </w:rPr>
            <w:t>[17]</w:t>
          </w:r>
          <w:r>
            <w:fldChar w:fldCharType="end"/>
          </w:r>
        </w:sdtContent>
      </w:sdt>
      <w:r>
        <w:t>.</w:t>
      </w:r>
    </w:p>
    <w:p w14:paraId="5C4CF8BE" w14:textId="28A88C3A" w:rsidR="00E257DE" w:rsidRDefault="00E257DE" w:rsidP="00E257DE">
      <w:r>
        <w:t>Twelve of the Royal Commission</w:t>
      </w:r>
      <w:r w:rsidR="003863F5">
        <w:t>’</w:t>
      </w:r>
      <w:r>
        <w:t xml:space="preserve">s 148 recommendations specifically addressed palliative care. Notably, Recommendation 80 called for regular </w:t>
      </w:r>
      <w:r w:rsidR="00E87AC4">
        <w:t xml:space="preserve">palliative care training </w:t>
      </w:r>
      <w:r>
        <w:t>for all direct care workers in aged care. This recommendation and other insights from the Royal Commission</w:t>
      </w:r>
      <w:r w:rsidR="00650385">
        <w:t xml:space="preserve"> directly</w:t>
      </w:r>
      <w:r>
        <w:t xml:space="preserve"> informed the development of the Measure.</w:t>
      </w:r>
    </w:p>
    <w:p w14:paraId="78ED8E31" w14:textId="477B0B77" w:rsidR="003C0547" w:rsidRDefault="002C1C5D" w:rsidP="003C0547">
      <w:pPr>
        <w:pStyle w:val="SectionTitle"/>
      </w:pPr>
      <w:bookmarkStart w:id="37" w:name="_Toc232685873"/>
      <w:r>
        <w:t>P</w:t>
      </w:r>
      <w:r w:rsidR="00E2253B">
        <w:t>rogram arrangements</w:t>
      </w:r>
      <w:bookmarkEnd w:id="37"/>
    </w:p>
    <w:p w14:paraId="2E50F67D" w14:textId="75EE8BD2" w:rsidR="00616403" w:rsidRPr="00616403" w:rsidRDefault="00FF7F85" w:rsidP="00616403">
      <w:r w:rsidRPr="00FF7F85">
        <w:rPr>
          <w:lang w:eastAsia="en-AU"/>
        </w:rPr>
        <w:t>The following sections provide an overview of the two activities funded under the Measure that are within the scope of this evaluation: PEPA Aged Care and PACOP. For each initiative, a summary is provided covering program design and delivery, administrative and funding arrangements, governance structures, and key performance indicators</w:t>
      </w:r>
      <w:r w:rsidR="00DB068F">
        <w:t>.</w:t>
      </w:r>
    </w:p>
    <w:p w14:paraId="101B0CA4" w14:textId="635FE128" w:rsidR="00EA71F6" w:rsidRDefault="007A6FE1" w:rsidP="007A6FE1">
      <w:pPr>
        <w:pStyle w:val="Heading2"/>
      </w:pPr>
      <w:bookmarkStart w:id="38" w:name="_Toc232685874"/>
      <w:r>
        <w:t>PEPA Aged Care</w:t>
      </w:r>
      <w:bookmarkEnd w:id="38"/>
    </w:p>
    <w:p w14:paraId="727DBAC9" w14:textId="67CFB006" w:rsidR="001C6ACF" w:rsidRDefault="001C6ACF" w:rsidP="001C6ACF">
      <w:pPr>
        <w:pStyle w:val="Heading3"/>
      </w:pPr>
      <w:bookmarkStart w:id="39" w:name="_Toc232685875"/>
      <w:r>
        <w:t>Design and delivery model</w:t>
      </w:r>
      <w:bookmarkEnd w:id="39"/>
    </w:p>
    <w:p w14:paraId="51DEE631" w14:textId="22FAD57A" w:rsidR="009B179B" w:rsidRDefault="000E248C" w:rsidP="000E248C">
      <w:r w:rsidRPr="000E248C">
        <w:t xml:space="preserve">PEPA Aged Care </w:t>
      </w:r>
      <w:r w:rsidR="0080663C">
        <w:t>was</w:t>
      </w:r>
      <w:r w:rsidRPr="000E248C">
        <w:t xml:space="preserve"> an adaptation of the </w:t>
      </w:r>
      <w:r>
        <w:t xml:space="preserve">existing </w:t>
      </w:r>
      <w:r w:rsidRPr="000E248C">
        <w:t xml:space="preserve">PEPA program, </w:t>
      </w:r>
      <w:r>
        <w:t xml:space="preserve">which has been delivered since 2003 </w:t>
      </w:r>
      <w:r w:rsidR="00FC5785">
        <w:t>under the Palliative Care Education and Training Collaborative</w:t>
      </w:r>
      <w:r w:rsidR="00C666C6">
        <w:t>,</w:t>
      </w:r>
      <w:r w:rsidR="00FC5785">
        <w:t xml:space="preserve"> </w:t>
      </w:r>
      <w:r w:rsidR="00C666C6">
        <w:t xml:space="preserve">a </w:t>
      </w:r>
      <w:r w:rsidR="00C32B83">
        <w:t xml:space="preserve">government-funded </w:t>
      </w:r>
      <w:r w:rsidR="00C666C6">
        <w:t xml:space="preserve">NPCP </w:t>
      </w:r>
      <w:r w:rsidR="00FC5785">
        <w:t>led by QUT.</w:t>
      </w:r>
    </w:p>
    <w:p w14:paraId="19190C6A" w14:textId="5F248BCA" w:rsidR="00863DBC" w:rsidRDefault="000E248C" w:rsidP="000E248C">
      <w:r w:rsidRPr="000E248C">
        <w:t xml:space="preserve">The </w:t>
      </w:r>
      <w:r w:rsidR="009B179B">
        <w:t xml:space="preserve">PEPA Aged Care </w:t>
      </w:r>
      <w:r w:rsidRPr="000E248C">
        <w:t>model centre</w:t>
      </w:r>
      <w:r w:rsidR="0080663C">
        <w:t>d</w:t>
      </w:r>
      <w:r w:rsidRPr="000E248C">
        <w:t xml:space="preserve"> exclusively on </w:t>
      </w:r>
      <w:r w:rsidR="003863F5">
        <w:t>‘</w:t>
      </w:r>
      <w:r w:rsidRPr="000E248C">
        <w:t>reverse</w:t>
      </w:r>
      <w:r w:rsidR="003863F5">
        <w:t>’</w:t>
      </w:r>
      <w:r w:rsidRPr="000E248C">
        <w:t xml:space="preserve"> placements, whereby dedicated PEPA Aged Care nurse educators travel</w:t>
      </w:r>
      <w:r w:rsidR="0080663C">
        <w:t>led</w:t>
      </w:r>
      <w:r w:rsidRPr="000E248C">
        <w:t xml:space="preserve"> to participating sites to deliver tailored palliative care training. </w:t>
      </w:r>
      <w:r w:rsidR="00863DBC">
        <w:t xml:space="preserve">Participating sites </w:t>
      </w:r>
      <w:r w:rsidR="0080663C">
        <w:t>were</w:t>
      </w:r>
      <w:r w:rsidR="00863DBC">
        <w:t xml:space="preserve"> offered a small funding contribution of up to $4,000 to support the costs associated with hosting the placement</w:t>
      </w:r>
      <w:r w:rsidR="00723A8B">
        <w:t>, including staff</w:t>
      </w:r>
      <w:r w:rsidR="00863DBC">
        <w:t xml:space="preserve"> backfill</w:t>
      </w:r>
      <w:r w:rsidR="00723A8B">
        <w:t>.</w:t>
      </w:r>
      <w:r w:rsidR="005C5B2A">
        <w:t xml:space="preserve"> These key adaptations to the original PEPA model </w:t>
      </w:r>
      <w:r w:rsidR="00C32B83">
        <w:t>aim</w:t>
      </w:r>
      <w:r w:rsidR="0080663C">
        <w:t>ed</w:t>
      </w:r>
      <w:r w:rsidR="005C5B2A">
        <w:t xml:space="preserve"> </w:t>
      </w:r>
      <w:r w:rsidR="005C5B2A" w:rsidRPr="000E248C">
        <w:t xml:space="preserve">to address the unique </w:t>
      </w:r>
      <w:r w:rsidR="00805689">
        <w:t xml:space="preserve">workforce and operational </w:t>
      </w:r>
      <w:r w:rsidR="005C5B2A">
        <w:t>challenges</w:t>
      </w:r>
      <w:r w:rsidR="005C5B2A" w:rsidRPr="000E248C">
        <w:t xml:space="preserve"> of the aged care sector while retaining the core </w:t>
      </w:r>
      <w:r w:rsidR="005C5B2A">
        <w:t xml:space="preserve">PEPA </w:t>
      </w:r>
      <w:r w:rsidR="005C5B2A" w:rsidRPr="000E248C">
        <w:t>principles</w:t>
      </w:r>
      <w:r w:rsidR="005C5B2A">
        <w:t xml:space="preserve"> </w:t>
      </w:r>
      <w:r w:rsidR="005C5B2A" w:rsidRPr="000E248C">
        <w:t>of experiential learning.</w:t>
      </w:r>
    </w:p>
    <w:p w14:paraId="70CE7F53" w14:textId="1A97C468" w:rsidR="000B2850" w:rsidRDefault="00121A52" w:rsidP="000E248C">
      <w:r>
        <w:t>Reverse PEPA Aged Care p</w:t>
      </w:r>
      <w:r w:rsidR="000E248C" w:rsidRPr="000E248C">
        <w:t>lacements typically involve</w:t>
      </w:r>
      <w:r w:rsidR="0080663C">
        <w:t>d</w:t>
      </w:r>
      <w:r w:rsidR="000E248C" w:rsidRPr="000E248C">
        <w:t xml:space="preserve"> small groups of at least eight staff and </w:t>
      </w:r>
      <w:r w:rsidR="00E653A3">
        <w:t xml:space="preserve">were </w:t>
      </w:r>
      <w:r w:rsidR="000E248C" w:rsidRPr="000E248C">
        <w:t xml:space="preserve">run over two to four days, either in a single block or split sessions to accommodate workforce availability. Training content </w:t>
      </w:r>
      <w:r w:rsidR="0080663C">
        <w:t>was</w:t>
      </w:r>
      <w:r w:rsidR="000E248C" w:rsidRPr="000E248C">
        <w:t xml:space="preserve"> customised </w:t>
      </w:r>
      <w:r w:rsidR="001F5563">
        <w:t>based on organisational and learning needs assessments</w:t>
      </w:r>
      <w:r w:rsidR="000E248C" w:rsidRPr="000E248C">
        <w:t xml:space="preserve"> and m</w:t>
      </w:r>
      <w:r w:rsidR="00AA4A0E">
        <w:t>ight</w:t>
      </w:r>
      <w:r w:rsidR="000E248C" w:rsidRPr="000E248C">
        <w:t xml:space="preserve"> include clinical interventions, medication management, culturally responsive care, policy reviews, and communication strategies.</w:t>
      </w:r>
    </w:p>
    <w:p w14:paraId="165561D6" w14:textId="7B0217DA" w:rsidR="001C6ACF" w:rsidRDefault="000E248C" w:rsidP="000E248C">
      <w:r w:rsidRPr="000E248C">
        <w:t xml:space="preserve">Post-placement support </w:t>
      </w:r>
      <w:r w:rsidR="001F5563">
        <w:t>was</w:t>
      </w:r>
      <w:r w:rsidRPr="000E248C">
        <w:t xml:space="preserve"> provided to embed learning into practice, including mentoring arrangements and access to resources via an online learning management system and </w:t>
      </w:r>
      <w:r w:rsidR="00B93BA7">
        <w:t xml:space="preserve">a </w:t>
      </w:r>
      <w:r w:rsidR="001F5563">
        <w:t xml:space="preserve">recently established </w:t>
      </w:r>
      <w:r w:rsidRPr="000E248C">
        <w:t>community of practice.</w:t>
      </w:r>
    </w:p>
    <w:p w14:paraId="57978E8A" w14:textId="799FB3AC" w:rsidR="00B93BA7" w:rsidRDefault="00725597" w:rsidP="000E248C">
      <w:r>
        <w:t xml:space="preserve">All organisations providing aged care services </w:t>
      </w:r>
      <w:r w:rsidR="001F5563">
        <w:t>were</w:t>
      </w:r>
      <w:r>
        <w:t xml:space="preserve"> eligible for PEPA Aged Care</w:t>
      </w:r>
      <w:r w:rsidR="000B2850" w:rsidRPr="000B2850">
        <w:t xml:space="preserve">, including residential aged care homes, </w:t>
      </w:r>
      <w:r>
        <w:t xml:space="preserve">home care services, </w:t>
      </w:r>
      <w:r w:rsidR="000B2850" w:rsidRPr="000B2850">
        <w:t xml:space="preserve">community services, and organisations </w:t>
      </w:r>
      <w:r>
        <w:t>providing care for</w:t>
      </w:r>
      <w:r w:rsidR="000B2850" w:rsidRPr="000B2850">
        <w:t xml:space="preserve"> Aboriginal and Torres Strait Islander communities. </w:t>
      </w:r>
      <w:r w:rsidR="00850126">
        <w:t>P</w:t>
      </w:r>
      <w:r w:rsidR="00850126" w:rsidRPr="000B2850">
        <w:t xml:space="preserve">lacements </w:t>
      </w:r>
      <w:r w:rsidR="001F5563">
        <w:t>were</w:t>
      </w:r>
      <w:r w:rsidR="00850126" w:rsidRPr="000B2850">
        <w:t xml:space="preserve"> </w:t>
      </w:r>
      <w:r w:rsidR="00850126">
        <w:t xml:space="preserve">generally </w:t>
      </w:r>
      <w:r w:rsidR="00850126" w:rsidRPr="000B2850">
        <w:t>prioritised for home care services and sites in rural and remote areas, reflecting the significant need for education and support in these contexts.</w:t>
      </w:r>
    </w:p>
    <w:p w14:paraId="5FDE8235" w14:textId="37A45837" w:rsidR="000B2850" w:rsidRDefault="006C249D" w:rsidP="000E248C">
      <w:r>
        <w:lastRenderedPageBreak/>
        <w:t>All p</w:t>
      </w:r>
      <w:r w:rsidR="000B2850" w:rsidRPr="000B2850">
        <w:t>rofessional groups</w:t>
      </w:r>
      <w:r>
        <w:t xml:space="preserve"> providing palliative care in aged care settings were eligible to attend, including</w:t>
      </w:r>
      <w:r w:rsidR="000B2850" w:rsidRPr="000B2850">
        <w:t xml:space="preserve"> personal care workers, nurses, allied health professionals, GPs, and Aboriginal health practitioners.</w:t>
      </w:r>
    </w:p>
    <w:p w14:paraId="06F52849" w14:textId="5EE8260B" w:rsidR="0034464C" w:rsidRDefault="0034464C" w:rsidP="0034464C">
      <w:pPr>
        <w:pStyle w:val="Heading3"/>
      </w:pPr>
      <w:bookmarkStart w:id="40" w:name="_Toc232685876"/>
      <w:r>
        <w:t>Administration, funding, and governance</w:t>
      </w:r>
      <w:bookmarkEnd w:id="40"/>
    </w:p>
    <w:p w14:paraId="1AE4D579" w14:textId="18097AFD" w:rsidR="00E11173" w:rsidRDefault="00114BDB" w:rsidP="000E248C">
      <w:r w:rsidRPr="00114BDB">
        <w:t>QUT</w:t>
      </w:r>
      <w:r w:rsidR="00D83C8B">
        <w:t xml:space="preserve"> was funded</w:t>
      </w:r>
      <w:r w:rsidRPr="00114BDB">
        <w:t xml:space="preserve"> to deliver PEPA Aged Care from November 2021, with successive extensions funding the program through to June 2026. Total grant funding of $9.632 million </w:t>
      </w:r>
      <w:r w:rsidR="00AE4490">
        <w:t>was</w:t>
      </w:r>
      <w:r w:rsidRPr="00114BDB">
        <w:t xml:space="preserve"> allocated across two periods:</w:t>
      </w:r>
    </w:p>
    <w:p w14:paraId="5C4A5F2A" w14:textId="0A910E0B" w:rsidR="00E11173" w:rsidRDefault="00114BDB" w:rsidP="00E11173">
      <w:pPr>
        <w:pStyle w:val="ListBullet"/>
      </w:pPr>
      <w:r w:rsidRPr="00114BDB">
        <w:t>$5.66 million for 2021–22 to 2023–24</w:t>
      </w:r>
    </w:p>
    <w:p w14:paraId="44069F85" w14:textId="056A59EA" w:rsidR="00E11173" w:rsidRDefault="00114BDB" w:rsidP="00E11173">
      <w:pPr>
        <w:pStyle w:val="ListBullet"/>
      </w:pPr>
      <w:r w:rsidRPr="00114BDB">
        <w:t>$3.97 million for 2024–25 to 2025–26</w:t>
      </w:r>
    </w:p>
    <w:p w14:paraId="03D73CFF" w14:textId="1D973A47" w:rsidR="0034464C" w:rsidRDefault="00E11173" w:rsidP="00E11173">
      <w:r>
        <w:t xml:space="preserve">Under contractual arrangements, </w:t>
      </w:r>
      <w:r w:rsidR="00114BDB" w:rsidRPr="00114BDB">
        <w:t xml:space="preserve">QUT </w:t>
      </w:r>
      <w:r w:rsidR="00AE4490">
        <w:t>was</w:t>
      </w:r>
      <w:r w:rsidR="00114BDB" w:rsidRPr="00114BDB">
        <w:t xml:space="preserve"> required to submit </w:t>
      </w:r>
      <w:r w:rsidR="00AE4490">
        <w:t>A</w:t>
      </w:r>
      <w:r w:rsidR="00114BDB" w:rsidRPr="00114BDB">
        <w:t xml:space="preserve">ctivity </w:t>
      </w:r>
      <w:r w:rsidR="00AE4490">
        <w:t>W</w:t>
      </w:r>
      <w:r w:rsidR="00114BDB" w:rsidRPr="00114BDB">
        <w:t xml:space="preserve">ork </w:t>
      </w:r>
      <w:r w:rsidR="00AE4490">
        <w:t>P</w:t>
      </w:r>
      <w:r w:rsidR="00114BDB" w:rsidRPr="00114BDB">
        <w:t>lans, six-monthly performance reports, and annual financial acquittals.</w:t>
      </w:r>
    </w:p>
    <w:p w14:paraId="5633EB35" w14:textId="4E04EA59" w:rsidR="00F90240" w:rsidRDefault="00B3110F" w:rsidP="00E11173">
      <w:r w:rsidRPr="00B3110F">
        <w:t xml:space="preserve">Program delivery </w:t>
      </w:r>
      <w:r w:rsidR="00AE4490">
        <w:t>was</w:t>
      </w:r>
      <w:r w:rsidRPr="00B3110F">
        <w:t xml:space="preserve"> supported by a staffing model centred on nurse educators located across Australia to </w:t>
      </w:r>
      <w:r w:rsidR="00757D49">
        <w:t>facilitate</w:t>
      </w:r>
      <w:r w:rsidRPr="00B3110F">
        <w:t xml:space="preserve"> equitable access</w:t>
      </w:r>
      <w:r w:rsidR="00757D49">
        <w:t xml:space="preserve"> to reverse PEPA Aged Care placements</w:t>
      </w:r>
      <w:r w:rsidRPr="00B3110F">
        <w:t xml:space="preserve">. </w:t>
      </w:r>
      <w:r w:rsidR="00757D49">
        <w:t>Nurse educator s</w:t>
      </w:r>
      <w:r w:rsidRPr="00B3110F">
        <w:t xml:space="preserve">taffing levels </w:t>
      </w:r>
      <w:r w:rsidR="0071776D">
        <w:t xml:space="preserve">increased from approximately </w:t>
      </w:r>
      <w:r w:rsidRPr="00B3110F">
        <w:t xml:space="preserve">four </w:t>
      </w:r>
      <w:r w:rsidR="00E648D8">
        <w:t>full-time equivalent (</w:t>
      </w:r>
      <w:r w:rsidRPr="00B3110F">
        <w:t>FTE</w:t>
      </w:r>
      <w:r w:rsidR="00E648D8">
        <w:t xml:space="preserve">) </w:t>
      </w:r>
      <w:r w:rsidR="0071776D">
        <w:t>positions</w:t>
      </w:r>
      <w:r w:rsidRPr="00B3110F">
        <w:t xml:space="preserve"> to </w:t>
      </w:r>
      <w:r w:rsidR="005102C0">
        <w:t>eight</w:t>
      </w:r>
      <w:r w:rsidRPr="00B3110F">
        <w:t xml:space="preserve"> FTE by mid-202</w:t>
      </w:r>
      <w:r w:rsidR="005102C0">
        <w:t>5</w:t>
      </w:r>
      <w:r w:rsidRPr="00B3110F">
        <w:t xml:space="preserve">. Additional </w:t>
      </w:r>
      <w:r w:rsidR="00012699">
        <w:t xml:space="preserve">program support </w:t>
      </w:r>
      <w:r w:rsidRPr="00B3110F">
        <w:t>roles include</w:t>
      </w:r>
      <w:r w:rsidR="00047930">
        <w:t>d</w:t>
      </w:r>
      <w:r w:rsidRPr="00B3110F">
        <w:t xml:space="preserve"> a senior research assistant and an administration officer</w:t>
      </w:r>
      <w:r w:rsidR="00012699">
        <w:t>. I</w:t>
      </w:r>
      <w:r w:rsidR="00F90240">
        <w:t xml:space="preserve">n-kind </w:t>
      </w:r>
      <w:r w:rsidRPr="00B3110F">
        <w:t xml:space="preserve">support </w:t>
      </w:r>
      <w:r w:rsidR="00047930">
        <w:t>was</w:t>
      </w:r>
      <w:r w:rsidR="00012699">
        <w:t xml:space="preserve"> also </w:t>
      </w:r>
      <w:r w:rsidR="008D6462">
        <w:t>sourced as required</w:t>
      </w:r>
      <w:r w:rsidRPr="00B3110F">
        <w:t xml:space="preserve"> from related </w:t>
      </w:r>
      <w:r w:rsidR="00F90240">
        <w:t xml:space="preserve">initiatives delivered by </w:t>
      </w:r>
      <w:r w:rsidRPr="00B3110F">
        <w:t>QUT</w:t>
      </w:r>
      <w:r w:rsidR="00F90240">
        <w:t xml:space="preserve">, including </w:t>
      </w:r>
      <w:r w:rsidRPr="00B3110F">
        <w:t>PEPA and</w:t>
      </w:r>
      <w:r w:rsidR="00F90240">
        <w:t xml:space="preserve"> Indigenous PEPA (</w:t>
      </w:r>
      <w:r w:rsidRPr="00B3110F">
        <w:t>IPEPA</w:t>
      </w:r>
      <w:r w:rsidR="00F90240">
        <w:t>)</w:t>
      </w:r>
      <w:r w:rsidRPr="00B3110F">
        <w:t>.</w:t>
      </w:r>
    </w:p>
    <w:p w14:paraId="30BEDFB2" w14:textId="48051033" w:rsidR="00395CB8" w:rsidRDefault="00F90240" w:rsidP="00E11173">
      <w:r>
        <w:t>Program g</w:t>
      </w:r>
      <w:r w:rsidR="00B3110F" w:rsidRPr="00B3110F">
        <w:t xml:space="preserve">overnance </w:t>
      </w:r>
      <w:r w:rsidR="00047930">
        <w:t>was</w:t>
      </w:r>
      <w:r w:rsidR="00B3110F" w:rsidRPr="00B3110F">
        <w:t xml:space="preserve"> provided through the</w:t>
      </w:r>
      <w:r w:rsidR="00D5554B">
        <w:t xml:space="preserve"> existing</w:t>
      </w:r>
      <w:r w:rsidR="00B3110F" w:rsidRPr="00B3110F">
        <w:t xml:space="preserve"> </w:t>
      </w:r>
      <w:r w:rsidR="00805D79">
        <w:t>Palliative Care Education and Training Collaborative</w:t>
      </w:r>
      <w:r w:rsidR="00B3110F" w:rsidRPr="00B3110F">
        <w:t xml:space="preserve"> National Advisory Group</w:t>
      </w:r>
      <w:r w:rsidR="00674825">
        <w:t xml:space="preserve">. </w:t>
      </w:r>
      <w:r w:rsidR="00567229">
        <w:t xml:space="preserve">Originally </w:t>
      </w:r>
      <w:r w:rsidR="00993452">
        <w:t>established to provide governance oversight</w:t>
      </w:r>
      <w:r w:rsidR="000F6543">
        <w:t xml:space="preserve"> for PEPA, IPEPA, and other initiatives delivered</w:t>
      </w:r>
      <w:r w:rsidR="002F334E">
        <w:t xml:space="preserve"> through the Palliative Care Education and Training Collaborative</w:t>
      </w:r>
      <w:r w:rsidR="00567229">
        <w:t>, the N</w:t>
      </w:r>
      <w:r w:rsidR="00EB2B00">
        <w:t>ational Advisory Group</w:t>
      </w:r>
      <w:r w:rsidR="003863F5">
        <w:t>’</w:t>
      </w:r>
      <w:r w:rsidR="00567229">
        <w:t xml:space="preserve">s </w:t>
      </w:r>
      <w:r w:rsidR="002F334E">
        <w:t xml:space="preserve">remit was </w:t>
      </w:r>
      <w:r w:rsidR="00B3110F" w:rsidRPr="00B3110F">
        <w:t xml:space="preserve">expanded to include PEPA Aged Care. This group </w:t>
      </w:r>
      <w:r w:rsidR="00047930">
        <w:t>met</w:t>
      </w:r>
      <w:r w:rsidR="00B3110F" w:rsidRPr="00B3110F">
        <w:t xml:space="preserve"> annually and </w:t>
      </w:r>
      <w:r w:rsidR="00EE64E2">
        <w:t>included</w:t>
      </w:r>
      <w:r w:rsidR="00B3110F" w:rsidRPr="00B3110F">
        <w:t xml:space="preserve"> representatives from key palliative care, health professional, and education organisations, ensuring sector-wide input and alignment.</w:t>
      </w:r>
      <w:r w:rsidR="00F04EC8">
        <w:t xml:space="preserve"> </w:t>
      </w:r>
      <w:r w:rsidR="002F334E">
        <w:t>In addition, t</w:t>
      </w:r>
      <w:r w:rsidR="005104F1">
        <w:t xml:space="preserve">he existing </w:t>
      </w:r>
      <w:r w:rsidR="004001F8">
        <w:t xml:space="preserve">Aboriginal and Torres Strait Islander Advisory Group </w:t>
      </w:r>
      <w:r w:rsidR="00960AA1">
        <w:t xml:space="preserve">provided advice and </w:t>
      </w:r>
      <w:r w:rsidR="00D778C3">
        <w:t>direction</w:t>
      </w:r>
      <w:r w:rsidR="007A074C">
        <w:t xml:space="preserve"> </w:t>
      </w:r>
      <w:r w:rsidR="00EE64E2">
        <w:t>on</w:t>
      </w:r>
      <w:r w:rsidR="007A074C">
        <w:t xml:space="preserve"> culturally safe care for First Nations communities</w:t>
      </w:r>
      <w:r w:rsidR="004001F8">
        <w:t xml:space="preserve"> </w:t>
      </w:r>
      <w:r w:rsidR="00D778C3">
        <w:t>as required.</w:t>
      </w:r>
    </w:p>
    <w:p w14:paraId="773DC88F" w14:textId="2F7EA37E" w:rsidR="00CA3057" w:rsidRPr="00CA3057" w:rsidRDefault="00CA3057" w:rsidP="00CA3057">
      <w:r w:rsidRPr="00CA3057">
        <w:t>Program evaluation was embedded within the original design of PEPA Aged Care</w:t>
      </w:r>
      <w:r w:rsidR="009234B8">
        <w:t xml:space="preserve"> through</w:t>
      </w:r>
      <w:r w:rsidRPr="00CA3057">
        <w:t xml:space="preserve"> an evaluation framework underpinned by a detailed program logic. This framework aimed to guide data collection</w:t>
      </w:r>
      <w:r w:rsidR="00FE5BD9">
        <w:t xml:space="preserve"> </w:t>
      </w:r>
      <w:r w:rsidRPr="00CA3057">
        <w:t>and assess program reach, effectiveness, and sustainability</w:t>
      </w:r>
      <w:r w:rsidR="00FE5BD9">
        <w:t>. It</w:t>
      </w:r>
      <w:r w:rsidR="00592E72">
        <w:t xml:space="preserve"> included</w:t>
      </w:r>
      <w:r w:rsidRPr="00CA3057">
        <w:t xml:space="preserve"> plans to</w:t>
      </w:r>
      <w:r w:rsidR="008A524E">
        <w:t xml:space="preserve"> assess the quality of care provided to aged care recipients </w:t>
      </w:r>
      <w:r w:rsidR="00AB7660">
        <w:t>by collecting</w:t>
      </w:r>
      <w:r w:rsidR="008620CF">
        <w:t xml:space="preserve"> </w:t>
      </w:r>
      <w:r w:rsidR="005167EF">
        <w:t>after-death</w:t>
      </w:r>
      <w:r w:rsidR="008620CF">
        <w:t xml:space="preserve"> audits from participating sites</w:t>
      </w:r>
      <w:r w:rsidRPr="00CA3057">
        <w:t>.</w:t>
      </w:r>
    </w:p>
    <w:p w14:paraId="3425AC17" w14:textId="1E416AAB" w:rsidR="002E168E" w:rsidRDefault="00D5554B" w:rsidP="008D6462">
      <w:pPr>
        <w:pStyle w:val="Heading3"/>
      </w:pPr>
      <w:bookmarkStart w:id="41" w:name="_Toc232685877"/>
      <w:r>
        <w:t>Key performance indicators</w:t>
      </w:r>
      <w:bookmarkEnd w:id="41"/>
    </w:p>
    <w:p w14:paraId="228C895F" w14:textId="475D2ADE" w:rsidR="00DF48D8" w:rsidRDefault="001D22B9" w:rsidP="00DF48D8">
      <w:r>
        <w:t xml:space="preserve">Performance monitoring </w:t>
      </w:r>
      <w:r w:rsidR="00047930">
        <w:t>was</w:t>
      </w:r>
      <w:r>
        <w:t xml:space="preserve"> embedded in PEPA Aged Care through contractual reporting </w:t>
      </w:r>
      <w:r w:rsidR="00AE5381">
        <w:t xml:space="preserve">requirements. </w:t>
      </w:r>
      <w:r w:rsidR="00DF48D8">
        <w:t xml:space="preserve">As shown in </w:t>
      </w:r>
      <w:r w:rsidR="007E2FAD">
        <w:fldChar w:fldCharType="begin"/>
      </w:r>
      <w:r w:rsidR="007E2FAD">
        <w:instrText xml:space="preserve"> REF _Ref196228609 \h </w:instrText>
      </w:r>
      <w:r w:rsidR="007E2FAD">
        <w:fldChar w:fldCharType="separate"/>
      </w:r>
      <w:r w:rsidR="00167BA0">
        <w:t xml:space="preserve">Table </w:t>
      </w:r>
      <w:r w:rsidR="00167BA0">
        <w:rPr>
          <w:noProof/>
        </w:rPr>
        <w:t>3</w:t>
      </w:r>
      <w:r w:rsidR="00167BA0">
        <w:t>.</w:t>
      </w:r>
      <w:r w:rsidR="00167BA0">
        <w:rPr>
          <w:noProof/>
        </w:rPr>
        <w:t>1</w:t>
      </w:r>
      <w:r w:rsidR="007E2FAD">
        <w:fldChar w:fldCharType="end"/>
      </w:r>
      <w:r w:rsidR="00DF48D8">
        <w:t>, QUT established f</w:t>
      </w:r>
      <w:r w:rsidR="00AE5381">
        <w:t xml:space="preserve">ive key performance indicators </w:t>
      </w:r>
      <w:r w:rsidR="00AE50EF">
        <w:t xml:space="preserve">and targets </w:t>
      </w:r>
      <w:r w:rsidR="00AE5381">
        <w:t>for PEPA Aged Care</w:t>
      </w:r>
      <w:r w:rsidR="00DF48D8">
        <w:t xml:space="preserve"> over the initial grant funding period (2021–22 to 2023–24). Targets were adjusted in 2024 and 2025 to reflect funding extensions to 2025–26.</w:t>
      </w:r>
    </w:p>
    <w:p w14:paraId="3BFED254" w14:textId="3010EF4C" w:rsidR="007E2FAD" w:rsidRDefault="007E2FAD" w:rsidP="007E2FAD">
      <w:pPr>
        <w:pStyle w:val="Caption"/>
        <w:keepLines w:val="0"/>
      </w:pPr>
      <w:bookmarkStart w:id="42" w:name="_Ref196228609"/>
      <w:r>
        <w:t xml:space="preserve">Table </w:t>
      </w:r>
      <w:fldSimple w:instr=" STYLEREF 1 \s ">
        <w:r w:rsidR="0091457A">
          <w:rPr>
            <w:noProof/>
          </w:rPr>
          <w:t>3</w:t>
        </w:r>
      </w:fldSimple>
      <w:r w:rsidR="0091457A">
        <w:t>.</w:t>
      </w:r>
      <w:fldSimple w:instr=" SEQ Table \* ARABIC \s 1 ">
        <w:r w:rsidR="0091457A">
          <w:rPr>
            <w:noProof/>
          </w:rPr>
          <w:t>1</w:t>
        </w:r>
      </w:fldSimple>
      <w:bookmarkEnd w:id="42"/>
      <w:r>
        <w:t>: PEPA Aged Care performance indicators and targets</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targets"/>
        <w:tblDescription w:val="Table outlines PEPA Aged Care activity across two funding periods."/>
      </w:tblPr>
      <w:tblGrid>
        <w:gridCol w:w="3757"/>
        <w:gridCol w:w="1285"/>
        <w:gridCol w:w="1285"/>
        <w:gridCol w:w="963"/>
      </w:tblGrid>
      <w:tr w:rsidR="001C3F1B" w14:paraId="463AB299" w14:textId="77777777" w:rsidTr="0015342E">
        <w:trPr>
          <w:cnfStyle w:val="100000000000" w:firstRow="1" w:lastRow="0" w:firstColumn="0" w:lastColumn="0" w:oddVBand="0" w:evenVBand="0" w:oddHBand="0" w:evenHBand="0" w:firstRowFirstColumn="0" w:firstRowLastColumn="0" w:lastRowFirstColumn="0" w:lastRowLastColumn="0"/>
          <w:tblHeader/>
        </w:trPr>
        <w:tc>
          <w:tcPr>
            <w:tcW w:w="0" w:type="auto"/>
            <w:vAlign w:val="bottom"/>
          </w:tcPr>
          <w:p w14:paraId="39D7AE84" w14:textId="7748CB22" w:rsidR="001C3F1B" w:rsidRDefault="0015342E">
            <w:pPr>
              <w:keepNext/>
              <w:spacing w:before="0" w:after="0"/>
            </w:pPr>
            <w:r>
              <w:t>Performance indicators</w:t>
            </w:r>
          </w:p>
        </w:tc>
        <w:tc>
          <w:tcPr>
            <w:tcW w:w="0" w:type="auto"/>
          </w:tcPr>
          <w:p w14:paraId="61EDE1C8" w14:textId="77777777" w:rsidR="001C3F1B" w:rsidRDefault="001C3F1B">
            <w:pPr>
              <w:keepNext/>
              <w:spacing w:before="0" w:after="0"/>
              <w:jc w:val="center"/>
              <w:rPr>
                <w:caps w:val="0"/>
              </w:rPr>
            </w:pPr>
            <w:r>
              <w:t>Targets</w:t>
            </w:r>
          </w:p>
          <w:p w14:paraId="7629A230" w14:textId="111BFA88" w:rsidR="0015342E" w:rsidRDefault="0015342E">
            <w:pPr>
              <w:keepNext/>
              <w:spacing w:before="0" w:after="0"/>
              <w:jc w:val="center"/>
              <w:rPr>
                <w:caps w:val="0"/>
              </w:rPr>
            </w:pPr>
            <w:r>
              <w:t>(2021–22 to 2023–24)</w:t>
            </w:r>
          </w:p>
        </w:tc>
        <w:tc>
          <w:tcPr>
            <w:tcW w:w="0" w:type="auto"/>
          </w:tcPr>
          <w:p w14:paraId="2C12D019" w14:textId="77777777" w:rsidR="001C3F1B" w:rsidRDefault="001C3F1B">
            <w:pPr>
              <w:keepNext/>
              <w:spacing w:before="0" w:after="0"/>
              <w:jc w:val="center"/>
              <w:rPr>
                <w:caps w:val="0"/>
              </w:rPr>
            </w:pPr>
            <w:r>
              <w:t>Targets</w:t>
            </w:r>
          </w:p>
          <w:p w14:paraId="363FEFB1" w14:textId="203C89B0" w:rsidR="0015342E" w:rsidRDefault="0015342E">
            <w:pPr>
              <w:keepNext/>
              <w:spacing w:before="0" w:after="0"/>
              <w:jc w:val="center"/>
              <w:rPr>
                <w:caps w:val="0"/>
              </w:rPr>
            </w:pPr>
            <w:r>
              <w:t>(2024–25 to 2025–26)</w:t>
            </w:r>
          </w:p>
        </w:tc>
        <w:tc>
          <w:tcPr>
            <w:tcW w:w="0" w:type="auto"/>
          </w:tcPr>
          <w:p w14:paraId="4BD5D5FE" w14:textId="77777777" w:rsidR="0015342E" w:rsidRDefault="001C3F1B">
            <w:pPr>
              <w:keepNext/>
              <w:spacing w:before="0" w:after="0"/>
              <w:jc w:val="center"/>
              <w:rPr>
                <w:caps w:val="0"/>
              </w:rPr>
            </w:pPr>
            <w:r>
              <w:t>Targets</w:t>
            </w:r>
          </w:p>
          <w:p w14:paraId="224EDB2B" w14:textId="40463BF7" w:rsidR="001C3F1B" w:rsidRDefault="0015342E">
            <w:pPr>
              <w:keepNext/>
              <w:spacing w:before="0" w:after="0"/>
              <w:jc w:val="center"/>
            </w:pPr>
            <w:r>
              <w:t>(Total)</w:t>
            </w:r>
          </w:p>
        </w:tc>
      </w:tr>
      <w:tr w:rsidR="007E2FAD" w14:paraId="70870A3E" w14:textId="77777777" w:rsidTr="0015342E">
        <w:trPr>
          <w:cnfStyle w:val="000000100000" w:firstRow="0" w:lastRow="0" w:firstColumn="0" w:lastColumn="0" w:oddVBand="0" w:evenVBand="0" w:oddHBand="1" w:evenHBand="0" w:firstRowFirstColumn="0" w:firstRowLastColumn="0" w:lastRowFirstColumn="0" w:lastRowLastColumn="0"/>
        </w:trPr>
        <w:tc>
          <w:tcPr>
            <w:tcW w:w="0" w:type="auto"/>
          </w:tcPr>
          <w:p w14:paraId="1943CB8C" w14:textId="77777777" w:rsidR="007E2FAD" w:rsidRDefault="007E2FAD">
            <w:pPr>
              <w:pStyle w:val="TableText"/>
              <w:keepNext/>
            </w:pPr>
            <w:r>
              <w:t>Number of sites</w:t>
            </w:r>
            <w:r w:rsidRPr="003B72C2">
              <w:t xml:space="preserve"> participating in reverse PEPA Aged Care placement</w:t>
            </w:r>
            <w:r>
              <w:t>s</w:t>
            </w:r>
          </w:p>
        </w:tc>
        <w:tc>
          <w:tcPr>
            <w:tcW w:w="0" w:type="auto"/>
          </w:tcPr>
          <w:p w14:paraId="58E471C1" w14:textId="77777777" w:rsidR="007E2FAD" w:rsidRDefault="007E2FAD">
            <w:pPr>
              <w:keepNext/>
              <w:spacing w:before="0" w:after="0"/>
              <w:jc w:val="center"/>
            </w:pPr>
            <w:r>
              <w:t>275</w:t>
            </w:r>
          </w:p>
        </w:tc>
        <w:tc>
          <w:tcPr>
            <w:tcW w:w="0" w:type="auto"/>
          </w:tcPr>
          <w:p w14:paraId="4EECE649" w14:textId="573156C3" w:rsidR="007E2FAD" w:rsidRDefault="007E2FAD">
            <w:pPr>
              <w:keepNext/>
              <w:spacing w:before="0" w:after="0"/>
              <w:jc w:val="center"/>
            </w:pPr>
            <w:r>
              <w:t>3</w:t>
            </w:r>
            <w:r w:rsidR="004E6DDF">
              <w:t>53</w:t>
            </w:r>
          </w:p>
        </w:tc>
        <w:tc>
          <w:tcPr>
            <w:tcW w:w="0" w:type="auto"/>
          </w:tcPr>
          <w:p w14:paraId="714B4AF2" w14:textId="447AA13C" w:rsidR="007E2FAD" w:rsidRDefault="004E6DDF">
            <w:pPr>
              <w:keepNext/>
              <w:spacing w:before="0" w:after="0"/>
              <w:jc w:val="center"/>
            </w:pPr>
            <w:r>
              <w:t>628</w:t>
            </w:r>
          </w:p>
        </w:tc>
      </w:tr>
      <w:tr w:rsidR="007E2FAD" w14:paraId="26303528" w14:textId="77777777" w:rsidTr="0015342E">
        <w:trPr>
          <w:cnfStyle w:val="000000010000" w:firstRow="0" w:lastRow="0" w:firstColumn="0" w:lastColumn="0" w:oddVBand="0" w:evenVBand="0" w:oddHBand="0" w:evenHBand="1" w:firstRowFirstColumn="0" w:firstRowLastColumn="0" w:lastRowFirstColumn="0" w:lastRowLastColumn="0"/>
        </w:trPr>
        <w:tc>
          <w:tcPr>
            <w:tcW w:w="0" w:type="auto"/>
          </w:tcPr>
          <w:p w14:paraId="07A0CEC2" w14:textId="77777777" w:rsidR="007E2FAD" w:rsidRDefault="007E2FAD">
            <w:pPr>
              <w:spacing w:before="0" w:after="0"/>
            </w:pPr>
            <w:r>
              <w:t>Number of education days facilitated by PEPA nurse educators at reverse placement sites</w:t>
            </w:r>
          </w:p>
        </w:tc>
        <w:tc>
          <w:tcPr>
            <w:tcW w:w="0" w:type="auto"/>
          </w:tcPr>
          <w:p w14:paraId="3F28A10C" w14:textId="77777777" w:rsidR="007E2FAD" w:rsidRDefault="007E2FAD">
            <w:pPr>
              <w:spacing w:before="0" w:after="0"/>
              <w:jc w:val="center"/>
            </w:pPr>
            <w:r>
              <w:t>825</w:t>
            </w:r>
          </w:p>
        </w:tc>
        <w:tc>
          <w:tcPr>
            <w:tcW w:w="0" w:type="auto"/>
          </w:tcPr>
          <w:p w14:paraId="14B72885" w14:textId="3F591B5E" w:rsidR="007E2FAD" w:rsidRDefault="004E6DDF">
            <w:pPr>
              <w:spacing w:before="0" w:after="0"/>
              <w:jc w:val="center"/>
            </w:pPr>
            <w:r>
              <w:t>1,059</w:t>
            </w:r>
          </w:p>
        </w:tc>
        <w:tc>
          <w:tcPr>
            <w:tcW w:w="0" w:type="auto"/>
          </w:tcPr>
          <w:p w14:paraId="519A4404" w14:textId="555315A1" w:rsidR="007E2FAD" w:rsidRDefault="007E2FAD">
            <w:pPr>
              <w:spacing w:before="0" w:after="0"/>
              <w:jc w:val="center"/>
            </w:pPr>
            <w:r>
              <w:t>1,</w:t>
            </w:r>
            <w:r w:rsidR="000A781A">
              <w:t>884</w:t>
            </w:r>
          </w:p>
        </w:tc>
      </w:tr>
      <w:tr w:rsidR="007E2FAD" w14:paraId="26ABC322" w14:textId="77777777" w:rsidTr="0015342E">
        <w:trPr>
          <w:cnfStyle w:val="000000100000" w:firstRow="0" w:lastRow="0" w:firstColumn="0" w:lastColumn="0" w:oddVBand="0" w:evenVBand="0" w:oddHBand="1" w:evenHBand="0" w:firstRowFirstColumn="0" w:firstRowLastColumn="0" w:lastRowFirstColumn="0" w:lastRowLastColumn="0"/>
        </w:trPr>
        <w:tc>
          <w:tcPr>
            <w:tcW w:w="0" w:type="auto"/>
          </w:tcPr>
          <w:p w14:paraId="227401FF" w14:textId="77777777" w:rsidR="007E2FAD" w:rsidRDefault="007E2FAD">
            <w:pPr>
              <w:spacing w:before="0" w:after="0"/>
            </w:pPr>
            <w:r>
              <w:t>Number of reverse PEPA Aged Care placement participants</w:t>
            </w:r>
            <w:r w:rsidRPr="00B66EFC">
              <w:rPr>
                <w:vertAlign w:val="superscript"/>
              </w:rPr>
              <w:t>1</w:t>
            </w:r>
          </w:p>
        </w:tc>
        <w:tc>
          <w:tcPr>
            <w:tcW w:w="0" w:type="auto"/>
          </w:tcPr>
          <w:p w14:paraId="577D4B88" w14:textId="77777777" w:rsidR="007E2FAD" w:rsidRDefault="007E2FAD">
            <w:pPr>
              <w:spacing w:before="0" w:after="0"/>
              <w:jc w:val="center"/>
            </w:pPr>
            <w:r>
              <w:t>2,750</w:t>
            </w:r>
          </w:p>
        </w:tc>
        <w:tc>
          <w:tcPr>
            <w:tcW w:w="0" w:type="auto"/>
          </w:tcPr>
          <w:p w14:paraId="7CC78D93" w14:textId="05530C7C" w:rsidR="007E2FAD" w:rsidRDefault="007E2FAD">
            <w:pPr>
              <w:spacing w:before="0" w:after="0"/>
              <w:jc w:val="center"/>
            </w:pPr>
            <w:r>
              <w:t>3,</w:t>
            </w:r>
            <w:r w:rsidR="004E6DDF">
              <w:t>530</w:t>
            </w:r>
          </w:p>
        </w:tc>
        <w:tc>
          <w:tcPr>
            <w:tcW w:w="0" w:type="auto"/>
          </w:tcPr>
          <w:p w14:paraId="0E8F3332" w14:textId="4CA884FA" w:rsidR="007E2FAD" w:rsidRDefault="000A781A">
            <w:pPr>
              <w:spacing w:before="0" w:after="0"/>
              <w:jc w:val="center"/>
            </w:pPr>
            <w:r>
              <w:t>6,280</w:t>
            </w:r>
          </w:p>
        </w:tc>
      </w:tr>
      <w:tr w:rsidR="007E2FAD" w14:paraId="0152EBD0" w14:textId="77777777" w:rsidTr="0015342E">
        <w:trPr>
          <w:cnfStyle w:val="000000010000" w:firstRow="0" w:lastRow="0" w:firstColumn="0" w:lastColumn="0" w:oddVBand="0" w:evenVBand="0" w:oddHBand="0" w:evenHBand="1" w:firstRowFirstColumn="0" w:firstRowLastColumn="0" w:lastRowFirstColumn="0" w:lastRowLastColumn="0"/>
        </w:trPr>
        <w:tc>
          <w:tcPr>
            <w:tcW w:w="0" w:type="auto"/>
          </w:tcPr>
          <w:p w14:paraId="2669AB25" w14:textId="77777777" w:rsidR="007E2FAD" w:rsidRDefault="007E2FAD">
            <w:pPr>
              <w:pStyle w:val="TableText"/>
              <w:keepNext/>
            </w:pPr>
            <w:r>
              <w:lastRenderedPageBreak/>
              <w:t>Number of registered nurses at participating sites acting as mentors to continue integration of palliative care post-placement</w:t>
            </w:r>
            <w:r w:rsidRPr="00B66EFC">
              <w:rPr>
                <w:vertAlign w:val="superscript"/>
              </w:rPr>
              <w:t>2</w:t>
            </w:r>
          </w:p>
        </w:tc>
        <w:tc>
          <w:tcPr>
            <w:tcW w:w="0" w:type="auto"/>
          </w:tcPr>
          <w:p w14:paraId="3ED78255" w14:textId="77777777" w:rsidR="007E2FAD" w:rsidRDefault="007E2FAD">
            <w:pPr>
              <w:keepNext/>
              <w:spacing w:before="0" w:after="0"/>
              <w:jc w:val="center"/>
            </w:pPr>
            <w:r>
              <w:t>275</w:t>
            </w:r>
          </w:p>
        </w:tc>
        <w:tc>
          <w:tcPr>
            <w:tcW w:w="0" w:type="auto"/>
          </w:tcPr>
          <w:p w14:paraId="6CAFD330" w14:textId="23A07A61" w:rsidR="007E2FAD" w:rsidRDefault="007E2FAD">
            <w:pPr>
              <w:keepNext/>
              <w:spacing w:before="0" w:after="0"/>
              <w:jc w:val="center"/>
            </w:pPr>
            <w:r>
              <w:t>3</w:t>
            </w:r>
            <w:r w:rsidR="004E6DDF">
              <w:t>53</w:t>
            </w:r>
          </w:p>
        </w:tc>
        <w:tc>
          <w:tcPr>
            <w:tcW w:w="0" w:type="auto"/>
          </w:tcPr>
          <w:p w14:paraId="3045D040" w14:textId="6695616D" w:rsidR="007E2FAD" w:rsidRDefault="000A781A">
            <w:pPr>
              <w:keepNext/>
              <w:spacing w:before="0" w:after="0"/>
              <w:jc w:val="center"/>
            </w:pPr>
            <w:r>
              <w:t>628</w:t>
            </w:r>
          </w:p>
        </w:tc>
      </w:tr>
      <w:tr w:rsidR="007E2FAD" w14:paraId="3745EB24" w14:textId="77777777" w:rsidTr="0015342E">
        <w:trPr>
          <w:cnfStyle w:val="000000100000" w:firstRow="0" w:lastRow="0" w:firstColumn="0" w:lastColumn="0" w:oddVBand="0" w:evenVBand="0" w:oddHBand="1" w:evenHBand="0" w:firstRowFirstColumn="0" w:firstRowLastColumn="0" w:lastRowFirstColumn="0" w:lastRowLastColumn="0"/>
        </w:trPr>
        <w:tc>
          <w:tcPr>
            <w:tcW w:w="0" w:type="auto"/>
          </w:tcPr>
          <w:p w14:paraId="652D45C1" w14:textId="77777777" w:rsidR="007E2FAD" w:rsidRDefault="007E2FAD">
            <w:pPr>
              <w:pStyle w:val="TableText"/>
            </w:pPr>
            <w:r>
              <w:rPr>
                <w:spacing w:val="-3"/>
              </w:rPr>
              <w:t>Number of post-placement service improvement plans developed</w:t>
            </w:r>
            <w:r w:rsidRPr="00B66EFC">
              <w:rPr>
                <w:spacing w:val="-3"/>
                <w:vertAlign w:val="superscript"/>
              </w:rPr>
              <w:t>3</w:t>
            </w:r>
          </w:p>
        </w:tc>
        <w:tc>
          <w:tcPr>
            <w:tcW w:w="0" w:type="auto"/>
          </w:tcPr>
          <w:p w14:paraId="14D9E9FD" w14:textId="77777777" w:rsidR="007E2FAD" w:rsidRDefault="007E2FAD">
            <w:pPr>
              <w:spacing w:before="0" w:after="0"/>
              <w:jc w:val="center"/>
            </w:pPr>
            <w:r>
              <w:t>275</w:t>
            </w:r>
          </w:p>
        </w:tc>
        <w:tc>
          <w:tcPr>
            <w:tcW w:w="0" w:type="auto"/>
          </w:tcPr>
          <w:p w14:paraId="06F24AEE" w14:textId="0D65506A" w:rsidR="007E2FAD" w:rsidRDefault="007E2FAD">
            <w:pPr>
              <w:spacing w:before="0" w:after="0"/>
              <w:jc w:val="center"/>
            </w:pPr>
            <w:r>
              <w:t>3</w:t>
            </w:r>
            <w:r w:rsidR="004E6DDF">
              <w:t>53</w:t>
            </w:r>
          </w:p>
        </w:tc>
        <w:tc>
          <w:tcPr>
            <w:tcW w:w="0" w:type="auto"/>
          </w:tcPr>
          <w:p w14:paraId="183152E5" w14:textId="7BB61F7D" w:rsidR="007E2FAD" w:rsidRDefault="000A781A">
            <w:pPr>
              <w:spacing w:before="0" w:after="0"/>
              <w:jc w:val="center"/>
            </w:pPr>
            <w:r>
              <w:t>628</w:t>
            </w:r>
          </w:p>
        </w:tc>
      </w:tr>
    </w:tbl>
    <w:p w14:paraId="105A96A7" w14:textId="77777777" w:rsidR="007E2FAD" w:rsidRDefault="007E2FAD" w:rsidP="007E2FAD">
      <w:pPr>
        <w:spacing w:after="0"/>
        <w:rPr>
          <w:rStyle w:val="CommentReference"/>
        </w:rPr>
      </w:pPr>
      <w:r w:rsidRPr="00043072">
        <w:rPr>
          <w:rStyle w:val="CommentReference"/>
        </w:rPr>
        <w:t xml:space="preserve">Notes: </w:t>
      </w:r>
      <w:r w:rsidRPr="00EF1CF7">
        <w:rPr>
          <w:rStyle w:val="CommentReference"/>
          <w:vertAlign w:val="superscript"/>
        </w:rPr>
        <w:t>1</w:t>
      </w:r>
      <w:r>
        <w:rPr>
          <w:rStyle w:val="CommentReference"/>
        </w:rPr>
        <w:t>A</w:t>
      </w:r>
      <w:r w:rsidRPr="00043072">
        <w:rPr>
          <w:rStyle w:val="CommentReference"/>
        </w:rPr>
        <w:t xml:space="preserve">ssumes approximately 10 health and aged care staff per placement. </w:t>
      </w:r>
      <w:r w:rsidRPr="00EF1CF7">
        <w:rPr>
          <w:rStyle w:val="CommentReference"/>
          <w:vertAlign w:val="superscript"/>
        </w:rPr>
        <w:t>2</w:t>
      </w:r>
      <w:r>
        <w:rPr>
          <w:rStyle w:val="CommentReference"/>
        </w:rPr>
        <w:t>A</w:t>
      </w:r>
      <w:r w:rsidRPr="00043072">
        <w:rPr>
          <w:rStyle w:val="CommentReference"/>
        </w:rPr>
        <w:t>ssumes one mentor per organisation.</w:t>
      </w:r>
      <w:r>
        <w:rPr>
          <w:rStyle w:val="CommentReference"/>
        </w:rPr>
        <w:t xml:space="preserve"> </w:t>
      </w:r>
      <w:r w:rsidRPr="00CE0A2D">
        <w:rPr>
          <w:rStyle w:val="CommentReference"/>
          <w:vertAlign w:val="superscript"/>
        </w:rPr>
        <w:t>3</w:t>
      </w:r>
      <w:r>
        <w:rPr>
          <w:rStyle w:val="CommentReference"/>
        </w:rPr>
        <w:t>Assumes one plan developed per participating organisation.</w:t>
      </w:r>
    </w:p>
    <w:p w14:paraId="7E523E96" w14:textId="4334E70F" w:rsidR="007E2FAD" w:rsidRDefault="007E2FAD" w:rsidP="007E2FAD">
      <w:pPr>
        <w:spacing w:before="0" w:after="240"/>
        <w:rPr>
          <w:rStyle w:val="CommentReference"/>
        </w:rPr>
      </w:pPr>
      <w:r>
        <w:rPr>
          <w:rStyle w:val="CommentReference"/>
        </w:rPr>
        <w:t xml:space="preserve">Source: PEPA Aged Care 2021–2024 Activity Work Plan </w:t>
      </w:r>
      <w:sdt>
        <w:sdtPr>
          <w:rPr>
            <w:rStyle w:val="CommentReference"/>
          </w:rPr>
          <w:id w:val="-1843006385"/>
          <w:citation/>
        </w:sdtPr>
        <w:sdtContent>
          <w:r>
            <w:rPr>
              <w:rStyle w:val="CommentReference"/>
            </w:rPr>
            <w:fldChar w:fldCharType="begin"/>
          </w:r>
          <w:r>
            <w:rPr>
              <w:rStyle w:val="CommentReference"/>
              <w:lang w:val="en-US"/>
            </w:rPr>
            <w:instrText xml:space="preserve"> CITATION Que21 \l 1033 </w:instrText>
          </w:r>
          <w:r>
            <w:rPr>
              <w:rStyle w:val="CommentReference"/>
            </w:rPr>
            <w:fldChar w:fldCharType="separate"/>
          </w:r>
          <w:r w:rsidR="008410E0" w:rsidRPr="008410E0">
            <w:rPr>
              <w:noProof/>
              <w:sz w:val="16"/>
              <w:szCs w:val="16"/>
              <w:lang w:val="en-US"/>
            </w:rPr>
            <w:t>[18]</w:t>
          </w:r>
          <w:r>
            <w:rPr>
              <w:rStyle w:val="CommentReference"/>
            </w:rPr>
            <w:fldChar w:fldCharType="end"/>
          </w:r>
        </w:sdtContent>
      </w:sdt>
      <w:r>
        <w:rPr>
          <w:rStyle w:val="CommentReference"/>
        </w:rPr>
        <w:t xml:space="preserve">; PEPA Aged Care 2021–2025 Activity Work Plan </w:t>
      </w:r>
      <w:sdt>
        <w:sdtPr>
          <w:rPr>
            <w:rStyle w:val="CommentReference"/>
          </w:rPr>
          <w:id w:val="-588395345"/>
          <w:citation/>
        </w:sdtPr>
        <w:sdtContent>
          <w:r>
            <w:rPr>
              <w:rStyle w:val="CommentReference"/>
            </w:rPr>
            <w:fldChar w:fldCharType="begin"/>
          </w:r>
          <w:r>
            <w:rPr>
              <w:rStyle w:val="CommentReference"/>
              <w:lang w:val="en-US"/>
            </w:rPr>
            <w:instrText xml:space="preserve"> CITATION Que242 \l 1033 </w:instrText>
          </w:r>
          <w:r>
            <w:rPr>
              <w:rStyle w:val="CommentReference"/>
            </w:rPr>
            <w:fldChar w:fldCharType="separate"/>
          </w:r>
          <w:r w:rsidR="008410E0" w:rsidRPr="008410E0">
            <w:rPr>
              <w:noProof/>
              <w:sz w:val="16"/>
              <w:szCs w:val="16"/>
              <w:lang w:val="en-US"/>
            </w:rPr>
            <w:t>[19]</w:t>
          </w:r>
          <w:r>
            <w:rPr>
              <w:rStyle w:val="CommentReference"/>
            </w:rPr>
            <w:fldChar w:fldCharType="end"/>
          </w:r>
        </w:sdtContent>
      </w:sdt>
      <w:r>
        <w:rPr>
          <w:rStyle w:val="CommentReference"/>
        </w:rPr>
        <w:t xml:space="preserve">; PEPA Aged Care 2025–2026 Activity Work Plan </w:t>
      </w:r>
      <w:sdt>
        <w:sdtPr>
          <w:rPr>
            <w:rStyle w:val="CommentReference"/>
          </w:rPr>
          <w:id w:val="-1210414186"/>
          <w:citation/>
        </w:sdtPr>
        <w:sdtContent>
          <w:r>
            <w:rPr>
              <w:rStyle w:val="CommentReference"/>
            </w:rPr>
            <w:fldChar w:fldCharType="begin"/>
          </w:r>
          <w:r>
            <w:rPr>
              <w:rStyle w:val="CommentReference"/>
              <w:lang w:val="en-US"/>
            </w:rPr>
            <w:instrText xml:space="preserve"> CITATION Que252 \l 1033 </w:instrText>
          </w:r>
          <w:r>
            <w:rPr>
              <w:rStyle w:val="CommentReference"/>
            </w:rPr>
            <w:fldChar w:fldCharType="separate"/>
          </w:r>
          <w:r w:rsidR="008410E0" w:rsidRPr="008410E0">
            <w:rPr>
              <w:noProof/>
              <w:sz w:val="16"/>
              <w:szCs w:val="16"/>
              <w:lang w:val="en-US"/>
            </w:rPr>
            <w:t>[20]</w:t>
          </w:r>
          <w:r>
            <w:rPr>
              <w:rStyle w:val="CommentReference"/>
            </w:rPr>
            <w:fldChar w:fldCharType="end"/>
          </w:r>
        </w:sdtContent>
      </w:sdt>
      <w:r>
        <w:rPr>
          <w:rStyle w:val="CommentReference"/>
        </w:rPr>
        <w:t>.</w:t>
      </w:r>
    </w:p>
    <w:p w14:paraId="128A91CA" w14:textId="793508C8" w:rsidR="007E2FAD" w:rsidRDefault="008D6462" w:rsidP="008D6462">
      <w:pPr>
        <w:pStyle w:val="Heading2"/>
      </w:pPr>
      <w:bookmarkStart w:id="43" w:name="_Toc232685878"/>
      <w:r>
        <w:t>PACOP</w:t>
      </w:r>
      <w:bookmarkEnd w:id="43"/>
    </w:p>
    <w:p w14:paraId="7D2A1671" w14:textId="77777777" w:rsidR="008D6462" w:rsidRDefault="008D6462" w:rsidP="008D6462">
      <w:pPr>
        <w:pStyle w:val="Heading3"/>
      </w:pPr>
      <w:bookmarkStart w:id="44" w:name="_Toc232685879"/>
      <w:r>
        <w:t>Design and delivery model</w:t>
      </w:r>
      <w:bookmarkEnd w:id="44"/>
    </w:p>
    <w:p w14:paraId="152FD4DD" w14:textId="243F4074" w:rsidR="00D1102B" w:rsidRDefault="008B0E2F" w:rsidP="00D1102B">
      <w:r w:rsidRPr="008B0E2F">
        <w:t xml:space="preserve">PACOP </w:t>
      </w:r>
      <w:r w:rsidR="000546B7">
        <w:t>was</w:t>
      </w:r>
      <w:r w:rsidRPr="008B0E2F">
        <w:t xml:space="preserve"> an adaptation of the </w:t>
      </w:r>
      <w:r w:rsidR="004D15A4">
        <w:t xml:space="preserve">existing </w:t>
      </w:r>
      <w:r w:rsidRPr="008B0E2F">
        <w:t>national PCOC program</w:t>
      </w:r>
      <w:r w:rsidR="00BF7188">
        <w:t>. PCOC</w:t>
      </w:r>
      <w:r w:rsidR="00080F1E">
        <w:t xml:space="preserve"> </w:t>
      </w:r>
      <w:r w:rsidRPr="008B0E2F">
        <w:t xml:space="preserve">has </w:t>
      </w:r>
      <w:r w:rsidR="00D1102B">
        <w:t xml:space="preserve">been delivered by the University of Wollongong, in collaboration with QUT and the University of Western Australia, since 2005 as a government-funded NPCP </w:t>
      </w:r>
      <w:sdt>
        <w:sdtPr>
          <w:id w:val="485592655"/>
          <w:citation/>
        </w:sdtPr>
        <w:sdtContent>
          <w:r w:rsidR="00D1102B">
            <w:fldChar w:fldCharType="begin"/>
          </w:r>
          <w:r w:rsidR="00D1102B">
            <w:rPr>
              <w:lang w:val="en-US"/>
            </w:rPr>
            <w:instrText xml:space="preserve"> CITATION Pal25 \l 1033 </w:instrText>
          </w:r>
          <w:r w:rsidR="00D1102B">
            <w:fldChar w:fldCharType="separate"/>
          </w:r>
          <w:r w:rsidR="008410E0" w:rsidRPr="008410E0">
            <w:rPr>
              <w:noProof/>
              <w:lang w:val="en-US"/>
            </w:rPr>
            <w:t>[21]</w:t>
          </w:r>
          <w:r w:rsidR="00D1102B">
            <w:fldChar w:fldCharType="end"/>
          </w:r>
        </w:sdtContent>
      </w:sdt>
      <w:r w:rsidR="00D1102B">
        <w:t xml:space="preserve">. </w:t>
      </w:r>
      <w:r w:rsidR="00DA3025">
        <w:t>PCOC</w:t>
      </w:r>
      <w:r w:rsidR="00D1102B">
        <w:t xml:space="preserve"> </w:t>
      </w:r>
      <w:r w:rsidR="00BF7188">
        <w:t>aim</w:t>
      </w:r>
      <w:r w:rsidR="000546B7">
        <w:t>ed</w:t>
      </w:r>
      <w:r w:rsidR="00BF7188">
        <w:t xml:space="preserve"> to systematically improve palliative care outcomes for patients accessing specialist palliative care and community-based services through </w:t>
      </w:r>
      <w:r w:rsidR="00BF7188" w:rsidRPr="008B0E2F">
        <w:t>standardised assessment and benchmarking</w:t>
      </w:r>
      <w:r w:rsidR="00BF7188">
        <w:t>.</w:t>
      </w:r>
    </w:p>
    <w:p w14:paraId="4C1E119E" w14:textId="3B23AB0F" w:rsidR="008B0E2F" w:rsidRPr="008B0E2F" w:rsidRDefault="0036412D" w:rsidP="008B0E2F">
      <w:r>
        <w:t>Based on identified demand for</w:t>
      </w:r>
      <w:r w:rsidR="008954F0">
        <w:t xml:space="preserve"> </w:t>
      </w:r>
      <w:r w:rsidR="00F707DE">
        <w:t xml:space="preserve">similar support </w:t>
      </w:r>
      <w:r w:rsidR="006F29F8">
        <w:t>in the aged care sector, t</w:t>
      </w:r>
      <w:r w:rsidR="009E440E">
        <w:t xml:space="preserve">he PCOC model was </w:t>
      </w:r>
      <w:r w:rsidR="00DA3025">
        <w:t xml:space="preserve">initially </w:t>
      </w:r>
      <w:r w:rsidR="004D15A4">
        <w:t xml:space="preserve">adapted for residential aged care </w:t>
      </w:r>
      <w:r w:rsidR="00DA3025">
        <w:t xml:space="preserve">through </w:t>
      </w:r>
      <w:r w:rsidR="004D15A4" w:rsidRPr="008B0E2F">
        <w:t xml:space="preserve">the PCOC Wicking pilot (2019–21). </w:t>
      </w:r>
      <w:r w:rsidR="008B0E2F" w:rsidRPr="008B0E2F">
        <w:t>Key adaptations</w:t>
      </w:r>
      <w:r w:rsidR="008B2A53">
        <w:t xml:space="preserve"> incorporated into the </w:t>
      </w:r>
      <w:r w:rsidR="00DA3025">
        <w:t xml:space="preserve">subsequent </w:t>
      </w:r>
      <w:r w:rsidR="008B2A53">
        <w:t>PACOP model</w:t>
      </w:r>
      <w:r w:rsidR="00081430">
        <w:t xml:space="preserve"> based on findings from the pilot</w:t>
      </w:r>
      <w:r w:rsidR="008B0E2F" w:rsidRPr="008B0E2F">
        <w:t xml:space="preserve"> include</w:t>
      </w:r>
      <w:r w:rsidR="008B2A53">
        <w:t>d</w:t>
      </w:r>
      <w:r w:rsidR="008B0E2F" w:rsidRPr="008B0E2F">
        <w:t xml:space="preserve"> the </w:t>
      </w:r>
      <w:r w:rsidR="00AD7416">
        <w:t>addition</w:t>
      </w:r>
      <w:r w:rsidR="008B0E2F" w:rsidRPr="008B0E2F">
        <w:t xml:space="preserve"> of</w:t>
      </w:r>
      <w:r w:rsidR="00AD7416">
        <w:t xml:space="preserve"> several</w:t>
      </w:r>
      <w:r w:rsidR="008B0E2F" w:rsidRPr="008B0E2F">
        <w:t xml:space="preserve"> targeted</w:t>
      </w:r>
      <w:r w:rsidR="00AD7416">
        <w:t xml:space="preserve"> palliative care</w:t>
      </w:r>
      <w:r w:rsidR="008B0E2F" w:rsidRPr="008B0E2F">
        <w:t xml:space="preserve"> screening tools, </w:t>
      </w:r>
      <w:r w:rsidR="00C70439">
        <w:t xml:space="preserve">a </w:t>
      </w:r>
      <w:r w:rsidR="00E03B1A">
        <w:t>modified</w:t>
      </w:r>
      <w:r w:rsidR="008B0E2F" w:rsidRPr="008B0E2F">
        <w:t xml:space="preserve"> assessment frequency, and the development of two distinct assessment modules: the Profile Collection, </w:t>
      </w:r>
      <w:r w:rsidR="008B0E2F" w:rsidRPr="008B0E2F">
        <w:t xml:space="preserve">for routine </w:t>
      </w:r>
      <w:r w:rsidR="00A2096A">
        <w:t xml:space="preserve">palliative care </w:t>
      </w:r>
      <w:r w:rsidR="008B0E2F" w:rsidRPr="008B0E2F">
        <w:t xml:space="preserve">screening every three months, and the Outcomes Collection, for intensive monitoring and response when residents </w:t>
      </w:r>
      <w:r w:rsidR="004369DB">
        <w:t>were</w:t>
      </w:r>
      <w:r w:rsidR="008B0E2F" w:rsidRPr="008B0E2F">
        <w:t xml:space="preserve"> identified as requiring palliative care. A Deteriorating Resident Tool was also introduced to </w:t>
      </w:r>
      <w:r w:rsidR="0005146E">
        <w:t>facilitate timely intervention in the event of</w:t>
      </w:r>
      <w:r w:rsidR="008B0E2F" w:rsidRPr="008B0E2F">
        <w:t xml:space="preserve"> sudden declines.</w:t>
      </w:r>
    </w:p>
    <w:p w14:paraId="3896AEEB" w14:textId="5568C57A" w:rsidR="008B0E2F" w:rsidRPr="008B0E2F" w:rsidRDefault="008B0E2F" w:rsidP="008B0E2F">
      <w:r w:rsidRPr="008B0E2F">
        <w:t>The PACOP model comprise</w:t>
      </w:r>
      <w:r w:rsidR="004369DB">
        <w:t>d</w:t>
      </w:r>
      <w:r w:rsidRPr="008B0E2F">
        <w:t xml:space="preserve"> three core components</w:t>
      </w:r>
      <w:r w:rsidR="002A434F">
        <w:t xml:space="preserve"> (summarised in </w:t>
      </w:r>
      <w:r w:rsidR="00292237">
        <w:fldChar w:fldCharType="begin"/>
      </w:r>
      <w:r w:rsidR="00292237">
        <w:instrText xml:space="preserve"> REF _Ref196731945 \h </w:instrText>
      </w:r>
      <w:r w:rsidR="00292237">
        <w:fldChar w:fldCharType="separate"/>
      </w:r>
      <w:r w:rsidR="00167BA0">
        <w:t xml:space="preserve">Figure </w:t>
      </w:r>
      <w:r w:rsidR="00167BA0">
        <w:rPr>
          <w:noProof/>
        </w:rPr>
        <w:t>3</w:t>
      </w:r>
      <w:r w:rsidR="00167BA0">
        <w:t>.</w:t>
      </w:r>
      <w:r w:rsidR="00167BA0">
        <w:rPr>
          <w:noProof/>
        </w:rPr>
        <w:t>1</w:t>
      </w:r>
      <w:r w:rsidR="00292237">
        <w:fldChar w:fldCharType="end"/>
      </w:r>
      <w:r w:rsidR="002A434F">
        <w:t>)</w:t>
      </w:r>
      <w:r w:rsidRPr="008B0E2F">
        <w:t>:</w:t>
      </w:r>
    </w:p>
    <w:p w14:paraId="07C14305" w14:textId="77777777" w:rsidR="008B0E2F" w:rsidRPr="008B0E2F" w:rsidRDefault="008B0E2F" w:rsidP="00A2096A">
      <w:pPr>
        <w:pStyle w:val="ListBullet"/>
      </w:pPr>
      <w:r w:rsidRPr="008B0E2F">
        <w:rPr>
          <w:b/>
          <w:bCs/>
        </w:rPr>
        <w:t>Profile and Outcomes Collections</w:t>
      </w:r>
      <w:r w:rsidRPr="008B0E2F">
        <w:t>: a nationally standardised assessment framework and clinical response protocol to identify and manage palliative care needs.</w:t>
      </w:r>
    </w:p>
    <w:p w14:paraId="1C34BB89" w14:textId="77777777" w:rsidR="008B0E2F" w:rsidRPr="008B0E2F" w:rsidRDefault="008B0E2F" w:rsidP="00A2096A">
      <w:pPr>
        <w:pStyle w:val="ListBullet"/>
      </w:pPr>
      <w:r w:rsidRPr="008B0E2F">
        <w:rPr>
          <w:b/>
          <w:bCs/>
        </w:rPr>
        <w:t>Benchmarking</w:t>
      </w:r>
      <w:r w:rsidRPr="008B0E2F">
        <w:t>: six-monthly submission of de-identified assessment data to PACOP for national benchmarking and feedback reports to inform continuous quality improvement.</w:t>
      </w:r>
    </w:p>
    <w:p w14:paraId="40620EC6" w14:textId="3F31962E" w:rsidR="002A434F" w:rsidRDefault="008B0E2F">
      <w:pPr>
        <w:pStyle w:val="ListBullet"/>
      </w:pPr>
      <w:r w:rsidRPr="00292237">
        <w:rPr>
          <w:b/>
          <w:bCs/>
        </w:rPr>
        <w:t>Education</w:t>
      </w:r>
      <w:r w:rsidRPr="008B0E2F">
        <w:t xml:space="preserve">: workshops, </w:t>
      </w:r>
      <w:r w:rsidR="002E70BB">
        <w:t xml:space="preserve">online modules, </w:t>
      </w:r>
      <w:r w:rsidRPr="008B0E2F">
        <w:t>resources, and facilitated communities of practice to support implementation and use of benchmarking data.</w:t>
      </w:r>
    </w:p>
    <w:p w14:paraId="633CDDBA" w14:textId="61B6B51E" w:rsidR="00292237" w:rsidRDefault="00292237" w:rsidP="00292237">
      <w:pPr>
        <w:pStyle w:val="Caption"/>
      </w:pPr>
      <w:bookmarkStart w:id="45" w:name="_Ref196731945"/>
      <w:r>
        <w:lastRenderedPageBreak/>
        <w:t xml:space="preserve">Figure </w:t>
      </w:r>
      <w:fldSimple w:instr=" STYLEREF 1 \s ">
        <w:r w:rsidR="00167BA0">
          <w:rPr>
            <w:noProof/>
          </w:rPr>
          <w:t>3</w:t>
        </w:r>
      </w:fldSimple>
      <w:r w:rsidR="00DD3EB1">
        <w:t>.</w:t>
      </w:r>
      <w:fldSimple w:instr=" SEQ Figure \* ARABIC \s 1 ">
        <w:r w:rsidR="00167BA0">
          <w:rPr>
            <w:noProof/>
          </w:rPr>
          <w:t>1</w:t>
        </w:r>
      </w:fldSimple>
      <w:bookmarkEnd w:id="45"/>
      <w:r>
        <w:t>: Overview of the PACOP model</w:t>
      </w:r>
    </w:p>
    <w:p w14:paraId="31130B2D" w14:textId="77777777" w:rsidR="00292237" w:rsidRDefault="00292237" w:rsidP="00292237">
      <w:pPr>
        <w:jc w:val="center"/>
      </w:pPr>
      <w:r>
        <w:rPr>
          <w:noProof/>
        </w:rPr>
        <w:drawing>
          <wp:inline distT="0" distB="0" distL="0" distR="0" wp14:anchorId="42A098AF" wp14:editId="513CBA0C">
            <wp:extent cx="4057650" cy="3747687"/>
            <wp:effectExtent l="0" t="0" r="0" b="5715"/>
            <wp:docPr id="1334289067" name="Picture 4" descr="Figure 3.1 is a diagram presenting an overview of the PACOP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89067" name="Picture 4" descr="Figure 3.1 is a diagram presenting an overview of the PACOP model"/>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058619" cy="3748582"/>
                    </a:xfrm>
                    <a:prstGeom prst="rect">
                      <a:avLst/>
                    </a:prstGeom>
                  </pic:spPr>
                </pic:pic>
              </a:graphicData>
            </a:graphic>
          </wp:inline>
        </w:drawing>
      </w:r>
    </w:p>
    <w:p w14:paraId="40CF3334" w14:textId="6624FD0C" w:rsidR="00900584" w:rsidRDefault="00900584" w:rsidP="00900584">
      <w:r w:rsidRPr="008B0E2F">
        <w:t xml:space="preserve">All residential aged care homes/providers </w:t>
      </w:r>
      <w:r>
        <w:t>were</w:t>
      </w:r>
      <w:r w:rsidRPr="008B0E2F">
        <w:t xml:space="preserve"> eligible to participate by registering via the PACOP website.</w:t>
      </w:r>
    </w:p>
    <w:p w14:paraId="67EC3399" w14:textId="735AA058" w:rsidR="00900584" w:rsidRDefault="00900584" w:rsidP="00900584">
      <w:r>
        <w:t xml:space="preserve">On enrolment in PACOP, all new participating aged care homes began </w:t>
      </w:r>
      <w:r w:rsidR="006B291A">
        <w:t>by</w:t>
      </w:r>
      <w:r>
        <w:t xml:space="preserve"> implementing the Profile Collection. Once homes successfully embedded and demonstrated </w:t>
      </w:r>
      <w:r w:rsidR="00A53535">
        <w:t>their capability in using this component, they were supported in progressing</w:t>
      </w:r>
      <w:r>
        <w:t xml:space="preserve"> to implementing the more advanced Outcomes Collection. </w:t>
      </w:r>
      <w:r w:rsidRPr="008B0E2F">
        <w:t xml:space="preserve">Readiness assessments </w:t>
      </w:r>
      <w:r>
        <w:t>were</w:t>
      </w:r>
      <w:r w:rsidRPr="008B0E2F">
        <w:t xml:space="preserve"> conducted prior to enrolment, with tailored support provided to build capability where required.</w:t>
      </w:r>
    </w:p>
    <w:p w14:paraId="71E2182A" w14:textId="77777777" w:rsidR="008D6462" w:rsidRDefault="008D6462" w:rsidP="008D6462">
      <w:pPr>
        <w:pStyle w:val="Heading3"/>
      </w:pPr>
      <w:bookmarkStart w:id="46" w:name="_Toc232685880"/>
      <w:r>
        <w:t>Administration, funding, and governance</w:t>
      </w:r>
      <w:bookmarkEnd w:id="46"/>
    </w:p>
    <w:p w14:paraId="3A140577" w14:textId="3A538083" w:rsidR="008279B6" w:rsidRPr="008279B6" w:rsidRDefault="00F14673" w:rsidP="008279B6">
      <w:r>
        <w:t xml:space="preserve">The University of Wollongong was funded to deliver PACOP from November 2021, with successive extensions funding the program through to June 2026. </w:t>
      </w:r>
      <w:r w:rsidR="008279B6" w:rsidRPr="008279B6">
        <w:t xml:space="preserve">Total grant funding of $15.038 million </w:t>
      </w:r>
      <w:r w:rsidR="00900584">
        <w:t>was</w:t>
      </w:r>
      <w:r w:rsidR="008279B6" w:rsidRPr="008279B6">
        <w:t xml:space="preserve"> allocated across two periods:</w:t>
      </w:r>
    </w:p>
    <w:p w14:paraId="2D2284DE" w14:textId="38E89EA5" w:rsidR="008279B6" w:rsidRPr="008279B6" w:rsidRDefault="008279B6" w:rsidP="008279B6">
      <w:pPr>
        <w:pStyle w:val="ListBullet"/>
      </w:pPr>
      <w:r w:rsidRPr="008279B6">
        <w:t>$8.9</w:t>
      </w:r>
      <w:r w:rsidR="00F03435">
        <w:t>1</w:t>
      </w:r>
      <w:r w:rsidRPr="008279B6">
        <w:t xml:space="preserve"> million for 2021–22 to 2023–24</w:t>
      </w:r>
    </w:p>
    <w:p w14:paraId="204FFBF0" w14:textId="77777777" w:rsidR="008279B6" w:rsidRPr="008279B6" w:rsidRDefault="008279B6" w:rsidP="008279B6">
      <w:pPr>
        <w:pStyle w:val="ListBullet"/>
      </w:pPr>
      <w:r w:rsidRPr="008279B6">
        <w:t>$6.13 million for 2024–25 to 2025–26</w:t>
      </w:r>
    </w:p>
    <w:p w14:paraId="2ADB653D" w14:textId="5F000AAD" w:rsidR="00645C90" w:rsidRDefault="00570B97" w:rsidP="000E248C">
      <w:r w:rsidRPr="00570B97">
        <w:t>Under grant agreement</w:t>
      </w:r>
      <w:r>
        <w:t xml:space="preserve"> requirements</w:t>
      </w:r>
      <w:r w:rsidRPr="00570B97">
        <w:t xml:space="preserve">, the University of Wollongong </w:t>
      </w:r>
      <w:r w:rsidR="00900584">
        <w:t>was</w:t>
      </w:r>
      <w:r w:rsidRPr="00570B97">
        <w:t xml:space="preserve"> required to submit </w:t>
      </w:r>
      <w:r w:rsidR="00900584">
        <w:t>A</w:t>
      </w:r>
      <w:r w:rsidRPr="00570B97">
        <w:t>ctivity</w:t>
      </w:r>
      <w:r w:rsidR="00900584">
        <w:t xml:space="preserve"> W</w:t>
      </w:r>
      <w:r w:rsidRPr="00570B97">
        <w:t xml:space="preserve">ork </w:t>
      </w:r>
      <w:r w:rsidR="00900584">
        <w:t>P</w:t>
      </w:r>
      <w:r w:rsidRPr="00570B97">
        <w:t>lans, six-monthly performance reports, and annual financial acquittals.</w:t>
      </w:r>
    </w:p>
    <w:p w14:paraId="7B64C3BE" w14:textId="31A331A8" w:rsidR="008D6462" w:rsidRDefault="0084479D" w:rsidP="000E248C">
      <w:r w:rsidRPr="0084479D">
        <w:t xml:space="preserve">Program delivery </w:t>
      </w:r>
      <w:r w:rsidR="00900584">
        <w:t>was</w:t>
      </w:r>
      <w:r w:rsidRPr="0084479D">
        <w:t xml:space="preserve"> supported by a multidisciplinary staffing model</w:t>
      </w:r>
      <w:r w:rsidR="00850272">
        <w:t xml:space="preserve"> that included a PACOP director, a q</w:t>
      </w:r>
      <w:r w:rsidRPr="0084479D">
        <w:t xml:space="preserve">uality and </w:t>
      </w:r>
      <w:r w:rsidR="00850272">
        <w:t>e</w:t>
      </w:r>
      <w:r w:rsidRPr="0084479D">
        <w:t xml:space="preserve">ducation </w:t>
      </w:r>
      <w:r w:rsidR="00850272">
        <w:t>m</w:t>
      </w:r>
      <w:r w:rsidRPr="0084479D">
        <w:t>anager, statisticians/data managers, quality improvement facilitators, and administrative staff.</w:t>
      </w:r>
    </w:p>
    <w:p w14:paraId="734EB14B" w14:textId="162F6248" w:rsidR="008D6462" w:rsidRDefault="00054950" w:rsidP="000E248C">
      <w:r w:rsidRPr="00054950">
        <w:t xml:space="preserve">Governance arrangements evolved during the funding period. Initially, oversight was provided through a combined PACOP/PCOC Management Advisory Board and supporting groups. </w:t>
      </w:r>
      <w:r w:rsidR="00850272">
        <w:t>F</w:t>
      </w:r>
      <w:r w:rsidRPr="00054950">
        <w:t>ollowing a business unit restructure</w:t>
      </w:r>
      <w:r w:rsidR="00850272">
        <w:t xml:space="preserve"> in 2024</w:t>
      </w:r>
      <w:r w:rsidRPr="00054950">
        <w:t>, PACOP governance transitioned to a new Management Advisory Committee and Clinical Advisory Group, meeting biannually to ensure strategic oversight and sector engagement.</w:t>
      </w:r>
    </w:p>
    <w:p w14:paraId="51F75FCE" w14:textId="77777777" w:rsidR="008D6462" w:rsidRDefault="008D6462" w:rsidP="008D6462">
      <w:pPr>
        <w:pStyle w:val="Heading3"/>
      </w:pPr>
      <w:bookmarkStart w:id="47" w:name="_Toc232685881"/>
      <w:r>
        <w:t>Key performance indicators</w:t>
      </w:r>
      <w:bookmarkEnd w:id="47"/>
    </w:p>
    <w:p w14:paraId="78608791" w14:textId="32CC327E" w:rsidR="001D2D5C" w:rsidRDefault="00A84DEA" w:rsidP="001D2D5C">
      <w:r>
        <w:t xml:space="preserve">As part of contractual requirements, the University of Wollongong was required to specify performance indicators and targets for PACOP. Indicators and targets were established across </w:t>
      </w:r>
      <w:proofErr w:type="gramStart"/>
      <w:r>
        <w:t>a number of</w:t>
      </w:r>
      <w:proofErr w:type="gramEnd"/>
      <w:r>
        <w:t xml:space="preserve"> key domains of program activity</w:t>
      </w:r>
      <w:r w:rsidR="002C5EB6">
        <w:t xml:space="preserve"> for </w:t>
      </w:r>
      <w:r w:rsidR="002C5EB6" w:rsidRPr="00717978">
        <w:t>the initial funding period (2021–22 to 2023–24)</w:t>
      </w:r>
      <w:r w:rsidR="00517655">
        <w:t xml:space="preserve">. These included indicators and targets for </w:t>
      </w:r>
      <w:r>
        <w:t xml:space="preserve">participation in the Profile and Outcomes Collection, </w:t>
      </w:r>
      <w:r w:rsidR="00850272">
        <w:lastRenderedPageBreak/>
        <w:t xml:space="preserve">as well as </w:t>
      </w:r>
      <w:r>
        <w:t>education</w:t>
      </w:r>
      <w:r w:rsidR="00850272">
        <w:t>al activities</w:t>
      </w:r>
      <w:r>
        <w:t>, benchmarking, and partnerships</w:t>
      </w:r>
      <w:r w:rsidR="00EC0DA7">
        <w:t xml:space="preserve">. </w:t>
      </w:r>
      <w:r w:rsidR="001D2D5C">
        <w:t>The following section outlines performance indicators and targets related to participation in the PACOP Profile and Outcomes Collections.</w:t>
      </w:r>
    </w:p>
    <w:p w14:paraId="74D24D87" w14:textId="36D06963" w:rsidR="008D6462" w:rsidRDefault="00B25075" w:rsidP="000E248C">
      <w:r>
        <w:t>The University of Wollongong established a</w:t>
      </w:r>
      <w:r w:rsidR="00EC0DA7">
        <w:t xml:space="preserve"> new set of </w:t>
      </w:r>
      <w:r>
        <w:t xml:space="preserve">overarching </w:t>
      </w:r>
      <w:r w:rsidR="00EC0DA7">
        <w:t xml:space="preserve">performance indicators for </w:t>
      </w:r>
      <w:r w:rsidR="00EC0DA7" w:rsidRPr="00A46D2D">
        <w:t xml:space="preserve">the </w:t>
      </w:r>
      <w:r w:rsidR="00EC0DA7">
        <w:t>program</w:t>
      </w:r>
      <w:r w:rsidR="003863F5">
        <w:t>’</w:t>
      </w:r>
      <w:r w:rsidR="00EC0DA7">
        <w:t xml:space="preserve">s </w:t>
      </w:r>
      <w:r w:rsidR="00EC0DA7" w:rsidRPr="00A46D2D">
        <w:t>extension period</w:t>
      </w:r>
      <w:r w:rsidR="00EC0DA7">
        <w:t xml:space="preserve"> under the Measure</w:t>
      </w:r>
      <w:r w:rsidR="00EC0DA7" w:rsidRPr="00A46D2D">
        <w:t xml:space="preserve"> (2024–25 to 2025–26)</w:t>
      </w:r>
      <w:r w:rsidR="00EC0DA7">
        <w:t xml:space="preserve">. </w:t>
      </w:r>
      <w:r w:rsidR="00785C55">
        <w:t>These are also outlined below</w:t>
      </w:r>
      <w:r w:rsidR="00A84DEA">
        <w:t>.</w:t>
      </w:r>
    </w:p>
    <w:p w14:paraId="6F351167" w14:textId="63545217" w:rsidR="00B25075" w:rsidRDefault="007B196B" w:rsidP="007B196B">
      <w:pPr>
        <w:pStyle w:val="Heading4"/>
      </w:pPr>
      <w:r>
        <w:t xml:space="preserve">Initial performance indicators and targets </w:t>
      </w:r>
      <w:r w:rsidR="00785C55">
        <w:t xml:space="preserve">for </w:t>
      </w:r>
      <w:r w:rsidR="00862E43">
        <w:t xml:space="preserve">Profile and Outcomes Collection participation </w:t>
      </w:r>
      <w:r>
        <w:t>(</w:t>
      </w:r>
      <w:r w:rsidRPr="00717978">
        <w:t>2021–22 to 2023–24</w:t>
      </w:r>
      <w:r>
        <w:t>)</w:t>
      </w:r>
    </w:p>
    <w:p w14:paraId="7C4FC8DB" w14:textId="519A6631" w:rsidR="00976F3D" w:rsidRDefault="00717978" w:rsidP="000E248C">
      <w:r w:rsidRPr="00717978">
        <w:t>For the initial funding period (2021–22 to 2023–24), targets</w:t>
      </w:r>
      <w:r w:rsidR="00462454">
        <w:t xml:space="preserve"> for participation in the Profile and Outcomes Collections</w:t>
      </w:r>
      <w:r w:rsidRPr="00717978">
        <w:t xml:space="preserve"> were set at the multi-site provider level</w:t>
      </w:r>
      <w:r w:rsidR="000960AA">
        <w:t xml:space="preserve"> (</w:t>
      </w:r>
      <w:r w:rsidR="000960AA">
        <w:fldChar w:fldCharType="begin"/>
      </w:r>
      <w:r w:rsidR="000960AA">
        <w:instrText xml:space="preserve"> REF _Ref196229036 \h </w:instrText>
      </w:r>
      <w:r w:rsidR="000960AA">
        <w:fldChar w:fldCharType="separate"/>
      </w:r>
      <w:r w:rsidR="00167BA0">
        <w:t xml:space="preserve">Table </w:t>
      </w:r>
      <w:r w:rsidR="00167BA0">
        <w:rPr>
          <w:noProof/>
        </w:rPr>
        <w:t>3</w:t>
      </w:r>
      <w:r w:rsidR="00167BA0">
        <w:t>.</w:t>
      </w:r>
      <w:r w:rsidR="00167BA0">
        <w:rPr>
          <w:noProof/>
        </w:rPr>
        <w:t>2</w:t>
      </w:r>
      <w:r w:rsidR="000960AA">
        <w:fldChar w:fldCharType="end"/>
      </w:r>
      <w:r w:rsidR="000960AA">
        <w:t>)</w:t>
      </w:r>
      <w:r w:rsidR="008655C3">
        <w:t>. The</w:t>
      </w:r>
      <w:r w:rsidRPr="00717978">
        <w:t xml:space="preserve"> cumulative </w:t>
      </w:r>
      <w:r w:rsidR="008655C3">
        <w:t>target</w:t>
      </w:r>
      <w:r w:rsidR="00BA5841">
        <w:t>s included</w:t>
      </w:r>
      <w:r w:rsidRPr="00717978">
        <w:t xml:space="preserve"> 44 providers participating in the Profile Collection and </w:t>
      </w:r>
      <w:r w:rsidR="00BA5841">
        <w:t xml:space="preserve">25 providers participating in </w:t>
      </w:r>
      <w:r w:rsidRPr="00717978">
        <w:t>the Outcomes Collection</w:t>
      </w:r>
      <w:r w:rsidR="00BA5841">
        <w:t xml:space="preserve"> by June 2024</w:t>
      </w:r>
      <w:r w:rsidRPr="00717978">
        <w:t>.</w:t>
      </w:r>
    </w:p>
    <w:p w14:paraId="43F4EA2B" w14:textId="7D435729" w:rsidR="00E2157C" w:rsidRDefault="00E2157C" w:rsidP="00E2157C">
      <w:pPr>
        <w:pStyle w:val="Caption"/>
      </w:pPr>
      <w:bookmarkStart w:id="48" w:name="_Ref196229036"/>
      <w:r>
        <w:t xml:space="preserve">Table </w:t>
      </w:r>
      <w:fldSimple w:instr=" STYLEREF 1 \s ">
        <w:r w:rsidR="0091457A">
          <w:rPr>
            <w:noProof/>
          </w:rPr>
          <w:t>3</w:t>
        </w:r>
      </w:fldSimple>
      <w:r w:rsidR="0091457A">
        <w:t>.</w:t>
      </w:r>
      <w:fldSimple w:instr=" SEQ Table \* ARABIC \s 1 ">
        <w:r w:rsidR="0091457A">
          <w:rPr>
            <w:noProof/>
          </w:rPr>
          <w:t>2</w:t>
        </w:r>
      </w:fldSimple>
      <w:bookmarkEnd w:id="48"/>
      <w:r>
        <w:t>: PACOP Profile and Outcomes Collection performance indicators</w:t>
      </w:r>
      <w:r>
        <w:br/>
        <w:t xml:space="preserve"> and targets (2021–22 to 2023–24)</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ACOP participation targets"/>
        <w:tblDescription w:val="Table shows planned growth in PACOP participation from 2021–22 to 2023–24."/>
      </w:tblPr>
      <w:tblGrid>
        <w:gridCol w:w="3969"/>
        <w:gridCol w:w="1048"/>
        <w:gridCol w:w="1079"/>
        <w:gridCol w:w="1117"/>
      </w:tblGrid>
      <w:tr w:rsidR="00E2157C" w14:paraId="7DD6B97F" w14:textId="77777777" w:rsidTr="005C732A">
        <w:trPr>
          <w:cnfStyle w:val="100000000000" w:firstRow="1" w:lastRow="0" w:firstColumn="0" w:lastColumn="0" w:oddVBand="0" w:evenVBand="0" w:oddHBand="0" w:evenHBand="0" w:firstRowFirstColumn="0" w:firstRowLastColumn="0" w:lastRowFirstColumn="0" w:lastRowLastColumn="0"/>
          <w:tblHeader/>
        </w:trPr>
        <w:tc>
          <w:tcPr>
            <w:tcW w:w="3969" w:type="dxa"/>
          </w:tcPr>
          <w:p w14:paraId="25C85A5A" w14:textId="77777777" w:rsidR="00E2157C" w:rsidRDefault="00E2157C">
            <w:pPr>
              <w:keepLines/>
              <w:spacing w:before="0" w:after="0"/>
            </w:pPr>
            <w:r>
              <w:t>Performance indicator</w:t>
            </w:r>
          </w:p>
        </w:tc>
        <w:tc>
          <w:tcPr>
            <w:tcW w:w="1048" w:type="dxa"/>
          </w:tcPr>
          <w:p w14:paraId="123EE34C" w14:textId="77777777" w:rsidR="00E2157C" w:rsidRDefault="00E2157C">
            <w:pPr>
              <w:keepLines/>
              <w:spacing w:before="0" w:after="0"/>
              <w:jc w:val="center"/>
            </w:pPr>
            <w:r>
              <w:t>2021–22</w:t>
            </w:r>
          </w:p>
        </w:tc>
        <w:tc>
          <w:tcPr>
            <w:tcW w:w="1079" w:type="dxa"/>
          </w:tcPr>
          <w:p w14:paraId="11A2A1B8" w14:textId="77777777" w:rsidR="00E2157C" w:rsidRDefault="00E2157C">
            <w:pPr>
              <w:keepLines/>
              <w:spacing w:before="0" w:after="0"/>
              <w:jc w:val="center"/>
            </w:pPr>
            <w:r>
              <w:t>2022–23</w:t>
            </w:r>
          </w:p>
        </w:tc>
        <w:tc>
          <w:tcPr>
            <w:tcW w:w="1117" w:type="dxa"/>
          </w:tcPr>
          <w:p w14:paraId="2722D1C8" w14:textId="77777777" w:rsidR="00E2157C" w:rsidRDefault="00E2157C">
            <w:pPr>
              <w:keepLines/>
              <w:spacing w:before="0" w:after="0"/>
              <w:jc w:val="center"/>
            </w:pPr>
            <w:r>
              <w:t>2023–24</w:t>
            </w:r>
          </w:p>
        </w:tc>
      </w:tr>
      <w:tr w:rsidR="00BC3D5B" w:rsidRPr="00BC3D5B" w14:paraId="617375A5"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DDF2EC" w:themeFill="background2" w:themeFillTint="33"/>
          </w:tcPr>
          <w:p w14:paraId="7ACA36EA" w14:textId="53445678" w:rsidR="00BC3D5B" w:rsidRPr="00BC3D5B" w:rsidRDefault="00BC3D5B">
            <w:pPr>
              <w:keepLines/>
              <w:spacing w:before="0" w:after="0"/>
              <w:rPr>
                <w:rFonts w:asciiTheme="majorHAnsi" w:hAnsiTheme="majorHAnsi"/>
              </w:rPr>
            </w:pPr>
            <w:r w:rsidRPr="00BC3D5B">
              <w:rPr>
                <w:rFonts w:asciiTheme="majorHAnsi" w:hAnsiTheme="majorHAnsi"/>
              </w:rPr>
              <w:t>Profile Collection</w:t>
            </w:r>
          </w:p>
        </w:tc>
        <w:tc>
          <w:tcPr>
            <w:tcW w:w="1048" w:type="dxa"/>
            <w:shd w:val="clear" w:color="auto" w:fill="DDF2EC" w:themeFill="background2" w:themeFillTint="33"/>
          </w:tcPr>
          <w:p w14:paraId="3AA9B461" w14:textId="401684BE" w:rsidR="00BC3D5B" w:rsidRPr="00BC3D5B" w:rsidRDefault="004E669F">
            <w:pPr>
              <w:keepLines/>
              <w:spacing w:before="0" w:after="0"/>
              <w:jc w:val="center"/>
              <w:rPr>
                <w:rFonts w:asciiTheme="majorHAnsi" w:hAnsiTheme="majorHAnsi"/>
              </w:rPr>
            </w:pPr>
            <w:r>
              <w:rPr>
                <w:rFonts w:asciiTheme="majorHAnsi" w:hAnsiTheme="majorHAnsi"/>
              </w:rPr>
              <w:t>N</w:t>
            </w:r>
          </w:p>
        </w:tc>
        <w:tc>
          <w:tcPr>
            <w:tcW w:w="1079" w:type="dxa"/>
            <w:shd w:val="clear" w:color="auto" w:fill="DDF2EC" w:themeFill="background2" w:themeFillTint="33"/>
          </w:tcPr>
          <w:p w14:paraId="1B79D35E" w14:textId="7DC84AFD" w:rsidR="00BC3D5B" w:rsidRPr="00BC3D5B" w:rsidRDefault="004E669F">
            <w:pPr>
              <w:keepLines/>
              <w:spacing w:before="0" w:after="0"/>
              <w:jc w:val="center"/>
              <w:rPr>
                <w:rFonts w:asciiTheme="majorHAnsi" w:hAnsiTheme="majorHAnsi"/>
              </w:rPr>
            </w:pPr>
            <w:r>
              <w:rPr>
                <w:rFonts w:asciiTheme="majorHAnsi" w:hAnsiTheme="majorHAnsi"/>
              </w:rPr>
              <w:t>N</w:t>
            </w:r>
          </w:p>
        </w:tc>
        <w:tc>
          <w:tcPr>
            <w:tcW w:w="1117" w:type="dxa"/>
            <w:shd w:val="clear" w:color="auto" w:fill="DDF2EC" w:themeFill="background2" w:themeFillTint="33"/>
          </w:tcPr>
          <w:p w14:paraId="2BAE86BB" w14:textId="1BCC27C7" w:rsidR="00BC3D5B" w:rsidRPr="00BC3D5B" w:rsidRDefault="004E669F">
            <w:pPr>
              <w:keepLines/>
              <w:spacing w:before="0" w:after="0"/>
              <w:jc w:val="center"/>
              <w:rPr>
                <w:rFonts w:asciiTheme="majorHAnsi" w:hAnsiTheme="majorHAnsi"/>
              </w:rPr>
            </w:pPr>
            <w:r>
              <w:rPr>
                <w:rFonts w:asciiTheme="majorHAnsi" w:hAnsiTheme="majorHAnsi"/>
              </w:rPr>
              <w:t>N</w:t>
            </w:r>
          </w:p>
        </w:tc>
      </w:tr>
      <w:tr w:rsidR="00E2157C" w14:paraId="5FC23978"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shd w:val="clear" w:color="auto" w:fill="auto"/>
          </w:tcPr>
          <w:p w14:paraId="31974728" w14:textId="18280268" w:rsidR="00E2157C" w:rsidRDefault="00E2157C">
            <w:pPr>
              <w:keepLines/>
              <w:spacing w:before="0" w:after="0"/>
            </w:pPr>
            <w:r>
              <w:t xml:space="preserve">Large multi-site providers (≥40 aged care homes) participating </w:t>
            </w:r>
          </w:p>
        </w:tc>
        <w:tc>
          <w:tcPr>
            <w:tcW w:w="1048" w:type="dxa"/>
            <w:shd w:val="clear" w:color="auto" w:fill="auto"/>
          </w:tcPr>
          <w:p w14:paraId="1391937D" w14:textId="77777777" w:rsidR="00E2157C" w:rsidRDefault="00E2157C">
            <w:pPr>
              <w:keepLines/>
              <w:spacing w:before="0" w:after="0"/>
              <w:jc w:val="center"/>
            </w:pPr>
            <w:r>
              <w:t>1</w:t>
            </w:r>
          </w:p>
        </w:tc>
        <w:tc>
          <w:tcPr>
            <w:tcW w:w="1079" w:type="dxa"/>
            <w:shd w:val="clear" w:color="auto" w:fill="auto"/>
          </w:tcPr>
          <w:p w14:paraId="52D3E09A" w14:textId="77777777" w:rsidR="00E2157C" w:rsidRDefault="00E2157C">
            <w:pPr>
              <w:keepLines/>
              <w:spacing w:before="0" w:after="0"/>
              <w:jc w:val="center"/>
            </w:pPr>
            <w:r>
              <w:t>3</w:t>
            </w:r>
          </w:p>
        </w:tc>
        <w:tc>
          <w:tcPr>
            <w:tcW w:w="1117" w:type="dxa"/>
            <w:shd w:val="clear" w:color="auto" w:fill="auto"/>
          </w:tcPr>
          <w:p w14:paraId="255C44A5" w14:textId="77777777" w:rsidR="00E2157C" w:rsidRDefault="00E2157C">
            <w:pPr>
              <w:keepLines/>
              <w:spacing w:before="0" w:after="0"/>
              <w:jc w:val="center"/>
            </w:pPr>
            <w:r>
              <w:t>7</w:t>
            </w:r>
          </w:p>
        </w:tc>
      </w:tr>
      <w:tr w:rsidR="00E2157C" w14:paraId="3E935E08"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auto"/>
          </w:tcPr>
          <w:p w14:paraId="39238E08" w14:textId="5F378743" w:rsidR="00E2157C" w:rsidRDefault="00E2157C">
            <w:pPr>
              <w:keepLines/>
              <w:spacing w:before="0" w:after="0"/>
            </w:pPr>
            <w:r>
              <w:t xml:space="preserve">Medium multi-site providers (20–39 aged care homes) participating </w:t>
            </w:r>
          </w:p>
        </w:tc>
        <w:tc>
          <w:tcPr>
            <w:tcW w:w="1048" w:type="dxa"/>
            <w:shd w:val="clear" w:color="auto" w:fill="auto"/>
          </w:tcPr>
          <w:p w14:paraId="240C8FCA" w14:textId="77777777" w:rsidR="00E2157C" w:rsidRDefault="00E2157C">
            <w:pPr>
              <w:keepLines/>
              <w:spacing w:before="0" w:after="0"/>
              <w:jc w:val="center"/>
            </w:pPr>
            <w:r>
              <w:t>2</w:t>
            </w:r>
          </w:p>
        </w:tc>
        <w:tc>
          <w:tcPr>
            <w:tcW w:w="1079" w:type="dxa"/>
            <w:shd w:val="clear" w:color="auto" w:fill="auto"/>
          </w:tcPr>
          <w:p w14:paraId="10F50BC8" w14:textId="77777777" w:rsidR="00E2157C" w:rsidRDefault="00E2157C">
            <w:pPr>
              <w:keepLines/>
              <w:spacing w:before="0" w:after="0"/>
              <w:jc w:val="center"/>
            </w:pPr>
            <w:r>
              <w:t>6</w:t>
            </w:r>
          </w:p>
        </w:tc>
        <w:tc>
          <w:tcPr>
            <w:tcW w:w="1117" w:type="dxa"/>
            <w:shd w:val="clear" w:color="auto" w:fill="auto"/>
          </w:tcPr>
          <w:p w14:paraId="23D1B181" w14:textId="77777777" w:rsidR="00E2157C" w:rsidRDefault="00E2157C">
            <w:pPr>
              <w:keepLines/>
              <w:spacing w:before="0" w:after="0"/>
              <w:jc w:val="center"/>
            </w:pPr>
            <w:r>
              <w:t>12</w:t>
            </w:r>
          </w:p>
        </w:tc>
      </w:tr>
      <w:tr w:rsidR="00E2157C" w14:paraId="64E62BB1"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shd w:val="clear" w:color="auto" w:fill="auto"/>
          </w:tcPr>
          <w:p w14:paraId="368B2D47" w14:textId="501C13F2" w:rsidR="00E2157C" w:rsidRDefault="00E2157C">
            <w:pPr>
              <w:keepLines/>
              <w:spacing w:before="0" w:after="0"/>
            </w:pPr>
            <w:r>
              <w:t>Medium</w:t>
            </w:r>
            <w:r w:rsidR="00185AA4">
              <w:t>-</w:t>
            </w:r>
            <w:r>
              <w:t xml:space="preserve">small multi-site providers (10–19 aged care homes) participating </w:t>
            </w:r>
          </w:p>
        </w:tc>
        <w:tc>
          <w:tcPr>
            <w:tcW w:w="1048" w:type="dxa"/>
            <w:shd w:val="clear" w:color="auto" w:fill="auto"/>
          </w:tcPr>
          <w:p w14:paraId="1454C481" w14:textId="77777777" w:rsidR="00E2157C" w:rsidRDefault="00E2157C">
            <w:pPr>
              <w:keepLines/>
              <w:spacing w:before="0" w:after="0"/>
              <w:jc w:val="center"/>
            </w:pPr>
            <w:r>
              <w:t>3</w:t>
            </w:r>
          </w:p>
        </w:tc>
        <w:tc>
          <w:tcPr>
            <w:tcW w:w="1079" w:type="dxa"/>
            <w:shd w:val="clear" w:color="auto" w:fill="auto"/>
          </w:tcPr>
          <w:p w14:paraId="130335D3" w14:textId="77777777" w:rsidR="00E2157C" w:rsidRDefault="00E2157C">
            <w:pPr>
              <w:keepLines/>
              <w:spacing w:before="0" w:after="0"/>
              <w:jc w:val="center"/>
            </w:pPr>
            <w:r>
              <w:t>11</w:t>
            </w:r>
          </w:p>
        </w:tc>
        <w:tc>
          <w:tcPr>
            <w:tcW w:w="1117" w:type="dxa"/>
            <w:shd w:val="clear" w:color="auto" w:fill="auto"/>
          </w:tcPr>
          <w:p w14:paraId="7D349286" w14:textId="77777777" w:rsidR="00E2157C" w:rsidRDefault="00E2157C">
            <w:pPr>
              <w:keepLines/>
              <w:spacing w:before="0" w:after="0"/>
              <w:jc w:val="center"/>
            </w:pPr>
            <w:r>
              <w:t>25</w:t>
            </w:r>
          </w:p>
        </w:tc>
      </w:tr>
      <w:tr w:rsidR="00E2157C" w:rsidRPr="000B2F5A" w14:paraId="6ACDB7C0"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DCDCDF" w:themeFill="text2" w:themeFillTint="33"/>
          </w:tcPr>
          <w:p w14:paraId="6D271FCE" w14:textId="77777777" w:rsidR="00E2157C" w:rsidRPr="000B2F5A" w:rsidRDefault="00E2157C">
            <w:pPr>
              <w:keepLines/>
              <w:spacing w:before="0" w:after="0"/>
              <w:rPr>
                <w:rFonts w:asciiTheme="majorHAnsi" w:hAnsiTheme="majorHAnsi"/>
              </w:rPr>
            </w:pPr>
            <w:r w:rsidRPr="000B2F5A">
              <w:rPr>
                <w:rFonts w:asciiTheme="majorHAnsi" w:hAnsiTheme="majorHAnsi"/>
              </w:rPr>
              <w:t>Total</w:t>
            </w:r>
          </w:p>
        </w:tc>
        <w:tc>
          <w:tcPr>
            <w:tcW w:w="1048" w:type="dxa"/>
            <w:shd w:val="clear" w:color="auto" w:fill="DCDCDF" w:themeFill="text2" w:themeFillTint="33"/>
          </w:tcPr>
          <w:p w14:paraId="10FC215E" w14:textId="77777777" w:rsidR="00E2157C" w:rsidRPr="000B2F5A" w:rsidRDefault="00E2157C">
            <w:pPr>
              <w:keepLines/>
              <w:spacing w:before="0" w:after="0"/>
              <w:jc w:val="center"/>
              <w:rPr>
                <w:rFonts w:asciiTheme="majorHAnsi" w:hAnsiTheme="majorHAnsi"/>
              </w:rPr>
            </w:pPr>
            <w:r w:rsidRPr="000B2F5A">
              <w:rPr>
                <w:rFonts w:asciiTheme="majorHAnsi" w:hAnsiTheme="majorHAnsi"/>
              </w:rPr>
              <w:t>6</w:t>
            </w:r>
          </w:p>
        </w:tc>
        <w:tc>
          <w:tcPr>
            <w:tcW w:w="1079" w:type="dxa"/>
            <w:shd w:val="clear" w:color="auto" w:fill="DCDCDF" w:themeFill="text2" w:themeFillTint="33"/>
          </w:tcPr>
          <w:p w14:paraId="3398CC9F" w14:textId="77777777" w:rsidR="00E2157C" w:rsidRPr="000B2F5A" w:rsidRDefault="00E2157C">
            <w:pPr>
              <w:keepLines/>
              <w:spacing w:before="0" w:after="0"/>
              <w:jc w:val="center"/>
              <w:rPr>
                <w:rFonts w:asciiTheme="majorHAnsi" w:hAnsiTheme="majorHAnsi"/>
              </w:rPr>
            </w:pPr>
            <w:r w:rsidRPr="000B2F5A">
              <w:rPr>
                <w:rFonts w:asciiTheme="majorHAnsi" w:hAnsiTheme="majorHAnsi"/>
              </w:rPr>
              <w:t>20</w:t>
            </w:r>
          </w:p>
        </w:tc>
        <w:tc>
          <w:tcPr>
            <w:tcW w:w="1117" w:type="dxa"/>
            <w:shd w:val="clear" w:color="auto" w:fill="DCDCDF" w:themeFill="text2" w:themeFillTint="33"/>
          </w:tcPr>
          <w:p w14:paraId="07EEAF74" w14:textId="77777777" w:rsidR="00E2157C" w:rsidRPr="000B2F5A" w:rsidRDefault="00E2157C">
            <w:pPr>
              <w:keepLines/>
              <w:spacing w:before="0" w:after="0"/>
              <w:jc w:val="center"/>
              <w:rPr>
                <w:rFonts w:asciiTheme="majorHAnsi" w:hAnsiTheme="majorHAnsi"/>
              </w:rPr>
            </w:pPr>
            <w:r w:rsidRPr="000B2F5A">
              <w:rPr>
                <w:rFonts w:asciiTheme="majorHAnsi" w:hAnsiTheme="majorHAnsi"/>
              </w:rPr>
              <w:t>44</w:t>
            </w:r>
          </w:p>
        </w:tc>
      </w:tr>
      <w:tr w:rsidR="00BC3D5B" w:rsidRPr="00BC3D5B" w14:paraId="4F46B5E6"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tcPr>
          <w:p w14:paraId="19C56E37" w14:textId="7DA71C45" w:rsidR="00BC3D5B" w:rsidRPr="00BC3D5B" w:rsidRDefault="00BC3D5B">
            <w:pPr>
              <w:keepLines/>
              <w:spacing w:before="0" w:after="0"/>
              <w:rPr>
                <w:rFonts w:asciiTheme="majorHAnsi" w:hAnsiTheme="majorHAnsi"/>
              </w:rPr>
            </w:pPr>
            <w:r>
              <w:rPr>
                <w:rFonts w:asciiTheme="majorHAnsi" w:hAnsiTheme="majorHAnsi"/>
              </w:rPr>
              <w:t>Outcomes</w:t>
            </w:r>
            <w:r w:rsidRPr="00BC3D5B">
              <w:rPr>
                <w:rFonts w:asciiTheme="majorHAnsi" w:hAnsiTheme="majorHAnsi"/>
              </w:rPr>
              <w:t xml:space="preserve"> Collection</w:t>
            </w:r>
          </w:p>
        </w:tc>
        <w:tc>
          <w:tcPr>
            <w:tcW w:w="1048" w:type="dxa"/>
          </w:tcPr>
          <w:p w14:paraId="4621F817" w14:textId="657793CD" w:rsidR="00BC3D5B" w:rsidRPr="00BC3D5B" w:rsidRDefault="004E669F">
            <w:pPr>
              <w:keepLines/>
              <w:spacing w:before="0" w:after="0"/>
              <w:jc w:val="center"/>
              <w:rPr>
                <w:rFonts w:asciiTheme="majorHAnsi" w:hAnsiTheme="majorHAnsi"/>
              </w:rPr>
            </w:pPr>
            <w:r>
              <w:rPr>
                <w:rFonts w:asciiTheme="majorHAnsi" w:hAnsiTheme="majorHAnsi"/>
              </w:rPr>
              <w:t>N</w:t>
            </w:r>
          </w:p>
        </w:tc>
        <w:tc>
          <w:tcPr>
            <w:tcW w:w="1079" w:type="dxa"/>
          </w:tcPr>
          <w:p w14:paraId="20376878" w14:textId="4616E20F" w:rsidR="00BC3D5B" w:rsidRPr="00BC3D5B" w:rsidRDefault="004E669F">
            <w:pPr>
              <w:keepLines/>
              <w:spacing w:before="0" w:after="0"/>
              <w:jc w:val="center"/>
              <w:rPr>
                <w:rFonts w:asciiTheme="majorHAnsi" w:hAnsiTheme="majorHAnsi"/>
              </w:rPr>
            </w:pPr>
            <w:r>
              <w:rPr>
                <w:rFonts w:asciiTheme="majorHAnsi" w:hAnsiTheme="majorHAnsi"/>
              </w:rPr>
              <w:t>N</w:t>
            </w:r>
          </w:p>
        </w:tc>
        <w:tc>
          <w:tcPr>
            <w:tcW w:w="1117" w:type="dxa"/>
          </w:tcPr>
          <w:p w14:paraId="08AF7C78" w14:textId="130F207C" w:rsidR="00BC3D5B" w:rsidRPr="00BC3D5B" w:rsidRDefault="004E669F">
            <w:pPr>
              <w:keepLines/>
              <w:spacing w:before="0" w:after="0"/>
              <w:jc w:val="center"/>
              <w:rPr>
                <w:rFonts w:asciiTheme="majorHAnsi" w:hAnsiTheme="majorHAnsi"/>
              </w:rPr>
            </w:pPr>
            <w:r>
              <w:rPr>
                <w:rFonts w:asciiTheme="majorHAnsi" w:hAnsiTheme="majorHAnsi"/>
              </w:rPr>
              <w:t>N</w:t>
            </w:r>
          </w:p>
        </w:tc>
      </w:tr>
      <w:tr w:rsidR="00927A4C" w:rsidRPr="000B2F5A" w14:paraId="50ED7E9C"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auto"/>
          </w:tcPr>
          <w:p w14:paraId="718518CA" w14:textId="29372703" w:rsidR="00927A4C" w:rsidRPr="000B2F5A" w:rsidRDefault="00927A4C" w:rsidP="00927A4C">
            <w:pPr>
              <w:keepLines/>
              <w:spacing w:before="0" w:after="0"/>
              <w:rPr>
                <w:rFonts w:asciiTheme="majorHAnsi" w:hAnsiTheme="majorHAnsi"/>
              </w:rPr>
            </w:pPr>
            <w:r>
              <w:t xml:space="preserve">Large multi-site providers (≥40 aged care homes) participating </w:t>
            </w:r>
          </w:p>
        </w:tc>
        <w:tc>
          <w:tcPr>
            <w:tcW w:w="1048" w:type="dxa"/>
            <w:shd w:val="clear" w:color="auto" w:fill="auto"/>
          </w:tcPr>
          <w:p w14:paraId="1A14F007" w14:textId="228CBF42" w:rsidR="00927A4C" w:rsidRPr="000B2F5A" w:rsidRDefault="00927A4C" w:rsidP="00927A4C">
            <w:pPr>
              <w:keepLines/>
              <w:spacing w:before="0" w:after="0"/>
              <w:jc w:val="center"/>
              <w:rPr>
                <w:rFonts w:asciiTheme="majorHAnsi" w:hAnsiTheme="majorHAnsi"/>
              </w:rPr>
            </w:pPr>
            <w:r>
              <w:t>1</w:t>
            </w:r>
          </w:p>
        </w:tc>
        <w:tc>
          <w:tcPr>
            <w:tcW w:w="1079" w:type="dxa"/>
            <w:shd w:val="clear" w:color="auto" w:fill="auto"/>
          </w:tcPr>
          <w:p w14:paraId="3048ECB9" w14:textId="0C91FF1A" w:rsidR="00927A4C" w:rsidRPr="000B2F5A" w:rsidRDefault="00927A4C" w:rsidP="00927A4C">
            <w:pPr>
              <w:keepLines/>
              <w:spacing w:before="0" w:after="0"/>
              <w:jc w:val="center"/>
              <w:rPr>
                <w:rFonts w:asciiTheme="majorHAnsi" w:hAnsiTheme="majorHAnsi"/>
              </w:rPr>
            </w:pPr>
            <w:r>
              <w:t>3</w:t>
            </w:r>
          </w:p>
        </w:tc>
        <w:tc>
          <w:tcPr>
            <w:tcW w:w="1117" w:type="dxa"/>
            <w:shd w:val="clear" w:color="auto" w:fill="auto"/>
          </w:tcPr>
          <w:p w14:paraId="78AE472D" w14:textId="57F43DCB" w:rsidR="00927A4C" w:rsidRPr="000B2F5A" w:rsidRDefault="00927A4C" w:rsidP="00927A4C">
            <w:pPr>
              <w:keepLines/>
              <w:spacing w:before="0" w:after="0"/>
              <w:jc w:val="center"/>
              <w:rPr>
                <w:rFonts w:asciiTheme="majorHAnsi" w:hAnsiTheme="majorHAnsi"/>
              </w:rPr>
            </w:pPr>
            <w:r>
              <w:t>6</w:t>
            </w:r>
          </w:p>
        </w:tc>
      </w:tr>
      <w:tr w:rsidR="00927A4C" w:rsidRPr="000B2F5A" w14:paraId="549F8D7D"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shd w:val="clear" w:color="auto" w:fill="auto"/>
          </w:tcPr>
          <w:p w14:paraId="5C7C943B" w14:textId="43E0596F" w:rsidR="00927A4C" w:rsidRPr="000B2F5A" w:rsidRDefault="00927A4C" w:rsidP="00927A4C">
            <w:pPr>
              <w:keepLines/>
              <w:spacing w:before="0" w:after="0"/>
              <w:rPr>
                <w:rFonts w:asciiTheme="majorHAnsi" w:hAnsiTheme="majorHAnsi"/>
              </w:rPr>
            </w:pPr>
            <w:r>
              <w:t xml:space="preserve">Medium multi-site providers (20–39 aged care homes) participating </w:t>
            </w:r>
          </w:p>
        </w:tc>
        <w:tc>
          <w:tcPr>
            <w:tcW w:w="1048" w:type="dxa"/>
            <w:shd w:val="clear" w:color="auto" w:fill="auto"/>
          </w:tcPr>
          <w:p w14:paraId="324F7DF7" w14:textId="4FF37B2C" w:rsidR="00927A4C" w:rsidRPr="000B2F5A" w:rsidRDefault="00927A4C" w:rsidP="00927A4C">
            <w:pPr>
              <w:keepLines/>
              <w:spacing w:before="0" w:after="0"/>
              <w:jc w:val="center"/>
              <w:rPr>
                <w:rFonts w:asciiTheme="majorHAnsi" w:hAnsiTheme="majorHAnsi"/>
              </w:rPr>
            </w:pPr>
            <w:r>
              <w:t>1</w:t>
            </w:r>
          </w:p>
        </w:tc>
        <w:tc>
          <w:tcPr>
            <w:tcW w:w="1079" w:type="dxa"/>
            <w:shd w:val="clear" w:color="auto" w:fill="auto"/>
          </w:tcPr>
          <w:p w14:paraId="2EA0411A" w14:textId="4AC92C70" w:rsidR="00927A4C" w:rsidRPr="000B2F5A" w:rsidRDefault="00927A4C" w:rsidP="00927A4C">
            <w:pPr>
              <w:keepLines/>
              <w:spacing w:before="0" w:after="0"/>
              <w:jc w:val="center"/>
              <w:rPr>
                <w:rFonts w:asciiTheme="majorHAnsi" w:hAnsiTheme="majorHAnsi"/>
              </w:rPr>
            </w:pPr>
            <w:r>
              <w:t>3</w:t>
            </w:r>
          </w:p>
        </w:tc>
        <w:tc>
          <w:tcPr>
            <w:tcW w:w="1117" w:type="dxa"/>
            <w:shd w:val="clear" w:color="auto" w:fill="auto"/>
          </w:tcPr>
          <w:p w14:paraId="54EE4A27" w14:textId="22BA9C48" w:rsidR="00927A4C" w:rsidRPr="000B2F5A" w:rsidRDefault="00927A4C" w:rsidP="00927A4C">
            <w:pPr>
              <w:keepLines/>
              <w:spacing w:before="0" w:after="0"/>
              <w:jc w:val="center"/>
              <w:rPr>
                <w:rFonts w:asciiTheme="majorHAnsi" w:hAnsiTheme="majorHAnsi"/>
              </w:rPr>
            </w:pPr>
            <w:r>
              <w:t>6</w:t>
            </w:r>
          </w:p>
        </w:tc>
      </w:tr>
      <w:tr w:rsidR="00927A4C" w:rsidRPr="000B2F5A" w14:paraId="5C489605"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auto"/>
          </w:tcPr>
          <w:p w14:paraId="20EBD261" w14:textId="67EDCAD7" w:rsidR="00927A4C" w:rsidRPr="000B2F5A" w:rsidRDefault="00927A4C" w:rsidP="00927A4C">
            <w:pPr>
              <w:keepLines/>
              <w:spacing w:before="0" w:after="0"/>
              <w:rPr>
                <w:rFonts w:asciiTheme="majorHAnsi" w:hAnsiTheme="majorHAnsi"/>
              </w:rPr>
            </w:pPr>
            <w:r>
              <w:t>Medium</w:t>
            </w:r>
            <w:r w:rsidR="00185AA4">
              <w:t>-</w:t>
            </w:r>
            <w:r>
              <w:t xml:space="preserve">small multi-site providers (10–19 aged care homes) participating </w:t>
            </w:r>
          </w:p>
        </w:tc>
        <w:tc>
          <w:tcPr>
            <w:tcW w:w="1048" w:type="dxa"/>
            <w:shd w:val="clear" w:color="auto" w:fill="auto"/>
          </w:tcPr>
          <w:p w14:paraId="11F292DB" w14:textId="6C0A3698" w:rsidR="00927A4C" w:rsidRPr="000B2F5A" w:rsidRDefault="00927A4C" w:rsidP="00927A4C">
            <w:pPr>
              <w:keepLines/>
              <w:spacing w:before="0" w:after="0"/>
              <w:jc w:val="center"/>
              <w:rPr>
                <w:rFonts w:asciiTheme="majorHAnsi" w:hAnsiTheme="majorHAnsi"/>
              </w:rPr>
            </w:pPr>
            <w:r>
              <w:t>1</w:t>
            </w:r>
          </w:p>
        </w:tc>
        <w:tc>
          <w:tcPr>
            <w:tcW w:w="1079" w:type="dxa"/>
            <w:shd w:val="clear" w:color="auto" w:fill="auto"/>
          </w:tcPr>
          <w:p w14:paraId="21F89734" w14:textId="5EDD4726" w:rsidR="00927A4C" w:rsidRPr="000B2F5A" w:rsidRDefault="00927A4C" w:rsidP="00927A4C">
            <w:pPr>
              <w:keepLines/>
              <w:spacing w:before="0" w:after="0"/>
              <w:jc w:val="center"/>
              <w:rPr>
                <w:rFonts w:asciiTheme="majorHAnsi" w:hAnsiTheme="majorHAnsi"/>
              </w:rPr>
            </w:pPr>
            <w:r>
              <w:t>6</w:t>
            </w:r>
          </w:p>
        </w:tc>
        <w:tc>
          <w:tcPr>
            <w:tcW w:w="1117" w:type="dxa"/>
            <w:shd w:val="clear" w:color="auto" w:fill="auto"/>
          </w:tcPr>
          <w:p w14:paraId="58CD6FD8" w14:textId="69FF663A" w:rsidR="00927A4C" w:rsidRPr="000B2F5A" w:rsidRDefault="00927A4C" w:rsidP="00927A4C">
            <w:pPr>
              <w:keepLines/>
              <w:spacing w:before="0" w:after="0"/>
              <w:jc w:val="center"/>
              <w:rPr>
                <w:rFonts w:asciiTheme="majorHAnsi" w:hAnsiTheme="majorHAnsi"/>
              </w:rPr>
            </w:pPr>
            <w:r>
              <w:t>13</w:t>
            </w:r>
          </w:p>
        </w:tc>
      </w:tr>
      <w:tr w:rsidR="00927A4C" w:rsidRPr="000B2F5A" w14:paraId="629D6F3F"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shd w:val="clear" w:color="auto" w:fill="DCDCDF" w:themeFill="text2" w:themeFillTint="33"/>
          </w:tcPr>
          <w:p w14:paraId="102456E9" w14:textId="38583319" w:rsidR="00927A4C" w:rsidRPr="000B2F5A" w:rsidRDefault="00927A4C" w:rsidP="00927A4C">
            <w:pPr>
              <w:keepLines/>
              <w:spacing w:before="0" w:after="0"/>
              <w:rPr>
                <w:rFonts w:asciiTheme="majorHAnsi" w:hAnsiTheme="majorHAnsi"/>
              </w:rPr>
            </w:pPr>
            <w:r w:rsidRPr="000B2F5A">
              <w:rPr>
                <w:rFonts w:asciiTheme="majorHAnsi" w:hAnsiTheme="majorHAnsi"/>
              </w:rPr>
              <w:t>Total</w:t>
            </w:r>
          </w:p>
        </w:tc>
        <w:tc>
          <w:tcPr>
            <w:tcW w:w="1048" w:type="dxa"/>
            <w:shd w:val="clear" w:color="auto" w:fill="DCDCDF" w:themeFill="text2" w:themeFillTint="33"/>
          </w:tcPr>
          <w:p w14:paraId="5D26ED81" w14:textId="067843FD" w:rsidR="00927A4C" w:rsidRPr="000B2F5A" w:rsidRDefault="00927A4C" w:rsidP="00927A4C">
            <w:pPr>
              <w:keepLines/>
              <w:spacing w:before="0" w:after="0"/>
              <w:jc w:val="center"/>
              <w:rPr>
                <w:rFonts w:asciiTheme="majorHAnsi" w:hAnsiTheme="majorHAnsi"/>
              </w:rPr>
            </w:pPr>
            <w:r>
              <w:rPr>
                <w:rFonts w:asciiTheme="majorHAnsi" w:hAnsiTheme="majorHAnsi"/>
              </w:rPr>
              <w:t>3</w:t>
            </w:r>
          </w:p>
        </w:tc>
        <w:tc>
          <w:tcPr>
            <w:tcW w:w="1079" w:type="dxa"/>
            <w:shd w:val="clear" w:color="auto" w:fill="DCDCDF" w:themeFill="text2" w:themeFillTint="33"/>
          </w:tcPr>
          <w:p w14:paraId="397244EE" w14:textId="4594BEC6" w:rsidR="00927A4C" w:rsidRPr="000B2F5A" w:rsidRDefault="00927A4C" w:rsidP="00927A4C">
            <w:pPr>
              <w:keepLines/>
              <w:spacing w:before="0" w:after="0"/>
              <w:jc w:val="center"/>
              <w:rPr>
                <w:rFonts w:asciiTheme="majorHAnsi" w:hAnsiTheme="majorHAnsi"/>
              </w:rPr>
            </w:pPr>
            <w:r>
              <w:rPr>
                <w:rFonts w:asciiTheme="majorHAnsi" w:hAnsiTheme="majorHAnsi"/>
              </w:rPr>
              <w:t>12</w:t>
            </w:r>
          </w:p>
        </w:tc>
        <w:tc>
          <w:tcPr>
            <w:tcW w:w="1117" w:type="dxa"/>
            <w:shd w:val="clear" w:color="auto" w:fill="DCDCDF" w:themeFill="text2" w:themeFillTint="33"/>
          </w:tcPr>
          <w:p w14:paraId="6FCB3AD8" w14:textId="5A5C7886" w:rsidR="00927A4C" w:rsidRPr="000B2F5A" w:rsidRDefault="00927A4C" w:rsidP="00927A4C">
            <w:pPr>
              <w:keepLines/>
              <w:spacing w:before="0" w:after="0"/>
              <w:jc w:val="center"/>
              <w:rPr>
                <w:rFonts w:asciiTheme="majorHAnsi" w:hAnsiTheme="majorHAnsi"/>
              </w:rPr>
            </w:pPr>
            <w:r>
              <w:rPr>
                <w:rFonts w:asciiTheme="majorHAnsi" w:hAnsiTheme="majorHAnsi"/>
              </w:rPr>
              <w:t>25</w:t>
            </w:r>
          </w:p>
        </w:tc>
      </w:tr>
    </w:tbl>
    <w:p w14:paraId="710F2CF2" w14:textId="161B52FA" w:rsidR="00E2157C" w:rsidRPr="004E3D26" w:rsidRDefault="00E2157C" w:rsidP="004E3D26">
      <w:pPr>
        <w:pStyle w:val="Tablenotes"/>
        <w:rPr>
          <w:rStyle w:val="CommentReference"/>
          <w:sz w:val="14"/>
        </w:rPr>
      </w:pPr>
      <w:r w:rsidRPr="004E3D26">
        <w:rPr>
          <w:rStyle w:val="CommentReference"/>
          <w:sz w:val="14"/>
        </w:rPr>
        <w:t xml:space="preserve">Source: PACOP Activity Work Plan 2021–2024 </w:t>
      </w:r>
      <w:sdt>
        <w:sdtPr>
          <w:rPr>
            <w:rStyle w:val="CommentReference"/>
            <w:sz w:val="14"/>
          </w:rPr>
          <w:id w:val="2081863587"/>
          <w:citation/>
        </w:sdtPr>
        <w:sdtContent>
          <w:r w:rsidRPr="004E3D26">
            <w:rPr>
              <w:rStyle w:val="CommentReference"/>
              <w:sz w:val="14"/>
            </w:rPr>
            <w:fldChar w:fldCharType="begin"/>
          </w:r>
          <w:r w:rsidRPr="004E3D26">
            <w:rPr>
              <w:rStyle w:val="CommentReference"/>
              <w:sz w:val="14"/>
            </w:rPr>
            <w:instrText xml:space="preserve"> CITATION Uni21 \l 1033 </w:instrText>
          </w:r>
          <w:r w:rsidRPr="004E3D26">
            <w:rPr>
              <w:rStyle w:val="CommentReference"/>
              <w:sz w:val="14"/>
            </w:rPr>
            <w:fldChar w:fldCharType="separate"/>
          </w:r>
          <w:r w:rsidR="008410E0" w:rsidRPr="008410E0">
            <w:rPr>
              <w:noProof/>
            </w:rPr>
            <w:t>[22]</w:t>
          </w:r>
          <w:r w:rsidRPr="004E3D26">
            <w:rPr>
              <w:rStyle w:val="CommentReference"/>
              <w:sz w:val="14"/>
            </w:rPr>
            <w:fldChar w:fldCharType="end"/>
          </w:r>
        </w:sdtContent>
      </w:sdt>
      <w:r w:rsidRPr="004E3D26">
        <w:rPr>
          <w:rStyle w:val="CommentReference"/>
          <w:sz w:val="14"/>
        </w:rPr>
        <w:t>.</w:t>
      </w:r>
    </w:p>
    <w:p w14:paraId="23006765" w14:textId="33BC9552" w:rsidR="00CD798F" w:rsidRDefault="00CD798F" w:rsidP="00CD798F">
      <w:pPr>
        <w:pStyle w:val="Heading4"/>
      </w:pPr>
      <w:r>
        <w:t>Revised performance indicators and targets (</w:t>
      </w:r>
      <w:r w:rsidRPr="00717978">
        <w:t>202</w:t>
      </w:r>
      <w:r>
        <w:t>4</w:t>
      </w:r>
      <w:r w:rsidRPr="00717978">
        <w:t>–2</w:t>
      </w:r>
      <w:r>
        <w:t>5</w:t>
      </w:r>
      <w:r w:rsidRPr="00717978">
        <w:t xml:space="preserve"> to 202</w:t>
      </w:r>
      <w:r>
        <w:t>5</w:t>
      </w:r>
      <w:r w:rsidRPr="00717978">
        <w:t>–2</w:t>
      </w:r>
      <w:r>
        <w:t>6)</w:t>
      </w:r>
    </w:p>
    <w:p w14:paraId="7AC0BD52" w14:textId="7A6B5C4F" w:rsidR="004E3D26" w:rsidRDefault="00CD798F" w:rsidP="00CD798F">
      <w:r>
        <w:t xml:space="preserve">Under </w:t>
      </w:r>
      <w:r w:rsidR="001B6E65">
        <w:t xml:space="preserve">the </w:t>
      </w:r>
      <w:r w:rsidR="00382FEF">
        <w:t>new Activity Work Plan</w:t>
      </w:r>
      <w:r w:rsidR="004E3D26">
        <w:t>s</w:t>
      </w:r>
      <w:r w:rsidR="00382FEF">
        <w:t xml:space="preserve"> developed for </w:t>
      </w:r>
      <w:r w:rsidR="004E3D26">
        <w:t>2024–25 to 2025–26</w:t>
      </w:r>
      <w:r w:rsidR="00382FEF">
        <w:t xml:space="preserve">, </w:t>
      </w:r>
      <w:r w:rsidR="00565F7C">
        <w:t xml:space="preserve">the University of Wollongong specified </w:t>
      </w:r>
      <w:r w:rsidR="00382FEF">
        <w:t xml:space="preserve">a set of new </w:t>
      </w:r>
      <w:r w:rsidR="00071B96">
        <w:t xml:space="preserve">formal </w:t>
      </w:r>
      <w:r w:rsidR="00382FEF">
        <w:t xml:space="preserve">performance </w:t>
      </w:r>
      <w:r w:rsidR="00EC0779">
        <w:t>indicators</w:t>
      </w:r>
      <w:r w:rsidR="009C1491">
        <w:t xml:space="preserve"> </w:t>
      </w:r>
      <w:r w:rsidR="004E3D26">
        <w:t xml:space="preserve">and measures </w:t>
      </w:r>
      <w:r w:rsidR="009C1491">
        <w:t>(</w:t>
      </w:r>
      <w:r w:rsidR="009C1491">
        <w:fldChar w:fldCharType="begin"/>
      </w:r>
      <w:r w:rsidR="009C1491">
        <w:instrText xml:space="preserve"> REF _Ref214966550 \h </w:instrText>
      </w:r>
      <w:r w:rsidR="009C1491">
        <w:fldChar w:fldCharType="separate"/>
      </w:r>
      <w:r w:rsidR="00167BA0">
        <w:t xml:space="preserve">Table </w:t>
      </w:r>
      <w:r w:rsidR="00167BA0">
        <w:rPr>
          <w:noProof/>
        </w:rPr>
        <w:t>3</w:t>
      </w:r>
      <w:r w:rsidR="00167BA0">
        <w:t>.</w:t>
      </w:r>
      <w:r w:rsidR="00167BA0">
        <w:rPr>
          <w:noProof/>
        </w:rPr>
        <w:t>3</w:t>
      </w:r>
      <w:r w:rsidR="009C1491">
        <w:fldChar w:fldCharType="end"/>
      </w:r>
      <w:r w:rsidR="009C1491">
        <w:t>). These</w:t>
      </w:r>
      <w:r w:rsidR="00EC0779">
        <w:t xml:space="preserve"> </w:t>
      </w:r>
      <w:r w:rsidR="004E3D26">
        <w:t xml:space="preserve">shifted away from specific numerical targets to broader, qualitative outcome-based measures </w:t>
      </w:r>
      <w:r w:rsidR="00EC0779">
        <w:t>directly</w:t>
      </w:r>
      <w:r w:rsidR="004E3D26">
        <w:t xml:space="preserve"> aligned with </w:t>
      </w:r>
      <w:r w:rsidR="00EC0779">
        <w:t xml:space="preserve">the </w:t>
      </w:r>
      <w:r w:rsidR="009F7302">
        <w:t>Measure</w:t>
      </w:r>
      <w:r w:rsidR="003863F5">
        <w:t>’</w:t>
      </w:r>
      <w:r w:rsidR="009F7302">
        <w:t>s intended outcomes</w:t>
      </w:r>
      <w:r w:rsidR="004E3D26">
        <w:t>.</w:t>
      </w:r>
    </w:p>
    <w:p w14:paraId="7E3B191F" w14:textId="27A8FE66" w:rsidR="009E722F" w:rsidRDefault="009E722F" w:rsidP="009E722F">
      <w:pPr>
        <w:pStyle w:val="Caption"/>
      </w:pPr>
      <w:bookmarkStart w:id="49" w:name="_Ref214966550"/>
      <w:r>
        <w:t xml:space="preserve">Table </w:t>
      </w:r>
      <w:fldSimple w:instr=" STYLEREF 1 \s ">
        <w:r w:rsidR="0091457A">
          <w:rPr>
            <w:noProof/>
          </w:rPr>
          <w:t>3</w:t>
        </w:r>
      </w:fldSimple>
      <w:r w:rsidR="0091457A">
        <w:t>.</w:t>
      </w:r>
      <w:fldSimple w:instr=" SEQ Table \* ARABIC \s 1 ">
        <w:r w:rsidR="0091457A">
          <w:rPr>
            <w:noProof/>
          </w:rPr>
          <w:t>3</w:t>
        </w:r>
      </w:fldSimple>
      <w:bookmarkEnd w:id="49"/>
      <w:r>
        <w:t xml:space="preserve">: PACOP key performance indicators and </w:t>
      </w:r>
      <w:r w:rsidR="0011605A">
        <w:t>measures</w:t>
      </w:r>
      <w:r>
        <w:t xml:space="preserve"> (2024–25 to 2025–26)</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ACOP performance measures"/>
        <w:tblDescription w:val="Table shows PACOP performance measures for 2024–25 to 2025–26."/>
      </w:tblPr>
      <w:tblGrid>
        <w:gridCol w:w="3261"/>
        <w:gridCol w:w="3952"/>
      </w:tblGrid>
      <w:tr w:rsidR="001B6E65" w14:paraId="26B7977B" w14:textId="77777777" w:rsidTr="00D66C0F">
        <w:trPr>
          <w:cnfStyle w:val="100000000000" w:firstRow="1" w:lastRow="0" w:firstColumn="0" w:lastColumn="0" w:oddVBand="0" w:evenVBand="0" w:oddHBand="0" w:evenHBand="0" w:firstRowFirstColumn="0" w:firstRowLastColumn="0" w:lastRowFirstColumn="0" w:lastRowLastColumn="0"/>
          <w:tblHeader/>
        </w:trPr>
        <w:tc>
          <w:tcPr>
            <w:tcW w:w="3261" w:type="dxa"/>
          </w:tcPr>
          <w:p w14:paraId="2062F40D" w14:textId="69CEC4C4" w:rsidR="001B6E65" w:rsidRDefault="009E722F" w:rsidP="009E722F">
            <w:pPr>
              <w:spacing w:before="0" w:after="0"/>
            </w:pPr>
            <w:r>
              <w:t>Performance indicator</w:t>
            </w:r>
          </w:p>
        </w:tc>
        <w:tc>
          <w:tcPr>
            <w:tcW w:w="3952" w:type="dxa"/>
          </w:tcPr>
          <w:p w14:paraId="0F395D29" w14:textId="6BC3EDD3" w:rsidR="001B6E65" w:rsidRDefault="00EC0779" w:rsidP="009E722F">
            <w:pPr>
              <w:spacing w:before="0" w:after="0"/>
            </w:pPr>
            <w:r>
              <w:t>Measure</w:t>
            </w:r>
          </w:p>
        </w:tc>
      </w:tr>
      <w:tr w:rsidR="001B6E65" w14:paraId="4FC93FC4" w14:textId="77777777" w:rsidTr="00D66C0F">
        <w:trPr>
          <w:cnfStyle w:val="000000100000" w:firstRow="0" w:lastRow="0" w:firstColumn="0" w:lastColumn="0" w:oddVBand="0" w:evenVBand="0" w:oddHBand="1" w:evenHBand="0" w:firstRowFirstColumn="0" w:firstRowLastColumn="0" w:lastRowFirstColumn="0" w:lastRowLastColumn="0"/>
        </w:trPr>
        <w:tc>
          <w:tcPr>
            <w:tcW w:w="3261" w:type="dxa"/>
          </w:tcPr>
          <w:p w14:paraId="6C3B1C41" w14:textId="1BE2F9A2" w:rsidR="001B6E65" w:rsidRPr="007A4641" w:rsidRDefault="000916BE" w:rsidP="007A4641">
            <w:pPr>
              <w:pStyle w:val="TableText"/>
            </w:pPr>
            <w:r w:rsidRPr="007A4641">
              <w:t xml:space="preserve">Improved outcomes for residents and their families at the end of life </w:t>
            </w:r>
          </w:p>
        </w:tc>
        <w:tc>
          <w:tcPr>
            <w:tcW w:w="3952" w:type="dxa"/>
          </w:tcPr>
          <w:p w14:paraId="32B7C9E6" w14:textId="4ECC1F02" w:rsidR="001B6E65" w:rsidRPr="007A4641" w:rsidRDefault="000916BE" w:rsidP="007A4641">
            <w:pPr>
              <w:pStyle w:val="TableText"/>
            </w:pPr>
            <w:r w:rsidRPr="007A4641">
              <w:t xml:space="preserve">Improved capabilities of the aged care workforce to monitor, recognise and respond to identified palliative care needs of residents and their families </w:t>
            </w:r>
          </w:p>
        </w:tc>
      </w:tr>
      <w:tr w:rsidR="001B6E65" w14:paraId="3DD3366A" w14:textId="77777777" w:rsidTr="00D66C0F">
        <w:trPr>
          <w:cnfStyle w:val="000000010000" w:firstRow="0" w:lastRow="0" w:firstColumn="0" w:lastColumn="0" w:oddVBand="0" w:evenVBand="0" w:oddHBand="0" w:evenHBand="1" w:firstRowFirstColumn="0" w:firstRowLastColumn="0" w:lastRowFirstColumn="0" w:lastRowLastColumn="0"/>
        </w:trPr>
        <w:tc>
          <w:tcPr>
            <w:tcW w:w="3261" w:type="dxa"/>
          </w:tcPr>
          <w:p w14:paraId="76A0196B" w14:textId="21469068" w:rsidR="001B6E65" w:rsidRPr="007A4641" w:rsidRDefault="000916BE" w:rsidP="007A4641">
            <w:pPr>
              <w:pStyle w:val="TableText"/>
            </w:pPr>
            <w:r w:rsidRPr="007A4641">
              <w:t xml:space="preserve">Aged care homes deliver </w:t>
            </w:r>
            <w:r w:rsidR="007A4641">
              <w:t>high-quality</w:t>
            </w:r>
            <w:r w:rsidRPr="007A4641">
              <w:t>, safe</w:t>
            </w:r>
            <w:r w:rsidR="009450E5">
              <w:t>,</w:t>
            </w:r>
            <w:r w:rsidRPr="007A4641">
              <w:t xml:space="preserve"> and culturally appropriate palliative care that meets individual care needs</w:t>
            </w:r>
          </w:p>
        </w:tc>
        <w:tc>
          <w:tcPr>
            <w:tcW w:w="3952" w:type="dxa"/>
          </w:tcPr>
          <w:p w14:paraId="76FC0831" w14:textId="438303AA" w:rsidR="001B6E65" w:rsidRPr="007A4641" w:rsidRDefault="000916BE" w:rsidP="007A4641">
            <w:pPr>
              <w:pStyle w:val="TableText"/>
            </w:pPr>
            <w:r w:rsidRPr="007A4641">
              <w:t xml:space="preserve">Improved, nationally standardised, palliative care education and training </w:t>
            </w:r>
            <w:proofErr w:type="gramStart"/>
            <w:r w:rsidRPr="007A4641">
              <w:t>builds</w:t>
            </w:r>
            <w:proofErr w:type="gramEnd"/>
            <w:r w:rsidRPr="007A4641">
              <w:t xml:space="preserve"> </w:t>
            </w:r>
            <w:r w:rsidR="007A4641">
              <w:t xml:space="preserve">the </w:t>
            </w:r>
            <w:r w:rsidRPr="007A4641">
              <w:t>capacity of the aged care workforce to improve the quality of, and timely access to, palliative care for residents</w:t>
            </w:r>
          </w:p>
        </w:tc>
      </w:tr>
      <w:tr w:rsidR="009E722F" w14:paraId="27A4C67A" w14:textId="77777777" w:rsidTr="00D66C0F">
        <w:trPr>
          <w:cnfStyle w:val="000000100000" w:firstRow="0" w:lastRow="0" w:firstColumn="0" w:lastColumn="0" w:oddVBand="0" w:evenVBand="0" w:oddHBand="1" w:evenHBand="0" w:firstRowFirstColumn="0" w:firstRowLastColumn="0" w:lastRowFirstColumn="0" w:lastRowLastColumn="0"/>
        </w:trPr>
        <w:tc>
          <w:tcPr>
            <w:tcW w:w="3261" w:type="dxa"/>
          </w:tcPr>
          <w:p w14:paraId="44A65B1F" w14:textId="28E91171" w:rsidR="009E722F" w:rsidRPr="007A4641" w:rsidRDefault="000916BE" w:rsidP="007A4641">
            <w:pPr>
              <w:pStyle w:val="TableText"/>
            </w:pPr>
            <w:r w:rsidRPr="007A4641">
              <w:t>The empowerment of GPs, aged care providers</w:t>
            </w:r>
            <w:r w:rsidR="009450E5">
              <w:t>,</w:t>
            </w:r>
            <w:r w:rsidRPr="007A4641">
              <w:t xml:space="preserve"> and other healthcare workers with confidence and knowledge of palliative care and advance care planning</w:t>
            </w:r>
          </w:p>
        </w:tc>
        <w:tc>
          <w:tcPr>
            <w:tcW w:w="3952" w:type="dxa"/>
          </w:tcPr>
          <w:p w14:paraId="3D029898" w14:textId="2DAE464C" w:rsidR="009E722F" w:rsidRPr="007A4641" w:rsidRDefault="0004288C" w:rsidP="007A4641">
            <w:pPr>
              <w:pStyle w:val="TableText"/>
            </w:pPr>
            <w:r w:rsidRPr="007A4641">
              <w:t>Improved capabilities of the aged care workforce, GPs</w:t>
            </w:r>
            <w:r w:rsidR="00112E5B">
              <w:t>,</w:t>
            </w:r>
            <w:r w:rsidRPr="007A4641">
              <w:t xml:space="preserve"> and other health care providers to communicate with residents and families to support advance care planning </w:t>
            </w:r>
            <w:r w:rsidRPr="007A4641">
              <w:lastRenderedPageBreak/>
              <w:t>and delivery of palliative care in accordance with their needs, wants</w:t>
            </w:r>
            <w:r w:rsidR="00112E5B">
              <w:t>,</w:t>
            </w:r>
            <w:r w:rsidRPr="007A4641">
              <w:t xml:space="preserve"> and preferences</w:t>
            </w:r>
          </w:p>
        </w:tc>
      </w:tr>
      <w:tr w:rsidR="001B6E65" w14:paraId="2A3F93B5" w14:textId="77777777" w:rsidTr="00D66C0F">
        <w:trPr>
          <w:cnfStyle w:val="000000010000" w:firstRow="0" w:lastRow="0" w:firstColumn="0" w:lastColumn="0" w:oddVBand="0" w:evenVBand="0" w:oddHBand="0" w:evenHBand="1" w:firstRowFirstColumn="0" w:firstRowLastColumn="0" w:lastRowFirstColumn="0" w:lastRowLastColumn="0"/>
        </w:trPr>
        <w:tc>
          <w:tcPr>
            <w:tcW w:w="3261" w:type="dxa"/>
          </w:tcPr>
          <w:p w14:paraId="6ADB48A9" w14:textId="51251526" w:rsidR="001B6E65" w:rsidRPr="007A4641" w:rsidRDefault="0004288C" w:rsidP="007A4641">
            <w:pPr>
              <w:pStyle w:val="TableText"/>
            </w:pPr>
            <w:r w:rsidRPr="007A4641">
              <w:lastRenderedPageBreak/>
              <w:t xml:space="preserve">Collaborative links and relationships are facilitated between primary care, aged care and palliative care services </w:t>
            </w:r>
          </w:p>
        </w:tc>
        <w:tc>
          <w:tcPr>
            <w:tcW w:w="3952" w:type="dxa"/>
          </w:tcPr>
          <w:p w14:paraId="797F7886" w14:textId="192B558B" w:rsidR="001B6E65" w:rsidRPr="007A4641" w:rsidRDefault="0004288C" w:rsidP="007A4641">
            <w:pPr>
              <w:pStyle w:val="TableText"/>
            </w:pPr>
            <w:r w:rsidRPr="007A4641">
              <w:t>Establish, maintain</w:t>
            </w:r>
            <w:r w:rsidR="00112E5B">
              <w:t>,</w:t>
            </w:r>
            <w:r w:rsidRPr="007A4641">
              <w:t xml:space="preserve"> and strengthen linkages across the primary care, aged care</w:t>
            </w:r>
            <w:r w:rsidR="00112E5B">
              <w:t>,</w:t>
            </w:r>
            <w:r w:rsidRPr="007A4641">
              <w:t xml:space="preserve"> and palliative care sectors to improve </w:t>
            </w:r>
            <w:r w:rsidR="007A4641">
              <w:t xml:space="preserve">the </w:t>
            </w:r>
            <w:r w:rsidRPr="007A4641">
              <w:t>delivery of palliative care</w:t>
            </w:r>
          </w:p>
        </w:tc>
      </w:tr>
      <w:tr w:rsidR="001B6E65" w14:paraId="18DF51C7" w14:textId="77777777" w:rsidTr="00D66C0F">
        <w:trPr>
          <w:cnfStyle w:val="000000100000" w:firstRow="0" w:lastRow="0" w:firstColumn="0" w:lastColumn="0" w:oddVBand="0" w:evenVBand="0" w:oddHBand="1" w:evenHBand="0" w:firstRowFirstColumn="0" w:firstRowLastColumn="0" w:lastRowFirstColumn="0" w:lastRowLastColumn="0"/>
        </w:trPr>
        <w:tc>
          <w:tcPr>
            <w:tcW w:w="3261" w:type="dxa"/>
          </w:tcPr>
          <w:p w14:paraId="6412574D" w14:textId="597F7012" w:rsidR="001B6E65" w:rsidRPr="007A4641" w:rsidRDefault="0004288C" w:rsidP="007A4641">
            <w:pPr>
              <w:pStyle w:val="TableText"/>
            </w:pPr>
            <w:r w:rsidRPr="007A4641">
              <w:t>Aged care providers, GPs</w:t>
            </w:r>
            <w:r w:rsidR="009450E5">
              <w:t>,</w:t>
            </w:r>
            <w:r w:rsidRPr="007A4641">
              <w:t xml:space="preserve"> or other healthcare workers are informed about palliative care, advance care planning and advance care directive resources, processes, legislation</w:t>
            </w:r>
            <w:r w:rsidR="007A4641">
              <w:t>,</w:t>
            </w:r>
            <w:r w:rsidRPr="007A4641">
              <w:t xml:space="preserve"> and accountabilities in the state or territory in which the aged care service is located </w:t>
            </w:r>
          </w:p>
        </w:tc>
        <w:tc>
          <w:tcPr>
            <w:tcW w:w="3952" w:type="dxa"/>
          </w:tcPr>
          <w:p w14:paraId="2EAC08EE" w14:textId="1A95E15F" w:rsidR="001B6E65" w:rsidRPr="007A4641" w:rsidRDefault="007A4641" w:rsidP="007A4641">
            <w:pPr>
              <w:pStyle w:val="TableText"/>
            </w:pPr>
            <w:r w:rsidRPr="007A4641">
              <w:t xml:space="preserve">Improved knowledge sharing and use of available resources to support </w:t>
            </w:r>
            <w:r>
              <w:t xml:space="preserve">the </w:t>
            </w:r>
            <w:r w:rsidRPr="007A4641">
              <w:t xml:space="preserve">delivery of palliative care in compliance with legislation at the </w:t>
            </w:r>
            <w:r w:rsidR="00646A79">
              <w:t>C</w:t>
            </w:r>
            <w:r w:rsidRPr="007A4641">
              <w:t>ommonwealth and state or territory level</w:t>
            </w:r>
          </w:p>
        </w:tc>
      </w:tr>
    </w:tbl>
    <w:p w14:paraId="40BA7CAD" w14:textId="4260FBD9" w:rsidR="001B6E65" w:rsidRPr="00CD798F" w:rsidRDefault="00EC0779" w:rsidP="00EC0779">
      <w:pPr>
        <w:pStyle w:val="Tablenotes"/>
      </w:pPr>
      <w:r>
        <w:t>Source: PACOP Activity Work Plan</w:t>
      </w:r>
      <w:r w:rsidR="003D077E">
        <w:t xml:space="preserve">, 2025–25 to 2025–26 </w:t>
      </w:r>
      <w:sdt>
        <w:sdtPr>
          <w:id w:val="742909734"/>
          <w:citation/>
        </w:sdtPr>
        <w:sdtContent>
          <w:r w:rsidR="003D077E">
            <w:fldChar w:fldCharType="begin"/>
          </w:r>
          <w:r w:rsidR="003D077E">
            <w:rPr>
              <w:lang w:val="en-US"/>
            </w:rPr>
            <w:instrText xml:space="preserve"> CITATION Uni252 \l 1033 </w:instrText>
          </w:r>
          <w:r w:rsidR="003D077E">
            <w:fldChar w:fldCharType="separate"/>
          </w:r>
          <w:r w:rsidR="008410E0" w:rsidRPr="008410E0">
            <w:rPr>
              <w:noProof/>
              <w:lang w:val="en-US"/>
            </w:rPr>
            <w:t>[23]</w:t>
          </w:r>
          <w:r w:rsidR="003D077E">
            <w:fldChar w:fldCharType="end"/>
          </w:r>
        </w:sdtContent>
      </w:sdt>
      <w:r w:rsidR="003D077E">
        <w:t>.</w:t>
      </w:r>
    </w:p>
    <w:p w14:paraId="563EEBBD" w14:textId="4252795A" w:rsidR="00604953" w:rsidRDefault="00BC031C" w:rsidP="00620BEF">
      <w:r>
        <w:t>T</w:t>
      </w:r>
      <w:r w:rsidR="00752348">
        <w:t xml:space="preserve">o support </w:t>
      </w:r>
      <w:r w:rsidR="00421BA0">
        <w:t xml:space="preserve">the </w:t>
      </w:r>
      <w:r w:rsidR="00752348">
        <w:t xml:space="preserve">achievement of </w:t>
      </w:r>
      <w:r w:rsidR="003E71F2">
        <w:t xml:space="preserve">these </w:t>
      </w:r>
      <w:r w:rsidR="00DE4083">
        <w:t>indicators and measures in 2024–25 and 2025–26</w:t>
      </w:r>
      <w:r w:rsidR="005E1B82">
        <w:t xml:space="preserve">, PACOP also established </w:t>
      </w:r>
      <w:r>
        <w:t>targets for several key outputs, as</w:t>
      </w:r>
      <w:r w:rsidR="00352E24">
        <w:t xml:space="preserve"> outlined in </w:t>
      </w:r>
      <w:r w:rsidR="00C27502">
        <w:fldChar w:fldCharType="begin"/>
      </w:r>
      <w:r w:rsidR="00C27502">
        <w:instrText xml:space="preserve"> REF _Ref216700990 \h </w:instrText>
      </w:r>
      <w:r w:rsidR="00C27502">
        <w:fldChar w:fldCharType="separate"/>
      </w:r>
      <w:r w:rsidR="00167BA0">
        <w:t xml:space="preserve">Table </w:t>
      </w:r>
      <w:r w:rsidR="00167BA0">
        <w:rPr>
          <w:noProof/>
        </w:rPr>
        <w:t>3</w:t>
      </w:r>
      <w:r w:rsidR="00167BA0">
        <w:t>.</w:t>
      </w:r>
      <w:r w:rsidR="00167BA0">
        <w:rPr>
          <w:noProof/>
        </w:rPr>
        <w:t>4</w:t>
      </w:r>
      <w:r w:rsidR="00C27502">
        <w:fldChar w:fldCharType="end"/>
      </w:r>
      <w:r w:rsidR="00C27502">
        <w:t>.</w:t>
      </w:r>
    </w:p>
    <w:p w14:paraId="27D85052" w14:textId="0861C0F8" w:rsidR="00C27502" w:rsidRDefault="00C27502" w:rsidP="00C27502">
      <w:pPr>
        <w:pStyle w:val="Caption"/>
      </w:pPr>
      <w:bookmarkStart w:id="50" w:name="_Ref216700990"/>
      <w:r>
        <w:t xml:space="preserve">Table </w:t>
      </w:r>
      <w:fldSimple w:instr=" STYLEREF 1 \s ">
        <w:r w:rsidR="0091457A">
          <w:rPr>
            <w:noProof/>
          </w:rPr>
          <w:t>3</w:t>
        </w:r>
      </w:fldSimple>
      <w:r w:rsidR="0091457A">
        <w:t>.</w:t>
      </w:r>
      <w:fldSimple w:instr=" SEQ Table \* ARABIC \s 1 ">
        <w:r w:rsidR="0091457A">
          <w:rPr>
            <w:noProof/>
          </w:rPr>
          <w:t>4</w:t>
        </w:r>
      </w:fldSimple>
      <w:bookmarkEnd w:id="50"/>
      <w:r>
        <w:t xml:space="preserve">: Planned PACOP outputs and targets to support </w:t>
      </w:r>
      <w:r w:rsidR="007D1856">
        <w:br/>
      </w:r>
      <w:r>
        <w:t>the achievement of formal performance measures</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lanned PACOP outputs"/>
        <w:tblDescription w:val="Table shows planned growth in PACOP outputs between 2024–25 and 2025–26."/>
      </w:tblPr>
      <w:tblGrid>
        <w:gridCol w:w="5446"/>
        <w:gridCol w:w="922"/>
        <w:gridCol w:w="922"/>
      </w:tblGrid>
      <w:tr w:rsidR="00352E24" w14:paraId="34C4311E" w14:textId="77777777" w:rsidTr="00D66C0F">
        <w:trPr>
          <w:cnfStyle w:val="100000000000" w:firstRow="1" w:lastRow="0" w:firstColumn="0" w:lastColumn="0" w:oddVBand="0" w:evenVBand="0" w:oddHBand="0" w:evenHBand="0" w:firstRowFirstColumn="0" w:firstRowLastColumn="0" w:lastRowFirstColumn="0" w:lastRowLastColumn="0"/>
          <w:tblHeader/>
        </w:trPr>
        <w:tc>
          <w:tcPr>
            <w:tcW w:w="0" w:type="auto"/>
          </w:tcPr>
          <w:p w14:paraId="55A0521F" w14:textId="0FDA0B41" w:rsidR="00352E24" w:rsidRDefault="00702F1D" w:rsidP="00352E24">
            <w:pPr>
              <w:spacing w:before="0" w:after="0"/>
            </w:pPr>
            <w:r>
              <w:t>Planned output</w:t>
            </w:r>
          </w:p>
        </w:tc>
        <w:tc>
          <w:tcPr>
            <w:tcW w:w="0" w:type="auto"/>
          </w:tcPr>
          <w:p w14:paraId="027B41B0" w14:textId="62C5ADAF" w:rsidR="00352E24" w:rsidRDefault="00D8658F" w:rsidP="00D8658F">
            <w:pPr>
              <w:spacing w:before="0" w:after="0"/>
              <w:jc w:val="center"/>
            </w:pPr>
            <w:r>
              <w:t>2024–25</w:t>
            </w:r>
          </w:p>
        </w:tc>
        <w:tc>
          <w:tcPr>
            <w:tcW w:w="0" w:type="auto"/>
          </w:tcPr>
          <w:p w14:paraId="4D93A8EB" w14:textId="04D4FCD1" w:rsidR="00352E24" w:rsidRDefault="00D8658F" w:rsidP="00D8658F">
            <w:pPr>
              <w:spacing w:before="0" w:after="0"/>
              <w:jc w:val="center"/>
            </w:pPr>
            <w:r>
              <w:t>2025–26</w:t>
            </w:r>
          </w:p>
        </w:tc>
      </w:tr>
      <w:tr w:rsidR="00352E24" w14:paraId="23422ABF" w14:textId="77777777" w:rsidTr="00D66C0F">
        <w:trPr>
          <w:cnfStyle w:val="000000100000" w:firstRow="0" w:lastRow="0" w:firstColumn="0" w:lastColumn="0" w:oddVBand="0" w:evenVBand="0" w:oddHBand="1" w:evenHBand="0" w:firstRowFirstColumn="0" w:firstRowLastColumn="0" w:lastRowFirstColumn="0" w:lastRowLastColumn="0"/>
        </w:trPr>
        <w:tc>
          <w:tcPr>
            <w:tcW w:w="0" w:type="auto"/>
          </w:tcPr>
          <w:p w14:paraId="659D0C09" w14:textId="2048A054" w:rsidR="00352E24" w:rsidRDefault="00D8658F" w:rsidP="00352E24">
            <w:pPr>
              <w:spacing w:before="0" w:after="0"/>
            </w:pPr>
            <w:r>
              <w:t>Number of aged care homes registered to participate in PACOP</w:t>
            </w:r>
          </w:p>
        </w:tc>
        <w:tc>
          <w:tcPr>
            <w:tcW w:w="0" w:type="auto"/>
          </w:tcPr>
          <w:p w14:paraId="54E3A1B1" w14:textId="04961C6A" w:rsidR="00352E24" w:rsidRDefault="006975D5" w:rsidP="00D8658F">
            <w:pPr>
              <w:spacing w:before="0" w:after="0"/>
              <w:jc w:val="center"/>
            </w:pPr>
            <w:r>
              <w:t>429</w:t>
            </w:r>
          </w:p>
        </w:tc>
        <w:tc>
          <w:tcPr>
            <w:tcW w:w="0" w:type="auto"/>
          </w:tcPr>
          <w:p w14:paraId="3BBED6C6" w14:textId="629F78E4" w:rsidR="00352E24" w:rsidRDefault="006975D5" w:rsidP="00D8658F">
            <w:pPr>
              <w:spacing w:before="0" w:after="0"/>
              <w:jc w:val="center"/>
            </w:pPr>
            <w:r>
              <w:t>515</w:t>
            </w:r>
          </w:p>
        </w:tc>
      </w:tr>
      <w:tr w:rsidR="00352E24" w14:paraId="3FF8E86F" w14:textId="77777777" w:rsidTr="00D66C0F">
        <w:trPr>
          <w:cnfStyle w:val="000000010000" w:firstRow="0" w:lastRow="0" w:firstColumn="0" w:lastColumn="0" w:oddVBand="0" w:evenVBand="0" w:oddHBand="0" w:evenHBand="1" w:firstRowFirstColumn="0" w:firstRowLastColumn="0" w:lastRowFirstColumn="0" w:lastRowLastColumn="0"/>
        </w:trPr>
        <w:tc>
          <w:tcPr>
            <w:tcW w:w="0" w:type="auto"/>
          </w:tcPr>
          <w:p w14:paraId="3C6E996F" w14:textId="349D8CA0" w:rsidR="00352E24" w:rsidRDefault="00A54CDE" w:rsidP="00352E24">
            <w:pPr>
              <w:spacing w:before="0" w:after="0"/>
            </w:pPr>
            <w:r>
              <w:t xml:space="preserve">Number of aged care homes </w:t>
            </w:r>
            <w:r w:rsidR="000B779C">
              <w:t>participating in both Profile and Outcomes Collections</w:t>
            </w:r>
          </w:p>
        </w:tc>
        <w:tc>
          <w:tcPr>
            <w:tcW w:w="0" w:type="auto"/>
          </w:tcPr>
          <w:p w14:paraId="7A010C11" w14:textId="35F9891E" w:rsidR="00352E24" w:rsidRDefault="00A875EC" w:rsidP="00D8658F">
            <w:pPr>
              <w:spacing w:before="0" w:after="0"/>
              <w:jc w:val="center"/>
            </w:pPr>
            <w:r>
              <w:t>294</w:t>
            </w:r>
          </w:p>
        </w:tc>
        <w:tc>
          <w:tcPr>
            <w:tcW w:w="0" w:type="auto"/>
          </w:tcPr>
          <w:p w14:paraId="1538D2BA" w14:textId="108ED5F0" w:rsidR="00352E24" w:rsidRDefault="00A875EC" w:rsidP="00D8658F">
            <w:pPr>
              <w:spacing w:before="0" w:after="0"/>
              <w:jc w:val="center"/>
            </w:pPr>
            <w:r>
              <w:t>323</w:t>
            </w:r>
          </w:p>
        </w:tc>
      </w:tr>
      <w:tr w:rsidR="00352E24" w14:paraId="32707995" w14:textId="77777777" w:rsidTr="00D66C0F">
        <w:trPr>
          <w:cnfStyle w:val="000000100000" w:firstRow="0" w:lastRow="0" w:firstColumn="0" w:lastColumn="0" w:oddVBand="0" w:evenVBand="0" w:oddHBand="1" w:evenHBand="0" w:firstRowFirstColumn="0" w:firstRowLastColumn="0" w:lastRowFirstColumn="0" w:lastRowLastColumn="0"/>
        </w:trPr>
        <w:tc>
          <w:tcPr>
            <w:tcW w:w="0" w:type="auto"/>
          </w:tcPr>
          <w:p w14:paraId="4AF9D360" w14:textId="502D2FCA" w:rsidR="00352E24" w:rsidRDefault="00A875EC" w:rsidP="00352E24">
            <w:pPr>
              <w:spacing w:before="0" w:after="0"/>
            </w:pPr>
            <w:r>
              <w:t>Number of aged care homes receiving benchmark reports</w:t>
            </w:r>
          </w:p>
        </w:tc>
        <w:tc>
          <w:tcPr>
            <w:tcW w:w="0" w:type="auto"/>
          </w:tcPr>
          <w:p w14:paraId="6D2ED6AD" w14:textId="1C1958D2" w:rsidR="00352E24" w:rsidRDefault="00273A5B" w:rsidP="00D8658F">
            <w:pPr>
              <w:spacing w:before="0" w:after="0"/>
              <w:jc w:val="center"/>
            </w:pPr>
            <w:r>
              <w:t>69</w:t>
            </w:r>
          </w:p>
        </w:tc>
        <w:tc>
          <w:tcPr>
            <w:tcW w:w="0" w:type="auto"/>
          </w:tcPr>
          <w:p w14:paraId="38EE8BA8" w14:textId="46817398" w:rsidR="00352E24" w:rsidRDefault="00273A5B" w:rsidP="00D8658F">
            <w:pPr>
              <w:spacing w:before="0" w:after="0"/>
              <w:jc w:val="center"/>
            </w:pPr>
            <w:r>
              <w:t>86</w:t>
            </w:r>
          </w:p>
        </w:tc>
      </w:tr>
      <w:tr w:rsidR="00352E24" w14:paraId="68645A3D" w14:textId="77777777" w:rsidTr="00D66C0F">
        <w:trPr>
          <w:cnfStyle w:val="000000010000" w:firstRow="0" w:lastRow="0" w:firstColumn="0" w:lastColumn="0" w:oddVBand="0" w:evenVBand="0" w:oddHBand="0" w:evenHBand="1" w:firstRowFirstColumn="0" w:firstRowLastColumn="0" w:lastRowFirstColumn="0" w:lastRowLastColumn="0"/>
        </w:trPr>
        <w:tc>
          <w:tcPr>
            <w:tcW w:w="0" w:type="auto"/>
          </w:tcPr>
          <w:p w14:paraId="1FF522E5" w14:textId="0ABAEA82" w:rsidR="00352E24" w:rsidRDefault="00D16739" w:rsidP="00352E24">
            <w:pPr>
              <w:spacing w:before="0" w:after="0"/>
            </w:pPr>
            <w:r>
              <w:t>Delivery of benchmarking workshops</w:t>
            </w:r>
          </w:p>
        </w:tc>
        <w:tc>
          <w:tcPr>
            <w:tcW w:w="0" w:type="auto"/>
          </w:tcPr>
          <w:p w14:paraId="1A4875E6" w14:textId="5A032D40" w:rsidR="00352E24" w:rsidRDefault="00EA3B6A" w:rsidP="00D8658F">
            <w:pPr>
              <w:spacing w:before="0" w:after="0"/>
              <w:jc w:val="center"/>
            </w:pPr>
            <w:r>
              <w:t>2</w:t>
            </w:r>
          </w:p>
        </w:tc>
        <w:tc>
          <w:tcPr>
            <w:tcW w:w="0" w:type="auto"/>
          </w:tcPr>
          <w:p w14:paraId="68DFAFB3" w14:textId="19BEAB01" w:rsidR="00352E24" w:rsidRDefault="00EA3B6A" w:rsidP="00D8658F">
            <w:pPr>
              <w:spacing w:before="0" w:after="0"/>
              <w:jc w:val="center"/>
            </w:pPr>
            <w:r>
              <w:t>2</w:t>
            </w:r>
          </w:p>
        </w:tc>
      </w:tr>
      <w:tr w:rsidR="00352E24" w14:paraId="07C9C6C7" w14:textId="77777777" w:rsidTr="00D66C0F">
        <w:trPr>
          <w:cnfStyle w:val="000000100000" w:firstRow="0" w:lastRow="0" w:firstColumn="0" w:lastColumn="0" w:oddVBand="0" w:evenVBand="0" w:oddHBand="1" w:evenHBand="0" w:firstRowFirstColumn="0" w:firstRowLastColumn="0" w:lastRowFirstColumn="0" w:lastRowLastColumn="0"/>
        </w:trPr>
        <w:tc>
          <w:tcPr>
            <w:tcW w:w="0" w:type="auto"/>
          </w:tcPr>
          <w:p w14:paraId="6CE6CBCC" w14:textId="6F31328F" w:rsidR="00352E24" w:rsidRDefault="00EF1980" w:rsidP="00352E24">
            <w:pPr>
              <w:spacing w:before="0" w:after="0"/>
            </w:pPr>
            <w:r>
              <w:t xml:space="preserve">Number of </w:t>
            </w:r>
            <w:r w:rsidR="00056AFB">
              <w:t>completions of</w:t>
            </w:r>
            <w:r w:rsidR="0043475C">
              <w:t xml:space="preserve"> </w:t>
            </w:r>
            <w:r w:rsidR="00056AFB">
              <w:t>online learning modules</w:t>
            </w:r>
          </w:p>
        </w:tc>
        <w:tc>
          <w:tcPr>
            <w:tcW w:w="0" w:type="auto"/>
          </w:tcPr>
          <w:p w14:paraId="6D2531B1" w14:textId="6AA2FCBE" w:rsidR="00352E24" w:rsidRDefault="00056AFB" w:rsidP="00D8658F">
            <w:pPr>
              <w:spacing w:before="0" w:after="0"/>
              <w:jc w:val="center"/>
            </w:pPr>
            <w:r>
              <w:t>-</w:t>
            </w:r>
          </w:p>
        </w:tc>
        <w:tc>
          <w:tcPr>
            <w:tcW w:w="0" w:type="auto"/>
          </w:tcPr>
          <w:p w14:paraId="46F03262" w14:textId="759E97A2" w:rsidR="00352E24" w:rsidRDefault="00056AFB" w:rsidP="00D8658F">
            <w:pPr>
              <w:spacing w:before="0" w:after="0"/>
              <w:jc w:val="center"/>
            </w:pPr>
            <w:r>
              <w:t>400</w:t>
            </w:r>
          </w:p>
        </w:tc>
      </w:tr>
    </w:tbl>
    <w:p w14:paraId="38C1EB2C" w14:textId="28E82267" w:rsidR="00352E24" w:rsidRDefault="00C27502" w:rsidP="00C27502">
      <w:pPr>
        <w:pStyle w:val="Tablenotes"/>
      </w:pPr>
      <w:r>
        <w:t xml:space="preserve">Source: PACOP Activity Work Plan, 2025–25 to 2025–26 </w:t>
      </w:r>
      <w:sdt>
        <w:sdtPr>
          <w:id w:val="766113208"/>
          <w:citation/>
        </w:sdtPr>
        <w:sdtContent>
          <w:r>
            <w:fldChar w:fldCharType="begin"/>
          </w:r>
          <w:r>
            <w:rPr>
              <w:lang w:val="en-US"/>
            </w:rPr>
            <w:instrText xml:space="preserve"> CITATION Uni252 \l 1033 </w:instrText>
          </w:r>
          <w:r>
            <w:fldChar w:fldCharType="separate"/>
          </w:r>
          <w:r w:rsidR="008410E0" w:rsidRPr="008410E0">
            <w:rPr>
              <w:noProof/>
              <w:lang w:val="en-US"/>
            </w:rPr>
            <w:t>[23]</w:t>
          </w:r>
          <w:r>
            <w:fldChar w:fldCharType="end"/>
          </w:r>
        </w:sdtContent>
      </w:sdt>
      <w:r>
        <w:t>.</w:t>
      </w:r>
    </w:p>
    <w:p w14:paraId="44ACEB6E" w14:textId="77777777" w:rsidR="00604953" w:rsidRDefault="00604953" w:rsidP="00620BEF"/>
    <w:p w14:paraId="042E67D5" w14:textId="77777777" w:rsidR="00416139" w:rsidRDefault="00416139" w:rsidP="00620BEF"/>
    <w:p w14:paraId="4D8F98E6" w14:textId="77777777" w:rsidR="00416139" w:rsidRDefault="00416139" w:rsidP="00620BEF"/>
    <w:p w14:paraId="3A5A7CE0" w14:textId="77777777" w:rsidR="00416139" w:rsidRDefault="00416139" w:rsidP="00620BEF"/>
    <w:p w14:paraId="666D2977" w14:textId="7A75B50E" w:rsidR="00620BEF" w:rsidRPr="0092637A" w:rsidRDefault="00620BEF" w:rsidP="00620BEF"/>
    <w:p w14:paraId="5450E475" w14:textId="77777777" w:rsidR="00B73CD3" w:rsidRPr="00B73CD3" w:rsidRDefault="00B73CD3" w:rsidP="00B73CD3"/>
    <w:p w14:paraId="5AB5EC76" w14:textId="77777777" w:rsidR="00B73CD3" w:rsidRDefault="00B73CD3" w:rsidP="00B67AAE"/>
    <w:p w14:paraId="0B089013" w14:textId="77777777" w:rsidR="00B73CD3" w:rsidRDefault="00B73CD3" w:rsidP="00B67AAE"/>
    <w:p w14:paraId="2EBE137E" w14:textId="77777777" w:rsidR="00B73CD3" w:rsidRDefault="00B73CD3" w:rsidP="00B67AAE"/>
    <w:p w14:paraId="335C02F2" w14:textId="77777777" w:rsidR="00B73CD3" w:rsidRPr="00B67AAE" w:rsidRDefault="00B73CD3" w:rsidP="00B67AAE"/>
    <w:p w14:paraId="635E095C" w14:textId="77777777" w:rsidR="00FC4A9E" w:rsidRPr="00FC4A9E" w:rsidRDefault="00FC4A9E" w:rsidP="00FC4A9E"/>
    <w:p w14:paraId="5DD73BAE" w14:textId="77777777" w:rsidR="00805CDD" w:rsidRPr="00805CDD" w:rsidRDefault="00805CDD" w:rsidP="00805CDD"/>
    <w:p w14:paraId="4A65C011" w14:textId="77777777" w:rsidR="006B0E89" w:rsidRDefault="006B0E89" w:rsidP="000A709C"/>
    <w:p w14:paraId="53DDD826" w14:textId="77777777" w:rsidR="00FF19BC" w:rsidRDefault="00FF19BC" w:rsidP="000A709C"/>
    <w:p w14:paraId="4B433FED" w14:textId="6D864AC6" w:rsidR="00A2527A" w:rsidRDefault="00A2527A" w:rsidP="00A2527A">
      <w:pPr>
        <w:pStyle w:val="PARTSectionHeading"/>
        <w:framePr w:wrap="around"/>
      </w:pPr>
      <w:bookmarkStart w:id="51" w:name="_Ref216962579"/>
      <w:bookmarkStart w:id="52" w:name="_Toc232685882"/>
      <w:r>
        <w:lastRenderedPageBreak/>
        <w:t>Evaluation findings and recommendations</w:t>
      </w:r>
      <w:bookmarkEnd w:id="51"/>
      <w:bookmarkEnd w:id="52"/>
    </w:p>
    <w:p w14:paraId="7319CBB0" w14:textId="38D575A9" w:rsidR="00971810" w:rsidRDefault="00971810" w:rsidP="006E5597">
      <w:pPr>
        <w:pStyle w:val="Heading1"/>
        <w:framePr w:wrap="around"/>
      </w:pPr>
      <w:bookmarkStart w:id="53" w:name="_Toc232685883"/>
      <w:r>
        <w:lastRenderedPageBreak/>
        <w:t>Appropriateness</w:t>
      </w:r>
      <w:bookmarkEnd w:id="53"/>
    </w:p>
    <w:p w14:paraId="1ED4418E" w14:textId="7A5F9F6E" w:rsidR="00FB3683" w:rsidRPr="00FB3683" w:rsidRDefault="00971810" w:rsidP="00F95B6C">
      <w:r>
        <w:t xml:space="preserve">This chapter focuses on KEA </w:t>
      </w:r>
      <w:r w:rsidRPr="005B5389">
        <w:t xml:space="preserve">1: Appropriateness. The key evaluation question to be addressed </w:t>
      </w:r>
      <w:r w:rsidR="00AB44A1">
        <w:t>is</w:t>
      </w:r>
      <w:r>
        <w:t>:</w:t>
      </w:r>
      <w:r w:rsidR="00AB44A1">
        <w:t xml:space="preserve"> </w:t>
      </w:r>
      <w:r w:rsidR="00FB3683" w:rsidRPr="00FB3683">
        <w:rPr>
          <w:i/>
          <w:iCs/>
        </w:rPr>
        <w:t>Is the Measure (still) the right response?</w:t>
      </w:r>
    </w:p>
    <w:p w14:paraId="62FC6E6A" w14:textId="40372BAD" w:rsidR="00AB44A1" w:rsidRDefault="00AB44A1" w:rsidP="00AB44A1">
      <w:r>
        <w:t xml:space="preserve">The questions to be addressed under </w:t>
      </w:r>
      <w:r w:rsidR="005542DD">
        <w:t>KEA 1</w:t>
      </w:r>
      <w:r>
        <w:t xml:space="preserve"> are:</w:t>
      </w:r>
    </w:p>
    <w:p w14:paraId="4A29148E" w14:textId="77777777" w:rsidR="00971810" w:rsidRDefault="00971810" w:rsidP="00971810">
      <w:pPr>
        <w:pStyle w:val="List"/>
        <w:numPr>
          <w:ilvl w:val="0"/>
          <w:numId w:val="30"/>
        </w:numPr>
      </w:pPr>
      <w:r w:rsidRPr="00BA7153">
        <w:t xml:space="preserve">To what extent </w:t>
      </w:r>
      <w:r>
        <w:t xml:space="preserve">were </w:t>
      </w:r>
      <w:r w:rsidRPr="00BA7153">
        <w:t xml:space="preserve">the activities </w:t>
      </w:r>
      <w:r>
        <w:t xml:space="preserve">funded </w:t>
      </w:r>
      <w:r w:rsidRPr="00BA7153">
        <w:t>under the Measure</w:t>
      </w:r>
      <w:r>
        <w:t xml:space="preserve"> a suitable response to</w:t>
      </w:r>
      <w:r w:rsidRPr="00BA7153">
        <w:t xml:space="preserve"> support the aged care and primary care workforce </w:t>
      </w:r>
      <w:r>
        <w:t>in identifying and meeting</w:t>
      </w:r>
      <w:r w:rsidRPr="00BA7153">
        <w:t xml:space="preserve"> the palliative care needs of older Australians?</w:t>
      </w:r>
    </w:p>
    <w:p w14:paraId="25067756" w14:textId="77777777" w:rsidR="00971810" w:rsidRDefault="00971810" w:rsidP="00971810">
      <w:pPr>
        <w:pStyle w:val="List"/>
      </w:pPr>
      <w:r>
        <w:t xml:space="preserve">To </w:t>
      </w:r>
      <w:r w:rsidRPr="00BA7153">
        <w:t>what extent is there still a need for palliative care education, training, and quality improvement in the aged care sector?</w:t>
      </w:r>
    </w:p>
    <w:p w14:paraId="041CD95D" w14:textId="77777777" w:rsidR="00971810" w:rsidRDefault="00971810" w:rsidP="00971810">
      <w:pPr>
        <w:pStyle w:val="List"/>
      </w:pPr>
      <w:r w:rsidRPr="00BA7153">
        <w:t>How are the activities under the Measure supporting the delivery of safe and culturally appropriate palliative care?</w:t>
      </w:r>
    </w:p>
    <w:p w14:paraId="57A03F30" w14:textId="7354D0F2" w:rsidR="00971810" w:rsidRPr="007911FC" w:rsidRDefault="00971810" w:rsidP="007911FC">
      <w:pPr>
        <w:pStyle w:val="List"/>
      </w:pPr>
      <w:r w:rsidRPr="00BA7153">
        <w:t>What gaps or areas of duplication exist in palliative care training for the aged care and primary care sectors?</w:t>
      </w:r>
    </w:p>
    <w:p w14:paraId="39A508E0" w14:textId="77777777" w:rsidR="00971810" w:rsidRDefault="00971810" w:rsidP="00971810">
      <w:pPr>
        <w:pStyle w:val="SectionTitle"/>
        <w:numPr>
          <w:ilvl w:val="0"/>
          <w:numId w:val="0"/>
        </w:numPr>
        <w:ind w:left="1871" w:hanging="1871"/>
      </w:pPr>
      <w:bookmarkStart w:id="54" w:name="_Toc232685884"/>
      <w:r>
        <w:t>Analysis and findings</w:t>
      </w:r>
      <w:bookmarkEnd w:id="54"/>
    </w:p>
    <w:p w14:paraId="6671213E" w14:textId="7BC50A27" w:rsidR="008F23DA" w:rsidRDefault="00971810" w:rsidP="00971810">
      <w:r>
        <w:t>The extent to which the Measure and its funded activities were a suitable response to support the aged care and primary care workforce in identifying and meeting the palliative care needs of older Australians</w:t>
      </w:r>
      <w:r w:rsidR="004B3919">
        <w:t xml:space="preserve"> was </w:t>
      </w:r>
      <w:r w:rsidR="0077028F">
        <w:t>examined</w:t>
      </w:r>
      <w:r>
        <w:t>.</w:t>
      </w:r>
      <w:r w:rsidR="002847CD">
        <w:t xml:space="preserve"> </w:t>
      </w:r>
      <w:r w:rsidR="00C02480">
        <w:t xml:space="preserve">While </w:t>
      </w:r>
      <w:r w:rsidR="006F395E">
        <w:t>there was broad support for the Measure</w:t>
      </w:r>
      <w:r w:rsidR="003F09AC">
        <w:t xml:space="preserve">, </w:t>
      </w:r>
      <w:r w:rsidR="00F33D29">
        <w:t>stakeholders had</w:t>
      </w:r>
      <w:r w:rsidR="003F09AC">
        <w:t xml:space="preserve"> </w:t>
      </w:r>
      <w:r w:rsidR="007C7CCB">
        <w:t xml:space="preserve">mixed views on the suitability of the individual </w:t>
      </w:r>
      <w:r w:rsidR="00A31305">
        <w:t xml:space="preserve">funded activities, </w:t>
      </w:r>
      <w:r w:rsidR="007C7CCB">
        <w:t>PEPA</w:t>
      </w:r>
      <w:r w:rsidR="00A31305">
        <w:t xml:space="preserve"> Aged Care</w:t>
      </w:r>
      <w:r w:rsidR="007C7CCB">
        <w:t xml:space="preserve"> and PACOP.</w:t>
      </w:r>
      <w:r w:rsidR="00A31305">
        <w:t xml:space="preserve"> </w:t>
      </w:r>
      <w:r w:rsidR="008F23DA">
        <w:t xml:space="preserve">The sections below </w:t>
      </w:r>
      <w:r w:rsidR="00E31D28">
        <w:t>discuss the appropriate</w:t>
      </w:r>
      <w:r w:rsidR="00BF5017">
        <w:t>nes</w:t>
      </w:r>
      <w:r w:rsidR="00E31D28">
        <w:t>s of the Measure</w:t>
      </w:r>
      <w:r w:rsidR="00BF5017">
        <w:t>, PEPA Aged Care</w:t>
      </w:r>
      <w:r w:rsidR="000136AE">
        <w:t>,</w:t>
      </w:r>
      <w:r w:rsidR="00BF5017">
        <w:t xml:space="preserve"> and PACOP</w:t>
      </w:r>
      <w:r w:rsidR="007A346E">
        <w:t>.</w:t>
      </w:r>
    </w:p>
    <w:p w14:paraId="1BE592F9" w14:textId="367A0FAF" w:rsidR="00971810" w:rsidRDefault="007A346E" w:rsidP="007A346E">
      <w:pPr>
        <w:pStyle w:val="Heading2"/>
      </w:pPr>
      <w:bookmarkStart w:id="55" w:name="_Toc232685885"/>
      <w:r>
        <w:t>T</w:t>
      </w:r>
      <w:r w:rsidR="00971810">
        <w:t>he Measure</w:t>
      </w:r>
      <w:bookmarkEnd w:id="55"/>
    </w:p>
    <w:p w14:paraId="408F06E0" w14:textId="2A85DF42" w:rsidR="00A2120A" w:rsidRPr="00A2120A" w:rsidRDefault="009C7B61" w:rsidP="00A2120A">
      <w:r>
        <w:t xml:space="preserve">The suitability of the Measure to </w:t>
      </w:r>
      <w:r w:rsidR="000D44DC">
        <w:t>strengthen workforce and organisational capability for quality palliative care</w:t>
      </w:r>
      <w:r w:rsidR="003B14C8">
        <w:t xml:space="preserve"> through programs like PEPA Aged Care and PACOP w</w:t>
      </w:r>
      <w:r w:rsidR="00F157B4">
        <w:t xml:space="preserve">as discussed at length with stakeholders. </w:t>
      </w:r>
      <w:r w:rsidR="007274CB">
        <w:t xml:space="preserve">The </w:t>
      </w:r>
      <w:r w:rsidR="00463FDB">
        <w:t>continued need</w:t>
      </w:r>
      <w:r w:rsidR="007A6C66">
        <w:t xml:space="preserve"> </w:t>
      </w:r>
      <w:r w:rsidR="00BB488A">
        <w:t xml:space="preserve">to </w:t>
      </w:r>
      <w:r w:rsidR="00813A08">
        <w:t>build</w:t>
      </w:r>
      <w:r w:rsidR="00A5049B">
        <w:t xml:space="preserve"> </w:t>
      </w:r>
      <w:r w:rsidR="00E3793D">
        <w:t>workforce capability in palliative care</w:t>
      </w:r>
      <w:r w:rsidR="00570422">
        <w:t>,</w:t>
      </w:r>
      <w:r w:rsidR="005E0B8A">
        <w:t xml:space="preserve"> </w:t>
      </w:r>
      <w:r w:rsidR="00BF5D48">
        <w:t xml:space="preserve">along with </w:t>
      </w:r>
      <w:r w:rsidR="009327EA">
        <w:t xml:space="preserve">the suitability of the </w:t>
      </w:r>
      <w:r w:rsidR="00A60D91">
        <w:t xml:space="preserve">funded programs </w:t>
      </w:r>
      <w:r w:rsidR="00C97D4F">
        <w:t xml:space="preserve">within the existing </w:t>
      </w:r>
      <w:r w:rsidR="00037B2E">
        <w:t>aged care context</w:t>
      </w:r>
      <w:r w:rsidR="00570422">
        <w:t>,</w:t>
      </w:r>
      <w:r w:rsidR="005E0B8A">
        <w:t xml:space="preserve"> was also explored.</w:t>
      </w:r>
    </w:p>
    <w:p w14:paraId="367BC33F" w14:textId="623E1CAC" w:rsidR="00DF02C1" w:rsidRDefault="000A721A" w:rsidP="00DF02C1">
      <w:r>
        <w:t xml:space="preserve">Consultation with the Department indicated that PEPA Aged Care and PACOP were </w:t>
      </w:r>
      <w:r w:rsidR="004233EB">
        <w:t>strategically selected for funding</w:t>
      </w:r>
      <w:r w:rsidR="003C07B7">
        <w:t xml:space="preserve"> </w:t>
      </w:r>
      <w:r w:rsidR="00D5166A">
        <w:t>under the Measure</w:t>
      </w:r>
      <w:r w:rsidR="003860ED">
        <w:t xml:space="preserve">. </w:t>
      </w:r>
      <w:r w:rsidR="00996DE0">
        <w:t>Both</w:t>
      </w:r>
      <w:r w:rsidR="003860ED">
        <w:t xml:space="preserve"> program</w:t>
      </w:r>
      <w:r w:rsidR="00996DE0">
        <w:t xml:space="preserve">s </w:t>
      </w:r>
      <w:r w:rsidR="00D22402">
        <w:t>were</w:t>
      </w:r>
      <w:r w:rsidR="007B635E">
        <w:t xml:space="preserve"> extensions of</w:t>
      </w:r>
      <w:r w:rsidR="00A52121">
        <w:t xml:space="preserve"> established, evidence-based national </w:t>
      </w:r>
      <w:r w:rsidR="000517FB">
        <w:t>initiatives (PEPA and PCOC, respectively)</w:t>
      </w:r>
      <w:r w:rsidR="00151140">
        <w:t xml:space="preserve"> with</w:t>
      </w:r>
      <w:r w:rsidR="00A52121">
        <w:t xml:space="preserve"> </w:t>
      </w:r>
      <w:r w:rsidR="00151140">
        <w:t xml:space="preserve">proven capability to </w:t>
      </w:r>
      <w:r w:rsidR="000517FB">
        <w:t>adapt to</w:t>
      </w:r>
      <w:r w:rsidR="00151140">
        <w:t xml:space="preserve"> aged care </w:t>
      </w:r>
      <w:r w:rsidR="000517FB">
        <w:t>settings</w:t>
      </w:r>
      <w:r w:rsidR="00695B08">
        <w:t xml:space="preserve">. </w:t>
      </w:r>
      <w:r w:rsidR="00846805">
        <w:t xml:space="preserve">Leveraging these existing delivery models, systems, and infrastructure </w:t>
      </w:r>
      <w:r w:rsidR="00AF06F8">
        <w:t>was intend</w:t>
      </w:r>
      <w:r w:rsidR="00B91FE1">
        <w:t>ed to</w:t>
      </w:r>
      <w:r w:rsidR="00695B08">
        <w:t xml:space="preserve"> enable rapid mobilisation</w:t>
      </w:r>
      <w:r w:rsidR="002101CB">
        <w:t xml:space="preserve"> of </w:t>
      </w:r>
      <w:r w:rsidR="00AF06F8">
        <w:t>the two programs</w:t>
      </w:r>
      <w:r w:rsidR="00B83A16">
        <w:rPr>
          <w:lang w:val="en-US"/>
        </w:rPr>
        <w:t xml:space="preserve">. Moreover, each program addressed a key area of need </w:t>
      </w:r>
      <w:r w:rsidR="00AF06F8">
        <w:rPr>
          <w:lang w:val="en-US"/>
        </w:rPr>
        <w:t>identified</w:t>
      </w:r>
      <w:r w:rsidR="00B83A16">
        <w:rPr>
          <w:lang w:val="en-US"/>
        </w:rPr>
        <w:t xml:space="preserve"> by the Royal Commission:</w:t>
      </w:r>
    </w:p>
    <w:p w14:paraId="15F08D03" w14:textId="386EE2F7" w:rsidR="00B83A16" w:rsidRDefault="00B83A16" w:rsidP="00B83A16">
      <w:pPr>
        <w:pStyle w:val="ListBullet"/>
      </w:pPr>
      <w:r>
        <w:t xml:space="preserve">PEPA Aged Care focused on </w:t>
      </w:r>
      <w:r w:rsidR="00BC4D8B">
        <w:t xml:space="preserve">workforce training and education to </w:t>
      </w:r>
      <w:r w:rsidR="00142369">
        <w:t>strengthen</w:t>
      </w:r>
      <w:r w:rsidR="0091758B">
        <w:t xml:space="preserve"> foundational palliative care</w:t>
      </w:r>
      <w:r>
        <w:t xml:space="preserve"> skills, knowledge, and confidence</w:t>
      </w:r>
      <w:r w:rsidR="00854419">
        <w:t xml:space="preserve"> among aged care staff</w:t>
      </w:r>
    </w:p>
    <w:p w14:paraId="485E5B12" w14:textId="4EB4A180" w:rsidR="00B83A16" w:rsidRDefault="00B83A16" w:rsidP="00B83A16">
      <w:pPr>
        <w:pStyle w:val="ListBullet"/>
      </w:pPr>
      <w:r>
        <w:t xml:space="preserve">PACOP targeted </w:t>
      </w:r>
      <w:r w:rsidR="00A003A0">
        <w:t>aged care provider</w:t>
      </w:r>
      <w:r>
        <w:t xml:space="preserve"> systems, processes, and data collection to </w:t>
      </w:r>
      <w:r w:rsidR="00142369">
        <w:t>enhance</w:t>
      </w:r>
      <w:r>
        <w:t xml:space="preserve"> </w:t>
      </w:r>
      <w:r w:rsidR="00A003A0">
        <w:t>organisational</w:t>
      </w:r>
      <w:r>
        <w:t xml:space="preserve"> capability and drive quality improvement</w:t>
      </w:r>
      <w:r w:rsidR="0091758B">
        <w:t xml:space="preserve"> in palliative care</w:t>
      </w:r>
      <w:r>
        <w:t>.</w:t>
      </w:r>
    </w:p>
    <w:p w14:paraId="51440FBB" w14:textId="38D49BE0" w:rsidR="00971810" w:rsidRDefault="005A6FA3" w:rsidP="00971810">
      <w:r>
        <w:t>Stakeholder feedback consistently affirmed the strategic appropriateness of the Measure and its dual focus</w:t>
      </w:r>
      <w:r w:rsidR="00050322">
        <w:t xml:space="preserve"> design</w:t>
      </w:r>
      <w:r w:rsidR="003A0750">
        <w:t>:</w:t>
      </w:r>
      <w:r w:rsidR="004D360F">
        <w:t xml:space="preserve"> education through </w:t>
      </w:r>
      <w:r>
        <w:t xml:space="preserve">PEPA Aged Care and systems/data </w:t>
      </w:r>
      <w:r w:rsidR="004D360F">
        <w:t>through</w:t>
      </w:r>
      <w:r>
        <w:t xml:space="preserve"> PACOP. This combination was </w:t>
      </w:r>
      <w:r w:rsidR="004D360F">
        <w:t>widely regarded</w:t>
      </w:r>
      <w:r>
        <w:t xml:space="preserve"> as an effective</w:t>
      </w:r>
      <w:r w:rsidR="004D360F">
        <w:t xml:space="preserve"> approach </w:t>
      </w:r>
      <w:r>
        <w:t xml:space="preserve">to address both </w:t>
      </w:r>
      <w:r w:rsidR="00764251">
        <w:t xml:space="preserve">aged care </w:t>
      </w:r>
      <w:r w:rsidR="004D360F">
        <w:t xml:space="preserve">workforce </w:t>
      </w:r>
      <w:r>
        <w:t xml:space="preserve">capability and structural gaps </w:t>
      </w:r>
      <w:r w:rsidR="004D360F">
        <w:t>in</w:t>
      </w:r>
      <w:r w:rsidR="00E91752">
        <w:t xml:space="preserve"> </w:t>
      </w:r>
      <w:r w:rsidR="00764251">
        <w:t>organisational</w:t>
      </w:r>
      <w:r w:rsidR="004D360F">
        <w:t xml:space="preserve"> </w:t>
      </w:r>
      <w:r>
        <w:t>systems and processes.</w:t>
      </w:r>
      <w:r w:rsidR="00390EF1">
        <w:t xml:space="preserve"> </w:t>
      </w:r>
      <w:r w:rsidR="00E505D2">
        <w:t>Most stakeholders</w:t>
      </w:r>
      <w:r w:rsidR="007A7BE8">
        <w:t xml:space="preserve"> believed </w:t>
      </w:r>
      <w:r w:rsidR="00E505D2">
        <w:t>the Measure</w:t>
      </w:r>
      <w:r w:rsidR="007A7BE8">
        <w:t xml:space="preserve"> had the potential to improve palliative and end-of-life outcomes for older people and their </w:t>
      </w:r>
      <w:r w:rsidR="007A7BE8" w:rsidRPr="00963FA5">
        <w:t xml:space="preserve">families </w:t>
      </w:r>
      <w:r w:rsidR="004F0005">
        <w:t>in participating</w:t>
      </w:r>
      <w:r w:rsidR="007A7BE8">
        <w:t xml:space="preserve"> organisations.</w:t>
      </w:r>
    </w:p>
    <w:p w14:paraId="1688BE23" w14:textId="62A794FC" w:rsidR="00971810" w:rsidRDefault="00971810" w:rsidP="00971810">
      <w:pPr>
        <w:pStyle w:val="Quote"/>
      </w:pPr>
      <w:r>
        <w:lastRenderedPageBreak/>
        <w:t>[The programs] are</w:t>
      </w:r>
      <w:r w:rsidRPr="00C76238">
        <w:t xml:space="preserve"> both important because they</w:t>
      </w:r>
      <w:r w:rsidR="003863F5">
        <w:t>’</w:t>
      </w:r>
      <w:r w:rsidRPr="00C76238">
        <w:t>re tackling different things. One is the data collection</w:t>
      </w:r>
      <w:r>
        <w:t>,</w:t>
      </w:r>
      <w:r w:rsidRPr="00C76238">
        <w:t xml:space="preserve"> monitoring</w:t>
      </w:r>
      <w:r>
        <w:t>,</w:t>
      </w:r>
      <w:r w:rsidRPr="00C76238">
        <w:t xml:space="preserve"> and quality improvement</w:t>
      </w:r>
      <w:r w:rsidR="005856A7">
        <w:t>,</w:t>
      </w:r>
      <w:r w:rsidRPr="00C76238">
        <w:t xml:space="preserve"> and the other is the skills training and awareness building. </w:t>
      </w:r>
      <w:r w:rsidR="0054004D">
        <w:t>Y</w:t>
      </w:r>
      <w:r>
        <w:t>ou do need both. – Aged and primary care peak and professional body</w:t>
      </w:r>
    </w:p>
    <w:p w14:paraId="35922DB9" w14:textId="1D91F760" w:rsidR="00DE1847" w:rsidRDefault="00863562" w:rsidP="00971810">
      <w:r>
        <w:t xml:space="preserve">Findings from the online survey reinforced </w:t>
      </w:r>
      <w:r w:rsidR="00E91752">
        <w:t>this</w:t>
      </w:r>
      <w:r>
        <w:t xml:space="preserve"> alignment</w:t>
      </w:r>
      <w:r w:rsidR="00E91752">
        <w:t>, with</w:t>
      </w:r>
      <w:r w:rsidR="002138E4">
        <w:t xml:space="preserve"> </w:t>
      </w:r>
      <w:r w:rsidR="005915DC">
        <w:t xml:space="preserve">PEPA Aged Care and PACOP </w:t>
      </w:r>
      <w:r w:rsidRPr="00863562">
        <w:t>participants report</w:t>
      </w:r>
      <w:r w:rsidR="00E91752">
        <w:t>ing</w:t>
      </w:r>
      <w:r w:rsidRPr="00863562">
        <w:t xml:space="preserve"> that engagement in both </w:t>
      </w:r>
      <w:r w:rsidR="00E91752">
        <w:t>programs</w:t>
      </w:r>
      <w:r w:rsidRPr="00863562">
        <w:t xml:space="preserve"> was driven by priorities consistent with the Measure</w:t>
      </w:r>
      <w:r w:rsidR="003863F5">
        <w:t>’</w:t>
      </w:r>
      <w:r w:rsidRPr="00863562">
        <w:t>s intent</w:t>
      </w:r>
      <w:r w:rsidR="00AE65AD">
        <w:t xml:space="preserve"> </w:t>
      </w:r>
      <w:r w:rsidR="00FE09D8" w:rsidRPr="009E5EA0">
        <w:t>(</w:t>
      </w:r>
      <w:r w:rsidR="00F65C89">
        <w:t>technical paper, Figure</w:t>
      </w:r>
      <w:r w:rsidR="001A34D0">
        <w:t xml:space="preserve"> 5.1 and Figure </w:t>
      </w:r>
      <w:r w:rsidR="006B10F4">
        <w:t>6.1</w:t>
      </w:r>
      <w:r w:rsidR="00FE09D8" w:rsidRPr="009E5EA0">
        <w:t>).</w:t>
      </w:r>
    </w:p>
    <w:p w14:paraId="16F308AD" w14:textId="552A04EB" w:rsidR="00971810" w:rsidRDefault="00E541C4" w:rsidP="00971810">
      <w:pPr>
        <w:rPr>
          <w:lang w:val="en-US"/>
        </w:rPr>
      </w:pPr>
      <w:r w:rsidRPr="00E541C4">
        <w:t xml:space="preserve">Stakeholders </w:t>
      </w:r>
      <w:r w:rsidR="00DE46FF">
        <w:t>also endorsed</w:t>
      </w:r>
      <w:r w:rsidRPr="00E541C4">
        <w:t xml:space="preserve"> the decision to fund PEPA Aged Care and PACOP as extensions of </w:t>
      </w:r>
      <w:r w:rsidR="00C429E0">
        <w:t xml:space="preserve">the </w:t>
      </w:r>
      <w:r w:rsidRPr="00E541C4">
        <w:t>established</w:t>
      </w:r>
      <w:r w:rsidR="00C429E0">
        <w:t xml:space="preserve"> and</w:t>
      </w:r>
      <w:r w:rsidRPr="00E541C4">
        <w:t xml:space="preserve"> </w:t>
      </w:r>
      <w:r w:rsidR="0051467B">
        <w:t>highly regarded</w:t>
      </w:r>
      <w:r w:rsidRPr="00E541C4">
        <w:t xml:space="preserve"> </w:t>
      </w:r>
      <w:r w:rsidR="00C429E0">
        <w:t xml:space="preserve">PEPA and PCOC </w:t>
      </w:r>
      <w:r w:rsidRPr="00E541C4">
        <w:t>programs. They highlighted that</w:t>
      </w:r>
      <w:r w:rsidR="00DE46FF">
        <w:t xml:space="preserve"> leveraging</w:t>
      </w:r>
      <w:r w:rsidRPr="00E541C4">
        <w:t xml:space="preserve"> </w:t>
      </w:r>
      <w:r w:rsidR="00DE46FF">
        <w:t>the</w:t>
      </w:r>
      <w:r w:rsidRPr="00E541C4">
        <w:t xml:space="preserve"> evidence-based foundations</w:t>
      </w:r>
      <w:r w:rsidR="00DD093E">
        <w:t xml:space="preserve"> </w:t>
      </w:r>
      <w:r w:rsidR="003872FD">
        <w:t>and reputations of these</w:t>
      </w:r>
      <w:r w:rsidR="0051467B">
        <w:t xml:space="preserve"> national</w:t>
      </w:r>
      <w:r w:rsidR="003872FD">
        <w:t xml:space="preserve"> initiatives </w:t>
      </w:r>
      <w:r w:rsidR="00DD093E">
        <w:t xml:space="preserve">enabled </w:t>
      </w:r>
      <w:r w:rsidR="00BA726C">
        <w:t xml:space="preserve">a </w:t>
      </w:r>
      <w:r w:rsidR="00DD093E">
        <w:t>rapid</w:t>
      </w:r>
      <w:r w:rsidR="00FF47BA">
        <w:t>,</w:t>
      </w:r>
      <w:r w:rsidR="00C429E0">
        <w:t xml:space="preserve"> credible </w:t>
      </w:r>
      <w:r w:rsidR="00BA726C">
        <w:t>response to</w:t>
      </w:r>
      <w:r w:rsidR="005F36DE">
        <w:t xml:space="preserve"> </w:t>
      </w:r>
      <w:r w:rsidR="009A66E4">
        <w:t>sector needs</w:t>
      </w:r>
      <w:r w:rsidR="00971810">
        <w:rPr>
          <w:lang w:val="en-US"/>
        </w:rPr>
        <w:t>.</w:t>
      </w:r>
    </w:p>
    <w:p w14:paraId="1853FFB9" w14:textId="469F38AB" w:rsidR="0016255B" w:rsidRDefault="00877A1F" w:rsidP="00B85B31">
      <w:r>
        <w:t>However, stakeholders also</w:t>
      </w:r>
      <w:r w:rsidR="00EE53C4">
        <w:t xml:space="preserve"> </w:t>
      </w:r>
      <w:r w:rsidR="0090387D">
        <w:t xml:space="preserve">highlighted that the Measure’s activities </w:t>
      </w:r>
      <w:r w:rsidR="0072052D">
        <w:t xml:space="preserve">appeared particularly targeted toward </w:t>
      </w:r>
      <w:r w:rsidR="0090387D">
        <w:t xml:space="preserve">residential aged care settings. PACOP was developed specifically for residential </w:t>
      </w:r>
      <w:r w:rsidR="00F8371E">
        <w:t xml:space="preserve">aged care, and PEPA Aged Care was commonly viewed as more naturally aligned with the </w:t>
      </w:r>
      <w:r w:rsidR="00755DC8">
        <w:t xml:space="preserve">residential aged care </w:t>
      </w:r>
      <w:r w:rsidR="007C6599">
        <w:t>workforce structure and operating</w:t>
      </w:r>
      <w:r w:rsidR="00755DC8">
        <w:t xml:space="preserve"> </w:t>
      </w:r>
      <w:r w:rsidR="00205989">
        <w:t>context</w:t>
      </w:r>
      <w:r w:rsidR="00755DC8">
        <w:t xml:space="preserve">. </w:t>
      </w:r>
      <w:r w:rsidR="00FB20C9">
        <w:t>As a result</w:t>
      </w:r>
      <w:r w:rsidR="00BC2953">
        <w:t>, the applicability of the Measure to home and community aged care services was perceived as less clear.</w:t>
      </w:r>
      <w:r w:rsidR="00523984">
        <w:t xml:space="preserve"> Similarly, </w:t>
      </w:r>
      <w:r w:rsidR="0040450A">
        <w:t>the relevance of the Measure and its funded activities to the primary care sector was</w:t>
      </w:r>
      <w:r w:rsidR="00B85B31">
        <w:t xml:space="preserve"> also perceived as limited. </w:t>
      </w:r>
      <w:r w:rsidR="00B731D3">
        <w:t xml:space="preserve">Available </w:t>
      </w:r>
      <w:r w:rsidR="00271A2A">
        <w:t xml:space="preserve">program </w:t>
      </w:r>
      <w:r w:rsidR="00B731D3">
        <w:t>participation data supported this view</w:t>
      </w:r>
      <w:r w:rsidR="00056C83">
        <w:t xml:space="preserve">. </w:t>
      </w:r>
      <w:r w:rsidR="00112C7D">
        <w:t>Although</w:t>
      </w:r>
      <w:r w:rsidR="00056C83">
        <w:t xml:space="preserve"> GPs and allied health professionals were eligible to </w:t>
      </w:r>
      <w:r w:rsidR="00526CFA">
        <w:t xml:space="preserve">participate in both </w:t>
      </w:r>
      <w:r w:rsidR="00271A2A">
        <w:t xml:space="preserve">reverse </w:t>
      </w:r>
      <w:r w:rsidR="00526CFA">
        <w:t xml:space="preserve">PEPA Aged Care </w:t>
      </w:r>
      <w:r w:rsidR="00271A2A">
        <w:t xml:space="preserve">placements </w:t>
      </w:r>
      <w:r w:rsidR="00526CFA">
        <w:t>and PACOP</w:t>
      </w:r>
      <w:r w:rsidR="00924C0E">
        <w:t xml:space="preserve"> educational activities</w:t>
      </w:r>
      <w:r w:rsidR="00526CFA">
        <w:t>,</w:t>
      </w:r>
      <w:r w:rsidR="00924C0E">
        <w:t xml:space="preserve"> </w:t>
      </w:r>
      <w:r w:rsidR="006C3F6F">
        <w:t>evidence suggested that engagement was minimal</w:t>
      </w:r>
      <w:r w:rsidR="00526CFA">
        <w:t xml:space="preserve"> </w:t>
      </w:r>
      <w:r w:rsidR="00EF1558">
        <w:t>(</w:t>
      </w:r>
      <w:r w:rsidR="00EF1558">
        <w:fldChar w:fldCharType="begin"/>
      </w:r>
      <w:r w:rsidR="00EF1558">
        <w:instrText xml:space="preserve"> REF _Ref214900672 \h </w:instrText>
      </w:r>
      <w:r w:rsidR="00EF1558">
        <w:fldChar w:fldCharType="separate"/>
      </w:r>
      <w:r w:rsidR="00167BA0">
        <w:t xml:space="preserve">Table </w:t>
      </w:r>
      <w:r w:rsidR="00167BA0">
        <w:rPr>
          <w:noProof/>
        </w:rPr>
        <w:t>9</w:t>
      </w:r>
      <w:r w:rsidR="00167BA0">
        <w:t>.</w:t>
      </w:r>
      <w:r w:rsidR="00167BA0">
        <w:rPr>
          <w:noProof/>
        </w:rPr>
        <w:t>9</w:t>
      </w:r>
      <w:r w:rsidR="00EF1558">
        <w:fldChar w:fldCharType="end"/>
      </w:r>
      <w:r w:rsidR="00EF1558">
        <w:t xml:space="preserve">, </w:t>
      </w:r>
      <w:r w:rsidR="00EF1558">
        <w:fldChar w:fldCharType="begin"/>
      </w:r>
      <w:r w:rsidR="00EF1558">
        <w:instrText xml:space="preserve"> REF _Ref214614002 \n \h </w:instrText>
      </w:r>
      <w:r w:rsidR="00EF1558">
        <w:fldChar w:fldCharType="separate"/>
      </w:r>
      <w:r w:rsidR="00167BA0">
        <w:t>Appendix C</w:t>
      </w:r>
      <w:r w:rsidR="00EF1558">
        <w:fldChar w:fldCharType="end"/>
      </w:r>
      <w:r w:rsidR="00EF1558">
        <w:t xml:space="preserve"> and </w:t>
      </w:r>
      <w:r w:rsidR="001E18CF">
        <w:fldChar w:fldCharType="begin"/>
      </w:r>
      <w:r w:rsidR="001E18CF">
        <w:instrText xml:space="preserve"> REF _Ref216793867 \h </w:instrText>
      </w:r>
      <w:r w:rsidR="001E18CF">
        <w:fldChar w:fldCharType="separate"/>
      </w:r>
      <w:r w:rsidR="00167BA0">
        <w:t xml:space="preserve">Table </w:t>
      </w:r>
      <w:r w:rsidR="00167BA0">
        <w:rPr>
          <w:noProof/>
        </w:rPr>
        <w:t>9</w:t>
      </w:r>
      <w:r w:rsidR="00167BA0">
        <w:t>.</w:t>
      </w:r>
      <w:r w:rsidR="00167BA0">
        <w:rPr>
          <w:noProof/>
        </w:rPr>
        <w:t>26</w:t>
      </w:r>
      <w:r w:rsidR="001E18CF">
        <w:fldChar w:fldCharType="end"/>
      </w:r>
      <w:r w:rsidR="001E18CF">
        <w:t xml:space="preserve">, </w:t>
      </w:r>
      <w:r w:rsidR="001E18CF">
        <w:fldChar w:fldCharType="begin"/>
      </w:r>
      <w:r w:rsidR="001E18CF">
        <w:instrText xml:space="preserve"> REF _Ref216865792 \n \h </w:instrText>
      </w:r>
      <w:r w:rsidR="001E18CF">
        <w:fldChar w:fldCharType="separate"/>
      </w:r>
      <w:r w:rsidR="00167BA0">
        <w:t>Appendix D</w:t>
      </w:r>
      <w:r w:rsidR="001E18CF">
        <w:fldChar w:fldCharType="end"/>
      </w:r>
      <w:r w:rsidR="00EF1558">
        <w:t>)</w:t>
      </w:r>
      <w:r w:rsidR="001E18CF">
        <w:t>.</w:t>
      </w:r>
      <w:r w:rsidR="00D25915">
        <w:t xml:space="preserve"> </w:t>
      </w:r>
      <w:r w:rsidR="00B33712">
        <w:t xml:space="preserve">Barriers </w:t>
      </w:r>
      <w:r w:rsidR="00A01025">
        <w:t>to primary care involvement</w:t>
      </w:r>
      <w:r w:rsidR="00B33712">
        <w:t xml:space="preserve"> reported by stakeholders included</w:t>
      </w:r>
      <w:r w:rsidR="001F3450">
        <w:t xml:space="preserve"> low awareness, limited perceived applicability due to the </w:t>
      </w:r>
      <w:r w:rsidR="004D3730">
        <w:t>programs</w:t>
      </w:r>
      <w:r w:rsidR="003863F5">
        <w:t>’</w:t>
      </w:r>
      <w:r w:rsidR="004D3730">
        <w:t xml:space="preserve"> strong focus</w:t>
      </w:r>
      <w:r w:rsidR="008D542D">
        <w:t xml:space="preserve"> on </w:t>
      </w:r>
      <w:r w:rsidR="00FA1596">
        <w:t>aged care staff</w:t>
      </w:r>
      <w:r w:rsidR="004D3730">
        <w:t xml:space="preserve">, and </w:t>
      </w:r>
      <w:r w:rsidR="005538E4">
        <w:t xml:space="preserve">financial and logistical </w:t>
      </w:r>
      <w:r w:rsidR="00FA1596">
        <w:t>challenges</w:t>
      </w:r>
      <w:r w:rsidR="005538E4">
        <w:t xml:space="preserve"> </w:t>
      </w:r>
      <w:r w:rsidR="00E34DE7">
        <w:t>to participation</w:t>
      </w:r>
      <w:r w:rsidR="005538E4">
        <w:t xml:space="preserve"> </w:t>
      </w:r>
      <w:r w:rsidR="00301311">
        <w:t>for independent practitioners.</w:t>
      </w:r>
    </w:p>
    <w:p w14:paraId="64BF35C8" w14:textId="09C1DE4B" w:rsidR="00971810" w:rsidRDefault="00847491" w:rsidP="00336E34">
      <w:r>
        <w:t xml:space="preserve">Stakeholders </w:t>
      </w:r>
      <w:r w:rsidR="008F4C48">
        <w:t xml:space="preserve">suggested </w:t>
      </w:r>
      <w:r>
        <w:t>that increas</w:t>
      </w:r>
      <w:r w:rsidR="008F4C48">
        <w:t>ed</w:t>
      </w:r>
      <w:r>
        <w:t xml:space="preserve"> primary care involvement could </w:t>
      </w:r>
      <w:r w:rsidR="008F4C48">
        <w:t>support</w:t>
      </w:r>
      <w:r w:rsidRPr="00E2492F">
        <w:t xml:space="preserve"> more consistent</w:t>
      </w:r>
      <w:r>
        <w:t>, team-based approach</w:t>
      </w:r>
      <w:r w:rsidR="008F4C48">
        <w:t>es</w:t>
      </w:r>
      <w:r>
        <w:t xml:space="preserve"> to palliative care in aged </w:t>
      </w:r>
      <w:r>
        <w:t>care settings and strengthen the Measure</w:t>
      </w:r>
      <w:r w:rsidR="003863F5">
        <w:t>’</w:t>
      </w:r>
      <w:r>
        <w:t>s impact. Recognising th</w:t>
      </w:r>
      <w:r w:rsidR="001C0768">
        <w:t>is</w:t>
      </w:r>
      <w:r>
        <w:t xml:space="preserve"> gap, the University of Wollongong </w:t>
      </w:r>
      <w:r w:rsidR="001C0768">
        <w:t xml:space="preserve">planned </w:t>
      </w:r>
      <w:r w:rsidR="001C32A2">
        <w:t xml:space="preserve">to </w:t>
      </w:r>
      <w:r w:rsidR="00BE5E78">
        <w:t>develop</w:t>
      </w:r>
      <w:r w:rsidR="005E101E">
        <w:t xml:space="preserve"> </w:t>
      </w:r>
      <w:r w:rsidR="00BE5E78">
        <w:t>a GP-specific education module and</w:t>
      </w:r>
      <w:r w:rsidR="00783859">
        <w:t xml:space="preserve"> targeted</w:t>
      </w:r>
      <w:r w:rsidR="00BE5E78">
        <w:t xml:space="preserve"> </w:t>
      </w:r>
      <w:r w:rsidR="00CB0CEA">
        <w:t xml:space="preserve">reports </w:t>
      </w:r>
      <w:r w:rsidR="00783859">
        <w:t>for</w:t>
      </w:r>
      <w:r w:rsidR="00CB0CEA">
        <w:t xml:space="preserve"> GPs</w:t>
      </w:r>
      <w:r w:rsidR="00FC33DC">
        <w:t xml:space="preserve"> and other health professionals</w:t>
      </w:r>
      <w:r w:rsidR="00E94A17">
        <w:t xml:space="preserve"> </w:t>
      </w:r>
      <w:sdt>
        <w:sdtPr>
          <w:id w:val="73168234"/>
          <w:citation/>
        </w:sdtPr>
        <w:sdtContent>
          <w:r w:rsidR="00300B6B">
            <w:fldChar w:fldCharType="begin"/>
          </w:r>
          <w:r w:rsidR="00300B6B">
            <w:rPr>
              <w:lang w:val="en-US"/>
            </w:rPr>
            <w:instrText xml:space="preserve"> CITATION Uni2533 \l 1033 </w:instrText>
          </w:r>
          <w:r w:rsidR="00300B6B">
            <w:fldChar w:fldCharType="separate"/>
          </w:r>
          <w:r w:rsidR="008410E0" w:rsidRPr="008410E0">
            <w:rPr>
              <w:noProof/>
              <w:lang w:val="en-US"/>
            </w:rPr>
            <w:t>[24]</w:t>
          </w:r>
          <w:r w:rsidR="00300B6B">
            <w:fldChar w:fldCharType="end"/>
          </w:r>
        </w:sdtContent>
      </w:sdt>
      <w:r w:rsidR="00C54231">
        <w:t xml:space="preserve">. </w:t>
      </w:r>
      <w:r w:rsidR="001C0768">
        <w:t xml:space="preserve">Other </w:t>
      </w:r>
      <w:r w:rsidR="00E0382A">
        <w:t>strategies to strengthen primary care involvement</w:t>
      </w:r>
      <w:r w:rsidR="001C0768">
        <w:t xml:space="preserve"> suggested </w:t>
      </w:r>
      <w:r w:rsidR="00E0382A">
        <w:t>by stakeholders</w:t>
      </w:r>
      <w:r w:rsidR="001C0768">
        <w:t xml:space="preserve"> </w:t>
      </w:r>
      <w:r w:rsidR="0037219C">
        <w:t xml:space="preserve">included </w:t>
      </w:r>
      <w:r w:rsidR="0037219C" w:rsidRPr="0037219C">
        <w:t xml:space="preserve">developing targeted </w:t>
      </w:r>
      <w:r w:rsidR="009B51F9">
        <w:t xml:space="preserve">PEPA Aged Care </w:t>
      </w:r>
      <w:r w:rsidR="0037219C" w:rsidRPr="0037219C">
        <w:t xml:space="preserve">education </w:t>
      </w:r>
      <w:r w:rsidR="009B51F9">
        <w:t>streams</w:t>
      </w:r>
      <w:r w:rsidR="0037219C" w:rsidRPr="0037219C">
        <w:t xml:space="preserve"> for GPs and allied health professionals</w:t>
      </w:r>
      <w:r w:rsidR="001A3157">
        <w:t>;</w:t>
      </w:r>
      <w:r w:rsidR="0037219C" w:rsidRPr="0037219C">
        <w:t xml:space="preserve"> </w:t>
      </w:r>
      <w:r w:rsidR="00397119">
        <w:t>offering</w:t>
      </w:r>
      <w:r w:rsidR="0037219C" w:rsidRPr="0037219C">
        <w:t xml:space="preserve"> financial </w:t>
      </w:r>
      <w:r w:rsidR="00F27EB5">
        <w:t>assistance</w:t>
      </w:r>
      <w:r w:rsidR="001A3157">
        <w:t>;</w:t>
      </w:r>
      <w:r w:rsidR="0037219C" w:rsidRPr="0037219C">
        <w:t xml:space="preserve"> linking participation to professional development requirements</w:t>
      </w:r>
      <w:r w:rsidR="001A3157">
        <w:t>;</w:t>
      </w:r>
      <w:r w:rsidR="0037219C" w:rsidRPr="0037219C">
        <w:t xml:space="preserve"> and partnering with Primary Health Networks</w:t>
      </w:r>
      <w:r w:rsidR="00336E34">
        <w:t xml:space="preserve"> (PHNs)</w:t>
      </w:r>
      <w:r w:rsidR="0037219C" w:rsidRPr="0037219C">
        <w:t xml:space="preserve"> and </w:t>
      </w:r>
      <w:r w:rsidR="00F27EB5">
        <w:t>primary and allied health</w:t>
      </w:r>
      <w:r w:rsidR="00336E34">
        <w:t xml:space="preserve"> </w:t>
      </w:r>
      <w:r w:rsidR="0037219C" w:rsidRPr="0037219C">
        <w:t>peak bodies to raise awareness</w:t>
      </w:r>
      <w:r w:rsidR="00336E34">
        <w:t>.</w:t>
      </w:r>
    </w:p>
    <w:p w14:paraId="167F3704" w14:textId="46F60D5D" w:rsidR="00971810" w:rsidRDefault="00204768" w:rsidP="00971810">
      <w:pPr>
        <w:pStyle w:val="Findings"/>
      </w:pPr>
      <w:r>
        <w:t>Evaluation evidence suggests that t</w:t>
      </w:r>
      <w:r w:rsidR="00971810">
        <w:t xml:space="preserve">he Measure </w:t>
      </w:r>
      <w:r w:rsidR="00D8425A">
        <w:t>remain</w:t>
      </w:r>
      <w:r w:rsidR="00BF02AC">
        <w:t>ed</w:t>
      </w:r>
      <w:r w:rsidR="00D8425A">
        <w:t xml:space="preserve"> a</w:t>
      </w:r>
      <w:r w:rsidR="00971810">
        <w:t>n appropriate</w:t>
      </w:r>
      <w:r w:rsidR="00757D19">
        <w:t xml:space="preserve"> and timely</w:t>
      </w:r>
      <w:r w:rsidR="00971810">
        <w:t xml:space="preserve"> response to the needs of the aged care sector, addressing critical gaps in workforce </w:t>
      </w:r>
      <w:r w:rsidR="00A434BD">
        <w:t xml:space="preserve">and organisational </w:t>
      </w:r>
      <w:r w:rsidR="00971810">
        <w:t xml:space="preserve">capability. </w:t>
      </w:r>
      <w:r w:rsidR="005C075C">
        <w:t xml:space="preserve">While </w:t>
      </w:r>
      <w:r w:rsidR="00CE7399">
        <w:t xml:space="preserve">stakeholders considered </w:t>
      </w:r>
      <w:r w:rsidR="005C075C">
        <w:t xml:space="preserve">the Measure </w:t>
      </w:r>
      <w:r w:rsidR="00CE7399">
        <w:t xml:space="preserve">to be </w:t>
      </w:r>
      <w:r w:rsidR="005C075C">
        <w:t xml:space="preserve">highly relevant </w:t>
      </w:r>
      <w:r w:rsidR="00394E0D">
        <w:t>to</w:t>
      </w:r>
      <w:r w:rsidR="005C075C">
        <w:t xml:space="preserve"> residential aged care, its applicability to home and community aged care services was </w:t>
      </w:r>
      <w:r w:rsidR="00FC0B03">
        <w:t xml:space="preserve">perceived as </w:t>
      </w:r>
      <w:r w:rsidR="005C075C">
        <w:t>less clear</w:t>
      </w:r>
      <w:r w:rsidR="00394E0D">
        <w:t>, given</w:t>
      </w:r>
      <w:r w:rsidR="005C075C">
        <w:t xml:space="preserve"> the </w:t>
      </w:r>
      <w:r w:rsidR="002720A7">
        <w:t>design focus of PACOP and PEPA Aged Care. Similarly</w:t>
      </w:r>
      <w:r w:rsidR="00971810">
        <w:t>, its</w:t>
      </w:r>
      <w:r w:rsidR="00B31A5C">
        <w:t xml:space="preserve"> perceived</w:t>
      </w:r>
      <w:r w:rsidR="00971810">
        <w:t xml:space="preserve"> relevance</w:t>
      </w:r>
      <w:r w:rsidR="001C3367">
        <w:t xml:space="preserve"> </w:t>
      </w:r>
      <w:r w:rsidR="00CF342D">
        <w:t>to</w:t>
      </w:r>
      <w:r w:rsidR="00971810">
        <w:t xml:space="preserve"> the primary care sector was </w:t>
      </w:r>
      <w:r w:rsidR="00CF342D">
        <w:t>limited</w:t>
      </w:r>
      <w:r w:rsidR="00784535">
        <w:t xml:space="preserve">, with available data suggesting </w:t>
      </w:r>
      <w:r w:rsidR="004A77F0">
        <w:t>minimal</w:t>
      </w:r>
      <w:r w:rsidR="00784535">
        <w:t xml:space="preserve"> engagement among primary care professionals</w:t>
      </w:r>
      <w:r w:rsidR="00971810">
        <w:t>.</w:t>
      </w:r>
      <w:r w:rsidR="00C00A4F">
        <w:t xml:space="preserve"> </w:t>
      </w:r>
      <w:r w:rsidR="002354C2">
        <w:t>T</w:t>
      </w:r>
      <w:r w:rsidR="00942161">
        <w:t>hese findings</w:t>
      </w:r>
      <w:r w:rsidR="009F3AC9">
        <w:t xml:space="preserve"> suggest that t</w:t>
      </w:r>
      <w:r w:rsidR="002354C2">
        <w:t>argeted strategies to increase</w:t>
      </w:r>
      <w:r w:rsidR="00075473">
        <w:t xml:space="preserve"> </w:t>
      </w:r>
      <w:r w:rsidR="00A7014E">
        <w:t xml:space="preserve">involvement across both home care and </w:t>
      </w:r>
      <w:r w:rsidR="00075473">
        <w:t xml:space="preserve">primary care </w:t>
      </w:r>
      <w:r w:rsidR="005C48BD">
        <w:t xml:space="preserve">could </w:t>
      </w:r>
      <w:r w:rsidR="00A70AC6">
        <w:t>strengthen team-based palliative care and amplify the Measure</w:t>
      </w:r>
      <w:r w:rsidR="003863F5">
        <w:t>’</w:t>
      </w:r>
      <w:r w:rsidR="00A70AC6">
        <w:t>s impact</w:t>
      </w:r>
      <w:r w:rsidR="00075473">
        <w:t>.</w:t>
      </w:r>
    </w:p>
    <w:p w14:paraId="76D64A57" w14:textId="73E2F4B1" w:rsidR="00B835FF" w:rsidRDefault="00B835FF" w:rsidP="00B835FF">
      <w:pPr>
        <w:pStyle w:val="Heading3"/>
      </w:pPr>
      <w:bookmarkStart w:id="56" w:name="_Toc232685886"/>
      <w:r>
        <w:t xml:space="preserve">Continued need for </w:t>
      </w:r>
      <w:r w:rsidRPr="00BA7153">
        <w:t>palliative care education, training, and quality improvement</w:t>
      </w:r>
      <w:bookmarkEnd w:id="56"/>
    </w:p>
    <w:p w14:paraId="6D30EA3C" w14:textId="1B06862C" w:rsidR="001F16A8" w:rsidRDefault="00B835FF" w:rsidP="00B835FF">
      <w:r>
        <w:t xml:space="preserve">Stakeholders </w:t>
      </w:r>
      <w:r w:rsidRPr="001730A2">
        <w:t xml:space="preserve">consistently reported a strong and ongoing </w:t>
      </w:r>
      <w:r w:rsidR="00421FBE">
        <w:t xml:space="preserve">perceived </w:t>
      </w:r>
      <w:r w:rsidRPr="001730A2">
        <w:t xml:space="preserve">need for palliative care education, training, and quality improvement in aged care. Evidence from </w:t>
      </w:r>
      <w:r w:rsidR="009214EF">
        <w:t>all evaluation data sources</w:t>
      </w:r>
      <w:r w:rsidRPr="001730A2">
        <w:t xml:space="preserve"> </w:t>
      </w:r>
      <w:r w:rsidR="006A12FB">
        <w:t>indicated</w:t>
      </w:r>
      <w:r w:rsidRPr="001730A2">
        <w:t xml:space="preserve"> that this need remain</w:t>
      </w:r>
      <w:r w:rsidR="00B76860">
        <w:t>ed</w:t>
      </w:r>
      <w:r w:rsidRPr="001730A2">
        <w:t xml:space="preserve"> significant, driven by </w:t>
      </w:r>
      <w:r w:rsidR="006A12FB">
        <w:t xml:space="preserve">a range of </w:t>
      </w:r>
      <w:r w:rsidRPr="001730A2">
        <w:t>system-level, workforce, and community factors</w:t>
      </w:r>
      <w:r w:rsidR="00210D26">
        <w:t xml:space="preserve">, as </w:t>
      </w:r>
      <w:r w:rsidR="00ED2C19">
        <w:t xml:space="preserve">captured in </w:t>
      </w:r>
      <w:r w:rsidR="00ED2C19">
        <w:fldChar w:fldCharType="begin"/>
      </w:r>
      <w:r w:rsidR="00ED2C19">
        <w:instrText xml:space="preserve"> REF _Ref219105300 \h </w:instrText>
      </w:r>
      <w:r w:rsidR="00ED2C19">
        <w:fldChar w:fldCharType="separate"/>
      </w:r>
      <w:r w:rsidR="00167BA0">
        <w:t xml:space="preserve">Figure </w:t>
      </w:r>
      <w:r w:rsidR="00167BA0">
        <w:rPr>
          <w:noProof/>
        </w:rPr>
        <w:t>4</w:t>
      </w:r>
      <w:r w:rsidR="00167BA0">
        <w:t>.</w:t>
      </w:r>
      <w:r w:rsidR="00167BA0">
        <w:rPr>
          <w:noProof/>
        </w:rPr>
        <w:t>1</w:t>
      </w:r>
      <w:r w:rsidR="00ED2C19">
        <w:fldChar w:fldCharType="end"/>
      </w:r>
      <w:r>
        <w:t>.</w:t>
      </w:r>
    </w:p>
    <w:p w14:paraId="6A57F0EC" w14:textId="0059AC7F" w:rsidR="00443DD8" w:rsidRDefault="00443DD8" w:rsidP="00443DD8">
      <w:pPr>
        <w:pStyle w:val="Caption"/>
      </w:pPr>
      <w:bookmarkStart w:id="57" w:name="_Ref219105300"/>
      <w:r>
        <w:lastRenderedPageBreak/>
        <w:t xml:space="preserve">Figure </w:t>
      </w:r>
      <w:fldSimple w:instr=" STYLEREF 1 \s ">
        <w:r w:rsidR="00167BA0">
          <w:rPr>
            <w:noProof/>
          </w:rPr>
          <w:t>4</w:t>
        </w:r>
      </w:fldSimple>
      <w:r>
        <w:t>.</w:t>
      </w:r>
      <w:fldSimple w:instr=" SEQ Figure \* ARABIC \s 1 ">
        <w:r w:rsidR="00167BA0">
          <w:rPr>
            <w:noProof/>
          </w:rPr>
          <w:t>1</w:t>
        </w:r>
      </w:fldSimple>
      <w:bookmarkEnd w:id="57"/>
      <w:r>
        <w:t xml:space="preserve">: Drivers of the need for palliative care education, </w:t>
      </w:r>
      <w:r w:rsidR="006A50CC">
        <w:br/>
      </w:r>
      <w:r>
        <w:t>training, and quality improvement in aged care</w:t>
      </w:r>
    </w:p>
    <w:p w14:paraId="7FF401CD" w14:textId="51A3D08D" w:rsidR="00443DD8" w:rsidRDefault="003D4480" w:rsidP="00443DD8">
      <w:pPr>
        <w:spacing w:before="120"/>
      </w:pPr>
      <w:r>
        <w:rPr>
          <w:noProof/>
        </w:rPr>
        <w:drawing>
          <wp:inline distT="0" distB="0" distL="0" distR="0" wp14:anchorId="14847F87" wp14:editId="45609EA6">
            <wp:extent cx="4580255" cy="4224655"/>
            <wp:effectExtent l="0" t="0" r="0" b="4445"/>
            <wp:docPr id="1659868391" name="Picture 4" descr="Figure 4.1 is a diagram of drivers of the need for palliative care education, training, and quality improvement in age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68391" name="Picture 4" descr="Figure 4.1 is a diagram of drivers of the need for palliative care education, training, and quality improvement in aged car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580255" cy="4224655"/>
                    </a:xfrm>
                    <a:prstGeom prst="rect">
                      <a:avLst/>
                    </a:prstGeom>
                  </pic:spPr>
                </pic:pic>
              </a:graphicData>
            </a:graphic>
          </wp:inline>
        </w:drawing>
      </w:r>
    </w:p>
    <w:p w14:paraId="62300E77" w14:textId="3F37BD20" w:rsidR="00B835FF" w:rsidRDefault="00B835FF" w:rsidP="00B835FF">
      <w:r>
        <w:t xml:space="preserve">Given the scale of the systemic, workforce, and community challenges </w:t>
      </w:r>
      <w:r w:rsidR="00164835">
        <w:t>identified</w:t>
      </w:r>
      <w:r>
        <w:t xml:space="preserve">, stakeholders </w:t>
      </w:r>
      <w:r w:rsidR="00C76D90">
        <w:t xml:space="preserve">widely </w:t>
      </w:r>
      <w:r>
        <w:t xml:space="preserve">anticipated that the need for </w:t>
      </w:r>
      <w:r w:rsidRPr="00C20E86">
        <w:t xml:space="preserve">palliative care </w:t>
      </w:r>
      <w:r>
        <w:t xml:space="preserve">education and support in aged care </w:t>
      </w:r>
      <w:r w:rsidR="00533929">
        <w:t>would</w:t>
      </w:r>
      <w:r>
        <w:t xml:space="preserve"> persist for the foreseeable future</w:t>
      </w:r>
      <w:r w:rsidR="00533929">
        <w:t xml:space="preserve">. </w:t>
      </w:r>
      <w:r w:rsidR="00C76D90">
        <w:t xml:space="preserve">Some felt that </w:t>
      </w:r>
      <w:r w:rsidR="005077E6">
        <w:t>this need</w:t>
      </w:r>
      <w:r>
        <w:t xml:space="preserve"> may even intensify as major aged care reforms </w:t>
      </w:r>
      <w:r w:rsidR="00C76D90">
        <w:t>took</w:t>
      </w:r>
      <w:r>
        <w:t xml:space="preserve"> </w:t>
      </w:r>
      <w:r>
        <w:t>effect and demographic pressures increase</w:t>
      </w:r>
      <w:r w:rsidR="00C76D90">
        <w:t>d</w:t>
      </w:r>
      <w:r>
        <w:t xml:space="preserve">. </w:t>
      </w:r>
      <w:r w:rsidR="003600FB">
        <w:t>O</w:t>
      </w:r>
      <w:r w:rsidR="00B874C5">
        <w:t>nline survey</w:t>
      </w:r>
      <w:r>
        <w:t xml:space="preserve"> </w:t>
      </w:r>
      <w:r w:rsidR="003600FB">
        <w:t xml:space="preserve">findings </w:t>
      </w:r>
      <w:r>
        <w:t xml:space="preserve">reinforced this view, with more than 80% </w:t>
      </w:r>
      <w:r w:rsidR="00B874C5">
        <w:t xml:space="preserve">of non-participating providers </w:t>
      </w:r>
      <w:r>
        <w:t xml:space="preserve">perceiving both a current and </w:t>
      </w:r>
      <w:r w:rsidR="00517C74">
        <w:t>ongoing</w:t>
      </w:r>
      <w:r>
        <w:t xml:space="preserve"> need for palliative care education, training, and quality improvement across the sector (</w:t>
      </w:r>
      <w:r w:rsidR="006B10F4">
        <w:t xml:space="preserve">technical paper, Figure </w:t>
      </w:r>
      <w:r w:rsidR="000120F4">
        <w:t>7.6</w:t>
      </w:r>
      <w:r>
        <w:t>).</w:t>
      </w:r>
    </w:p>
    <w:p w14:paraId="68A7CFB5" w14:textId="04AB47FF" w:rsidR="00B835FF" w:rsidRDefault="00B835FF" w:rsidP="00B835FF">
      <w:r>
        <w:t xml:space="preserve">Despite </w:t>
      </w:r>
      <w:r w:rsidR="00CD58E4">
        <w:t xml:space="preserve">several perceived </w:t>
      </w:r>
      <w:r>
        <w:t xml:space="preserve">limitations </w:t>
      </w:r>
      <w:r w:rsidR="002B0E6A">
        <w:t>in the designs of</w:t>
      </w:r>
      <w:r>
        <w:t xml:space="preserve"> PEPA Aged Care and PACOP</w:t>
      </w:r>
      <w:r w:rsidR="003A7250">
        <w:t xml:space="preserve"> (discussed in </w:t>
      </w:r>
      <w:r>
        <w:t>Section</w:t>
      </w:r>
      <w:r w:rsidR="003A7250">
        <w:t>s</w:t>
      </w:r>
      <w:r>
        <w:t xml:space="preserve"> 4.</w:t>
      </w:r>
      <w:r w:rsidR="003A7250">
        <w:t>2 and 4.3, respectively),</w:t>
      </w:r>
      <w:r>
        <w:t xml:space="preserve"> </w:t>
      </w:r>
      <w:r w:rsidR="0036280B">
        <w:t xml:space="preserve">there was </w:t>
      </w:r>
      <w:proofErr w:type="gramStart"/>
      <w:r w:rsidR="0036280B">
        <w:t>a general consensus</w:t>
      </w:r>
      <w:proofErr w:type="gramEnd"/>
      <w:r w:rsidR="0036280B">
        <w:t xml:space="preserve"> </w:t>
      </w:r>
      <w:r w:rsidR="00592627">
        <w:t>among interviewed stakeholders</w:t>
      </w:r>
      <w:r w:rsidR="00081E24">
        <w:t xml:space="preserve"> and </w:t>
      </w:r>
      <w:r w:rsidR="00161667">
        <w:t>online survey respondents</w:t>
      </w:r>
      <w:r w:rsidR="00592627">
        <w:t xml:space="preserve"> </w:t>
      </w:r>
      <w:r w:rsidR="00161667">
        <w:t>(</w:t>
      </w:r>
      <w:r w:rsidR="000120F4">
        <w:t xml:space="preserve">technical paper, Figure </w:t>
      </w:r>
      <w:r w:rsidR="00811486">
        <w:t xml:space="preserve">8.8 and Figure </w:t>
      </w:r>
      <w:r w:rsidR="00BB1966">
        <w:t>8.18</w:t>
      </w:r>
      <w:r w:rsidR="00161667">
        <w:t xml:space="preserve">) </w:t>
      </w:r>
      <w:r w:rsidRPr="00F53182">
        <w:t xml:space="preserve">that </w:t>
      </w:r>
      <w:r>
        <w:t>both programs</w:t>
      </w:r>
      <w:r w:rsidRPr="00F53182">
        <w:t xml:space="preserve"> remain</w:t>
      </w:r>
      <w:r>
        <w:t>ed</w:t>
      </w:r>
      <w:r w:rsidRPr="00F53182">
        <w:t xml:space="preserve"> relevant and necessary</w:t>
      </w:r>
      <w:r>
        <w:t xml:space="preserve">. Most advocated </w:t>
      </w:r>
      <w:r w:rsidR="00693F79">
        <w:t>for sustained</w:t>
      </w:r>
      <w:r w:rsidR="00821A84">
        <w:t xml:space="preserve"> investment to </w:t>
      </w:r>
      <w:r w:rsidR="00693F79">
        <w:t>continue</w:t>
      </w:r>
      <w:r w:rsidR="00821A84">
        <w:t xml:space="preserve"> the programs in the medium- to </w:t>
      </w:r>
      <w:r w:rsidR="00693F79">
        <w:t>longer-term</w:t>
      </w:r>
      <w:r w:rsidRPr="00F53182">
        <w:t>.</w:t>
      </w:r>
    </w:p>
    <w:p w14:paraId="6B894E7A" w14:textId="23A79413" w:rsidR="00B835FF" w:rsidRDefault="00B835FF" w:rsidP="0017217B">
      <w:pPr>
        <w:pStyle w:val="Quote"/>
      </w:pPr>
      <w:r w:rsidRPr="001C752F">
        <w:t>Oh, it hasn</w:t>
      </w:r>
      <w:r w:rsidR="003863F5">
        <w:t>’</w:t>
      </w:r>
      <w:r w:rsidRPr="001C752F">
        <w:t xml:space="preserve">t even started. I recommend </w:t>
      </w:r>
      <w:r>
        <w:t>locking</w:t>
      </w:r>
      <w:r w:rsidRPr="001C752F">
        <w:t xml:space="preserve"> the</w:t>
      </w:r>
      <w:r>
        <w:t>m</w:t>
      </w:r>
      <w:r w:rsidRPr="001C752F">
        <w:t xml:space="preserve"> in for another 15 years</w:t>
      </w:r>
      <w:r>
        <w:t>,</w:t>
      </w:r>
      <w:r w:rsidRPr="001C752F">
        <w:t xml:space="preserve"> because </w:t>
      </w:r>
      <w:r>
        <w:t>providers are</w:t>
      </w:r>
      <w:r w:rsidRPr="001C752F">
        <w:t xml:space="preserve"> going to need them.</w:t>
      </w:r>
      <w:r>
        <w:t xml:space="preserve"> – </w:t>
      </w:r>
      <w:r w:rsidR="000C6D82">
        <w:t>Palliative care-related peak body</w:t>
      </w:r>
    </w:p>
    <w:p w14:paraId="0D94A1BF" w14:textId="686B85FE" w:rsidR="00B835FF" w:rsidRDefault="00B835FF" w:rsidP="00B835FF">
      <w:pPr>
        <w:pStyle w:val="Findings"/>
      </w:pPr>
      <w:r>
        <w:t xml:space="preserve">There </w:t>
      </w:r>
      <w:r w:rsidR="00E4684A">
        <w:t xml:space="preserve">was </w:t>
      </w:r>
      <w:r>
        <w:t xml:space="preserve">a strong and ongoing </w:t>
      </w:r>
      <w:r w:rsidR="00BB6A4D">
        <w:t xml:space="preserve">perceived </w:t>
      </w:r>
      <w:r>
        <w:t>need for palliative care education, training, and quality improvement in aged care, driven by systemic, workforce, and community factors</w:t>
      </w:r>
      <w:r w:rsidR="0067460C">
        <w:t>.</w:t>
      </w:r>
    </w:p>
    <w:p w14:paraId="1A0DE6F1" w14:textId="296ED995" w:rsidR="00B835FF" w:rsidRPr="00971810" w:rsidRDefault="005A007C" w:rsidP="00B835FF">
      <w:pPr>
        <w:pStyle w:val="Findings"/>
      </w:pPr>
      <w:r>
        <w:t xml:space="preserve">The underlying concepts and objectives of PEPA Aged Care and PACOP to uplift palliative care capability across the aged care sector </w:t>
      </w:r>
      <w:r w:rsidR="008420F3">
        <w:t>were</w:t>
      </w:r>
      <w:r w:rsidR="002C2596">
        <w:t xml:space="preserve"> widely</w:t>
      </w:r>
      <w:r>
        <w:t xml:space="preserve"> supported. However,</w:t>
      </w:r>
      <w:r w:rsidR="00381710">
        <w:t xml:space="preserve"> as discussed in the following sections, refinement</w:t>
      </w:r>
      <w:r w:rsidR="00B26AB8">
        <w:t xml:space="preserve">s </w:t>
      </w:r>
      <w:r w:rsidR="00147005">
        <w:t xml:space="preserve">may be </w:t>
      </w:r>
      <w:r w:rsidR="00B26AB8">
        <w:t>needed</w:t>
      </w:r>
      <w:r w:rsidR="00381710">
        <w:t xml:space="preserve"> to address identified limitations and better </w:t>
      </w:r>
      <w:r w:rsidR="008C4B4C">
        <w:t xml:space="preserve">align program delivery with </w:t>
      </w:r>
      <w:r w:rsidR="00381710">
        <w:t>sector needs.</w:t>
      </w:r>
    </w:p>
    <w:p w14:paraId="22617B20" w14:textId="77777777" w:rsidR="00B835FF" w:rsidRPr="007E2410" w:rsidRDefault="00B835FF" w:rsidP="00B835FF">
      <w:pPr>
        <w:pStyle w:val="Heading3"/>
      </w:pPr>
      <w:bookmarkStart w:id="58" w:name="_Toc232685887"/>
      <w:r w:rsidRPr="007E2410">
        <w:t>Gaps and areas of duplication</w:t>
      </w:r>
      <w:bookmarkEnd w:id="58"/>
    </w:p>
    <w:p w14:paraId="20B2463F" w14:textId="5CC9F57B" w:rsidR="00A2039F" w:rsidRDefault="00E0565F" w:rsidP="00B835FF">
      <w:r>
        <w:t xml:space="preserve">Potential </w:t>
      </w:r>
      <w:r w:rsidR="00D7654A">
        <w:t xml:space="preserve">gaps and </w:t>
      </w:r>
      <w:r w:rsidR="00BF2426">
        <w:t>duplication among</w:t>
      </w:r>
      <w:r w:rsidR="00D7654A">
        <w:t xml:space="preserve"> PEPA Aged Care, PACOP, and other palliative care training initiatives were </w:t>
      </w:r>
      <w:r w:rsidR="003F6F59">
        <w:t xml:space="preserve">explored </w:t>
      </w:r>
      <w:r w:rsidR="0092241F">
        <w:t xml:space="preserve">through </w:t>
      </w:r>
      <w:r w:rsidR="008A4F72">
        <w:t xml:space="preserve">analysis of program documentation, stakeholder </w:t>
      </w:r>
      <w:r w:rsidR="0040345D">
        <w:t>consultations</w:t>
      </w:r>
      <w:r w:rsidR="0092241F">
        <w:t>,</w:t>
      </w:r>
      <w:r w:rsidR="00E428C9">
        <w:t xml:space="preserve"> focus groups,</w:t>
      </w:r>
      <w:r w:rsidR="008A4F72">
        <w:t xml:space="preserve"> and</w:t>
      </w:r>
      <w:r w:rsidR="0092241F">
        <w:t xml:space="preserve"> the online survey.</w:t>
      </w:r>
    </w:p>
    <w:p w14:paraId="29E93DEE" w14:textId="58FF38F5" w:rsidR="00B2241E" w:rsidRDefault="008A4F72" w:rsidP="00B835FF">
      <w:r>
        <w:lastRenderedPageBreak/>
        <w:t>A</w:t>
      </w:r>
      <w:r w:rsidR="0092241F">
        <w:t xml:space="preserve"> cross-analysis of PEPA Aged Care and PACOP</w:t>
      </w:r>
      <w:r w:rsidR="00B835FF">
        <w:t xml:space="preserve"> </w:t>
      </w:r>
      <w:r w:rsidR="00E25B45">
        <w:t>found no</w:t>
      </w:r>
      <w:r w:rsidR="00557E74">
        <w:t xml:space="preserve"> </w:t>
      </w:r>
      <w:r w:rsidR="00F840A3">
        <w:t xml:space="preserve">evidence of </w:t>
      </w:r>
      <w:r w:rsidR="00557E74">
        <w:t>direct</w:t>
      </w:r>
      <w:r w:rsidR="00B835FF">
        <w:t xml:space="preserve"> duplication of activities </w:t>
      </w:r>
      <w:r w:rsidR="00557E74">
        <w:t>funded</w:t>
      </w:r>
      <w:r w:rsidR="00B835FF">
        <w:t xml:space="preserve"> under the Measure. </w:t>
      </w:r>
      <w:r w:rsidR="00DA67EA">
        <w:t>However,</w:t>
      </w:r>
      <w:r w:rsidR="00B124CD">
        <w:t xml:space="preserve"> </w:t>
      </w:r>
      <w:r w:rsidR="00DA67EA">
        <w:t>areas</w:t>
      </w:r>
      <w:r w:rsidR="00B835FF">
        <w:t xml:space="preserve"> of close alignment were evident, particularly in the programs</w:t>
      </w:r>
      <w:r w:rsidR="003863F5">
        <w:t>’</w:t>
      </w:r>
      <w:r w:rsidR="00B835FF">
        <w:t xml:space="preserve"> shared focus on workforce education and training. </w:t>
      </w:r>
      <w:r w:rsidR="0074464D">
        <w:t xml:space="preserve">Stakeholders </w:t>
      </w:r>
      <w:r w:rsidR="00CC310F">
        <w:t>raised no</w:t>
      </w:r>
      <w:r w:rsidR="0074464D">
        <w:t xml:space="preserve"> significant concerns about duplication,</w:t>
      </w:r>
      <w:r w:rsidR="00B124CD">
        <w:t xml:space="preserve"> noting that </w:t>
      </w:r>
      <w:r w:rsidR="0074464D">
        <w:t>the programs</w:t>
      </w:r>
      <w:r w:rsidR="00B124CD">
        <w:t xml:space="preserve"> served different purposes: </w:t>
      </w:r>
      <w:r w:rsidR="00CF00A2">
        <w:t xml:space="preserve">PEPA Aged Care </w:t>
      </w:r>
      <w:r w:rsidR="00B124CD">
        <w:t>provided</w:t>
      </w:r>
      <w:r w:rsidR="00CF00A2">
        <w:t xml:space="preserve"> foundational palliative care </w:t>
      </w:r>
      <w:r w:rsidR="0057365C">
        <w:t>knowledge</w:t>
      </w:r>
      <w:r w:rsidR="00CC310F">
        <w:t>,</w:t>
      </w:r>
      <w:r w:rsidR="0057365C">
        <w:t xml:space="preserve"> </w:t>
      </w:r>
      <w:r w:rsidR="00590A69">
        <w:t>while</w:t>
      </w:r>
      <w:r w:rsidR="00CF00A2">
        <w:t xml:space="preserve"> PACOP focused on </w:t>
      </w:r>
      <w:r w:rsidR="00A56DAB">
        <w:t xml:space="preserve">administering and </w:t>
      </w:r>
      <w:r w:rsidR="009B5141">
        <w:t>interpreting the PACOP clinical assessment framework</w:t>
      </w:r>
      <w:r w:rsidR="007F24F6">
        <w:t xml:space="preserve">. </w:t>
      </w:r>
      <w:r w:rsidR="00B87266">
        <w:t>Generally</w:t>
      </w:r>
      <w:r w:rsidR="00BB1966">
        <w:t>,</w:t>
      </w:r>
      <w:r w:rsidR="00CC310F">
        <w:t xml:space="preserve"> s</w:t>
      </w:r>
      <w:r w:rsidR="00793FBB">
        <w:t>takeholders viewed th</w:t>
      </w:r>
      <w:r w:rsidR="009205A9">
        <w:t>e program</w:t>
      </w:r>
      <w:r w:rsidR="003863F5">
        <w:t>’</w:t>
      </w:r>
      <w:r w:rsidR="009205A9">
        <w:t>s shared focus on workforce capability building</w:t>
      </w:r>
      <w:r w:rsidR="00793FBB">
        <w:t xml:space="preserve"> as complementary rather than problematic</w:t>
      </w:r>
      <w:r w:rsidR="00143076">
        <w:t xml:space="preserve">, </w:t>
      </w:r>
      <w:r w:rsidR="00DB706C">
        <w:t xml:space="preserve">provided </w:t>
      </w:r>
      <w:r w:rsidR="000B2365">
        <w:t>core messages remained consistent.</w:t>
      </w:r>
    </w:p>
    <w:p w14:paraId="1329B036" w14:textId="6C73523B" w:rsidR="009127CB" w:rsidRDefault="00171F22" w:rsidP="00B835FF">
      <w:r>
        <w:t xml:space="preserve">Several </w:t>
      </w:r>
      <w:r w:rsidR="009127CB">
        <w:t xml:space="preserve">stakeholders </w:t>
      </w:r>
      <w:r>
        <w:t>highlighted opportunities</w:t>
      </w:r>
      <w:r w:rsidR="004E5504">
        <w:t xml:space="preserve"> to</w:t>
      </w:r>
      <w:r w:rsidR="002B7736">
        <w:t xml:space="preserve"> </w:t>
      </w:r>
      <w:r w:rsidR="00B57D7A">
        <w:t xml:space="preserve">strengthen </w:t>
      </w:r>
      <w:r w:rsidR="00E3303A">
        <w:t xml:space="preserve">strategic </w:t>
      </w:r>
      <w:r w:rsidR="00B57D7A">
        <w:t>alignment and</w:t>
      </w:r>
      <w:r w:rsidR="004E5504">
        <w:t xml:space="preserve"> </w:t>
      </w:r>
      <w:r w:rsidR="00731A0A">
        <w:t>integration</w:t>
      </w:r>
      <w:r w:rsidR="00B57D7A">
        <w:t xml:space="preserve"> between </w:t>
      </w:r>
      <w:r>
        <w:t>PEPA Aged Care and PACOP</w:t>
      </w:r>
      <w:r w:rsidR="00B57D7A">
        <w:t xml:space="preserve"> to maximise their shared impact. </w:t>
      </w:r>
      <w:r w:rsidR="001862DC">
        <w:t xml:space="preserve">For example, </w:t>
      </w:r>
      <w:r w:rsidR="00B87266">
        <w:t>it was suggested that</w:t>
      </w:r>
      <w:r w:rsidR="001862DC">
        <w:t xml:space="preserve"> sequencing reverse PEPA Aged Care placements as part of PACOP onboarding </w:t>
      </w:r>
      <w:r w:rsidR="00B87266">
        <w:t>could be an effective</w:t>
      </w:r>
      <w:r w:rsidR="003532F9">
        <w:t xml:space="preserve"> way </w:t>
      </w:r>
      <w:r w:rsidR="001862DC">
        <w:t xml:space="preserve">to establish </w:t>
      </w:r>
      <w:r w:rsidR="00B87266">
        <w:t xml:space="preserve">consistent </w:t>
      </w:r>
      <w:r w:rsidR="001862DC">
        <w:t>foundational skills</w:t>
      </w:r>
      <w:r w:rsidR="000B2365">
        <w:t xml:space="preserve"> within homes, </w:t>
      </w:r>
      <w:r w:rsidR="003532F9">
        <w:t>enhanc</w:t>
      </w:r>
      <w:r w:rsidR="000B2365">
        <w:t>ing</w:t>
      </w:r>
      <w:r w:rsidR="009C137F">
        <w:t xml:space="preserve"> PACOP implementation. </w:t>
      </w:r>
      <w:r w:rsidR="00AD50B2">
        <w:t xml:space="preserve">While QUT and the University of Wollongong reported </w:t>
      </w:r>
      <w:r w:rsidR="00300808">
        <w:t>informal collaboration</w:t>
      </w:r>
      <w:r w:rsidR="00AD50B2">
        <w:t xml:space="preserve"> to manage duplication risks, </w:t>
      </w:r>
      <w:r w:rsidR="009605E3">
        <w:t xml:space="preserve">stakeholders advocated for </w:t>
      </w:r>
      <w:r w:rsidR="00300808">
        <w:t xml:space="preserve">a </w:t>
      </w:r>
      <w:r w:rsidR="0023667B">
        <w:t>f</w:t>
      </w:r>
      <w:r w:rsidR="003910E7">
        <w:t xml:space="preserve">ormal partnership </w:t>
      </w:r>
      <w:r w:rsidR="002138C7">
        <w:t xml:space="preserve">to </w:t>
      </w:r>
      <w:r w:rsidR="00DA3DC7">
        <w:t xml:space="preserve">better leverage </w:t>
      </w:r>
      <w:r w:rsidR="00070019">
        <w:t>program</w:t>
      </w:r>
      <w:r w:rsidR="00DA3DC7">
        <w:t xml:space="preserve"> synergies</w:t>
      </w:r>
      <w:r w:rsidR="00E339EE">
        <w:t>.</w:t>
      </w:r>
    </w:p>
    <w:p w14:paraId="459D7636" w14:textId="77777777" w:rsidR="00F3373D" w:rsidRPr="00735AB3" w:rsidRDefault="00F3373D" w:rsidP="00F3373D">
      <w:pPr>
        <w:pStyle w:val="Quote"/>
      </w:pPr>
      <w:r>
        <w:t>Y</w:t>
      </w:r>
      <w:r w:rsidRPr="00155A5B">
        <w:t xml:space="preserve">ou need a beautiful partnership between the two of them, because it is rolling education that </w:t>
      </w:r>
      <w:proofErr w:type="gramStart"/>
      <w:r w:rsidRPr="00155A5B">
        <w:t>has to</w:t>
      </w:r>
      <w:proofErr w:type="gramEnd"/>
      <w:r w:rsidRPr="00155A5B">
        <w:t xml:space="preserve"> happen if you want PACOP implemented and </w:t>
      </w:r>
      <w:r>
        <w:t xml:space="preserve">[PEPA Aged Care] is </w:t>
      </w:r>
      <w:r w:rsidRPr="00155A5B">
        <w:t xml:space="preserve">basic skills and foundational knowledge </w:t>
      </w:r>
      <w:r>
        <w:t>– Specialist palliative care representative</w:t>
      </w:r>
    </w:p>
    <w:p w14:paraId="54FD0C7F" w14:textId="43E2FEDF" w:rsidR="00933CA2" w:rsidRDefault="006C0A53" w:rsidP="002321A9">
      <w:r>
        <w:t>No direct duplication was identified between the Measure</w:t>
      </w:r>
      <w:r w:rsidR="003863F5">
        <w:t>’</w:t>
      </w:r>
      <w:r w:rsidR="007068F3">
        <w:t>s funded activities</w:t>
      </w:r>
      <w:r>
        <w:t xml:space="preserve"> and other </w:t>
      </w:r>
      <w:r w:rsidR="008B428D">
        <w:t xml:space="preserve">related </w:t>
      </w:r>
      <w:r>
        <w:t xml:space="preserve">major </w:t>
      </w:r>
      <w:r w:rsidR="008B428D">
        <w:t>initiatives (e.g. NPCPs, ELDAC)</w:t>
      </w:r>
      <w:r w:rsidR="0000724E">
        <w:t xml:space="preserve">, although </w:t>
      </w:r>
      <w:r w:rsidR="00CA1B9D">
        <w:t xml:space="preserve">clear </w:t>
      </w:r>
      <w:r w:rsidR="0000724E">
        <w:t xml:space="preserve">areas of alignment were </w:t>
      </w:r>
      <w:r w:rsidR="00CA1B9D">
        <w:t>present</w:t>
      </w:r>
      <w:r w:rsidR="00A536FD">
        <w:t xml:space="preserve">, particularly </w:t>
      </w:r>
      <w:r w:rsidR="0030088F">
        <w:t xml:space="preserve">among initiatives </w:t>
      </w:r>
      <w:r w:rsidR="00007B9C">
        <w:t>involving</w:t>
      </w:r>
      <w:r w:rsidR="0030088F">
        <w:t xml:space="preserve"> workforce </w:t>
      </w:r>
      <w:r w:rsidR="006D5CDD">
        <w:t>capability</w:t>
      </w:r>
      <w:r w:rsidR="00007B9C">
        <w:t xml:space="preserve"> building activities and resources</w:t>
      </w:r>
      <w:r w:rsidR="00262B23">
        <w:t xml:space="preserve"> (</w:t>
      </w:r>
      <w:r w:rsidR="00CB0F77">
        <w:t xml:space="preserve">e.g. </w:t>
      </w:r>
      <w:r w:rsidR="00262B23">
        <w:t xml:space="preserve">PEPA/IPEPA, ELDAC, </w:t>
      </w:r>
      <w:proofErr w:type="spellStart"/>
      <w:r w:rsidR="00262B23">
        <w:t>palliAged</w:t>
      </w:r>
      <w:proofErr w:type="spellEnd"/>
      <w:r w:rsidR="00262B23">
        <w:t>/</w:t>
      </w:r>
      <w:proofErr w:type="spellStart"/>
      <w:r w:rsidR="00262B23">
        <w:t>CareSearc</w:t>
      </w:r>
      <w:r w:rsidR="00007B9C">
        <w:t>h</w:t>
      </w:r>
      <w:proofErr w:type="spellEnd"/>
      <w:r w:rsidR="00CB0F77">
        <w:t>, Advance Care Planning Australia, activities funded through the Comprehensive Palliative Care in Aged Care Measure)</w:t>
      </w:r>
      <w:r w:rsidR="008B428D">
        <w:t>.</w:t>
      </w:r>
      <w:r w:rsidR="00706E00">
        <w:t xml:space="preserve"> </w:t>
      </w:r>
      <w:r w:rsidR="007F74F7">
        <w:t>S</w:t>
      </w:r>
      <w:r w:rsidR="00E6714A">
        <w:t xml:space="preserve">takeholders </w:t>
      </w:r>
      <w:r w:rsidR="007F74F7">
        <w:t xml:space="preserve">generally </w:t>
      </w:r>
      <w:r w:rsidR="00E6714A">
        <w:t>support</w:t>
      </w:r>
      <w:r w:rsidR="00933CA2">
        <w:t>ed this</w:t>
      </w:r>
      <w:r w:rsidR="005A714A">
        <w:t xml:space="preserve"> broad</w:t>
      </w:r>
      <w:r w:rsidR="00A753BF">
        <w:t xml:space="preserve"> focus on supporting aged care providers </w:t>
      </w:r>
      <w:r w:rsidR="00C5239E">
        <w:t>in delivering high-quality</w:t>
      </w:r>
      <w:r w:rsidR="00A753BF">
        <w:t xml:space="preserve"> palliative care</w:t>
      </w:r>
      <w:r w:rsidR="007939AC">
        <w:t xml:space="preserve">, </w:t>
      </w:r>
      <w:r w:rsidR="00933CA2">
        <w:t>recognising</w:t>
      </w:r>
      <w:r w:rsidR="007939AC">
        <w:t xml:space="preserve"> the sector</w:t>
      </w:r>
      <w:r w:rsidR="00933CA2">
        <w:t>-wide need</w:t>
      </w:r>
      <w:r w:rsidR="00D90609">
        <w:t>.</w:t>
      </w:r>
    </w:p>
    <w:p w14:paraId="4069E873" w14:textId="10163621" w:rsidR="00706E00" w:rsidRDefault="00D90609" w:rsidP="002321A9">
      <w:r>
        <w:t>Despite this support</w:t>
      </w:r>
      <w:r w:rsidR="00A753BF">
        <w:t xml:space="preserve">, </w:t>
      </w:r>
      <w:r w:rsidR="007939AC">
        <w:t xml:space="preserve">consultations highlighted </w:t>
      </w:r>
      <w:r w:rsidR="00C90DC5">
        <w:t>several</w:t>
      </w:r>
      <w:r w:rsidR="007939AC">
        <w:t xml:space="preserve"> concerns</w:t>
      </w:r>
      <w:r>
        <w:t xml:space="preserve"> about</w:t>
      </w:r>
      <w:r w:rsidR="002321A9">
        <w:t xml:space="preserve"> perceived overlap</w:t>
      </w:r>
      <w:r>
        <w:t>, most notably</w:t>
      </w:r>
      <w:r w:rsidR="002321A9">
        <w:t xml:space="preserve"> between PACOP and ELDAC. Stakeholders noted </w:t>
      </w:r>
      <w:r w:rsidR="00706E00">
        <w:t xml:space="preserve">that both programs shared similar aims of embedding systematic approaches to palliative care, building workforce and organisational capability, and using data for quality improvement. </w:t>
      </w:r>
      <w:r w:rsidR="00307498">
        <w:t>They felt that</w:t>
      </w:r>
      <w:r w:rsidR="000644F1">
        <w:t xml:space="preserve"> distinctions between the programs had not been clearly communicated </w:t>
      </w:r>
      <w:r w:rsidR="00706E00">
        <w:t xml:space="preserve">to the sector, </w:t>
      </w:r>
      <w:r w:rsidR="00E750DF">
        <w:t>creating</w:t>
      </w:r>
      <w:r w:rsidR="00706E00">
        <w:t xml:space="preserve"> confusion among aged care providers. While </w:t>
      </w:r>
      <w:r w:rsidR="00E750DF">
        <w:t xml:space="preserve">PACOP and ELDAC </w:t>
      </w:r>
      <w:r w:rsidR="00706E00">
        <w:t xml:space="preserve">representatives reported </w:t>
      </w:r>
      <w:r w:rsidR="000078DD">
        <w:t xml:space="preserve">a </w:t>
      </w:r>
      <w:r w:rsidR="00706E00">
        <w:t xml:space="preserve">collaborative relationship, </w:t>
      </w:r>
      <w:r w:rsidR="00307BD0">
        <w:t>stakeholders</w:t>
      </w:r>
      <w:r w:rsidR="00706E00">
        <w:t xml:space="preserve"> suggest</w:t>
      </w:r>
      <w:r w:rsidR="00307BD0">
        <w:t>ed</w:t>
      </w:r>
      <w:r w:rsidR="00706E00">
        <w:t xml:space="preserve"> that </w:t>
      </w:r>
      <w:r w:rsidR="00016189">
        <w:t xml:space="preserve">clearer positioning and </w:t>
      </w:r>
      <w:r w:rsidR="00706E00">
        <w:t xml:space="preserve">more coordinated communication </w:t>
      </w:r>
      <w:r w:rsidR="00307BD0">
        <w:t>were</w:t>
      </w:r>
      <w:r w:rsidR="00706E00">
        <w:t xml:space="preserve"> required to </w:t>
      </w:r>
      <w:r w:rsidR="00016189">
        <w:t>clearly articulate</w:t>
      </w:r>
      <w:r w:rsidR="00902497">
        <w:t xml:space="preserve"> each program</w:t>
      </w:r>
      <w:r w:rsidR="003863F5">
        <w:t>’</w:t>
      </w:r>
      <w:r w:rsidR="00902497">
        <w:t>s unique value proposition</w:t>
      </w:r>
      <w:r w:rsidR="00706E00">
        <w:t>.</w:t>
      </w:r>
    </w:p>
    <w:p w14:paraId="3A074B56" w14:textId="4D857A90" w:rsidR="00706E00" w:rsidRDefault="00706E00" w:rsidP="00706E00">
      <w:pPr>
        <w:pStyle w:val="Quote"/>
      </w:pPr>
      <w:r>
        <w:t>T</w:t>
      </w:r>
      <w:r w:rsidRPr="00624257">
        <w:t>here</w:t>
      </w:r>
      <w:r w:rsidR="003863F5">
        <w:t>’</w:t>
      </w:r>
      <w:r w:rsidRPr="00624257">
        <w:t>s capability building in ELDAC and PACOP, there</w:t>
      </w:r>
      <w:r w:rsidR="003863F5">
        <w:t>’</w:t>
      </w:r>
      <w:r w:rsidRPr="00624257">
        <w:t xml:space="preserve">s how to do good </w:t>
      </w:r>
      <w:r>
        <w:t>palliative</w:t>
      </w:r>
      <w:r w:rsidRPr="00624257">
        <w:t xml:space="preserve"> care, and how to use data for good quality improvement. They</w:t>
      </w:r>
      <w:r w:rsidR="003863F5">
        <w:t>’</w:t>
      </w:r>
      <w:r w:rsidRPr="00624257">
        <w:t xml:space="preserve">re just doing it in slightly </w:t>
      </w:r>
      <w:r>
        <w:t>different</w:t>
      </w:r>
      <w:r w:rsidRPr="00624257">
        <w:t xml:space="preserve"> ways. The ideas </w:t>
      </w:r>
      <w:r>
        <w:t xml:space="preserve">are </w:t>
      </w:r>
      <w:r w:rsidRPr="00624257">
        <w:t>the same, the premise is the same</w:t>
      </w:r>
      <w:r w:rsidR="00B7560C">
        <w:t xml:space="preserve"> </w:t>
      </w:r>
      <w:r>
        <w:t xml:space="preserve">… </w:t>
      </w:r>
      <w:r w:rsidRPr="00052969">
        <w:t>The outcome is a huge amount of confusion for the sector.</w:t>
      </w:r>
      <w:r>
        <w:t xml:space="preserve"> – Aged and primary care peak and professional body</w:t>
      </w:r>
    </w:p>
    <w:p w14:paraId="0FF6090F" w14:textId="17E0761F" w:rsidR="00786B5F" w:rsidRDefault="00902497" w:rsidP="006F48A7">
      <w:r>
        <w:t xml:space="preserve">This concern reflected a broader challenge identified through consultations. </w:t>
      </w:r>
      <w:r w:rsidR="008C119D">
        <w:t xml:space="preserve">Stakeholders described a crowded </w:t>
      </w:r>
      <w:r>
        <w:t xml:space="preserve">palliative </w:t>
      </w:r>
      <w:r w:rsidR="003A5592">
        <w:t>care initiative</w:t>
      </w:r>
      <w:r w:rsidR="008C119D">
        <w:t xml:space="preserve"> landscape</w:t>
      </w:r>
      <w:r w:rsidR="00A36101">
        <w:t>, and the perception that multiple programs targeted similar workforce and organisational challenges</w:t>
      </w:r>
      <w:r w:rsidR="00836E5E">
        <w:t xml:space="preserve">. </w:t>
      </w:r>
      <w:r w:rsidR="00AA0DDA">
        <w:t>Interviewed p</w:t>
      </w:r>
      <w:r w:rsidR="00924C03" w:rsidRPr="00924C03">
        <w:t xml:space="preserve">roviders </w:t>
      </w:r>
      <w:r w:rsidR="00C84BA6">
        <w:t>described</w:t>
      </w:r>
      <w:r w:rsidR="00924C03" w:rsidRPr="00924C03">
        <w:t xml:space="preserve"> feeling overwhelmed by the volume of offerings and unclear about </w:t>
      </w:r>
      <w:r w:rsidR="00924C03">
        <w:t>what each program entailed</w:t>
      </w:r>
      <w:r w:rsidR="00B87432">
        <w:t xml:space="preserve">. Survey responses echoed these </w:t>
      </w:r>
      <w:r w:rsidR="001D7197">
        <w:t>concerns</w:t>
      </w:r>
      <w:r w:rsidR="00786B5F">
        <w:t>,</w:t>
      </w:r>
      <w:r w:rsidR="00B87432">
        <w:t xml:space="preserve"> with</w:t>
      </w:r>
      <w:r w:rsidR="00786B5F">
        <w:t xml:space="preserve"> perceived</w:t>
      </w:r>
      <w:r w:rsidR="001664BD">
        <w:t xml:space="preserve"> overlap </w:t>
      </w:r>
      <w:r w:rsidR="002C727F">
        <w:t>reported</w:t>
      </w:r>
      <w:r w:rsidR="001D7197">
        <w:t xml:space="preserve"> </w:t>
      </w:r>
      <w:r w:rsidR="001664BD">
        <w:t>between various initiatives</w:t>
      </w:r>
      <w:r w:rsidR="00115986">
        <w:t xml:space="preserve"> </w:t>
      </w:r>
      <w:r w:rsidR="001664BD">
        <w:t>(</w:t>
      </w:r>
      <w:r w:rsidR="00743785">
        <w:t>technical paper, Figure</w:t>
      </w:r>
      <w:r w:rsidR="00FF6AC9">
        <w:t xml:space="preserve"> 8.11 and Figure</w:t>
      </w:r>
      <w:r w:rsidR="00743785">
        <w:t xml:space="preserve"> </w:t>
      </w:r>
      <w:r w:rsidR="00B6250E">
        <w:t>8.21</w:t>
      </w:r>
      <w:r w:rsidR="001664BD">
        <w:t>).</w:t>
      </w:r>
    </w:p>
    <w:p w14:paraId="5C743B35" w14:textId="18AF2F41" w:rsidR="0053053E" w:rsidRDefault="001D1F95" w:rsidP="006F48A7">
      <w:r>
        <w:t xml:space="preserve">Stakeholders attributed this </w:t>
      </w:r>
      <w:r w:rsidR="00786B5F">
        <w:t xml:space="preserve">confusion </w:t>
      </w:r>
      <w:r>
        <w:t xml:space="preserve">to a lack of clear, coordinated communication about the scope, aims, and </w:t>
      </w:r>
      <w:r w:rsidR="00786B5F">
        <w:t>nuanced differences</w:t>
      </w:r>
      <w:r>
        <w:t xml:space="preserve"> between </w:t>
      </w:r>
      <w:r w:rsidR="00C03F77">
        <w:t>programs</w:t>
      </w:r>
      <w:r>
        <w:t xml:space="preserve">. </w:t>
      </w:r>
      <w:r w:rsidR="00A60F34">
        <w:t xml:space="preserve">They felt that each initiative had a responsibility to improve the clarity and accessibility of its own communication materials, while also </w:t>
      </w:r>
      <w:r w:rsidR="00822138">
        <w:t>improving collaboration</w:t>
      </w:r>
      <w:r w:rsidR="00A60F34">
        <w:t xml:space="preserve"> with other programs to ensure consisten</w:t>
      </w:r>
      <w:r w:rsidR="00822138">
        <w:t xml:space="preserve">t, </w:t>
      </w:r>
      <w:r w:rsidR="00F93EF8">
        <w:t>aligned</w:t>
      </w:r>
      <w:r w:rsidR="00A60F34">
        <w:t xml:space="preserve"> messaging to the sector. </w:t>
      </w:r>
      <w:r w:rsidR="00C03F77">
        <w:t>Additionally</w:t>
      </w:r>
      <w:r w:rsidR="00A60F34">
        <w:t xml:space="preserve">, stakeholders </w:t>
      </w:r>
      <w:r w:rsidR="00597636">
        <w:t xml:space="preserve">noted a facilitative role for </w:t>
      </w:r>
      <w:r w:rsidR="00BF5F03">
        <w:t xml:space="preserve">government </w:t>
      </w:r>
      <w:r w:rsidR="00190342">
        <w:t>to</w:t>
      </w:r>
      <w:r w:rsidR="00EE3CEC">
        <w:t xml:space="preserve"> support</w:t>
      </w:r>
      <w:r w:rsidR="004C706D">
        <w:t xml:space="preserve"> a </w:t>
      </w:r>
      <w:r w:rsidR="00A60F34">
        <w:t xml:space="preserve">more cohesive </w:t>
      </w:r>
      <w:r w:rsidR="004C706D">
        <w:t>approach</w:t>
      </w:r>
      <w:r w:rsidR="00F021A0">
        <w:t>.</w:t>
      </w:r>
      <w:r w:rsidR="00E02482">
        <w:t xml:space="preserve"> </w:t>
      </w:r>
      <w:r w:rsidR="0053053E">
        <w:t>Suggested mechanisms included a</w:t>
      </w:r>
      <w:r w:rsidR="0090492F">
        <w:t xml:space="preserve"> </w:t>
      </w:r>
      <w:r w:rsidR="00B43C1E">
        <w:t>government</w:t>
      </w:r>
      <w:r w:rsidR="0090492F">
        <w:t>-led</w:t>
      </w:r>
      <w:r w:rsidR="0053053E">
        <w:t xml:space="preserve"> guide </w:t>
      </w:r>
      <w:r w:rsidR="0090492F">
        <w:t xml:space="preserve">for aged care providers </w:t>
      </w:r>
      <w:r w:rsidR="00BF5F03">
        <w:t>outlining</w:t>
      </w:r>
      <w:r w:rsidR="0053053E">
        <w:t xml:space="preserve"> how </w:t>
      </w:r>
      <w:r w:rsidR="00BF5F03">
        <w:lastRenderedPageBreak/>
        <w:t>programs</w:t>
      </w:r>
      <w:r w:rsidR="0053053E">
        <w:t xml:space="preserve"> intersect</w:t>
      </w:r>
      <w:r w:rsidR="00297F8C">
        <w:t xml:space="preserve"> and</w:t>
      </w:r>
      <w:r w:rsidR="0053053E">
        <w:t xml:space="preserve"> their respective purposes</w:t>
      </w:r>
      <w:r w:rsidR="003C2F82">
        <w:t>,</w:t>
      </w:r>
      <w:r w:rsidR="0053053E">
        <w:t xml:space="preserve"> and regular sector forums</w:t>
      </w:r>
      <w:r w:rsidR="00297F8C">
        <w:t xml:space="preserve"> to promote</w:t>
      </w:r>
      <w:r w:rsidR="00E40956">
        <w:t xml:space="preserve"> </w:t>
      </w:r>
      <w:r w:rsidR="000D30D1">
        <w:t>alignment</w:t>
      </w:r>
      <w:r w:rsidR="009A733D">
        <w:t>.</w:t>
      </w:r>
    </w:p>
    <w:p w14:paraId="3D264B03" w14:textId="16FE702A" w:rsidR="00B835FF" w:rsidRDefault="004C3859" w:rsidP="00B835FF">
      <w:r>
        <w:t>During c</w:t>
      </w:r>
      <w:r w:rsidR="00CE3E86">
        <w:t>onsultation</w:t>
      </w:r>
      <w:r>
        <w:t>s</w:t>
      </w:r>
      <w:r w:rsidR="009253BC">
        <w:t xml:space="preserve"> and focus groups</w:t>
      </w:r>
      <w:r>
        <w:t xml:space="preserve">, </w:t>
      </w:r>
      <w:r w:rsidR="00CE3E86">
        <w:t>s</w:t>
      </w:r>
      <w:r w:rsidR="00B835FF">
        <w:t>everal gaps in palliative care training</w:t>
      </w:r>
      <w:r w:rsidR="00F92784">
        <w:t xml:space="preserve"> and support across</w:t>
      </w:r>
      <w:r w:rsidR="00B835FF">
        <w:t xml:space="preserve"> the aged care and primary care sectors</w:t>
      </w:r>
      <w:r>
        <w:t xml:space="preserve"> were identified</w:t>
      </w:r>
      <w:r w:rsidR="00B835FF">
        <w:t>:</w:t>
      </w:r>
    </w:p>
    <w:p w14:paraId="01188258" w14:textId="1AB6BD9B" w:rsidR="00B835FF" w:rsidRDefault="00B835FF" w:rsidP="00B835FF">
      <w:pPr>
        <w:pStyle w:val="ListBullet"/>
      </w:pPr>
      <w:r w:rsidRPr="00213338">
        <w:rPr>
          <w:b/>
          <w:bCs/>
        </w:rPr>
        <w:t>Further education and upskilling for GPs:</w:t>
      </w:r>
      <w:r>
        <w:t xml:space="preserve"> stakeholders </w:t>
      </w:r>
      <w:r w:rsidR="00EE3CEC">
        <w:t>reported variable</w:t>
      </w:r>
      <w:r w:rsidR="00F968E3">
        <w:t xml:space="preserve"> palliative care knowledge </w:t>
      </w:r>
      <w:r w:rsidR="00EE3CEC">
        <w:t xml:space="preserve">and confidence </w:t>
      </w:r>
      <w:r w:rsidR="00F968E3">
        <w:t>among GPs</w:t>
      </w:r>
      <w:r w:rsidR="002C759D">
        <w:t>.</w:t>
      </w:r>
      <w:r>
        <w:t xml:space="preserve"> </w:t>
      </w:r>
      <w:r w:rsidR="00B872DF">
        <w:t>While</w:t>
      </w:r>
      <w:r>
        <w:t xml:space="preserve"> </w:t>
      </w:r>
      <w:r w:rsidR="0045664F">
        <w:t xml:space="preserve">recognising that </w:t>
      </w:r>
      <w:r>
        <w:t>general practice colleges</w:t>
      </w:r>
      <w:r w:rsidR="0045664F">
        <w:t xml:space="preserve"> play a central role</w:t>
      </w:r>
      <w:r w:rsidR="00B872DF">
        <w:t xml:space="preserve">, </w:t>
      </w:r>
      <w:r w:rsidR="00BF4505">
        <w:t>it was</w:t>
      </w:r>
      <w:r w:rsidR="005C2C83">
        <w:t xml:space="preserve"> </w:t>
      </w:r>
      <w:r w:rsidR="0045664F">
        <w:t xml:space="preserve">also </w:t>
      </w:r>
      <w:r>
        <w:t xml:space="preserve">suggested that PEPA Aged Care and PACOP could </w:t>
      </w:r>
      <w:r w:rsidR="0045664F">
        <w:t>complement these efforts</w:t>
      </w:r>
      <w:r w:rsidR="00AC174B">
        <w:t xml:space="preserve"> through</w:t>
      </w:r>
      <w:r>
        <w:t xml:space="preserve"> targeted</w:t>
      </w:r>
      <w:r w:rsidR="006C462A">
        <w:t xml:space="preserve"> GP</w:t>
      </w:r>
      <w:r>
        <w:t xml:space="preserve"> training and education. As </w:t>
      </w:r>
      <w:r w:rsidR="00476BE3">
        <w:t>outlined</w:t>
      </w:r>
      <w:r>
        <w:t xml:space="preserve"> in Section 4.1, PACOP </w:t>
      </w:r>
      <w:r w:rsidR="00476BE3">
        <w:t>was planning</w:t>
      </w:r>
      <w:r>
        <w:t xml:space="preserve"> to</w:t>
      </w:r>
      <w:r w:rsidR="00476BE3">
        <w:t xml:space="preserve"> broaden its</w:t>
      </w:r>
      <w:r>
        <w:t xml:space="preserve"> educational </w:t>
      </w:r>
      <w:r w:rsidR="00476BE3">
        <w:t>offerings</w:t>
      </w:r>
      <w:r>
        <w:t xml:space="preserve"> for GPs.</w:t>
      </w:r>
    </w:p>
    <w:p w14:paraId="244D0BB0" w14:textId="053294F1" w:rsidR="00B835FF" w:rsidRDefault="00B835FF" w:rsidP="00B835FF">
      <w:pPr>
        <w:pStyle w:val="ListBullet"/>
      </w:pPr>
      <w:r w:rsidRPr="00213338">
        <w:rPr>
          <w:b/>
          <w:bCs/>
        </w:rPr>
        <w:t>Targeted support for the home care sector:</w:t>
      </w:r>
      <w:r>
        <w:t xml:space="preserve"> </w:t>
      </w:r>
      <w:r w:rsidR="00A76847">
        <w:t xml:space="preserve">as discussed in Section 4.1, </w:t>
      </w:r>
      <w:r>
        <w:t xml:space="preserve">both PEPA Aged Care and PACOP were perceived as </w:t>
      </w:r>
      <w:r w:rsidR="00A76847">
        <w:t>targeted toward</w:t>
      </w:r>
      <w:r>
        <w:t xml:space="preserve"> residential aged care, with PACOP </w:t>
      </w:r>
      <w:r w:rsidRPr="004C3FB0">
        <w:t>exclusively</w:t>
      </w:r>
      <w:r>
        <w:t xml:space="preserve"> designed for this setting. Stakeholders highlighted a growing need to extend support to home and community aged care services</w:t>
      </w:r>
      <w:r w:rsidR="00C265A6">
        <w:t xml:space="preserve">, driven by </w:t>
      </w:r>
      <w:r w:rsidR="00EA735B">
        <w:t xml:space="preserve">changes under the new Support at Home program and </w:t>
      </w:r>
      <w:r w:rsidR="00670C93">
        <w:t>shifting</w:t>
      </w:r>
      <w:r w:rsidR="00EA735B">
        <w:t xml:space="preserve"> community expectations </w:t>
      </w:r>
      <w:r w:rsidR="00670C93">
        <w:t>for care at home</w:t>
      </w:r>
      <w:r>
        <w:t xml:space="preserve">. Several </w:t>
      </w:r>
      <w:r w:rsidR="0032307B">
        <w:t>major providers</w:t>
      </w:r>
      <w:r w:rsidR="00EA735B">
        <w:t xml:space="preserve"> </w:t>
      </w:r>
      <w:r>
        <w:t xml:space="preserve">specifically recommended expanding PACOP into these settings. PACOP </w:t>
      </w:r>
      <w:r w:rsidR="00707BF9">
        <w:t>had begun addressing</w:t>
      </w:r>
      <w:r>
        <w:t xml:space="preserve"> this gap through a separate pilot project (not funded under the Measure).</w:t>
      </w:r>
    </w:p>
    <w:p w14:paraId="3AC62EBD" w14:textId="3C4B36F8" w:rsidR="00B835FF" w:rsidRDefault="00B835FF" w:rsidP="00B835FF">
      <w:pPr>
        <w:pStyle w:val="ListBullet"/>
      </w:pPr>
      <w:r w:rsidRPr="00213338">
        <w:rPr>
          <w:b/>
          <w:bCs/>
        </w:rPr>
        <w:t xml:space="preserve">Education for families and carers: </w:t>
      </w:r>
      <w:r>
        <w:t xml:space="preserve">the need for more structured </w:t>
      </w:r>
      <w:r w:rsidR="003F2147">
        <w:t xml:space="preserve">palliative care </w:t>
      </w:r>
      <w:r>
        <w:t>education and support for families and carers</w:t>
      </w:r>
      <w:r w:rsidR="00DF7A0A">
        <w:t xml:space="preserve"> was highlighted</w:t>
      </w:r>
      <w:r w:rsidR="00EC4C20">
        <w:t xml:space="preserve"> b</w:t>
      </w:r>
      <w:r w:rsidR="00965217">
        <w:t>y focus group participants</w:t>
      </w:r>
      <w:r w:rsidR="007331E2">
        <w:t xml:space="preserve"> and several aged care providers</w:t>
      </w:r>
      <w:r>
        <w:t xml:space="preserve">. </w:t>
      </w:r>
      <w:r w:rsidR="00C93AD3">
        <w:t>While acknowledging this fell outside the Measure</w:t>
      </w:r>
      <w:r w:rsidR="003863F5">
        <w:t>’</w:t>
      </w:r>
      <w:r w:rsidR="00C93AD3">
        <w:t>s current remit, s</w:t>
      </w:r>
      <w:r w:rsidR="005D220C">
        <w:t>takeholders noted that b</w:t>
      </w:r>
      <w:r w:rsidR="000F4556">
        <w:t xml:space="preserve">etter-informed families </w:t>
      </w:r>
      <w:r w:rsidR="00DF7821">
        <w:t>could</w:t>
      </w:r>
      <w:r w:rsidR="000F4556">
        <w:t xml:space="preserve"> reduce stress on aged care staff by improving communication and </w:t>
      </w:r>
      <w:r w:rsidR="001A3D31">
        <w:t>collaboration</w:t>
      </w:r>
      <w:r>
        <w:t>.</w:t>
      </w:r>
    </w:p>
    <w:p w14:paraId="00B89DAB" w14:textId="02024CEB" w:rsidR="00B917FD" w:rsidRDefault="00C32E2F">
      <w:pPr>
        <w:pStyle w:val="Findings"/>
      </w:pPr>
      <w:r>
        <w:t xml:space="preserve">PEPA Aged Care and PACOP were conceptually </w:t>
      </w:r>
      <w:r w:rsidR="00021E2B">
        <w:t>distinct,</w:t>
      </w:r>
      <w:r>
        <w:t xml:space="preserve"> and </w:t>
      </w:r>
      <w:r w:rsidR="00A4624E">
        <w:t>QUT and the University of Wollongong</w:t>
      </w:r>
      <w:r w:rsidR="00F623F9" w:rsidRPr="00F623F9">
        <w:t xml:space="preserve"> </w:t>
      </w:r>
      <w:r>
        <w:t xml:space="preserve">made concerted efforts to </w:t>
      </w:r>
      <w:r w:rsidR="00F623F9" w:rsidRPr="00F623F9">
        <w:t>mitigate duplication of activities</w:t>
      </w:r>
      <w:r>
        <w:t xml:space="preserve">. However, </w:t>
      </w:r>
      <w:r w:rsidR="00736C9F">
        <w:t>evaluation evidence suggests</w:t>
      </w:r>
      <w:r w:rsidR="00021E2B">
        <w:t xml:space="preserve"> </w:t>
      </w:r>
      <w:r w:rsidR="00857B89">
        <w:t xml:space="preserve">there </w:t>
      </w:r>
      <w:r w:rsidR="00E4684A">
        <w:t>were</w:t>
      </w:r>
      <w:r w:rsidR="00857B89">
        <w:t xml:space="preserve"> </w:t>
      </w:r>
      <w:r w:rsidR="00021E2B">
        <w:t>opportunities</w:t>
      </w:r>
      <w:r w:rsidR="00D22297">
        <w:t xml:space="preserve"> to </w:t>
      </w:r>
      <w:r w:rsidR="00F623F9" w:rsidRPr="00F623F9">
        <w:t xml:space="preserve">strengthen </w:t>
      </w:r>
      <w:r w:rsidR="00E001D6">
        <w:t xml:space="preserve">strategic collaboration and </w:t>
      </w:r>
      <w:r w:rsidR="00A302ED">
        <w:t>alignment</w:t>
      </w:r>
      <w:r w:rsidR="00A302ED" w:rsidRPr="00F623F9">
        <w:t xml:space="preserve"> </w:t>
      </w:r>
      <w:r w:rsidR="00F623F9" w:rsidRPr="00F623F9">
        <w:t>between the</w:t>
      </w:r>
      <w:r w:rsidR="00F3720C">
        <w:t xml:space="preserve"> programs</w:t>
      </w:r>
      <w:r w:rsidR="00B835FF">
        <w:t>.</w:t>
      </w:r>
    </w:p>
    <w:p w14:paraId="693AF756" w14:textId="14B3680F" w:rsidR="00C63AF6" w:rsidRDefault="00C63AF6" w:rsidP="00C63AF6">
      <w:pPr>
        <w:pStyle w:val="Findings"/>
      </w:pPr>
      <w:r>
        <w:t xml:space="preserve">There was a specific perception of overlap between PACOP and ELDAC due to their similar aims and system-level approaches. </w:t>
      </w:r>
      <w:r w:rsidR="00A302ED">
        <w:t>Stakeholders highlighted t</w:t>
      </w:r>
      <w:r>
        <w:t>he</w:t>
      </w:r>
      <w:r w:rsidRPr="000E48FD">
        <w:t xml:space="preserve"> need for </w:t>
      </w:r>
      <w:r>
        <w:t>c</w:t>
      </w:r>
      <w:r w:rsidRPr="000E48FD">
        <w:t xml:space="preserve">learer </w:t>
      </w:r>
      <w:r>
        <w:t xml:space="preserve">program </w:t>
      </w:r>
      <w:r w:rsidRPr="000E48FD">
        <w:t xml:space="preserve">positioning and coordinated communication to reduce </w:t>
      </w:r>
      <w:r>
        <w:t xml:space="preserve">sector </w:t>
      </w:r>
      <w:r w:rsidRPr="000E48FD">
        <w:t>confusion</w:t>
      </w:r>
      <w:r>
        <w:t>.</w:t>
      </w:r>
    </w:p>
    <w:p w14:paraId="1AF29E8F" w14:textId="14E0873D" w:rsidR="00474E52" w:rsidRDefault="001B6F70">
      <w:pPr>
        <w:pStyle w:val="Findings"/>
      </w:pPr>
      <w:r>
        <w:t xml:space="preserve">Stakeholders consistently reported that the large number of palliative care </w:t>
      </w:r>
      <w:r w:rsidR="00D939B3">
        <w:t>programs</w:t>
      </w:r>
      <w:r>
        <w:t xml:space="preserve"> targeting aged care</w:t>
      </w:r>
      <w:r w:rsidR="0016443A">
        <w:t xml:space="preserve">, combined with </w:t>
      </w:r>
      <w:r>
        <w:t>insuf</w:t>
      </w:r>
      <w:r w:rsidR="007B52FD">
        <w:t>ficient communication about their distinctions</w:t>
      </w:r>
      <w:r w:rsidR="0016443A">
        <w:t>,</w:t>
      </w:r>
      <w:r w:rsidR="007B52FD">
        <w:t xml:space="preserve"> had led to provider </w:t>
      </w:r>
      <w:r w:rsidR="00D939B3">
        <w:t>confusion and perceived overlap between initiatives.</w:t>
      </w:r>
      <w:r w:rsidR="00842006">
        <w:t xml:space="preserve"> The need for </w:t>
      </w:r>
      <w:r w:rsidR="00B8796C">
        <w:t>initiatives to present</w:t>
      </w:r>
      <w:r w:rsidR="00D772D5">
        <w:t xml:space="preserve"> </w:t>
      </w:r>
      <w:r w:rsidR="00120F34">
        <w:t>clearer</w:t>
      </w:r>
      <w:r w:rsidR="00B8796C">
        <w:t xml:space="preserve"> and more cohesive communication to the sector was highlighted</w:t>
      </w:r>
      <w:r w:rsidR="00D772D5">
        <w:t xml:space="preserve">. Stakeholders also saw a greater leadership role for the Australian Government in </w:t>
      </w:r>
      <w:r w:rsidR="00E2278E">
        <w:t>facilitating coordinated communication to the sector.</w:t>
      </w:r>
    </w:p>
    <w:p w14:paraId="5DB1E299" w14:textId="3C9D1B6C" w:rsidR="00B835FF" w:rsidRPr="00464C23" w:rsidRDefault="008D4215" w:rsidP="00B835FF">
      <w:pPr>
        <w:pStyle w:val="Findings"/>
      </w:pPr>
      <w:r>
        <w:t>Identified</w:t>
      </w:r>
      <w:r w:rsidR="00B835FF">
        <w:t xml:space="preserve"> gaps in palliative care training</w:t>
      </w:r>
      <w:r w:rsidR="000E48FD">
        <w:t xml:space="preserve"> and support included targeted education for GPs, </w:t>
      </w:r>
      <w:r>
        <w:t>targeted</w:t>
      </w:r>
      <w:r w:rsidR="00986B41">
        <w:t xml:space="preserve"> support</w:t>
      </w:r>
      <w:r w:rsidR="000E48FD">
        <w:t xml:space="preserve"> for home and community aged care services, and structured</w:t>
      </w:r>
      <w:r w:rsidR="002E4D16">
        <w:t xml:space="preserve"> education for families and carers</w:t>
      </w:r>
      <w:r w:rsidR="00BA1965">
        <w:t>.</w:t>
      </w:r>
    </w:p>
    <w:p w14:paraId="0620AEC4" w14:textId="4FADE0B5" w:rsidR="00971810" w:rsidRDefault="00971810" w:rsidP="00A2120A">
      <w:pPr>
        <w:pStyle w:val="Heading2"/>
      </w:pPr>
      <w:bookmarkStart w:id="59" w:name="_Toc232685888"/>
      <w:r>
        <w:t>PEPA Aged Care</w:t>
      </w:r>
      <w:bookmarkEnd w:id="59"/>
    </w:p>
    <w:p w14:paraId="72A7FEDF" w14:textId="115A1842" w:rsidR="00150B1E" w:rsidRDefault="008C071F" w:rsidP="00971810">
      <w:r>
        <w:t>Th</w:t>
      </w:r>
      <w:r w:rsidR="0012007D">
        <w:t>is section</w:t>
      </w:r>
      <w:r w:rsidR="00577F34">
        <w:t xml:space="preserve"> assesses th</w:t>
      </w:r>
      <w:r>
        <w:t xml:space="preserve">e suitability of PEPA Aged Care to strengthen workforce capability </w:t>
      </w:r>
      <w:r w:rsidR="00E445BE">
        <w:t>for delivering</w:t>
      </w:r>
      <w:r w:rsidR="00173B2E">
        <w:t xml:space="preserve"> safe,</w:t>
      </w:r>
      <w:r>
        <w:t xml:space="preserve"> quality palliative care </w:t>
      </w:r>
      <w:r w:rsidR="00173B2E">
        <w:t>in aged care settings</w:t>
      </w:r>
      <w:r w:rsidR="00DB15EF">
        <w:t>. It examines the program</w:t>
      </w:r>
      <w:r w:rsidR="003863F5">
        <w:t>’</w:t>
      </w:r>
      <w:r w:rsidR="00DB15EF">
        <w:t xml:space="preserve">s design, </w:t>
      </w:r>
      <w:r w:rsidR="008E37B7">
        <w:t>focusing on</w:t>
      </w:r>
      <w:r w:rsidR="006708C6">
        <w:t xml:space="preserve"> </w:t>
      </w:r>
      <w:r w:rsidR="00D83FEE">
        <w:t>identified strengths and limitations.</w:t>
      </w:r>
    </w:p>
    <w:p w14:paraId="1D7774B2" w14:textId="63991B92" w:rsidR="00D259D7" w:rsidRDefault="00281FBD" w:rsidP="00281FBD">
      <w:pPr>
        <w:pStyle w:val="Heading3"/>
      </w:pPr>
      <w:bookmarkStart w:id="60" w:name="_Toc232685889"/>
      <w:r>
        <w:t>Training content and delivery</w:t>
      </w:r>
      <w:bookmarkEnd w:id="60"/>
    </w:p>
    <w:p w14:paraId="6C7AD1AD" w14:textId="5D1973BC" w:rsidR="0064659C" w:rsidRDefault="00971810" w:rsidP="00971810">
      <w:r>
        <w:t>PEPA Aged Care was widely regarded</w:t>
      </w:r>
      <w:r w:rsidR="002A261B">
        <w:t xml:space="preserve"> by interviewed stakeholders</w:t>
      </w:r>
      <w:r>
        <w:t xml:space="preserve"> </w:t>
      </w:r>
      <w:r w:rsidR="00636F43">
        <w:t xml:space="preserve">and case studies </w:t>
      </w:r>
      <w:r>
        <w:t>as</w:t>
      </w:r>
      <w:r w:rsidR="0050388A">
        <w:t xml:space="preserve"> an</w:t>
      </w:r>
      <w:r>
        <w:t xml:space="preserve"> appropriate</w:t>
      </w:r>
      <w:r w:rsidR="0050388A">
        <w:t xml:space="preserve"> approach</w:t>
      </w:r>
      <w:r>
        <w:t xml:space="preserve"> for addressing foundational knowledge and skill gaps in the aged care workforce. </w:t>
      </w:r>
      <w:r w:rsidR="00C54538">
        <w:t>Survey</w:t>
      </w:r>
      <w:r w:rsidR="004D112D">
        <w:t xml:space="preserve"> findings</w:t>
      </w:r>
      <w:r w:rsidR="00C54538">
        <w:t xml:space="preserve"> reinforced this, with most</w:t>
      </w:r>
      <w:r w:rsidR="004D112D">
        <w:t xml:space="preserve"> PEPA Aged Care respondents reporting that</w:t>
      </w:r>
      <w:r w:rsidR="004D112D" w:rsidRPr="00BF6E59">
        <w:t xml:space="preserve"> the program </w:t>
      </w:r>
      <w:r w:rsidR="004D112D">
        <w:t>met</w:t>
      </w:r>
      <w:r w:rsidR="004D112D" w:rsidRPr="00BF6E59">
        <w:t xml:space="preserve"> organisational needs</w:t>
      </w:r>
      <w:r w:rsidR="004D112D">
        <w:t xml:space="preserve"> (</w:t>
      </w:r>
      <w:r w:rsidR="00FF6AC9">
        <w:t>technical paper, Figure</w:t>
      </w:r>
      <w:r w:rsidR="0041682E">
        <w:t xml:space="preserve"> 8.5</w:t>
      </w:r>
      <w:r w:rsidR="00F11283">
        <w:t>) and that</w:t>
      </w:r>
      <w:r w:rsidR="004E4795">
        <w:t xml:space="preserve"> they would recommend the program to colleagues (</w:t>
      </w:r>
      <w:r w:rsidR="00712B49">
        <w:fldChar w:fldCharType="begin"/>
      </w:r>
      <w:r w:rsidR="00712B49">
        <w:instrText xml:space="preserve"> REF _Ref216963251 \h </w:instrText>
      </w:r>
      <w:r w:rsidR="00712B49">
        <w:fldChar w:fldCharType="separate"/>
      </w:r>
      <w:r w:rsidR="00167BA0">
        <w:t xml:space="preserve">Table </w:t>
      </w:r>
      <w:r w:rsidR="00167BA0">
        <w:rPr>
          <w:noProof/>
        </w:rPr>
        <w:t>9</w:t>
      </w:r>
      <w:r w:rsidR="00167BA0">
        <w:t>.</w:t>
      </w:r>
      <w:r w:rsidR="00167BA0">
        <w:rPr>
          <w:noProof/>
        </w:rPr>
        <w:t>13</w:t>
      </w:r>
      <w:r w:rsidR="00712B49">
        <w:fldChar w:fldCharType="end"/>
      </w:r>
      <w:r w:rsidR="00712B49">
        <w:t xml:space="preserve">, </w:t>
      </w:r>
      <w:r w:rsidR="00712B49">
        <w:fldChar w:fldCharType="begin"/>
      </w:r>
      <w:r w:rsidR="00712B49">
        <w:instrText xml:space="preserve"> REF _Ref216944254 \n \h </w:instrText>
      </w:r>
      <w:r w:rsidR="00712B49">
        <w:fldChar w:fldCharType="separate"/>
      </w:r>
      <w:r w:rsidR="00167BA0">
        <w:t>Appendix C</w:t>
      </w:r>
      <w:r w:rsidR="00712B49">
        <w:fldChar w:fldCharType="end"/>
      </w:r>
      <w:r w:rsidR="004E4795">
        <w:t>).</w:t>
      </w:r>
    </w:p>
    <w:p w14:paraId="2EDD5531" w14:textId="5A946130" w:rsidR="00971810" w:rsidRDefault="00971810" w:rsidP="00971810">
      <w:r>
        <w:lastRenderedPageBreak/>
        <w:t>Interviewed stakeholders</w:t>
      </w:r>
      <w:r w:rsidR="00D75B12">
        <w:t>,</w:t>
      </w:r>
      <w:r>
        <w:t xml:space="preserve"> PEPA Aged Care case studies </w:t>
      </w:r>
      <w:r w:rsidR="004B782D" w:rsidRPr="003E1E24">
        <w:t>(</w:t>
      </w:r>
      <w:r w:rsidR="0041682E">
        <w:t xml:space="preserve">technical paper, </w:t>
      </w:r>
      <w:r w:rsidR="00E87EB4">
        <w:t>Section 9.1</w:t>
      </w:r>
      <w:r w:rsidR="004B782D" w:rsidRPr="003E1E24">
        <w:t>)</w:t>
      </w:r>
      <w:r w:rsidR="004B782D">
        <w:t xml:space="preserve">, and </w:t>
      </w:r>
      <w:r w:rsidR="003D067E">
        <w:t>online</w:t>
      </w:r>
      <w:r w:rsidR="004B782D">
        <w:t xml:space="preserve"> survey respondents (</w:t>
      </w:r>
      <w:r w:rsidR="00E87EB4">
        <w:t>technical paper, Figure</w:t>
      </w:r>
      <w:r w:rsidR="007B1DD6">
        <w:t xml:space="preserve"> </w:t>
      </w:r>
      <w:r w:rsidR="005235B4">
        <w:t>5</w:t>
      </w:r>
      <w:r w:rsidR="007B1DD6">
        <w:t>.4</w:t>
      </w:r>
      <w:r w:rsidR="004B782D">
        <w:t xml:space="preserve">) </w:t>
      </w:r>
      <w:r>
        <w:t xml:space="preserve">consistently identified several features of the PEPA Aged Care model that </w:t>
      </w:r>
      <w:r w:rsidR="00842573">
        <w:t>were viewed as</w:t>
      </w:r>
      <w:r>
        <w:t xml:space="preserve"> well-suited to the aged care setting. These included:</w:t>
      </w:r>
    </w:p>
    <w:p w14:paraId="7C1A1748" w14:textId="0869BFD4" w:rsidR="00971810" w:rsidRDefault="00971810" w:rsidP="00971810">
      <w:pPr>
        <w:pStyle w:val="ListBullet"/>
      </w:pPr>
      <w:r w:rsidRPr="0061416C">
        <w:rPr>
          <w:b/>
          <w:bCs/>
        </w:rPr>
        <w:t>Reverse PEPA Aged Care placement model:</w:t>
      </w:r>
      <w:r>
        <w:t xml:space="preserve"> the in-person </w:t>
      </w:r>
      <w:r w:rsidR="00AE3835">
        <w:t>reverse placement</w:t>
      </w:r>
      <w:r>
        <w:t xml:space="preserve"> training model was considered a</w:t>
      </w:r>
      <w:r w:rsidR="003902E5">
        <w:t>n</w:t>
      </w:r>
      <w:r>
        <w:t xml:space="preserve"> appropriate approach for aged care</w:t>
      </w:r>
      <w:r w:rsidR="00B66923">
        <w:t>, particularly residential aged care</w:t>
      </w:r>
      <w:r w:rsidR="00F94F2B">
        <w:t xml:space="preserve"> homes</w:t>
      </w:r>
      <w:r>
        <w:t xml:space="preserve">. </w:t>
      </w:r>
      <w:r w:rsidR="00F94F2B">
        <w:t>The model</w:t>
      </w:r>
      <w:r>
        <w:t xml:space="preserve"> addressed common logistical barriers</w:t>
      </w:r>
      <w:r w:rsidR="008729B5">
        <w:t xml:space="preserve"> to participation</w:t>
      </w:r>
      <w:r>
        <w:t xml:space="preserve">, enabled </w:t>
      </w:r>
      <w:r w:rsidR="0043243C">
        <w:t xml:space="preserve">efficient </w:t>
      </w:r>
      <w:r w:rsidR="005C75B6">
        <w:t>training</w:t>
      </w:r>
      <w:r w:rsidR="003913A4">
        <w:t xml:space="preserve"> of a group of staff</w:t>
      </w:r>
      <w:r w:rsidR="0043243C">
        <w:t xml:space="preserve">, and </w:t>
      </w:r>
      <w:r w:rsidR="006D782A">
        <w:t>fostered</w:t>
      </w:r>
      <w:r w:rsidR="0043243C">
        <w:t xml:space="preserve"> a safe, reflective learning environment</w:t>
      </w:r>
      <w:r>
        <w:t>.</w:t>
      </w:r>
    </w:p>
    <w:p w14:paraId="0FFC273C" w14:textId="2E98B715" w:rsidR="00971810" w:rsidRDefault="00971810" w:rsidP="00971810">
      <w:pPr>
        <w:pStyle w:val="ListBullet"/>
      </w:pPr>
      <w:r w:rsidRPr="00125BC5">
        <w:rPr>
          <w:b/>
          <w:bCs/>
        </w:rPr>
        <w:t xml:space="preserve">Inclusivity </w:t>
      </w:r>
      <w:r w:rsidR="006D782A">
        <w:rPr>
          <w:b/>
          <w:bCs/>
        </w:rPr>
        <w:t>across roles</w:t>
      </w:r>
      <w:r w:rsidRPr="00125BC5">
        <w:rPr>
          <w:b/>
          <w:bCs/>
        </w:rPr>
        <w:t>:</w:t>
      </w:r>
      <w:r>
        <w:t xml:space="preserve"> the program</w:t>
      </w:r>
      <w:r w:rsidR="003863F5">
        <w:t>’</w:t>
      </w:r>
      <w:r>
        <w:t xml:space="preserve">s </w:t>
      </w:r>
      <w:r w:rsidR="006205C5">
        <w:t>potential</w:t>
      </w:r>
      <w:r>
        <w:t xml:space="preserve"> to engage </w:t>
      </w:r>
      <w:r w:rsidR="008A72B6">
        <w:t xml:space="preserve">aged care </w:t>
      </w:r>
      <w:r>
        <w:t xml:space="preserve">staff across all levels and roles, from clinical professionals to kitchen and maintenance personnel, </w:t>
      </w:r>
      <w:r w:rsidR="00DE0BE2">
        <w:t xml:space="preserve">was seen to </w:t>
      </w:r>
      <w:r w:rsidR="00C52ED9">
        <w:t xml:space="preserve">align </w:t>
      </w:r>
      <w:r w:rsidR="00C05E0E">
        <w:t xml:space="preserve">with the aged care workforce </w:t>
      </w:r>
      <w:r w:rsidR="00267561">
        <w:t>structure</w:t>
      </w:r>
      <w:r w:rsidR="003A50C3">
        <w:t xml:space="preserve"> and </w:t>
      </w:r>
      <w:r>
        <w:t>reinforce shared responsibility</w:t>
      </w:r>
      <w:r w:rsidR="0065156A">
        <w:t xml:space="preserve"> for palliative care</w:t>
      </w:r>
      <w:r w:rsidR="00747003">
        <w:t>.</w:t>
      </w:r>
    </w:p>
    <w:p w14:paraId="5779E8DC" w14:textId="34290ED8" w:rsidR="00971810" w:rsidRDefault="00971810" w:rsidP="00971810">
      <w:pPr>
        <w:pStyle w:val="ListBullet"/>
      </w:pPr>
      <w:r w:rsidRPr="00125BC5">
        <w:rPr>
          <w:b/>
          <w:bCs/>
        </w:rPr>
        <w:t>Quality and adaptability of training content:</w:t>
      </w:r>
      <w:r>
        <w:t xml:space="preserve"> </w:t>
      </w:r>
      <w:r w:rsidR="00DE0BE2">
        <w:t xml:space="preserve">stakeholders highlighted </w:t>
      </w:r>
      <w:r w:rsidR="009A7262">
        <w:t>the program</w:t>
      </w:r>
      <w:r w:rsidR="003863F5">
        <w:t>’</w:t>
      </w:r>
      <w:r w:rsidR="009A7262">
        <w:t>s</w:t>
      </w:r>
      <w:r>
        <w:t xml:space="preserve"> evidence-based content, adaptability to the specific learning needs of each site</w:t>
      </w:r>
      <w:r w:rsidR="003E15A1">
        <w:t xml:space="preserve"> based on needs assessment</w:t>
      </w:r>
      <w:r>
        <w:t xml:space="preserve">, and </w:t>
      </w:r>
      <w:r w:rsidR="00674199">
        <w:t>delivery by</w:t>
      </w:r>
      <w:r>
        <w:t xml:space="preserve"> credible nurse educators </w:t>
      </w:r>
      <w:r w:rsidR="00D10582">
        <w:t>as key contributors to</w:t>
      </w:r>
      <w:r w:rsidR="003A50C3">
        <w:t xml:space="preserve"> perceived</w:t>
      </w:r>
      <w:r>
        <w:t xml:space="preserve"> relevance.</w:t>
      </w:r>
    </w:p>
    <w:p w14:paraId="7AE7255F" w14:textId="5F9C4F5B" w:rsidR="00971810" w:rsidRDefault="00971810" w:rsidP="00971810">
      <w:pPr>
        <w:pStyle w:val="ListBullet"/>
      </w:pPr>
      <w:r w:rsidRPr="00133203">
        <w:rPr>
          <w:b/>
          <w:bCs/>
        </w:rPr>
        <w:t>Financial support:</w:t>
      </w:r>
      <w:r>
        <w:t xml:space="preserve"> the provision of funding </w:t>
      </w:r>
      <w:r w:rsidR="009E4A37">
        <w:t>to offset</w:t>
      </w:r>
      <w:r>
        <w:t xml:space="preserve"> participation</w:t>
      </w:r>
      <w:r w:rsidR="009E4A37">
        <w:t xml:space="preserve"> costs</w:t>
      </w:r>
      <w:r>
        <w:t xml:space="preserve"> was </w:t>
      </w:r>
      <w:r w:rsidR="008B5269">
        <w:t>regarded as an</w:t>
      </w:r>
      <w:r>
        <w:t xml:space="preserve"> </w:t>
      </w:r>
      <w:r w:rsidR="0053295C">
        <w:t>important enabling</w:t>
      </w:r>
      <w:r>
        <w:t xml:space="preserve"> feature</w:t>
      </w:r>
      <w:r w:rsidR="0053295C">
        <w:t>,</w:t>
      </w:r>
      <w:r>
        <w:t xml:space="preserve"> address</w:t>
      </w:r>
      <w:r w:rsidR="0053295C">
        <w:t>ing</w:t>
      </w:r>
      <w:r>
        <w:t xml:space="preserve"> </w:t>
      </w:r>
      <w:r w:rsidR="00A1158F">
        <w:t xml:space="preserve">potential </w:t>
      </w:r>
      <w:r>
        <w:t>financial barriers</w:t>
      </w:r>
      <w:r w:rsidR="0053295C">
        <w:t xml:space="preserve"> to engagement</w:t>
      </w:r>
      <w:r>
        <w:t>.</w:t>
      </w:r>
    </w:p>
    <w:p w14:paraId="1E1DEBCB" w14:textId="7C03B8AC" w:rsidR="00C01618" w:rsidRDefault="00C01618" w:rsidP="00C01618">
      <w:pPr>
        <w:pStyle w:val="Quote"/>
      </w:pPr>
      <w:r w:rsidRPr="007D471C">
        <w:t xml:space="preserve">That is a great model. </w:t>
      </w:r>
      <w:r>
        <w:t>A</w:t>
      </w:r>
      <w:r w:rsidRPr="007D471C">
        <w:t xml:space="preserve">ged care services </w:t>
      </w:r>
      <w:r>
        <w:t>are</w:t>
      </w:r>
      <w:r w:rsidRPr="007D471C">
        <w:t xml:space="preserve"> all like, yes, but which one will come to us? </w:t>
      </w:r>
      <w:r>
        <w:t>I</w:t>
      </w:r>
      <w:r w:rsidRPr="007D471C">
        <w:t>t</w:t>
      </w:r>
      <w:r w:rsidR="003863F5">
        <w:t>’</w:t>
      </w:r>
      <w:r w:rsidRPr="007D471C">
        <w:t xml:space="preserve">s all about that. </w:t>
      </w:r>
      <w:r>
        <w:t>W</w:t>
      </w:r>
      <w:r w:rsidRPr="007D471C">
        <w:t>e can</w:t>
      </w:r>
      <w:r w:rsidR="003863F5">
        <w:t>’</w:t>
      </w:r>
      <w:r w:rsidRPr="007D471C">
        <w:t>t afford to not have the staff in the building, and we can</w:t>
      </w:r>
      <w:r w:rsidR="003863F5">
        <w:t>’</w:t>
      </w:r>
      <w:r w:rsidRPr="007D471C">
        <w:t>t afford to send them and backfill them. So</w:t>
      </w:r>
      <w:r>
        <w:t>,</w:t>
      </w:r>
      <w:r w:rsidRPr="007D471C">
        <w:t xml:space="preserve"> how can they come to us?</w:t>
      </w:r>
      <w:r>
        <w:t xml:space="preserve"> – Palliative </w:t>
      </w:r>
      <w:r w:rsidR="00D001EE">
        <w:t>c</w:t>
      </w:r>
      <w:r>
        <w:t>are</w:t>
      </w:r>
      <w:r w:rsidR="00D001EE">
        <w:t>-related</w:t>
      </w:r>
      <w:r>
        <w:t xml:space="preserve"> </w:t>
      </w:r>
      <w:r w:rsidR="00D001EE">
        <w:t>peak body</w:t>
      </w:r>
    </w:p>
    <w:p w14:paraId="1091AB78" w14:textId="1D92ECA3" w:rsidR="00971810" w:rsidRDefault="00971810" w:rsidP="00971810">
      <w:pPr>
        <w:pStyle w:val="Quote"/>
      </w:pPr>
      <w:r w:rsidRPr="00BB36D0">
        <w:t>That</w:t>
      </w:r>
      <w:r w:rsidR="003863F5">
        <w:t>’</w:t>
      </w:r>
      <w:r w:rsidRPr="00BB36D0">
        <w:t>s pure gold, the funding attached to it</w:t>
      </w:r>
      <w:r>
        <w:t xml:space="preserve"> – Aged and primary care peak and professional body</w:t>
      </w:r>
    </w:p>
    <w:p w14:paraId="595D5CA2" w14:textId="41ABB934" w:rsidR="00532F81" w:rsidRPr="00532F81" w:rsidRDefault="00532F81" w:rsidP="00532F81">
      <w:pPr>
        <w:pStyle w:val="Findings"/>
      </w:pPr>
      <w:r>
        <w:t xml:space="preserve">PEPA </w:t>
      </w:r>
      <w:r w:rsidRPr="00894B2E">
        <w:t>Aged Care was considered appropriate for addressing foundational palliative care knowledge and capability gaps, particularly in residential aged care settings. Key strengths</w:t>
      </w:r>
      <w:r w:rsidR="00CC6D1B">
        <w:t xml:space="preserve"> identified</w:t>
      </w:r>
      <w:r w:rsidRPr="00894B2E">
        <w:t xml:space="preserve"> included the </w:t>
      </w:r>
      <w:r w:rsidRPr="00894B2E">
        <w:t>program</w:t>
      </w:r>
      <w:r w:rsidR="003863F5">
        <w:t>’</w:t>
      </w:r>
      <w:r w:rsidRPr="00894B2E">
        <w:t>s on-site</w:t>
      </w:r>
      <w:r w:rsidR="00CC6D1B">
        <w:t xml:space="preserve"> reverse placement model</w:t>
      </w:r>
      <w:r w:rsidRPr="00894B2E">
        <w:t xml:space="preserve">, inclusive delivery </w:t>
      </w:r>
      <w:r w:rsidR="00CC6D1B">
        <w:t>across staff roles</w:t>
      </w:r>
      <w:r w:rsidRPr="00894B2E">
        <w:t xml:space="preserve">, adaptable training content, and </w:t>
      </w:r>
      <w:r>
        <w:t>site-level funding support</w:t>
      </w:r>
      <w:r w:rsidRPr="00894B2E">
        <w:t>.</w:t>
      </w:r>
    </w:p>
    <w:p w14:paraId="10E2DF99" w14:textId="5F191EF9" w:rsidR="00281FBD" w:rsidRDefault="00897AE6" w:rsidP="00281FBD">
      <w:pPr>
        <w:pStyle w:val="Heading3"/>
      </w:pPr>
      <w:bookmarkStart w:id="61" w:name="_Toc232685890"/>
      <w:r>
        <w:t>Sustainability</w:t>
      </w:r>
      <w:r w:rsidR="00184AFB">
        <w:t xml:space="preserve"> and reach</w:t>
      </w:r>
      <w:r w:rsidR="00EE21C0">
        <w:t xml:space="preserve"> of the</w:t>
      </w:r>
      <w:r w:rsidR="00693469">
        <w:t xml:space="preserve"> training model</w:t>
      </w:r>
      <w:bookmarkEnd w:id="61"/>
    </w:p>
    <w:p w14:paraId="6BDB52C3" w14:textId="251DE8F8" w:rsidR="00897AE6" w:rsidRDefault="00897AE6" w:rsidP="00897AE6">
      <w:r w:rsidRPr="009102EF">
        <w:t>Despite the</w:t>
      </w:r>
      <w:r>
        <w:t xml:space="preserve">se </w:t>
      </w:r>
      <w:r w:rsidRPr="009102EF">
        <w:t xml:space="preserve">strengths, </w:t>
      </w:r>
      <w:r>
        <w:t xml:space="preserve">the </w:t>
      </w:r>
      <w:r w:rsidRPr="009102EF">
        <w:t xml:space="preserve">sustainability </w:t>
      </w:r>
      <w:r>
        <w:t xml:space="preserve">of the one-off reverse </w:t>
      </w:r>
      <w:r w:rsidR="00D149C5">
        <w:t>PEPA Aged Care</w:t>
      </w:r>
      <w:r>
        <w:t xml:space="preserve"> placement model </w:t>
      </w:r>
      <w:r w:rsidRPr="009102EF">
        <w:t>emerged as a key concern</w:t>
      </w:r>
      <w:r w:rsidR="00830E48">
        <w:t xml:space="preserve">, impacting </w:t>
      </w:r>
      <w:r>
        <w:t xml:space="preserve">the perceived appropriateness </w:t>
      </w:r>
      <w:r w:rsidR="00BC5199">
        <w:t xml:space="preserve">of the program </w:t>
      </w:r>
      <w:r>
        <w:t>for achieving sustained impact</w:t>
      </w:r>
      <w:r w:rsidRPr="009102EF">
        <w:t xml:space="preserve">. </w:t>
      </w:r>
      <w:r w:rsidR="00A66CCE">
        <w:t>S</w:t>
      </w:r>
      <w:r>
        <w:t>takeholders</w:t>
      </w:r>
      <w:r w:rsidR="00973C2C">
        <w:t xml:space="preserve"> consistently</w:t>
      </w:r>
      <w:r>
        <w:t xml:space="preserve"> </w:t>
      </w:r>
      <w:r w:rsidR="00FF5826">
        <w:t>highlighted</w:t>
      </w:r>
      <w:r>
        <w:t xml:space="preserve"> that </w:t>
      </w:r>
      <w:r w:rsidR="00AA698D">
        <w:t xml:space="preserve">the knowledge gained from </w:t>
      </w:r>
      <w:r w:rsidR="00816954">
        <w:t>a single training episode would quickly erode due to staff turnover</w:t>
      </w:r>
      <w:r w:rsidR="00FF5826">
        <w:t>, making</w:t>
      </w:r>
      <w:r w:rsidR="00816954">
        <w:t xml:space="preserve"> it difficult for sites to maintain a consistent knowledge base across</w:t>
      </w:r>
      <w:r w:rsidR="007C3002">
        <w:t xml:space="preserve"> their workforce</w:t>
      </w:r>
      <w:r w:rsidRPr="009102EF">
        <w:t>.</w:t>
      </w:r>
    </w:p>
    <w:p w14:paraId="5802F867" w14:textId="2831B454" w:rsidR="00897AE6" w:rsidRDefault="00897AE6" w:rsidP="00897AE6">
      <w:pPr>
        <w:pStyle w:val="Quote"/>
      </w:pPr>
      <w:r>
        <w:t>Y</w:t>
      </w:r>
      <w:r w:rsidRPr="00E710D3">
        <w:t xml:space="preserve">ou get </w:t>
      </w:r>
      <w:r>
        <w:t>PEPA Aged Care</w:t>
      </w:r>
      <w:r w:rsidRPr="00E710D3">
        <w:t xml:space="preserve"> com</w:t>
      </w:r>
      <w:r>
        <w:t>ing</w:t>
      </w:r>
      <w:r w:rsidRPr="00E710D3">
        <w:t xml:space="preserve"> in</w:t>
      </w:r>
      <w:r>
        <w:t xml:space="preserve"> to </w:t>
      </w:r>
      <w:r w:rsidRPr="00E710D3">
        <w:t xml:space="preserve">provide some days of education, </w:t>
      </w:r>
      <w:r>
        <w:t>but</w:t>
      </w:r>
      <w:r w:rsidRPr="00E710D3">
        <w:t xml:space="preserve"> then </w:t>
      </w:r>
      <w:r>
        <w:t xml:space="preserve">the </w:t>
      </w:r>
      <w:r w:rsidRPr="00E710D3">
        <w:t>staff move on, and you</w:t>
      </w:r>
      <w:r w:rsidR="003863F5">
        <w:t>’</w:t>
      </w:r>
      <w:r w:rsidRPr="00E710D3">
        <w:t>re back to square one. B</w:t>
      </w:r>
      <w:r>
        <w:t>ecause</w:t>
      </w:r>
      <w:r w:rsidRPr="00E710D3">
        <w:t xml:space="preserve"> you can</w:t>
      </w:r>
      <w:r w:rsidR="003863F5">
        <w:t>’</w:t>
      </w:r>
      <w:r w:rsidRPr="00E710D3">
        <w:t xml:space="preserve">t request it on </w:t>
      </w:r>
      <w:r>
        <w:t xml:space="preserve">a </w:t>
      </w:r>
      <w:r w:rsidRPr="00E710D3">
        <w:t xml:space="preserve">frequent basis, that provides challenges. </w:t>
      </w:r>
      <w:r>
        <w:t>– Major aged care provider</w:t>
      </w:r>
    </w:p>
    <w:p w14:paraId="757E3D31" w14:textId="0223B7A9" w:rsidR="00B316A1" w:rsidRDefault="00B316A1" w:rsidP="00B316A1">
      <w:r w:rsidRPr="009102EF">
        <w:t>Limited penetration within sites compound</w:t>
      </w:r>
      <w:r w:rsidR="00126C8D">
        <w:t>ed</w:t>
      </w:r>
      <w:r w:rsidRPr="009102EF">
        <w:t xml:space="preserve"> this challenge, as only a portion of staff </w:t>
      </w:r>
      <w:r w:rsidR="00D129AB">
        <w:t xml:space="preserve">could </w:t>
      </w:r>
      <w:r w:rsidRPr="009102EF">
        <w:t xml:space="preserve">typically </w:t>
      </w:r>
      <w:r w:rsidR="00D129AB">
        <w:t xml:space="preserve">participate in a </w:t>
      </w:r>
      <w:r w:rsidR="00816954">
        <w:t xml:space="preserve">single </w:t>
      </w:r>
      <w:r w:rsidR="00D129AB">
        <w:t>reverse placement</w:t>
      </w:r>
      <w:r>
        <w:t xml:space="preserve"> (</w:t>
      </w:r>
      <w:r w:rsidR="00642F38">
        <w:t>technical paper, Section 9.1</w:t>
      </w:r>
      <w:r w:rsidR="000B5D09">
        <w:t>). Withou</w:t>
      </w:r>
      <w:r>
        <w:t xml:space="preserve">t mechanisms for ongoing reinforcement or wider reach within sites, </w:t>
      </w:r>
      <w:r w:rsidR="00751746">
        <w:t xml:space="preserve">stakeholders </w:t>
      </w:r>
      <w:r w:rsidR="00CC0CCA">
        <w:t xml:space="preserve">expressed concern </w:t>
      </w:r>
      <w:r w:rsidR="00751746">
        <w:t xml:space="preserve">that </w:t>
      </w:r>
      <w:r>
        <w:t>the program</w:t>
      </w:r>
      <w:r w:rsidR="003863F5">
        <w:t>’</w:t>
      </w:r>
      <w:r>
        <w:t xml:space="preserve">s benefits </w:t>
      </w:r>
      <w:r w:rsidR="00CC0CCA">
        <w:t>may be</w:t>
      </w:r>
      <w:r>
        <w:t xml:space="preserve"> short-lived.</w:t>
      </w:r>
    </w:p>
    <w:p w14:paraId="06FE6CDA" w14:textId="1898866A" w:rsidR="00B316A1" w:rsidRDefault="00B316A1" w:rsidP="004022B9">
      <w:r>
        <w:t xml:space="preserve">Survey findings from PEPA Aged Care participants </w:t>
      </w:r>
      <w:r w:rsidR="00F33C32">
        <w:t xml:space="preserve">echoed these concerns. </w:t>
      </w:r>
      <w:r w:rsidR="004022B9">
        <w:t>D</w:t>
      </w:r>
      <w:r w:rsidR="002566E7">
        <w:t>ifficulty sustaining learning</w:t>
      </w:r>
      <w:r w:rsidR="003E35B3">
        <w:t xml:space="preserve"> outcome</w:t>
      </w:r>
      <w:r w:rsidR="002566E7">
        <w:t>s</w:t>
      </w:r>
      <w:r w:rsidRPr="00212216">
        <w:t xml:space="preserve"> </w:t>
      </w:r>
      <w:r w:rsidR="00143217" w:rsidRPr="00212216">
        <w:t>was</w:t>
      </w:r>
      <w:r w:rsidR="00143217">
        <w:rPr>
          <w:i/>
          <w:iCs/>
        </w:rPr>
        <w:t xml:space="preserve"> </w:t>
      </w:r>
      <w:r w:rsidRPr="0083218F">
        <w:t>cited</w:t>
      </w:r>
      <w:r>
        <w:t xml:space="preserve"> as the second most common barrier to engagement</w:t>
      </w:r>
      <w:r w:rsidR="000B1ED8">
        <w:t xml:space="preserve"> </w:t>
      </w:r>
      <w:r>
        <w:t>(</w:t>
      </w:r>
      <w:r w:rsidR="000B5D09">
        <w:t>technical paper, Table</w:t>
      </w:r>
      <w:r w:rsidR="00E91436">
        <w:t xml:space="preserve"> </w:t>
      </w:r>
      <w:r w:rsidR="00633E9A">
        <w:t>5</w:t>
      </w:r>
      <w:r w:rsidR="00E91436">
        <w:t>.3</w:t>
      </w:r>
      <w:r>
        <w:t>)</w:t>
      </w:r>
      <w:r w:rsidR="003E35B3">
        <w:t>, while</w:t>
      </w:r>
      <w:r w:rsidR="00A12B19">
        <w:t xml:space="preserve"> ongoing access to training and support was </w:t>
      </w:r>
      <w:r w:rsidR="00C474D1">
        <w:t>the most frequent</w:t>
      </w:r>
      <w:r w:rsidR="00A12B19">
        <w:t>ly</w:t>
      </w:r>
      <w:r w:rsidR="00C474D1">
        <w:t xml:space="preserve"> </w:t>
      </w:r>
      <w:r w:rsidR="00C827C3">
        <w:t xml:space="preserve">identified opportunity </w:t>
      </w:r>
      <w:r w:rsidR="004022B9">
        <w:t xml:space="preserve">to improve the program </w:t>
      </w:r>
      <w:r w:rsidR="00475614">
        <w:t>(</w:t>
      </w:r>
      <w:r w:rsidR="000B5D09">
        <w:t xml:space="preserve">technical paper, </w:t>
      </w:r>
      <w:r w:rsidR="00E91436">
        <w:t xml:space="preserve">Table </w:t>
      </w:r>
      <w:r w:rsidR="00633E9A">
        <w:t>5</w:t>
      </w:r>
      <w:r w:rsidR="00E91436">
        <w:t>.5</w:t>
      </w:r>
      <w:r w:rsidR="00475614">
        <w:t>).</w:t>
      </w:r>
    </w:p>
    <w:p w14:paraId="69A297F9" w14:textId="5FF863EE" w:rsidR="00B316A1" w:rsidRDefault="00B316A1" w:rsidP="00B316A1">
      <w:r>
        <w:t xml:space="preserve">The suitability of the </w:t>
      </w:r>
      <w:r w:rsidR="004B5512">
        <w:t>PEPA Aged Care</w:t>
      </w:r>
      <w:r>
        <w:t xml:space="preserve"> model for home care settings was also </w:t>
      </w:r>
      <w:r w:rsidR="002173B6">
        <w:t>questioned</w:t>
      </w:r>
      <w:r w:rsidR="00BD2ABB">
        <w:t xml:space="preserve">. </w:t>
      </w:r>
      <w:r w:rsidR="002970AD">
        <w:t>L</w:t>
      </w:r>
      <w:r w:rsidR="007B5C60">
        <w:t xml:space="preserve">ogistical challenges in facilitating placements for geographically dispersed </w:t>
      </w:r>
      <w:r w:rsidR="008165AD">
        <w:t xml:space="preserve">home care </w:t>
      </w:r>
      <w:r w:rsidR="007B5C60">
        <w:t>staff</w:t>
      </w:r>
      <w:r w:rsidR="008165AD">
        <w:t xml:space="preserve"> were highlighted</w:t>
      </w:r>
      <w:r>
        <w:t xml:space="preserve">. </w:t>
      </w:r>
      <w:r w:rsidR="00B21BB5">
        <w:t>It was</w:t>
      </w:r>
      <w:r>
        <w:t xml:space="preserve"> suggested that more flexible training formats, such as shadowing arrangement</w:t>
      </w:r>
      <w:r w:rsidR="00E45995">
        <w:t xml:space="preserve">s or blended learning </w:t>
      </w:r>
      <w:r w:rsidR="00E45995">
        <w:lastRenderedPageBreak/>
        <w:t>models</w:t>
      </w:r>
      <w:r>
        <w:t xml:space="preserve">, </w:t>
      </w:r>
      <w:r w:rsidR="00542369">
        <w:t>could</w:t>
      </w:r>
      <w:r>
        <w:t xml:space="preserve"> </w:t>
      </w:r>
      <w:r w:rsidR="003B6CCF">
        <w:t xml:space="preserve">improve accessibility and </w:t>
      </w:r>
      <w:r>
        <w:t>support</w:t>
      </w:r>
      <w:r w:rsidR="003B6CCF">
        <w:t xml:space="preserve"> broader reach </w:t>
      </w:r>
      <w:r>
        <w:t>in home care settings.</w:t>
      </w:r>
    </w:p>
    <w:p w14:paraId="1DAD0ED0" w14:textId="5A41794D" w:rsidR="00B316A1" w:rsidRDefault="00C31633" w:rsidP="00894B2E">
      <w:pPr>
        <w:pStyle w:val="Findings"/>
      </w:pPr>
      <w:r>
        <w:t>S</w:t>
      </w:r>
      <w:r w:rsidR="00B316A1" w:rsidRPr="00894B2E">
        <w:t xml:space="preserve">ustainability was raised as a key concern </w:t>
      </w:r>
      <w:r>
        <w:t xml:space="preserve">for PEPA Aged Care </w:t>
      </w:r>
      <w:r w:rsidR="00B316A1" w:rsidRPr="00894B2E">
        <w:t>due to the one-off training model</w:t>
      </w:r>
      <w:r w:rsidR="0007299F" w:rsidRPr="00894B2E">
        <w:t xml:space="preserve"> and</w:t>
      </w:r>
      <w:r w:rsidR="00B316A1" w:rsidRPr="00894B2E">
        <w:t xml:space="preserve"> limited reach within sites. The model</w:t>
      </w:r>
      <w:r w:rsidR="003863F5">
        <w:t>’</w:t>
      </w:r>
      <w:r w:rsidR="00B316A1" w:rsidRPr="00894B2E">
        <w:t xml:space="preserve">s suitability for home care </w:t>
      </w:r>
      <w:r w:rsidR="00A61E72" w:rsidRPr="00894B2E">
        <w:t>services</w:t>
      </w:r>
      <w:r w:rsidR="00B316A1" w:rsidRPr="00894B2E">
        <w:t xml:space="preserve"> was also </w:t>
      </w:r>
      <w:r w:rsidR="00DB4856" w:rsidRPr="00894B2E">
        <w:t>questioned</w:t>
      </w:r>
      <w:r w:rsidR="00A61E72" w:rsidRPr="00894B2E">
        <w:t xml:space="preserve">, </w:t>
      </w:r>
      <w:r w:rsidR="0073070E">
        <w:t>which could limit its</w:t>
      </w:r>
      <w:r w:rsidR="00A61E72" w:rsidRPr="00894B2E">
        <w:t xml:space="preserve"> reach in this setting</w:t>
      </w:r>
      <w:r w:rsidR="00B316A1" w:rsidRPr="00894B2E">
        <w:t>.</w:t>
      </w:r>
    </w:p>
    <w:p w14:paraId="10529F32" w14:textId="52974FB0" w:rsidR="007B3D86" w:rsidRPr="00374EFE" w:rsidRDefault="005656D1" w:rsidP="00807CC5">
      <w:pPr>
        <w:pStyle w:val="Heading3"/>
      </w:pPr>
      <w:bookmarkStart w:id="62" w:name="_Toc232685891"/>
      <w:r>
        <w:t>C</w:t>
      </w:r>
      <w:r w:rsidR="00897AE6">
        <w:t>linical and c</w:t>
      </w:r>
      <w:r>
        <w:t>u</w:t>
      </w:r>
      <w:r w:rsidR="00807CC5">
        <w:t>ltur</w:t>
      </w:r>
      <w:r w:rsidR="00111FEC">
        <w:t>al safety</w:t>
      </w:r>
      <w:bookmarkEnd w:id="62"/>
    </w:p>
    <w:p w14:paraId="2325D547" w14:textId="1025CAD2" w:rsidR="00835A95" w:rsidRDefault="00AF2F0D" w:rsidP="00A56C9F">
      <w:r>
        <w:t xml:space="preserve">Analysis of </w:t>
      </w:r>
      <w:r w:rsidR="003F240C">
        <w:t xml:space="preserve">program documentation </w:t>
      </w:r>
      <w:r w:rsidR="008C7D03">
        <w:t xml:space="preserve">indicated that </w:t>
      </w:r>
      <w:r w:rsidR="003F240C">
        <w:t>PEPA Aged Care</w:t>
      </w:r>
      <w:r w:rsidR="008C7D03">
        <w:t xml:space="preserve"> </w:t>
      </w:r>
      <w:r w:rsidR="005F7013">
        <w:t>incorporated</w:t>
      </w:r>
      <w:r w:rsidR="00AF7BA3">
        <w:t xml:space="preserve"> appropriate mechanisms to support the delivery of safe and</w:t>
      </w:r>
      <w:r w:rsidR="004C2735">
        <w:t xml:space="preserve"> culturally </w:t>
      </w:r>
      <w:r w:rsidR="005B3384">
        <w:t xml:space="preserve">appropriate </w:t>
      </w:r>
      <w:r w:rsidR="008C6D31">
        <w:t xml:space="preserve">palliative </w:t>
      </w:r>
      <w:r w:rsidR="005B3384">
        <w:t>care. The program</w:t>
      </w:r>
      <w:r w:rsidR="003863F5">
        <w:t>’</w:t>
      </w:r>
      <w:r w:rsidR="005B3384">
        <w:t>s training content</w:t>
      </w:r>
      <w:r w:rsidR="008E1426">
        <w:t xml:space="preserve"> aligned with the</w:t>
      </w:r>
      <w:r w:rsidR="007663B9">
        <w:t xml:space="preserve"> </w:t>
      </w:r>
      <w:r w:rsidR="008E1426" w:rsidRPr="003D5FB9">
        <w:t>National Palliative Care Standards</w:t>
      </w:r>
      <w:r w:rsidR="008E1426">
        <w:t xml:space="preserve"> and </w:t>
      </w:r>
      <w:r w:rsidR="007663B9">
        <w:t>addresse</w:t>
      </w:r>
      <w:r w:rsidR="008C7D03">
        <w:t>d</w:t>
      </w:r>
      <w:r w:rsidR="007663B9">
        <w:t xml:space="preserve"> </w:t>
      </w:r>
      <w:r w:rsidR="007B1AB6">
        <w:t>key</w:t>
      </w:r>
      <w:r w:rsidR="007663B9">
        <w:t xml:space="preserve"> </w:t>
      </w:r>
      <w:r w:rsidR="003D5FB9" w:rsidRPr="003D5FB9">
        <w:t>domains</w:t>
      </w:r>
      <w:r w:rsidR="00A56C9F">
        <w:t>, such as systematic assessment, medication management, advance care planning, communication, and organisational processes.</w:t>
      </w:r>
    </w:p>
    <w:p w14:paraId="1A4D6323" w14:textId="50FB3A2B" w:rsidR="00835A95" w:rsidRDefault="008C250A" w:rsidP="00965504">
      <w:r w:rsidRPr="003D5FB9">
        <w:t xml:space="preserve">Cultural safety </w:t>
      </w:r>
      <w:r>
        <w:t xml:space="preserve">was </w:t>
      </w:r>
      <w:r w:rsidRPr="003D5FB9">
        <w:t>embedded</w:t>
      </w:r>
      <w:r>
        <w:t xml:space="preserve"> </w:t>
      </w:r>
      <w:r w:rsidR="00835A95">
        <w:t xml:space="preserve">into the program </w:t>
      </w:r>
      <w:r w:rsidRPr="003D5FB9">
        <w:t xml:space="preserve">through modules </w:t>
      </w:r>
      <w:r>
        <w:t xml:space="preserve">and resources </w:t>
      </w:r>
      <w:r w:rsidRPr="003D5FB9">
        <w:t xml:space="preserve">on </w:t>
      </w:r>
      <w:r>
        <w:t xml:space="preserve">culturally responsive communication and </w:t>
      </w:r>
      <w:r w:rsidRPr="003D5FB9">
        <w:t>care for Aboriginal and Torres Strait Islander peoples and culturally and linguistically diverse communities</w:t>
      </w:r>
      <w:r>
        <w:t xml:space="preserve">. </w:t>
      </w:r>
      <w:r w:rsidR="00766367">
        <w:t>A</w:t>
      </w:r>
      <w:r w:rsidR="00DB5C4B">
        <w:t>ll nurse educators were trained in cultural safety</w:t>
      </w:r>
      <w:r w:rsidR="0021197F">
        <w:t xml:space="preserve">, and the program had </w:t>
      </w:r>
      <w:r w:rsidR="009D41E6">
        <w:t>access to</w:t>
      </w:r>
      <w:r w:rsidR="00DB5C4B">
        <w:t xml:space="preserve"> the IPEPA manager</w:t>
      </w:r>
      <w:r w:rsidR="008168A9">
        <w:t xml:space="preserve"> for</w:t>
      </w:r>
      <w:r w:rsidR="00DB5C4B">
        <w:t xml:space="preserve"> leadership and guidance on palliative care for First Nations communities. In some cases, culturally specific mentors joined placements to ensure culturally appropriate delivery. </w:t>
      </w:r>
      <w:r w:rsidR="00965504">
        <w:t xml:space="preserve">The ability for training content to be adapted </w:t>
      </w:r>
      <w:r w:rsidR="00A4093F">
        <w:t>based on</w:t>
      </w:r>
      <w:r w:rsidR="000715EF">
        <w:t xml:space="preserve"> </w:t>
      </w:r>
      <w:r w:rsidR="009A100D">
        <w:t>initial learning needs assessment</w:t>
      </w:r>
      <w:r w:rsidR="00A844D3">
        <w:t>s</w:t>
      </w:r>
      <w:r w:rsidR="008168A9">
        <w:t xml:space="preserve"> </w:t>
      </w:r>
      <w:r w:rsidR="004F0B76">
        <w:t xml:space="preserve">enabled </w:t>
      </w:r>
      <w:r w:rsidR="005E3C27">
        <w:t xml:space="preserve">reverse placements </w:t>
      </w:r>
      <w:r w:rsidR="004F0B76">
        <w:t xml:space="preserve">to be tailored to </w:t>
      </w:r>
      <w:r w:rsidR="005E3C27">
        <w:t>each site</w:t>
      </w:r>
      <w:r w:rsidR="003863F5">
        <w:t>’</w:t>
      </w:r>
      <w:r w:rsidR="005E3C27">
        <w:t xml:space="preserve">s </w:t>
      </w:r>
      <w:r w:rsidR="004F0B76">
        <w:t xml:space="preserve">clinical and cultural </w:t>
      </w:r>
      <w:r w:rsidR="005E3C27">
        <w:t>context</w:t>
      </w:r>
      <w:r w:rsidR="00252CE4">
        <w:t>.</w:t>
      </w:r>
    </w:p>
    <w:p w14:paraId="03AC4C59" w14:textId="1118AD86" w:rsidR="009102EF" w:rsidRDefault="00C30D35" w:rsidP="00C470BA">
      <w:r>
        <w:t>Survey f</w:t>
      </w:r>
      <w:r w:rsidR="00EB2273">
        <w:t>indings</w:t>
      </w:r>
      <w:r w:rsidR="00E00F67">
        <w:t xml:space="preserve"> supported this assessment</w:t>
      </w:r>
      <w:r w:rsidR="0026339E">
        <w:t>.</w:t>
      </w:r>
      <w:r w:rsidR="00EB2273">
        <w:t xml:space="preserve"> </w:t>
      </w:r>
      <w:r w:rsidR="00E329F4">
        <w:t>A</w:t>
      </w:r>
      <w:r w:rsidR="00C470BA">
        <w:t xml:space="preserve">pproximately </w:t>
      </w:r>
      <w:r w:rsidR="00420E0F">
        <w:t xml:space="preserve">three-quarters of PEPA Aged Care respondents </w:t>
      </w:r>
      <w:r w:rsidR="005F309E">
        <w:t xml:space="preserve">to the online survey </w:t>
      </w:r>
      <w:r w:rsidR="008F5BCF">
        <w:t>rated</w:t>
      </w:r>
      <w:r w:rsidR="00420E0F">
        <w:t xml:space="preserve"> the program as very or extremely relevant in preparing their workforce to navigate </w:t>
      </w:r>
      <w:r w:rsidR="002800EE">
        <w:t xml:space="preserve">clinical safety and </w:t>
      </w:r>
      <w:r w:rsidR="00420E0F">
        <w:t xml:space="preserve">cultural </w:t>
      </w:r>
      <w:r w:rsidR="002800EE">
        <w:t>considerations (</w:t>
      </w:r>
      <w:r w:rsidR="00FE124E">
        <w:t>technical paper, Figure</w:t>
      </w:r>
      <w:r w:rsidR="00744BC4">
        <w:t xml:space="preserve"> 8.4</w:t>
      </w:r>
      <w:r w:rsidR="00863CCE">
        <w:t xml:space="preserve">). </w:t>
      </w:r>
      <w:r w:rsidR="00CF2775">
        <w:t>P</w:t>
      </w:r>
      <w:r w:rsidR="00863CCE">
        <w:t>re</w:t>
      </w:r>
      <w:r w:rsidR="00CF2775">
        <w:t>- and post-</w:t>
      </w:r>
      <w:r w:rsidR="00524956">
        <w:t xml:space="preserve">reverse </w:t>
      </w:r>
      <w:r w:rsidR="00CF2775">
        <w:t xml:space="preserve">placement </w:t>
      </w:r>
      <w:r w:rsidR="00126B14">
        <w:t xml:space="preserve">evaluation </w:t>
      </w:r>
      <w:r w:rsidR="00CF2775">
        <w:t>survey data</w:t>
      </w:r>
      <w:r w:rsidR="00126B14">
        <w:t xml:space="preserve"> collected by PEPA Aged Care</w:t>
      </w:r>
      <w:r w:rsidR="00CF2775">
        <w:t xml:space="preserve"> also showed </w:t>
      </w:r>
      <w:r w:rsidR="008F5BCF">
        <w:t>marked</w:t>
      </w:r>
      <w:r w:rsidR="00321752">
        <w:t xml:space="preserve"> improvements</w:t>
      </w:r>
      <w:r w:rsidR="00CF2775">
        <w:t xml:space="preserve"> in </w:t>
      </w:r>
      <w:r w:rsidR="005C1E06">
        <w:t>participants</w:t>
      </w:r>
      <w:r w:rsidR="003863F5">
        <w:t>’</w:t>
      </w:r>
      <w:r w:rsidR="005C1E06">
        <w:t xml:space="preserve"> confidence</w:t>
      </w:r>
      <w:r w:rsidR="00FA72A4">
        <w:t xml:space="preserve"> </w:t>
      </w:r>
      <w:r w:rsidR="003F638E">
        <w:t xml:space="preserve">across a range of </w:t>
      </w:r>
      <w:r w:rsidR="009E176A">
        <w:t xml:space="preserve">clinical </w:t>
      </w:r>
      <w:r w:rsidR="009E176A">
        <w:t>and cultural safety domains. These included confidence in</w:t>
      </w:r>
      <w:r w:rsidR="00CF2775">
        <w:t xml:space="preserve"> apply</w:t>
      </w:r>
      <w:r w:rsidR="009E176A">
        <w:t>ing</w:t>
      </w:r>
      <w:r w:rsidR="00CF2775">
        <w:t xml:space="preserve"> </w:t>
      </w:r>
      <w:r w:rsidR="000672EA">
        <w:t>culturally centred</w:t>
      </w:r>
      <w:r w:rsidR="00CF2775">
        <w:t xml:space="preserve"> care principles</w:t>
      </w:r>
      <w:r w:rsidR="00A15B3F">
        <w:t>;</w:t>
      </w:r>
      <w:r w:rsidR="00CF2775">
        <w:t xml:space="preserve"> </w:t>
      </w:r>
      <w:r w:rsidR="00557802">
        <w:t>identify</w:t>
      </w:r>
      <w:r w:rsidR="00744924">
        <w:t>ing</w:t>
      </w:r>
      <w:r w:rsidR="00557802">
        <w:t xml:space="preserve"> and </w:t>
      </w:r>
      <w:r w:rsidR="00744924">
        <w:t>responding</w:t>
      </w:r>
      <w:r w:rsidR="00557802">
        <w:t xml:space="preserve"> to deterioration</w:t>
      </w:r>
      <w:r w:rsidR="00A15B3F">
        <w:t>;</w:t>
      </w:r>
      <w:r w:rsidR="00557802">
        <w:t xml:space="preserve"> </w:t>
      </w:r>
      <w:r w:rsidR="007338AD">
        <w:t xml:space="preserve">assessing </w:t>
      </w:r>
      <w:r w:rsidR="009D6779">
        <w:t>ongoing palliative care needs</w:t>
      </w:r>
      <w:r w:rsidR="00A15B3F">
        <w:t>;</w:t>
      </w:r>
      <w:r w:rsidR="00557802">
        <w:t xml:space="preserve"> and </w:t>
      </w:r>
      <w:r w:rsidR="00744924">
        <w:t>communicating</w:t>
      </w:r>
      <w:r w:rsidR="00557802">
        <w:t xml:space="preserve"> effectively with </w:t>
      </w:r>
      <w:r w:rsidR="009D6779">
        <w:t xml:space="preserve">older people, </w:t>
      </w:r>
      <w:r w:rsidR="00557802">
        <w:t>families</w:t>
      </w:r>
      <w:r w:rsidR="009D6779">
        <w:t>, and external palliative care services</w:t>
      </w:r>
      <w:r w:rsidR="004643AC">
        <w:t xml:space="preserve"> (</w:t>
      </w:r>
      <w:r w:rsidR="00AC354E">
        <w:fldChar w:fldCharType="begin"/>
      </w:r>
      <w:r w:rsidR="00AC354E">
        <w:instrText xml:space="preserve"> REF _Ref215493967 \h </w:instrText>
      </w:r>
      <w:r w:rsidR="00AC354E">
        <w:fldChar w:fldCharType="separate"/>
      </w:r>
      <w:r w:rsidR="00167BA0">
        <w:t xml:space="preserve">Figure </w:t>
      </w:r>
      <w:r w:rsidR="00167BA0">
        <w:rPr>
          <w:noProof/>
        </w:rPr>
        <w:t>9</w:t>
      </w:r>
      <w:r w:rsidR="00167BA0">
        <w:t>.</w:t>
      </w:r>
      <w:r w:rsidR="00167BA0">
        <w:rPr>
          <w:noProof/>
        </w:rPr>
        <w:t>4</w:t>
      </w:r>
      <w:r w:rsidR="00AC354E">
        <w:fldChar w:fldCharType="end"/>
      </w:r>
      <w:r w:rsidR="00AC354E">
        <w:t xml:space="preserve">, </w:t>
      </w:r>
      <w:r w:rsidR="00AC354E">
        <w:fldChar w:fldCharType="begin"/>
      </w:r>
      <w:r w:rsidR="00AC354E">
        <w:instrText xml:space="preserve"> REF _Ref214614002 \n \h </w:instrText>
      </w:r>
      <w:r w:rsidR="00AC354E">
        <w:fldChar w:fldCharType="separate"/>
      </w:r>
      <w:r w:rsidR="00167BA0">
        <w:t>Appendix C</w:t>
      </w:r>
      <w:r w:rsidR="00AC354E">
        <w:fldChar w:fldCharType="end"/>
      </w:r>
      <w:r w:rsidR="004643AC">
        <w:t>).</w:t>
      </w:r>
    </w:p>
    <w:p w14:paraId="618E4109" w14:textId="5C10DF59" w:rsidR="00D77DA8" w:rsidRDefault="000100CB" w:rsidP="00D77DA8">
      <w:pPr>
        <w:pStyle w:val="Findings"/>
      </w:pPr>
      <w:r>
        <w:t xml:space="preserve">Clinical and cultural safety were </w:t>
      </w:r>
      <w:r w:rsidR="00B33477">
        <w:t>integrated into the design and delivery of</w:t>
      </w:r>
      <w:r>
        <w:t xml:space="preserve"> </w:t>
      </w:r>
      <w:r w:rsidR="008D5610">
        <w:t>PEPA Aged Care.</w:t>
      </w:r>
      <w:r w:rsidR="008B61F9">
        <w:t xml:space="preserve"> </w:t>
      </w:r>
      <w:r w:rsidR="005F75D6">
        <w:t>Program c</w:t>
      </w:r>
      <w:r w:rsidR="008B61F9">
        <w:t>ontent aligned with</w:t>
      </w:r>
      <w:r w:rsidR="005F75D6">
        <w:t xml:space="preserve"> the</w:t>
      </w:r>
      <w:r w:rsidR="008B61F9">
        <w:t xml:space="preserve"> National Palliative Care Standards</w:t>
      </w:r>
      <w:r w:rsidR="001A655C">
        <w:t>,</w:t>
      </w:r>
      <w:r w:rsidR="008B61F9">
        <w:t xml:space="preserve"> and </w:t>
      </w:r>
      <w:r w:rsidR="005F75D6">
        <w:t xml:space="preserve">evaluation </w:t>
      </w:r>
      <w:r w:rsidR="008B61F9">
        <w:t>evidence</w:t>
      </w:r>
      <w:r w:rsidR="00D719C4">
        <w:t xml:space="preserve"> indicates </w:t>
      </w:r>
      <w:r w:rsidR="005F75D6">
        <w:t xml:space="preserve">that participants perceived </w:t>
      </w:r>
      <w:r w:rsidR="00D719C4">
        <w:t xml:space="preserve">the program </w:t>
      </w:r>
      <w:r w:rsidR="00A53F4B">
        <w:t xml:space="preserve">as </w:t>
      </w:r>
      <w:r w:rsidR="00D719C4">
        <w:t>appropriate for supporting aged care staff to deliver safe, culturally responsive palliative care</w:t>
      </w:r>
      <w:r w:rsidR="00196CEA">
        <w:t>.</w:t>
      </w:r>
    </w:p>
    <w:p w14:paraId="043D62E2" w14:textId="5CFE6FF4" w:rsidR="00971810" w:rsidRDefault="00971810" w:rsidP="00A2120A">
      <w:pPr>
        <w:pStyle w:val="Heading2"/>
      </w:pPr>
      <w:bookmarkStart w:id="63" w:name="_Toc232685892"/>
      <w:r>
        <w:t>PACOP</w:t>
      </w:r>
      <w:bookmarkEnd w:id="63"/>
    </w:p>
    <w:p w14:paraId="3E9E79BD" w14:textId="3C337979" w:rsidR="00112E5C" w:rsidRDefault="00112E5C" w:rsidP="00971810">
      <w:r>
        <w:t>Th</w:t>
      </w:r>
      <w:r w:rsidR="00EC55DF">
        <w:t>is section assesses th</w:t>
      </w:r>
      <w:r>
        <w:t xml:space="preserve">e suitability of PACOP to </w:t>
      </w:r>
      <w:r w:rsidR="002F2C6D">
        <w:t>strengthen</w:t>
      </w:r>
      <w:r>
        <w:t xml:space="preserve"> organisational capability </w:t>
      </w:r>
      <w:r w:rsidR="002F2C6D">
        <w:t>for</w:t>
      </w:r>
      <w:r>
        <w:t xml:space="preserve"> </w:t>
      </w:r>
      <w:r w:rsidR="009271C8">
        <w:t xml:space="preserve">systematically </w:t>
      </w:r>
      <w:r>
        <w:t>deliver</w:t>
      </w:r>
      <w:r w:rsidR="002F2C6D">
        <w:t>ing</w:t>
      </w:r>
      <w:r>
        <w:t xml:space="preserve"> </w:t>
      </w:r>
      <w:r w:rsidR="00C304F1">
        <w:t>and monitor</w:t>
      </w:r>
      <w:r w:rsidR="002F2C6D">
        <w:t>ing</w:t>
      </w:r>
      <w:r w:rsidR="00C304F1">
        <w:t xml:space="preserve"> </w:t>
      </w:r>
      <w:r>
        <w:t>quality palliative care in a safe and culturally appropriate manner.</w:t>
      </w:r>
    </w:p>
    <w:p w14:paraId="34D97193" w14:textId="330A90B0" w:rsidR="00EE5C1A" w:rsidRDefault="004F5CA6" w:rsidP="00EE5C1A">
      <w:pPr>
        <w:pStyle w:val="Heading3"/>
      </w:pPr>
      <w:bookmarkStart w:id="64" w:name="_Toc232685893"/>
      <w:r>
        <w:t>Systems approach</w:t>
      </w:r>
      <w:bookmarkEnd w:id="64"/>
    </w:p>
    <w:p w14:paraId="79B59FEB" w14:textId="10183540" w:rsidR="009E7018" w:rsidRDefault="009E7018" w:rsidP="00971810">
      <w:r>
        <w:t xml:space="preserve">PACOP </w:t>
      </w:r>
      <w:r w:rsidR="00FA5F37">
        <w:t>was developed as</w:t>
      </w:r>
      <w:r>
        <w:t xml:space="preserve"> a </w:t>
      </w:r>
      <w:r w:rsidR="0006253A">
        <w:t xml:space="preserve">comprehensive model </w:t>
      </w:r>
      <w:r w:rsidR="001A557C">
        <w:t xml:space="preserve">to </w:t>
      </w:r>
      <w:r w:rsidR="000815F9">
        <w:t xml:space="preserve">embed </w:t>
      </w:r>
      <w:r w:rsidR="0006253A">
        <w:t>palliative care in</w:t>
      </w:r>
      <w:r w:rsidR="000815F9">
        <w:t>to routine practice in</w:t>
      </w:r>
      <w:r w:rsidR="0006253A">
        <w:t xml:space="preserve"> </w:t>
      </w:r>
      <w:r w:rsidR="001A557C">
        <w:t xml:space="preserve">residential </w:t>
      </w:r>
      <w:r w:rsidR="0006253A">
        <w:t xml:space="preserve">aged care. It </w:t>
      </w:r>
      <w:r w:rsidR="001A557C">
        <w:t xml:space="preserve">aimed to </w:t>
      </w:r>
      <w:r w:rsidR="00C50674" w:rsidRPr="00C50674">
        <w:t xml:space="preserve">equip providers with the tools and processes to </w:t>
      </w:r>
      <w:r w:rsidR="008636E3">
        <w:t>systematically identify and respond to residents</w:t>
      </w:r>
      <w:r w:rsidR="003863F5">
        <w:t>’</w:t>
      </w:r>
      <w:r w:rsidR="008636E3">
        <w:t xml:space="preserve"> palliative care needs</w:t>
      </w:r>
      <w:r w:rsidR="000F291A">
        <w:t xml:space="preserve">, supported by staff education and benchmarking </w:t>
      </w:r>
      <w:r w:rsidR="00F14326">
        <w:t>to</w:t>
      </w:r>
      <w:r w:rsidR="00C50674" w:rsidRPr="00C50674">
        <w:t xml:space="preserve"> drive continuous quality improvement</w:t>
      </w:r>
      <w:r w:rsidR="00A52192">
        <w:t>.</w:t>
      </w:r>
    </w:p>
    <w:p w14:paraId="2E7236E8" w14:textId="75EE5781" w:rsidR="007708E5" w:rsidRDefault="007708E5" w:rsidP="00971810">
      <w:r>
        <w:t xml:space="preserve">Stakeholders broadly endorsed the concept </w:t>
      </w:r>
      <w:r w:rsidR="00340AE2">
        <w:t xml:space="preserve">and intent </w:t>
      </w:r>
      <w:r>
        <w:t xml:space="preserve">of PACOP. </w:t>
      </w:r>
      <w:r w:rsidR="007A3203">
        <w:t xml:space="preserve">The need </w:t>
      </w:r>
      <w:r w:rsidR="00567A6A">
        <w:t>for a</w:t>
      </w:r>
      <w:r w:rsidR="00B43640">
        <w:t>n evidence-based</w:t>
      </w:r>
      <w:r w:rsidR="00567A6A">
        <w:t xml:space="preserve"> program t</w:t>
      </w:r>
      <w:r w:rsidR="000D4437">
        <w:t>o</w:t>
      </w:r>
      <w:r w:rsidR="00567A6A">
        <w:t xml:space="preserve"> </w:t>
      </w:r>
      <w:r w:rsidR="005232C3">
        <w:t>support</w:t>
      </w:r>
      <w:r w:rsidR="00567A6A">
        <w:t xml:space="preserve"> aged care providers </w:t>
      </w:r>
      <w:r w:rsidR="005232C3">
        <w:t>in identifying</w:t>
      </w:r>
      <w:r w:rsidR="00CF7A9E">
        <w:t xml:space="preserve"> residents with palliative care needs and </w:t>
      </w:r>
      <w:r w:rsidR="005232C3">
        <w:t>in monitoring</w:t>
      </w:r>
      <w:r w:rsidR="00CF7A9E">
        <w:t xml:space="preserve"> and </w:t>
      </w:r>
      <w:r w:rsidR="005232C3">
        <w:t>improving</w:t>
      </w:r>
      <w:r w:rsidR="00CF7A9E">
        <w:t xml:space="preserve"> palliative care outcomes was consistently recognised as </w:t>
      </w:r>
      <w:r w:rsidR="00340AE2">
        <w:t>necessary, in principle.</w:t>
      </w:r>
    </w:p>
    <w:p w14:paraId="034FFE6F" w14:textId="77777777" w:rsidR="00752B9C" w:rsidRDefault="00752B9C" w:rsidP="00752B9C">
      <w:pPr>
        <w:pStyle w:val="Quote"/>
      </w:pPr>
      <w:r w:rsidRPr="004E470A">
        <w:t>I think</w:t>
      </w:r>
      <w:r>
        <w:t xml:space="preserve"> this type of program i</w:t>
      </w:r>
      <w:r w:rsidRPr="004E470A">
        <w:t>s essential.</w:t>
      </w:r>
      <w:r>
        <w:t xml:space="preserve"> </w:t>
      </w:r>
      <w:r w:rsidRPr="004E470A">
        <w:t xml:space="preserve">It would really transform aged care. </w:t>
      </w:r>
      <w:r>
        <w:t>T</w:t>
      </w:r>
      <w:r w:rsidRPr="004E470A">
        <w:t xml:space="preserve">o be able to have visibility, data, tools to support the staff, to recognise those pain points, to be able to gather data and </w:t>
      </w:r>
      <w:r w:rsidRPr="004E470A">
        <w:lastRenderedPageBreak/>
        <w:t xml:space="preserve">see where our gaps are, </w:t>
      </w:r>
      <w:r>
        <w:t xml:space="preserve">and </w:t>
      </w:r>
      <w:r w:rsidRPr="004E470A">
        <w:t>to benchmark against other aged care facilities.</w:t>
      </w:r>
      <w:r>
        <w:t xml:space="preserve"> – PACOP case study (case study 7)</w:t>
      </w:r>
    </w:p>
    <w:p w14:paraId="516B1D2B" w14:textId="4D27497A" w:rsidR="00E713DF" w:rsidRDefault="00661B93" w:rsidP="001E415B">
      <w:r>
        <w:t>Stakeholders highlighted t</w:t>
      </w:r>
      <w:r w:rsidR="00C76A99">
        <w:t>he program</w:t>
      </w:r>
      <w:r w:rsidR="003863F5">
        <w:t>’</w:t>
      </w:r>
      <w:r w:rsidR="0080538E">
        <w:t xml:space="preserve">s </w:t>
      </w:r>
      <w:r w:rsidR="009C3F54" w:rsidRPr="009C3F54">
        <w:t xml:space="preserve">standardised </w:t>
      </w:r>
      <w:r w:rsidR="00AB767D">
        <w:t xml:space="preserve">assessment </w:t>
      </w:r>
      <w:r w:rsidR="009C3F54" w:rsidRPr="009C3F54">
        <w:t xml:space="preserve">framework </w:t>
      </w:r>
      <w:r w:rsidR="00910D5F">
        <w:t>for identifying and responding</w:t>
      </w:r>
      <w:r w:rsidR="009C3F54" w:rsidRPr="009C3F54">
        <w:t xml:space="preserve"> to palliative care needs </w:t>
      </w:r>
      <w:r w:rsidRPr="009C3F54">
        <w:t>as a key strength</w:t>
      </w:r>
      <w:r w:rsidR="00E754AA">
        <w:t>. Survey findings (</w:t>
      </w:r>
      <w:r w:rsidR="005B450A">
        <w:t xml:space="preserve">technical paper, Figure </w:t>
      </w:r>
      <w:r w:rsidR="007810C1">
        <w:t>6</w:t>
      </w:r>
      <w:r w:rsidR="00C66CB1">
        <w:t>.4</w:t>
      </w:r>
      <w:r w:rsidR="00E754AA">
        <w:t>) and most PACOP case studies (</w:t>
      </w:r>
      <w:r w:rsidR="005B450A">
        <w:t>technical paper, Section 9.2</w:t>
      </w:r>
      <w:r w:rsidR="00E754AA">
        <w:t xml:space="preserve">) reinforced this view. </w:t>
      </w:r>
      <w:r w:rsidR="007122E2">
        <w:t>The program</w:t>
      </w:r>
      <w:r w:rsidR="003863F5">
        <w:t>’</w:t>
      </w:r>
      <w:r w:rsidR="007122E2">
        <w:t xml:space="preserve">s systematic approach to assessment was considered appropriate for </w:t>
      </w:r>
      <w:r w:rsidR="0090079E">
        <w:t>embedding objective, consistent methods for proactively managing resident deterioration in aged care.</w:t>
      </w:r>
    </w:p>
    <w:p w14:paraId="154AEB17" w14:textId="2022252C" w:rsidR="00E713DF" w:rsidRDefault="00E713DF" w:rsidP="00E713DF">
      <w:pPr>
        <w:pStyle w:val="Quote"/>
      </w:pPr>
      <w:r w:rsidRPr="002D2D56">
        <w:t>It gives a proper assessment framework, which is often very much lacking in residential aged care homes</w:t>
      </w:r>
      <w:r>
        <w:t xml:space="preserve"> – Specialist palliative care service representative</w:t>
      </w:r>
    </w:p>
    <w:p w14:paraId="0C90DC08" w14:textId="211D16B5" w:rsidR="0037004B" w:rsidRDefault="0090079E" w:rsidP="00E55541">
      <w:r>
        <w:t>PACOP</w:t>
      </w:r>
      <w:r w:rsidR="003863F5">
        <w:t>’</w:t>
      </w:r>
      <w:r w:rsidR="00CB1A0F">
        <w:t>s</w:t>
      </w:r>
      <w:r w:rsidR="00BF39CA">
        <w:t xml:space="preserve"> emphasis on</w:t>
      </w:r>
      <w:r w:rsidR="00923555">
        <w:t xml:space="preserve"> benchmarking and </w:t>
      </w:r>
      <w:r w:rsidR="00D85DA5">
        <w:t>data-driven</w:t>
      </w:r>
      <w:r w:rsidR="00923555">
        <w:t xml:space="preserve"> quality improvement</w:t>
      </w:r>
      <w:r w:rsidR="00CB1A0F">
        <w:t xml:space="preserve"> was also generally supported</w:t>
      </w:r>
      <w:r w:rsidR="00B678B1">
        <w:t xml:space="preserve">. </w:t>
      </w:r>
      <w:r w:rsidR="00BF39CA">
        <w:t xml:space="preserve">This </w:t>
      </w:r>
      <w:r w:rsidR="007371E2">
        <w:t>approach</w:t>
      </w:r>
      <w:r w:rsidR="00BF39CA">
        <w:t xml:space="preserve"> was viewed as</w:t>
      </w:r>
      <w:r w:rsidR="00E55541" w:rsidRPr="009F425C">
        <w:t xml:space="preserve"> an important step toward addressing current </w:t>
      </w:r>
      <w:r w:rsidR="004364BE">
        <w:t>gaps in palliative care data collection and monitoring within the sector</w:t>
      </w:r>
      <w:r w:rsidR="00E55541" w:rsidRPr="009F425C">
        <w:t xml:space="preserve">. </w:t>
      </w:r>
      <w:r w:rsidR="002B4299">
        <w:t>The intrinsic value of using benchmarking to create a feedback loop that</w:t>
      </w:r>
      <w:r w:rsidR="006F6F8D">
        <w:t xml:space="preserve"> helped to identify and continually address service gaps was highlighted.</w:t>
      </w:r>
    </w:p>
    <w:p w14:paraId="38099A25" w14:textId="20752640" w:rsidR="0037004B" w:rsidRDefault="00797D8F" w:rsidP="00797D8F">
      <w:pPr>
        <w:pStyle w:val="Quote"/>
      </w:pPr>
      <w:r>
        <w:t>A</w:t>
      </w:r>
      <w:r w:rsidRPr="00424C1B">
        <w:t>nything that allows you to collect data and benchmark what you</w:t>
      </w:r>
      <w:r w:rsidR="003863F5">
        <w:t>’</w:t>
      </w:r>
      <w:r w:rsidRPr="00424C1B">
        <w:t>re collecting and why you</w:t>
      </w:r>
      <w:r w:rsidR="003863F5">
        <w:t>’</w:t>
      </w:r>
      <w:r w:rsidRPr="00424C1B">
        <w:t xml:space="preserve">re collecting and what difference it </w:t>
      </w:r>
      <w:r>
        <w:t xml:space="preserve">is </w:t>
      </w:r>
      <w:r w:rsidRPr="00424C1B">
        <w:t>making, is a terrific initiative</w:t>
      </w:r>
      <w:r>
        <w:t xml:space="preserve"> – Aged and primary care peak and professional body</w:t>
      </w:r>
    </w:p>
    <w:p w14:paraId="5DE10145" w14:textId="66ADB8F4" w:rsidR="00E55541" w:rsidRDefault="00274E5F" w:rsidP="00E55541">
      <w:r>
        <w:t xml:space="preserve">However, </w:t>
      </w:r>
      <w:r w:rsidR="00987074">
        <w:t>stakeholders als</w:t>
      </w:r>
      <w:r>
        <w:t xml:space="preserve">o acknowledged that </w:t>
      </w:r>
      <w:r w:rsidR="00422353">
        <w:t xml:space="preserve">embedding benchmarking and data-driven quality improvement would require time </w:t>
      </w:r>
      <w:r w:rsidR="00BF5429">
        <w:t xml:space="preserve">and </w:t>
      </w:r>
      <w:r w:rsidR="005D5BF2">
        <w:t>ongoing support</w:t>
      </w:r>
      <w:r w:rsidR="00BF5429">
        <w:t xml:space="preserve">, </w:t>
      </w:r>
      <w:r w:rsidR="00422353">
        <w:t xml:space="preserve">particularly </w:t>
      </w:r>
      <w:r w:rsidR="00BF5429">
        <w:t xml:space="preserve">given </w:t>
      </w:r>
      <w:r w:rsidR="00422353">
        <w:t>variable baseline</w:t>
      </w:r>
      <w:r w:rsidR="00323702">
        <w:t xml:space="preserve"> </w:t>
      </w:r>
      <w:r w:rsidR="003D020F">
        <w:t xml:space="preserve">palliative care </w:t>
      </w:r>
      <w:r w:rsidR="00BF5429">
        <w:t xml:space="preserve">capability </w:t>
      </w:r>
      <w:r w:rsidR="00323702">
        <w:t xml:space="preserve">across the sector </w:t>
      </w:r>
      <w:r w:rsidR="00BF5429">
        <w:t xml:space="preserve">and </w:t>
      </w:r>
      <w:r w:rsidR="00323702">
        <w:t xml:space="preserve">the </w:t>
      </w:r>
      <w:r w:rsidR="00665EC9">
        <w:t xml:space="preserve">current </w:t>
      </w:r>
      <w:r w:rsidR="00BF5429">
        <w:t xml:space="preserve">compliance-driven </w:t>
      </w:r>
      <w:r w:rsidR="00323702">
        <w:t>operating environment</w:t>
      </w:r>
      <w:r w:rsidR="00BF5429">
        <w:t>.</w:t>
      </w:r>
    </w:p>
    <w:p w14:paraId="482752BA" w14:textId="62C39E89" w:rsidR="00197D3E" w:rsidRDefault="005B4E82" w:rsidP="00197D3E">
      <w:r>
        <w:t>The program</w:t>
      </w:r>
      <w:r w:rsidR="003863F5">
        <w:t>’</w:t>
      </w:r>
      <w:r>
        <w:t>s</w:t>
      </w:r>
      <w:r w:rsidR="00197D3E">
        <w:t xml:space="preserve"> </w:t>
      </w:r>
      <w:r w:rsidR="007D661D">
        <w:t xml:space="preserve">education model, which targeted both clinical and non-clinical staff, was also </w:t>
      </w:r>
      <w:r w:rsidR="00F32523">
        <w:t>considered well aligned with the</w:t>
      </w:r>
      <w:r w:rsidR="00197D3E">
        <w:t xml:space="preserve"> aged care workforce structure</w:t>
      </w:r>
      <w:r w:rsidR="00197D3E" w:rsidRPr="00441FBE">
        <w:t xml:space="preserve">. </w:t>
      </w:r>
      <w:r w:rsidR="00E13BE2">
        <w:t xml:space="preserve">Stakeholders and focus group participants </w:t>
      </w:r>
      <w:r w:rsidR="00920588">
        <w:t xml:space="preserve">highlighted the </w:t>
      </w:r>
      <w:r w:rsidR="00760282">
        <w:t>value</w:t>
      </w:r>
      <w:r w:rsidR="00920588">
        <w:t xml:space="preserve"> of </w:t>
      </w:r>
      <w:r w:rsidR="00503849">
        <w:t xml:space="preserve">upskilling </w:t>
      </w:r>
      <w:r w:rsidR="00503849">
        <w:t xml:space="preserve">both clinical and non-clinical staff </w:t>
      </w:r>
      <w:r w:rsidR="00C35F47">
        <w:t>to identify and report</w:t>
      </w:r>
      <w:r w:rsidR="00E13BE2">
        <w:t xml:space="preserve"> changes in residents</w:t>
      </w:r>
      <w:r w:rsidR="003863F5">
        <w:t>’</w:t>
      </w:r>
      <w:r w:rsidR="00E13BE2">
        <w:t xml:space="preserve"> conditions</w:t>
      </w:r>
      <w:r w:rsidR="00197D3E">
        <w:t>.</w:t>
      </w:r>
    </w:p>
    <w:p w14:paraId="449C59B4" w14:textId="467C9F99" w:rsidR="00BE655C" w:rsidRDefault="00BE655C" w:rsidP="00BE655C">
      <w:pPr>
        <w:pStyle w:val="Findings"/>
      </w:pPr>
      <w:r>
        <w:t>PACOP</w:t>
      </w:r>
      <w:r w:rsidR="003863F5">
        <w:t>’</w:t>
      </w:r>
      <w:r>
        <w:t>s systematic, evidence-based approach was widely viewed as conceptually appropriate and aligned with sector needs.</w:t>
      </w:r>
    </w:p>
    <w:p w14:paraId="45523EE6" w14:textId="315F5128" w:rsidR="00D1773E" w:rsidRDefault="00F404FA" w:rsidP="007F799B">
      <w:pPr>
        <w:pStyle w:val="Heading3"/>
      </w:pPr>
      <w:bookmarkStart w:id="65" w:name="_Toc232685894"/>
      <w:r>
        <w:t>Resource investment</w:t>
      </w:r>
      <w:r w:rsidR="00586FE3">
        <w:t xml:space="preserve"> and model complexity</w:t>
      </w:r>
      <w:bookmarkEnd w:id="65"/>
    </w:p>
    <w:p w14:paraId="36BCC58F" w14:textId="3B22050F" w:rsidR="00263907" w:rsidRDefault="00910D5F" w:rsidP="00D90E56">
      <w:r>
        <w:t>Despite strong conceptual support for</w:t>
      </w:r>
      <w:r w:rsidRPr="006A4254">
        <w:t xml:space="preserve"> PACOP</w:t>
      </w:r>
      <w:r>
        <w:t xml:space="preserve">, stakeholders </w:t>
      </w:r>
      <w:r w:rsidR="00861ECE">
        <w:t>and several case studies</w:t>
      </w:r>
      <w:r w:rsidR="007D1D87">
        <w:t xml:space="preserve"> (technical paper, Section 9.2)</w:t>
      </w:r>
      <w:r w:rsidR="00861ECE">
        <w:t xml:space="preserve"> </w:t>
      </w:r>
      <w:r w:rsidR="00320501">
        <w:t>raised concerns about the program</w:t>
      </w:r>
      <w:r w:rsidR="003863F5">
        <w:t>’</w:t>
      </w:r>
      <w:r w:rsidR="00320501">
        <w:t xml:space="preserve">s complexity and resource demands, which tempered </w:t>
      </w:r>
      <w:r w:rsidR="001750F2">
        <w:t>perceptions of its current</w:t>
      </w:r>
      <w:r w:rsidR="00186252">
        <w:t xml:space="preserve"> suitability</w:t>
      </w:r>
      <w:r w:rsidR="00902C43">
        <w:t xml:space="preserve"> in practice</w:t>
      </w:r>
      <w:r w:rsidR="00195747">
        <w:t xml:space="preserve">. </w:t>
      </w:r>
      <w:r w:rsidR="00263907">
        <w:t>Stakeholders</w:t>
      </w:r>
      <w:r w:rsidR="00757AFC">
        <w:t xml:space="preserve"> noted that </w:t>
      </w:r>
      <w:r w:rsidR="00395654">
        <w:t xml:space="preserve">implementation </w:t>
      </w:r>
      <w:r w:rsidR="00646ED3">
        <w:t>required a considerable change management process, encompassing staff training, integration into organisational processes, and potential changes to IT s</w:t>
      </w:r>
      <w:r w:rsidR="003D6919">
        <w:t xml:space="preserve">ystems. </w:t>
      </w:r>
      <w:r w:rsidR="00D90E56">
        <w:t xml:space="preserve">Once implemented, ongoing data collection requirements were </w:t>
      </w:r>
      <w:r w:rsidR="00263907">
        <w:t xml:space="preserve">often </w:t>
      </w:r>
      <w:r w:rsidR="00D90E56">
        <w:t xml:space="preserve">viewed as complex and burdensome for a sector already facing operational pressures, workforce challenges, and extensive mandatory reporting obligations. </w:t>
      </w:r>
    </w:p>
    <w:p w14:paraId="66CBC8EF" w14:textId="0E47CA56" w:rsidR="00D90E56" w:rsidRDefault="00D90E56" w:rsidP="00D90E56">
      <w:r>
        <w:t>The PACOP assessment protocol was</w:t>
      </w:r>
      <w:r w:rsidR="002429A0">
        <w:t xml:space="preserve"> commonly described as lengthy, with some stakeholders noting overlap with</w:t>
      </w:r>
      <w:r>
        <w:t xml:space="preserve"> Australian National Aged Care Classification funding assessment requirements. </w:t>
      </w:r>
      <w:r w:rsidR="00C24BB5">
        <w:t xml:space="preserve">Stakeholders </w:t>
      </w:r>
      <w:r w:rsidR="003135E3">
        <w:t xml:space="preserve">also noted </w:t>
      </w:r>
      <w:r w:rsidR="00C24BB5">
        <w:t xml:space="preserve">that </w:t>
      </w:r>
      <w:r w:rsidR="00E96967">
        <w:t>the program did not provide</w:t>
      </w:r>
      <w:r w:rsidR="00C24BB5">
        <w:t xml:space="preserve"> financial assistance to offset implementation and ongoing participation costs</w:t>
      </w:r>
      <w:r w:rsidR="00E96967">
        <w:t>, impacting</w:t>
      </w:r>
      <w:r w:rsidR="004D43D6">
        <w:t xml:space="preserve"> perceived feasibility</w:t>
      </w:r>
      <w:r w:rsidR="00C24BB5">
        <w:t>.</w:t>
      </w:r>
    </w:p>
    <w:p w14:paraId="484C1FCA" w14:textId="4640E5F9" w:rsidR="00D43525" w:rsidRDefault="00453CDC" w:rsidP="00910D5F">
      <w:r>
        <w:t xml:space="preserve">While the value of </w:t>
      </w:r>
      <w:r w:rsidR="000C52F2">
        <w:t xml:space="preserve">a </w:t>
      </w:r>
      <w:r>
        <w:t>systematic palliative care assessment</w:t>
      </w:r>
      <w:r w:rsidR="000C52F2">
        <w:t xml:space="preserve"> framework</w:t>
      </w:r>
      <w:r>
        <w:t xml:space="preserve"> was widely recognised, </w:t>
      </w:r>
      <w:r w:rsidR="001E5176">
        <w:t>stakeholders questioned whether the model</w:t>
      </w:r>
      <w:r w:rsidR="006C41E3">
        <w:t xml:space="preserve"> was</w:t>
      </w:r>
      <w:r w:rsidR="001E5176">
        <w:t xml:space="preserve"> appropriately calibrated for </w:t>
      </w:r>
      <w:r w:rsidR="00916240">
        <w:t>the</w:t>
      </w:r>
      <w:r w:rsidR="003135E3">
        <w:t xml:space="preserve"> operational realities of the</w:t>
      </w:r>
      <w:r w:rsidR="00916240">
        <w:t xml:space="preserve"> </w:t>
      </w:r>
      <w:r w:rsidR="001E5176">
        <w:t>aged care</w:t>
      </w:r>
      <w:r w:rsidR="00916240">
        <w:t xml:space="preserve"> sector</w:t>
      </w:r>
      <w:r w:rsidR="006C41E3">
        <w:t xml:space="preserve"> in its current form</w:t>
      </w:r>
      <w:r w:rsidR="001E5176">
        <w:t>.</w:t>
      </w:r>
      <w:r w:rsidR="00961813">
        <w:t xml:space="preserve"> </w:t>
      </w:r>
      <w:r w:rsidR="00967E13">
        <w:t xml:space="preserve">Consequently, </w:t>
      </w:r>
      <w:r w:rsidR="003471B9">
        <w:t>the need to simplify</w:t>
      </w:r>
      <w:r w:rsidR="00721CDE">
        <w:t xml:space="preserve"> </w:t>
      </w:r>
      <w:r w:rsidR="00C61CD5">
        <w:t xml:space="preserve">aspects of </w:t>
      </w:r>
      <w:r w:rsidR="00967E13">
        <w:t>t</w:t>
      </w:r>
      <w:r w:rsidR="007D1D44">
        <w:t xml:space="preserve">he </w:t>
      </w:r>
      <w:r w:rsidR="00721CDE">
        <w:t xml:space="preserve">program </w:t>
      </w:r>
      <w:r w:rsidR="005D6178">
        <w:t xml:space="preserve">to </w:t>
      </w:r>
      <w:r w:rsidR="00C61CD5">
        <w:t>improve feasibility</w:t>
      </w:r>
      <w:r w:rsidR="003471B9">
        <w:t xml:space="preserve"> was consistently highlighted</w:t>
      </w:r>
      <w:r w:rsidR="00C37DB2">
        <w:t>.</w:t>
      </w:r>
    </w:p>
    <w:p w14:paraId="09C194FB" w14:textId="33380D85" w:rsidR="009876FB" w:rsidRDefault="009876FB" w:rsidP="009876FB">
      <w:pPr>
        <w:pStyle w:val="Quote"/>
      </w:pPr>
      <w:r w:rsidRPr="00AA1BD0">
        <w:t>It needs to be simplified</w:t>
      </w:r>
      <w:r>
        <w:t xml:space="preserve"> … </w:t>
      </w:r>
      <w:r w:rsidRPr="00937FC0">
        <w:t>it</w:t>
      </w:r>
      <w:r w:rsidR="003863F5">
        <w:t>’</w:t>
      </w:r>
      <w:r w:rsidRPr="00937FC0">
        <w:t xml:space="preserve">s </w:t>
      </w:r>
      <w:proofErr w:type="gramStart"/>
      <w:r w:rsidRPr="00937FC0">
        <w:t>really</w:t>
      </w:r>
      <w:r>
        <w:t xml:space="preserve"> not</w:t>
      </w:r>
      <w:proofErr w:type="gramEnd"/>
      <w:r w:rsidRPr="00937FC0">
        <w:t xml:space="preserve"> an appropriate model </w:t>
      </w:r>
      <w:r>
        <w:t xml:space="preserve">[for aged care] </w:t>
      </w:r>
      <w:proofErr w:type="gramStart"/>
      <w:r w:rsidRPr="00937FC0">
        <w:t>at the moment</w:t>
      </w:r>
      <w:proofErr w:type="gramEnd"/>
      <w:r w:rsidRPr="00937FC0">
        <w:t xml:space="preserve"> with its complexities.</w:t>
      </w:r>
      <w:r>
        <w:t xml:space="preserve"> – PACOP case study (case study 7)</w:t>
      </w:r>
    </w:p>
    <w:p w14:paraId="35BD00C1" w14:textId="384BED00" w:rsidR="00796B69" w:rsidRDefault="002B21B5" w:rsidP="00910D5F">
      <w:r>
        <w:lastRenderedPageBreak/>
        <w:t>Specific suggestions</w:t>
      </w:r>
      <w:r w:rsidR="00B333EE">
        <w:t xml:space="preserve"> </w:t>
      </w:r>
      <w:r>
        <w:t>included:</w:t>
      </w:r>
    </w:p>
    <w:p w14:paraId="00435490" w14:textId="5C238412" w:rsidR="003A3BDB" w:rsidRDefault="004A6340" w:rsidP="00B333EE">
      <w:pPr>
        <w:pStyle w:val="ListBullet"/>
      </w:pPr>
      <w:r>
        <w:rPr>
          <w:b/>
          <w:bCs/>
        </w:rPr>
        <w:t xml:space="preserve">Simplify </w:t>
      </w:r>
      <w:r w:rsidR="00B333EE">
        <w:rPr>
          <w:b/>
          <w:bCs/>
        </w:rPr>
        <w:t>the</w:t>
      </w:r>
      <w:r w:rsidR="003A3BDB">
        <w:rPr>
          <w:b/>
          <w:bCs/>
        </w:rPr>
        <w:t xml:space="preserve"> program model and</w:t>
      </w:r>
      <w:r w:rsidR="00B333EE">
        <w:rPr>
          <w:b/>
          <w:bCs/>
        </w:rPr>
        <w:t xml:space="preserve"> data collection protocol</w:t>
      </w:r>
      <w:r w:rsidR="00B333EE" w:rsidRPr="00016645">
        <w:rPr>
          <w:b/>
          <w:bCs/>
        </w:rPr>
        <w:t>:</w:t>
      </w:r>
      <w:r w:rsidR="00B333EE">
        <w:t xml:space="preserve"> </w:t>
      </w:r>
      <w:r>
        <w:t>reduce</w:t>
      </w:r>
      <w:r w:rsidR="00B333EE">
        <w:t xml:space="preserve"> </w:t>
      </w:r>
      <w:r w:rsidR="00E5085E">
        <w:t xml:space="preserve">the </w:t>
      </w:r>
      <w:r>
        <w:t>complexity</w:t>
      </w:r>
      <w:r w:rsidR="0029136B">
        <w:t xml:space="preserve"> </w:t>
      </w:r>
      <w:r>
        <w:t xml:space="preserve">of the </w:t>
      </w:r>
      <w:r w:rsidR="00E5085E">
        <w:t xml:space="preserve">program </w:t>
      </w:r>
      <w:r w:rsidR="0029136B">
        <w:t xml:space="preserve">and </w:t>
      </w:r>
      <w:r w:rsidR="00CB6565">
        <w:t>the</w:t>
      </w:r>
      <w:r w:rsidR="003A3BDB">
        <w:t xml:space="preserve"> </w:t>
      </w:r>
      <w:r w:rsidR="0029136B">
        <w:t>length</w:t>
      </w:r>
      <w:r>
        <w:t xml:space="preserve"> of the </w:t>
      </w:r>
      <w:r w:rsidR="0029136B">
        <w:t>assessment</w:t>
      </w:r>
      <w:r w:rsidR="00B333EE">
        <w:t xml:space="preserve"> protocol. </w:t>
      </w:r>
      <w:r w:rsidR="00F34B67">
        <w:t>S</w:t>
      </w:r>
      <w:r w:rsidR="00B333EE">
        <w:t xml:space="preserve">uggestions included reducing the overall number of assessments required in both the Profile and Outcomes Collections </w:t>
      </w:r>
      <w:r w:rsidR="00AF45AD">
        <w:t>and</w:t>
      </w:r>
      <w:r w:rsidR="00B333EE">
        <w:t xml:space="preserve"> shortening the length of individual tools by removing non-essential items and response </w:t>
      </w:r>
      <w:r w:rsidR="00E02BF7">
        <w:t>options</w:t>
      </w:r>
      <w:r w:rsidR="00B333EE">
        <w:t>. Several stakeholders also suggested consolidating the Profile assessment tools into a single, minimal</w:t>
      </w:r>
      <w:r w:rsidR="00A82DB3">
        <w:t xml:space="preserve"> screening</w:t>
      </w:r>
      <w:r w:rsidR="00B333EE">
        <w:t xml:space="preserve"> tool </w:t>
      </w:r>
      <w:r w:rsidR="00A82DB3">
        <w:t>focused on</w:t>
      </w:r>
      <w:r w:rsidR="00B333EE">
        <w:t xml:space="preserve"> essential </w:t>
      </w:r>
      <w:r w:rsidR="003B6B6A">
        <w:t>indicators of palliative care needs</w:t>
      </w:r>
      <w:r w:rsidR="00B333EE">
        <w:t xml:space="preserve"> (e.g. three to four </w:t>
      </w:r>
      <w:r w:rsidR="003B6B6A">
        <w:t>data items</w:t>
      </w:r>
      <w:r w:rsidR="003A3BDB">
        <w:t>)</w:t>
      </w:r>
      <w:r w:rsidR="00290A42">
        <w:t>.</w:t>
      </w:r>
    </w:p>
    <w:p w14:paraId="2B81A635" w14:textId="32705BEA" w:rsidR="00B333EE" w:rsidRDefault="00B333EE" w:rsidP="00B333EE">
      <w:pPr>
        <w:pStyle w:val="ListBullet"/>
      </w:pPr>
      <w:r w:rsidRPr="003A3BDB">
        <w:rPr>
          <w:b/>
          <w:bCs/>
        </w:rPr>
        <w:t xml:space="preserve">Develop a </w:t>
      </w:r>
      <w:r w:rsidR="00494D5E" w:rsidRPr="003A3BDB">
        <w:rPr>
          <w:b/>
          <w:bCs/>
        </w:rPr>
        <w:t>lighter touch</w:t>
      </w:r>
      <w:r w:rsidRPr="003A3BDB">
        <w:rPr>
          <w:b/>
          <w:bCs/>
        </w:rPr>
        <w:t xml:space="preserve"> version:</w:t>
      </w:r>
      <w:r>
        <w:t xml:space="preserve"> </w:t>
      </w:r>
      <w:r w:rsidR="00BE1C0B">
        <w:t>introduce</w:t>
      </w:r>
      <w:r w:rsidR="0048234C">
        <w:t xml:space="preserve"> a streamlined, more pragmatic </w:t>
      </w:r>
      <w:r>
        <w:t xml:space="preserve">version of </w:t>
      </w:r>
      <w:r w:rsidR="001155CF">
        <w:t>PACOP</w:t>
      </w:r>
      <w:r w:rsidR="0048234C">
        <w:t xml:space="preserve"> to complement the existing comprehensive model. This could be offered as an alternative for providers seeking a less resource-intensive approach</w:t>
      </w:r>
      <w:r>
        <w:t>.</w:t>
      </w:r>
    </w:p>
    <w:p w14:paraId="4BAD4994" w14:textId="033E6A9D" w:rsidR="00431BC1" w:rsidRDefault="00B93C42" w:rsidP="003E1672">
      <w:pPr>
        <w:pStyle w:val="Heading3"/>
      </w:pPr>
      <w:bookmarkStart w:id="66" w:name="_Toc232685895"/>
      <w:r>
        <w:t>Technology</w:t>
      </w:r>
      <w:bookmarkEnd w:id="66"/>
    </w:p>
    <w:p w14:paraId="741C1CBB" w14:textId="1AC32132" w:rsidR="000E66E9" w:rsidRDefault="00FF2AEE" w:rsidP="00207BAF">
      <w:r>
        <w:t xml:space="preserve">IT integration challenges </w:t>
      </w:r>
      <w:r w:rsidR="00E773BE">
        <w:t xml:space="preserve">also impacted perceptions of </w:t>
      </w:r>
      <w:r w:rsidR="000E66E9">
        <w:t>PACOP</w:t>
      </w:r>
      <w:r w:rsidR="003863F5">
        <w:t>’</w:t>
      </w:r>
      <w:r w:rsidR="000E66E9">
        <w:t xml:space="preserve">s suitability within residential aged care. Despite </w:t>
      </w:r>
      <w:r w:rsidR="005C6219">
        <w:t xml:space="preserve">the </w:t>
      </w:r>
      <w:r w:rsidR="007641D8">
        <w:t>University of Wollongong</w:t>
      </w:r>
      <w:r w:rsidR="005C6219">
        <w:t xml:space="preserve"> </w:t>
      </w:r>
      <w:r w:rsidR="000E66E9">
        <w:t xml:space="preserve">working with IT vendors to integrate </w:t>
      </w:r>
      <w:r w:rsidR="005064A2">
        <w:t xml:space="preserve">the </w:t>
      </w:r>
      <w:r w:rsidR="000E66E9">
        <w:t xml:space="preserve">PACOP </w:t>
      </w:r>
      <w:r w:rsidR="005064A2">
        <w:t xml:space="preserve">framework into major aged care </w:t>
      </w:r>
      <w:r w:rsidR="006F1200">
        <w:t>clinical</w:t>
      </w:r>
      <w:r w:rsidR="005064A2">
        <w:t xml:space="preserve"> systems since program inception, </w:t>
      </w:r>
      <w:r w:rsidR="00BC28D4">
        <w:t xml:space="preserve">progress </w:t>
      </w:r>
      <w:r w:rsidR="000D454D">
        <w:t>was</w:t>
      </w:r>
      <w:r w:rsidR="00BC28D4">
        <w:t xml:space="preserve"> </w:t>
      </w:r>
      <w:r w:rsidR="00A52A66">
        <w:t xml:space="preserve">slow due to </w:t>
      </w:r>
      <w:r w:rsidR="00BC28D4">
        <w:t xml:space="preserve">competing </w:t>
      </w:r>
      <w:r w:rsidR="00127747">
        <w:t>IT changes associated with mandatory</w:t>
      </w:r>
      <w:r w:rsidR="00BC28D4">
        <w:t xml:space="preserve"> reforms.</w:t>
      </w:r>
    </w:p>
    <w:p w14:paraId="3853C3DD" w14:textId="2929AA2F" w:rsidR="006F0776" w:rsidRDefault="002C00CC" w:rsidP="00207BAF">
      <w:r>
        <w:t>Major aged care providers and c</w:t>
      </w:r>
      <w:r w:rsidR="002C2BC0">
        <w:t xml:space="preserve">ase studies </w:t>
      </w:r>
      <w:r w:rsidR="00207BAF" w:rsidRPr="002407E5">
        <w:t>(</w:t>
      </w:r>
      <w:r w:rsidR="00C66CB1">
        <w:t>technical paper, Section 9.2</w:t>
      </w:r>
      <w:r w:rsidR="00207BAF" w:rsidRPr="002407E5">
        <w:t>)</w:t>
      </w:r>
      <w:r w:rsidR="00207BAF">
        <w:t xml:space="preserve"> </w:t>
      </w:r>
      <w:r w:rsidR="004C3588">
        <w:t xml:space="preserve">reported that </w:t>
      </w:r>
      <w:r w:rsidR="0052217A">
        <w:t>limited</w:t>
      </w:r>
      <w:r w:rsidR="004C3588">
        <w:t xml:space="preserve"> interoperability with </w:t>
      </w:r>
      <w:r w:rsidR="0052217A">
        <w:t xml:space="preserve">existing </w:t>
      </w:r>
      <w:r w:rsidR="004C3588">
        <w:t xml:space="preserve">provider systems created administrative inefficiencies, often requiring paper-based assessments or duplicate data entry across platforms. </w:t>
      </w:r>
      <w:r w:rsidR="00207BAF">
        <w:t>PACOP snapshot survey data</w:t>
      </w:r>
      <w:r w:rsidR="0018320C">
        <w:t xml:space="preserve"> provided further evidence of this issue, with</w:t>
      </w:r>
      <w:r w:rsidR="00207BAF">
        <w:t xml:space="preserve"> </w:t>
      </w:r>
      <w:r w:rsidR="00026C85">
        <w:t xml:space="preserve">more than </w:t>
      </w:r>
      <w:r w:rsidR="00207BAF">
        <w:t>4</w:t>
      </w:r>
      <w:r w:rsidR="00026C85">
        <w:t>0</w:t>
      </w:r>
      <w:r w:rsidR="00207BAF">
        <w:t xml:space="preserve">% of </w:t>
      </w:r>
      <w:r w:rsidR="00026C85">
        <w:t>providers</w:t>
      </w:r>
      <w:r w:rsidR="00207BAF">
        <w:t xml:space="preserve"> </w:t>
      </w:r>
      <w:r w:rsidR="0018320C">
        <w:t>relying</w:t>
      </w:r>
      <w:r w:rsidR="00207BAF">
        <w:t xml:space="preserve"> exclusively on paper forms or later </w:t>
      </w:r>
      <w:r w:rsidR="003B4E42">
        <w:t>re-entering data manually into a digital system</w:t>
      </w:r>
      <w:r w:rsidR="00207BAF">
        <w:t xml:space="preserve"> (</w:t>
      </w:r>
      <w:r w:rsidR="00B45654">
        <w:fldChar w:fldCharType="begin"/>
      </w:r>
      <w:r w:rsidR="00B45654">
        <w:instrText xml:space="preserve"> REF _Ref216281179 \h </w:instrText>
      </w:r>
      <w:r w:rsidR="00B45654">
        <w:fldChar w:fldCharType="separate"/>
      </w:r>
      <w:r w:rsidR="00167BA0">
        <w:t xml:space="preserve">Table </w:t>
      </w:r>
      <w:r w:rsidR="00167BA0">
        <w:rPr>
          <w:noProof/>
        </w:rPr>
        <w:t>9</w:t>
      </w:r>
      <w:r w:rsidR="00167BA0">
        <w:t>.</w:t>
      </w:r>
      <w:r w:rsidR="00167BA0">
        <w:rPr>
          <w:noProof/>
        </w:rPr>
        <w:t>29</w:t>
      </w:r>
      <w:r w:rsidR="00B45654">
        <w:fldChar w:fldCharType="end"/>
      </w:r>
      <w:r w:rsidR="00B45654">
        <w:t xml:space="preserve">, </w:t>
      </w:r>
      <w:r w:rsidR="00526F0E">
        <w:fldChar w:fldCharType="begin"/>
      </w:r>
      <w:r w:rsidR="00526F0E">
        <w:instrText xml:space="preserve"> REF _Ref216865792 \n \h </w:instrText>
      </w:r>
      <w:r w:rsidR="00526F0E">
        <w:fldChar w:fldCharType="separate"/>
      </w:r>
      <w:r w:rsidR="00167BA0">
        <w:t>Appendix D</w:t>
      </w:r>
      <w:r w:rsidR="00526F0E">
        <w:fldChar w:fldCharType="end"/>
      </w:r>
      <w:r w:rsidR="00207BAF">
        <w:t>).</w:t>
      </w:r>
    </w:p>
    <w:p w14:paraId="7F493565" w14:textId="38592F66" w:rsidR="00207BAF" w:rsidRDefault="00472A70" w:rsidP="00207BAF">
      <w:r>
        <w:t>While stakeholders</w:t>
      </w:r>
      <w:r w:rsidR="00ED16EF">
        <w:t xml:space="preserve"> acknowledged that IT system challenges were not unique to PACOP</w:t>
      </w:r>
      <w:r w:rsidR="00637400">
        <w:t xml:space="preserve"> and that </w:t>
      </w:r>
      <w:r w:rsidR="00FD243A">
        <w:t xml:space="preserve">the University of Wollongong continued to </w:t>
      </w:r>
      <w:r w:rsidR="00637400">
        <w:t>work to address interoperability</w:t>
      </w:r>
      <w:r w:rsidR="00F22F18">
        <w:t>, these</w:t>
      </w:r>
      <w:r w:rsidR="004B6020">
        <w:t xml:space="preserve"> </w:t>
      </w:r>
      <w:r w:rsidR="00F22F18">
        <w:t xml:space="preserve">challenges </w:t>
      </w:r>
      <w:r w:rsidR="004B6020">
        <w:t>remained a key perceived barrier to feasibility.</w:t>
      </w:r>
    </w:p>
    <w:p w14:paraId="7C43C62B" w14:textId="724E73EC" w:rsidR="00DE523B" w:rsidRDefault="00DE523B" w:rsidP="00DE523B">
      <w:pPr>
        <w:pStyle w:val="Findings"/>
      </w:pPr>
      <w:r>
        <w:t xml:space="preserve">Practical challenges, including resource intensity, implementation complexity, and IT integration obstacles, </w:t>
      </w:r>
      <w:r w:rsidR="00C133F0">
        <w:t xml:space="preserve">tempered </w:t>
      </w:r>
      <w:r w:rsidR="00CC0BD6">
        <w:t xml:space="preserve">stakeholder </w:t>
      </w:r>
      <w:r w:rsidR="00C133F0">
        <w:t>perceptions of PACOP</w:t>
      </w:r>
      <w:r w:rsidR="003863F5">
        <w:t>’</w:t>
      </w:r>
      <w:r w:rsidR="00C133F0">
        <w:t xml:space="preserve">s </w:t>
      </w:r>
      <w:r>
        <w:t xml:space="preserve">suitability in practice. </w:t>
      </w:r>
      <w:r w:rsidR="00CC0BD6">
        <w:t>Evaluation evidenc</w:t>
      </w:r>
      <w:r w:rsidR="00247BDB">
        <w:t xml:space="preserve">e suggests that </w:t>
      </w:r>
      <w:r>
        <w:t>simplif</w:t>
      </w:r>
      <w:r w:rsidR="00247BDB">
        <w:t>ication of</w:t>
      </w:r>
      <w:r>
        <w:t xml:space="preserve"> the program model, enhance</w:t>
      </w:r>
      <w:r w:rsidR="00247BDB">
        <w:t>d</w:t>
      </w:r>
      <w:r>
        <w:t xml:space="preserve"> implementation support, and accelerate</w:t>
      </w:r>
      <w:r w:rsidR="00247BDB">
        <w:t>d</w:t>
      </w:r>
      <w:r>
        <w:t xml:space="preserve"> IT integration activities </w:t>
      </w:r>
      <w:r w:rsidR="00247BDB">
        <w:t>would be important considerations in improving feasibility and sustained uptake among providers</w:t>
      </w:r>
      <w:r>
        <w:t>.</w:t>
      </w:r>
    </w:p>
    <w:p w14:paraId="4E298425" w14:textId="121F8E63" w:rsidR="009816CC" w:rsidRDefault="005B7D58" w:rsidP="009816CC">
      <w:pPr>
        <w:pStyle w:val="Heading3"/>
      </w:pPr>
      <w:bookmarkStart w:id="67" w:name="_Toc232685896"/>
      <w:r>
        <w:t>A</w:t>
      </w:r>
      <w:r w:rsidR="009816CC">
        <w:t>ssessment tools</w:t>
      </w:r>
      <w:bookmarkEnd w:id="67"/>
    </w:p>
    <w:p w14:paraId="57AC0FE4" w14:textId="46C2077D" w:rsidR="00445DA2" w:rsidRDefault="005B7D58" w:rsidP="00445DA2">
      <w:r>
        <w:t xml:space="preserve">The </w:t>
      </w:r>
      <w:r w:rsidR="00445DA2" w:rsidRPr="00445DA2">
        <w:t xml:space="preserve">appropriateness of specific assessment tools </w:t>
      </w:r>
      <w:r w:rsidR="009D5B4C">
        <w:t>carried over</w:t>
      </w:r>
      <w:r w:rsidR="00445DA2" w:rsidRPr="00445DA2">
        <w:t xml:space="preserve"> from PCOC </w:t>
      </w:r>
      <w:r w:rsidR="00ED1B20">
        <w:t xml:space="preserve">in specialist palliative care </w:t>
      </w:r>
      <w:r>
        <w:t>was also raised as a concern</w:t>
      </w:r>
      <w:r w:rsidR="00445DA2" w:rsidRPr="00445DA2">
        <w:t xml:space="preserve">. </w:t>
      </w:r>
      <w:r w:rsidR="00ED1B20" w:rsidRPr="00ED50B2">
        <w:rPr>
          <w:lang w:eastAsia="en-AU"/>
        </w:rPr>
        <w:t xml:space="preserve">Stakeholders highlighted that aged care residents </w:t>
      </w:r>
      <w:r w:rsidR="00ED1B20">
        <w:rPr>
          <w:lang w:eastAsia="en-AU"/>
        </w:rPr>
        <w:t xml:space="preserve">typically </w:t>
      </w:r>
      <w:r w:rsidR="00ED1B20" w:rsidRPr="00ED50B2">
        <w:rPr>
          <w:lang w:eastAsia="en-AU"/>
        </w:rPr>
        <w:t>ha</w:t>
      </w:r>
      <w:r w:rsidR="00F23215">
        <w:rPr>
          <w:lang w:eastAsia="en-AU"/>
        </w:rPr>
        <w:t>d</w:t>
      </w:r>
      <w:r w:rsidR="00ED1B20" w:rsidRPr="00ED50B2">
        <w:rPr>
          <w:lang w:eastAsia="en-AU"/>
        </w:rPr>
        <w:t xml:space="preserve"> a</w:t>
      </w:r>
      <w:r w:rsidR="00ED1B20">
        <w:rPr>
          <w:lang w:eastAsia="en-AU"/>
        </w:rPr>
        <w:t xml:space="preserve"> long, complex, and unpredictable end-of-life trajectory</w:t>
      </w:r>
      <w:r w:rsidR="00EC041F">
        <w:rPr>
          <w:lang w:eastAsia="en-AU"/>
        </w:rPr>
        <w:t xml:space="preserve">. This </w:t>
      </w:r>
      <w:r w:rsidR="00F23215">
        <w:rPr>
          <w:lang w:eastAsia="en-AU"/>
        </w:rPr>
        <w:t>was</w:t>
      </w:r>
      <w:r w:rsidR="00D2189E">
        <w:rPr>
          <w:lang w:eastAsia="en-AU"/>
        </w:rPr>
        <w:t xml:space="preserve"> often</w:t>
      </w:r>
      <w:r w:rsidR="00ED1B20">
        <w:rPr>
          <w:lang w:eastAsia="en-AU"/>
        </w:rPr>
        <w:t xml:space="preserve"> characterised by frailty and </w:t>
      </w:r>
      <w:r w:rsidR="005159AA">
        <w:rPr>
          <w:lang w:eastAsia="en-AU"/>
        </w:rPr>
        <w:t>high rates of cognitive impairment</w:t>
      </w:r>
      <w:r w:rsidR="00D2189E">
        <w:rPr>
          <w:lang w:eastAsia="en-AU"/>
        </w:rPr>
        <w:t xml:space="preserve"> and dementia</w:t>
      </w:r>
      <w:r w:rsidR="00ED1B20">
        <w:rPr>
          <w:lang w:eastAsia="en-AU"/>
        </w:rPr>
        <w:t xml:space="preserve"> rather than a specific diagnosis. </w:t>
      </w:r>
      <w:r w:rsidR="00831B5D">
        <w:rPr>
          <w:lang w:eastAsia="en-AU"/>
        </w:rPr>
        <w:t xml:space="preserve">As a result, </w:t>
      </w:r>
      <w:r w:rsidR="00454A65">
        <w:rPr>
          <w:lang w:eastAsia="en-AU"/>
        </w:rPr>
        <w:t xml:space="preserve">the validity and relevance of </w:t>
      </w:r>
      <w:r w:rsidR="00054682">
        <w:rPr>
          <w:lang w:eastAsia="en-AU"/>
        </w:rPr>
        <w:t xml:space="preserve">several of the original PCOC </w:t>
      </w:r>
      <w:r w:rsidR="006156A7">
        <w:rPr>
          <w:lang w:eastAsia="en-AU"/>
        </w:rPr>
        <w:t xml:space="preserve">tools </w:t>
      </w:r>
      <w:r w:rsidR="00A1797C">
        <w:t xml:space="preserve">within </w:t>
      </w:r>
      <w:r w:rsidR="006156A7">
        <w:t>a</w:t>
      </w:r>
      <w:r w:rsidR="00A1797C">
        <w:t xml:space="preserve"> residential</w:t>
      </w:r>
      <w:r w:rsidR="00454A65">
        <w:t xml:space="preserve"> aged care </w:t>
      </w:r>
      <w:r w:rsidR="006156A7">
        <w:t>cohort</w:t>
      </w:r>
      <w:r w:rsidR="00A1797C">
        <w:t xml:space="preserve"> </w:t>
      </w:r>
      <w:r w:rsidR="00454A65">
        <w:t>were question</w:t>
      </w:r>
      <w:r w:rsidR="00A1797C">
        <w:t>ed</w:t>
      </w:r>
      <w:r w:rsidR="00FF3893">
        <w:t>, including</w:t>
      </w:r>
      <w:r w:rsidR="00445DA2" w:rsidRPr="00445DA2">
        <w:t xml:space="preserve"> the Australian Karnofsky Performance Status</w:t>
      </w:r>
      <w:r w:rsidR="00677A21">
        <w:t xml:space="preserve"> and</w:t>
      </w:r>
      <w:r w:rsidR="00445DA2" w:rsidRPr="00445DA2">
        <w:t xml:space="preserve"> Symptom Assessment Scale. While </w:t>
      </w:r>
      <w:r w:rsidR="00AD2EFA">
        <w:t>the University of Wollongong</w:t>
      </w:r>
      <w:r w:rsidR="00445DA2" w:rsidRPr="00445DA2">
        <w:t xml:space="preserve"> ha</w:t>
      </w:r>
      <w:r w:rsidR="009D5B4C">
        <w:t>d</w:t>
      </w:r>
      <w:r w:rsidR="00445DA2" w:rsidRPr="00445DA2">
        <w:t xml:space="preserve"> begun validating the Symptom Assessment Scale for aged care</w:t>
      </w:r>
      <w:r w:rsidR="00F82653">
        <w:t xml:space="preserve"> populations</w:t>
      </w:r>
      <w:r w:rsidR="00445DA2" w:rsidRPr="00445DA2">
        <w:t xml:space="preserve">, </w:t>
      </w:r>
      <w:r w:rsidR="00982E3F">
        <w:t xml:space="preserve">several stakeholders suggested that </w:t>
      </w:r>
      <w:r w:rsidR="00445DA2" w:rsidRPr="00445DA2">
        <w:t>further review</w:t>
      </w:r>
      <w:r w:rsidR="00982E3F">
        <w:t xml:space="preserve"> and validation</w:t>
      </w:r>
      <w:r w:rsidR="00445DA2" w:rsidRPr="00445DA2">
        <w:t xml:space="preserve"> of other </w:t>
      </w:r>
      <w:r w:rsidR="00982E3F">
        <w:t xml:space="preserve">assessment </w:t>
      </w:r>
      <w:r w:rsidR="00445DA2" w:rsidRPr="00445DA2">
        <w:t xml:space="preserve">tools </w:t>
      </w:r>
      <w:r w:rsidR="00982E3F">
        <w:t>may be needed to ensure clinical appropriateness in this context</w:t>
      </w:r>
      <w:r w:rsidR="009D5B4C">
        <w:t>.</w:t>
      </w:r>
    </w:p>
    <w:p w14:paraId="4F801FAD" w14:textId="77777777" w:rsidR="00C133F0" w:rsidRDefault="00C133F0" w:rsidP="00C133F0">
      <w:pPr>
        <w:pStyle w:val="Findings"/>
      </w:pPr>
      <w:r>
        <w:t>The suitability of some PACOP assessment tools for aged care populations was questioned, due to high levels of cognitive impairment and unpredictable end-of-life trajectories. This suggests a need for further validation and adaptation to ensure clinical appropriateness.</w:t>
      </w:r>
    </w:p>
    <w:p w14:paraId="3C430D1C" w14:textId="2F9A9825" w:rsidR="00604BCC" w:rsidRDefault="00A4352B" w:rsidP="00C43EE4">
      <w:pPr>
        <w:pStyle w:val="Heading3"/>
      </w:pPr>
      <w:bookmarkStart w:id="68" w:name="_Toc232685897"/>
      <w:r>
        <w:lastRenderedPageBreak/>
        <w:t>Outcome data accessibility</w:t>
      </w:r>
      <w:bookmarkEnd w:id="68"/>
    </w:p>
    <w:p w14:paraId="71223A46" w14:textId="6FD78926" w:rsidR="004674B9" w:rsidRPr="00445DA2" w:rsidRDefault="00B07A1F" w:rsidP="00445DA2">
      <w:r>
        <w:t>While PACOP</w:t>
      </w:r>
      <w:r w:rsidR="003863F5">
        <w:t>’</w:t>
      </w:r>
      <w:r>
        <w:t>s benchmarking focus was generally supported, s</w:t>
      </w:r>
      <w:r w:rsidR="00B93C42">
        <w:t>ome stakeholders questioned the suitability of the current six-monthly benchmark reporting cycle</w:t>
      </w:r>
      <w:r w:rsidR="009944E1">
        <w:t xml:space="preserve">. </w:t>
      </w:r>
      <w:r w:rsidR="00315C4D">
        <w:t xml:space="preserve">This interval was </w:t>
      </w:r>
      <w:r w:rsidR="009877AF">
        <w:t xml:space="preserve">perceived to limit </w:t>
      </w:r>
      <w:r w:rsidR="00B7228B">
        <w:t>the reports</w:t>
      </w:r>
      <w:r w:rsidR="003863F5">
        <w:t>’</w:t>
      </w:r>
      <w:r w:rsidR="00B7228B">
        <w:t xml:space="preserve"> utility for </w:t>
      </w:r>
      <w:r w:rsidR="00600F97">
        <w:t xml:space="preserve">providing outcome data to </w:t>
      </w:r>
      <w:r w:rsidR="00D94387">
        <w:t xml:space="preserve">inform </w:t>
      </w:r>
      <w:r w:rsidR="00B7228B">
        <w:t>timely quality improvement</w:t>
      </w:r>
      <w:r w:rsidR="000811E7">
        <w:t xml:space="preserve"> at the service level</w:t>
      </w:r>
      <w:r w:rsidR="00E25E24">
        <w:t xml:space="preserve">. </w:t>
      </w:r>
      <w:r w:rsidR="00B9687E">
        <w:t>The current six-monthly reporting cycle</w:t>
      </w:r>
      <w:r w:rsidR="00E25E24">
        <w:t xml:space="preserve"> was also considered</w:t>
      </w:r>
      <w:r w:rsidR="00F46AEF">
        <w:t xml:space="preserve"> </w:t>
      </w:r>
      <w:r w:rsidR="00315C4D">
        <w:t xml:space="preserve">misaligned with growing sector expectations for real-time dashboard-style </w:t>
      </w:r>
      <w:r w:rsidR="00033AB4">
        <w:t>access to performance data</w:t>
      </w:r>
      <w:r w:rsidR="00B7228B">
        <w:t xml:space="preserve">. </w:t>
      </w:r>
      <w:r w:rsidR="00A97F35">
        <w:t>The University of Wollongong</w:t>
      </w:r>
      <w:r w:rsidR="00B7228B">
        <w:t xml:space="preserve"> was actively addressing this</w:t>
      </w:r>
      <w:r w:rsidR="009877AF">
        <w:t xml:space="preserve"> concern</w:t>
      </w:r>
      <w:r w:rsidR="00B7228B">
        <w:t xml:space="preserve"> through plans to develop self-service dashboards as part of an IT integration project initiated in 2025 (see Section 5.3.2).</w:t>
      </w:r>
    </w:p>
    <w:p w14:paraId="45E70CF7" w14:textId="66000931" w:rsidR="00C43EE4" w:rsidRDefault="00C43EE4" w:rsidP="00C43EE4">
      <w:pPr>
        <w:pStyle w:val="Heading3"/>
      </w:pPr>
      <w:bookmarkStart w:id="69" w:name="_Toc232685898"/>
      <w:r>
        <w:t>C</w:t>
      </w:r>
      <w:r w:rsidR="001A7EEA">
        <w:t>linical and c</w:t>
      </w:r>
      <w:r>
        <w:t>ultural safety</w:t>
      </w:r>
      <w:bookmarkEnd w:id="69"/>
    </w:p>
    <w:p w14:paraId="3307EFDB" w14:textId="6369C497" w:rsidR="00C43EE4" w:rsidRDefault="00C43EE4" w:rsidP="00C43EE4">
      <w:r>
        <w:t>Analysis of</w:t>
      </w:r>
      <w:r w:rsidR="00E61479">
        <w:t xml:space="preserve"> PACOP program documentation </w:t>
      </w:r>
      <w:r>
        <w:t>indicated that mechanisms to support safe and culturally responsive palliative care were embedded in the program</w:t>
      </w:r>
      <w:r w:rsidR="003863F5">
        <w:t>’</w:t>
      </w:r>
      <w:r>
        <w:t xml:space="preserve">s design. </w:t>
      </w:r>
      <w:r w:rsidR="0035732F">
        <w:t>The program model</w:t>
      </w:r>
      <w:r>
        <w:t xml:space="preserve"> was underpinned by a comprehensive, evidence-based assessment and response protocol that use</w:t>
      </w:r>
      <w:r w:rsidR="00826804">
        <w:t>d</w:t>
      </w:r>
      <w:r>
        <w:t xml:space="preserve"> routinely collected data to guide person-centred care. Assessments incorporate</w:t>
      </w:r>
      <w:r w:rsidR="00826804">
        <w:t>d</w:t>
      </w:r>
      <w:r>
        <w:t xml:space="preserve"> self-reported and clinician-assessed </w:t>
      </w:r>
      <w:r w:rsidR="00826804">
        <w:t>indicators, resident preferences, and family input, ensuring that care planning reflected</w:t>
      </w:r>
      <w:r>
        <w:t xml:space="preserve"> individual needs and preferences. The program include</w:t>
      </w:r>
      <w:r w:rsidR="00826804">
        <w:t>d</w:t>
      </w:r>
      <w:r>
        <w:t xml:space="preserve"> an escalation pathway to support timely access to palliative care within the aged care home or</w:t>
      </w:r>
      <w:r w:rsidR="00F729A5">
        <w:t>, when required,</w:t>
      </w:r>
      <w:r>
        <w:t xml:space="preserve"> referral to specialist palliative care services. The program</w:t>
      </w:r>
      <w:r w:rsidR="003863F5">
        <w:t>’</w:t>
      </w:r>
      <w:r>
        <w:t>s educational activities</w:t>
      </w:r>
      <w:r w:rsidR="00021403">
        <w:t xml:space="preserve"> aimed to support</w:t>
      </w:r>
      <w:r>
        <w:t xml:space="preserve"> staff in interpreting PACOP data and applying it to deliver safe, culturally responsive care. This person-centred, assessment-driven approach align</w:t>
      </w:r>
      <w:r w:rsidR="00826804">
        <w:t>ed</w:t>
      </w:r>
      <w:r>
        <w:t xml:space="preserve"> with key domains of the National Palliative Care Standards, including systematic assessment, communication, and care coordination.</w:t>
      </w:r>
    </w:p>
    <w:p w14:paraId="52897734" w14:textId="649862BB" w:rsidR="00C43EE4" w:rsidRDefault="005A245E" w:rsidP="00C43EE4">
      <w:r>
        <w:t>The University of Wollongong</w:t>
      </w:r>
      <w:r w:rsidR="00C43EE4">
        <w:t xml:space="preserve"> had also taken steps to </w:t>
      </w:r>
      <w:r w:rsidR="00872BE8">
        <w:t>strengthen</w:t>
      </w:r>
      <w:r w:rsidR="00C43EE4">
        <w:t xml:space="preserve"> </w:t>
      </w:r>
      <w:r>
        <w:t>PACOP</w:t>
      </w:r>
      <w:r w:rsidR="003863F5">
        <w:t>’</w:t>
      </w:r>
      <w:r>
        <w:t xml:space="preserve">s </w:t>
      </w:r>
      <w:r w:rsidR="00C43EE4">
        <w:t xml:space="preserve">cultural responsiveness, </w:t>
      </w:r>
      <w:r w:rsidR="00D205C8">
        <w:t>which was identified as an ongoing priority in</w:t>
      </w:r>
      <w:r w:rsidR="00C43EE4">
        <w:t xml:space="preserve"> the current funding round. Key resources </w:t>
      </w:r>
      <w:r w:rsidR="00316F43">
        <w:t>had been</w:t>
      </w:r>
      <w:r w:rsidR="00C43EE4">
        <w:t xml:space="preserve"> translated into commonly used languages in aged care homes, and work was underway to develop First </w:t>
      </w:r>
      <w:r w:rsidR="00C43EE4">
        <w:t xml:space="preserve">Nations-focused program materials in consultation with Aboriginal and Torres Strait Islander stakeholders </w:t>
      </w:r>
      <w:sdt>
        <w:sdtPr>
          <w:id w:val="-160782626"/>
          <w:citation/>
        </w:sdtPr>
        <w:sdtContent>
          <w:r w:rsidR="00C43EE4">
            <w:fldChar w:fldCharType="begin"/>
          </w:r>
          <w:r w:rsidR="00C43EE4">
            <w:rPr>
              <w:lang w:val="en-US"/>
            </w:rPr>
            <w:instrText xml:space="preserve"> CITATION Uni25 \l 1033 </w:instrText>
          </w:r>
          <w:r w:rsidR="00C43EE4">
            <w:fldChar w:fldCharType="separate"/>
          </w:r>
          <w:r w:rsidR="008410E0" w:rsidRPr="008410E0">
            <w:rPr>
              <w:noProof/>
              <w:lang w:val="en-US"/>
            </w:rPr>
            <w:t>[25]</w:t>
          </w:r>
          <w:r w:rsidR="00C43EE4">
            <w:fldChar w:fldCharType="end"/>
          </w:r>
        </w:sdtContent>
      </w:sdt>
      <w:r w:rsidR="00C43EE4">
        <w:t xml:space="preserve">. These initiatives reflect </w:t>
      </w:r>
      <w:r w:rsidR="00E20740">
        <w:t>the</w:t>
      </w:r>
      <w:r w:rsidR="00C43EE4">
        <w:t xml:space="preserve"> </w:t>
      </w:r>
      <w:r w:rsidR="004123AC">
        <w:t>program</w:t>
      </w:r>
      <w:r w:rsidR="003863F5">
        <w:t>’</w:t>
      </w:r>
      <w:r w:rsidR="004123AC">
        <w:t>s commitment</w:t>
      </w:r>
      <w:r w:rsidR="00C43EE4">
        <w:t xml:space="preserve"> to </w:t>
      </w:r>
      <w:r w:rsidR="004123AC">
        <w:t>ensuring</w:t>
      </w:r>
      <w:r w:rsidR="00C43EE4">
        <w:t xml:space="preserve"> inclusivity for both residents and the diverse aged care workforce.</w:t>
      </w:r>
    </w:p>
    <w:p w14:paraId="7EAEED23" w14:textId="47D2BD1D" w:rsidR="00C43EE4" w:rsidRDefault="00C43EE4" w:rsidP="00C43EE4">
      <w:r>
        <w:t>Consistent with this</w:t>
      </w:r>
      <w:r w:rsidR="00ED73C7">
        <w:t xml:space="preserve"> assessment</w:t>
      </w:r>
      <w:r>
        <w:t xml:space="preserve">, </w:t>
      </w:r>
      <w:r w:rsidR="00D81946">
        <w:t xml:space="preserve">PACOP </w:t>
      </w:r>
      <w:r>
        <w:t>survey respondents</w:t>
      </w:r>
      <w:r w:rsidR="00D81946">
        <w:t xml:space="preserve"> reported </w:t>
      </w:r>
      <w:r w:rsidR="00BE7886">
        <w:t xml:space="preserve">the program </w:t>
      </w:r>
      <w:r w:rsidR="00811922">
        <w:t>was</w:t>
      </w:r>
      <w:r w:rsidR="00D81946">
        <w:t xml:space="preserve"> relevan</w:t>
      </w:r>
      <w:r w:rsidR="00811922">
        <w:t>t</w:t>
      </w:r>
      <w:r w:rsidR="00D81946">
        <w:t xml:space="preserve"> </w:t>
      </w:r>
      <w:r w:rsidR="00BE7886">
        <w:t xml:space="preserve">and </w:t>
      </w:r>
      <w:r w:rsidR="00811922">
        <w:t xml:space="preserve">applicable </w:t>
      </w:r>
      <w:r w:rsidR="00BE7886">
        <w:t xml:space="preserve">for supporting staff </w:t>
      </w:r>
      <w:r>
        <w:t>to address clinical safety and cultural considerations in palliative care delivery (</w:t>
      </w:r>
      <w:r w:rsidR="00244159">
        <w:t>technical paper, Figure</w:t>
      </w:r>
      <w:r w:rsidR="00A030FB">
        <w:t xml:space="preserve"> 8.</w:t>
      </w:r>
      <w:r w:rsidR="00A7514E">
        <w:t>1</w:t>
      </w:r>
      <w:r w:rsidR="00A030FB">
        <w:t>4</w:t>
      </w:r>
      <w:r>
        <w:t>).</w:t>
      </w:r>
    </w:p>
    <w:p w14:paraId="02D5F610" w14:textId="71FDB88A" w:rsidR="00910D5F" w:rsidRDefault="00CD4E57" w:rsidP="00910D5F">
      <w:pPr>
        <w:pStyle w:val="Findings"/>
      </w:pPr>
      <w:r>
        <w:t xml:space="preserve">PACOP incorporated mechanisms to support clinical safety and cultural responsiveness, </w:t>
      </w:r>
      <w:r w:rsidR="00D00CC9">
        <w:t xml:space="preserve">with ongoing work to strengthen </w:t>
      </w:r>
      <w:r w:rsidR="00492888">
        <w:t>cultural appropriateness and inclusivity</w:t>
      </w:r>
      <w:r>
        <w:t>.</w:t>
      </w:r>
    </w:p>
    <w:p w14:paraId="0D624705" w14:textId="77777777" w:rsidR="0045430E" w:rsidRDefault="0045430E" w:rsidP="00971810"/>
    <w:p w14:paraId="756BF7CE" w14:textId="77777777" w:rsidR="0002093A" w:rsidRPr="00971810" w:rsidRDefault="0002093A" w:rsidP="00971810"/>
    <w:p w14:paraId="318BFFFD" w14:textId="5FDE6D73" w:rsidR="00DE353D" w:rsidRDefault="00DE353D" w:rsidP="006E5597">
      <w:pPr>
        <w:pStyle w:val="Heading1"/>
        <w:framePr w:wrap="around"/>
      </w:pPr>
      <w:bookmarkStart w:id="70" w:name="_Toc232685899"/>
      <w:r>
        <w:lastRenderedPageBreak/>
        <w:t>Implementation</w:t>
      </w:r>
      <w:bookmarkEnd w:id="70"/>
    </w:p>
    <w:p w14:paraId="4909133C" w14:textId="769068C1" w:rsidR="008155FE" w:rsidRPr="008155FE" w:rsidRDefault="00596546" w:rsidP="00F95B6C">
      <w:r>
        <w:t xml:space="preserve">This chapter focuses on </w:t>
      </w:r>
      <w:r w:rsidRPr="00E072C5">
        <w:t xml:space="preserve">KEA </w:t>
      </w:r>
      <w:r w:rsidR="00772597" w:rsidRPr="00E072C5">
        <w:t>2</w:t>
      </w:r>
      <w:r w:rsidRPr="00E072C5">
        <w:t xml:space="preserve">: Implementation. </w:t>
      </w:r>
      <w:r w:rsidR="00B66567" w:rsidRPr="00E072C5">
        <w:t xml:space="preserve">The key evaluation question to be addressed </w:t>
      </w:r>
      <w:r w:rsidR="008155FE" w:rsidRPr="00E072C5">
        <w:t>is</w:t>
      </w:r>
      <w:r w:rsidR="00B66567" w:rsidRPr="00E072C5">
        <w:t>:</w:t>
      </w:r>
      <w:r w:rsidR="008155FE" w:rsidRPr="00E072C5">
        <w:t xml:space="preserve"> </w:t>
      </w:r>
      <w:r w:rsidR="008155FE" w:rsidRPr="00E072C5">
        <w:rPr>
          <w:i/>
          <w:iCs/>
        </w:rPr>
        <w:t>How (well) is the Measure being delivered?</w:t>
      </w:r>
    </w:p>
    <w:p w14:paraId="00244481" w14:textId="16B60449" w:rsidR="00696B2B" w:rsidRDefault="00696B2B" w:rsidP="00B66567">
      <w:r>
        <w:t xml:space="preserve">The questions to be addressed under </w:t>
      </w:r>
      <w:r w:rsidR="00FE53B7">
        <w:t>KEA</w:t>
      </w:r>
      <w:r w:rsidR="005542DD">
        <w:t xml:space="preserve"> 2</w:t>
      </w:r>
      <w:r>
        <w:t xml:space="preserve"> are:</w:t>
      </w:r>
    </w:p>
    <w:p w14:paraId="3EAFECA6" w14:textId="77777777" w:rsidR="002A4095" w:rsidRDefault="002A4095" w:rsidP="00EE3EB9">
      <w:pPr>
        <w:pStyle w:val="List"/>
        <w:numPr>
          <w:ilvl w:val="0"/>
          <w:numId w:val="29"/>
        </w:numPr>
      </w:pPr>
      <w:r w:rsidRPr="00BA7153">
        <w:t>To what extent was the Measure implemented and delivered as intended?</w:t>
      </w:r>
    </w:p>
    <w:p w14:paraId="681FD152" w14:textId="77777777" w:rsidR="002A4095" w:rsidRDefault="002A4095" w:rsidP="003F16BA">
      <w:pPr>
        <w:pStyle w:val="List"/>
      </w:pPr>
      <w:r w:rsidRPr="00BA7153">
        <w:t>What factors have impacted the Measure, and how (e.g. changes to funding or delivery models)?</w:t>
      </w:r>
      <w:r>
        <w:t xml:space="preserve"> H</w:t>
      </w:r>
      <w:r w:rsidRPr="00BA7153">
        <w:t>ow have the activities under the Measure changed over time?</w:t>
      </w:r>
    </w:p>
    <w:p w14:paraId="1FAB20B2" w14:textId="77777777" w:rsidR="002A4095" w:rsidRDefault="002A4095" w:rsidP="003F16BA">
      <w:pPr>
        <w:pStyle w:val="List"/>
      </w:pPr>
      <w:r w:rsidRPr="00567053">
        <w:t xml:space="preserve">What </w:t>
      </w:r>
      <w:r>
        <w:t>key strategies are</w:t>
      </w:r>
      <w:r w:rsidRPr="00567053">
        <w:t xml:space="preserve"> used to engage the aged care and primary care workforce and service providers in the funded programs?</w:t>
      </w:r>
    </w:p>
    <w:p w14:paraId="6F4D8623" w14:textId="7C7E78DC" w:rsidR="00596546" w:rsidRPr="00BF52CA" w:rsidRDefault="003F16BA" w:rsidP="00DE353D">
      <w:pPr>
        <w:pStyle w:val="List"/>
      </w:pPr>
      <w:r w:rsidRPr="00184CAA">
        <w:t xml:space="preserve">To what extent have the aged care and primary care workforce and service providers taken up palliative care education, training and quality improvement </w:t>
      </w:r>
      <w:r w:rsidRPr="00BF52CA">
        <w:t>activities through the Measure (including accessibility, attendance/engagement</w:t>
      </w:r>
      <w:r w:rsidR="006165E1" w:rsidRPr="00BF52CA">
        <w:t>,</w:t>
      </w:r>
      <w:r w:rsidRPr="00BF52CA">
        <w:t xml:space="preserve"> and drop-out rates)?</w:t>
      </w:r>
    </w:p>
    <w:p w14:paraId="74B7E675" w14:textId="156B8509" w:rsidR="004C47B9" w:rsidRPr="00BF52CA" w:rsidRDefault="004C47B9" w:rsidP="004C47B9">
      <w:pPr>
        <w:pStyle w:val="List"/>
      </w:pPr>
      <w:r w:rsidRPr="00BF52CA">
        <w:t>What are potential barriers and enablers (for aged care workers, clinicians, service providers or the health and aged care system) to accessing and completing palliative care education and training in the aged care and primary care sectors?</w:t>
      </w:r>
    </w:p>
    <w:p w14:paraId="77171AD7" w14:textId="48DF73B3" w:rsidR="00596546" w:rsidRDefault="00596546" w:rsidP="004C47B9">
      <w:pPr>
        <w:pStyle w:val="SectionTitle"/>
        <w:keepNext/>
        <w:numPr>
          <w:ilvl w:val="0"/>
          <w:numId w:val="0"/>
        </w:numPr>
        <w:ind w:left="1871" w:hanging="1871"/>
      </w:pPr>
      <w:bookmarkStart w:id="71" w:name="_Toc232685900"/>
      <w:r>
        <w:t>Analysis and findings</w:t>
      </w:r>
      <w:bookmarkEnd w:id="71"/>
    </w:p>
    <w:p w14:paraId="45B2FDB8" w14:textId="0E597353" w:rsidR="001911F4" w:rsidRDefault="001911F4" w:rsidP="001911F4">
      <w:r>
        <w:t xml:space="preserve">Evidence from </w:t>
      </w:r>
      <w:r w:rsidR="00232631">
        <w:t>s</w:t>
      </w:r>
      <w:r>
        <w:t xml:space="preserve">tages 2 (situation analysis) and 4 (data collection) </w:t>
      </w:r>
      <w:r w:rsidR="00232631">
        <w:t xml:space="preserve">of the evaluation </w:t>
      </w:r>
      <w:r w:rsidR="002570DE">
        <w:t>was</w:t>
      </w:r>
      <w:r>
        <w:t xml:space="preserve"> synthesised and presented in the sections below</w:t>
      </w:r>
      <w:r w:rsidR="00BC54DB">
        <w:t xml:space="preserve"> to address </w:t>
      </w:r>
      <w:r w:rsidR="00C343AA">
        <w:t>KEA 2</w:t>
      </w:r>
      <w:r w:rsidR="007F10EC">
        <w:t>: Implementation questions</w:t>
      </w:r>
      <w:r>
        <w:t>.</w:t>
      </w:r>
    </w:p>
    <w:p w14:paraId="60D1D776" w14:textId="77777777" w:rsidR="00653376" w:rsidRDefault="00653376" w:rsidP="00653376">
      <w:pPr>
        <w:pStyle w:val="Heading2"/>
      </w:pPr>
      <w:bookmarkStart w:id="72" w:name="_Toc232685901"/>
      <w:r>
        <w:t>Implementation of the Measure</w:t>
      </w:r>
      <w:bookmarkEnd w:id="72"/>
    </w:p>
    <w:p w14:paraId="2155EC1D" w14:textId="1CF3633E" w:rsidR="004B77A0" w:rsidRDefault="00D4189D" w:rsidP="004757BB">
      <w:r>
        <w:t xml:space="preserve">The Measure was largely implemented as intended. </w:t>
      </w:r>
      <w:r w:rsidR="00F87724">
        <w:t xml:space="preserve">The </w:t>
      </w:r>
      <w:r w:rsidR="000A3B4D">
        <w:t>Australian Government</w:t>
      </w:r>
      <w:r w:rsidR="00F87724">
        <w:t xml:space="preserve"> contracted QUT to deliver PEPA Aged Care and the University of Wollongong to deliver PACOP under</w:t>
      </w:r>
      <w:r w:rsidR="00410114">
        <w:t xml:space="preserve"> the Measure</w:t>
      </w:r>
      <w:r w:rsidR="007F5057">
        <w:t xml:space="preserve"> as planned,</w:t>
      </w:r>
      <w:r w:rsidR="00410114">
        <w:t xml:space="preserve"> via</w:t>
      </w:r>
      <w:r w:rsidR="00F87724">
        <w:t xml:space="preserve"> Commonwealth Standard Grant Agreements. </w:t>
      </w:r>
      <w:r w:rsidR="004B77A0" w:rsidRPr="004B77A0">
        <w:t xml:space="preserve">While there was a </w:t>
      </w:r>
      <w:r w:rsidR="006E24BF">
        <w:t>minor</w:t>
      </w:r>
      <w:r w:rsidR="006E24BF" w:rsidRPr="004B77A0">
        <w:t xml:space="preserve"> </w:t>
      </w:r>
      <w:r w:rsidR="004B77A0" w:rsidRPr="004B77A0">
        <w:t>initial delay in finali</w:t>
      </w:r>
      <w:r w:rsidR="004B77A0">
        <w:t>s</w:t>
      </w:r>
      <w:r w:rsidR="004B77A0" w:rsidRPr="004B77A0">
        <w:t xml:space="preserve">ing </w:t>
      </w:r>
      <w:r w:rsidR="004757BB">
        <w:t>both</w:t>
      </w:r>
      <w:r w:rsidR="004B77A0" w:rsidRPr="004B77A0">
        <w:t xml:space="preserve"> agreements </w:t>
      </w:r>
      <w:r w:rsidR="004757BB">
        <w:t>due</w:t>
      </w:r>
      <w:r w:rsidR="004B77A0" w:rsidRPr="004B77A0">
        <w:t xml:space="preserve"> to standard government grant processes</w:t>
      </w:r>
      <w:r w:rsidR="000F4805">
        <w:t xml:space="preserve">, </w:t>
      </w:r>
      <w:r w:rsidR="004B77A0" w:rsidRPr="004B77A0">
        <w:t>neither organ</w:t>
      </w:r>
      <w:r w:rsidR="000F4805">
        <w:t>is</w:t>
      </w:r>
      <w:r w:rsidR="004B77A0" w:rsidRPr="004B77A0">
        <w:t xml:space="preserve">ation reported </w:t>
      </w:r>
      <w:r w:rsidR="006E24BF">
        <w:t>that this delay</w:t>
      </w:r>
      <w:r w:rsidR="00CC6759">
        <w:t xml:space="preserve"> had a material</w:t>
      </w:r>
      <w:r w:rsidR="004B77A0" w:rsidRPr="004B77A0">
        <w:t xml:space="preserve"> impact on subsequent milestones or the delivery of core activities. A similar contracting delay occurred when additional funding was confirmed in the 2024–25 Budget to extend the Measure</w:t>
      </w:r>
      <w:r w:rsidR="00D95367">
        <w:t xml:space="preserve">. This </w:t>
      </w:r>
      <w:r w:rsidR="004B77A0" w:rsidRPr="004B77A0">
        <w:t>was managed through Deeds of Variation until new agreements were finali</w:t>
      </w:r>
      <w:r w:rsidR="000F4805">
        <w:t>s</w:t>
      </w:r>
      <w:r w:rsidR="004B77A0" w:rsidRPr="004B77A0">
        <w:t>ed</w:t>
      </w:r>
      <w:r w:rsidR="000F4805">
        <w:t>.</w:t>
      </w:r>
    </w:p>
    <w:p w14:paraId="6F3460A0" w14:textId="0063565B" w:rsidR="00FF049D" w:rsidRDefault="006452ED" w:rsidP="00FF049D">
      <w:r>
        <w:rPr>
          <w:lang w:val="en-US"/>
        </w:rPr>
        <w:t xml:space="preserve">According to key </w:t>
      </w:r>
      <w:r w:rsidR="00DA0BE9">
        <w:rPr>
          <w:lang w:val="en-US"/>
        </w:rPr>
        <w:t>governmental</w:t>
      </w:r>
      <w:r w:rsidR="00D23B98">
        <w:rPr>
          <w:lang w:val="en-US"/>
        </w:rPr>
        <w:t xml:space="preserve"> </w:t>
      </w:r>
      <w:r>
        <w:rPr>
          <w:lang w:val="en-US"/>
        </w:rPr>
        <w:t xml:space="preserve">stakeholders, the </w:t>
      </w:r>
      <w:r w:rsidR="00A31E73">
        <w:rPr>
          <w:lang w:val="en-US"/>
        </w:rPr>
        <w:t>Measure</w:t>
      </w:r>
      <w:r w:rsidR="0027498C">
        <w:rPr>
          <w:lang w:val="en-US"/>
        </w:rPr>
        <w:t xml:space="preserve"> and </w:t>
      </w:r>
      <w:r w:rsidR="00291E77">
        <w:rPr>
          <w:lang w:val="en-US"/>
        </w:rPr>
        <w:t xml:space="preserve">its </w:t>
      </w:r>
      <w:r w:rsidR="0027498C">
        <w:rPr>
          <w:lang w:val="en-US"/>
        </w:rPr>
        <w:t>two activities</w:t>
      </w:r>
      <w:r w:rsidR="00291E77">
        <w:rPr>
          <w:lang w:val="en-US"/>
        </w:rPr>
        <w:t>, PEPA Aged Care and PACOP,</w:t>
      </w:r>
      <w:r w:rsidR="00A31E73">
        <w:rPr>
          <w:lang w:val="en-US"/>
        </w:rPr>
        <w:t xml:space="preserve"> </w:t>
      </w:r>
      <w:r w:rsidR="00D23B98">
        <w:rPr>
          <w:lang w:val="en-US"/>
        </w:rPr>
        <w:t xml:space="preserve">aligned with </w:t>
      </w:r>
      <w:r w:rsidR="00DA2425">
        <w:rPr>
          <w:lang w:val="en-US"/>
        </w:rPr>
        <w:t>planned objective</w:t>
      </w:r>
      <w:r w:rsidR="00160950">
        <w:rPr>
          <w:lang w:val="en-US"/>
        </w:rPr>
        <w:t>s</w:t>
      </w:r>
      <w:r w:rsidR="0027498C">
        <w:rPr>
          <w:lang w:val="en-US"/>
        </w:rPr>
        <w:t xml:space="preserve"> and initial intentions</w:t>
      </w:r>
      <w:r w:rsidR="00160950">
        <w:rPr>
          <w:lang w:val="en-US"/>
        </w:rPr>
        <w:t xml:space="preserve">. </w:t>
      </w:r>
      <w:r w:rsidR="000F4805" w:rsidRPr="000F4805">
        <w:t>Implementation was generally considered successful, with a key enabler being the ability to leverage the established credibility, evidence base, and infrastructure of the p</w:t>
      </w:r>
      <w:r w:rsidR="00E70A6D">
        <w:t>recursor</w:t>
      </w:r>
      <w:r w:rsidR="000F4805" w:rsidRPr="000F4805">
        <w:t xml:space="preserve"> programs (PEPA and PCOC). This </w:t>
      </w:r>
      <w:r w:rsidR="00E70A6D">
        <w:t xml:space="preserve">approach was perceived to </w:t>
      </w:r>
      <w:r w:rsidR="000F4805" w:rsidRPr="000F4805">
        <w:t>significantly reduce lead time, particularly for PEPA Aged Care. While PACOP required further adaptation for the residential aged care context</w:t>
      </w:r>
      <w:r w:rsidR="003C2B94">
        <w:t xml:space="preserve"> during initial implementation</w:t>
      </w:r>
      <w:r w:rsidR="000F4805" w:rsidRPr="000F4805">
        <w:t>,</w:t>
      </w:r>
      <w:r w:rsidR="00B869D1">
        <w:t xml:space="preserve"> the program</w:t>
      </w:r>
      <w:r w:rsidR="000F4805" w:rsidRPr="000F4805">
        <w:t xml:space="preserve"> </w:t>
      </w:r>
      <w:r w:rsidR="00FE08CC">
        <w:t xml:space="preserve">reportedly </w:t>
      </w:r>
      <w:r w:rsidR="000F4805" w:rsidRPr="000F4805">
        <w:t xml:space="preserve">still benefited from </w:t>
      </w:r>
      <w:r w:rsidR="005821D4">
        <w:t>PCOC</w:t>
      </w:r>
      <w:r w:rsidR="003863F5">
        <w:t>’</w:t>
      </w:r>
      <w:r w:rsidR="005821D4">
        <w:t>s foundational work and learnings</w:t>
      </w:r>
      <w:r w:rsidR="00FF049D">
        <w:t>.</w:t>
      </w:r>
    </w:p>
    <w:p w14:paraId="65872A9B" w14:textId="0A777FD8" w:rsidR="00A57768" w:rsidRDefault="00FF049D" w:rsidP="0046246F">
      <w:pPr>
        <w:pStyle w:val="Quote"/>
        <w:rPr>
          <w:lang w:val="en-US"/>
        </w:rPr>
      </w:pPr>
      <w:r>
        <w:t>T</w:t>
      </w:r>
      <w:r w:rsidRPr="00D85E81">
        <w:t>hey</w:t>
      </w:r>
      <w:r w:rsidR="003863F5">
        <w:t>’</w:t>
      </w:r>
      <w:r w:rsidRPr="00D85E81">
        <w:t>ve really leveraged off the existing programs, PEPA and PCOC. That</w:t>
      </w:r>
      <w:r w:rsidR="003863F5">
        <w:t>’</w:t>
      </w:r>
      <w:r w:rsidRPr="00D85E81">
        <w:t>s really impacted positively.</w:t>
      </w:r>
      <w:r>
        <w:t xml:space="preserve"> E</w:t>
      </w:r>
      <w:r w:rsidRPr="00AE6EE9">
        <w:t>xpanding existing established activities was certainly a good thing</w:t>
      </w:r>
      <w:r>
        <w:t xml:space="preserve"> and allowed them to hit the ground running a lot faster</w:t>
      </w:r>
      <w:r w:rsidRPr="00AE6EE9">
        <w:t>.</w:t>
      </w:r>
      <w:r>
        <w:t xml:space="preserve"> – </w:t>
      </w:r>
      <w:r w:rsidR="0046246F">
        <w:t>Government stakeholder</w:t>
      </w:r>
    </w:p>
    <w:p w14:paraId="3BE37970" w14:textId="2E85EE06" w:rsidR="008124A9" w:rsidRDefault="00643215" w:rsidP="008124A9">
      <w:pPr>
        <w:pStyle w:val="Findings"/>
        <w:rPr>
          <w:lang w:val="en-US"/>
        </w:rPr>
      </w:pPr>
      <w:r>
        <w:rPr>
          <w:lang w:val="en-US"/>
        </w:rPr>
        <w:lastRenderedPageBreak/>
        <w:t xml:space="preserve">The </w:t>
      </w:r>
      <w:r w:rsidR="0017553A">
        <w:rPr>
          <w:lang w:val="en-US"/>
        </w:rPr>
        <w:t>M</w:t>
      </w:r>
      <w:r>
        <w:rPr>
          <w:lang w:val="en-US"/>
        </w:rPr>
        <w:t xml:space="preserve">easure was largely implemented as intended, with only minor </w:t>
      </w:r>
      <w:r w:rsidR="00F17363">
        <w:rPr>
          <w:lang w:val="en-US"/>
        </w:rPr>
        <w:t>contracting delays that did not significantly affect the delivery of core activities</w:t>
      </w:r>
      <w:r w:rsidR="0017553A">
        <w:rPr>
          <w:lang w:val="en-US"/>
        </w:rPr>
        <w:t>.</w:t>
      </w:r>
      <w:r w:rsidR="00A31C4D">
        <w:rPr>
          <w:lang w:val="en-US"/>
        </w:rPr>
        <w:t xml:space="preserve"> Leveraging the established infrastructure and credibility of the </w:t>
      </w:r>
      <w:r w:rsidR="00D53EA2">
        <w:rPr>
          <w:lang w:val="en-US"/>
        </w:rPr>
        <w:t>programs</w:t>
      </w:r>
      <w:r w:rsidR="003863F5">
        <w:rPr>
          <w:lang w:val="en-US"/>
        </w:rPr>
        <w:t>’</w:t>
      </w:r>
      <w:r w:rsidR="00D53EA2">
        <w:rPr>
          <w:lang w:val="en-US"/>
        </w:rPr>
        <w:t xml:space="preserve"> precursors </w:t>
      </w:r>
      <w:r w:rsidR="00F306F6">
        <w:rPr>
          <w:lang w:val="en-US"/>
        </w:rPr>
        <w:t xml:space="preserve">(PEPA and PCOC) </w:t>
      </w:r>
      <w:r w:rsidR="00D15D96">
        <w:rPr>
          <w:lang w:val="en-US"/>
        </w:rPr>
        <w:t xml:space="preserve">was perceived by stakeholders as </w:t>
      </w:r>
      <w:r w:rsidR="002A1870">
        <w:rPr>
          <w:lang w:val="en-US"/>
        </w:rPr>
        <w:t>enabl</w:t>
      </w:r>
      <w:r w:rsidR="00D15D96">
        <w:rPr>
          <w:lang w:val="en-US"/>
        </w:rPr>
        <w:t xml:space="preserve">ing more </w:t>
      </w:r>
      <w:r w:rsidR="00E4407B">
        <w:rPr>
          <w:lang w:val="en-US"/>
        </w:rPr>
        <w:t>streamlined implementation</w:t>
      </w:r>
      <w:r w:rsidR="00A45409">
        <w:rPr>
          <w:lang w:val="en-US"/>
        </w:rPr>
        <w:t>.</w:t>
      </w:r>
    </w:p>
    <w:p w14:paraId="61731BFC" w14:textId="1287EDD1" w:rsidR="006562B3" w:rsidRDefault="006562B3" w:rsidP="002A5595">
      <w:pPr>
        <w:pStyle w:val="Heading2"/>
        <w:rPr>
          <w:lang w:val="en-US"/>
        </w:rPr>
      </w:pPr>
      <w:bookmarkStart w:id="73" w:name="_Toc232685902"/>
      <w:r>
        <w:rPr>
          <w:lang w:val="en-US"/>
        </w:rPr>
        <w:t xml:space="preserve">Implementation of </w:t>
      </w:r>
      <w:r w:rsidR="002A5595">
        <w:rPr>
          <w:lang w:val="en-US"/>
        </w:rPr>
        <w:t>PEPA Aged Care</w:t>
      </w:r>
      <w:bookmarkEnd w:id="73"/>
    </w:p>
    <w:p w14:paraId="5BF25D60" w14:textId="43D86A5A" w:rsidR="00C3247D" w:rsidRPr="00C3247D" w:rsidRDefault="00C3247D" w:rsidP="00C3247D">
      <w:pPr>
        <w:rPr>
          <w:lang w:val="en-US"/>
        </w:rPr>
      </w:pPr>
      <w:r>
        <w:rPr>
          <w:lang w:val="en-US"/>
        </w:rPr>
        <w:t>This section</w:t>
      </w:r>
      <w:r w:rsidR="008C11C7">
        <w:rPr>
          <w:lang w:val="en-US"/>
        </w:rPr>
        <w:t xml:space="preserve"> examines the implementation of PEPA Aged Care, including the extent to which planned activities were delivered as intended</w:t>
      </w:r>
      <w:r w:rsidR="00E9285E">
        <w:rPr>
          <w:lang w:val="en-US"/>
        </w:rPr>
        <w:t xml:space="preserve">, </w:t>
      </w:r>
      <w:r w:rsidR="003452F5">
        <w:rPr>
          <w:lang w:val="en-US"/>
        </w:rPr>
        <w:t>the factors that impacted</w:t>
      </w:r>
      <w:r w:rsidR="00E9285E">
        <w:rPr>
          <w:lang w:val="en-US"/>
        </w:rPr>
        <w:t xml:space="preserve"> delivery,</w:t>
      </w:r>
      <w:r w:rsidR="00375365">
        <w:rPr>
          <w:lang w:val="en-US"/>
        </w:rPr>
        <w:t xml:space="preserve"> engagement strategies,</w:t>
      </w:r>
      <w:r w:rsidR="00E9285E">
        <w:rPr>
          <w:lang w:val="en-US"/>
        </w:rPr>
        <w:t xml:space="preserve"> and program uptake.</w:t>
      </w:r>
    </w:p>
    <w:p w14:paraId="5C67C5DB" w14:textId="68938D03" w:rsidR="00C3247D" w:rsidRPr="00C3247D" w:rsidRDefault="00C3247D" w:rsidP="00C3247D">
      <w:pPr>
        <w:pStyle w:val="Heading3"/>
        <w:rPr>
          <w:lang w:val="en-US"/>
        </w:rPr>
      </w:pPr>
      <w:bookmarkStart w:id="74" w:name="_Toc232685903"/>
      <w:r>
        <w:rPr>
          <w:lang w:val="en-US"/>
        </w:rPr>
        <w:t>Delivery of planned activities</w:t>
      </w:r>
      <w:r w:rsidR="00D976C1">
        <w:rPr>
          <w:lang w:val="en-US"/>
        </w:rPr>
        <w:t xml:space="preserve"> and outputs</w:t>
      </w:r>
      <w:bookmarkEnd w:id="74"/>
    </w:p>
    <w:p w14:paraId="51FC404A" w14:textId="52DDD40A" w:rsidR="00B74987" w:rsidRDefault="00B74987" w:rsidP="00530AE3">
      <w:r>
        <w:t xml:space="preserve">Grant activity to </w:t>
      </w:r>
      <w:r w:rsidR="008458E4">
        <w:t xml:space="preserve">deliver PEPA Aged Care </w:t>
      </w:r>
      <w:r w:rsidR="009839B8">
        <w:t xml:space="preserve">was underpinned by Activity Work Plans. These articulated </w:t>
      </w:r>
      <w:r w:rsidR="00303A14">
        <w:t xml:space="preserve">the </w:t>
      </w:r>
      <w:r w:rsidR="00F255D8">
        <w:t xml:space="preserve">planned </w:t>
      </w:r>
      <w:r w:rsidR="00730233">
        <w:t xml:space="preserve">activities </w:t>
      </w:r>
      <w:r w:rsidR="002141F2">
        <w:t>for implementing and delivering</w:t>
      </w:r>
      <w:r w:rsidR="00730233">
        <w:t xml:space="preserve"> the program, as well as </w:t>
      </w:r>
      <w:r w:rsidR="009839B8">
        <w:t xml:space="preserve">the </w:t>
      </w:r>
      <w:r w:rsidR="009C1DAA">
        <w:t xml:space="preserve">established </w:t>
      </w:r>
      <w:r w:rsidR="009839B8">
        <w:t>performance indicators and targets</w:t>
      </w:r>
      <w:r w:rsidR="00730233">
        <w:t xml:space="preserve">. </w:t>
      </w:r>
      <w:r w:rsidR="009C1DAA">
        <w:t>QUT submitted</w:t>
      </w:r>
      <w:r w:rsidR="009839B8">
        <w:t xml:space="preserve"> </w:t>
      </w:r>
      <w:r w:rsidR="00F255D8">
        <w:t>biannual performance reports to the Department</w:t>
      </w:r>
      <w:r w:rsidR="00303A14">
        <w:t xml:space="preserve"> outlining progress against planned activities and targets</w:t>
      </w:r>
      <w:r w:rsidR="00775BA6">
        <w:t>, as per contractual requirements</w:t>
      </w:r>
      <w:r w:rsidR="00F255D8">
        <w:t>.</w:t>
      </w:r>
    </w:p>
    <w:p w14:paraId="08FDAEE2" w14:textId="7DF4C837" w:rsidR="004467BF" w:rsidRDefault="00076056" w:rsidP="00530AE3">
      <w:r>
        <w:t xml:space="preserve">QUT </w:t>
      </w:r>
      <w:r w:rsidR="00B356AB">
        <w:t>completed</w:t>
      </w:r>
      <w:r>
        <w:t xml:space="preserve"> </w:t>
      </w:r>
      <w:r w:rsidR="00500A29">
        <w:t>all activities outlined in the initial Activity Work Plan for PEPA Aged Care</w:t>
      </w:r>
      <w:r w:rsidR="00926F35">
        <w:t xml:space="preserve"> (20</w:t>
      </w:r>
      <w:r w:rsidR="00883896">
        <w:t>21–22 to 2023–24)</w:t>
      </w:r>
      <w:r w:rsidR="002251F0">
        <w:t xml:space="preserve"> and </w:t>
      </w:r>
      <w:r w:rsidR="00F038BC">
        <w:t>was</w:t>
      </w:r>
      <w:r w:rsidR="00AC574C">
        <w:t xml:space="preserve"> on track to</w:t>
      </w:r>
      <w:r w:rsidR="00B356AB">
        <w:t xml:space="preserve"> deliver </w:t>
      </w:r>
      <w:r w:rsidR="002251F0">
        <w:t xml:space="preserve">planned </w:t>
      </w:r>
      <w:r w:rsidR="00DB726C">
        <w:t xml:space="preserve">activities </w:t>
      </w:r>
      <w:r w:rsidR="008F3F6B">
        <w:t>under the program</w:t>
      </w:r>
      <w:r w:rsidR="003863F5">
        <w:t>’</w:t>
      </w:r>
      <w:r w:rsidR="008F3F6B">
        <w:t>s extension</w:t>
      </w:r>
      <w:r w:rsidR="00421C68">
        <w:t xml:space="preserve"> (</w:t>
      </w:r>
      <w:r w:rsidR="004467BF">
        <w:t xml:space="preserve">2024–25 to 2025–26). This </w:t>
      </w:r>
      <w:r w:rsidR="00393192">
        <w:t>suggests</w:t>
      </w:r>
      <w:r w:rsidR="00011F39">
        <w:t xml:space="preserve"> </w:t>
      </w:r>
      <w:r w:rsidR="0063550A">
        <w:t>effective</w:t>
      </w:r>
      <w:r w:rsidR="00757D92">
        <w:t xml:space="preserve"> program</w:t>
      </w:r>
      <w:r w:rsidR="0063550A">
        <w:t xml:space="preserve"> planning and </w:t>
      </w:r>
      <w:r w:rsidR="004067C9">
        <w:t>implementation</w:t>
      </w:r>
      <w:r w:rsidR="00D472C2">
        <w:t>.</w:t>
      </w:r>
    </w:p>
    <w:p w14:paraId="248818A9" w14:textId="3CEFB092" w:rsidR="00DC46E2" w:rsidRDefault="005C6339" w:rsidP="00530AE3">
      <w:r>
        <w:t xml:space="preserve">Across the evaluation period, </w:t>
      </w:r>
      <w:r w:rsidR="00410BC9">
        <w:t>the program performed strongly</w:t>
      </w:r>
      <w:r w:rsidR="007E132A">
        <w:t xml:space="preserve"> against </w:t>
      </w:r>
      <w:r w:rsidR="00672297">
        <w:t>four of five</w:t>
      </w:r>
      <w:r w:rsidR="007E132A">
        <w:t xml:space="preserve"> </w:t>
      </w:r>
      <w:r w:rsidR="00410BC9">
        <w:t>key</w:t>
      </w:r>
      <w:r w:rsidR="007E132A">
        <w:t xml:space="preserve"> performance indicators </w:t>
      </w:r>
      <w:r w:rsidR="0066026A">
        <w:t>(</w:t>
      </w:r>
      <w:r w:rsidR="00AD5692">
        <w:fldChar w:fldCharType="begin"/>
      </w:r>
      <w:r w:rsidR="00AD5692">
        <w:instrText xml:space="preserve"> REF _Ref214953648 \h </w:instrText>
      </w:r>
      <w:r w:rsidR="00AD5692">
        <w:fldChar w:fldCharType="separate"/>
      </w:r>
      <w:r w:rsidR="00167BA0">
        <w:t xml:space="preserve">Table </w:t>
      </w:r>
      <w:r w:rsidR="00167BA0">
        <w:rPr>
          <w:noProof/>
        </w:rPr>
        <w:t>9</w:t>
      </w:r>
      <w:r w:rsidR="00167BA0">
        <w:t>.</w:t>
      </w:r>
      <w:r w:rsidR="00167BA0">
        <w:rPr>
          <w:noProof/>
        </w:rPr>
        <w:t>4</w:t>
      </w:r>
      <w:r w:rsidR="00AD5692">
        <w:fldChar w:fldCharType="end"/>
      </w:r>
      <w:r w:rsidR="00AD5692">
        <w:t xml:space="preserve">, </w:t>
      </w:r>
      <w:r w:rsidR="00AD5692">
        <w:fldChar w:fldCharType="begin"/>
      </w:r>
      <w:r w:rsidR="00AD5692">
        <w:instrText xml:space="preserve"> REF _Ref214614002 \n \h </w:instrText>
      </w:r>
      <w:r w:rsidR="00AD5692">
        <w:fldChar w:fldCharType="separate"/>
      </w:r>
      <w:r w:rsidR="00167BA0">
        <w:t>Appendix C</w:t>
      </w:r>
      <w:r w:rsidR="00AD5692">
        <w:fldChar w:fldCharType="end"/>
      </w:r>
      <w:r w:rsidR="00AD5692">
        <w:t>)</w:t>
      </w:r>
      <w:r w:rsidR="00B03185">
        <w:t>. Cumulative targets for the number of participating sites</w:t>
      </w:r>
      <w:r w:rsidR="002251F0">
        <w:t xml:space="preserve">, </w:t>
      </w:r>
      <w:r w:rsidR="00A70DBE">
        <w:t>reverse placement participants, education days delivered</w:t>
      </w:r>
      <w:r w:rsidR="002478FC">
        <w:t xml:space="preserve">, and registered nurses acting as </w:t>
      </w:r>
      <w:proofErr w:type="gramStart"/>
      <w:r w:rsidR="00DC3D74">
        <w:t>mentors</w:t>
      </w:r>
      <w:proofErr w:type="gramEnd"/>
      <w:r w:rsidR="00721993">
        <w:t xml:space="preserve"> post-placement</w:t>
      </w:r>
      <w:r w:rsidR="00A70DBE">
        <w:t xml:space="preserve"> were all exceeded</w:t>
      </w:r>
      <w:r w:rsidR="000666FA">
        <w:t xml:space="preserve"> by 30 June 2025</w:t>
      </w:r>
      <w:r w:rsidR="0017751B">
        <w:t>, demonstrating</w:t>
      </w:r>
      <w:r w:rsidR="00B837F4">
        <w:t xml:space="preserve"> both </w:t>
      </w:r>
      <w:r w:rsidR="00636194">
        <w:t>demand for the program and</w:t>
      </w:r>
      <w:r w:rsidR="0017751B">
        <w:t xml:space="preserve"> </w:t>
      </w:r>
      <w:r w:rsidR="00721993">
        <w:t>effective</w:t>
      </w:r>
      <w:r w:rsidR="00636194">
        <w:t xml:space="preserve"> </w:t>
      </w:r>
      <w:r w:rsidR="00721993">
        <w:t>delivery</w:t>
      </w:r>
      <w:r w:rsidR="00253DA3">
        <w:t xml:space="preserve"> against output-based measures</w:t>
      </w:r>
      <w:r w:rsidR="00B67B10">
        <w:t>.</w:t>
      </w:r>
    </w:p>
    <w:p w14:paraId="59B81755" w14:textId="210FA7AB" w:rsidR="005600EB" w:rsidRDefault="00177CF0" w:rsidP="00DC46E2">
      <w:r>
        <w:t>However,</w:t>
      </w:r>
      <w:r w:rsidR="005330F5">
        <w:t xml:space="preserve"> </w:t>
      </w:r>
      <w:r w:rsidR="0097137E">
        <w:t xml:space="preserve">the </w:t>
      </w:r>
      <w:r w:rsidR="00647A74">
        <w:t xml:space="preserve">cumulative </w:t>
      </w:r>
      <w:r w:rsidR="00421D12">
        <w:t>target</w:t>
      </w:r>
      <w:r w:rsidR="005330F5">
        <w:t xml:space="preserve"> </w:t>
      </w:r>
      <w:r w:rsidR="00DC3D74">
        <w:t xml:space="preserve">for post-placement service improvement plans was not </w:t>
      </w:r>
      <w:r w:rsidR="00253DA3">
        <w:t xml:space="preserve">fully achieved </w:t>
      </w:r>
      <w:r w:rsidR="00DC3D74">
        <w:t xml:space="preserve">by 30 June 2025, with 84% of the overall target </w:t>
      </w:r>
      <w:r w:rsidR="00253DA3">
        <w:t>met</w:t>
      </w:r>
      <w:r>
        <w:t>.</w:t>
      </w:r>
      <w:r w:rsidR="00D65387">
        <w:t xml:space="preserve"> </w:t>
      </w:r>
      <w:r w:rsidR="008F2C83">
        <w:t>These plans were a key mechanism for translating reverse PEPA Aged Care placement learning outcomes into practice</w:t>
      </w:r>
      <w:r w:rsidR="00DF439C">
        <w:t>; however</w:t>
      </w:r>
      <w:r w:rsidR="006C27AD">
        <w:t xml:space="preserve">, six-monthly targets were </w:t>
      </w:r>
      <w:r w:rsidR="00AC1829">
        <w:t>met</w:t>
      </w:r>
      <w:r w:rsidR="006C27AD">
        <w:t xml:space="preserve"> in only two of seven reporting periods</w:t>
      </w:r>
      <w:r w:rsidR="007479D5">
        <w:t>, suggesting</w:t>
      </w:r>
      <w:r w:rsidR="00924C2A">
        <w:t xml:space="preserve"> challenges in </w:t>
      </w:r>
      <w:r w:rsidR="00DC4CF9">
        <w:t>sustaining site engagement</w:t>
      </w:r>
      <w:r w:rsidR="007479D5">
        <w:t>.</w:t>
      </w:r>
      <w:r w:rsidR="00ED5D52">
        <w:t xml:space="preserve"> </w:t>
      </w:r>
      <w:r w:rsidR="009A5923">
        <w:t>L</w:t>
      </w:r>
      <w:r w:rsidR="00906D66">
        <w:t xml:space="preserve">ower performance against this </w:t>
      </w:r>
      <w:r w:rsidR="009A5923">
        <w:t>indicator</w:t>
      </w:r>
      <w:r w:rsidR="00C830E5">
        <w:t xml:space="preserve"> was attributed</w:t>
      </w:r>
      <w:r w:rsidR="00906D66">
        <w:t xml:space="preserve"> to </w:t>
      </w:r>
      <w:r w:rsidR="00D81C8A">
        <w:t>competing priorities and operational pressures</w:t>
      </w:r>
      <w:r w:rsidR="002A4CAD">
        <w:t xml:space="preserve"> within participating sites</w:t>
      </w:r>
      <w:r w:rsidR="00A97FBC">
        <w:t xml:space="preserve">. </w:t>
      </w:r>
      <w:r w:rsidR="0082680A">
        <w:t>While</w:t>
      </w:r>
      <w:r w:rsidR="00016290">
        <w:t xml:space="preserve"> </w:t>
      </w:r>
      <w:r w:rsidR="00166BC0">
        <w:t>PEPA Aged Care</w:t>
      </w:r>
      <w:r w:rsidR="00016290">
        <w:t xml:space="preserve"> nurse educators provide</w:t>
      </w:r>
      <w:r w:rsidR="0082680A">
        <w:t>d</w:t>
      </w:r>
      <w:r w:rsidR="00016290">
        <w:t xml:space="preserve"> informal support to sites for several months </w:t>
      </w:r>
      <w:r w:rsidR="00D36312">
        <w:t>post-</w:t>
      </w:r>
      <w:r w:rsidR="00016290">
        <w:t xml:space="preserve">placement, </w:t>
      </w:r>
      <w:r w:rsidR="000A279C">
        <w:t xml:space="preserve">the lower completion rate suggests that </w:t>
      </w:r>
      <w:r w:rsidR="00D36312">
        <w:t>more</w:t>
      </w:r>
      <w:r w:rsidR="009030FF">
        <w:t xml:space="preserve"> </w:t>
      </w:r>
      <w:r w:rsidR="005600EB">
        <w:t xml:space="preserve">structured follow-up </w:t>
      </w:r>
      <w:r w:rsidR="003E20B5">
        <w:t xml:space="preserve">or mentoring </w:t>
      </w:r>
      <w:r w:rsidR="00016290">
        <w:t xml:space="preserve">may be </w:t>
      </w:r>
      <w:r w:rsidR="00982D9A">
        <w:t>needed</w:t>
      </w:r>
      <w:r w:rsidR="009030FF">
        <w:t xml:space="preserve"> </w:t>
      </w:r>
      <w:r w:rsidR="005600EB">
        <w:t xml:space="preserve">to </w:t>
      </w:r>
      <w:r w:rsidR="00F44704">
        <w:t xml:space="preserve">strengthen </w:t>
      </w:r>
      <w:r w:rsidR="005600EB">
        <w:t>knowledge translation.</w:t>
      </w:r>
    </w:p>
    <w:p w14:paraId="6068344A" w14:textId="70A00124" w:rsidR="000F6CEA" w:rsidRDefault="000F6CEA" w:rsidP="000F6CEA">
      <w:r>
        <w:t>Despite strong</w:t>
      </w:r>
      <w:r w:rsidR="009F06D0">
        <w:t xml:space="preserve"> </w:t>
      </w:r>
      <w:r w:rsidR="00913E3B">
        <w:t xml:space="preserve">overall delivery, </w:t>
      </w:r>
      <w:r w:rsidR="002B2A72">
        <w:t xml:space="preserve">QUT identified </w:t>
      </w:r>
      <w:r w:rsidR="00913E3B">
        <w:t xml:space="preserve">several </w:t>
      </w:r>
      <w:r w:rsidR="00FB245A">
        <w:t>key</w:t>
      </w:r>
      <w:r w:rsidR="00913E3B">
        <w:t xml:space="preserve"> challenges that </w:t>
      </w:r>
      <w:r w:rsidR="00A879C2">
        <w:t xml:space="preserve">influenced </w:t>
      </w:r>
      <w:r w:rsidR="00913E3B">
        <w:t>program implementation</w:t>
      </w:r>
      <w:r>
        <w:t xml:space="preserve">. </w:t>
      </w:r>
      <w:r w:rsidR="008C2F14">
        <w:t>T</w:t>
      </w:r>
      <w:r w:rsidR="008C2F14" w:rsidRPr="008C2F14">
        <w:t xml:space="preserve">he COVID-19 pandemic </w:t>
      </w:r>
      <w:r w:rsidR="00107F71">
        <w:t>initially disrupted</w:t>
      </w:r>
      <w:r w:rsidR="008C2F14" w:rsidRPr="008C2F14">
        <w:t xml:space="preserve"> provider capacity to release staff for training and required a rapid </w:t>
      </w:r>
      <w:r w:rsidR="00107F71">
        <w:t>transition</w:t>
      </w:r>
      <w:r w:rsidR="008C2F14" w:rsidRPr="008C2F14">
        <w:t xml:space="preserve"> to online and hybrid </w:t>
      </w:r>
      <w:r w:rsidR="00107F71">
        <w:t xml:space="preserve">delivery </w:t>
      </w:r>
      <w:r w:rsidR="008C2F14" w:rsidRPr="008C2F14">
        <w:t xml:space="preserve">formats. </w:t>
      </w:r>
      <w:r w:rsidR="00107F71">
        <w:t>Ongoing</w:t>
      </w:r>
      <w:r w:rsidR="008C2F14" w:rsidRPr="008C2F14">
        <w:t xml:space="preserve"> </w:t>
      </w:r>
      <w:r w:rsidR="00C578CA">
        <w:t xml:space="preserve">aged care </w:t>
      </w:r>
      <w:r w:rsidR="008C2F14" w:rsidRPr="008C2F14">
        <w:t xml:space="preserve">workforce shortages </w:t>
      </w:r>
      <w:r w:rsidR="00545924">
        <w:t>contributed</w:t>
      </w:r>
      <w:r w:rsidR="008C2F14" w:rsidRPr="008C2F14">
        <w:t xml:space="preserve"> to placement </w:t>
      </w:r>
      <w:r w:rsidR="00545924">
        <w:t xml:space="preserve">delays and </w:t>
      </w:r>
      <w:r w:rsidR="008C2F14" w:rsidRPr="008C2F14">
        <w:t>cancellations</w:t>
      </w:r>
      <w:r w:rsidR="00545924">
        <w:t>, while e</w:t>
      </w:r>
      <w:r w:rsidR="001E2B22" w:rsidRPr="001E2B22">
        <w:t xml:space="preserve">nsuring </w:t>
      </w:r>
      <w:r w:rsidR="0028048C">
        <w:t>adequate</w:t>
      </w:r>
      <w:r w:rsidR="001E2B22" w:rsidRPr="001E2B22">
        <w:t xml:space="preserve"> nurse educator capacity and geographic coverage to meet growing demand remained </w:t>
      </w:r>
      <w:r w:rsidR="007B46F0">
        <w:t>a persistent</w:t>
      </w:r>
      <w:r w:rsidR="001E2B22" w:rsidRPr="001E2B22">
        <w:t xml:space="preserve"> challenge</w:t>
      </w:r>
      <w:r w:rsidR="007B46F0">
        <w:t>. This was reportedly</w:t>
      </w:r>
      <w:r w:rsidR="001E2B22" w:rsidRPr="001E2B22">
        <w:t xml:space="preserve"> compounded by short-term funding cycles that limited the ability to attract quality staff</w:t>
      </w:r>
      <w:r w:rsidR="001E2B22">
        <w:t>.</w:t>
      </w:r>
      <w:r w:rsidR="00EB07F2">
        <w:t xml:space="preserve"> In response to these challenges, QUT made several program adaptations. </w:t>
      </w:r>
      <w:r w:rsidR="00F741CF">
        <w:t xml:space="preserve">This included </w:t>
      </w:r>
      <w:r w:rsidR="00D845FA">
        <w:t xml:space="preserve">introducing more flexible delivery </w:t>
      </w:r>
      <w:r w:rsidR="006362C8">
        <w:t>options</w:t>
      </w:r>
      <w:r w:rsidR="00D845FA">
        <w:t xml:space="preserve"> (e.g. shorter training blocks) to </w:t>
      </w:r>
      <w:r w:rsidR="001161F9">
        <w:t>accommodate workforce constraints</w:t>
      </w:r>
      <w:r w:rsidR="007E20B7">
        <w:t xml:space="preserve"> and </w:t>
      </w:r>
      <w:r w:rsidR="00203A94">
        <w:t>establishing a</w:t>
      </w:r>
      <w:r w:rsidR="00826799">
        <w:t xml:space="preserve"> national pool of casual nurse educators to supplement the core team and improve geographic coverage.</w:t>
      </w:r>
    </w:p>
    <w:p w14:paraId="13963EE3" w14:textId="59DCF041" w:rsidR="002A1772" w:rsidRDefault="00273377">
      <w:pPr>
        <w:pStyle w:val="Findings"/>
      </w:pPr>
      <w:r>
        <w:t xml:space="preserve">PEPA Aged Care delivered all planned activities and exceeded four of five key performance indicators, reflecting strong planning and execution. </w:t>
      </w:r>
      <w:r w:rsidR="00B1749A">
        <w:t xml:space="preserve">However, completion of post-placement service improvement plans fell short of </w:t>
      </w:r>
      <w:r w:rsidR="00DC3D74">
        <w:t xml:space="preserve">the </w:t>
      </w:r>
      <w:r w:rsidR="00B1749A">
        <w:t>target</w:t>
      </w:r>
      <w:r w:rsidR="00C30973">
        <w:t xml:space="preserve">, </w:t>
      </w:r>
      <w:r w:rsidR="00741B70">
        <w:t>suggesting</w:t>
      </w:r>
      <w:r w:rsidR="00C30973">
        <w:t xml:space="preserve"> the need for stronger follow-up to support sites in </w:t>
      </w:r>
      <w:r w:rsidR="00F81097">
        <w:t>translating</w:t>
      </w:r>
      <w:r w:rsidR="00C30973">
        <w:t xml:space="preserve"> learnings into practice</w:t>
      </w:r>
      <w:r w:rsidR="00EE4DBE">
        <w:t>.</w:t>
      </w:r>
    </w:p>
    <w:p w14:paraId="41FFC823" w14:textId="3AA79964" w:rsidR="00C3247D" w:rsidRDefault="002C69E0" w:rsidP="006631A6">
      <w:pPr>
        <w:pStyle w:val="Heading3"/>
      </w:pPr>
      <w:bookmarkStart w:id="75" w:name="_Toc232685904"/>
      <w:r>
        <w:lastRenderedPageBreak/>
        <w:t>Engagement and u</w:t>
      </w:r>
      <w:r w:rsidR="00C3247D">
        <w:t>ptake</w:t>
      </w:r>
      <w:bookmarkEnd w:id="75"/>
    </w:p>
    <w:p w14:paraId="372A9685" w14:textId="7AC05365" w:rsidR="00335C68" w:rsidRDefault="00335C68" w:rsidP="00335C68">
      <w:r>
        <w:t xml:space="preserve">This section examines </w:t>
      </w:r>
      <w:r w:rsidR="00BA70FC">
        <w:t>the strategies used to promote</w:t>
      </w:r>
      <w:r>
        <w:t xml:space="preserve"> </w:t>
      </w:r>
      <w:r w:rsidR="008B75E5">
        <w:t>PEPA Aged Care</w:t>
      </w:r>
      <w:r>
        <w:t xml:space="preserve"> </w:t>
      </w:r>
      <w:r w:rsidR="00BA70FC">
        <w:t>to</w:t>
      </w:r>
      <w:r>
        <w:t xml:space="preserve"> the aged care sector</w:t>
      </w:r>
      <w:r w:rsidR="00F4177A">
        <w:t xml:space="preserve">. It also explores </w:t>
      </w:r>
      <w:r w:rsidR="00A154BB">
        <w:t>the extent of program uptake</w:t>
      </w:r>
      <w:r w:rsidR="001D583F">
        <w:t xml:space="preserve"> and the</w:t>
      </w:r>
      <w:r>
        <w:t xml:space="preserve"> key enablers and barriers influencing participation.</w:t>
      </w:r>
    </w:p>
    <w:p w14:paraId="130EDCFD" w14:textId="0388ACD0" w:rsidR="002C69E0" w:rsidRDefault="00C2124D" w:rsidP="002C69E0">
      <w:pPr>
        <w:pStyle w:val="Heading4"/>
      </w:pPr>
      <w:r>
        <w:t>Program promotion</w:t>
      </w:r>
    </w:p>
    <w:p w14:paraId="0BB2439D" w14:textId="25F56F70" w:rsidR="002C69E0" w:rsidRDefault="002C69E0" w:rsidP="002C69E0">
      <w:r>
        <w:t>QUT</w:t>
      </w:r>
      <w:r w:rsidR="003863F5">
        <w:t>’</w:t>
      </w:r>
      <w:r>
        <w:t>s engagement strategy primarily leveraged existing PEPA communication channels and networks</w:t>
      </w:r>
      <w:r w:rsidR="009B1E3A">
        <w:t>. This included</w:t>
      </w:r>
      <w:r>
        <w:t xml:space="preserve"> the overarching PEPA website, monthly national and jurisdictional PEPA meetings, monthly e</w:t>
      </w:r>
      <w:r w:rsidR="00A8115E">
        <w:noBreakHyphen/>
      </w:r>
      <w:r>
        <w:t>newsletters</w:t>
      </w:r>
      <w:r w:rsidR="00AE1643">
        <w:t xml:space="preserve"> (~3,000 recipients annually)</w:t>
      </w:r>
      <w:r>
        <w:t>, and social media. A dedicated PEPA Aged Care webpage was launched in 2022 and regularly updated.</w:t>
      </w:r>
    </w:p>
    <w:p w14:paraId="50D89508" w14:textId="3A771CF7" w:rsidR="002C69E0" w:rsidRDefault="002C69E0" w:rsidP="002C69E0">
      <w:r>
        <w:t>Analysis of marketing and engagement data indicated steady growth in digital reach over the evaluation period (</w:t>
      </w:r>
      <w:r>
        <w:fldChar w:fldCharType="begin"/>
      </w:r>
      <w:r>
        <w:instrText xml:space="preserve"> REF _Ref214979965 \h </w:instrText>
      </w:r>
      <w:r>
        <w:fldChar w:fldCharType="separate"/>
      </w:r>
      <w:r w:rsidR="00167BA0">
        <w:t xml:space="preserve">Table </w:t>
      </w:r>
      <w:r w:rsidR="00167BA0">
        <w:rPr>
          <w:noProof/>
        </w:rPr>
        <w:t>9</w:t>
      </w:r>
      <w:r w:rsidR="00167BA0">
        <w:t>.</w:t>
      </w:r>
      <w:r w:rsidR="00167BA0">
        <w:rPr>
          <w:noProof/>
        </w:rPr>
        <w:t>5</w:t>
      </w:r>
      <w:r>
        <w:fldChar w:fldCharType="end"/>
      </w:r>
      <w:r>
        <w:t xml:space="preserve">, </w:t>
      </w:r>
      <w:r>
        <w:fldChar w:fldCharType="begin"/>
      </w:r>
      <w:r>
        <w:instrText xml:space="preserve"> REF _Ref214614002 \n \h </w:instrText>
      </w:r>
      <w:r>
        <w:fldChar w:fldCharType="separate"/>
      </w:r>
      <w:r w:rsidR="00167BA0">
        <w:t>Appendix C</w:t>
      </w:r>
      <w:r>
        <w:fldChar w:fldCharType="end"/>
      </w:r>
      <w:r>
        <w:t xml:space="preserve">). Website views increased significantly, from 585 in 2021–22 to </w:t>
      </w:r>
      <w:r w:rsidR="000741B7">
        <w:t>more than</w:t>
      </w:r>
      <w:r>
        <w:t xml:space="preserve"> 10,500 in 2024–25, while PEPA Facebook followers grew from 1,000 to 1,845. </w:t>
      </w:r>
      <w:r w:rsidRPr="00141D7F">
        <w:t xml:space="preserve">Social media activity </w:t>
      </w:r>
      <w:r w:rsidR="00D03A2B">
        <w:t>increased</w:t>
      </w:r>
      <w:r w:rsidRPr="00141D7F">
        <w:t xml:space="preserve"> in 2024–25, with nine PEPA Aged Care-specific posts compared to only two in prior years, reflecting a shift toward more targeted promotion</w:t>
      </w:r>
      <w:r>
        <w:t xml:space="preserve">. </w:t>
      </w:r>
      <w:r w:rsidR="00D345BF">
        <w:t>However, b</w:t>
      </w:r>
      <w:r>
        <w:t>roader promotional activities</w:t>
      </w:r>
      <w:r w:rsidR="001D5485">
        <w:t xml:space="preserve"> (paid advertising,</w:t>
      </w:r>
      <w:r>
        <w:t xml:space="preserve"> conference</w:t>
      </w:r>
      <w:r w:rsidR="001D5485">
        <w:t>s)</w:t>
      </w:r>
      <w:r>
        <w:t xml:space="preserve"> were limited and largely concentrated in 2023–24 and 2024–25.</w:t>
      </w:r>
    </w:p>
    <w:p w14:paraId="20ECB919" w14:textId="0D0E1415" w:rsidR="00DD00FA" w:rsidRDefault="00694E14" w:rsidP="00852EA6">
      <w:r>
        <w:t>R</w:t>
      </w:r>
      <w:r w:rsidR="00A154BB">
        <w:t>eferral source data</w:t>
      </w:r>
      <w:r>
        <w:t xml:space="preserve"> was not consistently collected, limiting insights into engagement pathways</w:t>
      </w:r>
      <w:r w:rsidR="00D52030">
        <w:t xml:space="preserve">. </w:t>
      </w:r>
      <w:r w:rsidR="00F165D3">
        <w:t xml:space="preserve">Qualitative feedback from </w:t>
      </w:r>
      <w:r w:rsidR="00AF33E1">
        <w:t xml:space="preserve">PEPA Aged Care nurse educators </w:t>
      </w:r>
      <w:r w:rsidR="0026735F">
        <w:t>indicated</w:t>
      </w:r>
      <w:r w:rsidR="00AF33E1">
        <w:t xml:space="preserve"> that ELDAC was the predominant referral source nationally</w:t>
      </w:r>
      <w:r w:rsidR="001B7F52">
        <w:t>, with other</w:t>
      </w:r>
      <w:r w:rsidR="009F5E62">
        <w:t xml:space="preserve"> sources includ</w:t>
      </w:r>
      <w:r w:rsidR="001B7F52">
        <w:t>ing</w:t>
      </w:r>
      <w:r w:rsidR="009F5E62">
        <w:t xml:space="preserve"> </w:t>
      </w:r>
      <w:r w:rsidR="00AE0CC9">
        <w:t xml:space="preserve">direct </w:t>
      </w:r>
      <w:r w:rsidR="007D788C">
        <w:t>self-referral and jurisdictional PEPA teams.</w:t>
      </w:r>
      <w:r w:rsidR="00AE0CC9">
        <w:t xml:space="preserve"> </w:t>
      </w:r>
      <w:r w:rsidR="00E72DD8">
        <w:t xml:space="preserve">Notably, </w:t>
      </w:r>
      <w:r w:rsidR="00B813C0">
        <w:t xml:space="preserve">PACOP was not </w:t>
      </w:r>
      <w:r w:rsidR="00DB2776">
        <w:t>identified</w:t>
      </w:r>
      <w:r w:rsidR="00B813C0">
        <w:t xml:space="preserve"> as a </w:t>
      </w:r>
      <w:r w:rsidR="00096E39">
        <w:t>referral source</w:t>
      </w:r>
      <w:r w:rsidR="000658A0">
        <w:t xml:space="preserve">. </w:t>
      </w:r>
      <w:r w:rsidR="00EC7B7C">
        <w:t>T</w:t>
      </w:r>
      <w:r w:rsidR="001B7F52">
        <w:t xml:space="preserve">his </w:t>
      </w:r>
      <w:r w:rsidR="00D16684">
        <w:t xml:space="preserve">pattern </w:t>
      </w:r>
      <w:r w:rsidR="00040F2D">
        <w:t>suggests</w:t>
      </w:r>
      <w:r w:rsidR="00D16684">
        <w:t xml:space="preserve"> strong linkages </w:t>
      </w:r>
      <w:r w:rsidR="00E578E5">
        <w:t xml:space="preserve">among QUT-delivered programs (ELDAC, PEPA, and PEPA Aged Care) but </w:t>
      </w:r>
      <w:r w:rsidR="006F6C60">
        <w:t>limited</w:t>
      </w:r>
      <w:r w:rsidR="00D16684">
        <w:t xml:space="preserve"> engagement beyond these networks</w:t>
      </w:r>
      <w:r w:rsidR="00467346">
        <w:t xml:space="preserve">. This raises concerns about broader reach and potential exclusion of providers with the greatest need for support. </w:t>
      </w:r>
      <w:r w:rsidR="00DD00FA">
        <w:t>Without proactive</w:t>
      </w:r>
      <w:r w:rsidR="00842A17">
        <w:t xml:space="preserve"> strategies to extend engagement beyond existing</w:t>
      </w:r>
      <w:r w:rsidR="00DD00FA">
        <w:t xml:space="preserve"> networks,</w:t>
      </w:r>
      <w:r w:rsidR="00716AAC">
        <w:t xml:space="preserve"> the</w:t>
      </w:r>
      <w:r w:rsidR="00DD00FA">
        <w:t xml:space="preserve"> true </w:t>
      </w:r>
      <w:r w:rsidR="001E1707">
        <w:t>extent</w:t>
      </w:r>
      <w:r w:rsidR="00716AAC">
        <w:t xml:space="preserve"> of </w:t>
      </w:r>
      <w:r w:rsidR="00DD00FA">
        <w:t>sector-wide demand</w:t>
      </w:r>
      <w:r w:rsidR="006E7313">
        <w:t xml:space="preserve"> and unmet need </w:t>
      </w:r>
      <w:r w:rsidR="00716AAC">
        <w:t>remains</w:t>
      </w:r>
      <w:r w:rsidR="006E7313">
        <w:t xml:space="preserve"> unclear.</w:t>
      </w:r>
    </w:p>
    <w:p w14:paraId="11F6F498" w14:textId="334CF5B8" w:rsidR="002C69E0" w:rsidRDefault="002C69E0" w:rsidP="009C0725">
      <w:r>
        <w:t>QUT</w:t>
      </w:r>
      <w:r w:rsidR="002F0ED2">
        <w:t xml:space="preserve"> </w:t>
      </w:r>
      <w:r w:rsidR="006A714A">
        <w:t xml:space="preserve">reported </w:t>
      </w:r>
      <w:r w:rsidR="000658A0">
        <w:t>that PEPA Aged Care</w:t>
      </w:r>
      <w:r w:rsidR="003863F5">
        <w:t>’</w:t>
      </w:r>
      <w:r w:rsidR="000658A0">
        <w:t xml:space="preserve">s relatively limited engagement strategy was a </w:t>
      </w:r>
      <w:r w:rsidR="006A714A">
        <w:t>deliberate</w:t>
      </w:r>
      <w:r w:rsidR="000658A0">
        <w:t xml:space="preserve"> approach</w:t>
      </w:r>
      <w:r>
        <w:t xml:space="preserve"> to </w:t>
      </w:r>
      <w:r w:rsidR="002F0ED2">
        <w:t>manage demand</w:t>
      </w:r>
      <w:r>
        <w:t xml:space="preserve"> within available nurse educator capacity. </w:t>
      </w:r>
      <w:r w:rsidR="0026429C">
        <w:t>However</w:t>
      </w:r>
      <w:r>
        <w:t>,</w:t>
      </w:r>
      <w:r w:rsidR="0026429C">
        <w:t xml:space="preserve"> </w:t>
      </w:r>
      <w:r>
        <w:t>stakeholders</w:t>
      </w:r>
      <w:r w:rsidR="0026429C">
        <w:t xml:space="preserve"> consistently</w:t>
      </w:r>
      <w:r>
        <w:t xml:space="preserve"> </w:t>
      </w:r>
      <w:r w:rsidR="00496194">
        <w:t>reported</w:t>
      </w:r>
      <w:r>
        <w:t xml:space="preserve"> low </w:t>
      </w:r>
      <w:r w:rsidR="00E06EEE">
        <w:t>awareness</w:t>
      </w:r>
      <w:r>
        <w:t xml:space="preserve"> of </w:t>
      </w:r>
      <w:r w:rsidR="009511B4">
        <w:t>PEPA Aged Care</w:t>
      </w:r>
      <w:r>
        <w:t xml:space="preserve"> across the aged care sector</w:t>
      </w:r>
      <w:r w:rsidR="00EE73E7">
        <w:t xml:space="preserve"> and noted that</w:t>
      </w:r>
      <w:r w:rsidR="00E06EEE">
        <w:t xml:space="preserve"> </w:t>
      </w:r>
      <w:r w:rsidR="007C6AAC">
        <w:t>marketing materials</w:t>
      </w:r>
      <w:r w:rsidR="00EE73E7">
        <w:t xml:space="preserve"> were not always sufficiently tailored</w:t>
      </w:r>
      <w:r w:rsidR="007C6AAC">
        <w:t xml:space="preserve"> </w:t>
      </w:r>
      <w:r w:rsidR="00096E39">
        <w:t>to</w:t>
      </w:r>
      <w:r w:rsidR="00BF5FE1">
        <w:t xml:space="preserve"> clearly </w:t>
      </w:r>
      <w:r w:rsidR="00EE73E7">
        <w:t>communicate</w:t>
      </w:r>
      <w:r w:rsidR="00A5403F">
        <w:t xml:space="preserve"> </w:t>
      </w:r>
      <w:r w:rsidR="001C5242">
        <w:t xml:space="preserve">the </w:t>
      </w:r>
      <w:r w:rsidR="008F4C53">
        <w:t>program</w:t>
      </w:r>
      <w:r w:rsidR="003863F5">
        <w:t>’</w:t>
      </w:r>
      <w:r w:rsidR="001C5242">
        <w:t>s</w:t>
      </w:r>
      <w:r w:rsidR="00577324">
        <w:t xml:space="preserve"> </w:t>
      </w:r>
      <w:r w:rsidR="00EE73E7">
        <w:t xml:space="preserve">value proposition </w:t>
      </w:r>
      <w:r w:rsidR="001C5242">
        <w:t>to</w:t>
      </w:r>
      <w:r w:rsidR="00577324">
        <w:t xml:space="preserve"> aged care providers</w:t>
      </w:r>
      <w:r>
        <w:t xml:space="preserve">. </w:t>
      </w:r>
      <w:r w:rsidR="006517A7">
        <w:t>Stakeholders suggested that a</w:t>
      </w:r>
      <w:r w:rsidR="001C5242">
        <w:t xml:space="preserve"> broader</w:t>
      </w:r>
      <w:r w:rsidR="00393851">
        <w:t xml:space="preserve"> and more diversified promotional strategy</w:t>
      </w:r>
      <w:r w:rsidR="008C01DF">
        <w:t xml:space="preserve">, supported by specialist aged care communications expertise, </w:t>
      </w:r>
      <w:r w:rsidR="006517A7">
        <w:t xml:space="preserve">could improve understanding and </w:t>
      </w:r>
      <w:r w:rsidR="00861228">
        <w:t>help identify</w:t>
      </w:r>
      <w:r w:rsidR="009C0725">
        <w:t xml:space="preserve"> </w:t>
      </w:r>
      <w:r w:rsidR="0014295F">
        <w:t>latent demand</w:t>
      </w:r>
      <w:r w:rsidR="00DE1356">
        <w:t xml:space="preserve"> for </w:t>
      </w:r>
      <w:r w:rsidR="00C9286D">
        <w:t>the program</w:t>
      </w:r>
      <w:r w:rsidR="006869F5">
        <w:t>, even if immediate capacity constraints prevented full uptake</w:t>
      </w:r>
      <w:r w:rsidR="00B57399">
        <w:t xml:space="preserve">. In turn, this </w:t>
      </w:r>
      <w:r w:rsidR="00E56709">
        <w:t xml:space="preserve">could </w:t>
      </w:r>
      <w:r w:rsidR="002B02B8">
        <w:t>help</w:t>
      </w:r>
      <w:r w:rsidR="00E56709">
        <w:t xml:space="preserve"> inform future planning by</w:t>
      </w:r>
      <w:r w:rsidR="006869F5">
        <w:t xml:space="preserve"> </w:t>
      </w:r>
      <w:r w:rsidR="00E56709">
        <w:t>clarifying</w:t>
      </w:r>
      <w:r w:rsidR="006869F5">
        <w:t xml:space="preserve"> the scale </w:t>
      </w:r>
      <w:r w:rsidR="00E56709">
        <w:t>and distribution of demand</w:t>
      </w:r>
      <w:r>
        <w:t>.</w:t>
      </w:r>
    </w:p>
    <w:p w14:paraId="6A9B758F" w14:textId="6FCE2235" w:rsidR="005333B4" w:rsidRDefault="002C69E0" w:rsidP="00EB4BFF">
      <w:pPr>
        <w:pStyle w:val="Findings"/>
      </w:pPr>
      <w:r>
        <w:t>PEPA Aged Care was primarily promoted through existing PEPA communication channels</w:t>
      </w:r>
      <w:r w:rsidR="008D038F">
        <w:t>, with available qualitative data suggesting that referrals r</w:t>
      </w:r>
      <w:r w:rsidR="009646BB">
        <w:t>elied heavily on ELDAC and PEPA.</w:t>
      </w:r>
      <w:r>
        <w:t xml:space="preserve"> </w:t>
      </w:r>
      <w:r w:rsidRPr="009251D5">
        <w:t xml:space="preserve">While this </w:t>
      </w:r>
      <w:r w:rsidR="00526B03">
        <w:t xml:space="preserve">approach </w:t>
      </w:r>
      <w:r w:rsidR="005F6F1E">
        <w:t>aimed</w:t>
      </w:r>
      <w:r w:rsidR="00526B03">
        <w:t xml:space="preserve"> to</w:t>
      </w:r>
      <w:r w:rsidRPr="009251D5">
        <w:t xml:space="preserve"> </w:t>
      </w:r>
      <w:r w:rsidR="001E4AE7">
        <w:t>manage demand</w:t>
      </w:r>
      <w:r w:rsidRPr="009251D5">
        <w:t xml:space="preserve"> </w:t>
      </w:r>
      <w:r w:rsidR="009646BB">
        <w:t>within</w:t>
      </w:r>
      <w:r w:rsidRPr="009251D5">
        <w:t xml:space="preserve"> available educator capacity, it</w:t>
      </w:r>
      <w:r>
        <w:t xml:space="preserve"> likely </w:t>
      </w:r>
      <w:r w:rsidR="007A3D3D">
        <w:t>constrained broader visibility</w:t>
      </w:r>
      <w:r w:rsidR="00E73067">
        <w:t xml:space="preserve"> and reach</w:t>
      </w:r>
      <w:r w:rsidR="007A3D3D">
        <w:t xml:space="preserve">, </w:t>
      </w:r>
      <w:r w:rsidR="00E66BCC">
        <w:t>leading to potential underrepresentation of</w:t>
      </w:r>
      <w:r w:rsidR="007A3D3D">
        <w:t xml:space="preserve"> sector demand. </w:t>
      </w:r>
    </w:p>
    <w:p w14:paraId="4A1224B0" w14:textId="47E5F1B0" w:rsidR="002C69E0" w:rsidRDefault="00E73067" w:rsidP="00EB4BFF">
      <w:pPr>
        <w:pStyle w:val="Findings"/>
      </w:pPr>
      <w:r>
        <w:t xml:space="preserve">Referral source </w:t>
      </w:r>
      <w:r w:rsidR="00682C49">
        <w:t>data were</w:t>
      </w:r>
      <w:r>
        <w:t xml:space="preserve"> not consistently collected for PEPA Aged Care, limiting understanding of engagement pathways and the ability to identify gaps in program reach</w:t>
      </w:r>
      <w:r w:rsidR="00EB4BFF">
        <w:t>.</w:t>
      </w:r>
      <w:r w:rsidR="00800139">
        <w:t xml:space="preserve"> </w:t>
      </w:r>
    </w:p>
    <w:p w14:paraId="3154FAC3" w14:textId="283DD97F" w:rsidR="002C69E0" w:rsidRPr="002C69E0" w:rsidRDefault="00C2124D" w:rsidP="006631A6">
      <w:pPr>
        <w:pStyle w:val="Heading4"/>
      </w:pPr>
      <w:r>
        <w:t>Program u</w:t>
      </w:r>
      <w:r w:rsidR="006631A6">
        <w:t>ptake</w:t>
      </w:r>
    </w:p>
    <w:p w14:paraId="1A9EC417" w14:textId="18B51C7F" w:rsidR="00B7498B" w:rsidRDefault="00C3247D" w:rsidP="00924267">
      <w:r>
        <w:t xml:space="preserve">PEPA Aged Care demonstrated </w:t>
      </w:r>
      <w:r w:rsidR="00A37CDD">
        <w:t>steady</w:t>
      </w:r>
      <w:r>
        <w:t xml:space="preserve"> uptake</w:t>
      </w:r>
      <w:r w:rsidR="00995F34">
        <w:t xml:space="preserve"> </w:t>
      </w:r>
      <w:r w:rsidR="00713B22">
        <w:t xml:space="preserve">between program commencement on 1 January 2022 and 30 June 2025, </w:t>
      </w:r>
      <w:r w:rsidR="00B41C5E">
        <w:t>meeting</w:t>
      </w:r>
      <w:r w:rsidR="00713B22">
        <w:t xml:space="preserve"> performance indicator targets</w:t>
      </w:r>
      <w:r w:rsidR="0050230F">
        <w:t xml:space="preserve"> established by QUT</w:t>
      </w:r>
      <w:r w:rsidR="00B261D4">
        <w:t xml:space="preserve">. </w:t>
      </w:r>
      <w:r w:rsidR="00B247F7">
        <w:t xml:space="preserve">Over this period, </w:t>
      </w:r>
      <w:r w:rsidR="00831E02">
        <w:t>471</w:t>
      </w:r>
      <w:r w:rsidR="00305EC6">
        <w:t xml:space="preserve"> </w:t>
      </w:r>
      <w:r w:rsidR="00B247F7">
        <w:t>r</w:t>
      </w:r>
      <w:r w:rsidR="00B261D4">
        <w:t>everse placements were delivered to 425 sites</w:t>
      </w:r>
      <w:r w:rsidR="0027764C">
        <w:t xml:space="preserve">, engaging </w:t>
      </w:r>
      <w:r w:rsidR="000F1CB9">
        <w:t xml:space="preserve">a total of </w:t>
      </w:r>
      <w:r w:rsidR="00B247F7">
        <w:t>5,2</w:t>
      </w:r>
      <w:r w:rsidR="0027764C">
        <w:t>50</w:t>
      </w:r>
      <w:r w:rsidR="00B247F7">
        <w:t xml:space="preserve"> participants</w:t>
      </w:r>
      <w:r w:rsidR="0056386B">
        <w:t xml:space="preserve"> (</w:t>
      </w:r>
      <w:r w:rsidR="000F3431">
        <w:fldChar w:fldCharType="begin"/>
      </w:r>
      <w:r w:rsidR="000F3431">
        <w:instrText xml:space="preserve"> REF _Ref214974710 \h </w:instrText>
      </w:r>
      <w:r w:rsidR="000F3431">
        <w:fldChar w:fldCharType="separate"/>
      </w:r>
      <w:r w:rsidR="00167BA0">
        <w:t xml:space="preserve">Figure </w:t>
      </w:r>
      <w:r w:rsidR="00167BA0">
        <w:rPr>
          <w:noProof/>
        </w:rPr>
        <w:t>5</w:t>
      </w:r>
      <w:r w:rsidR="00167BA0">
        <w:t>.</w:t>
      </w:r>
      <w:r w:rsidR="00167BA0">
        <w:rPr>
          <w:noProof/>
        </w:rPr>
        <w:t>1</w:t>
      </w:r>
      <w:r w:rsidR="000F3431">
        <w:fldChar w:fldCharType="end"/>
      </w:r>
      <w:r w:rsidR="000F3431">
        <w:t>)</w:t>
      </w:r>
      <w:r w:rsidR="00B247F7">
        <w:t>.</w:t>
      </w:r>
    </w:p>
    <w:p w14:paraId="2811DA4D" w14:textId="3AFA3B38" w:rsidR="000F3431" w:rsidRDefault="000F3431" w:rsidP="000F3431">
      <w:pPr>
        <w:pStyle w:val="Caption"/>
      </w:pPr>
      <w:bookmarkStart w:id="76" w:name="_Ref214974710"/>
      <w:r>
        <w:lastRenderedPageBreak/>
        <w:t xml:space="preserve">Figure </w:t>
      </w:r>
      <w:fldSimple w:instr=" STYLEREF 1 \s ">
        <w:r w:rsidR="00167BA0">
          <w:rPr>
            <w:noProof/>
          </w:rPr>
          <w:t>5</w:t>
        </w:r>
      </w:fldSimple>
      <w:r w:rsidR="00DD3EB1">
        <w:t>.</w:t>
      </w:r>
      <w:fldSimple w:instr=" SEQ Figure \* ARABIC \s 1 ">
        <w:r w:rsidR="00167BA0">
          <w:rPr>
            <w:noProof/>
          </w:rPr>
          <w:t>1</w:t>
        </w:r>
      </w:fldSimple>
      <w:bookmarkEnd w:id="76"/>
      <w:r>
        <w:t xml:space="preserve">: </w:t>
      </w:r>
      <w:r w:rsidRPr="00FC020E">
        <w:t xml:space="preserve">Number of PEPA Aged Care </w:t>
      </w:r>
      <w:r>
        <w:t xml:space="preserve">participating sites </w:t>
      </w:r>
      <w:r>
        <w:br/>
        <w:t xml:space="preserve">and </w:t>
      </w:r>
      <w:r w:rsidRPr="00FC020E">
        <w:t>participants (1 January 2022 to 3</w:t>
      </w:r>
      <w:r>
        <w:t>0 June 2025</w:t>
      </w:r>
      <w:r w:rsidRPr="00FC020E">
        <w:t>)</w:t>
      </w:r>
    </w:p>
    <w:p w14:paraId="535F3D9E" w14:textId="71854A28" w:rsidR="00083B49" w:rsidRDefault="003524C1" w:rsidP="00C3247D">
      <w:r>
        <w:rPr>
          <w:noProof/>
        </w:rPr>
        <w:drawing>
          <wp:inline distT="0" distB="0" distL="0" distR="0" wp14:anchorId="7F0BD731" wp14:editId="2AFD64F6">
            <wp:extent cx="4524375" cy="3172517"/>
            <wp:effectExtent l="0" t="0" r="0" b="8890"/>
            <wp:docPr id="2118744987" name="Picture 11" descr="Figure 5.1 is a line graph showing number of PEPA aged care participating sites and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44987" name="Picture 11" descr="Figure 5.1 is a line graph showing number of PEPA aged care participating sites and participant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33026" cy="3178583"/>
                    </a:xfrm>
                    <a:prstGeom prst="rect">
                      <a:avLst/>
                    </a:prstGeom>
                    <a:noFill/>
                  </pic:spPr>
                </pic:pic>
              </a:graphicData>
            </a:graphic>
          </wp:inline>
        </w:drawing>
      </w:r>
    </w:p>
    <w:p w14:paraId="7BBD3BFF" w14:textId="2B668DB4" w:rsidR="000F3431" w:rsidRDefault="000F3431" w:rsidP="000F3431">
      <w:pPr>
        <w:pStyle w:val="Tablenotes"/>
      </w:pPr>
      <w:r>
        <w:t xml:space="preserve">Source: PEPA Aged Care Final </w:t>
      </w:r>
      <w:r w:rsidRPr="006D1D3D">
        <w:t>Report 2021–2024</w:t>
      </w:r>
      <w:r>
        <w:t xml:space="preserve"> </w:t>
      </w:r>
      <w:sdt>
        <w:sdtPr>
          <w:id w:val="2038925002"/>
          <w:citation/>
        </w:sdtPr>
        <w:sdtContent>
          <w:r>
            <w:fldChar w:fldCharType="begin"/>
          </w:r>
          <w:r>
            <w:rPr>
              <w:lang w:val="en-US"/>
            </w:rPr>
            <w:instrText xml:space="preserve"> CITATION Que256 \l 1033 </w:instrText>
          </w:r>
          <w:r>
            <w:fldChar w:fldCharType="separate"/>
          </w:r>
          <w:r w:rsidR="008410E0" w:rsidRPr="008410E0">
            <w:rPr>
              <w:noProof/>
              <w:lang w:val="en-US"/>
            </w:rPr>
            <w:t>[26]</w:t>
          </w:r>
          <w:r>
            <w:fldChar w:fldCharType="end"/>
          </w:r>
        </w:sdtContent>
      </w:sdt>
      <w:r>
        <w:t xml:space="preserve">, PEPA Aged Care performance report, 31 July 2025 </w:t>
      </w:r>
      <w:sdt>
        <w:sdtPr>
          <w:id w:val="1359089329"/>
          <w:citation/>
        </w:sdtPr>
        <w:sdtContent>
          <w:r>
            <w:fldChar w:fldCharType="begin"/>
          </w:r>
          <w:r>
            <w:rPr>
              <w:lang w:val="en-US"/>
            </w:rPr>
            <w:instrText xml:space="preserve"> CITATION Que257 \l 1033 </w:instrText>
          </w:r>
          <w:r>
            <w:fldChar w:fldCharType="separate"/>
          </w:r>
          <w:r w:rsidR="008410E0" w:rsidRPr="008410E0">
            <w:rPr>
              <w:noProof/>
              <w:lang w:val="en-US"/>
            </w:rPr>
            <w:t>[27]</w:t>
          </w:r>
          <w:r>
            <w:fldChar w:fldCharType="end"/>
          </w:r>
        </w:sdtContent>
      </w:sdt>
      <w:r>
        <w:t>.</w:t>
      </w:r>
    </w:p>
    <w:p w14:paraId="6AABD57D" w14:textId="1D546C22" w:rsidR="00ED6FAE" w:rsidRDefault="00ED6FAE" w:rsidP="00ED6FAE">
      <w:r>
        <w:t>D</w:t>
      </w:r>
      <w:r w:rsidRPr="002821B7">
        <w:t xml:space="preserve">emand for the program consistently </w:t>
      </w:r>
      <w:r>
        <w:t>exceeded</w:t>
      </w:r>
      <w:r w:rsidRPr="002821B7">
        <w:t xml:space="preserve"> delivery capacity</w:t>
      </w:r>
      <w:r>
        <w:t xml:space="preserve">, as </w:t>
      </w:r>
      <w:r w:rsidRPr="002821B7">
        <w:t xml:space="preserve">evidenced by a waiting list of 63 sites and an average wait time of 18.1 weeks </w:t>
      </w:r>
      <w:r>
        <w:t>as of 30 June 2025 (</w:t>
      </w:r>
      <w:r>
        <w:fldChar w:fldCharType="begin"/>
      </w:r>
      <w:r>
        <w:instrText xml:space="preserve"> REF _Ref215039678 \h </w:instrText>
      </w:r>
      <w:r>
        <w:fldChar w:fldCharType="separate"/>
      </w:r>
      <w:r w:rsidR="00167BA0">
        <w:t xml:space="preserve">Figure </w:t>
      </w:r>
      <w:r w:rsidR="00167BA0">
        <w:rPr>
          <w:noProof/>
        </w:rPr>
        <w:t>9</w:t>
      </w:r>
      <w:r w:rsidR="00167BA0">
        <w:t>.</w:t>
      </w:r>
      <w:r w:rsidR="00167BA0">
        <w:rPr>
          <w:noProof/>
        </w:rPr>
        <w:t>1</w:t>
      </w:r>
      <w:r>
        <w:fldChar w:fldCharType="end"/>
      </w:r>
      <w:r>
        <w:t xml:space="preserve">, </w:t>
      </w:r>
      <w:r>
        <w:fldChar w:fldCharType="begin"/>
      </w:r>
      <w:r>
        <w:instrText xml:space="preserve"> REF _Ref214614002 \n \h </w:instrText>
      </w:r>
      <w:r>
        <w:fldChar w:fldCharType="separate"/>
      </w:r>
      <w:r w:rsidR="00167BA0">
        <w:t>Appendix C</w:t>
      </w:r>
      <w:r>
        <w:fldChar w:fldCharType="end"/>
      </w:r>
      <w:r>
        <w:t>). While this demonstrates strong interest among sites aware of the program, this demand likely reflects only a portion of sector-wide need, given the limited engagement strategies outlined in the previous section.</w:t>
      </w:r>
    </w:p>
    <w:p w14:paraId="72C8539D" w14:textId="5070C9CD" w:rsidR="004E688F" w:rsidRDefault="001E6F02" w:rsidP="001E6F02">
      <w:r>
        <w:t xml:space="preserve">Notably, the average number of participants per </w:t>
      </w:r>
      <w:r w:rsidR="00DD442F">
        <w:t xml:space="preserve">placement </w:t>
      </w:r>
      <w:r>
        <w:t>site nearly doubled over the evaluation period, from 7.8 in 2021–22 to 15.0 in 2024–25 (</w:t>
      </w:r>
      <w:r>
        <w:fldChar w:fldCharType="begin"/>
      </w:r>
      <w:r>
        <w:instrText xml:space="preserve"> REF _Ref215041732 \h </w:instrText>
      </w:r>
      <w:r>
        <w:fldChar w:fldCharType="separate"/>
      </w:r>
      <w:r w:rsidR="00167BA0">
        <w:t xml:space="preserve">Figure </w:t>
      </w:r>
      <w:r w:rsidR="00167BA0">
        <w:rPr>
          <w:noProof/>
        </w:rPr>
        <w:t>9</w:t>
      </w:r>
      <w:r w:rsidR="00167BA0">
        <w:t>.</w:t>
      </w:r>
      <w:r w:rsidR="00167BA0">
        <w:rPr>
          <w:noProof/>
        </w:rPr>
        <w:t>3</w:t>
      </w:r>
      <w:r>
        <w:fldChar w:fldCharType="end"/>
      </w:r>
      <w:r>
        <w:t xml:space="preserve">, </w:t>
      </w:r>
      <w:r>
        <w:fldChar w:fldCharType="begin"/>
      </w:r>
      <w:r>
        <w:instrText xml:space="preserve"> REF _Ref214614002 \n \h </w:instrText>
      </w:r>
      <w:r>
        <w:fldChar w:fldCharType="separate"/>
      </w:r>
      <w:r w:rsidR="00167BA0">
        <w:t>Appendix C</w:t>
      </w:r>
      <w:r>
        <w:fldChar w:fldCharType="end"/>
      </w:r>
      <w:r>
        <w:t xml:space="preserve">), suggesting deeper engagement within sites. </w:t>
      </w:r>
      <w:r w:rsidR="00C722D6">
        <w:t>QUT attributed t</w:t>
      </w:r>
      <w:r>
        <w:t xml:space="preserve">his </w:t>
      </w:r>
      <w:r w:rsidR="00042022">
        <w:t xml:space="preserve">increase to its </w:t>
      </w:r>
      <w:r w:rsidR="004E688F">
        <w:t>more proactive</w:t>
      </w:r>
      <w:r w:rsidR="00553EF7">
        <w:t xml:space="preserve"> approach in setting expectations that sites release </w:t>
      </w:r>
      <w:r w:rsidR="003768D9">
        <w:t>sufficient staff to maximise training benefits.</w:t>
      </w:r>
    </w:p>
    <w:p w14:paraId="617F1622" w14:textId="36DE4AC7" w:rsidR="006A1A7D" w:rsidRDefault="00347783" w:rsidP="006A1A7D">
      <w:r>
        <w:t>C</w:t>
      </w:r>
      <w:r w:rsidR="006A1A7D">
        <w:t>onsultations, case studies</w:t>
      </w:r>
      <w:r w:rsidR="00A00169">
        <w:t xml:space="preserve"> (technical paper, Section 9.1)</w:t>
      </w:r>
      <w:r w:rsidR="006A1A7D">
        <w:t xml:space="preserve">, and the online survey </w:t>
      </w:r>
      <w:r w:rsidR="003F1944">
        <w:t xml:space="preserve">(technical paper, </w:t>
      </w:r>
      <w:r w:rsidR="00865FA1">
        <w:t>Table 5.4</w:t>
      </w:r>
      <w:r w:rsidR="003F1944">
        <w:t xml:space="preserve">) </w:t>
      </w:r>
      <w:r w:rsidR="00385E60">
        <w:t>identified</w:t>
      </w:r>
      <w:r w:rsidR="006A1A7D">
        <w:t xml:space="preserve"> several key factors that facilitated engagement with PEPA Aged Care. These included the program</w:t>
      </w:r>
      <w:r w:rsidR="003863F5">
        <w:t>’</w:t>
      </w:r>
      <w:r w:rsidR="006A1A7D">
        <w:t xml:space="preserve">s reverse placement design, which addressed common logistical and financial barriers to participation in training. Several case studies in rural and remote areas highlighted this as a particularly important enabler, removing prohibitive costs associated with sending staff off-site for training. </w:t>
      </w:r>
      <w:r w:rsidR="006A1A7D" w:rsidRPr="00E61DA7">
        <w:t xml:space="preserve">Funding for staff backfill </w:t>
      </w:r>
      <w:r w:rsidR="006A1A7D">
        <w:t xml:space="preserve">further offset participation costs. </w:t>
      </w:r>
      <w:r w:rsidR="00D614ED">
        <w:t xml:space="preserve">Strong organisational leadership was also cited across all data sources as an important enabler, ensuring the necessary time and resources were allocated. </w:t>
      </w:r>
      <w:r w:rsidR="006A1A7D">
        <w:t>PEPA Aged Care survey respondents highlighted practical support from the PEPA Aged Care team, dedicated staff champions, and the program</w:t>
      </w:r>
      <w:r w:rsidR="003863F5">
        <w:t>’</w:t>
      </w:r>
      <w:r w:rsidR="006A1A7D">
        <w:t>s perceived value as key drivers.</w:t>
      </w:r>
    </w:p>
    <w:p w14:paraId="594717F9" w14:textId="3B94B21D" w:rsidR="00400D08" w:rsidRDefault="00B97F16" w:rsidP="00A90A1E">
      <w:r>
        <w:t xml:space="preserve">Withdrawal rates </w:t>
      </w:r>
      <w:r w:rsidR="00E0351B">
        <w:t xml:space="preserve">for the program </w:t>
      </w:r>
      <w:r>
        <w:t>were relatively low</w:t>
      </w:r>
      <w:r w:rsidR="00BF649B">
        <w:t xml:space="preserve">, with </w:t>
      </w:r>
      <w:r w:rsidR="00642945">
        <w:t xml:space="preserve">90% of </w:t>
      </w:r>
      <w:r w:rsidR="00925B3C">
        <w:t xml:space="preserve">sites </w:t>
      </w:r>
      <w:r w:rsidR="00831964">
        <w:t>completing</w:t>
      </w:r>
      <w:r w:rsidR="00925B3C">
        <w:t xml:space="preserve"> </w:t>
      </w:r>
      <w:r w:rsidR="006E7544">
        <w:t>a</w:t>
      </w:r>
      <w:r w:rsidR="00925B3C">
        <w:t xml:space="preserve"> placement (</w:t>
      </w:r>
      <w:r w:rsidR="00FD4D62">
        <w:fldChar w:fldCharType="begin"/>
      </w:r>
      <w:r w:rsidR="00FD4D62">
        <w:instrText xml:space="preserve"> REF _Ref215045710 \h </w:instrText>
      </w:r>
      <w:r w:rsidR="00FD4D62">
        <w:fldChar w:fldCharType="separate"/>
      </w:r>
      <w:r w:rsidR="00167BA0">
        <w:t xml:space="preserve">Table </w:t>
      </w:r>
      <w:r w:rsidR="00167BA0">
        <w:rPr>
          <w:noProof/>
        </w:rPr>
        <w:t>9</w:t>
      </w:r>
      <w:r w:rsidR="00167BA0">
        <w:t>.</w:t>
      </w:r>
      <w:r w:rsidR="00167BA0">
        <w:rPr>
          <w:noProof/>
        </w:rPr>
        <w:t>6</w:t>
      </w:r>
      <w:r w:rsidR="00FD4D62">
        <w:fldChar w:fldCharType="end"/>
      </w:r>
      <w:r w:rsidR="00FD4D62">
        <w:t xml:space="preserve">, </w:t>
      </w:r>
      <w:r w:rsidR="00FD4D62">
        <w:fldChar w:fldCharType="begin"/>
      </w:r>
      <w:r w:rsidR="00FD4D62">
        <w:instrText xml:space="preserve"> REF _Ref214614002 \n \h </w:instrText>
      </w:r>
      <w:r w:rsidR="00FD4D62">
        <w:fldChar w:fldCharType="separate"/>
      </w:r>
      <w:r w:rsidR="00167BA0">
        <w:t>Appendix C</w:t>
      </w:r>
      <w:r w:rsidR="00FD4D62">
        <w:fldChar w:fldCharType="end"/>
      </w:r>
      <w:r w:rsidR="00FD4D62">
        <w:t>)</w:t>
      </w:r>
      <w:r w:rsidR="0000269E">
        <w:t xml:space="preserve">. </w:t>
      </w:r>
      <w:r w:rsidR="00E51DF9" w:rsidRPr="008304F0">
        <w:t>Most withdrawals occurred in residential aged care (n=46) and home care (n=8</w:t>
      </w:r>
      <w:r w:rsidR="00E771A2">
        <w:t xml:space="preserve">; </w:t>
      </w:r>
      <w:r w:rsidR="00E771A2">
        <w:fldChar w:fldCharType="begin"/>
      </w:r>
      <w:r w:rsidR="00E771A2">
        <w:instrText xml:space="preserve"> REF _Ref215045718 \h </w:instrText>
      </w:r>
      <w:r w:rsidR="00E771A2">
        <w:fldChar w:fldCharType="separate"/>
      </w:r>
      <w:r w:rsidR="00167BA0">
        <w:t xml:space="preserve">Figure </w:t>
      </w:r>
      <w:r w:rsidR="00167BA0">
        <w:rPr>
          <w:noProof/>
        </w:rPr>
        <w:t>9</w:t>
      </w:r>
      <w:r w:rsidR="00167BA0">
        <w:t>.</w:t>
      </w:r>
      <w:r w:rsidR="00167BA0">
        <w:rPr>
          <w:noProof/>
        </w:rPr>
        <w:t>2</w:t>
      </w:r>
      <w:r w:rsidR="00E771A2">
        <w:fldChar w:fldCharType="end"/>
      </w:r>
      <w:r w:rsidR="001E6F02">
        <w:t xml:space="preserve">, </w:t>
      </w:r>
      <w:r w:rsidR="001E6F02">
        <w:fldChar w:fldCharType="begin"/>
      </w:r>
      <w:r w:rsidR="001E6F02">
        <w:instrText xml:space="preserve"> REF _Ref214614002 \n \h </w:instrText>
      </w:r>
      <w:r w:rsidR="001E6F02">
        <w:fldChar w:fldCharType="separate"/>
      </w:r>
      <w:r w:rsidR="00167BA0">
        <w:t>Appendix C</w:t>
      </w:r>
      <w:r w:rsidR="001E6F02">
        <w:fldChar w:fldCharType="end"/>
      </w:r>
      <w:r w:rsidR="00E51DF9" w:rsidRPr="008304F0">
        <w:t xml:space="preserve">). </w:t>
      </w:r>
      <w:r w:rsidR="008B5559">
        <w:t xml:space="preserve">The </w:t>
      </w:r>
      <w:proofErr w:type="gramStart"/>
      <w:r w:rsidR="008B5559">
        <w:t>most c</w:t>
      </w:r>
      <w:r w:rsidR="00E51DF9" w:rsidRPr="008304F0">
        <w:t>ommon</w:t>
      </w:r>
      <w:r w:rsidR="00C35DAC">
        <w:t>ly reported</w:t>
      </w:r>
      <w:proofErr w:type="gramEnd"/>
      <w:r w:rsidR="00E51DF9" w:rsidRPr="008304F0">
        <w:t xml:space="preserve"> reasons </w:t>
      </w:r>
      <w:r w:rsidR="008B5559">
        <w:t xml:space="preserve">for withdrawal </w:t>
      </w:r>
      <w:r w:rsidR="00936210">
        <w:t xml:space="preserve">were </w:t>
      </w:r>
      <w:r w:rsidR="00C35DAC">
        <w:t xml:space="preserve">lack of </w:t>
      </w:r>
      <w:r w:rsidR="006C58B4">
        <w:t>response from site</w:t>
      </w:r>
      <w:r w:rsidR="00C35DAC">
        <w:t>s</w:t>
      </w:r>
      <w:r w:rsidR="00E51DF9" w:rsidRPr="008304F0">
        <w:t xml:space="preserve"> (59.3%), staffing issues (18.5%), and lack of readiness (14.8%; </w:t>
      </w:r>
      <w:r w:rsidR="00E51DF9">
        <w:fldChar w:fldCharType="begin"/>
      </w:r>
      <w:r w:rsidR="00E51DF9">
        <w:instrText xml:space="preserve"> REF _Ref214888733 \h </w:instrText>
      </w:r>
      <w:r w:rsidR="00E51DF9">
        <w:fldChar w:fldCharType="separate"/>
      </w:r>
      <w:r w:rsidR="00167BA0">
        <w:t xml:space="preserve">Table </w:t>
      </w:r>
      <w:r w:rsidR="00167BA0">
        <w:rPr>
          <w:noProof/>
        </w:rPr>
        <w:t>9</w:t>
      </w:r>
      <w:r w:rsidR="00167BA0">
        <w:t>.</w:t>
      </w:r>
      <w:r w:rsidR="00167BA0">
        <w:rPr>
          <w:noProof/>
        </w:rPr>
        <w:t>7</w:t>
      </w:r>
      <w:r w:rsidR="00E51DF9">
        <w:fldChar w:fldCharType="end"/>
      </w:r>
      <w:r w:rsidR="00E51DF9">
        <w:t xml:space="preserve">, </w:t>
      </w:r>
      <w:r w:rsidR="00E51DF9">
        <w:fldChar w:fldCharType="begin"/>
      </w:r>
      <w:r w:rsidR="00E51DF9">
        <w:instrText xml:space="preserve"> REF _Ref214614002 \n \h </w:instrText>
      </w:r>
      <w:r w:rsidR="00E51DF9">
        <w:fldChar w:fldCharType="separate"/>
      </w:r>
      <w:r w:rsidR="00167BA0">
        <w:t>Appendix C</w:t>
      </w:r>
      <w:r w:rsidR="00E51DF9">
        <w:fldChar w:fldCharType="end"/>
      </w:r>
      <w:r w:rsidR="00E51DF9" w:rsidRPr="008304F0">
        <w:t xml:space="preserve">). </w:t>
      </w:r>
      <w:r w:rsidR="000B7EDB">
        <w:t>Withdrawal rates</w:t>
      </w:r>
      <w:r w:rsidR="00E51DF9" w:rsidRPr="008304F0">
        <w:t xml:space="preserve"> were highest in 2021–22 (50%)</w:t>
      </w:r>
      <w:r w:rsidR="006B4908">
        <w:t xml:space="preserve">, potentially </w:t>
      </w:r>
      <w:r w:rsidR="002D3E89">
        <w:t xml:space="preserve">linked to COVID-19 </w:t>
      </w:r>
      <w:r w:rsidR="003A4CC6">
        <w:t>disruptions</w:t>
      </w:r>
      <w:r w:rsidR="00D44B12">
        <w:t>, but</w:t>
      </w:r>
      <w:r w:rsidR="0033283A">
        <w:t xml:space="preserve"> </w:t>
      </w:r>
      <w:r w:rsidR="00E51DF9" w:rsidRPr="008304F0">
        <w:t xml:space="preserve">declined substantially in later years, suggesting </w:t>
      </w:r>
      <w:r w:rsidR="00996328">
        <w:t xml:space="preserve">increasingly </w:t>
      </w:r>
      <w:r w:rsidR="004422DA">
        <w:t>effective site engagement</w:t>
      </w:r>
      <w:r w:rsidR="00E51DF9">
        <w:t>.</w:t>
      </w:r>
    </w:p>
    <w:p w14:paraId="181F6244" w14:textId="35FF8321" w:rsidR="007303DB" w:rsidRDefault="004C5919" w:rsidP="00BB034F">
      <w:r>
        <w:t>D</w:t>
      </w:r>
      <w:r w:rsidR="00E351DB">
        <w:t xml:space="preserve">espite </w:t>
      </w:r>
      <w:r w:rsidR="00B01F92">
        <w:t>stead</w:t>
      </w:r>
      <w:r w:rsidR="00F823C1">
        <w:t xml:space="preserve">y </w:t>
      </w:r>
      <w:r w:rsidR="00E56BE1">
        <w:t>uptake</w:t>
      </w:r>
      <w:r w:rsidR="00E351DB">
        <w:t xml:space="preserve"> and </w:t>
      </w:r>
      <w:r w:rsidR="00367EE0">
        <w:t xml:space="preserve">consistent </w:t>
      </w:r>
      <w:r w:rsidR="00BE7E68">
        <w:t xml:space="preserve">performance </w:t>
      </w:r>
      <w:r w:rsidR="00FB7D0B">
        <w:t xml:space="preserve">against participation </w:t>
      </w:r>
      <w:r w:rsidR="00BE7E68">
        <w:t>targets</w:t>
      </w:r>
      <w:r w:rsidR="00835BCE">
        <w:t xml:space="preserve">, </w:t>
      </w:r>
      <w:r w:rsidR="00D2124B">
        <w:t>PEPA Aged Care</w:t>
      </w:r>
      <w:r w:rsidR="003863F5">
        <w:t>’</w:t>
      </w:r>
      <w:r w:rsidR="00D2124B">
        <w:t xml:space="preserve">s </w:t>
      </w:r>
      <w:r w:rsidR="007146B9">
        <w:t xml:space="preserve">overall </w:t>
      </w:r>
      <w:r w:rsidR="003A50B6">
        <w:t>sector reach remain</w:t>
      </w:r>
      <w:r w:rsidR="00332572">
        <w:t>ed</w:t>
      </w:r>
      <w:r w:rsidR="003A50B6">
        <w:t xml:space="preserve"> relatively </w:t>
      </w:r>
      <w:r w:rsidR="00175FCD">
        <w:t>modest</w:t>
      </w:r>
      <w:r w:rsidR="00332572">
        <w:t>. As of 30 June 2025,</w:t>
      </w:r>
      <w:r w:rsidR="00175FCD">
        <w:t xml:space="preserve"> approximately 14%</w:t>
      </w:r>
      <w:r w:rsidR="003A50B6">
        <w:rPr>
          <w:rStyle w:val="FootnoteReference"/>
        </w:rPr>
        <w:footnoteReference w:id="2"/>
      </w:r>
      <w:r w:rsidR="00145634">
        <w:t xml:space="preserve"> of</w:t>
      </w:r>
      <w:r w:rsidR="002E5AE3">
        <w:t xml:space="preserve"> </w:t>
      </w:r>
      <w:r w:rsidR="00145634">
        <w:t xml:space="preserve">aged care providers </w:t>
      </w:r>
      <w:r w:rsidR="00166C60">
        <w:t>nationwide had participated</w:t>
      </w:r>
      <w:r w:rsidR="00D949BE">
        <w:t xml:space="preserve"> in a reverse placement</w:t>
      </w:r>
      <w:r w:rsidR="003A50B6" w:rsidRPr="00723FD9">
        <w:t xml:space="preserve">. </w:t>
      </w:r>
      <w:r w:rsidR="00352927">
        <w:t>This</w:t>
      </w:r>
      <w:r w:rsidR="00867EA8">
        <w:t xml:space="preserve"> level of penetration</w:t>
      </w:r>
      <w:r w:rsidR="00E71317">
        <w:t xml:space="preserve"> </w:t>
      </w:r>
      <w:r w:rsidR="00321E08">
        <w:t>was</w:t>
      </w:r>
      <w:r w:rsidR="00BE7E68">
        <w:t xml:space="preserve"> not </w:t>
      </w:r>
      <w:r w:rsidR="00BE7E68">
        <w:lastRenderedPageBreak/>
        <w:t>unexpected</w:t>
      </w:r>
      <w:r w:rsidR="006E2A12">
        <w:t>, given the relatively early stage of program implementation</w:t>
      </w:r>
      <w:r w:rsidR="00F12DAB">
        <w:t xml:space="preserve">. </w:t>
      </w:r>
      <w:r w:rsidR="002D5211">
        <w:t xml:space="preserve">However, </w:t>
      </w:r>
      <w:r w:rsidR="00CD36A3">
        <w:t>several key structural and systemic barriers</w:t>
      </w:r>
      <w:r w:rsidR="00E70A81">
        <w:t xml:space="preserve"> </w:t>
      </w:r>
      <w:r w:rsidR="00CD36A3">
        <w:t>were also identified</w:t>
      </w:r>
      <w:r w:rsidR="00FB77DE">
        <w:t xml:space="preserve"> </w:t>
      </w:r>
      <w:r w:rsidR="007831DE">
        <w:t>across evaluation sources</w:t>
      </w:r>
      <w:r w:rsidR="00FA5BE0">
        <w:t>, likely impacting</w:t>
      </w:r>
      <w:r w:rsidR="00B16411">
        <w:t xml:space="preserve"> uptake. These included</w:t>
      </w:r>
      <w:r w:rsidR="007303DB">
        <w:t>:</w:t>
      </w:r>
    </w:p>
    <w:p w14:paraId="1A546317" w14:textId="4C992328" w:rsidR="001B557E" w:rsidRDefault="00CB01BB" w:rsidP="00A75834">
      <w:pPr>
        <w:pStyle w:val="ListBullet"/>
      </w:pPr>
      <w:r>
        <w:t>the finite capacity of the nurse educator team</w:t>
      </w:r>
      <w:r w:rsidR="00640A1B">
        <w:t>, which</w:t>
      </w:r>
      <w:r w:rsidR="00567329">
        <w:t xml:space="preserve"> </w:t>
      </w:r>
      <w:r w:rsidR="00640A1B">
        <w:t xml:space="preserve">constrained </w:t>
      </w:r>
      <w:r w:rsidR="001B557E">
        <w:t xml:space="preserve">delivery </w:t>
      </w:r>
      <w:r w:rsidR="00443182">
        <w:t xml:space="preserve">and </w:t>
      </w:r>
      <w:r w:rsidR="003C55F5">
        <w:t>result</w:t>
      </w:r>
      <w:r w:rsidR="0092261C">
        <w:t>ed</w:t>
      </w:r>
      <w:r w:rsidR="003C55F5">
        <w:t xml:space="preserve"> in </w:t>
      </w:r>
      <w:r w:rsidR="00D43E2A">
        <w:t>the</w:t>
      </w:r>
      <w:r w:rsidR="003C55F5">
        <w:t xml:space="preserve"> deliberately </w:t>
      </w:r>
      <w:r w:rsidR="00D43705">
        <w:t>narrow</w:t>
      </w:r>
      <w:r w:rsidR="003C55F5">
        <w:t xml:space="preserve"> promotional strategy</w:t>
      </w:r>
      <w:r w:rsidR="00D43E2A">
        <w:t xml:space="preserve"> discussed in the previous section</w:t>
      </w:r>
    </w:p>
    <w:p w14:paraId="3D5C1F38" w14:textId="589C0D66" w:rsidR="003C55F5" w:rsidRDefault="003C55F5" w:rsidP="007303DB">
      <w:pPr>
        <w:pStyle w:val="ListBullet"/>
      </w:pPr>
      <w:r>
        <w:t>low sector awareness</w:t>
      </w:r>
      <w:r w:rsidR="006349B8">
        <w:t>,</w:t>
      </w:r>
      <w:r>
        <w:t xml:space="preserve"> </w:t>
      </w:r>
      <w:r w:rsidR="006349B8">
        <w:t xml:space="preserve">reflecting the </w:t>
      </w:r>
      <w:r w:rsidR="0092261C">
        <w:t>program</w:t>
      </w:r>
      <w:r w:rsidR="003863F5">
        <w:t>’</w:t>
      </w:r>
      <w:r w:rsidR="0092261C">
        <w:t xml:space="preserve">s </w:t>
      </w:r>
      <w:r w:rsidR="006349B8">
        <w:t>limited engagement strategy</w:t>
      </w:r>
    </w:p>
    <w:p w14:paraId="7B1EE105" w14:textId="18E34E17" w:rsidR="006349B8" w:rsidRDefault="00FD00D8" w:rsidP="007303DB">
      <w:pPr>
        <w:pStyle w:val="ListBullet"/>
      </w:pPr>
      <w:r>
        <w:t xml:space="preserve">aged care </w:t>
      </w:r>
      <w:r w:rsidR="006349B8">
        <w:t>workforce shortage</w:t>
      </w:r>
      <w:r>
        <w:t>s</w:t>
      </w:r>
      <w:r w:rsidR="006349B8">
        <w:t xml:space="preserve"> and high turnover, limitin</w:t>
      </w:r>
      <w:r w:rsidR="00E738D9">
        <w:t>g providers</w:t>
      </w:r>
      <w:r w:rsidR="003863F5">
        <w:t>’</w:t>
      </w:r>
      <w:r w:rsidR="00E738D9">
        <w:t xml:space="preserve"> ability to release staff </w:t>
      </w:r>
      <w:r>
        <w:t>despite</w:t>
      </w:r>
      <w:r w:rsidR="00E738D9">
        <w:t xml:space="preserve"> backfill funding</w:t>
      </w:r>
    </w:p>
    <w:p w14:paraId="2926FD71" w14:textId="14D72ED4" w:rsidR="00BB034F" w:rsidRDefault="00E738D9" w:rsidP="00190342">
      <w:pPr>
        <w:pStyle w:val="ListBullet"/>
        <w:ind w:left="357" w:hanging="357"/>
        <w:contextualSpacing w:val="0"/>
      </w:pPr>
      <w:r>
        <w:t xml:space="preserve">competing </w:t>
      </w:r>
      <w:r w:rsidR="00D7579B">
        <w:t xml:space="preserve">sector </w:t>
      </w:r>
      <w:r>
        <w:t>priorities and reform</w:t>
      </w:r>
      <w:r w:rsidR="00FD00D8">
        <w:t>-related</w:t>
      </w:r>
      <w:r>
        <w:t xml:space="preserve"> fatigu</w:t>
      </w:r>
      <w:r w:rsidR="00B65A93">
        <w:t>e</w:t>
      </w:r>
      <w:r w:rsidR="00BB034F">
        <w:t>.</w:t>
      </w:r>
    </w:p>
    <w:p w14:paraId="78705450" w14:textId="76462798" w:rsidR="003A50B6" w:rsidRDefault="00702763" w:rsidP="00190342">
      <w:pPr>
        <w:pStyle w:val="Findings"/>
        <w:ind w:left="357" w:hanging="357"/>
      </w:pPr>
      <w:r>
        <w:t xml:space="preserve">PEPA Aged Care achieved </w:t>
      </w:r>
      <w:r w:rsidR="006F209A">
        <w:t>steady</w:t>
      </w:r>
      <w:r w:rsidR="0016504B">
        <w:t xml:space="preserve"> </w:t>
      </w:r>
      <w:r w:rsidR="00B2344D">
        <w:t>uptake</w:t>
      </w:r>
      <w:r w:rsidR="0016504B">
        <w:t xml:space="preserve"> </w:t>
      </w:r>
      <w:r w:rsidR="00FF2854">
        <w:t xml:space="preserve">since </w:t>
      </w:r>
      <w:r w:rsidR="006F209A">
        <w:t>launch</w:t>
      </w:r>
      <w:r w:rsidR="008508DA">
        <w:t xml:space="preserve">, </w:t>
      </w:r>
      <w:r w:rsidR="006F209A">
        <w:t>supported</w:t>
      </w:r>
      <w:r w:rsidR="008508DA">
        <w:t xml:space="preserve"> by practical design features</w:t>
      </w:r>
      <w:r w:rsidR="009865C4">
        <w:t xml:space="preserve"> </w:t>
      </w:r>
      <w:r w:rsidR="001D6C6A">
        <w:t>such as on-site delivery and site funding</w:t>
      </w:r>
      <w:r w:rsidR="00C14D72">
        <w:t xml:space="preserve">. </w:t>
      </w:r>
      <w:r w:rsidR="0006197A">
        <w:t xml:space="preserve">However, </w:t>
      </w:r>
      <w:r w:rsidR="005D416B">
        <w:t>demand for placements consistently exceeded delivery capacity</w:t>
      </w:r>
      <w:r w:rsidR="00C14D72">
        <w:t xml:space="preserve">, </w:t>
      </w:r>
      <w:r w:rsidR="0006197A">
        <w:t xml:space="preserve">and overall </w:t>
      </w:r>
      <w:r w:rsidR="00C14D72">
        <w:t>sector</w:t>
      </w:r>
      <w:r w:rsidR="0011311C">
        <w:t xml:space="preserve"> reach re</w:t>
      </w:r>
      <w:r w:rsidR="00C14D72">
        <w:t>main</w:t>
      </w:r>
      <w:r w:rsidR="009865C4">
        <w:t>ed</w:t>
      </w:r>
      <w:r w:rsidR="00C14D72">
        <w:t xml:space="preserve"> modest</w:t>
      </w:r>
      <w:r w:rsidR="0006197A">
        <w:t xml:space="preserve">. </w:t>
      </w:r>
      <w:r w:rsidR="00C228C5">
        <w:t xml:space="preserve">Evaluation evidence indicates that uptake was likely influenced by </w:t>
      </w:r>
      <w:r w:rsidR="006E41B0">
        <w:t xml:space="preserve">the finite capacity of the </w:t>
      </w:r>
      <w:r w:rsidR="00B2344D">
        <w:t xml:space="preserve">nurse educator </w:t>
      </w:r>
      <w:r w:rsidR="006E41B0">
        <w:t xml:space="preserve">team, </w:t>
      </w:r>
      <w:r w:rsidR="000C6728">
        <w:t xml:space="preserve">deliberately narrow </w:t>
      </w:r>
      <w:r w:rsidR="00B2344D">
        <w:t xml:space="preserve">promotional strategy, </w:t>
      </w:r>
      <w:r w:rsidR="000C6728">
        <w:t>and broader</w:t>
      </w:r>
      <w:r w:rsidR="001B482A">
        <w:t xml:space="preserve"> workforce</w:t>
      </w:r>
      <w:r w:rsidR="009567EC">
        <w:t xml:space="preserve"> </w:t>
      </w:r>
      <w:r w:rsidR="007D7AB8">
        <w:t>and system pressures within the aged care sector</w:t>
      </w:r>
      <w:r w:rsidR="00B2344D">
        <w:t xml:space="preserve">. </w:t>
      </w:r>
      <w:r w:rsidR="000C6728">
        <w:t>Achieving s</w:t>
      </w:r>
      <w:r w:rsidR="002603EE">
        <w:t>ustained</w:t>
      </w:r>
      <w:r w:rsidR="00575657">
        <w:t xml:space="preserve"> </w:t>
      </w:r>
      <w:r w:rsidR="00CB37CD">
        <w:t xml:space="preserve">growth </w:t>
      </w:r>
      <w:r w:rsidR="007D7AB8">
        <w:t>would likely</w:t>
      </w:r>
      <w:r w:rsidR="007D7AB8" w:rsidRPr="00E03CD7">
        <w:t xml:space="preserve"> </w:t>
      </w:r>
      <w:r w:rsidR="00AD7D7C" w:rsidRPr="00E03CD7">
        <w:t xml:space="preserve">require </w:t>
      </w:r>
      <w:r w:rsidR="002D5932">
        <w:t xml:space="preserve">targeted </w:t>
      </w:r>
      <w:r w:rsidR="00AD7D7C" w:rsidRPr="00E03CD7">
        <w:t xml:space="preserve">strategies to </w:t>
      </w:r>
      <w:r w:rsidR="001A277F">
        <w:t>expand educator capacity</w:t>
      </w:r>
      <w:r w:rsidR="00AD7D7C" w:rsidRPr="00E03CD7">
        <w:t>,</w:t>
      </w:r>
      <w:r w:rsidR="001A277F">
        <w:t xml:space="preserve"> </w:t>
      </w:r>
      <w:r w:rsidR="002D5932">
        <w:t>enhance</w:t>
      </w:r>
      <w:r w:rsidR="00AD7D7C" w:rsidRPr="00E03CD7">
        <w:t xml:space="preserve"> program visibility, and </w:t>
      </w:r>
      <w:r w:rsidR="002D5932">
        <w:t>offer</w:t>
      </w:r>
      <w:r w:rsidR="00AD7D7C" w:rsidRPr="00E03CD7">
        <w:t xml:space="preserve"> flexib</w:t>
      </w:r>
      <w:r w:rsidR="002603EE">
        <w:t>le training options</w:t>
      </w:r>
      <w:r w:rsidR="00012E10">
        <w:t>.</w:t>
      </w:r>
    </w:p>
    <w:p w14:paraId="25F37B0A" w14:textId="77777777" w:rsidR="00F62B10" w:rsidRDefault="00F62B10" w:rsidP="00F62B10">
      <w:pPr>
        <w:pStyle w:val="Heading4"/>
      </w:pPr>
      <w:r>
        <w:t>Profile of PEPA Aged Care participating sites and participants</w:t>
      </w:r>
    </w:p>
    <w:p w14:paraId="31482A2B" w14:textId="64AF6731" w:rsidR="00657655" w:rsidRDefault="00C3487B" w:rsidP="00C3487B">
      <w:r>
        <w:t>PEPA Aged Care achieved national coverage, delivering placements to sites across all states and territories, and all levels of remoteness (</w:t>
      </w:r>
      <w:r>
        <w:fldChar w:fldCharType="begin"/>
      </w:r>
      <w:r>
        <w:instrText xml:space="preserve"> REF _Ref215039693 \h </w:instrText>
      </w:r>
      <w:r>
        <w:fldChar w:fldCharType="separate"/>
      </w:r>
      <w:r w:rsidR="00167BA0">
        <w:t xml:space="preserve">Table </w:t>
      </w:r>
      <w:r w:rsidR="00167BA0">
        <w:rPr>
          <w:noProof/>
        </w:rPr>
        <w:t>9</w:t>
      </w:r>
      <w:r w:rsidR="00167BA0">
        <w:t>.</w:t>
      </w:r>
      <w:r w:rsidR="00167BA0">
        <w:rPr>
          <w:noProof/>
        </w:rPr>
        <w:t>10</w:t>
      </w:r>
      <w:r>
        <w:fldChar w:fldCharType="end"/>
      </w:r>
      <w:r w:rsidR="007A0933">
        <w:t xml:space="preserve"> and</w:t>
      </w:r>
      <w:r>
        <w:t xml:space="preserve"> </w:t>
      </w:r>
      <w:r w:rsidR="007A0933">
        <w:fldChar w:fldCharType="begin"/>
      </w:r>
      <w:r w:rsidR="007A0933">
        <w:instrText xml:space="preserve"> REF _Ref215039697 \h </w:instrText>
      </w:r>
      <w:r w:rsidR="007A0933">
        <w:fldChar w:fldCharType="separate"/>
      </w:r>
      <w:r w:rsidR="00167BA0">
        <w:t xml:space="preserve">Table </w:t>
      </w:r>
      <w:r w:rsidR="00167BA0">
        <w:rPr>
          <w:noProof/>
        </w:rPr>
        <w:t>9</w:t>
      </w:r>
      <w:r w:rsidR="00167BA0">
        <w:t>.</w:t>
      </w:r>
      <w:r w:rsidR="00167BA0">
        <w:rPr>
          <w:noProof/>
        </w:rPr>
        <w:t>11</w:t>
      </w:r>
      <w:r w:rsidR="007A0933">
        <w:fldChar w:fldCharType="end"/>
      </w:r>
      <w:r>
        <w:t xml:space="preserve">, </w:t>
      </w:r>
      <w:r>
        <w:fldChar w:fldCharType="begin"/>
      </w:r>
      <w:r>
        <w:instrText xml:space="preserve"> REF _Ref214614002 \n \h </w:instrText>
      </w:r>
      <w:r>
        <w:fldChar w:fldCharType="separate"/>
      </w:r>
      <w:r w:rsidR="00167BA0">
        <w:t>Appendix C</w:t>
      </w:r>
      <w:r>
        <w:fldChar w:fldCharType="end"/>
      </w:r>
      <w:r>
        <w:t xml:space="preserve">). </w:t>
      </w:r>
      <w:r w:rsidR="002B0148">
        <w:t>T</w:t>
      </w:r>
      <w:r>
        <w:t>he overall distribution of placements was broadly aligned with the national provider profile</w:t>
      </w:r>
      <w:r>
        <w:rPr>
          <w:rStyle w:val="FootnoteReference"/>
        </w:rPr>
        <w:footnoteReference w:id="3"/>
      </w:r>
      <w:r w:rsidR="002B0148">
        <w:t>.</w:t>
      </w:r>
      <w:r>
        <w:t xml:space="preserve"> </w:t>
      </w:r>
      <w:r w:rsidR="004C5E80" w:rsidRPr="004C5E80">
        <w:t xml:space="preserve">Victoria, Queensland, and the Northern Territory were overrepresented, </w:t>
      </w:r>
      <w:r w:rsidR="00AA24D6">
        <w:t xml:space="preserve">whereas New South Wales, South </w:t>
      </w:r>
      <w:r w:rsidR="00AA24D6">
        <w:t>Australia, and very remote areas were underrepresented</w:t>
      </w:r>
      <w:r w:rsidR="00CF3603">
        <w:t xml:space="preserve">, though not </w:t>
      </w:r>
      <w:r w:rsidR="008770F5">
        <w:t>to a significant extent</w:t>
      </w:r>
      <w:r>
        <w:t>.</w:t>
      </w:r>
    </w:p>
    <w:p w14:paraId="5A5F8474" w14:textId="7C479E9B" w:rsidR="009967C0" w:rsidRDefault="00F30829" w:rsidP="00F30829">
      <w:r>
        <w:t xml:space="preserve">Most reverse PEPA Aged Care placements </w:t>
      </w:r>
      <w:r w:rsidR="00D61B4D">
        <w:t xml:space="preserve">were delivered </w:t>
      </w:r>
      <w:r>
        <w:t>in residential aged care</w:t>
      </w:r>
      <w:r w:rsidR="00D61B4D">
        <w:t xml:space="preserve"> settings</w:t>
      </w:r>
      <w:r>
        <w:t xml:space="preserve"> (85.8%)</w:t>
      </w:r>
      <w:r w:rsidR="00673487">
        <w:t xml:space="preserve">. </w:t>
      </w:r>
      <w:r w:rsidR="00C6532D">
        <w:t xml:space="preserve">Reach into other settings was </w:t>
      </w:r>
      <w:r w:rsidR="00EC4D78">
        <w:t xml:space="preserve">more </w:t>
      </w:r>
      <w:r w:rsidR="00C6532D">
        <w:t>limited, with s</w:t>
      </w:r>
      <w:r>
        <w:t>maller proportions</w:t>
      </w:r>
      <w:r w:rsidR="00E338C2">
        <w:t xml:space="preserve"> </w:t>
      </w:r>
      <w:r w:rsidR="00C6532D">
        <w:t>of placements d</w:t>
      </w:r>
      <w:r w:rsidR="00E338C2">
        <w:t>elivered</w:t>
      </w:r>
      <w:r>
        <w:t xml:space="preserve"> in community aged care (8.9%), other community care settings </w:t>
      </w:r>
      <w:r w:rsidR="00872ABC">
        <w:t>(</w:t>
      </w:r>
      <w:r w:rsidR="00F05794">
        <w:t>including home care</w:t>
      </w:r>
      <w:r w:rsidR="00872ABC">
        <w:t xml:space="preserve">; </w:t>
      </w:r>
      <w:r>
        <w:t>4.9%), and hospitals (</w:t>
      </w:r>
      <w:r w:rsidR="000B7E5D">
        <w:t>0.4</w:t>
      </w:r>
      <w:r>
        <w:t xml:space="preserve">%; </w:t>
      </w:r>
      <w:r>
        <w:fldChar w:fldCharType="begin"/>
      </w:r>
      <w:r>
        <w:instrText xml:space="preserve"> REF _Ref214889794 \h </w:instrText>
      </w:r>
      <w:r>
        <w:fldChar w:fldCharType="separate"/>
      </w:r>
      <w:r w:rsidR="00167BA0">
        <w:t xml:space="preserve">Table </w:t>
      </w:r>
      <w:r w:rsidR="00167BA0">
        <w:rPr>
          <w:noProof/>
        </w:rPr>
        <w:t>9</w:t>
      </w:r>
      <w:r w:rsidR="00167BA0">
        <w:t>.</w:t>
      </w:r>
      <w:r w:rsidR="00167BA0">
        <w:rPr>
          <w:noProof/>
        </w:rPr>
        <w:t>8</w:t>
      </w:r>
      <w:r>
        <w:fldChar w:fldCharType="end"/>
      </w:r>
      <w:r>
        <w:t xml:space="preserve">, </w:t>
      </w:r>
      <w:r>
        <w:fldChar w:fldCharType="begin"/>
      </w:r>
      <w:r>
        <w:instrText xml:space="preserve"> REF _Ref214614002 \n \h </w:instrText>
      </w:r>
      <w:r>
        <w:fldChar w:fldCharType="separate"/>
      </w:r>
      <w:r w:rsidR="00167BA0">
        <w:t>Appendix C</w:t>
      </w:r>
      <w:r>
        <w:fldChar w:fldCharType="end"/>
      </w:r>
      <w:r>
        <w:t>)</w:t>
      </w:r>
      <w:r w:rsidR="00CC4DB8">
        <w:t xml:space="preserve">. </w:t>
      </w:r>
      <w:r w:rsidR="00393500" w:rsidRPr="00393500">
        <w:t>This pattern likely reflects both high</w:t>
      </w:r>
      <w:r w:rsidR="00EC4D78">
        <w:t>er</w:t>
      </w:r>
      <w:r w:rsidR="00393500" w:rsidRPr="00393500">
        <w:t xml:space="preserve"> demand in residential aged care and stakeholder perceptions that the reverse placement model </w:t>
      </w:r>
      <w:r w:rsidR="00D6257E">
        <w:t>was</w:t>
      </w:r>
      <w:r w:rsidR="00393500" w:rsidRPr="00393500">
        <w:t xml:space="preserve"> less suited to home care </w:t>
      </w:r>
      <w:r w:rsidR="00210CA8">
        <w:t>contexts</w:t>
      </w:r>
      <w:r w:rsidR="00210CA8" w:rsidRPr="00393500">
        <w:t xml:space="preserve"> </w:t>
      </w:r>
      <w:r w:rsidR="00393500" w:rsidRPr="00393500">
        <w:t>(see Section 4.2.2).</w:t>
      </w:r>
    </w:p>
    <w:p w14:paraId="07FA7D69" w14:textId="6F2DFE5A" w:rsidR="00F971FA" w:rsidRDefault="00F971FA" w:rsidP="00A1354A">
      <w:r>
        <w:t xml:space="preserve">As shown in </w:t>
      </w:r>
      <w:r>
        <w:fldChar w:fldCharType="begin"/>
      </w:r>
      <w:r>
        <w:instrText xml:space="preserve"> REF _Ref214900642 \h </w:instrText>
      </w:r>
      <w:r>
        <w:fldChar w:fldCharType="separate"/>
      </w:r>
      <w:r w:rsidR="00167BA0">
        <w:t xml:space="preserve">Table </w:t>
      </w:r>
      <w:r w:rsidR="00167BA0">
        <w:rPr>
          <w:noProof/>
        </w:rPr>
        <w:t>5</w:t>
      </w:r>
      <w:r w:rsidR="00167BA0">
        <w:t>.</w:t>
      </w:r>
      <w:r w:rsidR="00167BA0">
        <w:rPr>
          <w:noProof/>
        </w:rPr>
        <w:t>1</w:t>
      </w:r>
      <w:r>
        <w:fldChar w:fldCharType="end"/>
      </w:r>
      <w:r>
        <w:t xml:space="preserve"> (with further detail in </w:t>
      </w:r>
      <w:r>
        <w:fldChar w:fldCharType="begin"/>
      </w:r>
      <w:r>
        <w:instrText xml:space="preserve"> REF _Ref214900672 \h </w:instrText>
      </w:r>
      <w:r>
        <w:fldChar w:fldCharType="separate"/>
      </w:r>
      <w:r w:rsidR="00167BA0">
        <w:t xml:space="preserve">Table </w:t>
      </w:r>
      <w:r w:rsidR="00167BA0">
        <w:rPr>
          <w:noProof/>
        </w:rPr>
        <w:t>9</w:t>
      </w:r>
      <w:r w:rsidR="00167BA0">
        <w:t>.</w:t>
      </w:r>
      <w:r w:rsidR="00167BA0">
        <w:rPr>
          <w:noProof/>
        </w:rPr>
        <w:t>9</w:t>
      </w:r>
      <w:r>
        <w:fldChar w:fldCharType="end"/>
      </w:r>
      <w:r>
        <w:t xml:space="preserve">, </w:t>
      </w:r>
      <w:r>
        <w:fldChar w:fldCharType="begin"/>
      </w:r>
      <w:r>
        <w:instrText xml:space="preserve"> REF _Ref214614002 \n \h </w:instrText>
      </w:r>
      <w:r>
        <w:fldChar w:fldCharType="separate"/>
      </w:r>
      <w:r w:rsidR="00167BA0">
        <w:t>Appendix C</w:t>
      </w:r>
      <w:r>
        <w:fldChar w:fldCharType="end"/>
      </w:r>
      <w:r>
        <w:t>), participants represented a diverse range of roles</w:t>
      </w:r>
      <w:r w:rsidR="00527CD5">
        <w:t>. However</w:t>
      </w:r>
      <w:r>
        <w:t xml:space="preserve">, </w:t>
      </w:r>
      <w:r w:rsidR="00A1354A">
        <w:t xml:space="preserve">the majority were </w:t>
      </w:r>
      <w:r w:rsidR="00C7545C">
        <w:t>direct care</w:t>
      </w:r>
      <w:r w:rsidR="00A1354A">
        <w:t xml:space="preserve"> staff, </w:t>
      </w:r>
      <w:r w:rsidR="004F5AC3">
        <w:t xml:space="preserve">including </w:t>
      </w:r>
      <w:r>
        <w:t xml:space="preserve">nursing staff </w:t>
      </w:r>
      <w:r w:rsidR="004F5AC3">
        <w:t>(</w:t>
      </w:r>
      <w:r>
        <w:t>39.5%</w:t>
      </w:r>
      <w:r w:rsidR="004F5AC3">
        <w:t>)</w:t>
      </w:r>
      <w:r>
        <w:t xml:space="preserve"> </w:t>
      </w:r>
      <w:r w:rsidR="004F5AC3">
        <w:t>and</w:t>
      </w:r>
      <w:r>
        <w:t xml:space="preserve"> non-clinical direct care workers (38.0%)</w:t>
      </w:r>
      <w:r w:rsidR="004F5AC3">
        <w:t xml:space="preserve">. </w:t>
      </w:r>
      <w:r>
        <w:t>Participation among allied health</w:t>
      </w:r>
      <w:r w:rsidR="00080161">
        <w:t xml:space="preserve"> professionals (3.4%),</w:t>
      </w:r>
      <w:r>
        <w:t xml:space="preserve"> mental health professionals (</w:t>
      </w:r>
      <w:r w:rsidR="00080161">
        <w:t>1.8</w:t>
      </w:r>
      <w:r>
        <w:t xml:space="preserve">%), medical practitioners (0.1%) and Aboriginal and Torres Strait Islander health workers </w:t>
      </w:r>
      <w:r w:rsidR="00D12047">
        <w:t xml:space="preserve">(0.1%) </w:t>
      </w:r>
      <w:r>
        <w:t>was minimal</w:t>
      </w:r>
      <w:r w:rsidR="00F025B8">
        <w:t xml:space="preserve">. </w:t>
      </w:r>
      <w:r w:rsidR="00CE6ED9">
        <w:t xml:space="preserve">Given that most placements occurred in residential aged care and promotional strategies were primarily confined to existing PEPA channels, </w:t>
      </w:r>
      <w:r w:rsidR="00B36B1C">
        <w:t xml:space="preserve">this </w:t>
      </w:r>
      <w:r w:rsidR="004034C9">
        <w:t xml:space="preserve">pattern </w:t>
      </w:r>
      <w:r w:rsidR="00927BDB">
        <w:t>was not unexpected</w:t>
      </w:r>
      <w:r w:rsidR="00C306CF">
        <w:t xml:space="preserve">. </w:t>
      </w:r>
      <w:r w:rsidR="00473392">
        <w:t>A</w:t>
      </w:r>
      <w:r w:rsidR="00C306CF">
        <w:t>s discussed in Section 4.1</w:t>
      </w:r>
      <w:r w:rsidR="0086206A">
        <w:t xml:space="preserve">, stakeholders emphasised that </w:t>
      </w:r>
      <w:r w:rsidR="00675D7E">
        <w:t xml:space="preserve">strengthening engagement </w:t>
      </w:r>
      <w:r w:rsidR="00E223A4">
        <w:t xml:space="preserve">with </w:t>
      </w:r>
      <w:r w:rsidR="00675D7E">
        <w:t xml:space="preserve">primary and allied health professionals </w:t>
      </w:r>
      <w:r w:rsidR="00CE6ED9">
        <w:t xml:space="preserve">could </w:t>
      </w:r>
      <w:r w:rsidR="00E223A4">
        <w:t xml:space="preserve">support more integrated </w:t>
      </w:r>
      <w:r w:rsidR="00CE6ED9">
        <w:t>palliative care delivery in aged care</w:t>
      </w:r>
      <w:r w:rsidR="00E223A4">
        <w:t xml:space="preserve"> settings</w:t>
      </w:r>
      <w:r w:rsidR="00A869FF">
        <w:t>.</w:t>
      </w:r>
    </w:p>
    <w:p w14:paraId="2FA9C7D6" w14:textId="0AA0FF9D" w:rsidR="00F971FA" w:rsidRDefault="00F971FA" w:rsidP="00F971FA">
      <w:pPr>
        <w:pStyle w:val="Caption"/>
      </w:pPr>
      <w:bookmarkStart w:id="77" w:name="_Ref214900642"/>
      <w:r>
        <w:t xml:space="preserve">Table </w:t>
      </w:r>
      <w:fldSimple w:instr=" STYLEREF 1 \s ">
        <w:r w:rsidR="0091457A">
          <w:rPr>
            <w:noProof/>
          </w:rPr>
          <w:t>5</w:t>
        </w:r>
      </w:fldSimple>
      <w:r w:rsidR="0091457A">
        <w:t>.</w:t>
      </w:r>
      <w:fldSimple w:instr=" SEQ Table \* ARABIC \s 1 ">
        <w:r w:rsidR="0091457A">
          <w:rPr>
            <w:noProof/>
          </w:rPr>
          <w:t>1</w:t>
        </w:r>
      </w:fldSimple>
      <w:bookmarkEnd w:id="77"/>
      <w:r>
        <w:t xml:space="preserve">: </w:t>
      </w:r>
      <w:r w:rsidRPr="00FC7895">
        <w:t>Number of PEPA Aged Care participants by financial year and</w:t>
      </w:r>
      <w:r>
        <w:t xml:space="preserve"> professional role</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participant roles"/>
        <w:tblDescription w:val="Table shows PEPA Aged Care participants by professional role from 2021–22 to 2024–25."/>
      </w:tblPr>
      <w:tblGrid>
        <w:gridCol w:w="2364"/>
        <w:gridCol w:w="826"/>
        <w:gridCol w:w="826"/>
        <w:gridCol w:w="826"/>
        <w:gridCol w:w="826"/>
        <w:gridCol w:w="766"/>
        <w:gridCol w:w="856"/>
      </w:tblGrid>
      <w:tr w:rsidR="006505B0" w14:paraId="4580B4C0" w14:textId="77777777" w:rsidTr="00993ABC">
        <w:trPr>
          <w:cnfStyle w:val="100000000000" w:firstRow="1" w:lastRow="0" w:firstColumn="0" w:lastColumn="0" w:oddVBand="0" w:evenVBand="0" w:oddHBand="0" w:evenHBand="0" w:firstRowFirstColumn="0" w:firstRowLastColumn="0" w:lastRowFirstColumn="0" w:lastRowLastColumn="0"/>
          <w:tblHeader/>
        </w:trPr>
        <w:tc>
          <w:tcPr>
            <w:tcW w:w="0" w:type="auto"/>
          </w:tcPr>
          <w:p w14:paraId="1F643A68" w14:textId="3617BB14" w:rsidR="006505B0" w:rsidRDefault="0015342E">
            <w:pPr>
              <w:spacing w:before="0" w:after="0"/>
            </w:pPr>
            <w:r>
              <w:t>Professional role</w:t>
            </w:r>
          </w:p>
        </w:tc>
        <w:tc>
          <w:tcPr>
            <w:tcW w:w="0" w:type="auto"/>
          </w:tcPr>
          <w:p w14:paraId="57510630" w14:textId="77777777" w:rsidR="006505B0" w:rsidRDefault="006505B0">
            <w:pPr>
              <w:spacing w:before="0" w:after="0"/>
              <w:jc w:val="center"/>
              <w:rPr>
                <w:caps w:val="0"/>
              </w:rPr>
            </w:pPr>
            <w:r>
              <w:t>2021–22</w:t>
            </w:r>
          </w:p>
          <w:p w14:paraId="63215D34" w14:textId="04F176D2" w:rsidR="0015342E" w:rsidRDefault="0015342E">
            <w:pPr>
              <w:spacing w:before="0" w:after="0"/>
              <w:jc w:val="center"/>
            </w:pPr>
            <w:r>
              <w:t>N</w:t>
            </w:r>
          </w:p>
        </w:tc>
        <w:tc>
          <w:tcPr>
            <w:tcW w:w="0" w:type="auto"/>
          </w:tcPr>
          <w:p w14:paraId="4D08C2E8" w14:textId="77777777" w:rsidR="006505B0" w:rsidRDefault="006505B0">
            <w:pPr>
              <w:spacing w:before="0" w:after="0"/>
              <w:jc w:val="center"/>
              <w:rPr>
                <w:caps w:val="0"/>
              </w:rPr>
            </w:pPr>
            <w:r>
              <w:t>2022–23</w:t>
            </w:r>
          </w:p>
          <w:p w14:paraId="1201814A" w14:textId="314A0C2A" w:rsidR="0015342E" w:rsidRDefault="0015342E">
            <w:pPr>
              <w:spacing w:before="0" w:after="0"/>
              <w:jc w:val="center"/>
            </w:pPr>
            <w:r>
              <w:t>N</w:t>
            </w:r>
          </w:p>
        </w:tc>
        <w:tc>
          <w:tcPr>
            <w:tcW w:w="0" w:type="auto"/>
          </w:tcPr>
          <w:p w14:paraId="21C628EF" w14:textId="77777777" w:rsidR="006505B0" w:rsidRDefault="006505B0">
            <w:pPr>
              <w:spacing w:before="0" w:after="0"/>
              <w:jc w:val="center"/>
              <w:rPr>
                <w:caps w:val="0"/>
              </w:rPr>
            </w:pPr>
            <w:r>
              <w:t>2023–24</w:t>
            </w:r>
          </w:p>
          <w:p w14:paraId="5EC9AEDA" w14:textId="3DB9398D" w:rsidR="0015342E" w:rsidRDefault="0015342E">
            <w:pPr>
              <w:spacing w:before="0" w:after="0"/>
              <w:jc w:val="center"/>
            </w:pPr>
            <w:r>
              <w:t>N</w:t>
            </w:r>
          </w:p>
        </w:tc>
        <w:tc>
          <w:tcPr>
            <w:tcW w:w="0" w:type="auto"/>
          </w:tcPr>
          <w:p w14:paraId="5A2186A1" w14:textId="77777777" w:rsidR="006505B0" w:rsidRDefault="006505B0">
            <w:pPr>
              <w:spacing w:before="0" w:after="0"/>
              <w:jc w:val="center"/>
              <w:rPr>
                <w:caps w:val="0"/>
              </w:rPr>
            </w:pPr>
            <w:r>
              <w:t>2024–25</w:t>
            </w:r>
          </w:p>
          <w:p w14:paraId="7A45B928" w14:textId="0350FE0D" w:rsidR="0015342E" w:rsidRDefault="0015342E">
            <w:pPr>
              <w:spacing w:before="0" w:after="0"/>
              <w:jc w:val="center"/>
            </w:pPr>
            <w:r>
              <w:t>N</w:t>
            </w:r>
          </w:p>
        </w:tc>
        <w:tc>
          <w:tcPr>
            <w:tcW w:w="0" w:type="auto"/>
          </w:tcPr>
          <w:p w14:paraId="36600E39" w14:textId="13F25318" w:rsidR="006505B0" w:rsidRDefault="006505B0">
            <w:pPr>
              <w:spacing w:before="0" w:after="0"/>
              <w:jc w:val="center"/>
              <w:rPr>
                <w:caps w:val="0"/>
              </w:rPr>
            </w:pPr>
            <w:r>
              <w:t>Total N</w:t>
            </w:r>
          </w:p>
        </w:tc>
        <w:tc>
          <w:tcPr>
            <w:tcW w:w="0" w:type="auto"/>
          </w:tcPr>
          <w:p w14:paraId="5FDD3D2C" w14:textId="4C424920" w:rsidR="006505B0" w:rsidRDefault="006505B0">
            <w:pPr>
              <w:spacing w:before="0" w:after="0"/>
              <w:jc w:val="center"/>
            </w:pPr>
            <w:r>
              <w:t>Total %</w:t>
            </w:r>
          </w:p>
        </w:tc>
      </w:tr>
      <w:tr w:rsidR="00F971FA" w14:paraId="78C64F73" w14:textId="77777777" w:rsidTr="00993ABC">
        <w:trPr>
          <w:cnfStyle w:val="000000100000" w:firstRow="0" w:lastRow="0" w:firstColumn="0" w:lastColumn="0" w:oddVBand="0" w:evenVBand="0" w:oddHBand="1" w:evenHBand="0" w:firstRowFirstColumn="0" w:firstRowLastColumn="0" w:lastRowFirstColumn="0" w:lastRowLastColumn="0"/>
        </w:trPr>
        <w:tc>
          <w:tcPr>
            <w:tcW w:w="0" w:type="auto"/>
          </w:tcPr>
          <w:p w14:paraId="2C4F5280" w14:textId="784E5849" w:rsidR="00F971FA" w:rsidRDefault="00F971FA">
            <w:pPr>
              <w:spacing w:before="0" w:after="0"/>
            </w:pPr>
            <w:r>
              <w:t>Clinical – nursing</w:t>
            </w:r>
            <w:r w:rsidR="00A45AAF">
              <w:t>*</w:t>
            </w:r>
          </w:p>
        </w:tc>
        <w:tc>
          <w:tcPr>
            <w:tcW w:w="0" w:type="auto"/>
          </w:tcPr>
          <w:p w14:paraId="7A1CCD2A" w14:textId="77777777" w:rsidR="00F971FA" w:rsidRPr="000038DC" w:rsidRDefault="00F971FA">
            <w:pPr>
              <w:pStyle w:val="TableText"/>
              <w:jc w:val="center"/>
            </w:pPr>
            <w:r w:rsidRPr="000038DC">
              <w:t>109</w:t>
            </w:r>
          </w:p>
        </w:tc>
        <w:tc>
          <w:tcPr>
            <w:tcW w:w="0" w:type="auto"/>
          </w:tcPr>
          <w:p w14:paraId="3DF7CE34" w14:textId="77777777" w:rsidR="00F971FA" w:rsidRPr="000038DC" w:rsidRDefault="00F971FA">
            <w:pPr>
              <w:pStyle w:val="TableText"/>
              <w:jc w:val="center"/>
            </w:pPr>
            <w:r w:rsidRPr="000038DC">
              <w:t>486</w:t>
            </w:r>
          </w:p>
        </w:tc>
        <w:tc>
          <w:tcPr>
            <w:tcW w:w="0" w:type="auto"/>
          </w:tcPr>
          <w:p w14:paraId="66AE63CD" w14:textId="77777777" w:rsidR="00F971FA" w:rsidRPr="000038DC" w:rsidRDefault="00F971FA">
            <w:pPr>
              <w:pStyle w:val="TableText"/>
              <w:jc w:val="center"/>
            </w:pPr>
            <w:r w:rsidRPr="000038DC">
              <w:t>744</w:t>
            </w:r>
          </w:p>
        </w:tc>
        <w:tc>
          <w:tcPr>
            <w:tcW w:w="0" w:type="auto"/>
          </w:tcPr>
          <w:p w14:paraId="4B37912E" w14:textId="77777777" w:rsidR="00F971FA" w:rsidRPr="000038DC" w:rsidRDefault="00F971FA">
            <w:pPr>
              <w:pStyle w:val="TableText"/>
              <w:jc w:val="center"/>
            </w:pPr>
            <w:r w:rsidRPr="000038DC">
              <w:t>735</w:t>
            </w:r>
          </w:p>
        </w:tc>
        <w:tc>
          <w:tcPr>
            <w:tcW w:w="0" w:type="auto"/>
          </w:tcPr>
          <w:p w14:paraId="2DC96628" w14:textId="77777777" w:rsidR="00F971FA" w:rsidRPr="000038DC" w:rsidRDefault="00F971FA">
            <w:pPr>
              <w:pStyle w:val="TableText"/>
              <w:jc w:val="center"/>
            </w:pPr>
            <w:r w:rsidRPr="000038DC">
              <w:t>2074</w:t>
            </w:r>
          </w:p>
        </w:tc>
        <w:tc>
          <w:tcPr>
            <w:tcW w:w="0" w:type="auto"/>
          </w:tcPr>
          <w:p w14:paraId="2260DB35" w14:textId="77777777" w:rsidR="00F971FA" w:rsidRPr="000038DC" w:rsidRDefault="00F971FA">
            <w:pPr>
              <w:pStyle w:val="TableText"/>
              <w:jc w:val="center"/>
            </w:pPr>
            <w:r w:rsidRPr="000038DC">
              <w:t>39.5%</w:t>
            </w:r>
          </w:p>
        </w:tc>
      </w:tr>
      <w:tr w:rsidR="00F971FA" w14:paraId="3E047922" w14:textId="77777777" w:rsidTr="00993ABC">
        <w:trPr>
          <w:cnfStyle w:val="000000010000" w:firstRow="0" w:lastRow="0" w:firstColumn="0" w:lastColumn="0" w:oddVBand="0" w:evenVBand="0" w:oddHBand="0" w:evenHBand="1" w:firstRowFirstColumn="0" w:firstRowLastColumn="0" w:lastRowFirstColumn="0" w:lastRowLastColumn="0"/>
        </w:trPr>
        <w:tc>
          <w:tcPr>
            <w:tcW w:w="0" w:type="auto"/>
          </w:tcPr>
          <w:p w14:paraId="6AE2EEC1" w14:textId="08ACD4AD" w:rsidR="00F971FA" w:rsidRDefault="00F971FA">
            <w:pPr>
              <w:spacing w:before="0" w:after="0"/>
            </w:pPr>
            <w:r>
              <w:t>Non-clinical direct care</w:t>
            </w:r>
          </w:p>
        </w:tc>
        <w:tc>
          <w:tcPr>
            <w:tcW w:w="0" w:type="auto"/>
          </w:tcPr>
          <w:p w14:paraId="1EEE453F" w14:textId="77777777" w:rsidR="00F971FA" w:rsidRPr="000038DC" w:rsidRDefault="00F971FA">
            <w:pPr>
              <w:pStyle w:val="TableText"/>
              <w:jc w:val="center"/>
            </w:pPr>
            <w:r w:rsidRPr="000038DC">
              <w:t>41</w:t>
            </w:r>
          </w:p>
        </w:tc>
        <w:tc>
          <w:tcPr>
            <w:tcW w:w="0" w:type="auto"/>
          </w:tcPr>
          <w:p w14:paraId="35E3415A" w14:textId="77777777" w:rsidR="00F971FA" w:rsidRPr="000038DC" w:rsidRDefault="00F971FA">
            <w:pPr>
              <w:pStyle w:val="TableText"/>
              <w:jc w:val="center"/>
            </w:pPr>
            <w:r w:rsidRPr="000038DC">
              <w:t>457</w:t>
            </w:r>
          </w:p>
        </w:tc>
        <w:tc>
          <w:tcPr>
            <w:tcW w:w="0" w:type="auto"/>
          </w:tcPr>
          <w:p w14:paraId="6A4EEDC3" w14:textId="77777777" w:rsidR="00F971FA" w:rsidRPr="000038DC" w:rsidRDefault="00F971FA">
            <w:pPr>
              <w:pStyle w:val="TableText"/>
              <w:jc w:val="center"/>
            </w:pPr>
            <w:r w:rsidRPr="000038DC">
              <w:t>796</w:t>
            </w:r>
          </w:p>
        </w:tc>
        <w:tc>
          <w:tcPr>
            <w:tcW w:w="0" w:type="auto"/>
          </w:tcPr>
          <w:p w14:paraId="71044A66" w14:textId="77777777" w:rsidR="00F971FA" w:rsidRPr="000038DC" w:rsidRDefault="00F971FA">
            <w:pPr>
              <w:pStyle w:val="TableText"/>
              <w:jc w:val="center"/>
            </w:pPr>
            <w:r w:rsidRPr="000038DC">
              <w:t>700</w:t>
            </w:r>
          </w:p>
        </w:tc>
        <w:tc>
          <w:tcPr>
            <w:tcW w:w="0" w:type="auto"/>
          </w:tcPr>
          <w:p w14:paraId="4CA70EDC" w14:textId="77777777" w:rsidR="00F971FA" w:rsidRPr="000038DC" w:rsidRDefault="00F971FA">
            <w:pPr>
              <w:pStyle w:val="TableText"/>
              <w:jc w:val="center"/>
            </w:pPr>
            <w:r w:rsidRPr="000038DC">
              <w:t>1994</w:t>
            </w:r>
          </w:p>
        </w:tc>
        <w:tc>
          <w:tcPr>
            <w:tcW w:w="0" w:type="auto"/>
          </w:tcPr>
          <w:p w14:paraId="3FF1E5AA" w14:textId="77777777" w:rsidR="00F971FA" w:rsidRPr="000038DC" w:rsidRDefault="00F971FA">
            <w:pPr>
              <w:pStyle w:val="TableText"/>
              <w:jc w:val="center"/>
            </w:pPr>
            <w:r w:rsidRPr="000038DC">
              <w:t>38.0%</w:t>
            </w:r>
          </w:p>
        </w:tc>
      </w:tr>
      <w:tr w:rsidR="00F971FA" w14:paraId="4F6EE994" w14:textId="77777777" w:rsidTr="00993ABC">
        <w:trPr>
          <w:cnfStyle w:val="000000100000" w:firstRow="0" w:lastRow="0" w:firstColumn="0" w:lastColumn="0" w:oddVBand="0" w:evenVBand="0" w:oddHBand="1" w:evenHBand="0" w:firstRowFirstColumn="0" w:firstRowLastColumn="0" w:lastRowFirstColumn="0" w:lastRowLastColumn="0"/>
        </w:trPr>
        <w:tc>
          <w:tcPr>
            <w:tcW w:w="0" w:type="auto"/>
          </w:tcPr>
          <w:p w14:paraId="4CA7E70A" w14:textId="19FF7C2B" w:rsidR="00F971FA" w:rsidRDefault="00F971FA">
            <w:pPr>
              <w:spacing w:before="0" w:after="0"/>
            </w:pPr>
            <w:r>
              <w:t>Non-clinical other</w:t>
            </w:r>
            <w:r w:rsidR="00F55B7B" w:rsidRPr="00F55B7B">
              <w:rPr>
                <w:vertAlign w:val="superscript"/>
              </w:rPr>
              <w:t>#</w:t>
            </w:r>
          </w:p>
        </w:tc>
        <w:tc>
          <w:tcPr>
            <w:tcW w:w="0" w:type="auto"/>
          </w:tcPr>
          <w:p w14:paraId="605754BB" w14:textId="77777777" w:rsidR="00F971FA" w:rsidRPr="000038DC" w:rsidRDefault="00F971FA">
            <w:pPr>
              <w:pStyle w:val="TableText"/>
              <w:jc w:val="center"/>
            </w:pPr>
            <w:r w:rsidRPr="000038DC">
              <w:t>5</w:t>
            </w:r>
          </w:p>
        </w:tc>
        <w:tc>
          <w:tcPr>
            <w:tcW w:w="0" w:type="auto"/>
          </w:tcPr>
          <w:p w14:paraId="115A6B91" w14:textId="77777777" w:rsidR="00F971FA" w:rsidRPr="000038DC" w:rsidRDefault="00F971FA">
            <w:pPr>
              <w:pStyle w:val="TableText"/>
              <w:jc w:val="center"/>
            </w:pPr>
            <w:r w:rsidRPr="000038DC">
              <w:t>66</w:t>
            </w:r>
          </w:p>
        </w:tc>
        <w:tc>
          <w:tcPr>
            <w:tcW w:w="0" w:type="auto"/>
          </w:tcPr>
          <w:p w14:paraId="54DD6727" w14:textId="77777777" w:rsidR="00F971FA" w:rsidRPr="000038DC" w:rsidRDefault="00F971FA">
            <w:pPr>
              <w:pStyle w:val="TableText"/>
              <w:jc w:val="center"/>
            </w:pPr>
            <w:r w:rsidRPr="000038DC">
              <w:t>485</w:t>
            </w:r>
          </w:p>
        </w:tc>
        <w:tc>
          <w:tcPr>
            <w:tcW w:w="0" w:type="auto"/>
          </w:tcPr>
          <w:p w14:paraId="4CCB15F7" w14:textId="77777777" w:rsidR="00F971FA" w:rsidRPr="000038DC" w:rsidRDefault="00F971FA">
            <w:pPr>
              <w:pStyle w:val="TableText"/>
              <w:jc w:val="center"/>
            </w:pPr>
            <w:r w:rsidRPr="000038DC">
              <w:t>341</w:t>
            </w:r>
          </w:p>
        </w:tc>
        <w:tc>
          <w:tcPr>
            <w:tcW w:w="0" w:type="auto"/>
          </w:tcPr>
          <w:p w14:paraId="2616738F" w14:textId="77777777" w:rsidR="00F971FA" w:rsidRPr="000038DC" w:rsidRDefault="00F971FA">
            <w:pPr>
              <w:pStyle w:val="TableText"/>
              <w:jc w:val="center"/>
            </w:pPr>
            <w:r w:rsidRPr="000038DC">
              <w:t>897</w:t>
            </w:r>
          </w:p>
        </w:tc>
        <w:tc>
          <w:tcPr>
            <w:tcW w:w="0" w:type="auto"/>
          </w:tcPr>
          <w:p w14:paraId="465BEBB9" w14:textId="77777777" w:rsidR="00F971FA" w:rsidRPr="000038DC" w:rsidRDefault="00F971FA">
            <w:pPr>
              <w:pStyle w:val="TableText"/>
              <w:jc w:val="center"/>
            </w:pPr>
            <w:r w:rsidRPr="000038DC">
              <w:t>17.1%</w:t>
            </w:r>
          </w:p>
        </w:tc>
      </w:tr>
      <w:tr w:rsidR="00F971FA" w14:paraId="5835AED1" w14:textId="77777777" w:rsidTr="00993ABC">
        <w:trPr>
          <w:cnfStyle w:val="000000010000" w:firstRow="0" w:lastRow="0" w:firstColumn="0" w:lastColumn="0" w:oddVBand="0" w:evenVBand="0" w:oddHBand="0" w:evenHBand="1" w:firstRowFirstColumn="0" w:firstRowLastColumn="0" w:lastRowFirstColumn="0" w:lastRowLastColumn="0"/>
        </w:trPr>
        <w:tc>
          <w:tcPr>
            <w:tcW w:w="0" w:type="auto"/>
          </w:tcPr>
          <w:p w14:paraId="6D03B6A5" w14:textId="6A379F13" w:rsidR="00F971FA" w:rsidRDefault="00F971FA">
            <w:pPr>
              <w:spacing w:before="0" w:after="0"/>
            </w:pPr>
            <w:r>
              <w:lastRenderedPageBreak/>
              <w:t>Allied health</w:t>
            </w:r>
            <w:r w:rsidR="00F55B7B" w:rsidRPr="00F55B7B">
              <w:rPr>
                <w:vertAlign w:val="superscript"/>
              </w:rPr>
              <w:t>~</w:t>
            </w:r>
          </w:p>
        </w:tc>
        <w:tc>
          <w:tcPr>
            <w:tcW w:w="0" w:type="auto"/>
          </w:tcPr>
          <w:p w14:paraId="4282B6A7" w14:textId="1F02F80B" w:rsidR="00F971FA" w:rsidRPr="000038DC" w:rsidRDefault="001A3D75">
            <w:pPr>
              <w:pStyle w:val="TableText"/>
              <w:jc w:val="center"/>
            </w:pPr>
            <w:r>
              <w:t>6</w:t>
            </w:r>
          </w:p>
        </w:tc>
        <w:tc>
          <w:tcPr>
            <w:tcW w:w="0" w:type="auto"/>
          </w:tcPr>
          <w:p w14:paraId="2BA5EEEC" w14:textId="72B59EB8" w:rsidR="00F971FA" w:rsidRPr="000038DC" w:rsidRDefault="001A3D75">
            <w:pPr>
              <w:pStyle w:val="TableText"/>
              <w:jc w:val="center"/>
            </w:pPr>
            <w:r>
              <w:t>49</w:t>
            </w:r>
          </w:p>
        </w:tc>
        <w:tc>
          <w:tcPr>
            <w:tcW w:w="0" w:type="auto"/>
          </w:tcPr>
          <w:p w14:paraId="17CBADCD" w14:textId="516DC3DF" w:rsidR="00F971FA" w:rsidRPr="000038DC" w:rsidRDefault="001A3D75">
            <w:pPr>
              <w:pStyle w:val="TableText"/>
              <w:jc w:val="center"/>
            </w:pPr>
            <w:r>
              <w:t>67</w:t>
            </w:r>
          </w:p>
        </w:tc>
        <w:tc>
          <w:tcPr>
            <w:tcW w:w="0" w:type="auto"/>
          </w:tcPr>
          <w:p w14:paraId="7BD751AF" w14:textId="1AC1A7F1" w:rsidR="00F971FA" w:rsidRPr="000038DC" w:rsidRDefault="001A3D75">
            <w:pPr>
              <w:pStyle w:val="TableText"/>
              <w:jc w:val="center"/>
            </w:pPr>
            <w:r>
              <w:t>58</w:t>
            </w:r>
          </w:p>
        </w:tc>
        <w:tc>
          <w:tcPr>
            <w:tcW w:w="0" w:type="auto"/>
          </w:tcPr>
          <w:p w14:paraId="0E6599F8" w14:textId="2DE917D2" w:rsidR="00F971FA" w:rsidRPr="000038DC" w:rsidRDefault="001A3D75">
            <w:pPr>
              <w:pStyle w:val="TableText"/>
              <w:jc w:val="center"/>
            </w:pPr>
            <w:r>
              <w:t>180</w:t>
            </w:r>
          </w:p>
        </w:tc>
        <w:tc>
          <w:tcPr>
            <w:tcW w:w="0" w:type="auto"/>
          </w:tcPr>
          <w:p w14:paraId="6AD06814" w14:textId="69295E31" w:rsidR="00F971FA" w:rsidRPr="000038DC" w:rsidRDefault="001A3D75">
            <w:pPr>
              <w:pStyle w:val="TableText"/>
              <w:jc w:val="center"/>
            </w:pPr>
            <w:r>
              <w:t>3.4%</w:t>
            </w:r>
          </w:p>
        </w:tc>
      </w:tr>
      <w:tr w:rsidR="00226658" w14:paraId="3D7BB422" w14:textId="77777777" w:rsidTr="00993ABC">
        <w:trPr>
          <w:cnfStyle w:val="000000100000" w:firstRow="0" w:lastRow="0" w:firstColumn="0" w:lastColumn="0" w:oddVBand="0" w:evenVBand="0" w:oddHBand="1" w:evenHBand="0" w:firstRowFirstColumn="0" w:firstRowLastColumn="0" w:lastRowFirstColumn="0" w:lastRowLastColumn="0"/>
        </w:trPr>
        <w:tc>
          <w:tcPr>
            <w:tcW w:w="0" w:type="auto"/>
          </w:tcPr>
          <w:p w14:paraId="587B457A" w14:textId="622F6FC8" w:rsidR="00226658" w:rsidRDefault="00E6613D">
            <w:pPr>
              <w:spacing w:before="0" w:after="0"/>
            </w:pPr>
            <w:r>
              <w:t>Mental health</w:t>
            </w:r>
            <w:r w:rsidR="00604976">
              <w:t>^</w:t>
            </w:r>
          </w:p>
        </w:tc>
        <w:tc>
          <w:tcPr>
            <w:tcW w:w="0" w:type="auto"/>
          </w:tcPr>
          <w:p w14:paraId="0C25412D" w14:textId="7DFC1AAC" w:rsidR="00226658" w:rsidRPr="000038DC" w:rsidRDefault="001A3D75">
            <w:pPr>
              <w:pStyle w:val="TableText"/>
              <w:jc w:val="center"/>
            </w:pPr>
            <w:r>
              <w:t>1</w:t>
            </w:r>
          </w:p>
        </w:tc>
        <w:tc>
          <w:tcPr>
            <w:tcW w:w="0" w:type="auto"/>
          </w:tcPr>
          <w:p w14:paraId="0C420563" w14:textId="4BE17091" w:rsidR="00226658" w:rsidRPr="000038DC" w:rsidRDefault="001A3D75">
            <w:pPr>
              <w:pStyle w:val="TableText"/>
              <w:jc w:val="center"/>
            </w:pPr>
            <w:r>
              <w:t>12</w:t>
            </w:r>
          </w:p>
        </w:tc>
        <w:tc>
          <w:tcPr>
            <w:tcW w:w="0" w:type="auto"/>
          </w:tcPr>
          <w:p w14:paraId="5BD5569E" w14:textId="049B475C" w:rsidR="00226658" w:rsidRPr="000038DC" w:rsidRDefault="001A3D75">
            <w:pPr>
              <w:pStyle w:val="TableText"/>
              <w:jc w:val="center"/>
            </w:pPr>
            <w:r>
              <w:t>41</w:t>
            </w:r>
          </w:p>
        </w:tc>
        <w:tc>
          <w:tcPr>
            <w:tcW w:w="0" w:type="auto"/>
          </w:tcPr>
          <w:p w14:paraId="2268D952" w14:textId="6EDAED74" w:rsidR="00226658" w:rsidRPr="000038DC" w:rsidRDefault="001A3D75">
            <w:pPr>
              <w:pStyle w:val="TableText"/>
              <w:jc w:val="center"/>
            </w:pPr>
            <w:r>
              <w:t>41</w:t>
            </w:r>
          </w:p>
        </w:tc>
        <w:tc>
          <w:tcPr>
            <w:tcW w:w="0" w:type="auto"/>
          </w:tcPr>
          <w:p w14:paraId="2B65E42D" w14:textId="49159954" w:rsidR="00226658" w:rsidRPr="000038DC" w:rsidRDefault="001A3D75">
            <w:pPr>
              <w:pStyle w:val="TableText"/>
              <w:jc w:val="center"/>
            </w:pPr>
            <w:r>
              <w:t>95</w:t>
            </w:r>
          </w:p>
        </w:tc>
        <w:tc>
          <w:tcPr>
            <w:tcW w:w="0" w:type="auto"/>
          </w:tcPr>
          <w:p w14:paraId="7EEF4D76" w14:textId="3AC2D62E" w:rsidR="00226658" w:rsidRPr="000038DC" w:rsidRDefault="001A3D75">
            <w:pPr>
              <w:pStyle w:val="TableText"/>
              <w:jc w:val="center"/>
            </w:pPr>
            <w:r>
              <w:t>1.8%</w:t>
            </w:r>
          </w:p>
        </w:tc>
      </w:tr>
      <w:tr w:rsidR="00080161" w14:paraId="1C1A09C5" w14:textId="77777777" w:rsidTr="00993ABC">
        <w:trPr>
          <w:cnfStyle w:val="000000010000" w:firstRow="0" w:lastRow="0" w:firstColumn="0" w:lastColumn="0" w:oddVBand="0" w:evenVBand="0" w:oddHBand="0" w:evenHBand="1" w:firstRowFirstColumn="0" w:firstRowLastColumn="0" w:lastRowFirstColumn="0" w:lastRowLastColumn="0"/>
        </w:trPr>
        <w:tc>
          <w:tcPr>
            <w:tcW w:w="0" w:type="auto"/>
          </w:tcPr>
          <w:p w14:paraId="4534221C" w14:textId="24BCE228" w:rsidR="00080161" w:rsidRDefault="00080161" w:rsidP="00080161">
            <w:pPr>
              <w:spacing w:before="0" w:after="0"/>
            </w:pPr>
            <w:r>
              <w:t>Aboriginal and Torres Strait Islander health worker</w:t>
            </w:r>
          </w:p>
        </w:tc>
        <w:tc>
          <w:tcPr>
            <w:tcW w:w="0" w:type="auto"/>
          </w:tcPr>
          <w:p w14:paraId="7C0D7777" w14:textId="7D3CDFDC" w:rsidR="00080161" w:rsidRDefault="00080161" w:rsidP="00080161">
            <w:pPr>
              <w:pStyle w:val="TableText"/>
              <w:jc w:val="center"/>
            </w:pPr>
            <w:r w:rsidRPr="000038DC">
              <w:t>0</w:t>
            </w:r>
          </w:p>
        </w:tc>
        <w:tc>
          <w:tcPr>
            <w:tcW w:w="0" w:type="auto"/>
          </w:tcPr>
          <w:p w14:paraId="2BAD14A1" w14:textId="2364F821" w:rsidR="00080161" w:rsidRDefault="00080161" w:rsidP="00080161">
            <w:pPr>
              <w:pStyle w:val="TableText"/>
              <w:jc w:val="center"/>
            </w:pPr>
            <w:r w:rsidRPr="000038DC">
              <w:t>6</w:t>
            </w:r>
          </w:p>
        </w:tc>
        <w:tc>
          <w:tcPr>
            <w:tcW w:w="0" w:type="auto"/>
          </w:tcPr>
          <w:p w14:paraId="29FD3CD5" w14:textId="738FD18B" w:rsidR="00080161" w:rsidRDefault="00080161" w:rsidP="00080161">
            <w:pPr>
              <w:pStyle w:val="TableText"/>
              <w:jc w:val="center"/>
            </w:pPr>
            <w:r w:rsidRPr="000038DC">
              <w:t>0</w:t>
            </w:r>
          </w:p>
        </w:tc>
        <w:tc>
          <w:tcPr>
            <w:tcW w:w="0" w:type="auto"/>
          </w:tcPr>
          <w:p w14:paraId="731370C5" w14:textId="6F66AD3E" w:rsidR="00080161" w:rsidRDefault="00080161" w:rsidP="00080161">
            <w:pPr>
              <w:pStyle w:val="TableText"/>
              <w:jc w:val="center"/>
            </w:pPr>
            <w:r w:rsidRPr="000038DC">
              <w:t>0</w:t>
            </w:r>
          </w:p>
        </w:tc>
        <w:tc>
          <w:tcPr>
            <w:tcW w:w="0" w:type="auto"/>
          </w:tcPr>
          <w:p w14:paraId="4BDA3B03" w14:textId="51110527" w:rsidR="00080161" w:rsidRDefault="00080161" w:rsidP="00080161">
            <w:pPr>
              <w:pStyle w:val="TableText"/>
              <w:jc w:val="center"/>
            </w:pPr>
            <w:r w:rsidRPr="000038DC">
              <w:t>6</w:t>
            </w:r>
          </w:p>
        </w:tc>
        <w:tc>
          <w:tcPr>
            <w:tcW w:w="0" w:type="auto"/>
          </w:tcPr>
          <w:p w14:paraId="0E16CF44" w14:textId="14FF9D16" w:rsidR="00080161" w:rsidRDefault="00080161" w:rsidP="00080161">
            <w:pPr>
              <w:pStyle w:val="TableText"/>
              <w:jc w:val="center"/>
            </w:pPr>
            <w:r w:rsidRPr="000038DC">
              <w:t>0.1%</w:t>
            </w:r>
          </w:p>
        </w:tc>
      </w:tr>
      <w:tr w:rsidR="00080161" w14:paraId="6F9E7D40" w14:textId="77777777" w:rsidTr="00993ABC">
        <w:trPr>
          <w:cnfStyle w:val="000000100000" w:firstRow="0" w:lastRow="0" w:firstColumn="0" w:lastColumn="0" w:oddVBand="0" w:evenVBand="0" w:oddHBand="1" w:evenHBand="0" w:firstRowFirstColumn="0" w:firstRowLastColumn="0" w:lastRowFirstColumn="0" w:lastRowLastColumn="0"/>
        </w:trPr>
        <w:tc>
          <w:tcPr>
            <w:tcW w:w="0" w:type="auto"/>
          </w:tcPr>
          <w:p w14:paraId="1E8062F7" w14:textId="77777777" w:rsidR="00080161" w:rsidRDefault="00080161" w:rsidP="00080161">
            <w:pPr>
              <w:spacing w:before="0" w:after="0"/>
            </w:pPr>
            <w:r>
              <w:t>Clinical – medical</w:t>
            </w:r>
          </w:p>
        </w:tc>
        <w:tc>
          <w:tcPr>
            <w:tcW w:w="0" w:type="auto"/>
          </w:tcPr>
          <w:p w14:paraId="3E616BCE" w14:textId="77777777" w:rsidR="00080161" w:rsidRPr="000038DC" w:rsidRDefault="00080161" w:rsidP="00080161">
            <w:pPr>
              <w:pStyle w:val="TableText"/>
              <w:jc w:val="center"/>
            </w:pPr>
            <w:r w:rsidRPr="000038DC">
              <w:t>2</w:t>
            </w:r>
          </w:p>
        </w:tc>
        <w:tc>
          <w:tcPr>
            <w:tcW w:w="0" w:type="auto"/>
          </w:tcPr>
          <w:p w14:paraId="3A71A204" w14:textId="77777777" w:rsidR="00080161" w:rsidRPr="000038DC" w:rsidRDefault="00080161" w:rsidP="00080161">
            <w:pPr>
              <w:pStyle w:val="TableText"/>
              <w:jc w:val="center"/>
            </w:pPr>
            <w:r w:rsidRPr="000038DC">
              <w:t>1</w:t>
            </w:r>
          </w:p>
        </w:tc>
        <w:tc>
          <w:tcPr>
            <w:tcW w:w="0" w:type="auto"/>
          </w:tcPr>
          <w:p w14:paraId="346147AC" w14:textId="77777777" w:rsidR="00080161" w:rsidRPr="000038DC" w:rsidRDefault="00080161" w:rsidP="00080161">
            <w:pPr>
              <w:pStyle w:val="TableText"/>
              <w:jc w:val="center"/>
            </w:pPr>
            <w:r w:rsidRPr="000038DC">
              <w:t>0</w:t>
            </w:r>
          </w:p>
        </w:tc>
        <w:tc>
          <w:tcPr>
            <w:tcW w:w="0" w:type="auto"/>
          </w:tcPr>
          <w:p w14:paraId="1307719F" w14:textId="77777777" w:rsidR="00080161" w:rsidRPr="000038DC" w:rsidRDefault="00080161" w:rsidP="00080161">
            <w:pPr>
              <w:pStyle w:val="TableText"/>
              <w:jc w:val="center"/>
            </w:pPr>
            <w:r w:rsidRPr="000038DC">
              <w:t>1</w:t>
            </w:r>
          </w:p>
        </w:tc>
        <w:tc>
          <w:tcPr>
            <w:tcW w:w="0" w:type="auto"/>
          </w:tcPr>
          <w:p w14:paraId="1F9E95F7" w14:textId="77777777" w:rsidR="00080161" w:rsidRPr="000038DC" w:rsidRDefault="00080161" w:rsidP="00080161">
            <w:pPr>
              <w:pStyle w:val="TableText"/>
              <w:jc w:val="center"/>
            </w:pPr>
            <w:r w:rsidRPr="000038DC">
              <w:t>4</w:t>
            </w:r>
          </w:p>
        </w:tc>
        <w:tc>
          <w:tcPr>
            <w:tcW w:w="0" w:type="auto"/>
          </w:tcPr>
          <w:p w14:paraId="21EBD6DC" w14:textId="77777777" w:rsidR="00080161" w:rsidRPr="000038DC" w:rsidRDefault="00080161" w:rsidP="00080161">
            <w:pPr>
              <w:pStyle w:val="TableText"/>
              <w:jc w:val="center"/>
            </w:pPr>
            <w:r w:rsidRPr="000038DC">
              <w:t>0.1%</w:t>
            </w:r>
          </w:p>
        </w:tc>
      </w:tr>
      <w:tr w:rsidR="00080161" w:rsidRPr="000038DC" w14:paraId="2ADCF58B" w14:textId="77777777" w:rsidTr="00993ABC">
        <w:trPr>
          <w:cnfStyle w:val="000000010000" w:firstRow="0" w:lastRow="0" w:firstColumn="0" w:lastColumn="0" w:oddVBand="0" w:evenVBand="0" w:oddHBand="0" w:evenHBand="1" w:firstRowFirstColumn="0" w:firstRowLastColumn="0" w:lastRowFirstColumn="0" w:lastRowLastColumn="0"/>
        </w:trPr>
        <w:tc>
          <w:tcPr>
            <w:tcW w:w="0" w:type="auto"/>
            <w:shd w:val="clear" w:color="auto" w:fill="DCDCDF" w:themeFill="text2" w:themeFillTint="33"/>
          </w:tcPr>
          <w:p w14:paraId="7084B262" w14:textId="77777777" w:rsidR="00080161" w:rsidRPr="000038DC" w:rsidRDefault="00080161" w:rsidP="00080161">
            <w:pPr>
              <w:spacing w:before="0" w:after="0"/>
              <w:rPr>
                <w:rFonts w:asciiTheme="majorHAnsi" w:hAnsiTheme="majorHAnsi"/>
              </w:rPr>
            </w:pPr>
            <w:r w:rsidRPr="000038DC">
              <w:rPr>
                <w:rFonts w:asciiTheme="majorHAnsi" w:hAnsiTheme="majorHAnsi"/>
              </w:rPr>
              <w:t>Total</w:t>
            </w:r>
          </w:p>
        </w:tc>
        <w:tc>
          <w:tcPr>
            <w:tcW w:w="0" w:type="auto"/>
            <w:shd w:val="clear" w:color="auto" w:fill="DCDCDF" w:themeFill="text2" w:themeFillTint="33"/>
          </w:tcPr>
          <w:p w14:paraId="2DBC6019"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164</w:t>
            </w:r>
          </w:p>
        </w:tc>
        <w:tc>
          <w:tcPr>
            <w:tcW w:w="0" w:type="auto"/>
            <w:shd w:val="clear" w:color="auto" w:fill="DCDCDF" w:themeFill="text2" w:themeFillTint="33"/>
          </w:tcPr>
          <w:p w14:paraId="2EBF7AB9"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1,077</w:t>
            </w:r>
          </w:p>
        </w:tc>
        <w:tc>
          <w:tcPr>
            <w:tcW w:w="0" w:type="auto"/>
            <w:shd w:val="clear" w:color="auto" w:fill="DCDCDF" w:themeFill="text2" w:themeFillTint="33"/>
          </w:tcPr>
          <w:p w14:paraId="02D3C44E"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2,133</w:t>
            </w:r>
          </w:p>
        </w:tc>
        <w:tc>
          <w:tcPr>
            <w:tcW w:w="0" w:type="auto"/>
            <w:shd w:val="clear" w:color="auto" w:fill="DCDCDF" w:themeFill="text2" w:themeFillTint="33"/>
          </w:tcPr>
          <w:p w14:paraId="111EA78D"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1,876</w:t>
            </w:r>
          </w:p>
        </w:tc>
        <w:tc>
          <w:tcPr>
            <w:tcW w:w="0" w:type="auto"/>
            <w:shd w:val="clear" w:color="auto" w:fill="DCDCDF" w:themeFill="text2" w:themeFillTint="33"/>
          </w:tcPr>
          <w:p w14:paraId="600E7D14"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5,250</w:t>
            </w:r>
          </w:p>
        </w:tc>
        <w:tc>
          <w:tcPr>
            <w:tcW w:w="0" w:type="auto"/>
            <w:shd w:val="clear" w:color="auto" w:fill="DCDCDF" w:themeFill="text2" w:themeFillTint="33"/>
          </w:tcPr>
          <w:p w14:paraId="26E1433B"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100.0%</w:t>
            </w:r>
          </w:p>
        </w:tc>
      </w:tr>
    </w:tbl>
    <w:p w14:paraId="5BEC46DC" w14:textId="1F77C9E5" w:rsidR="00E6613D" w:rsidRPr="001C153B" w:rsidRDefault="00E6613D" w:rsidP="00E6613D">
      <w:pPr>
        <w:pStyle w:val="Tablenotes"/>
        <w:spacing w:after="0"/>
      </w:pPr>
      <w:r>
        <w:t xml:space="preserve">Notes: </w:t>
      </w:r>
      <w:r w:rsidR="000E516B">
        <w:t xml:space="preserve">*Clinical – nursing includes registered nurses, enrolled nurses, and nurse practitioners. </w:t>
      </w:r>
      <w:r w:rsidR="00604976" w:rsidRPr="00604976">
        <w:rPr>
          <w:vertAlign w:val="superscript"/>
        </w:rPr>
        <w:t>#</w:t>
      </w:r>
      <w:r w:rsidR="00604976">
        <w:t>Non-clinical other includes</w:t>
      </w:r>
      <w:r w:rsidR="002E0407">
        <w:t xml:space="preserve"> welfare officer, lifestyle and wellbeing, case management and coordination, community and support roles, and hospitality and domestic services.</w:t>
      </w:r>
      <w:r w:rsidR="001C153B">
        <w:t xml:space="preserve"> </w:t>
      </w:r>
      <w:r w:rsidR="001C153B" w:rsidRPr="00F55B7B">
        <w:rPr>
          <w:vertAlign w:val="superscript"/>
        </w:rPr>
        <w:t>~</w:t>
      </w:r>
      <w:r w:rsidR="001C153B">
        <w:t>Allied health includes physiotherapist, occupational therapist, dietitian/nutritionist, pharmacist, podiatrist, diversional therapist, music therapist. ^Mental health includes clinical psychologist, social worker, counsellor, mental health worker, and pastoral carer.</w:t>
      </w:r>
    </w:p>
    <w:p w14:paraId="0BC6239E" w14:textId="1C1BCB94" w:rsidR="002C10CF" w:rsidRDefault="00F971FA" w:rsidP="00E6613D">
      <w:pPr>
        <w:pStyle w:val="Tablenotes"/>
        <w:spacing w:before="0"/>
      </w:pPr>
      <w:r>
        <w:t>Source: PEPA Aged Care program data provided by QUT, September 2025.</w:t>
      </w:r>
    </w:p>
    <w:p w14:paraId="7E6025D5" w14:textId="02E35A63" w:rsidR="00AE5397" w:rsidRDefault="00AE5397" w:rsidP="00FE730A">
      <w:pPr>
        <w:pStyle w:val="Findings"/>
      </w:pPr>
      <w:r>
        <w:t xml:space="preserve">PEPA Aged Care achieved </w:t>
      </w:r>
      <w:r w:rsidR="0055365A">
        <w:t xml:space="preserve">national coverage and strong engagement in residential aged care settings, with most participants from </w:t>
      </w:r>
      <w:r w:rsidR="00DA6117">
        <w:t>direct care</w:t>
      </w:r>
      <w:r w:rsidR="0055365A">
        <w:t xml:space="preserve"> roles. However, participation </w:t>
      </w:r>
      <w:r w:rsidR="00B44C0F">
        <w:t xml:space="preserve">by </w:t>
      </w:r>
      <w:r w:rsidR="003D5D97">
        <w:t xml:space="preserve">home and </w:t>
      </w:r>
      <w:r w:rsidR="0055365A">
        <w:t>community-based aged care services, and</w:t>
      </w:r>
      <w:r w:rsidR="0017427C">
        <w:t xml:space="preserve"> by</w:t>
      </w:r>
      <w:r w:rsidR="0055365A">
        <w:t xml:space="preserve"> </w:t>
      </w:r>
      <w:r w:rsidR="00514A67">
        <w:t>primary</w:t>
      </w:r>
      <w:r w:rsidR="003D5D97">
        <w:t xml:space="preserve"> and allied health</w:t>
      </w:r>
      <w:r w:rsidR="00514A67">
        <w:t xml:space="preserve"> care professionals</w:t>
      </w:r>
      <w:r w:rsidR="001A1DF6">
        <w:t>,</w:t>
      </w:r>
      <w:r w:rsidR="00514A67">
        <w:t xml:space="preserve"> </w:t>
      </w:r>
      <w:r w:rsidR="007E66F7">
        <w:t>was</w:t>
      </w:r>
      <w:r w:rsidR="00514A67">
        <w:t xml:space="preserve"> </w:t>
      </w:r>
      <w:r w:rsidR="001A1DF6">
        <w:t>limited, indicating areas where</w:t>
      </w:r>
      <w:r w:rsidR="00DF20FE">
        <w:t xml:space="preserve"> engagement </w:t>
      </w:r>
      <w:r w:rsidR="001A1DF6">
        <w:t>could be strengthened in future iterations</w:t>
      </w:r>
      <w:r w:rsidR="00BC79B4">
        <w:t>.</w:t>
      </w:r>
    </w:p>
    <w:p w14:paraId="30EE0A42" w14:textId="1EDDA1A5" w:rsidR="00653376" w:rsidRPr="00D0199A" w:rsidRDefault="0053367A" w:rsidP="00653376">
      <w:pPr>
        <w:pStyle w:val="Heading2"/>
      </w:pPr>
      <w:bookmarkStart w:id="78" w:name="_Toc232685905"/>
      <w:r>
        <w:t>Implementation of PACOP</w:t>
      </w:r>
      <w:bookmarkEnd w:id="78"/>
    </w:p>
    <w:p w14:paraId="370C4A9D" w14:textId="0D8488E9" w:rsidR="00653376" w:rsidRDefault="00E64472" w:rsidP="00653376">
      <w:r>
        <w:t>This section examines the implementation of PACOP</w:t>
      </w:r>
      <w:r w:rsidR="00617454">
        <w:t>, including</w:t>
      </w:r>
      <w:r w:rsidR="00B17F09">
        <w:t xml:space="preserve"> the extent to which planned activities were delivered as intended</w:t>
      </w:r>
      <w:r w:rsidR="0034274D">
        <w:t xml:space="preserve">. </w:t>
      </w:r>
      <w:r w:rsidR="00617454">
        <w:t>It also outlines</w:t>
      </w:r>
      <w:r w:rsidR="00B17F09">
        <w:t xml:space="preserve"> key factors impacting implementation and delivery, engagement strategies, and program uptake.</w:t>
      </w:r>
    </w:p>
    <w:p w14:paraId="6D972B32" w14:textId="5E548347" w:rsidR="00653376" w:rsidRDefault="0053367A" w:rsidP="0053367A">
      <w:pPr>
        <w:pStyle w:val="Heading3"/>
      </w:pPr>
      <w:bookmarkStart w:id="79" w:name="_Toc232685906"/>
      <w:r>
        <w:t>Delivery of planned activities</w:t>
      </w:r>
      <w:r w:rsidR="000E59BB">
        <w:t xml:space="preserve"> and outputs</w:t>
      </w:r>
      <w:bookmarkEnd w:id="79"/>
    </w:p>
    <w:p w14:paraId="3BDC24CD" w14:textId="4E34F23D" w:rsidR="00147862" w:rsidRDefault="00F55F9F" w:rsidP="00905E99">
      <w:r>
        <w:t xml:space="preserve">The University of Wollongong </w:t>
      </w:r>
      <w:r w:rsidR="003E1232">
        <w:t>developed Activity Work Plans to guide PACOP implementation</w:t>
      </w:r>
      <w:r w:rsidR="00FC3A5B">
        <w:t xml:space="preserve"> and submitted biannual performance reports to the Department</w:t>
      </w:r>
      <w:r w:rsidR="00B14A5F">
        <w:t xml:space="preserve"> in accorda</w:t>
      </w:r>
      <w:r w:rsidR="00096564">
        <w:t>nce with contractual requirement</w:t>
      </w:r>
      <w:r w:rsidR="00643EB5">
        <w:t>s</w:t>
      </w:r>
      <w:r w:rsidR="00DE38E8">
        <w:t>.</w:t>
      </w:r>
      <w:r w:rsidR="00FC3A5B">
        <w:t xml:space="preserve"> M</w:t>
      </w:r>
      <w:r w:rsidR="00B131E0">
        <w:t xml:space="preserve">ost </w:t>
      </w:r>
      <w:r w:rsidR="00B131E0" w:rsidRPr="008B5C2B">
        <w:t xml:space="preserve">activities outlined in the initial </w:t>
      </w:r>
      <w:r w:rsidR="00035B28">
        <w:t>Activity Work Plan</w:t>
      </w:r>
      <w:r w:rsidR="00C61E6A">
        <w:t xml:space="preserve"> </w:t>
      </w:r>
      <w:r w:rsidR="00C61E6A" w:rsidRPr="008B5C2B">
        <w:t>(2021–22 to 2023–24</w:t>
      </w:r>
      <w:r w:rsidR="00C61E6A">
        <w:t>) were delivered</w:t>
      </w:r>
      <w:r w:rsidR="001F4BBE">
        <w:t>. This</w:t>
      </w:r>
      <w:r w:rsidR="00C61E6A">
        <w:t xml:space="preserve"> </w:t>
      </w:r>
      <w:r w:rsidR="00C07C75">
        <w:t>includ</w:t>
      </w:r>
      <w:r w:rsidR="001F4BBE">
        <w:t>ed</w:t>
      </w:r>
      <w:r w:rsidR="00C07C75">
        <w:t xml:space="preserve"> establishing governance arrangements, creating the PACOP dataset and national benchmarks, and developing educational materials</w:t>
      </w:r>
      <w:r w:rsidR="00342802">
        <w:t xml:space="preserve">. </w:t>
      </w:r>
      <w:r w:rsidR="00C36003">
        <w:t>However, several activities were only partially achieved</w:t>
      </w:r>
      <w:r w:rsidR="006D3F7B">
        <w:t>. This included</w:t>
      </w:r>
      <w:r w:rsidR="00BB0A7F">
        <w:t xml:space="preserve"> </w:t>
      </w:r>
      <w:r w:rsidR="00784661">
        <w:t xml:space="preserve">meeting several provider participation targets and </w:t>
      </w:r>
      <w:r w:rsidR="00BB0A7F">
        <w:t>embedding PACOP within</w:t>
      </w:r>
      <w:r w:rsidR="00FE5F29">
        <w:t xml:space="preserve"> </w:t>
      </w:r>
      <w:r w:rsidR="00BB0A7F">
        <w:t>major aged care IT systems</w:t>
      </w:r>
      <w:r w:rsidR="006F1616">
        <w:t>.</w:t>
      </w:r>
    </w:p>
    <w:p w14:paraId="1387B879" w14:textId="507DF9A4" w:rsidR="00EF44CF" w:rsidRDefault="00037AEA" w:rsidP="00EF44CF">
      <w:r>
        <w:t>The University of Wollongong reported that i</w:t>
      </w:r>
      <w:r w:rsidR="00147862">
        <w:t xml:space="preserve">nitial </w:t>
      </w:r>
      <w:r w:rsidR="00662A2E">
        <w:t xml:space="preserve">implementation was </w:t>
      </w:r>
      <w:r w:rsidR="00F9497F">
        <w:t>influenced</w:t>
      </w:r>
      <w:r w:rsidR="00662A2E" w:rsidRPr="00662A2E">
        <w:t xml:space="preserve"> by </w:t>
      </w:r>
      <w:r w:rsidR="00F9497F">
        <w:t xml:space="preserve">several </w:t>
      </w:r>
      <w:r w:rsidR="00662A2E" w:rsidRPr="00662A2E">
        <w:t>sector-wide challenges</w:t>
      </w:r>
      <w:r w:rsidR="004116B7">
        <w:t>, including</w:t>
      </w:r>
      <w:r w:rsidR="00662A2E" w:rsidRPr="00662A2E">
        <w:t xml:space="preserve"> </w:t>
      </w:r>
      <w:r w:rsidR="00D21D52">
        <w:t xml:space="preserve">the COVID-19 pandemic, </w:t>
      </w:r>
      <w:r w:rsidR="00662A2E" w:rsidRPr="00662A2E">
        <w:t xml:space="preserve">workforce shortages, market instability, and competing reform priorities. Internal governance changes within the University of Wollongong </w:t>
      </w:r>
      <w:r w:rsidR="00E9464E">
        <w:t xml:space="preserve">also </w:t>
      </w:r>
      <w:r w:rsidR="00662A2E" w:rsidRPr="00662A2E">
        <w:t>slowed early staff recruitment</w:t>
      </w:r>
      <w:r w:rsidR="00E9464E">
        <w:t>, delaying some implementation activities</w:t>
      </w:r>
      <w:r w:rsidR="003F7E92">
        <w:t xml:space="preserve">. </w:t>
      </w:r>
      <w:r w:rsidR="000B4DDE">
        <w:t>In addition</w:t>
      </w:r>
      <w:r w:rsidR="003F7E92">
        <w:t>,</w:t>
      </w:r>
      <w:r w:rsidR="00662A2E" w:rsidRPr="00662A2E">
        <w:t xml:space="preserve"> </w:t>
      </w:r>
      <w:r w:rsidR="000B4DDE">
        <w:t>integrating</w:t>
      </w:r>
      <w:r w:rsidR="000B4DDE" w:rsidRPr="00662A2E">
        <w:t xml:space="preserve"> </w:t>
      </w:r>
      <w:r w:rsidR="00662A2E" w:rsidRPr="00662A2E">
        <w:t xml:space="preserve">PACOP into aged care clinical systems proved </w:t>
      </w:r>
      <w:r w:rsidR="00C85BEB">
        <w:t xml:space="preserve">more </w:t>
      </w:r>
      <w:r w:rsidR="003A1D87">
        <w:t>challenging</w:t>
      </w:r>
      <w:r w:rsidR="00662A2E" w:rsidRPr="00662A2E">
        <w:t xml:space="preserve"> </w:t>
      </w:r>
      <w:r w:rsidR="00C85BEB">
        <w:t xml:space="preserve">than </w:t>
      </w:r>
      <w:r w:rsidR="00573650">
        <w:t xml:space="preserve">initially </w:t>
      </w:r>
      <w:r w:rsidR="00C85BEB">
        <w:t>anticipated</w:t>
      </w:r>
      <w:r w:rsidR="00E743FD">
        <w:t>, reflecting</w:t>
      </w:r>
      <w:r w:rsidR="00662A2E" w:rsidRPr="00662A2E">
        <w:t xml:space="preserve"> </w:t>
      </w:r>
      <w:r w:rsidR="003A1D87">
        <w:t>the complexity of the aged care</w:t>
      </w:r>
      <w:r w:rsidR="00662A2E" w:rsidRPr="00662A2E">
        <w:t xml:space="preserve"> IT environment</w:t>
      </w:r>
      <w:r w:rsidR="00E27F5A">
        <w:t xml:space="preserve"> and</w:t>
      </w:r>
      <w:r w:rsidR="00662A2E" w:rsidRPr="00662A2E">
        <w:t xml:space="preserve"> competing priorities</w:t>
      </w:r>
      <w:r w:rsidR="00452B1A">
        <w:t xml:space="preserve"> for IT vendors</w:t>
      </w:r>
      <w:r w:rsidR="00876055">
        <w:t xml:space="preserve"> linked to aged care re</w:t>
      </w:r>
      <w:r w:rsidR="00CC3C88">
        <w:t>forms</w:t>
      </w:r>
      <w:r w:rsidR="00662A2E">
        <w:t>.</w:t>
      </w:r>
      <w:r w:rsidR="00EF44CF">
        <w:t xml:space="preserve"> Early p</w:t>
      </w:r>
      <w:r w:rsidR="00EF44CF" w:rsidRPr="00EF44CF">
        <w:t>rogram adaptations</w:t>
      </w:r>
      <w:r w:rsidR="00637ED8">
        <w:t xml:space="preserve"> to address </w:t>
      </w:r>
      <w:r w:rsidR="001F5B6B">
        <w:t>several</w:t>
      </w:r>
      <w:r w:rsidR="00637ED8">
        <w:t xml:space="preserve"> of these challenges</w:t>
      </w:r>
      <w:r w:rsidR="00EF44CF" w:rsidRPr="00EF44CF">
        <w:t xml:space="preserve"> included </w:t>
      </w:r>
      <w:r w:rsidR="00FD3398">
        <w:t>introducing</w:t>
      </w:r>
      <w:r w:rsidR="00EF44CF" w:rsidRPr="00EF44CF">
        <w:t xml:space="preserve"> blended education models and communities of practice to support provider engagement</w:t>
      </w:r>
      <w:r w:rsidR="00494032">
        <w:t xml:space="preserve"> and </w:t>
      </w:r>
      <w:r w:rsidR="006E6888">
        <w:t>devel</w:t>
      </w:r>
      <w:r w:rsidR="00B42CCE">
        <w:t xml:space="preserve">oping a </w:t>
      </w:r>
      <w:r w:rsidR="00AF4335">
        <w:t xml:space="preserve">standalone </w:t>
      </w:r>
      <w:r w:rsidR="00782411">
        <w:t>software program</w:t>
      </w:r>
      <w:r w:rsidR="00AF4335">
        <w:t xml:space="preserve"> (</w:t>
      </w:r>
      <w:proofErr w:type="spellStart"/>
      <w:r w:rsidR="00AF4335">
        <w:t>palCentre</w:t>
      </w:r>
      <w:proofErr w:type="spellEnd"/>
      <w:r w:rsidR="00AF4335">
        <w:t xml:space="preserve">) </w:t>
      </w:r>
      <w:r w:rsidR="00782411">
        <w:t xml:space="preserve">to </w:t>
      </w:r>
      <w:r w:rsidR="0003301B">
        <w:t>enable providers to upload PACOP data</w:t>
      </w:r>
      <w:r w:rsidR="00A02552">
        <w:t>.</w:t>
      </w:r>
    </w:p>
    <w:p w14:paraId="544AA92A" w14:textId="60B761E0" w:rsidR="00B807A7" w:rsidRDefault="00B807A7" w:rsidP="00B807A7">
      <w:r w:rsidRPr="00ED068C">
        <w:t xml:space="preserve">Performance against provider participation targets </w:t>
      </w:r>
      <w:r w:rsidR="00530F32">
        <w:t>set</w:t>
      </w:r>
      <w:r w:rsidR="00544884">
        <w:t xml:space="preserve"> for the initial grant period </w:t>
      </w:r>
      <w:r w:rsidR="00544884" w:rsidRPr="008B5C2B">
        <w:t>(2021–22 to 2023–24</w:t>
      </w:r>
      <w:r w:rsidR="00544884">
        <w:t xml:space="preserve">) </w:t>
      </w:r>
      <w:r w:rsidRPr="00ED068C">
        <w:t>was strong in the early phase, with all six targets exceeded in 2021–22</w:t>
      </w:r>
      <w:r w:rsidR="00727BBE">
        <w:t xml:space="preserve"> (</w:t>
      </w:r>
      <w:r w:rsidR="00727BBE">
        <w:fldChar w:fldCharType="begin"/>
      </w:r>
      <w:r w:rsidR="00727BBE">
        <w:instrText xml:space="preserve"> REF _Ref202442473 \h </w:instrText>
      </w:r>
      <w:r w:rsidR="00727BBE">
        <w:fldChar w:fldCharType="separate"/>
      </w:r>
      <w:r w:rsidR="00167BA0">
        <w:t xml:space="preserve">Table </w:t>
      </w:r>
      <w:r w:rsidR="00167BA0">
        <w:rPr>
          <w:noProof/>
        </w:rPr>
        <w:t>9</w:t>
      </w:r>
      <w:r w:rsidR="00167BA0">
        <w:t>.</w:t>
      </w:r>
      <w:r w:rsidR="00167BA0">
        <w:rPr>
          <w:noProof/>
        </w:rPr>
        <w:t>18</w:t>
      </w:r>
      <w:r w:rsidR="00727BBE">
        <w:fldChar w:fldCharType="end"/>
      </w:r>
      <w:r w:rsidR="00727BBE">
        <w:t xml:space="preserve">, </w:t>
      </w:r>
      <w:r w:rsidR="003277F8">
        <w:fldChar w:fldCharType="begin"/>
      </w:r>
      <w:r w:rsidR="003277F8">
        <w:instrText xml:space="preserve"> REF _Ref216865792 \n \h </w:instrText>
      </w:r>
      <w:r w:rsidR="003277F8">
        <w:fldChar w:fldCharType="separate"/>
      </w:r>
      <w:r w:rsidR="00167BA0">
        <w:t>Appendix D</w:t>
      </w:r>
      <w:r w:rsidR="003277F8">
        <w:fldChar w:fldCharType="end"/>
      </w:r>
      <w:r w:rsidR="00727BBE">
        <w:t>)</w:t>
      </w:r>
      <w:r w:rsidR="00A80B94">
        <w:t>. This was</w:t>
      </w:r>
      <w:r w:rsidR="00727BBE">
        <w:t xml:space="preserve"> supported</w:t>
      </w:r>
      <w:r w:rsidR="009D1509">
        <w:t xml:space="preserve"> in part</w:t>
      </w:r>
      <w:r w:rsidR="00727BBE">
        <w:t xml:space="preserve"> by</w:t>
      </w:r>
      <w:r w:rsidRPr="00ED068C">
        <w:t xml:space="preserve"> </w:t>
      </w:r>
      <w:r w:rsidR="00335B3F">
        <w:t>the transition of</w:t>
      </w:r>
      <w:r w:rsidRPr="00ED068C">
        <w:t xml:space="preserve"> providers from the earlier PCOC Wicking pilot. However, participation </w:t>
      </w:r>
      <w:r w:rsidR="00E51CA4">
        <w:t xml:space="preserve">performance </w:t>
      </w:r>
      <w:r w:rsidRPr="00ED068C">
        <w:t xml:space="preserve">declined over time, with five of six </w:t>
      </w:r>
      <w:r w:rsidR="00754D53">
        <w:t xml:space="preserve">provider </w:t>
      </w:r>
      <w:r w:rsidRPr="00ED068C">
        <w:t>targets met in 2022–23 and only one in 2023–24. This was attributed to sector instability and delays in IT integration</w:t>
      </w:r>
      <w:r w:rsidR="001F5B6B">
        <w:t xml:space="preserve"> activities</w:t>
      </w:r>
      <w:r w:rsidRPr="00ED068C">
        <w:t xml:space="preserve">. Despite </w:t>
      </w:r>
      <w:r w:rsidR="00FD3398">
        <w:t xml:space="preserve">challenges in meeting participation targets, most </w:t>
      </w:r>
      <w:r w:rsidR="00A65C3D">
        <w:t>p</w:t>
      </w:r>
      <w:r w:rsidR="005E2B6B">
        <w:t>erformance targets</w:t>
      </w:r>
      <w:r w:rsidR="00FD3398">
        <w:t xml:space="preserve"> for partnerships, education, and benchmarking were met or exceeded from 2021–22 to 2023–24</w:t>
      </w:r>
      <w:r>
        <w:t>.</w:t>
      </w:r>
    </w:p>
    <w:p w14:paraId="510156DE" w14:textId="7CEBFBEF" w:rsidR="000A4637" w:rsidRPr="000A4637" w:rsidRDefault="003F4924" w:rsidP="000A4637">
      <w:r>
        <w:lastRenderedPageBreak/>
        <w:t>Progress u</w:t>
      </w:r>
      <w:r w:rsidR="00401F3C">
        <w:t xml:space="preserve">nder the current </w:t>
      </w:r>
      <w:r w:rsidR="005E2B6B">
        <w:t xml:space="preserve">PACOP </w:t>
      </w:r>
      <w:r w:rsidR="00001256">
        <w:t>Activity Work Plan</w:t>
      </w:r>
      <w:r w:rsidR="00401F3C">
        <w:t xml:space="preserve"> </w:t>
      </w:r>
      <w:r w:rsidR="00401F3C" w:rsidRPr="00EE532B">
        <w:t>(2024–25 to 2025–26)</w:t>
      </w:r>
      <w:r w:rsidR="00401F3C">
        <w:t xml:space="preserve"> </w:t>
      </w:r>
      <w:r>
        <w:t>was</w:t>
      </w:r>
      <w:r w:rsidR="00237955" w:rsidRPr="00237955">
        <w:t xml:space="preserve"> positive</w:t>
      </w:r>
      <w:r w:rsidR="00BF5FF1">
        <w:t>. Achievement of</w:t>
      </w:r>
      <w:r w:rsidR="00237955" w:rsidRPr="00237955">
        <w:t xml:space="preserve"> key output targets and self-reported progress against </w:t>
      </w:r>
      <w:r w:rsidR="00F7391D">
        <w:t>performance</w:t>
      </w:r>
      <w:r w:rsidR="00237955" w:rsidRPr="00237955">
        <w:t xml:space="preserve"> indicators indicat</w:t>
      </w:r>
      <w:r w:rsidR="00BF5FF1">
        <w:t>ed</w:t>
      </w:r>
      <w:r w:rsidR="00237955" w:rsidRPr="00237955">
        <w:t xml:space="preserve"> strong performance</w:t>
      </w:r>
      <w:r w:rsidR="00237955">
        <w:t xml:space="preserve"> </w:t>
      </w:r>
      <w:r w:rsidR="00C138C1">
        <w:t xml:space="preserve">in </w:t>
      </w:r>
      <w:r w:rsidR="00C138C1" w:rsidRPr="00EE532B">
        <w:t xml:space="preserve">2024–25 </w:t>
      </w:r>
      <w:r w:rsidR="00C138C1">
        <w:t>(</w:t>
      </w:r>
      <w:r w:rsidR="00C138C1">
        <w:fldChar w:fldCharType="begin"/>
      </w:r>
      <w:r w:rsidR="00C138C1">
        <w:instrText xml:space="preserve"> REF _Ref215059598 \h </w:instrText>
      </w:r>
      <w:r w:rsidR="00C138C1">
        <w:fldChar w:fldCharType="separate"/>
      </w:r>
      <w:r w:rsidR="00167BA0">
        <w:t xml:space="preserve">Table </w:t>
      </w:r>
      <w:r w:rsidR="00167BA0">
        <w:rPr>
          <w:noProof/>
        </w:rPr>
        <w:t>9</w:t>
      </w:r>
      <w:r w:rsidR="00167BA0">
        <w:t>.</w:t>
      </w:r>
      <w:r w:rsidR="00167BA0">
        <w:rPr>
          <w:noProof/>
        </w:rPr>
        <w:t>19</w:t>
      </w:r>
      <w:r w:rsidR="00C138C1">
        <w:fldChar w:fldCharType="end"/>
      </w:r>
      <w:r w:rsidR="00C138C1">
        <w:t xml:space="preserve">, </w:t>
      </w:r>
      <w:r w:rsidR="00D85EB4">
        <w:fldChar w:fldCharType="begin"/>
      </w:r>
      <w:r w:rsidR="00D85EB4">
        <w:instrText xml:space="preserve"> REF _Ref216865792 \n \h </w:instrText>
      </w:r>
      <w:r w:rsidR="00D85EB4">
        <w:fldChar w:fldCharType="separate"/>
      </w:r>
      <w:r w:rsidR="00167BA0">
        <w:t>Appendix D</w:t>
      </w:r>
      <w:r w:rsidR="00D85EB4">
        <w:fldChar w:fldCharType="end"/>
      </w:r>
      <w:r w:rsidR="00C138C1">
        <w:t xml:space="preserve">). </w:t>
      </w:r>
      <w:r w:rsidR="00F67E20">
        <w:t xml:space="preserve">The </w:t>
      </w:r>
      <w:r w:rsidR="00652BCC">
        <w:t xml:space="preserve">primary </w:t>
      </w:r>
      <w:r w:rsidR="00045E69">
        <w:t xml:space="preserve">exception </w:t>
      </w:r>
      <w:r w:rsidR="00F67E20">
        <w:t>was</w:t>
      </w:r>
      <w:r w:rsidR="00993808">
        <w:t xml:space="preserve"> the</w:t>
      </w:r>
      <w:r w:rsidR="002C56F6">
        <w:t xml:space="preserve"> </w:t>
      </w:r>
      <w:r w:rsidR="00045E69">
        <w:t xml:space="preserve">implementation of a </w:t>
      </w:r>
      <w:r w:rsidR="00652BCC">
        <w:t xml:space="preserve">planned </w:t>
      </w:r>
      <w:r w:rsidR="00045E69">
        <w:t xml:space="preserve">cloud-based data </w:t>
      </w:r>
      <w:r w:rsidR="00045E69" w:rsidRPr="00EE532B">
        <w:t>platform</w:t>
      </w:r>
      <w:r w:rsidR="00652BCC">
        <w:t xml:space="preserve"> intended</w:t>
      </w:r>
      <w:r w:rsidR="001F33AD">
        <w:t xml:space="preserve"> to address </w:t>
      </w:r>
      <w:r w:rsidR="00E67945">
        <w:t xml:space="preserve">ongoing </w:t>
      </w:r>
      <w:r w:rsidR="001F33AD">
        <w:t xml:space="preserve">IT </w:t>
      </w:r>
      <w:r w:rsidR="00E87C19">
        <w:t xml:space="preserve">interoperability </w:t>
      </w:r>
      <w:r w:rsidR="001F33AD">
        <w:t>challenges. This</w:t>
      </w:r>
      <w:r w:rsidR="006F33CF">
        <w:t xml:space="preserve"> activity</w:t>
      </w:r>
      <w:r w:rsidR="001F33AD">
        <w:t xml:space="preserve"> </w:t>
      </w:r>
      <w:r w:rsidR="00993808">
        <w:t>w</w:t>
      </w:r>
      <w:r w:rsidR="00045E69">
        <w:t>as</w:t>
      </w:r>
      <w:r w:rsidR="006F33CF">
        <w:t xml:space="preserve"> reportedly</w:t>
      </w:r>
      <w:r w:rsidR="00045E69">
        <w:t xml:space="preserve"> </w:t>
      </w:r>
      <w:r w:rsidR="000776FE">
        <w:t>delayed</w:t>
      </w:r>
      <w:r w:rsidR="00045E69">
        <w:t xml:space="preserve"> due to </w:t>
      </w:r>
      <w:r w:rsidR="002C4AF6">
        <w:t>internal</w:t>
      </w:r>
      <w:r w:rsidR="00045E69">
        <w:t xml:space="preserve"> resourcing constraints</w:t>
      </w:r>
      <w:r w:rsidR="00AC27F9">
        <w:t>.</w:t>
      </w:r>
    </w:p>
    <w:p w14:paraId="1E96AC2E" w14:textId="38DA8B92" w:rsidR="00AC26B9" w:rsidRPr="00AC26B9" w:rsidRDefault="00E46D20" w:rsidP="00AC26B9">
      <w:pPr>
        <w:pStyle w:val="Findings"/>
      </w:pPr>
      <w:r>
        <w:t xml:space="preserve">In the initial funding period </w:t>
      </w:r>
      <w:r w:rsidRPr="008B5C2B">
        <w:t>(2021–22 to 2023–24</w:t>
      </w:r>
      <w:r>
        <w:t xml:space="preserve">), </w:t>
      </w:r>
      <w:r w:rsidR="002F203A">
        <w:t>the University of Wollongong</w:t>
      </w:r>
      <w:r w:rsidR="00152DDF">
        <w:t xml:space="preserve"> </w:t>
      </w:r>
      <w:r w:rsidR="003750B6">
        <w:t>delivered most planned activities</w:t>
      </w:r>
      <w:r w:rsidR="001D2C1C">
        <w:t xml:space="preserve"> </w:t>
      </w:r>
      <w:r w:rsidR="001E084A">
        <w:t>for PACOP</w:t>
      </w:r>
      <w:r w:rsidR="000F4CBD">
        <w:t xml:space="preserve">. </w:t>
      </w:r>
      <w:r w:rsidR="004731B3">
        <w:t xml:space="preserve">After strong early results against provider participation targets, performance declined over the initial funding period, attributed to sector instability and IT integration challenges. Despite this, </w:t>
      </w:r>
      <w:r w:rsidR="00CC3670">
        <w:t xml:space="preserve">performance was strong in other </w:t>
      </w:r>
      <w:r w:rsidR="002D0E26">
        <w:t xml:space="preserve">core </w:t>
      </w:r>
      <w:r>
        <w:t xml:space="preserve">activity </w:t>
      </w:r>
      <w:r w:rsidR="002D0E26">
        <w:t>areas</w:t>
      </w:r>
      <w:r w:rsidR="00CC3670">
        <w:t>, including</w:t>
      </w:r>
      <w:r w:rsidR="002D0E26">
        <w:t xml:space="preserve"> education, partnerships, and benchmarking</w:t>
      </w:r>
      <w:r w:rsidR="00AC26B9">
        <w:t>.</w:t>
      </w:r>
    </w:p>
    <w:p w14:paraId="53FA1FEC" w14:textId="4ECF2A6B" w:rsidR="00152DDF" w:rsidRDefault="001E084A">
      <w:pPr>
        <w:pStyle w:val="Findings"/>
      </w:pPr>
      <w:r>
        <w:t>The University of Wollongong</w:t>
      </w:r>
      <w:r w:rsidR="003750B6">
        <w:t xml:space="preserve"> was progressing well against </w:t>
      </w:r>
      <w:r w:rsidR="003750B6" w:rsidRPr="00EE532B">
        <w:t>the current Activity Work Plan (2024–25 to 2025–26)</w:t>
      </w:r>
      <w:r w:rsidR="0018031E">
        <w:t xml:space="preserve">, with </w:t>
      </w:r>
      <w:r w:rsidR="00614EFD">
        <w:t>key output targets achieved and positive progress reported against outcome-based indicators</w:t>
      </w:r>
      <w:r w:rsidR="003750B6">
        <w:t>.</w:t>
      </w:r>
      <w:r w:rsidR="001C60F0">
        <w:t xml:space="preserve"> However, plans to develop a new cloud-based </w:t>
      </w:r>
      <w:r w:rsidR="00377EF7">
        <w:t>data platform were delayed</w:t>
      </w:r>
      <w:r w:rsidR="006139A0">
        <w:t xml:space="preserve">, highlighting ongoing </w:t>
      </w:r>
      <w:r w:rsidR="00B37926">
        <w:t>issues</w:t>
      </w:r>
      <w:r w:rsidR="006139A0">
        <w:t xml:space="preserve"> </w:t>
      </w:r>
      <w:r w:rsidR="00B33754">
        <w:t>with</w:t>
      </w:r>
      <w:r w:rsidR="006139A0">
        <w:t xml:space="preserve"> </w:t>
      </w:r>
      <w:r w:rsidR="00105A2F">
        <w:t xml:space="preserve">IT </w:t>
      </w:r>
      <w:r w:rsidR="00B33754">
        <w:t>infrastructure development</w:t>
      </w:r>
      <w:r w:rsidR="00F93C7A">
        <w:t>.</w:t>
      </w:r>
    </w:p>
    <w:p w14:paraId="3C9D8B3F" w14:textId="64333A53" w:rsidR="0053367A" w:rsidRDefault="0053367A" w:rsidP="0053367A">
      <w:pPr>
        <w:pStyle w:val="Heading3"/>
      </w:pPr>
      <w:bookmarkStart w:id="80" w:name="_Ref216793032"/>
      <w:bookmarkStart w:id="81" w:name="_Toc232685907"/>
      <w:r>
        <w:t xml:space="preserve">Engagement </w:t>
      </w:r>
      <w:r w:rsidR="003B406F">
        <w:t>and uptake</w:t>
      </w:r>
      <w:bookmarkEnd w:id="80"/>
      <w:bookmarkEnd w:id="81"/>
    </w:p>
    <w:p w14:paraId="10AC97A1" w14:textId="23D19E58" w:rsidR="003B406F" w:rsidRDefault="003B406F" w:rsidP="00065133">
      <w:r>
        <w:t>This section</w:t>
      </w:r>
      <w:r w:rsidR="00500609">
        <w:t xml:space="preserve"> examines the extent to which PACOP successfully engaged the aged care sector and achieved uptake among providers and homes. It </w:t>
      </w:r>
      <w:r w:rsidR="007B5072">
        <w:t xml:space="preserve">outlines </w:t>
      </w:r>
      <w:r w:rsidR="00500609">
        <w:t xml:space="preserve">the strategies used to promote the program, patterns of provider and home registration over time, and the </w:t>
      </w:r>
      <w:r w:rsidR="00224093">
        <w:t xml:space="preserve">profile of participating homes. </w:t>
      </w:r>
      <w:r w:rsidR="00C745EA">
        <w:t>K</w:t>
      </w:r>
      <w:r w:rsidR="00BE69EC">
        <w:t xml:space="preserve">ey enablers and barriers influencing </w:t>
      </w:r>
      <w:r w:rsidR="0002100A">
        <w:t>uptake</w:t>
      </w:r>
      <w:r w:rsidR="00977368">
        <w:t xml:space="preserve"> and </w:t>
      </w:r>
      <w:r w:rsidR="00BE69EC">
        <w:t xml:space="preserve">sustained </w:t>
      </w:r>
      <w:r w:rsidR="0002100A">
        <w:t>participation</w:t>
      </w:r>
      <w:r w:rsidR="00C745EA">
        <w:t xml:space="preserve"> are also considered</w:t>
      </w:r>
      <w:r w:rsidR="00ED5C65">
        <w:t>.</w:t>
      </w:r>
    </w:p>
    <w:p w14:paraId="185342E2" w14:textId="33CC335D" w:rsidR="003B406F" w:rsidRDefault="00596D2C" w:rsidP="003B406F">
      <w:pPr>
        <w:pStyle w:val="Heading4"/>
      </w:pPr>
      <w:r>
        <w:t>Pro</w:t>
      </w:r>
      <w:r w:rsidR="0058499B">
        <w:t>gram promotion</w:t>
      </w:r>
    </w:p>
    <w:p w14:paraId="2DCF88D3" w14:textId="4E8556FE" w:rsidR="009E38EB" w:rsidRDefault="008151B9" w:rsidP="00065133">
      <w:r>
        <w:t>The University of Wollongong</w:t>
      </w:r>
      <w:r w:rsidR="0086559A" w:rsidRPr="0086559A">
        <w:t xml:space="preserve"> employed a multi-layered engagement approach</w:t>
      </w:r>
      <w:r>
        <w:t xml:space="preserve"> to promote PACOP</w:t>
      </w:r>
      <w:r w:rsidR="00DE3373">
        <w:t>. I</w:t>
      </w:r>
      <w:r w:rsidR="0086559A" w:rsidRPr="0086559A">
        <w:t>nitial</w:t>
      </w:r>
      <w:r w:rsidR="00FB378D">
        <w:t xml:space="preserve"> engagement strategies included direct targeting of</w:t>
      </w:r>
      <w:r w:rsidR="00DE3373">
        <w:t xml:space="preserve"> </w:t>
      </w:r>
      <w:r w:rsidR="0086559A" w:rsidRPr="0086559A">
        <w:t xml:space="preserve">aged care providers </w:t>
      </w:r>
      <w:r w:rsidR="001E5A48">
        <w:t xml:space="preserve">and the development of partnerships </w:t>
      </w:r>
      <w:r w:rsidR="003E7B2A">
        <w:t>across the sector</w:t>
      </w:r>
      <w:r w:rsidR="00065133">
        <w:t xml:space="preserve">. </w:t>
      </w:r>
      <w:r>
        <w:t xml:space="preserve">As of June 2025, formal partnerships </w:t>
      </w:r>
      <w:r w:rsidR="002C742D">
        <w:t xml:space="preserve">had been </w:t>
      </w:r>
      <w:r w:rsidR="003E7B2A">
        <w:t xml:space="preserve">established </w:t>
      </w:r>
      <w:r>
        <w:t>with</w:t>
      </w:r>
      <w:r w:rsidR="004921EA">
        <w:t xml:space="preserve"> 18 </w:t>
      </w:r>
      <w:r w:rsidR="009E38EB">
        <w:t>specialist palliative care services/</w:t>
      </w:r>
      <w:r w:rsidR="004921EA">
        <w:t>L</w:t>
      </w:r>
      <w:r w:rsidR="003E7B2A">
        <w:t>ocal Health Districts</w:t>
      </w:r>
      <w:r w:rsidR="004921EA">
        <w:t xml:space="preserve">, 22 </w:t>
      </w:r>
      <w:r w:rsidR="00342662">
        <w:t>PHN</w:t>
      </w:r>
      <w:r w:rsidR="003E7B2A">
        <w:t>s</w:t>
      </w:r>
      <w:r w:rsidR="004921EA">
        <w:t>, and 10</w:t>
      </w:r>
      <w:r w:rsidR="009E38EB">
        <w:t xml:space="preserve"> aged care training organisations and peak bodies </w:t>
      </w:r>
      <w:sdt>
        <w:sdtPr>
          <w:id w:val="-952707469"/>
          <w:citation/>
        </w:sdtPr>
        <w:sdtContent>
          <w:r w:rsidR="009E38EB">
            <w:fldChar w:fldCharType="begin"/>
          </w:r>
          <w:r w:rsidR="009E38EB">
            <w:rPr>
              <w:lang w:val="en-US"/>
            </w:rPr>
            <w:instrText xml:space="preserve"> CITATION Uni25 \l 1033 </w:instrText>
          </w:r>
          <w:r w:rsidR="009E38EB">
            <w:fldChar w:fldCharType="separate"/>
          </w:r>
          <w:r w:rsidR="008410E0" w:rsidRPr="008410E0">
            <w:rPr>
              <w:noProof/>
              <w:lang w:val="en-US"/>
            </w:rPr>
            <w:t>[25]</w:t>
          </w:r>
          <w:r w:rsidR="009E38EB">
            <w:fldChar w:fldCharType="end"/>
          </w:r>
        </w:sdtContent>
      </w:sdt>
      <w:r w:rsidR="009E38EB">
        <w:t>.</w:t>
      </w:r>
      <w:r w:rsidR="004921EA">
        <w:t xml:space="preserve"> </w:t>
      </w:r>
      <w:r w:rsidR="00065133">
        <w:t xml:space="preserve">The University of Wollongong reported regularly engaging with </w:t>
      </w:r>
      <w:r w:rsidR="00E757A8">
        <w:t xml:space="preserve">these </w:t>
      </w:r>
      <w:r w:rsidR="00065133">
        <w:t>partners to promote PACOP through activities such as presentations at network and state forums, GP education events, and sector information sessions.</w:t>
      </w:r>
    </w:p>
    <w:p w14:paraId="7CA3D0E1" w14:textId="42A80B29" w:rsidR="00065133" w:rsidRDefault="009E38EB" w:rsidP="00065133">
      <w:r>
        <w:t>Other</w:t>
      </w:r>
      <w:r w:rsidR="007A6437">
        <w:t xml:space="preserve"> engagement strategies included webinars</w:t>
      </w:r>
      <w:r w:rsidR="00E669AD">
        <w:t>,</w:t>
      </w:r>
      <w:r w:rsidR="007A6437">
        <w:t xml:space="preserve"> </w:t>
      </w:r>
      <w:r w:rsidR="00DE3373">
        <w:t>conference presentations</w:t>
      </w:r>
      <w:r w:rsidR="00A32D37">
        <w:t xml:space="preserve">, </w:t>
      </w:r>
      <w:r w:rsidR="00785FE8">
        <w:t>e-newsletters,</w:t>
      </w:r>
      <w:r w:rsidR="00A32D37">
        <w:t xml:space="preserve"> </w:t>
      </w:r>
      <w:r w:rsidR="00BF25E1">
        <w:t>promotional videos, and</w:t>
      </w:r>
      <w:r w:rsidR="009011D9">
        <w:t xml:space="preserve"> a small number of print and digital media activities</w:t>
      </w:r>
      <w:r w:rsidR="00065133" w:rsidRPr="0086559A">
        <w:t>.</w:t>
      </w:r>
    </w:p>
    <w:p w14:paraId="30CD4783" w14:textId="689898F5" w:rsidR="0031541E" w:rsidRDefault="001B5908" w:rsidP="00065133">
      <w:r>
        <w:t>Between 2021–22 and 2024–25,</w:t>
      </w:r>
      <w:r w:rsidR="00780B75">
        <w:t xml:space="preserve"> the University of Wollongong delivered </w:t>
      </w:r>
      <w:r w:rsidR="00FC4717">
        <w:t>a total of 13</w:t>
      </w:r>
      <w:r w:rsidR="00CF5E64">
        <w:t>4</w:t>
      </w:r>
      <w:r w:rsidR="00FC4717">
        <w:t xml:space="preserve"> engagement </w:t>
      </w:r>
      <w:r w:rsidR="00A56904">
        <w:t>initiatives</w:t>
      </w:r>
      <w:r w:rsidR="00FC4717">
        <w:t xml:space="preserve"> </w:t>
      </w:r>
      <w:r w:rsidR="00AB3E42">
        <w:t>(</w:t>
      </w:r>
      <w:r w:rsidR="00AB3E42">
        <w:fldChar w:fldCharType="begin"/>
      </w:r>
      <w:r w:rsidR="00AB3E42">
        <w:instrText xml:space="preserve"> REF _Ref216705953 \h </w:instrText>
      </w:r>
      <w:r w:rsidR="00AB3E42">
        <w:fldChar w:fldCharType="separate"/>
      </w:r>
      <w:r w:rsidR="00167BA0">
        <w:t xml:space="preserve">Table </w:t>
      </w:r>
      <w:r w:rsidR="00167BA0">
        <w:rPr>
          <w:noProof/>
        </w:rPr>
        <w:t>9</w:t>
      </w:r>
      <w:r w:rsidR="00167BA0">
        <w:t>.</w:t>
      </w:r>
      <w:r w:rsidR="00167BA0">
        <w:rPr>
          <w:noProof/>
        </w:rPr>
        <w:t>20</w:t>
      </w:r>
      <w:r w:rsidR="00AB3E42">
        <w:fldChar w:fldCharType="end"/>
      </w:r>
      <w:r w:rsidR="00AB3E42">
        <w:t xml:space="preserve">, </w:t>
      </w:r>
      <w:r w:rsidR="00D85EB4">
        <w:fldChar w:fldCharType="begin"/>
      </w:r>
      <w:r w:rsidR="00D85EB4">
        <w:instrText xml:space="preserve"> REF _Ref216865792 \n \h </w:instrText>
      </w:r>
      <w:r w:rsidR="00D85EB4">
        <w:fldChar w:fldCharType="separate"/>
      </w:r>
      <w:r w:rsidR="00167BA0">
        <w:t>Appendix D</w:t>
      </w:r>
      <w:r w:rsidR="00D85EB4">
        <w:fldChar w:fldCharType="end"/>
      </w:r>
      <w:r w:rsidR="00AB3E42">
        <w:t>).</w:t>
      </w:r>
      <w:r w:rsidR="009A1F9C">
        <w:t xml:space="preserve"> </w:t>
      </w:r>
      <w:r w:rsidR="00034D53">
        <w:t xml:space="preserve">Activity </w:t>
      </w:r>
      <w:r w:rsidR="000E3216">
        <w:t xml:space="preserve">peaked in 2022–23 with 62 initiatives, before </w:t>
      </w:r>
      <w:r w:rsidR="008734E7">
        <w:t xml:space="preserve">declining </w:t>
      </w:r>
      <w:r w:rsidR="000E3216">
        <w:t>to 43</w:t>
      </w:r>
      <w:r w:rsidR="00DD70CE">
        <w:t xml:space="preserve"> initiatives</w:t>
      </w:r>
      <w:r w:rsidR="000E3216">
        <w:t xml:space="preserve"> in 2023–24 and 27</w:t>
      </w:r>
      <w:r w:rsidR="00DD70CE">
        <w:t xml:space="preserve"> initiatives</w:t>
      </w:r>
      <w:r w:rsidR="000E3216">
        <w:t xml:space="preserve"> in 2024–25. More than half of all activities were delivered through PACOP-owned channels</w:t>
      </w:r>
      <w:r w:rsidR="0067438D">
        <w:t xml:space="preserve">. These included </w:t>
      </w:r>
      <w:r w:rsidR="00EE4E2F">
        <w:t xml:space="preserve">49 </w:t>
      </w:r>
      <w:r w:rsidR="000E3216">
        <w:t>educational videos</w:t>
      </w:r>
      <w:r w:rsidR="0067438D">
        <w:t xml:space="preserve"> and</w:t>
      </w:r>
      <w:r w:rsidR="00EE4E2F">
        <w:t xml:space="preserve"> 19</w:t>
      </w:r>
      <w:r w:rsidR="000E3216">
        <w:t xml:space="preserve"> webinars</w:t>
      </w:r>
      <w:r w:rsidR="0067438D">
        <w:t xml:space="preserve"> published</w:t>
      </w:r>
      <w:r w:rsidR="00400A1F">
        <w:t xml:space="preserve"> on the PACOP YouTube channel</w:t>
      </w:r>
      <w:r w:rsidR="000E3216">
        <w:t>,</w:t>
      </w:r>
      <w:r w:rsidR="00400A1F">
        <w:t xml:space="preserve"> as well as</w:t>
      </w:r>
      <w:r w:rsidR="000E3216">
        <w:t xml:space="preserve"> </w:t>
      </w:r>
      <w:r w:rsidR="00EE4E2F">
        <w:t>nine</w:t>
      </w:r>
      <w:r w:rsidR="00400A1F">
        <w:t xml:space="preserve"> PACOP</w:t>
      </w:r>
      <w:r w:rsidR="00EE4E2F">
        <w:t xml:space="preserve"> </w:t>
      </w:r>
      <w:r w:rsidR="000E3216">
        <w:t>e</w:t>
      </w:r>
      <w:r w:rsidR="004754CA">
        <w:noBreakHyphen/>
      </w:r>
      <w:r w:rsidR="000E3216">
        <w:t xml:space="preserve">newsletters. Broader promotional </w:t>
      </w:r>
      <w:r w:rsidR="00711070">
        <w:t>activities</w:t>
      </w:r>
      <w:r w:rsidR="00A63783">
        <w:t xml:space="preserve">, such as </w:t>
      </w:r>
      <w:r w:rsidR="000E3216">
        <w:t>conference attendance and presentations (33)</w:t>
      </w:r>
      <w:r w:rsidR="00A63783">
        <w:t xml:space="preserve"> and external media</w:t>
      </w:r>
      <w:r w:rsidR="000E3216">
        <w:t xml:space="preserve"> (nine promotions)</w:t>
      </w:r>
      <w:r w:rsidR="000603A2">
        <w:t>,</w:t>
      </w:r>
      <w:r w:rsidR="00A63783">
        <w:t xml:space="preserve"> were comparatively limited</w:t>
      </w:r>
      <w:r w:rsidR="0031541E">
        <w:t>, although conference attendance increased over time, indicating a stronger sector presence</w:t>
      </w:r>
      <w:r w:rsidR="000E3216">
        <w:t>.</w:t>
      </w:r>
    </w:p>
    <w:p w14:paraId="553DCFB0" w14:textId="1046E8E0" w:rsidR="00C923A1" w:rsidRDefault="00E66D10" w:rsidP="00065133">
      <w:r>
        <w:t>Referral data indicated that self-referral was the dominant pathway (7</w:t>
      </w:r>
      <w:r w:rsidR="00412BC6">
        <w:t>2</w:t>
      </w:r>
      <w:r>
        <w:t>%)</w:t>
      </w:r>
      <w:r w:rsidR="00412BC6">
        <w:t xml:space="preserve">, followed by direct contact (13%), and the PCOC Wicking trial (7%). Referrals from </w:t>
      </w:r>
      <w:r w:rsidR="00712800">
        <w:t>PHNs</w:t>
      </w:r>
      <w:r w:rsidR="000454C5">
        <w:t xml:space="preserve"> and</w:t>
      </w:r>
      <w:r w:rsidR="00712800">
        <w:t xml:space="preserve"> Local Health Districts</w:t>
      </w:r>
      <w:r w:rsidR="00FB0EA6">
        <w:t xml:space="preserve"> </w:t>
      </w:r>
      <w:r w:rsidR="005D6E7C">
        <w:t>were minimal</w:t>
      </w:r>
      <w:r w:rsidR="00064AAA">
        <w:t>. Notably</w:t>
      </w:r>
      <w:r w:rsidR="00035FA8">
        <w:t xml:space="preserve">, fewer than five referrals </w:t>
      </w:r>
      <w:r w:rsidR="00DB68C5">
        <w:t xml:space="preserve">were reported </w:t>
      </w:r>
      <w:r w:rsidR="00035FA8">
        <w:t>through ELDAC and none</w:t>
      </w:r>
      <w:r w:rsidR="005D6E7C">
        <w:t xml:space="preserve"> </w:t>
      </w:r>
      <w:r w:rsidR="00FB0EA6">
        <w:t>through PEPA Aged Care</w:t>
      </w:r>
      <w:r w:rsidR="006267CA">
        <w:t xml:space="preserve">. </w:t>
      </w:r>
      <w:r w:rsidR="004D6C1F">
        <w:t xml:space="preserve">These findings suggest that current engagement strategies may have been effective in </w:t>
      </w:r>
      <w:r w:rsidR="00A044C4">
        <w:t xml:space="preserve">reaching providers actively seeking palliative care support. However, </w:t>
      </w:r>
      <w:r w:rsidR="003F056D">
        <w:t>reliance on PACOP-owned channels and limited external marketing may</w:t>
      </w:r>
      <w:r w:rsidR="00C27BC0">
        <w:t xml:space="preserve"> have</w:t>
      </w:r>
      <w:r w:rsidR="003F056D">
        <w:t xml:space="preserve"> limit</w:t>
      </w:r>
      <w:r w:rsidR="00C27BC0">
        <w:t>ed</w:t>
      </w:r>
      <w:r w:rsidR="00F0588A">
        <w:t xml:space="preserve"> broader reach</w:t>
      </w:r>
      <w:r w:rsidR="006033D9">
        <w:t>, making it difficult to gauge true sector-wide demand</w:t>
      </w:r>
      <w:r w:rsidR="00F0588A">
        <w:t xml:space="preserve">. Consistent with this, stakeholders reported </w:t>
      </w:r>
      <w:r w:rsidR="002A693D">
        <w:t xml:space="preserve">low program awareness across the aged care sector. </w:t>
      </w:r>
      <w:r w:rsidR="00AA4998">
        <w:t>They also noted that</w:t>
      </w:r>
      <w:r w:rsidR="004D7DF4">
        <w:t xml:space="preserve"> although</w:t>
      </w:r>
      <w:r w:rsidR="00916379">
        <w:t xml:space="preserve"> existing communication materials were professional, </w:t>
      </w:r>
      <w:r w:rsidR="00B01D14">
        <w:t>marketing collateral</w:t>
      </w:r>
      <w:r w:rsidR="00916379">
        <w:t xml:space="preserve"> could benefit from specialist aged care communications expertise</w:t>
      </w:r>
      <w:r w:rsidR="00314F9E">
        <w:t xml:space="preserve">. Specialist expertise was </w:t>
      </w:r>
      <w:r w:rsidR="00314F9E">
        <w:lastRenderedPageBreak/>
        <w:t>thought to be potentially more effective at conveying</w:t>
      </w:r>
      <w:r w:rsidR="00003230">
        <w:t xml:space="preserve"> the program</w:t>
      </w:r>
      <w:r w:rsidR="003863F5">
        <w:t>’</w:t>
      </w:r>
      <w:r w:rsidR="00003230">
        <w:t>s value proposition and</w:t>
      </w:r>
      <w:r w:rsidR="00BE2DE3">
        <w:t xml:space="preserve"> potential benefits to providers.</w:t>
      </w:r>
    </w:p>
    <w:p w14:paraId="372B5471" w14:textId="380C06FD" w:rsidR="00A215DA" w:rsidRDefault="006033D9" w:rsidP="00065133">
      <w:r>
        <w:t xml:space="preserve">These findings </w:t>
      </w:r>
      <w:r w:rsidR="003C05ED">
        <w:t>highlight the</w:t>
      </w:r>
      <w:r>
        <w:t xml:space="preserve"> need for a more diversified engagement strategy</w:t>
      </w:r>
      <w:r w:rsidR="00BF5685">
        <w:t>, supported by specialist aged care marketing expertise,</w:t>
      </w:r>
      <w:r>
        <w:t xml:space="preserve"> to reach providers that may not self-identify or have </w:t>
      </w:r>
      <w:r w:rsidR="004A045B">
        <w:t xml:space="preserve">the </w:t>
      </w:r>
      <w:r>
        <w:t>capacity to engage without targe</w:t>
      </w:r>
      <w:r w:rsidR="004A045B">
        <w:t>ted outreach.</w:t>
      </w:r>
    </w:p>
    <w:p w14:paraId="535FDA09" w14:textId="567B1BA4" w:rsidR="00506962" w:rsidRDefault="007703BD">
      <w:pPr>
        <w:pStyle w:val="Findings"/>
      </w:pPr>
      <w:r>
        <w:rPr>
          <w:lang w:eastAsia="en-AU"/>
        </w:rPr>
        <w:t>The PACOP</w:t>
      </w:r>
      <w:r w:rsidR="007716ED" w:rsidRPr="007716ED">
        <w:rPr>
          <w:lang w:eastAsia="en-AU"/>
        </w:rPr>
        <w:t xml:space="preserve"> engagement strategy </w:t>
      </w:r>
      <w:r w:rsidR="00DB229C">
        <w:rPr>
          <w:lang w:eastAsia="en-AU"/>
        </w:rPr>
        <w:t xml:space="preserve">used </w:t>
      </w:r>
      <w:r w:rsidR="00DB1914">
        <w:rPr>
          <w:lang w:eastAsia="en-AU"/>
        </w:rPr>
        <w:t>multiple</w:t>
      </w:r>
      <w:r w:rsidR="00DB229C">
        <w:rPr>
          <w:lang w:eastAsia="en-AU"/>
        </w:rPr>
        <w:t xml:space="preserve"> channels but </w:t>
      </w:r>
      <w:r w:rsidR="003A6FC1" w:rsidRPr="003A6FC1">
        <w:rPr>
          <w:lang w:eastAsia="en-AU"/>
        </w:rPr>
        <w:t xml:space="preserve">relied heavily on PACOP-owned </w:t>
      </w:r>
      <w:r w:rsidR="00ED2030">
        <w:rPr>
          <w:lang w:eastAsia="en-AU"/>
        </w:rPr>
        <w:t>platforms</w:t>
      </w:r>
      <w:r w:rsidR="008F7A2D">
        <w:rPr>
          <w:lang w:eastAsia="en-AU"/>
        </w:rPr>
        <w:t xml:space="preserve"> and self-referral</w:t>
      </w:r>
      <w:r w:rsidR="00E01810">
        <w:rPr>
          <w:lang w:eastAsia="en-AU"/>
        </w:rPr>
        <w:t xml:space="preserve">, with minimal referrals </w:t>
      </w:r>
      <w:r w:rsidR="001D7A18">
        <w:rPr>
          <w:lang w:eastAsia="en-AU"/>
        </w:rPr>
        <w:t>through sector partnerships</w:t>
      </w:r>
      <w:r w:rsidR="00BE4DE0">
        <w:rPr>
          <w:lang w:eastAsia="en-AU"/>
        </w:rPr>
        <w:t xml:space="preserve"> and</w:t>
      </w:r>
      <w:r w:rsidR="009A71D3">
        <w:rPr>
          <w:lang w:eastAsia="en-AU"/>
        </w:rPr>
        <w:t xml:space="preserve"> </w:t>
      </w:r>
      <w:r w:rsidR="00EF14B6">
        <w:rPr>
          <w:lang w:eastAsia="en-AU"/>
        </w:rPr>
        <w:t>related initiatives (PEPA Aged Care and ELDAC)</w:t>
      </w:r>
      <w:r w:rsidR="005E6D30">
        <w:rPr>
          <w:lang w:eastAsia="en-AU"/>
        </w:rPr>
        <w:t xml:space="preserve">. </w:t>
      </w:r>
      <w:r w:rsidR="00E01810">
        <w:rPr>
          <w:lang w:eastAsia="en-AU"/>
        </w:rPr>
        <w:t>While th</w:t>
      </w:r>
      <w:r w:rsidR="00BE4DE0">
        <w:rPr>
          <w:lang w:eastAsia="en-AU"/>
        </w:rPr>
        <w:t>is</w:t>
      </w:r>
      <w:r w:rsidR="00E01810">
        <w:rPr>
          <w:lang w:eastAsia="en-AU"/>
        </w:rPr>
        <w:t xml:space="preserve"> approach likely supported uptake among motivated providers, it </w:t>
      </w:r>
      <w:r w:rsidR="00EF14B6">
        <w:rPr>
          <w:lang w:eastAsia="en-AU"/>
        </w:rPr>
        <w:t>may have</w:t>
      </w:r>
      <w:r w:rsidR="00E01810">
        <w:rPr>
          <w:lang w:eastAsia="en-AU"/>
        </w:rPr>
        <w:t xml:space="preserve"> constrained broader </w:t>
      </w:r>
      <w:r w:rsidR="00431161">
        <w:rPr>
          <w:lang w:eastAsia="en-AU"/>
        </w:rPr>
        <w:t xml:space="preserve">visibility </w:t>
      </w:r>
      <w:r w:rsidR="00EF14B6">
        <w:rPr>
          <w:lang w:eastAsia="en-AU"/>
        </w:rPr>
        <w:t>across the aged care sector</w:t>
      </w:r>
      <w:r w:rsidR="00BE4DE0">
        <w:rPr>
          <w:lang w:eastAsia="en-AU"/>
        </w:rPr>
        <w:t xml:space="preserve">, masking potential unmet </w:t>
      </w:r>
      <w:r w:rsidR="00C561F8">
        <w:rPr>
          <w:lang w:eastAsia="en-AU"/>
        </w:rPr>
        <w:t>demand</w:t>
      </w:r>
      <w:r w:rsidR="00B84F66">
        <w:rPr>
          <w:lang w:eastAsia="en-AU"/>
        </w:rPr>
        <w:t xml:space="preserve">. </w:t>
      </w:r>
      <w:r w:rsidR="005B74BA">
        <w:rPr>
          <w:lang w:eastAsia="en-AU"/>
        </w:rPr>
        <w:t>Stakeholders also noted that existing communication materials could benefit from specialist aged care communications expertise</w:t>
      </w:r>
      <w:r w:rsidR="00CC78E1">
        <w:rPr>
          <w:lang w:eastAsia="en-AU"/>
        </w:rPr>
        <w:t xml:space="preserve"> to more clearly convey the program’s value and potential benefits</w:t>
      </w:r>
      <w:r w:rsidR="00916379">
        <w:rPr>
          <w:lang w:eastAsia="en-AU"/>
        </w:rPr>
        <w:t xml:space="preserve">. </w:t>
      </w:r>
    </w:p>
    <w:p w14:paraId="4041ED2F" w14:textId="26AEEBB7" w:rsidR="0053367A" w:rsidRDefault="0058499B" w:rsidP="000E00A3">
      <w:pPr>
        <w:pStyle w:val="Heading4"/>
      </w:pPr>
      <w:r>
        <w:t>Program u</w:t>
      </w:r>
      <w:r w:rsidR="0053367A">
        <w:t>ptake</w:t>
      </w:r>
    </w:p>
    <w:p w14:paraId="2A202B9E" w14:textId="21AE6880" w:rsidR="002B4052" w:rsidRDefault="00EB6813" w:rsidP="004B2373">
      <w:r>
        <w:t xml:space="preserve">PACOP achieved steady growth in provider and </w:t>
      </w:r>
      <w:r w:rsidR="000036DA">
        <w:t>aged</w:t>
      </w:r>
      <w:r>
        <w:t xml:space="preserve"> care home registrations over the evaluation period, although momentum </w:t>
      </w:r>
      <w:r w:rsidR="00AA379C">
        <w:t>slowed over time</w:t>
      </w:r>
      <w:r>
        <w:t xml:space="preserve">. </w:t>
      </w:r>
      <w:r w:rsidR="005A6206">
        <w:t xml:space="preserve">The </w:t>
      </w:r>
      <w:r w:rsidR="00A4675C">
        <w:t xml:space="preserve">total </w:t>
      </w:r>
      <w:r w:rsidR="005A6206">
        <w:t xml:space="preserve">number of </w:t>
      </w:r>
      <w:r w:rsidR="00EE3D9B" w:rsidRPr="00EE3D9B">
        <w:rPr>
          <w:b/>
          <w:bCs/>
        </w:rPr>
        <w:t xml:space="preserve">aged care </w:t>
      </w:r>
      <w:r w:rsidR="005A6206" w:rsidRPr="00EE3D9B">
        <w:rPr>
          <w:b/>
          <w:bCs/>
        </w:rPr>
        <w:t>providers</w:t>
      </w:r>
      <w:r w:rsidR="005A6206">
        <w:t xml:space="preserve"> registered in PACOP </w:t>
      </w:r>
      <w:r w:rsidR="009C5D20">
        <w:t>increased</w:t>
      </w:r>
      <w:r w:rsidR="00480336">
        <w:t xml:space="preserve"> from 56 in 2022–23 </w:t>
      </w:r>
      <w:r w:rsidR="0019760C">
        <w:t xml:space="preserve">to </w:t>
      </w:r>
      <w:r w:rsidR="009C5D20">
        <w:t>74 in 2023</w:t>
      </w:r>
      <w:r w:rsidR="00733E33">
        <w:t>–</w:t>
      </w:r>
      <w:r w:rsidR="009C5D20">
        <w:t>24</w:t>
      </w:r>
      <w:r w:rsidR="00127AAD">
        <w:t xml:space="preserve">, and then to </w:t>
      </w:r>
      <w:r w:rsidR="0019760C">
        <w:t>85 in 2024–25.</w:t>
      </w:r>
      <w:r w:rsidR="00D834A6">
        <w:t xml:space="preserve"> </w:t>
      </w:r>
      <w:r w:rsidR="00C74FD4">
        <w:t xml:space="preserve">Similarly, </w:t>
      </w:r>
      <w:r w:rsidR="00273B8F">
        <w:t xml:space="preserve">the number of </w:t>
      </w:r>
      <w:r w:rsidR="00DB54DD">
        <w:t>registered</w:t>
      </w:r>
      <w:r w:rsidR="00273B8F">
        <w:t xml:space="preserve"> individual </w:t>
      </w:r>
      <w:r w:rsidR="00273B8F" w:rsidRPr="00944B08">
        <w:rPr>
          <w:b/>
        </w:rPr>
        <w:t>aged care homes</w:t>
      </w:r>
      <w:r w:rsidR="00273B8F">
        <w:t xml:space="preserve"> </w:t>
      </w:r>
      <w:r w:rsidR="00733E33">
        <w:t>grew</w:t>
      </w:r>
      <w:r w:rsidR="006C3DB0">
        <w:t xml:space="preserve"> </w:t>
      </w:r>
      <w:r w:rsidR="006C3DB0" w:rsidRPr="003353B6">
        <w:t xml:space="preserve">from 145 in 2022–23 </w:t>
      </w:r>
      <w:r w:rsidR="006C3DB0">
        <w:t>to</w:t>
      </w:r>
      <w:r w:rsidR="006C3DB0" w:rsidRPr="003353B6">
        <w:t xml:space="preserve"> 300 in 2023–24</w:t>
      </w:r>
      <w:r w:rsidR="006C3DB0">
        <w:t xml:space="preserve"> and</w:t>
      </w:r>
      <w:r w:rsidR="00944B08">
        <w:t xml:space="preserve"> </w:t>
      </w:r>
      <w:r w:rsidR="00C74217">
        <w:t>454 b</w:t>
      </w:r>
      <w:r w:rsidR="00C74FD4" w:rsidRPr="003353B6">
        <w:t xml:space="preserve">y </w:t>
      </w:r>
      <w:r w:rsidR="00C74FD4">
        <w:t>June 20</w:t>
      </w:r>
      <w:r w:rsidR="00C74FD4" w:rsidRPr="003353B6">
        <w:t>25</w:t>
      </w:r>
      <w:r w:rsidR="00C74FD4">
        <w:t>.</w:t>
      </w:r>
    </w:p>
    <w:p w14:paraId="3CF2F3C9" w14:textId="51E49A23" w:rsidR="005158D0" w:rsidRDefault="00B2152E" w:rsidP="005158D0">
      <w:r>
        <w:t>Analysis of y</w:t>
      </w:r>
      <w:r w:rsidR="005158D0">
        <w:t xml:space="preserve">ear-on-year </w:t>
      </w:r>
      <w:r w:rsidR="00D978C5">
        <w:t xml:space="preserve">uptake indicated that </w:t>
      </w:r>
      <w:r w:rsidR="005158D0">
        <w:t xml:space="preserve">program growth </w:t>
      </w:r>
      <w:r w:rsidR="0070046B">
        <w:t>peaked early</w:t>
      </w:r>
      <w:r w:rsidR="005158D0">
        <w:t xml:space="preserve">, with provider registrations increasing by 32% in </w:t>
      </w:r>
      <w:r w:rsidR="005158D0" w:rsidRPr="007E1B25">
        <w:t>2023–24</w:t>
      </w:r>
      <w:r w:rsidR="005158D0">
        <w:t xml:space="preserve"> and</w:t>
      </w:r>
      <w:r w:rsidR="005158D0" w:rsidRPr="007E1B25">
        <w:t xml:space="preserve"> </w:t>
      </w:r>
      <w:r w:rsidR="0070046B">
        <w:t xml:space="preserve">slowing to </w:t>
      </w:r>
      <w:r w:rsidR="005158D0">
        <w:t>15%</w:t>
      </w:r>
      <w:r w:rsidR="005158D0" w:rsidRPr="007E1B25">
        <w:t xml:space="preserve"> in 2024–25</w:t>
      </w:r>
      <w:r w:rsidR="0070046B">
        <w:t>. Aged care h</w:t>
      </w:r>
      <w:r w:rsidR="005158D0">
        <w:t>ome registrations</w:t>
      </w:r>
      <w:r w:rsidR="0070046B">
        <w:t xml:space="preserve"> followed a similar pattern, </w:t>
      </w:r>
      <w:r w:rsidR="0057500E">
        <w:t>rising</w:t>
      </w:r>
      <w:r w:rsidR="005158D0">
        <w:t xml:space="preserve"> by 107% </w:t>
      </w:r>
      <w:r w:rsidR="007C2B74">
        <w:t xml:space="preserve">in </w:t>
      </w:r>
      <w:r w:rsidR="007C2B74" w:rsidRPr="007E1B25">
        <w:t>2023–24</w:t>
      </w:r>
      <w:r w:rsidR="007C2B74">
        <w:t xml:space="preserve"> and</w:t>
      </w:r>
      <w:r w:rsidR="007C2B74" w:rsidRPr="007E1B25">
        <w:t xml:space="preserve"> </w:t>
      </w:r>
      <w:r w:rsidR="007C2B74">
        <w:t>5</w:t>
      </w:r>
      <w:r w:rsidR="00E80883">
        <w:t>1</w:t>
      </w:r>
      <w:r w:rsidR="007C2B74">
        <w:t>%</w:t>
      </w:r>
      <w:r w:rsidR="007C2B74" w:rsidRPr="007E1B25">
        <w:t xml:space="preserve"> in 2024–25</w:t>
      </w:r>
      <w:r w:rsidR="007C2B74">
        <w:t>. Th</w:t>
      </w:r>
      <w:r w:rsidR="0057500E">
        <w:t xml:space="preserve">ese findings </w:t>
      </w:r>
      <w:r w:rsidR="00C4779B">
        <w:t>indicate</w:t>
      </w:r>
      <w:r w:rsidR="007C2B74">
        <w:t xml:space="preserve"> strong initial </w:t>
      </w:r>
      <w:r w:rsidR="0057500E">
        <w:t>momentum</w:t>
      </w:r>
      <w:r w:rsidR="001C520F">
        <w:t xml:space="preserve"> followed by a </w:t>
      </w:r>
      <w:r w:rsidR="0057500E">
        <w:t>decel</w:t>
      </w:r>
      <w:r w:rsidR="00C4779B">
        <w:t>eration</w:t>
      </w:r>
      <w:r w:rsidR="006E6868">
        <w:t xml:space="preserve"> in </w:t>
      </w:r>
      <w:r w:rsidR="00C4779B">
        <w:t>growth</w:t>
      </w:r>
      <w:r w:rsidR="001C520F">
        <w:t>.</w:t>
      </w:r>
    </w:p>
    <w:p w14:paraId="736809B6" w14:textId="193A1256" w:rsidR="00CC022F" w:rsidRDefault="003666FC" w:rsidP="004B2373">
      <w:r>
        <w:t xml:space="preserve">When </w:t>
      </w:r>
      <w:r w:rsidR="000767E4">
        <w:t>participation in the Profile and Outcomes Collection</w:t>
      </w:r>
      <w:r w:rsidR="00CB2263">
        <w:t xml:space="preserve"> was examined</w:t>
      </w:r>
      <w:r w:rsidR="000767E4">
        <w:t xml:space="preserve"> by </w:t>
      </w:r>
      <w:r w:rsidR="000767E4" w:rsidRPr="00273B8F">
        <w:rPr>
          <w:b/>
        </w:rPr>
        <w:t>provider size</w:t>
      </w:r>
      <w:r w:rsidR="00CB2263">
        <w:rPr>
          <w:b/>
        </w:rPr>
        <w:t>,</w:t>
      </w:r>
      <w:r w:rsidR="000767E4">
        <w:t xml:space="preserve"> </w:t>
      </w:r>
      <w:r w:rsidR="00F413D7">
        <w:t xml:space="preserve">findings indicated </w:t>
      </w:r>
      <w:r w:rsidR="000767E4">
        <w:t>that growth</w:t>
      </w:r>
      <w:r w:rsidR="000767E4" w:rsidRPr="00487FBE">
        <w:t xml:space="preserve"> </w:t>
      </w:r>
      <w:r w:rsidR="0083192E">
        <w:t xml:space="preserve">in both program components </w:t>
      </w:r>
      <w:r w:rsidR="000767E4" w:rsidRPr="00487FBE">
        <w:t xml:space="preserve">was </w:t>
      </w:r>
      <w:r w:rsidR="000767E4" w:rsidRPr="00487FBE">
        <w:t>primarily driven by smal</w:t>
      </w:r>
      <w:r w:rsidR="000767E4">
        <w:t xml:space="preserve">ler </w:t>
      </w:r>
      <w:r w:rsidR="000767E4" w:rsidRPr="00487FBE">
        <w:t>providers</w:t>
      </w:r>
      <w:r w:rsidR="000767E4">
        <w:t xml:space="preserve"> with fewer than 10 homes (</w:t>
      </w:r>
      <w:r w:rsidR="000767E4">
        <w:fldChar w:fldCharType="begin"/>
      </w:r>
      <w:r w:rsidR="000767E4">
        <w:instrText xml:space="preserve"> REF _Ref215067726 \h </w:instrText>
      </w:r>
      <w:r w:rsidR="000767E4">
        <w:fldChar w:fldCharType="separate"/>
      </w:r>
      <w:r w:rsidR="00167BA0">
        <w:t xml:space="preserve">Figure </w:t>
      </w:r>
      <w:r w:rsidR="00167BA0">
        <w:rPr>
          <w:noProof/>
        </w:rPr>
        <w:t>5</w:t>
      </w:r>
      <w:r w:rsidR="00167BA0">
        <w:t>.</w:t>
      </w:r>
      <w:r w:rsidR="00167BA0">
        <w:rPr>
          <w:noProof/>
        </w:rPr>
        <w:t>2</w:t>
      </w:r>
      <w:r w:rsidR="000767E4">
        <w:fldChar w:fldCharType="end"/>
      </w:r>
      <w:r w:rsidR="000767E4">
        <w:t xml:space="preserve"> and </w:t>
      </w:r>
      <w:r w:rsidR="000767E4">
        <w:fldChar w:fldCharType="begin"/>
      </w:r>
      <w:r w:rsidR="000767E4">
        <w:instrText xml:space="preserve"> REF _Ref215067840 \h </w:instrText>
      </w:r>
      <w:r w:rsidR="000767E4">
        <w:fldChar w:fldCharType="separate"/>
      </w:r>
      <w:r w:rsidR="00167BA0">
        <w:t xml:space="preserve">Figure </w:t>
      </w:r>
      <w:r w:rsidR="00167BA0">
        <w:rPr>
          <w:noProof/>
        </w:rPr>
        <w:t>5</w:t>
      </w:r>
      <w:r w:rsidR="00167BA0">
        <w:t>.</w:t>
      </w:r>
      <w:r w:rsidR="00167BA0">
        <w:rPr>
          <w:noProof/>
        </w:rPr>
        <w:t>3</w:t>
      </w:r>
      <w:r w:rsidR="000767E4">
        <w:fldChar w:fldCharType="end"/>
      </w:r>
      <w:r w:rsidR="000767E4">
        <w:t>).</w:t>
      </w:r>
      <w:r w:rsidR="00521119">
        <w:t xml:space="preserve"> Participation among medium and larger providers remained relatively stable, particularly for the Profile Collection. </w:t>
      </w:r>
      <w:r w:rsidR="00EA31EB">
        <w:t xml:space="preserve">This </w:t>
      </w:r>
      <w:r w:rsidR="00815F76">
        <w:t xml:space="preserve">pattern </w:t>
      </w:r>
      <w:r w:rsidR="00DD7477">
        <w:t>indicates</w:t>
      </w:r>
      <w:r w:rsidR="00EA31EB">
        <w:t xml:space="preserve"> both demand among smaller providers and challenges in </w:t>
      </w:r>
      <w:r w:rsidR="00B3593C">
        <w:t>expanding participation among</w:t>
      </w:r>
      <w:r w:rsidR="008F33A4">
        <w:t xml:space="preserve"> </w:t>
      </w:r>
      <w:r w:rsidR="00EA31EB">
        <w:t>larger organisations.</w:t>
      </w:r>
    </w:p>
    <w:p w14:paraId="66433B79" w14:textId="528BF99E" w:rsidR="00AA4ABB" w:rsidRDefault="00AA4ABB" w:rsidP="00AA4ABB">
      <w:pPr>
        <w:pStyle w:val="Caption"/>
      </w:pPr>
      <w:bookmarkStart w:id="82" w:name="_Ref215067726"/>
      <w:r>
        <w:t xml:space="preserve">Figure </w:t>
      </w:r>
      <w:fldSimple w:instr=" STYLEREF 1 \s ">
        <w:r w:rsidR="00167BA0">
          <w:rPr>
            <w:noProof/>
          </w:rPr>
          <w:t>5</w:t>
        </w:r>
      </w:fldSimple>
      <w:r w:rsidR="00DD3EB1">
        <w:t>.</w:t>
      </w:r>
      <w:fldSimple w:instr=" SEQ Figure \* ARABIC \s 1 ">
        <w:r w:rsidR="00167BA0">
          <w:rPr>
            <w:noProof/>
          </w:rPr>
          <w:t>2</w:t>
        </w:r>
      </w:fldSimple>
      <w:bookmarkEnd w:id="82"/>
      <w:r>
        <w:t>: Number of aged care providers implementing</w:t>
      </w:r>
      <w:r w:rsidR="006137B4">
        <w:t xml:space="preserve"> the </w:t>
      </w:r>
      <w:r w:rsidR="006137B4">
        <w:br/>
        <w:t>Profile Collection, by provider size (January 2021 to December 2024)</w:t>
      </w:r>
    </w:p>
    <w:p w14:paraId="155D9AA8" w14:textId="265363A6" w:rsidR="0053367A" w:rsidRDefault="00BD5144" w:rsidP="00F24D86">
      <w:pPr>
        <w:jc w:val="center"/>
      </w:pPr>
      <w:r>
        <w:rPr>
          <w:noProof/>
        </w:rPr>
        <w:drawing>
          <wp:inline distT="0" distB="0" distL="0" distR="0" wp14:anchorId="611809E5" wp14:editId="131E143C">
            <wp:extent cx="4538317" cy="3152775"/>
            <wp:effectExtent l="0" t="0" r="0" b="0"/>
            <wp:docPr id="308899431" name="Picture 7" descr="Figure 5.2 is a line graph showing number of aged care providers implementing the &#10;Profile Collection, by provider size (January 2021 to December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99431" name="Picture 7" descr="Figure 5.2 is a line graph showing number of aged care providers implementing the &#10;Profile Collection, by provider size (January 2021 to December 202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4620" cy="3157154"/>
                    </a:xfrm>
                    <a:prstGeom prst="rect">
                      <a:avLst/>
                    </a:prstGeom>
                    <a:noFill/>
                  </pic:spPr>
                </pic:pic>
              </a:graphicData>
            </a:graphic>
          </wp:inline>
        </w:drawing>
      </w:r>
    </w:p>
    <w:p w14:paraId="1527FE7A" w14:textId="59AB9323" w:rsidR="00D621AB" w:rsidRDefault="00D621AB" w:rsidP="00D621AB">
      <w:pPr>
        <w:pStyle w:val="Tablenotes"/>
      </w:pPr>
      <w:r>
        <w:t xml:space="preserve">Source: PACOP Performance Report, July 2022 </w:t>
      </w:r>
      <w:sdt>
        <w:sdtPr>
          <w:id w:val="831488090"/>
          <w:citation/>
        </w:sdtPr>
        <w:sdtContent>
          <w:r>
            <w:fldChar w:fldCharType="begin"/>
          </w:r>
          <w:r>
            <w:rPr>
              <w:lang w:val="en-US"/>
            </w:rPr>
            <w:instrText xml:space="preserve"> CITATION Uni222 \l 1033 </w:instrText>
          </w:r>
          <w:r>
            <w:fldChar w:fldCharType="separate"/>
          </w:r>
          <w:r w:rsidR="008410E0" w:rsidRPr="008410E0">
            <w:rPr>
              <w:noProof/>
              <w:lang w:val="en-US"/>
            </w:rPr>
            <w:t>[28]</w:t>
          </w:r>
          <w:r>
            <w:fldChar w:fldCharType="end"/>
          </w:r>
        </w:sdtContent>
      </w:sdt>
      <w:r>
        <w:t>, PACOP Performance Report, January 2023</w:t>
      </w:r>
      <w:sdt>
        <w:sdtPr>
          <w:id w:val="1741293510"/>
          <w:citation/>
        </w:sdtPr>
        <w:sdtContent>
          <w:r>
            <w:fldChar w:fldCharType="begin"/>
          </w:r>
          <w:r>
            <w:rPr>
              <w:lang w:val="en-US"/>
            </w:rPr>
            <w:instrText xml:space="preserve"> CITATION Uni233 \l 1033 </w:instrText>
          </w:r>
          <w:r>
            <w:fldChar w:fldCharType="separate"/>
          </w:r>
          <w:r w:rsidR="008410E0">
            <w:rPr>
              <w:noProof/>
              <w:lang w:val="en-US"/>
            </w:rPr>
            <w:t xml:space="preserve"> </w:t>
          </w:r>
          <w:r w:rsidR="008410E0" w:rsidRPr="008410E0">
            <w:rPr>
              <w:noProof/>
              <w:lang w:val="en-US"/>
            </w:rPr>
            <w:t>[29]</w:t>
          </w:r>
          <w:r>
            <w:fldChar w:fldCharType="end"/>
          </w:r>
        </w:sdtContent>
      </w:sdt>
      <w:r>
        <w:t xml:space="preserve">, PACOP Performance Report, July 2023 </w:t>
      </w:r>
      <w:sdt>
        <w:sdtPr>
          <w:id w:val="-1902282048"/>
          <w:citation/>
        </w:sdtPr>
        <w:sdtContent>
          <w:r>
            <w:fldChar w:fldCharType="begin"/>
          </w:r>
          <w:r>
            <w:rPr>
              <w:lang w:val="en-US"/>
            </w:rPr>
            <w:instrText xml:space="preserve"> CITATION Uni234 \l 1033 </w:instrText>
          </w:r>
          <w:r>
            <w:fldChar w:fldCharType="separate"/>
          </w:r>
          <w:r w:rsidR="008410E0" w:rsidRPr="008410E0">
            <w:rPr>
              <w:noProof/>
              <w:lang w:val="en-US"/>
            </w:rPr>
            <w:t>[30]</w:t>
          </w:r>
          <w:r>
            <w:fldChar w:fldCharType="end"/>
          </w:r>
        </w:sdtContent>
      </w:sdt>
      <w:r>
        <w:t xml:space="preserve">, PACOP Performance Report, July 2024 </w:t>
      </w:r>
      <w:sdt>
        <w:sdtPr>
          <w:id w:val="1667666057"/>
          <w:citation/>
        </w:sdtPr>
        <w:sdtContent>
          <w:r>
            <w:fldChar w:fldCharType="begin"/>
          </w:r>
          <w:r>
            <w:rPr>
              <w:lang w:val="en-US"/>
            </w:rPr>
            <w:instrText xml:space="preserve"> CITATION Uni2411 \l 1033 </w:instrText>
          </w:r>
          <w:r>
            <w:fldChar w:fldCharType="separate"/>
          </w:r>
          <w:r w:rsidR="008410E0" w:rsidRPr="008410E0">
            <w:rPr>
              <w:noProof/>
              <w:lang w:val="en-US"/>
            </w:rPr>
            <w:t>[31]</w:t>
          </w:r>
          <w:r>
            <w:fldChar w:fldCharType="end"/>
          </w:r>
        </w:sdtContent>
      </w:sdt>
      <w:r>
        <w:t xml:space="preserve">, PACOP Final Report, 2025 </w:t>
      </w:r>
      <w:sdt>
        <w:sdtPr>
          <w:id w:val="1165050567"/>
          <w:citation/>
        </w:sdtPr>
        <w:sdtContent>
          <w:r>
            <w:fldChar w:fldCharType="begin"/>
          </w:r>
          <w:r>
            <w:rPr>
              <w:lang w:val="en-US"/>
            </w:rPr>
            <w:instrText xml:space="preserve"> CITATION Uni2533 \l 1033 </w:instrText>
          </w:r>
          <w:r>
            <w:fldChar w:fldCharType="separate"/>
          </w:r>
          <w:r w:rsidR="008410E0" w:rsidRPr="008410E0">
            <w:rPr>
              <w:noProof/>
              <w:lang w:val="en-US"/>
            </w:rPr>
            <w:t>[24]</w:t>
          </w:r>
          <w:r>
            <w:fldChar w:fldCharType="end"/>
          </w:r>
        </w:sdtContent>
      </w:sdt>
      <w:r>
        <w:t>.</w:t>
      </w:r>
    </w:p>
    <w:p w14:paraId="12713D2F" w14:textId="0324AD0E" w:rsidR="00100045" w:rsidRDefault="00100045" w:rsidP="00100045">
      <w:pPr>
        <w:pStyle w:val="Caption"/>
      </w:pPr>
      <w:bookmarkStart w:id="83" w:name="_Ref215067840"/>
      <w:r>
        <w:lastRenderedPageBreak/>
        <w:t xml:space="preserve">Figure </w:t>
      </w:r>
      <w:fldSimple w:instr=" STYLEREF 1 \s ">
        <w:r w:rsidR="00167BA0">
          <w:rPr>
            <w:noProof/>
          </w:rPr>
          <w:t>5</w:t>
        </w:r>
      </w:fldSimple>
      <w:r w:rsidR="00DD3EB1">
        <w:t>.</w:t>
      </w:r>
      <w:fldSimple w:instr=" SEQ Figure \* ARABIC \s 1 ">
        <w:r w:rsidR="00167BA0">
          <w:rPr>
            <w:noProof/>
          </w:rPr>
          <w:t>3</w:t>
        </w:r>
      </w:fldSimple>
      <w:bookmarkEnd w:id="83"/>
      <w:r>
        <w:t xml:space="preserve">: Number of aged care providers implementing the </w:t>
      </w:r>
      <w:r w:rsidR="007A4C9A">
        <w:t xml:space="preserve">Profile and </w:t>
      </w:r>
      <w:r>
        <w:t>Outcomes Collection</w:t>
      </w:r>
      <w:r w:rsidR="007A4C9A">
        <w:t>s</w:t>
      </w:r>
      <w:r>
        <w:t>, by provider size (January 2021 to December 2024)</w:t>
      </w:r>
    </w:p>
    <w:p w14:paraId="7278D106" w14:textId="23B85037" w:rsidR="00994DD9" w:rsidRDefault="00206D03" w:rsidP="00F24D86">
      <w:pPr>
        <w:jc w:val="center"/>
      </w:pPr>
      <w:r>
        <w:rPr>
          <w:noProof/>
        </w:rPr>
        <w:drawing>
          <wp:inline distT="0" distB="0" distL="0" distR="0" wp14:anchorId="34890281" wp14:editId="04542A76">
            <wp:extent cx="4544652" cy="3209925"/>
            <wp:effectExtent l="0" t="0" r="8890" b="0"/>
            <wp:docPr id="800206448" name="Picture 6" descr="Figure 5.3 is a line graph showing number of aged care providers implementing the Profile and Outcomes Collections, by provider size (January 2021 to December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06448" name="Picture 6" descr="Figure 5.3 is a line graph showing number of aged care providers implementing the Profile and Outcomes Collections, by provider size (January 2021 to December 202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68737" cy="3226937"/>
                    </a:xfrm>
                    <a:prstGeom prst="rect">
                      <a:avLst/>
                    </a:prstGeom>
                    <a:noFill/>
                  </pic:spPr>
                </pic:pic>
              </a:graphicData>
            </a:graphic>
          </wp:inline>
        </w:drawing>
      </w:r>
    </w:p>
    <w:p w14:paraId="3E232DF4" w14:textId="63ED3087" w:rsidR="00100045" w:rsidRDefault="00100045" w:rsidP="00100045">
      <w:pPr>
        <w:pStyle w:val="Tablenotes"/>
      </w:pPr>
      <w:r>
        <w:t xml:space="preserve">Source: PACOP Performance Report, July 2022 </w:t>
      </w:r>
      <w:sdt>
        <w:sdtPr>
          <w:id w:val="1600440068"/>
          <w:citation/>
        </w:sdtPr>
        <w:sdtContent>
          <w:r>
            <w:fldChar w:fldCharType="begin"/>
          </w:r>
          <w:r>
            <w:rPr>
              <w:lang w:val="en-US"/>
            </w:rPr>
            <w:instrText xml:space="preserve"> CITATION Uni222 \l 1033 </w:instrText>
          </w:r>
          <w:r>
            <w:fldChar w:fldCharType="separate"/>
          </w:r>
          <w:r w:rsidR="008410E0" w:rsidRPr="008410E0">
            <w:rPr>
              <w:noProof/>
              <w:lang w:val="en-US"/>
            </w:rPr>
            <w:t>[28]</w:t>
          </w:r>
          <w:r>
            <w:fldChar w:fldCharType="end"/>
          </w:r>
        </w:sdtContent>
      </w:sdt>
      <w:r>
        <w:t>, PACOP Performance Report, January 2023</w:t>
      </w:r>
      <w:sdt>
        <w:sdtPr>
          <w:id w:val="1487357948"/>
          <w:citation/>
        </w:sdtPr>
        <w:sdtContent>
          <w:r>
            <w:fldChar w:fldCharType="begin"/>
          </w:r>
          <w:r>
            <w:rPr>
              <w:lang w:val="en-US"/>
            </w:rPr>
            <w:instrText xml:space="preserve"> CITATION Uni233 \l 1033 </w:instrText>
          </w:r>
          <w:r>
            <w:fldChar w:fldCharType="separate"/>
          </w:r>
          <w:r w:rsidR="008410E0">
            <w:rPr>
              <w:noProof/>
              <w:lang w:val="en-US"/>
            </w:rPr>
            <w:t xml:space="preserve"> </w:t>
          </w:r>
          <w:r w:rsidR="008410E0" w:rsidRPr="008410E0">
            <w:rPr>
              <w:noProof/>
              <w:lang w:val="en-US"/>
            </w:rPr>
            <w:t>[29]</w:t>
          </w:r>
          <w:r>
            <w:fldChar w:fldCharType="end"/>
          </w:r>
        </w:sdtContent>
      </w:sdt>
      <w:r>
        <w:t xml:space="preserve">, PACOP Performance Report, July 2023 </w:t>
      </w:r>
      <w:sdt>
        <w:sdtPr>
          <w:id w:val="-375623383"/>
          <w:citation/>
        </w:sdtPr>
        <w:sdtContent>
          <w:r>
            <w:fldChar w:fldCharType="begin"/>
          </w:r>
          <w:r>
            <w:rPr>
              <w:lang w:val="en-US"/>
            </w:rPr>
            <w:instrText xml:space="preserve"> CITATION Uni234 \l 1033 </w:instrText>
          </w:r>
          <w:r>
            <w:fldChar w:fldCharType="separate"/>
          </w:r>
          <w:r w:rsidR="008410E0" w:rsidRPr="008410E0">
            <w:rPr>
              <w:noProof/>
              <w:lang w:val="en-US"/>
            </w:rPr>
            <w:t>[30]</w:t>
          </w:r>
          <w:r>
            <w:fldChar w:fldCharType="end"/>
          </w:r>
        </w:sdtContent>
      </w:sdt>
      <w:r>
        <w:t xml:space="preserve">, PACOP Performance Report, July 2024 </w:t>
      </w:r>
      <w:sdt>
        <w:sdtPr>
          <w:id w:val="-2095775904"/>
          <w:citation/>
        </w:sdtPr>
        <w:sdtContent>
          <w:r>
            <w:fldChar w:fldCharType="begin"/>
          </w:r>
          <w:r>
            <w:rPr>
              <w:lang w:val="en-US"/>
            </w:rPr>
            <w:instrText xml:space="preserve"> CITATION Uni2411 \l 1033 </w:instrText>
          </w:r>
          <w:r>
            <w:fldChar w:fldCharType="separate"/>
          </w:r>
          <w:r w:rsidR="008410E0" w:rsidRPr="008410E0">
            <w:rPr>
              <w:noProof/>
              <w:lang w:val="en-US"/>
            </w:rPr>
            <w:t>[31]</w:t>
          </w:r>
          <w:r>
            <w:fldChar w:fldCharType="end"/>
          </w:r>
        </w:sdtContent>
      </w:sdt>
      <w:r>
        <w:t xml:space="preserve">, PACOP Final Report, 2025 </w:t>
      </w:r>
      <w:sdt>
        <w:sdtPr>
          <w:id w:val="1717544907"/>
          <w:citation/>
        </w:sdtPr>
        <w:sdtContent>
          <w:r>
            <w:fldChar w:fldCharType="begin"/>
          </w:r>
          <w:r>
            <w:rPr>
              <w:lang w:val="en-US"/>
            </w:rPr>
            <w:instrText xml:space="preserve"> CITATION Uni2533 \l 1033 </w:instrText>
          </w:r>
          <w:r>
            <w:fldChar w:fldCharType="separate"/>
          </w:r>
          <w:r w:rsidR="008410E0" w:rsidRPr="008410E0">
            <w:rPr>
              <w:noProof/>
              <w:lang w:val="en-US"/>
            </w:rPr>
            <w:t>[24]</w:t>
          </w:r>
          <w:r>
            <w:fldChar w:fldCharType="end"/>
          </w:r>
        </w:sdtContent>
      </w:sdt>
      <w:r>
        <w:t>.</w:t>
      </w:r>
    </w:p>
    <w:p w14:paraId="26D8AC82" w14:textId="7DE4EA0C" w:rsidR="0023154F" w:rsidRDefault="0023154F" w:rsidP="0023154F">
      <w:r>
        <w:t>Findings from the online survey (</w:t>
      </w:r>
      <w:r w:rsidR="00E621B1">
        <w:t xml:space="preserve">technical paper, </w:t>
      </w:r>
      <w:r w:rsidR="001C686F">
        <w:t>Table 6.4</w:t>
      </w:r>
      <w:r>
        <w:t>), PACOP case studies (</w:t>
      </w:r>
      <w:r w:rsidR="001C686F">
        <w:t>technical paper, Section 9.2</w:t>
      </w:r>
      <w:r>
        <w:t xml:space="preserve">), and stakeholder consultations </w:t>
      </w:r>
      <w:r w:rsidRPr="00117540">
        <w:t xml:space="preserve">identified </w:t>
      </w:r>
      <w:r>
        <w:t xml:space="preserve">several key enablers of </w:t>
      </w:r>
      <w:r w:rsidRPr="00117540">
        <w:t>participation</w:t>
      </w:r>
      <w:r w:rsidR="0065492D">
        <w:t xml:space="preserve"> in PACOP</w:t>
      </w:r>
      <w:r>
        <w:t>. These included:</w:t>
      </w:r>
    </w:p>
    <w:p w14:paraId="615EAD53" w14:textId="77777777" w:rsidR="0023154F" w:rsidRDefault="0023154F" w:rsidP="0023154F">
      <w:pPr>
        <w:pStyle w:val="ListBullet"/>
      </w:pPr>
      <w:r>
        <w:t>strong leadership buy-in and engagement</w:t>
      </w:r>
    </w:p>
    <w:p w14:paraId="082C288A" w14:textId="74866045" w:rsidR="0023154F" w:rsidRDefault="0023154F" w:rsidP="0023154F">
      <w:pPr>
        <w:pStyle w:val="ListBullet"/>
      </w:pPr>
      <w:r>
        <w:t>the program</w:t>
      </w:r>
      <w:r w:rsidR="003863F5">
        <w:t>’</w:t>
      </w:r>
      <w:r>
        <w:t>s perceived value and alignment with sector reforms, including the Strengthened ACQS</w:t>
      </w:r>
    </w:p>
    <w:p w14:paraId="211BF261" w14:textId="6CCC65DB" w:rsidR="0023154F" w:rsidRDefault="0023154F" w:rsidP="0023154F">
      <w:pPr>
        <w:pStyle w:val="ListBullet"/>
      </w:pPr>
      <w:r>
        <w:t>dedicated staff to champion and drive participation</w:t>
      </w:r>
    </w:p>
    <w:p w14:paraId="482E2836" w14:textId="21F239EE" w:rsidR="0023154F" w:rsidRDefault="00340267" w:rsidP="00B64470">
      <w:pPr>
        <w:pStyle w:val="ListBullet"/>
      </w:pPr>
      <w:r>
        <w:t>support from the PACOP team</w:t>
      </w:r>
      <w:r w:rsidR="0023154F">
        <w:t>.</w:t>
      </w:r>
    </w:p>
    <w:p w14:paraId="313024B4" w14:textId="7C793D48" w:rsidR="00B5102D" w:rsidRDefault="004F1A1C" w:rsidP="00B5102D">
      <w:r>
        <w:t xml:space="preserve">However, </w:t>
      </w:r>
      <w:bookmarkStart w:id="84" w:name="_Hlk220577528"/>
      <w:r w:rsidR="00B5102D">
        <w:t>PACOP</w:t>
      </w:r>
      <w:r w:rsidR="003863F5">
        <w:t>’</w:t>
      </w:r>
      <w:r w:rsidR="00B5102D">
        <w:t>s overall sector penetration remained moderate</w:t>
      </w:r>
      <w:r w:rsidR="002C4298">
        <w:t>, with</w:t>
      </w:r>
      <w:r w:rsidR="00B5102D">
        <w:t xml:space="preserve"> approximately 17% of aged care homes </w:t>
      </w:r>
      <w:r w:rsidR="002B2DAA">
        <w:t>and</w:t>
      </w:r>
      <w:r w:rsidR="00B5102D">
        <w:t xml:space="preserve"> 12% of providers</w:t>
      </w:r>
      <w:r w:rsidR="002B2DAA">
        <w:t xml:space="preserve"> </w:t>
      </w:r>
      <w:r w:rsidR="004F48AD">
        <w:t xml:space="preserve">nationally </w:t>
      </w:r>
      <w:r w:rsidR="00B5102D">
        <w:t>registered in the program</w:t>
      </w:r>
      <w:r>
        <w:t xml:space="preserve"> by June 2025</w:t>
      </w:r>
      <w:r w:rsidR="004F48AD">
        <w:t>.</w:t>
      </w:r>
      <w:r w:rsidR="002B2DAA">
        <w:rPr>
          <w:rStyle w:val="FootnoteReference"/>
        </w:rPr>
        <w:footnoteReference w:id="4"/>
      </w:r>
      <w:r w:rsidR="00B5102D">
        <w:t xml:space="preserve"> </w:t>
      </w:r>
      <w:r w:rsidR="00EA2DED">
        <w:t>While t</w:t>
      </w:r>
      <w:r w:rsidR="00B5102D">
        <w:t xml:space="preserve">his level of reach reflects </w:t>
      </w:r>
      <w:r w:rsidR="007649B3">
        <w:t>PACOP</w:t>
      </w:r>
      <w:r w:rsidR="003863F5">
        <w:t>’</w:t>
      </w:r>
      <w:r w:rsidR="007649B3">
        <w:t>s</w:t>
      </w:r>
      <w:r w:rsidR="00B5102D">
        <w:t xml:space="preserve"> early stage of implementation</w:t>
      </w:r>
      <w:r w:rsidR="007649B3">
        <w:t xml:space="preserve">, it may also point to </w:t>
      </w:r>
      <w:r w:rsidR="00992511">
        <w:t>a range of factors influencing uptake</w:t>
      </w:r>
      <w:bookmarkEnd w:id="84"/>
      <w:r w:rsidR="00C75104">
        <w:t xml:space="preserve">. </w:t>
      </w:r>
      <w:r w:rsidR="00275AC0">
        <w:t>Insights from</w:t>
      </w:r>
      <w:r w:rsidR="00C75104">
        <w:t xml:space="preserve"> </w:t>
      </w:r>
      <w:r w:rsidR="005457AF">
        <w:t>the online survey (</w:t>
      </w:r>
      <w:r w:rsidR="00B64470">
        <w:t xml:space="preserve">technical paper, Table 6.3 and Figure </w:t>
      </w:r>
      <w:r w:rsidR="00996894">
        <w:t>7.1</w:t>
      </w:r>
      <w:r w:rsidR="005457AF">
        <w:t>), case studies</w:t>
      </w:r>
      <w:r w:rsidR="008F7BCE">
        <w:t xml:space="preserve"> (</w:t>
      </w:r>
      <w:r w:rsidR="00996894">
        <w:t>technical paper, Sections 9.2 and 9.3</w:t>
      </w:r>
      <w:r w:rsidR="008F7BCE">
        <w:t>)</w:t>
      </w:r>
      <w:r w:rsidR="005457AF">
        <w:t>, and stakeholder consultations</w:t>
      </w:r>
      <w:r w:rsidR="00275AC0">
        <w:t xml:space="preserve"> identified several key </w:t>
      </w:r>
      <w:r w:rsidR="008169D5">
        <w:t xml:space="preserve">barriers to </w:t>
      </w:r>
      <w:r w:rsidR="009027EF">
        <w:t>program uptake</w:t>
      </w:r>
      <w:r w:rsidR="008169D5">
        <w:t>. These included</w:t>
      </w:r>
      <w:r w:rsidR="005457AF">
        <w:t>:</w:t>
      </w:r>
    </w:p>
    <w:p w14:paraId="6A6F5041" w14:textId="4B311CFF" w:rsidR="00D429F3" w:rsidRDefault="009F1404" w:rsidP="00563426">
      <w:pPr>
        <w:pStyle w:val="ListBullet"/>
      </w:pPr>
      <w:r>
        <w:t>low program awareness</w:t>
      </w:r>
      <w:r w:rsidR="003005F7">
        <w:t xml:space="preserve">, likely </w:t>
      </w:r>
      <w:r w:rsidR="00C41178">
        <w:t xml:space="preserve">linked </w:t>
      </w:r>
      <w:r>
        <w:t>to</w:t>
      </w:r>
      <w:r w:rsidR="00CE3616">
        <w:t xml:space="preserve"> the</w:t>
      </w:r>
      <w:r>
        <w:t xml:space="preserve"> limited </w:t>
      </w:r>
      <w:r w:rsidR="003005F7">
        <w:t>engagement strategies</w:t>
      </w:r>
      <w:r w:rsidR="000869CD">
        <w:t xml:space="preserve"> discussed above</w:t>
      </w:r>
    </w:p>
    <w:p w14:paraId="6239C300" w14:textId="541ED924" w:rsidR="00AE0013" w:rsidRDefault="00AE0013" w:rsidP="00563426">
      <w:pPr>
        <w:pStyle w:val="ListBullet"/>
      </w:pPr>
      <w:r>
        <w:t xml:space="preserve">lack of IT integration with </w:t>
      </w:r>
      <w:r w:rsidR="00F052BD">
        <w:t>provider</w:t>
      </w:r>
      <w:r>
        <w:t xml:space="preserve"> systems, leading some providers to defer participation</w:t>
      </w:r>
      <w:r w:rsidR="00F052BD">
        <w:t xml:space="preserve"> until resolved</w:t>
      </w:r>
    </w:p>
    <w:p w14:paraId="1B1D3AAA" w14:textId="2591FEB6" w:rsidR="00AE0013" w:rsidRDefault="00C3412B" w:rsidP="00563426">
      <w:pPr>
        <w:pStyle w:val="ListBullet"/>
      </w:pPr>
      <w:r>
        <w:t xml:space="preserve">the </w:t>
      </w:r>
      <w:r w:rsidR="00AE0013">
        <w:t>perceived resource intensity</w:t>
      </w:r>
      <w:r>
        <w:t xml:space="preserve"> of implementation and </w:t>
      </w:r>
      <w:r w:rsidR="00AE0013">
        <w:t>absence of financial support</w:t>
      </w:r>
      <w:r w:rsidR="00420B46">
        <w:t xml:space="preserve"> (as discussed in Section 4.3.2)</w:t>
      </w:r>
    </w:p>
    <w:p w14:paraId="6F735202" w14:textId="038F0AC0" w:rsidR="00AE0013" w:rsidRDefault="001D01CD" w:rsidP="00563426">
      <w:pPr>
        <w:pStyle w:val="ListBullet"/>
      </w:pPr>
      <w:r>
        <w:t xml:space="preserve">competing </w:t>
      </w:r>
      <w:r w:rsidR="00B26943">
        <w:t xml:space="preserve">organisational </w:t>
      </w:r>
      <w:r w:rsidR="00AE0013">
        <w:t>prio</w:t>
      </w:r>
      <w:r>
        <w:t>rities and reform</w:t>
      </w:r>
      <w:r w:rsidR="00CE3616">
        <w:t>-related</w:t>
      </w:r>
      <w:r>
        <w:t xml:space="preserve"> fatigue</w:t>
      </w:r>
    </w:p>
    <w:p w14:paraId="1D66ED7D" w14:textId="7FDA1B2A" w:rsidR="007A3796" w:rsidRDefault="005436C5" w:rsidP="005436C5">
      <w:pPr>
        <w:pStyle w:val="ListBullet"/>
      </w:pPr>
      <w:r>
        <w:t xml:space="preserve">variable </w:t>
      </w:r>
      <w:r w:rsidR="001D01CD">
        <w:t>organisational readiness for palliative care</w:t>
      </w:r>
      <w:r w:rsidR="007A3796">
        <w:t>.</w:t>
      </w:r>
    </w:p>
    <w:p w14:paraId="349FCDAD" w14:textId="09795476" w:rsidR="00DA0763" w:rsidRDefault="00DA0763" w:rsidP="00DA0763">
      <w:r>
        <w:t xml:space="preserve">Together, these </w:t>
      </w:r>
      <w:r w:rsidR="00F5743E">
        <w:t xml:space="preserve">findings indicate </w:t>
      </w:r>
      <w:r w:rsidR="005D3C67">
        <w:t>early sector interest</w:t>
      </w:r>
      <w:r w:rsidR="00785C42">
        <w:t xml:space="preserve"> in PACOP</w:t>
      </w:r>
      <w:r w:rsidR="00B26943">
        <w:t>. However,</w:t>
      </w:r>
      <w:r w:rsidR="005D3C67">
        <w:t xml:space="preserve"> </w:t>
      </w:r>
      <w:r w:rsidR="00D577D4">
        <w:t xml:space="preserve">slowing </w:t>
      </w:r>
      <w:r w:rsidR="001F62DC">
        <w:t>levels of uptake</w:t>
      </w:r>
      <w:r w:rsidR="00D577D4">
        <w:t xml:space="preserve"> and modest overall penetration highlight </w:t>
      </w:r>
      <w:r w:rsidR="00CE75D1">
        <w:t xml:space="preserve">factors that influenced uptake </w:t>
      </w:r>
      <w:r w:rsidR="00426F4A">
        <w:t>and participation during the evaluation period</w:t>
      </w:r>
      <w:r w:rsidR="00DE55B5">
        <w:t>.</w:t>
      </w:r>
    </w:p>
    <w:p w14:paraId="7606205F" w14:textId="44B7FBEC" w:rsidR="009A7B9F" w:rsidRPr="009F5798" w:rsidRDefault="00B90D5E" w:rsidP="00120E73">
      <w:pPr>
        <w:pStyle w:val="Findings"/>
      </w:pPr>
      <w:r w:rsidRPr="00B90D5E">
        <w:rPr>
          <w:lang w:eastAsia="en-AU"/>
        </w:rPr>
        <w:t>PACOP achieved strong early growth</w:t>
      </w:r>
      <w:r w:rsidR="00426F4A">
        <w:rPr>
          <w:lang w:eastAsia="en-AU"/>
        </w:rPr>
        <w:t xml:space="preserve"> in provider and aged care home participation</w:t>
      </w:r>
      <w:r w:rsidRPr="00B90D5E">
        <w:rPr>
          <w:lang w:eastAsia="en-AU"/>
        </w:rPr>
        <w:t>,</w:t>
      </w:r>
      <w:r w:rsidR="00300A7C">
        <w:rPr>
          <w:lang w:eastAsia="en-AU"/>
        </w:rPr>
        <w:t xml:space="preserve"> followed by a deceleration in </w:t>
      </w:r>
      <w:r w:rsidRPr="00B90D5E">
        <w:rPr>
          <w:lang w:eastAsia="en-AU"/>
        </w:rPr>
        <w:t xml:space="preserve">later years. Uptake was driven primarily by smaller providers, while participation among medium and larger organisations remained </w:t>
      </w:r>
      <w:r>
        <w:rPr>
          <w:lang w:eastAsia="en-AU"/>
        </w:rPr>
        <w:t>relatively stable</w:t>
      </w:r>
      <w:r w:rsidRPr="00B90D5E">
        <w:rPr>
          <w:lang w:eastAsia="en-AU"/>
        </w:rPr>
        <w:t>. Overall sector penetration was modest</w:t>
      </w:r>
      <w:r w:rsidR="0027549E">
        <w:rPr>
          <w:lang w:eastAsia="en-AU"/>
        </w:rPr>
        <w:t xml:space="preserve">, with evidence suggesting that </w:t>
      </w:r>
      <w:r w:rsidR="00BB2F1F">
        <w:rPr>
          <w:lang w:eastAsia="en-AU"/>
        </w:rPr>
        <w:t>participation</w:t>
      </w:r>
      <w:r w:rsidR="0027549E">
        <w:rPr>
          <w:lang w:eastAsia="en-AU"/>
        </w:rPr>
        <w:t xml:space="preserve"> may have been influenced by factors including</w:t>
      </w:r>
      <w:r w:rsidR="00BB2F1F">
        <w:rPr>
          <w:lang w:eastAsia="en-AU"/>
        </w:rPr>
        <w:t xml:space="preserve"> low </w:t>
      </w:r>
      <w:r w:rsidR="0027549E">
        <w:rPr>
          <w:lang w:eastAsia="en-AU"/>
        </w:rPr>
        <w:t xml:space="preserve">program </w:t>
      </w:r>
      <w:r w:rsidR="00BB2F1F">
        <w:rPr>
          <w:lang w:eastAsia="en-AU"/>
        </w:rPr>
        <w:t xml:space="preserve">awareness, IT </w:t>
      </w:r>
      <w:r w:rsidR="00BB2F1F">
        <w:rPr>
          <w:lang w:eastAsia="en-AU"/>
        </w:rPr>
        <w:lastRenderedPageBreak/>
        <w:t xml:space="preserve">interoperability challenges, perceived resource intensity, and the </w:t>
      </w:r>
      <w:r w:rsidR="0027549E">
        <w:rPr>
          <w:lang w:eastAsia="en-AU"/>
        </w:rPr>
        <w:t xml:space="preserve">absence </w:t>
      </w:r>
      <w:r w:rsidR="00496BC7">
        <w:rPr>
          <w:lang w:eastAsia="en-AU"/>
        </w:rPr>
        <w:t xml:space="preserve">of financial support </w:t>
      </w:r>
      <w:r w:rsidR="00EB253F">
        <w:rPr>
          <w:lang w:eastAsia="en-AU"/>
        </w:rPr>
        <w:t xml:space="preserve">for </w:t>
      </w:r>
      <w:r w:rsidR="00496BC7">
        <w:rPr>
          <w:lang w:eastAsia="en-AU"/>
        </w:rPr>
        <w:t>participation</w:t>
      </w:r>
      <w:r w:rsidR="00854E96">
        <w:rPr>
          <w:lang w:eastAsia="en-AU"/>
        </w:rPr>
        <w:t>.</w:t>
      </w:r>
    </w:p>
    <w:p w14:paraId="163906F9" w14:textId="2316BD64" w:rsidR="007825AF" w:rsidRDefault="007A5E11" w:rsidP="007825AF">
      <w:pPr>
        <w:pStyle w:val="Heading4"/>
      </w:pPr>
      <w:r>
        <w:t>Profile of participating homes</w:t>
      </w:r>
    </w:p>
    <w:p w14:paraId="1AF74DB9" w14:textId="64F20589" w:rsidR="007A5E11" w:rsidRDefault="0098092C" w:rsidP="007A5E11">
      <w:r>
        <w:t>Homes registered in PACOP</w:t>
      </w:r>
      <w:r w:rsidR="007A5E11">
        <w:t xml:space="preserve"> </w:t>
      </w:r>
      <w:proofErr w:type="gramStart"/>
      <w:r w:rsidR="007A5E11">
        <w:t>were located in</w:t>
      </w:r>
      <w:proofErr w:type="gramEnd"/>
      <w:r w:rsidR="007A5E11">
        <w:t xml:space="preserve"> all states and territories except the Northern Territory (</w:t>
      </w:r>
      <w:r w:rsidR="007A5E11">
        <w:fldChar w:fldCharType="begin"/>
      </w:r>
      <w:r w:rsidR="007A5E11">
        <w:instrText xml:space="preserve"> REF _Ref216193528 \h </w:instrText>
      </w:r>
      <w:r w:rsidR="007A5E11">
        <w:fldChar w:fldCharType="separate"/>
      </w:r>
      <w:r w:rsidR="00167BA0">
        <w:t xml:space="preserve">Table </w:t>
      </w:r>
      <w:r w:rsidR="00167BA0">
        <w:rPr>
          <w:noProof/>
        </w:rPr>
        <w:t>9</w:t>
      </w:r>
      <w:r w:rsidR="00167BA0">
        <w:t>.</w:t>
      </w:r>
      <w:r w:rsidR="00167BA0">
        <w:rPr>
          <w:noProof/>
        </w:rPr>
        <w:t>21</w:t>
      </w:r>
      <w:r w:rsidR="007A5E11">
        <w:fldChar w:fldCharType="end"/>
      </w:r>
      <w:r w:rsidR="007A5E11">
        <w:t xml:space="preserve">, </w:t>
      </w:r>
      <w:r w:rsidR="007A5E11">
        <w:fldChar w:fldCharType="begin"/>
      </w:r>
      <w:r w:rsidR="007A5E11">
        <w:instrText xml:space="preserve"> REF _Ref216865792 \n \h </w:instrText>
      </w:r>
      <w:r w:rsidR="007A5E11">
        <w:fldChar w:fldCharType="separate"/>
      </w:r>
      <w:r w:rsidR="00167BA0">
        <w:t>Appendix D</w:t>
      </w:r>
      <w:r w:rsidR="007A5E11">
        <w:fldChar w:fldCharType="end"/>
      </w:r>
      <w:r w:rsidR="007A5E11">
        <w:t xml:space="preserve">). While this reflected progress toward national coverage, the absence of homes in the Northern Territory remained a gap that PACOP </w:t>
      </w:r>
      <w:r w:rsidR="00DF34FE">
        <w:t xml:space="preserve">reported it </w:t>
      </w:r>
      <w:r w:rsidR="007A5E11">
        <w:t xml:space="preserve">was actively working to address. Jurisdictional patterns showed </w:t>
      </w:r>
      <w:r w:rsidR="007A5E11" w:rsidRPr="00F76BA8">
        <w:t>a concentration in New South Wales (45% of registered homes), likely reflecting PACOP</w:t>
      </w:r>
      <w:r w:rsidR="003863F5">
        <w:t>’</w:t>
      </w:r>
      <w:r w:rsidR="007A5E11" w:rsidRPr="00F76BA8">
        <w:t>s initial focus in that state. Victoria, Western Australia, and South Australia were underrepresented, while Tasmania was slightly overrepresented compared to the national provider population</w:t>
      </w:r>
      <w:r w:rsidR="007A5E11">
        <w:t>.</w:t>
      </w:r>
    </w:p>
    <w:p w14:paraId="1C6D61F0" w14:textId="7964D2A7" w:rsidR="007A5E11" w:rsidRDefault="007A5E11" w:rsidP="007A5E11">
      <w:r w:rsidRPr="00384DA0">
        <w:t xml:space="preserve">By remoteness, 73% of registered homes </w:t>
      </w:r>
      <w:proofErr w:type="gramStart"/>
      <w:r w:rsidRPr="00384DA0">
        <w:t>were</w:t>
      </w:r>
      <w:r w:rsidR="00DD54F2">
        <w:t xml:space="preserve"> located</w:t>
      </w:r>
      <w:r w:rsidRPr="00384DA0">
        <w:t xml:space="preserve"> in</w:t>
      </w:r>
      <w:proofErr w:type="gramEnd"/>
      <w:r w:rsidRPr="00384DA0">
        <w:t xml:space="preserve"> metropolitan and regional areas (MM1–2), and 27% in rural and remote areas (MM3–7), broadly consistent with the national distribution</w:t>
      </w:r>
      <w:r>
        <w:t xml:space="preserve"> (</w:t>
      </w:r>
      <w:r>
        <w:fldChar w:fldCharType="begin"/>
      </w:r>
      <w:r>
        <w:instrText xml:space="preserve"> REF _Ref216193536 \h </w:instrText>
      </w:r>
      <w:r>
        <w:fldChar w:fldCharType="separate"/>
      </w:r>
      <w:r w:rsidR="00167BA0">
        <w:t xml:space="preserve">Table </w:t>
      </w:r>
      <w:r w:rsidR="00167BA0">
        <w:rPr>
          <w:noProof/>
        </w:rPr>
        <w:t>9</w:t>
      </w:r>
      <w:r w:rsidR="00167BA0">
        <w:t>.</w:t>
      </w:r>
      <w:r w:rsidR="00167BA0">
        <w:rPr>
          <w:noProof/>
        </w:rPr>
        <w:t>22</w:t>
      </w:r>
      <w:r>
        <w:fldChar w:fldCharType="end"/>
      </w:r>
      <w:r>
        <w:t xml:space="preserve">, </w:t>
      </w:r>
      <w:r>
        <w:fldChar w:fldCharType="begin"/>
      </w:r>
      <w:r>
        <w:instrText xml:space="preserve"> REF _Ref216865792 \n \h </w:instrText>
      </w:r>
      <w:r>
        <w:fldChar w:fldCharType="separate"/>
      </w:r>
      <w:r w:rsidR="00167BA0">
        <w:t>Appendix D</w:t>
      </w:r>
      <w:r>
        <w:fldChar w:fldCharType="end"/>
      </w:r>
      <w:r>
        <w:t xml:space="preserve">). </w:t>
      </w:r>
      <w:r w:rsidRPr="00384DA0">
        <w:t>More granular data on remoteness were not available for this evaluation</w:t>
      </w:r>
      <w:r>
        <w:t xml:space="preserve"> due to data suppression.</w:t>
      </w:r>
    </w:p>
    <w:p w14:paraId="3769EC5A" w14:textId="4DCC64F0" w:rsidR="00F7237E" w:rsidRDefault="00F7237E" w:rsidP="00D22DAA">
      <w:pPr>
        <w:pStyle w:val="Heading4"/>
        <w:spacing w:before="120"/>
      </w:pPr>
      <w:r>
        <w:t>Depth of participation</w:t>
      </w:r>
    </w:p>
    <w:p w14:paraId="0180A4C3" w14:textId="1E36A0EE" w:rsidR="00A407EA" w:rsidRDefault="00B36BA8" w:rsidP="00FD2D3C">
      <w:pPr>
        <w:spacing w:after="0"/>
      </w:pPr>
      <w:r>
        <w:t>By</w:t>
      </w:r>
      <w:r w:rsidR="0082708F">
        <w:t xml:space="preserve"> June 2025, </w:t>
      </w:r>
      <w:r w:rsidR="004B1AA1">
        <w:t>almost 70%</w:t>
      </w:r>
      <w:r w:rsidR="0082708F">
        <w:t xml:space="preserve"> of aged care homes </w:t>
      </w:r>
      <w:r w:rsidR="00B57A10">
        <w:t xml:space="preserve">participating </w:t>
      </w:r>
      <w:r w:rsidR="00EC30E4">
        <w:t xml:space="preserve">in PACOP </w:t>
      </w:r>
      <w:r w:rsidR="0082708F">
        <w:t xml:space="preserve">were implementing both the Profile and </w:t>
      </w:r>
      <w:r w:rsidR="007B2FAF">
        <w:t xml:space="preserve">more advanced </w:t>
      </w:r>
      <w:r w:rsidR="0082708F">
        <w:t>Outcomes Collections</w:t>
      </w:r>
      <w:r w:rsidR="00A2727E">
        <w:t xml:space="preserve">, indicating </w:t>
      </w:r>
      <w:r w:rsidR="00435D0F">
        <w:t xml:space="preserve">a </w:t>
      </w:r>
      <w:r w:rsidR="004E76E3">
        <w:t xml:space="preserve">relatively </w:t>
      </w:r>
      <w:r w:rsidR="00435D0F">
        <w:t>high level</w:t>
      </w:r>
      <w:r w:rsidR="00A2727E">
        <w:t xml:space="preserve"> of adoption</w:t>
      </w:r>
      <w:r w:rsidR="004E76E3">
        <w:t xml:space="preserve"> among participating homes</w:t>
      </w:r>
      <w:r w:rsidR="0082708F">
        <w:t xml:space="preserve"> (</w:t>
      </w:r>
      <w:r w:rsidR="0082708F">
        <w:fldChar w:fldCharType="begin"/>
      </w:r>
      <w:r w:rsidR="0082708F">
        <w:instrText xml:space="preserve"> REF _Ref216188586 \h </w:instrText>
      </w:r>
      <w:r w:rsidR="0082708F">
        <w:fldChar w:fldCharType="separate"/>
      </w:r>
      <w:r w:rsidR="00167BA0">
        <w:t xml:space="preserve">Table </w:t>
      </w:r>
      <w:r w:rsidR="00167BA0">
        <w:rPr>
          <w:noProof/>
        </w:rPr>
        <w:t>5</w:t>
      </w:r>
      <w:r w:rsidR="00167BA0">
        <w:t>.</w:t>
      </w:r>
      <w:r w:rsidR="00167BA0">
        <w:rPr>
          <w:noProof/>
        </w:rPr>
        <w:t>2</w:t>
      </w:r>
      <w:r w:rsidR="0082708F">
        <w:fldChar w:fldCharType="end"/>
      </w:r>
      <w:r w:rsidR="0082708F">
        <w:t>).</w:t>
      </w:r>
    </w:p>
    <w:p w14:paraId="754EBBB7" w14:textId="5B7ADEFF" w:rsidR="0082708F" w:rsidRDefault="0082708F" w:rsidP="00FD2D3C">
      <w:pPr>
        <w:pStyle w:val="Caption"/>
        <w:spacing w:before="0"/>
      </w:pPr>
      <w:bookmarkStart w:id="85" w:name="_Ref216188586"/>
      <w:r>
        <w:t xml:space="preserve">Table </w:t>
      </w:r>
      <w:fldSimple w:instr=" STYLEREF 1 \s ">
        <w:r w:rsidR="0091457A">
          <w:rPr>
            <w:noProof/>
          </w:rPr>
          <w:t>5</w:t>
        </w:r>
      </w:fldSimple>
      <w:r w:rsidR="0091457A">
        <w:t>.</w:t>
      </w:r>
      <w:fldSimple w:instr=" SEQ Table \* ARABIC \s 1 ">
        <w:r w:rsidR="0091457A">
          <w:rPr>
            <w:noProof/>
          </w:rPr>
          <w:t>2</w:t>
        </w:r>
      </w:fldSimple>
      <w:bookmarkEnd w:id="85"/>
      <w:r>
        <w:t xml:space="preserve">: Point-in-time count of aged care home </w:t>
      </w:r>
      <w:r w:rsidR="004A5AF6">
        <w:br/>
      </w:r>
      <w:r>
        <w:t>participation by PACOP implementation stage</w:t>
      </w:r>
    </w:p>
    <w:tbl>
      <w:tblPr>
        <w:tblStyle w:val="HMAdefaulttable"/>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ACOP implementation stages"/>
        <w:tblDescription w:val="Table shows PACOP implementation stages from 2022–23 to 2024–25."/>
      </w:tblPr>
      <w:tblGrid>
        <w:gridCol w:w="3407"/>
        <w:gridCol w:w="989"/>
        <w:gridCol w:w="990"/>
        <w:gridCol w:w="990"/>
        <w:gridCol w:w="914"/>
      </w:tblGrid>
      <w:tr w:rsidR="0082708F" w:rsidRPr="00FC683A" w14:paraId="6BA24026" w14:textId="77777777" w:rsidTr="00BD4171">
        <w:trPr>
          <w:cnfStyle w:val="100000000000" w:firstRow="1" w:lastRow="0" w:firstColumn="0" w:lastColumn="0" w:oddVBand="0" w:evenVBand="0" w:oddHBand="0" w:evenHBand="0" w:firstRowFirstColumn="0" w:firstRowLastColumn="0" w:lastRowFirstColumn="0" w:lastRowLastColumn="0"/>
          <w:trHeight w:val="255"/>
          <w:tblHeader/>
        </w:trPr>
        <w:tc>
          <w:tcPr>
            <w:tcW w:w="2336" w:type="pct"/>
            <w:noWrap/>
            <w:hideMark/>
          </w:tcPr>
          <w:p w14:paraId="688452C4" w14:textId="77777777" w:rsidR="0082708F" w:rsidRPr="009F31F0" w:rsidRDefault="0082708F">
            <w:pPr>
              <w:pStyle w:val="TableHeading"/>
            </w:pPr>
            <w:r w:rsidRPr="009F31F0">
              <w:t>Implementation stage</w:t>
            </w:r>
          </w:p>
        </w:tc>
        <w:tc>
          <w:tcPr>
            <w:tcW w:w="678" w:type="pct"/>
            <w:noWrap/>
            <w:hideMark/>
          </w:tcPr>
          <w:p w14:paraId="376809A3" w14:textId="77777777" w:rsidR="0082708F" w:rsidRPr="009F31F0" w:rsidRDefault="0082708F">
            <w:pPr>
              <w:pStyle w:val="TableHeading"/>
            </w:pPr>
            <w:r w:rsidRPr="009F31F0">
              <w:t>2022–23</w:t>
            </w:r>
          </w:p>
        </w:tc>
        <w:tc>
          <w:tcPr>
            <w:tcW w:w="679" w:type="pct"/>
            <w:noWrap/>
            <w:hideMark/>
          </w:tcPr>
          <w:p w14:paraId="2D46834A" w14:textId="77777777" w:rsidR="0082708F" w:rsidRPr="009F31F0" w:rsidRDefault="0082708F">
            <w:pPr>
              <w:pStyle w:val="TableHeading"/>
            </w:pPr>
            <w:r w:rsidRPr="009F31F0">
              <w:t>2023–24</w:t>
            </w:r>
          </w:p>
        </w:tc>
        <w:tc>
          <w:tcPr>
            <w:tcW w:w="679" w:type="pct"/>
            <w:noWrap/>
            <w:hideMark/>
          </w:tcPr>
          <w:p w14:paraId="052775E5" w14:textId="77777777" w:rsidR="0082708F" w:rsidRPr="009F31F0" w:rsidRDefault="0082708F">
            <w:pPr>
              <w:pStyle w:val="TableHeading"/>
            </w:pPr>
            <w:r w:rsidRPr="009F31F0">
              <w:t>2024–25</w:t>
            </w:r>
          </w:p>
        </w:tc>
        <w:tc>
          <w:tcPr>
            <w:tcW w:w="627" w:type="pct"/>
            <w:noWrap/>
            <w:hideMark/>
          </w:tcPr>
          <w:p w14:paraId="55E274A8" w14:textId="77777777" w:rsidR="0082708F" w:rsidRPr="009F31F0" w:rsidRDefault="0082708F">
            <w:pPr>
              <w:pStyle w:val="TableHeading"/>
            </w:pPr>
            <w:r w:rsidRPr="009F31F0">
              <w:t>Total</w:t>
            </w:r>
          </w:p>
        </w:tc>
      </w:tr>
      <w:tr w:rsidR="0082708F" w:rsidRPr="00FC683A" w14:paraId="03A042A1" w14:textId="77777777" w:rsidTr="00BD4171">
        <w:trPr>
          <w:cnfStyle w:val="000000100000" w:firstRow="0" w:lastRow="0" w:firstColumn="0" w:lastColumn="0" w:oddVBand="0" w:evenVBand="0" w:oddHBand="1" w:evenHBand="0" w:firstRowFirstColumn="0" w:firstRowLastColumn="0" w:lastRowFirstColumn="0" w:lastRowLastColumn="0"/>
          <w:trHeight w:val="13"/>
        </w:trPr>
        <w:tc>
          <w:tcPr>
            <w:tcW w:w="2336" w:type="pct"/>
            <w:noWrap/>
          </w:tcPr>
          <w:p w14:paraId="4A83D9F4" w14:textId="77777777" w:rsidR="0082708F" w:rsidRPr="00FC683A" w:rsidRDefault="0082708F">
            <w:pPr>
              <w:pStyle w:val="TableText"/>
              <w:rPr>
                <w:lang w:eastAsia="en-AU"/>
              </w:rPr>
            </w:pPr>
            <w:r w:rsidRPr="00FC683A">
              <w:rPr>
                <w:lang w:eastAsia="en-AU"/>
              </w:rPr>
              <w:t>Profile</w:t>
            </w:r>
            <w:r>
              <w:rPr>
                <w:lang w:eastAsia="en-AU"/>
              </w:rPr>
              <w:t xml:space="preserve"> Collection </w:t>
            </w:r>
            <w:r w:rsidRPr="00FC683A">
              <w:rPr>
                <w:lang w:eastAsia="en-AU"/>
              </w:rPr>
              <w:t>only</w:t>
            </w:r>
          </w:p>
        </w:tc>
        <w:tc>
          <w:tcPr>
            <w:tcW w:w="678" w:type="pct"/>
            <w:noWrap/>
          </w:tcPr>
          <w:p w14:paraId="3F4D5210" w14:textId="77777777" w:rsidR="0082708F" w:rsidRPr="00FC683A" w:rsidRDefault="0082708F">
            <w:pPr>
              <w:pStyle w:val="TableText"/>
              <w:jc w:val="center"/>
              <w:rPr>
                <w:lang w:eastAsia="en-AU"/>
              </w:rPr>
            </w:pPr>
            <w:r w:rsidRPr="00FC683A">
              <w:rPr>
                <w:lang w:eastAsia="en-AU"/>
              </w:rPr>
              <w:t>29</w:t>
            </w:r>
          </w:p>
        </w:tc>
        <w:tc>
          <w:tcPr>
            <w:tcW w:w="679" w:type="pct"/>
            <w:noWrap/>
          </w:tcPr>
          <w:p w14:paraId="14520349" w14:textId="77777777" w:rsidR="0082708F" w:rsidRPr="00FC683A" w:rsidRDefault="0082708F">
            <w:pPr>
              <w:pStyle w:val="TableText"/>
              <w:jc w:val="center"/>
              <w:rPr>
                <w:lang w:eastAsia="en-AU"/>
              </w:rPr>
            </w:pPr>
            <w:r w:rsidRPr="00FC683A">
              <w:rPr>
                <w:lang w:eastAsia="en-AU"/>
              </w:rPr>
              <w:t>&gt;63</w:t>
            </w:r>
          </w:p>
        </w:tc>
        <w:tc>
          <w:tcPr>
            <w:tcW w:w="679" w:type="pct"/>
            <w:noWrap/>
          </w:tcPr>
          <w:p w14:paraId="2954C856" w14:textId="77777777" w:rsidR="0082708F" w:rsidRPr="00FC683A" w:rsidRDefault="0082708F">
            <w:pPr>
              <w:pStyle w:val="TableText"/>
              <w:jc w:val="center"/>
              <w:rPr>
                <w:lang w:eastAsia="en-AU"/>
              </w:rPr>
            </w:pPr>
            <w:r w:rsidRPr="00FC683A">
              <w:rPr>
                <w:lang w:eastAsia="en-AU"/>
              </w:rPr>
              <w:t>&gt;8</w:t>
            </w:r>
          </w:p>
        </w:tc>
        <w:tc>
          <w:tcPr>
            <w:tcW w:w="627" w:type="pct"/>
            <w:noWrap/>
          </w:tcPr>
          <w:p w14:paraId="3496434A" w14:textId="77777777" w:rsidR="0082708F" w:rsidRPr="00FC683A" w:rsidRDefault="0082708F">
            <w:pPr>
              <w:pStyle w:val="TableText"/>
              <w:jc w:val="center"/>
              <w:rPr>
                <w:lang w:eastAsia="en-AU"/>
              </w:rPr>
            </w:pPr>
            <w:r w:rsidRPr="00FC683A">
              <w:rPr>
                <w:lang w:eastAsia="en-AU"/>
              </w:rPr>
              <w:t>107</w:t>
            </w:r>
          </w:p>
        </w:tc>
      </w:tr>
      <w:tr w:rsidR="0082708F" w:rsidRPr="00FC683A" w14:paraId="3E5A4EF6" w14:textId="77777777" w:rsidTr="00BD4171">
        <w:trPr>
          <w:cnfStyle w:val="000000010000" w:firstRow="0" w:lastRow="0" w:firstColumn="0" w:lastColumn="0" w:oddVBand="0" w:evenVBand="0" w:oddHBand="0" w:evenHBand="1" w:firstRowFirstColumn="0" w:firstRowLastColumn="0" w:lastRowFirstColumn="0" w:lastRowLastColumn="0"/>
          <w:trHeight w:val="102"/>
        </w:trPr>
        <w:tc>
          <w:tcPr>
            <w:tcW w:w="2336" w:type="pct"/>
            <w:noWrap/>
            <w:hideMark/>
          </w:tcPr>
          <w:p w14:paraId="3628DEAD" w14:textId="77777777" w:rsidR="0082708F" w:rsidRPr="00FC683A" w:rsidRDefault="0082708F">
            <w:pPr>
              <w:pStyle w:val="TableText"/>
              <w:rPr>
                <w:lang w:eastAsia="en-AU"/>
              </w:rPr>
            </w:pPr>
            <w:r w:rsidRPr="00FC683A">
              <w:rPr>
                <w:lang w:eastAsia="en-AU"/>
              </w:rPr>
              <w:t xml:space="preserve">Profile </w:t>
            </w:r>
            <w:r>
              <w:rPr>
                <w:lang w:eastAsia="en-AU"/>
              </w:rPr>
              <w:t>and</w:t>
            </w:r>
            <w:r w:rsidRPr="00FC683A">
              <w:rPr>
                <w:lang w:eastAsia="en-AU"/>
              </w:rPr>
              <w:t xml:space="preserve"> Outcomes</w:t>
            </w:r>
            <w:r>
              <w:rPr>
                <w:lang w:eastAsia="en-AU"/>
              </w:rPr>
              <w:t xml:space="preserve"> Collection</w:t>
            </w:r>
          </w:p>
        </w:tc>
        <w:tc>
          <w:tcPr>
            <w:tcW w:w="678" w:type="pct"/>
            <w:noWrap/>
            <w:hideMark/>
          </w:tcPr>
          <w:p w14:paraId="58F35190" w14:textId="77777777" w:rsidR="0082708F" w:rsidRPr="00FC683A" w:rsidRDefault="0082708F">
            <w:pPr>
              <w:pStyle w:val="TableText"/>
              <w:jc w:val="center"/>
              <w:rPr>
                <w:lang w:eastAsia="en-AU"/>
              </w:rPr>
            </w:pPr>
            <w:r w:rsidRPr="00FC683A">
              <w:rPr>
                <w:lang w:eastAsia="en-AU"/>
              </w:rPr>
              <w:t>86</w:t>
            </w:r>
          </w:p>
        </w:tc>
        <w:tc>
          <w:tcPr>
            <w:tcW w:w="679" w:type="pct"/>
            <w:noWrap/>
            <w:hideMark/>
          </w:tcPr>
          <w:p w14:paraId="098CDC6E" w14:textId="77777777" w:rsidR="0082708F" w:rsidRPr="00FC683A" w:rsidRDefault="0082708F">
            <w:pPr>
              <w:pStyle w:val="TableText"/>
              <w:jc w:val="center"/>
              <w:rPr>
                <w:lang w:eastAsia="en-AU"/>
              </w:rPr>
            </w:pPr>
            <w:r w:rsidRPr="00FC683A">
              <w:rPr>
                <w:lang w:eastAsia="en-AU"/>
              </w:rPr>
              <w:t>87</w:t>
            </w:r>
          </w:p>
        </w:tc>
        <w:tc>
          <w:tcPr>
            <w:tcW w:w="679" w:type="pct"/>
            <w:noWrap/>
            <w:hideMark/>
          </w:tcPr>
          <w:p w14:paraId="7BF116A3" w14:textId="77777777" w:rsidR="0082708F" w:rsidRPr="00FC683A" w:rsidRDefault="0082708F">
            <w:pPr>
              <w:pStyle w:val="TableText"/>
              <w:jc w:val="center"/>
              <w:rPr>
                <w:lang w:eastAsia="en-AU"/>
              </w:rPr>
            </w:pPr>
            <w:r w:rsidRPr="00FC683A">
              <w:rPr>
                <w:lang w:eastAsia="en-AU"/>
              </w:rPr>
              <w:t>141</w:t>
            </w:r>
          </w:p>
        </w:tc>
        <w:tc>
          <w:tcPr>
            <w:tcW w:w="627" w:type="pct"/>
            <w:noWrap/>
            <w:hideMark/>
          </w:tcPr>
          <w:p w14:paraId="6AFE71A2" w14:textId="77777777" w:rsidR="0082708F" w:rsidRPr="00FC683A" w:rsidRDefault="0082708F">
            <w:pPr>
              <w:pStyle w:val="TableText"/>
              <w:jc w:val="center"/>
              <w:rPr>
                <w:lang w:eastAsia="en-AU"/>
              </w:rPr>
            </w:pPr>
            <w:r w:rsidRPr="00FC683A">
              <w:rPr>
                <w:lang w:eastAsia="en-AU"/>
              </w:rPr>
              <w:t>314</w:t>
            </w:r>
          </w:p>
        </w:tc>
      </w:tr>
      <w:tr w:rsidR="0082708F" w:rsidRPr="00FC683A" w14:paraId="1119D618" w14:textId="77777777" w:rsidTr="00BD4171">
        <w:trPr>
          <w:cnfStyle w:val="000000100000" w:firstRow="0" w:lastRow="0" w:firstColumn="0" w:lastColumn="0" w:oddVBand="0" w:evenVBand="0" w:oddHBand="1" w:evenHBand="0" w:firstRowFirstColumn="0" w:firstRowLastColumn="0" w:lastRowFirstColumn="0" w:lastRowLastColumn="0"/>
          <w:trHeight w:val="178"/>
        </w:trPr>
        <w:tc>
          <w:tcPr>
            <w:tcW w:w="2336" w:type="pct"/>
            <w:noWrap/>
            <w:hideMark/>
          </w:tcPr>
          <w:p w14:paraId="2993F7A1" w14:textId="77777777" w:rsidR="0082708F" w:rsidRPr="00FC683A" w:rsidRDefault="0082708F" w:rsidP="00445B21">
            <w:pPr>
              <w:pStyle w:val="TableText"/>
              <w:keepNext/>
              <w:contextualSpacing w:val="0"/>
              <w:rPr>
                <w:lang w:eastAsia="en-AU"/>
              </w:rPr>
            </w:pPr>
            <w:r w:rsidRPr="00FC683A">
              <w:rPr>
                <w:lang w:eastAsia="en-AU"/>
              </w:rPr>
              <w:t>Not actively participating/other</w:t>
            </w:r>
          </w:p>
        </w:tc>
        <w:tc>
          <w:tcPr>
            <w:tcW w:w="678" w:type="pct"/>
            <w:noWrap/>
            <w:hideMark/>
          </w:tcPr>
          <w:p w14:paraId="2C8FA12C" w14:textId="77777777" w:rsidR="0082708F" w:rsidRPr="00FC683A" w:rsidRDefault="0082708F" w:rsidP="00445B21">
            <w:pPr>
              <w:pStyle w:val="TableText"/>
              <w:keepNext/>
              <w:contextualSpacing w:val="0"/>
              <w:jc w:val="center"/>
              <w:rPr>
                <w:lang w:eastAsia="en-AU"/>
              </w:rPr>
            </w:pPr>
            <w:r w:rsidRPr="00FC683A">
              <w:rPr>
                <w:lang w:eastAsia="en-AU"/>
              </w:rPr>
              <w:t>30</w:t>
            </w:r>
          </w:p>
        </w:tc>
        <w:tc>
          <w:tcPr>
            <w:tcW w:w="679" w:type="pct"/>
            <w:noWrap/>
            <w:hideMark/>
          </w:tcPr>
          <w:p w14:paraId="1D26EBFB" w14:textId="77777777" w:rsidR="0082708F" w:rsidRPr="00FC683A" w:rsidRDefault="0082708F" w:rsidP="00445B21">
            <w:pPr>
              <w:pStyle w:val="TableText"/>
              <w:keepNext/>
              <w:contextualSpacing w:val="0"/>
              <w:jc w:val="center"/>
              <w:rPr>
                <w:lang w:eastAsia="en-AU"/>
              </w:rPr>
            </w:pPr>
            <w:r>
              <w:rPr>
                <w:lang w:eastAsia="en-AU"/>
              </w:rPr>
              <w:t>3</w:t>
            </w:r>
          </w:p>
        </w:tc>
        <w:tc>
          <w:tcPr>
            <w:tcW w:w="679" w:type="pct"/>
            <w:noWrap/>
            <w:hideMark/>
          </w:tcPr>
          <w:p w14:paraId="7937AB3C" w14:textId="77777777" w:rsidR="0082708F" w:rsidRPr="00FC683A" w:rsidRDefault="0082708F" w:rsidP="00445B21">
            <w:pPr>
              <w:pStyle w:val="TableText"/>
              <w:keepNext/>
              <w:contextualSpacing w:val="0"/>
              <w:jc w:val="center"/>
              <w:rPr>
                <w:lang w:eastAsia="en-AU"/>
              </w:rPr>
            </w:pPr>
            <w:r>
              <w:rPr>
                <w:lang w:eastAsia="en-AU"/>
              </w:rPr>
              <w:t>0</w:t>
            </w:r>
          </w:p>
        </w:tc>
        <w:tc>
          <w:tcPr>
            <w:tcW w:w="627" w:type="pct"/>
            <w:noWrap/>
            <w:hideMark/>
          </w:tcPr>
          <w:p w14:paraId="67B11FB2" w14:textId="77777777" w:rsidR="0082708F" w:rsidRPr="00FC683A" w:rsidRDefault="0082708F" w:rsidP="00445B21">
            <w:pPr>
              <w:pStyle w:val="TableText"/>
              <w:keepNext/>
              <w:contextualSpacing w:val="0"/>
              <w:jc w:val="center"/>
              <w:rPr>
                <w:lang w:eastAsia="en-AU"/>
              </w:rPr>
            </w:pPr>
            <w:r w:rsidRPr="00FC683A">
              <w:rPr>
                <w:lang w:eastAsia="en-AU"/>
              </w:rPr>
              <w:t>33</w:t>
            </w:r>
          </w:p>
        </w:tc>
      </w:tr>
      <w:tr w:rsidR="0082708F" w:rsidRPr="00FC683A" w14:paraId="0CB39FCC" w14:textId="77777777" w:rsidTr="00BD4171">
        <w:trPr>
          <w:cnfStyle w:val="000000010000" w:firstRow="0" w:lastRow="0" w:firstColumn="0" w:lastColumn="0" w:oddVBand="0" w:evenVBand="0" w:oddHBand="0" w:evenHBand="1" w:firstRowFirstColumn="0" w:firstRowLastColumn="0" w:lastRowFirstColumn="0" w:lastRowLastColumn="0"/>
          <w:trHeight w:val="112"/>
        </w:trPr>
        <w:tc>
          <w:tcPr>
            <w:tcW w:w="2336" w:type="pct"/>
            <w:shd w:val="clear" w:color="auto" w:fill="DCDCDF" w:themeFill="text2" w:themeFillTint="33"/>
            <w:noWrap/>
            <w:hideMark/>
          </w:tcPr>
          <w:p w14:paraId="273715CF" w14:textId="77777777" w:rsidR="0082708F" w:rsidRPr="00FC683A" w:rsidRDefault="0082708F">
            <w:pPr>
              <w:pStyle w:val="TableText"/>
              <w:rPr>
                <w:rFonts w:asciiTheme="majorHAnsi" w:hAnsiTheme="majorHAnsi"/>
                <w:lang w:eastAsia="en-AU"/>
              </w:rPr>
            </w:pPr>
            <w:r w:rsidRPr="00FC683A">
              <w:rPr>
                <w:rFonts w:asciiTheme="majorHAnsi" w:hAnsiTheme="majorHAnsi"/>
                <w:lang w:eastAsia="en-AU"/>
              </w:rPr>
              <w:t>Total</w:t>
            </w:r>
          </w:p>
        </w:tc>
        <w:tc>
          <w:tcPr>
            <w:tcW w:w="678" w:type="pct"/>
            <w:shd w:val="clear" w:color="auto" w:fill="DCDCDF" w:themeFill="text2" w:themeFillTint="33"/>
            <w:noWrap/>
            <w:hideMark/>
          </w:tcPr>
          <w:p w14:paraId="074C7DCB" w14:textId="77777777" w:rsidR="0082708F" w:rsidRPr="00FC683A" w:rsidRDefault="0082708F">
            <w:pPr>
              <w:pStyle w:val="TableText"/>
              <w:jc w:val="center"/>
              <w:rPr>
                <w:rFonts w:asciiTheme="majorHAnsi" w:hAnsiTheme="majorHAnsi"/>
                <w:lang w:eastAsia="en-AU"/>
              </w:rPr>
            </w:pPr>
            <w:r w:rsidRPr="00FC683A">
              <w:rPr>
                <w:rFonts w:asciiTheme="majorHAnsi" w:hAnsiTheme="majorHAnsi"/>
                <w:lang w:eastAsia="en-AU"/>
              </w:rPr>
              <w:t>145</w:t>
            </w:r>
          </w:p>
        </w:tc>
        <w:tc>
          <w:tcPr>
            <w:tcW w:w="679" w:type="pct"/>
            <w:shd w:val="clear" w:color="auto" w:fill="DCDCDF" w:themeFill="text2" w:themeFillTint="33"/>
            <w:noWrap/>
            <w:hideMark/>
          </w:tcPr>
          <w:p w14:paraId="1C829530" w14:textId="77777777" w:rsidR="0082708F" w:rsidRPr="00FC683A" w:rsidRDefault="0082708F">
            <w:pPr>
              <w:pStyle w:val="TableText"/>
              <w:jc w:val="center"/>
              <w:rPr>
                <w:rFonts w:asciiTheme="majorHAnsi" w:hAnsiTheme="majorHAnsi"/>
                <w:lang w:eastAsia="en-AU"/>
              </w:rPr>
            </w:pPr>
            <w:r w:rsidRPr="00FC683A">
              <w:rPr>
                <w:rFonts w:asciiTheme="majorHAnsi" w:hAnsiTheme="majorHAnsi"/>
                <w:lang w:eastAsia="en-AU"/>
              </w:rPr>
              <w:t>155</w:t>
            </w:r>
          </w:p>
        </w:tc>
        <w:tc>
          <w:tcPr>
            <w:tcW w:w="679" w:type="pct"/>
            <w:shd w:val="clear" w:color="auto" w:fill="DCDCDF" w:themeFill="text2" w:themeFillTint="33"/>
            <w:noWrap/>
            <w:hideMark/>
          </w:tcPr>
          <w:p w14:paraId="58A20E01" w14:textId="77777777" w:rsidR="0082708F" w:rsidRPr="00FC683A" w:rsidRDefault="0082708F">
            <w:pPr>
              <w:pStyle w:val="TableText"/>
              <w:jc w:val="center"/>
              <w:rPr>
                <w:rFonts w:asciiTheme="majorHAnsi" w:hAnsiTheme="majorHAnsi"/>
                <w:lang w:eastAsia="en-AU"/>
              </w:rPr>
            </w:pPr>
            <w:r w:rsidRPr="00FC683A">
              <w:rPr>
                <w:rFonts w:asciiTheme="majorHAnsi" w:hAnsiTheme="majorHAnsi"/>
                <w:lang w:eastAsia="en-AU"/>
              </w:rPr>
              <w:t>154</w:t>
            </w:r>
          </w:p>
        </w:tc>
        <w:tc>
          <w:tcPr>
            <w:tcW w:w="627" w:type="pct"/>
            <w:shd w:val="clear" w:color="auto" w:fill="DCDCDF" w:themeFill="text2" w:themeFillTint="33"/>
            <w:noWrap/>
            <w:hideMark/>
          </w:tcPr>
          <w:p w14:paraId="5C0025B6" w14:textId="77777777" w:rsidR="0082708F" w:rsidRPr="00FC683A" w:rsidRDefault="0082708F">
            <w:pPr>
              <w:pStyle w:val="TableText"/>
              <w:contextualSpacing w:val="0"/>
              <w:jc w:val="center"/>
              <w:rPr>
                <w:rFonts w:asciiTheme="majorHAnsi" w:hAnsiTheme="majorHAnsi"/>
                <w:lang w:eastAsia="en-AU"/>
              </w:rPr>
            </w:pPr>
            <w:r w:rsidRPr="00FC683A">
              <w:rPr>
                <w:rFonts w:asciiTheme="majorHAnsi" w:hAnsiTheme="majorHAnsi"/>
                <w:lang w:eastAsia="en-AU"/>
              </w:rPr>
              <w:t>454</w:t>
            </w:r>
          </w:p>
        </w:tc>
      </w:tr>
    </w:tbl>
    <w:p w14:paraId="6205FF11" w14:textId="77777777" w:rsidR="0082708F" w:rsidRDefault="0082708F" w:rsidP="0082708F">
      <w:pPr>
        <w:pStyle w:val="Tablenotes"/>
      </w:pPr>
      <w:r>
        <w:t>Source: PACOP program data provided by the University of Wollongong, September 2025.</w:t>
      </w:r>
    </w:p>
    <w:p w14:paraId="10483F01" w14:textId="29573D5B" w:rsidR="006617AA" w:rsidRDefault="006617AA" w:rsidP="006617AA">
      <w:r>
        <w:t>Formal withdrawals</w:t>
      </w:r>
      <w:r w:rsidR="004E76E3">
        <w:t xml:space="preserve"> from PACOP</w:t>
      </w:r>
      <w:r>
        <w:t xml:space="preserve"> were minimal (fewer than five), suggesting high retention. Cited reasons for withdrawal included </w:t>
      </w:r>
      <w:r w:rsidR="004810A9">
        <w:t xml:space="preserve">organisational </w:t>
      </w:r>
      <w:r>
        <w:t>mergers, competing priorities, and IT system changes.</w:t>
      </w:r>
    </w:p>
    <w:p w14:paraId="23C432FB" w14:textId="09AD26A3" w:rsidR="00DC0CAB" w:rsidRDefault="009C700D" w:rsidP="00422579">
      <w:r>
        <w:t>P</w:t>
      </w:r>
      <w:r w:rsidR="00422579">
        <w:t>articipation in national benchmarking, a key indicator of implementation</w:t>
      </w:r>
      <w:r w:rsidR="00332D21">
        <w:t xml:space="preserve"> maturity</w:t>
      </w:r>
      <w:r w:rsidR="00422579">
        <w:t xml:space="preserve">, </w:t>
      </w:r>
      <w:r w:rsidR="002474F0">
        <w:t>increased</w:t>
      </w:r>
      <w:r w:rsidR="00301DA3">
        <w:t xml:space="preserve"> over the evaluation period</w:t>
      </w:r>
      <w:r w:rsidR="002474F0">
        <w:t xml:space="preserve">, </w:t>
      </w:r>
      <w:r w:rsidR="00152D08">
        <w:t xml:space="preserve">from 19 </w:t>
      </w:r>
      <w:r w:rsidR="00C73E5D">
        <w:t>homes (13.1% of registered homes) in 2022–23 to</w:t>
      </w:r>
      <w:r w:rsidR="002474F0">
        <w:t xml:space="preserve"> 131 homes (28.9%) in 2024–25 (</w:t>
      </w:r>
      <w:r w:rsidR="00422579">
        <w:fldChar w:fldCharType="begin"/>
      </w:r>
      <w:r w:rsidR="00422579">
        <w:instrText xml:space="preserve"> REF _Ref216190212 \h </w:instrText>
      </w:r>
      <w:r w:rsidR="00422579">
        <w:fldChar w:fldCharType="separate"/>
      </w:r>
      <w:r w:rsidR="00167BA0">
        <w:t xml:space="preserve">Table </w:t>
      </w:r>
      <w:r w:rsidR="00167BA0">
        <w:rPr>
          <w:noProof/>
        </w:rPr>
        <w:t>5</w:t>
      </w:r>
      <w:r w:rsidR="00167BA0">
        <w:t>.</w:t>
      </w:r>
      <w:r w:rsidR="00167BA0">
        <w:rPr>
          <w:noProof/>
        </w:rPr>
        <w:t>3</w:t>
      </w:r>
      <w:r w:rsidR="00422579">
        <w:fldChar w:fldCharType="end"/>
      </w:r>
      <w:r w:rsidR="002474F0">
        <w:t>). This</w:t>
      </w:r>
      <w:r w:rsidR="00AE0024">
        <w:t xml:space="preserve"> </w:t>
      </w:r>
      <w:r w:rsidR="00422579">
        <w:t>exceeded PACOP</w:t>
      </w:r>
      <w:r w:rsidR="003863F5">
        <w:t>’</w:t>
      </w:r>
      <w:r w:rsidR="00422579">
        <w:t>s target of 69 homes</w:t>
      </w:r>
      <w:r w:rsidR="00673D59">
        <w:t xml:space="preserve"> by June 2025</w:t>
      </w:r>
      <w:r w:rsidR="00422579">
        <w:t xml:space="preserve">. </w:t>
      </w:r>
      <w:r w:rsidR="00D3494E">
        <w:t xml:space="preserve">However, </w:t>
      </w:r>
      <w:r w:rsidR="000675D5">
        <w:t>these findings</w:t>
      </w:r>
      <w:r w:rsidR="00EF0574">
        <w:t xml:space="preserve"> also</w:t>
      </w:r>
      <w:r w:rsidR="00070E04">
        <w:t xml:space="preserve"> indicate that</w:t>
      </w:r>
      <w:r w:rsidR="00FA6143">
        <w:t xml:space="preserve"> </w:t>
      </w:r>
      <w:r w:rsidR="002E2D78">
        <w:t xml:space="preserve">approximately 70% </w:t>
      </w:r>
      <w:r w:rsidR="00FA6143">
        <w:t xml:space="preserve">of participating homes </w:t>
      </w:r>
      <w:r w:rsidR="003B6EF0">
        <w:t xml:space="preserve">were </w:t>
      </w:r>
      <w:r w:rsidR="002E2D78">
        <w:t xml:space="preserve">not </w:t>
      </w:r>
      <w:r w:rsidR="003B6EF0">
        <w:t>engaged in benchmarking</w:t>
      </w:r>
      <w:r w:rsidR="001B1203">
        <w:t>, limiting opportunities</w:t>
      </w:r>
      <w:r w:rsidR="00DC0CAB">
        <w:t xml:space="preserve"> for these homes</w:t>
      </w:r>
      <w:r w:rsidR="001B1203">
        <w:t xml:space="preserve"> </w:t>
      </w:r>
      <w:r w:rsidR="0068792D">
        <w:t xml:space="preserve">to </w:t>
      </w:r>
      <w:r w:rsidR="00CB0819">
        <w:t>leverage</w:t>
      </w:r>
      <w:r w:rsidR="0068792D">
        <w:t xml:space="preserve"> PACOP data </w:t>
      </w:r>
      <w:r w:rsidR="00CB0819">
        <w:t>for</w:t>
      </w:r>
      <w:r w:rsidR="00750E90">
        <w:t xml:space="preserve"> quality improvement.</w:t>
      </w:r>
    </w:p>
    <w:p w14:paraId="26174E7D" w14:textId="4BD94C26" w:rsidR="00422579" w:rsidRDefault="00422579" w:rsidP="00422579">
      <w:pPr>
        <w:pStyle w:val="Caption"/>
      </w:pPr>
      <w:bookmarkStart w:id="86" w:name="_Ref216190212"/>
      <w:r>
        <w:t xml:space="preserve">Table </w:t>
      </w:r>
      <w:fldSimple w:instr=" STYLEREF 1 \s ">
        <w:r w:rsidR="0091457A">
          <w:rPr>
            <w:noProof/>
          </w:rPr>
          <w:t>5</w:t>
        </w:r>
      </w:fldSimple>
      <w:r w:rsidR="0091457A">
        <w:t>.</w:t>
      </w:r>
      <w:fldSimple w:instr=" SEQ Table \* ARABIC \s 1 ">
        <w:r w:rsidR="0091457A">
          <w:rPr>
            <w:noProof/>
          </w:rPr>
          <w:t>3</w:t>
        </w:r>
      </w:fldSimple>
      <w:bookmarkEnd w:id="86"/>
      <w:r>
        <w:t xml:space="preserve">: Number and proportion of aged care homes </w:t>
      </w:r>
      <w:r w:rsidR="009D3C17">
        <w:br/>
      </w:r>
      <w:r>
        <w:t>participating in PACOP national benchmarking</w:t>
      </w:r>
    </w:p>
    <w:tbl>
      <w:tblPr>
        <w:tblStyle w:val="HMAdefaulttable"/>
        <w:tblW w:w="0" w:type="auto"/>
        <w:tblBorders>
          <w:left w:val="single" w:sz="4" w:space="0" w:color="auto"/>
          <w:right w:val="single" w:sz="4" w:space="0" w:color="auto"/>
          <w:insideV w:val="single" w:sz="4" w:space="0" w:color="auto"/>
        </w:tblBorders>
        <w:tblLayout w:type="fixed"/>
        <w:tblLook w:val="0420" w:firstRow="1" w:lastRow="0" w:firstColumn="0" w:lastColumn="0" w:noHBand="0" w:noVBand="1"/>
        <w:tblCaption w:val="Summary of PACOP benchmarking participation"/>
        <w:tblDescription w:val="Table shows participation in PACOP national benchmarking increased from 19 homes in 2022–23 to 131 homes in 2024–25. The proportion of registered homes participating also increased from 13% to 29%, indicating growing engagement in benchmarking over time."/>
      </w:tblPr>
      <w:tblGrid>
        <w:gridCol w:w="3686"/>
        <w:gridCol w:w="1276"/>
        <w:gridCol w:w="1134"/>
        <w:gridCol w:w="1117"/>
      </w:tblGrid>
      <w:tr w:rsidR="00422579" w:rsidRPr="00FC683A" w14:paraId="00BE3540" w14:textId="77777777" w:rsidTr="00BD4171">
        <w:trPr>
          <w:cnfStyle w:val="100000000000" w:firstRow="1" w:lastRow="0" w:firstColumn="0" w:lastColumn="0" w:oddVBand="0" w:evenVBand="0" w:oddHBand="0" w:evenHBand="0" w:firstRowFirstColumn="0" w:firstRowLastColumn="0" w:lastRowFirstColumn="0" w:lastRowLastColumn="0"/>
          <w:trHeight w:val="255"/>
          <w:tblHeader/>
        </w:trPr>
        <w:tc>
          <w:tcPr>
            <w:tcW w:w="3686" w:type="dxa"/>
            <w:noWrap/>
          </w:tcPr>
          <w:p w14:paraId="672ACDE0" w14:textId="4A6079C6" w:rsidR="00422579" w:rsidRPr="009F31F0" w:rsidRDefault="00B036AE" w:rsidP="009F31F0">
            <w:pPr>
              <w:pStyle w:val="TableHeading"/>
            </w:pPr>
            <w:r>
              <w:t>Indicator</w:t>
            </w:r>
          </w:p>
        </w:tc>
        <w:tc>
          <w:tcPr>
            <w:tcW w:w="1276" w:type="dxa"/>
            <w:noWrap/>
            <w:hideMark/>
          </w:tcPr>
          <w:p w14:paraId="7028FA9D" w14:textId="77777777" w:rsidR="00422579" w:rsidRPr="009F31F0" w:rsidRDefault="00422579" w:rsidP="00D4796D">
            <w:pPr>
              <w:pStyle w:val="TableHeading"/>
              <w:jc w:val="center"/>
            </w:pPr>
            <w:r w:rsidRPr="009F31F0">
              <w:t>2022–23</w:t>
            </w:r>
          </w:p>
        </w:tc>
        <w:tc>
          <w:tcPr>
            <w:tcW w:w="1134" w:type="dxa"/>
            <w:noWrap/>
            <w:hideMark/>
          </w:tcPr>
          <w:p w14:paraId="6F235CFB" w14:textId="77777777" w:rsidR="00422579" w:rsidRPr="009F31F0" w:rsidRDefault="00422579" w:rsidP="00D4796D">
            <w:pPr>
              <w:pStyle w:val="TableHeading"/>
              <w:jc w:val="center"/>
            </w:pPr>
            <w:r w:rsidRPr="009F31F0">
              <w:t>2023–24</w:t>
            </w:r>
          </w:p>
        </w:tc>
        <w:tc>
          <w:tcPr>
            <w:tcW w:w="1117" w:type="dxa"/>
            <w:noWrap/>
            <w:hideMark/>
          </w:tcPr>
          <w:p w14:paraId="3AB30471" w14:textId="77777777" w:rsidR="00422579" w:rsidRPr="009F31F0" w:rsidRDefault="00422579" w:rsidP="00D4796D">
            <w:pPr>
              <w:pStyle w:val="TableHeading"/>
              <w:jc w:val="center"/>
            </w:pPr>
            <w:r w:rsidRPr="009F31F0">
              <w:t>2024–25</w:t>
            </w:r>
          </w:p>
        </w:tc>
      </w:tr>
      <w:tr w:rsidR="00422579" w:rsidRPr="00FC683A" w14:paraId="4FA229E8" w14:textId="77777777" w:rsidTr="00BD4171">
        <w:trPr>
          <w:cnfStyle w:val="000000100000" w:firstRow="0" w:lastRow="0" w:firstColumn="0" w:lastColumn="0" w:oddVBand="0" w:evenVBand="0" w:oddHBand="1" w:evenHBand="0" w:firstRowFirstColumn="0" w:firstRowLastColumn="0" w:lastRowFirstColumn="0" w:lastRowLastColumn="0"/>
          <w:trHeight w:val="13"/>
        </w:trPr>
        <w:tc>
          <w:tcPr>
            <w:tcW w:w="3686" w:type="dxa"/>
            <w:noWrap/>
          </w:tcPr>
          <w:p w14:paraId="1C0D95B2" w14:textId="77777777" w:rsidR="00422579" w:rsidRPr="00FC683A" w:rsidRDefault="00422579">
            <w:pPr>
              <w:pStyle w:val="TableText"/>
              <w:rPr>
                <w:lang w:eastAsia="en-AU"/>
              </w:rPr>
            </w:pPr>
            <w:r>
              <w:rPr>
                <w:lang w:eastAsia="en-AU"/>
              </w:rPr>
              <w:t>Cumulative number of registered aged care homes</w:t>
            </w:r>
          </w:p>
        </w:tc>
        <w:tc>
          <w:tcPr>
            <w:tcW w:w="1276" w:type="dxa"/>
            <w:noWrap/>
          </w:tcPr>
          <w:p w14:paraId="50347F0B" w14:textId="77777777" w:rsidR="00422579" w:rsidRPr="00FC683A" w:rsidRDefault="00422579">
            <w:pPr>
              <w:pStyle w:val="TableText"/>
              <w:jc w:val="center"/>
              <w:rPr>
                <w:lang w:eastAsia="en-AU"/>
              </w:rPr>
            </w:pPr>
            <w:r>
              <w:rPr>
                <w:lang w:eastAsia="en-AU"/>
              </w:rPr>
              <w:t>145</w:t>
            </w:r>
          </w:p>
        </w:tc>
        <w:tc>
          <w:tcPr>
            <w:tcW w:w="1134" w:type="dxa"/>
            <w:noWrap/>
          </w:tcPr>
          <w:p w14:paraId="08FAA2E0" w14:textId="77777777" w:rsidR="00422579" w:rsidRPr="00FC683A" w:rsidRDefault="00422579">
            <w:pPr>
              <w:pStyle w:val="TableText"/>
              <w:jc w:val="center"/>
              <w:rPr>
                <w:lang w:eastAsia="en-AU"/>
              </w:rPr>
            </w:pPr>
            <w:r>
              <w:rPr>
                <w:lang w:eastAsia="en-AU"/>
              </w:rPr>
              <w:t>300</w:t>
            </w:r>
          </w:p>
        </w:tc>
        <w:tc>
          <w:tcPr>
            <w:tcW w:w="1117" w:type="dxa"/>
            <w:noWrap/>
          </w:tcPr>
          <w:p w14:paraId="12472D51" w14:textId="77777777" w:rsidR="00422579" w:rsidRPr="00FC683A" w:rsidRDefault="00422579">
            <w:pPr>
              <w:pStyle w:val="TableText"/>
              <w:jc w:val="center"/>
              <w:rPr>
                <w:lang w:eastAsia="en-AU"/>
              </w:rPr>
            </w:pPr>
            <w:r>
              <w:rPr>
                <w:lang w:eastAsia="en-AU"/>
              </w:rPr>
              <w:t>454</w:t>
            </w:r>
          </w:p>
        </w:tc>
      </w:tr>
      <w:tr w:rsidR="00422579" w:rsidRPr="00FC683A" w14:paraId="47BD0958" w14:textId="77777777" w:rsidTr="00BD4171">
        <w:trPr>
          <w:cnfStyle w:val="000000010000" w:firstRow="0" w:lastRow="0" w:firstColumn="0" w:lastColumn="0" w:oddVBand="0" w:evenVBand="0" w:oddHBand="0" w:evenHBand="1" w:firstRowFirstColumn="0" w:firstRowLastColumn="0" w:lastRowFirstColumn="0" w:lastRowLastColumn="0"/>
          <w:trHeight w:val="102"/>
        </w:trPr>
        <w:tc>
          <w:tcPr>
            <w:tcW w:w="3686" w:type="dxa"/>
            <w:noWrap/>
          </w:tcPr>
          <w:p w14:paraId="1B2E8CF0" w14:textId="77777777" w:rsidR="00422579" w:rsidRPr="00FC683A" w:rsidRDefault="00422579">
            <w:pPr>
              <w:pStyle w:val="TableText"/>
              <w:rPr>
                <w:lang w:eastAsia="en-AU"/>
              </w:rPr>
            </w:pPr>
            <w:r>
              <w:rPr>
                <w:lang w:eastAsia="en-AU"/>
              </w:rPr>
              <w:t>Number of homes participating in national benchmarking</w:t>
            </w:r>
          </w:p>
        </w:tc>
        <w:tc>
          <w:tcPr>
            <w:tcW w:w="1276" w:type="dxa"/>
            <w:noWrap/>
          </w:tcPr>
          <w:p w14:paraId="63E19CFD" w14:textId="77777777" w:rsidR="00422579" w:rsidRPr="00FC683A" w:rsidRDefault="00422579">
            <w:pPr>
              <w:pStyle w:val="TableText"/>
              <w:jc w:val="center"/>
              <w:rPr>
                <w:lang w:eastAsia="en-AU"/>
              </w:rPr>
            </w:pPr>
            <w:r>
              <w:rPr>
                <w:lang w:eastAsia="en-AU"/>
              </w:rPr>
              <w:t>19</w:t>
            </w:r>
          </w:p>
        </w:tc>
        <w:tc>
          <w:tcPr>
            <w:tcW w:w="1134" w:type="dxa"/>
            <w:noWrap/>
          </w:tcPr>
          <w:p w14:paraId="615092E4" w14:textId="77777777" w:rsidR="00422579" w:rsidRPr="00FC683A" w:rsidRDefault="00422579">
            <w:pPr>
              <w:pStyle w:val="TableText"/>
              <w:jc w:val="center"/>
              <w:rPr>
                <w:lang w:eastAsia="en-AU"/>
              </w:rPr>
            </w:pPr>
            <w:r>
              <w:rPr>
                <w:lang w:eastAsia="en-AU"/>
              </w:rPr>
              <w:t>67</w:t>
            </w:r>
          </w:p>
        </w:tc>
        <w:tc>
          <w:tcPr>
            <w:tcW w:w="1117" w:type="dxa"/>
            <w:noWrap/>
          </w:tcPr>
          <w:p w14:paraId="6B200DC4" w14:textId="77777777" w:rsidR="00422579" w:rsidRPr="00FC683A" w:rsidRDefault="00422579">
            <w:pPr>
              <w:pStyle w:val="TableText"/>
              <w:jc w:val="center"/>
              <w:rPr>
                <w:lang w:eastAsia="en-AU"/>
              </w:rPr>
            </w:pPr>
            <w:r>
              <w:rPr>
                <w:lang w:eastAsia="en-AU"/>
              </w:rPr>
              <w:t>131</w:t>
            </w:r>
          </w:p>
        </w:tc>
      </w:tr>
      <w:tr w:rsidR="00422579" w:rsidRPr="00FC683A" w14:paraId="5901F3B3" w14:textId="77777777" w:rsidTr="00BD4171">
        <w:trPr>
          <w:cnfStyle w:val="000000100000" w:firstRow="0" w:lastRow="0" w:firstColumn="0" w:lastColumn="0" w:oddVBand="0" w:evenVBand="0" w:oddHBand="1" w:evenHBand="0" w:firstRowFirstColumn="0" w:firstRowLastColumn="0" w:lastRowFirstColumn="0" w:lastRowLastColumn="0"/>
          <w:trHeight w:val="178"/>
        </w:trPr>
        <w:tc>
          <w:tcPr>
            <w:tcW w:w="3686" w:type="dxa"/>
            <w:noWrap/>
          </w:tcPr>
          <w:p w14:paraId="3A1C5999" w14:textId="77777777" w:rsidR="00422579" w:rsidRPr="00FC683A" w:rsidRDefault="00422579">
            <w:pPr>
              <w:pStyle w:val="TableText"/>
              <w:rPr>
                <w:lang w:eastAsia="en-AU"/>
              </w:rPr>
            </w:pPr>
            <w:r>
              <w:rPr>
                <w:lang w:eastAsia="en-AU"/>
              </w:rPr>
              <w:t>Proportion of homes participating in national benchmarking</w:t>
            </w:r>
          </w:p>
        </w:tc>
        <w:tc>
          <w:tcPr>
            <w:tcW w:w="1276" w:type="dxa"/>
            <w:noWrap/>
          </w:tcPr>
          <w:p w14:paraId="6CA61A3F" w14:textId="77777777" w:rsidR="00422579" w:rsidRPr="00FC683A" w:rsidRDefault="00422579">
            <w:pPr>
              <w:pStyle w:val="TableText"/>
              <w:jc w:val="center"/>
              <w:rPr>
                <w:lang w:eastAsia="en-AU"/>
              </w:rPr>
            </w:pPr>
            <w:r>
              <w:rPr>
                <w:lang w:eastAsia="en-AU"/>
              </w:rPr>
              <w:t>13.1%</w:t>
            </w:r>
          </w:p>
        </w:tc>
        <w:tc>
          <w:tcPr>
            <w:tcW w:w="1134" w:type="dxa"/>
            <w:noWrap/>
          </w:tcPr>
          <w:p w14:paraId="3B49D0A8" w14:textId="77777777" w:rsidR="00422579" w:rsidRPr="00FC683A" w:rsidRDefault="00422579">
            <w:pPr>
              <w:pStyle w:val="TableText"/>
              <w:jc w:val="center"/>
              <w:rPr>
                <w:lang w:eastAsia="en-AU"/>
              </w:rPr>
            </w:pPr>
            <w:r>
              <w:rPr>
                <w:lang w:eastAsia="en-AU"/>
              </w:rPr>
              <w:t>22.3%</w:t>
            </w:r>
          </w:p>
        </w:tc>
        <w:tc>
          <w:tcPr>
            <w:tcW w:w="1117" w:type="dxa"/>
            <w:noWrap/>
          </w:tcPr>
          <w:p w14:paraId="19D69AEB" w14:textId="77777777" w:rsidR="00422579" w:rsidRPr="00FC683A" w:rsidRDefault="00422579">
            <w:pPr>
              <w:pStyle w:val="TableText"/>
              <w:jc w:val="center"/>
              <w:rPr>
                <w:lang w:eastAsia="en-AU"/>
              </w:rPr>
            </w:pPr>
            <w:r>
              <w:rPr>
                <w:lang w:eastAsia="en-AU"/>
              </w:rPr>
              <w:t>28.9%</w:t>
            </w:r>
          </w:p>
        </w:tc>
      </w:tr>
    </w:tbl>
    <w:p w14:paraId="3AEEFB0F" w14:textId="0EC1233F" w:rsidR="00422579" w:rsidRDefault="00422579" w:rsidP="00422579">
      <w:pPr>
        <w:pStyle w:val="Tablenotes"/>
      </w:pPr>
      <w:r>
        <w:t>Source: PACOP program data provided by the University of Wollongong, September 2025.</w:t>
      </w:r>
    </w:p>
    <w:p w14:paraId="0852EB94" w14:textId="435D7B7D" w:rsidR="00BD3D72" w:rsidRDefault="00BD3D72" w:rsidP="00BD3D72">
      <w:r>
        <w:t>M</w:t>
      </w:r>
      <w:r w:rsidRPr="00B55C96">
        <w:t>ost</w:t>
      </w:r>
      <w:r>
        <w:t xml:space="preserve"> homes</w:t>
      </w:r>
      <w:r w:rsidRPr="00B55C96">
        <w:t xml:space="preserve"> </w:t>
      </w:r>
      <w:r w:rsidR="003306F9">
        <w:t xml:space="preserve">participating in benchmarking </w:t>
      </w:r>
      <w:r w:rsidRPr="00B55C96">
        <w:t xml:space="preserve">were at the Profile stage (70%) </w:t>
      </w:r>
      <w:r>
        <w:t xml:space="preserve">and concentrated in New South Wales (76%; </w:t>
      </w:r>
      <w:r>
        <w:fldChar w:fldCharType="begin"/>
      </w:r>
      <w:r>
        <w:instrText xml:space="preserve"> REF _Ref215673052 \h </w:instrText>
      </w:r>
      <w:r>
        <w:fldChar w:fldCharType="separate"/>
      </w:r>
      <w:r w:rsidR="00167BA0">
        <w:t xml:space="preserve">Table </w:t>
      </w:r>
      <w:r w:rsidR="00167BA0">
        <w:rPr>
          <w:noProof/>
        </w:rPr>
        <w:t>9</w:t>
      </w:r>
      <w:r w:rsidR="00167BA0">
        <w:t>.</w:t>
      </w:r>
      <w:r w:rsidR="00167BA0">
        <w:rPr>
          <w:noProof/>
        </w:rPr>
        <w:t>23</w:t>
      </w:r>
      <w:r>
        <w:fldChar w:fldCharType="end"/>
      </w:r>
      <w:r>
        <w:t xml:space="preserve">, </w:t>
      </w:r>
      <w:r>
        <w:fldChar w:fldCharType="begin"/>
      </w:r>
      <w:r>
        <w:instrText xml:space="preserve"> REF _Ref216865792 \n \h </w:instrText>
      </w:r>
      <w:r>
        <w:fldChar w:fldCharType="separate"/>
      </w:r>
      <w:r w:rsidR="00167BA0">
        <w:t>Appendix D</w:t>
      </w:r>
      <w:r>
        <w:fldChar w:fldCharType="end"/>
      </w:r>
      <w:r>
        <w:t>)</w:t>
      </w:r>
      <w:r w:rsidR="00360B9D">
        <w:t>. This pattern</w:t>
      </w:r>
      <w:r>
        <w:t xml:space="preserve"> suggest</w:t>
      </w:r>
      <w:r w:rsidR="00360B9D">
        <w:t>s scope to further expand</w:t>
      </w:r>
      <w:r>
        <w:t xml:space="preserve"> benchmarking </w:t>
      </w:r>
      <w:r w:rsidR="00360B9D">
        <w:t xml:space="preserve">participation </w:t>
      </w:r>
      <w:r>
        <w:t>among</w:t>
      </w:r>
      <w:r w:rsidRPr="009F5798">
        <w:t xml:space="preserve"> homes </w:t>
      </w:r>
      <w:r w:rsidR="00360B9D">
        <w:lastRenderedPageBreak/>
        <w:t>implementing</w:t>
      </w:r>
      <w:r w:rsidRPr="009F5798">
        <w:t xml:space="preserve"> the </w:t>
      </w:r>
      <w:r>
        <w:t xml:space="preserve">more advanced </w:t>
      </w:r>
      <w:r w:rsidRPr="009F5798">
        <w:t xml:space="preserve">Outcomes </w:t>
      </w:r>
      <w:r w:rsidR="00360B9D">
        <w:t>Collection</w:t>
      </w:r>
      <w:r w:rsidR="00360B9D" w:rsidRPr="009F5798">
        <w:t xml:space="preserve"> </w:t>
      </w:r>
      <w:r w:rsidRPr="009F5798">
        <w:t xml:space="preserve">and </w:t>
      </w:r>
      <w:r>
        <w:t xml:space="preserve">across </w:t>
      </w:r>
      <w:r w:rsidR="00360B9D">
        <w:t xml:space="preserve">a broader range of </w:t>
      </w:r>
      <w:r>
        <w:t>jurisdictions</w:t>
      </w:r>
      <w:r w:rsidRPr="009F5798">
        <w:t>.</w:t>
      </w:r>
    </w:p>
    <w:p w14:paraId="7024366C" w14:textId="2BF099F0" w:rsidR="00BD3D72" w:rsidRDefault="00BD3D72" w:rsidP="00BD3D72">
      <w:r w:rsidRPr="006F7287">
        <w:t>Importantly, while 4</w:t>
      </w:r>
      <w:r>
        <w:t>21</w:t>
      </w:r>
      <w:r w:rsidRPr="006F7287">
        <w:t xml:space="preserve"> homes were registered</w:t>
      </w:r>
      <w:r>
        <w:t xml:space="preserve"> as actively using</w:t>
      </w:r>
      <w:r w:rsidRPr="006F7287">
        <w:t xml:space="preserve"> PACOP, the program </w:t>
      </w:r>
      <w:r w:rsidR="00360B9D">
        <w:t>did not have</w:t>
      </w:r>
      <w:r w:rsidR="00360B9D" w:rsidRPr="006F7287">
        <w:t xml:space="preserve"> </w:t>
      </w:r>
      <w:r w:rsidRPr="006F7287">
        <w:t xml:space="preserve">a </w:t>
      </w:r>
      <w:r>
        <w:t>clear</w:t>
      </w:r>
      <w:r w:rsidR="00360B9D">
        <w:t>, systematic</w:t>
      </w:r>
      <w:r>
        <w:t xml:space="preserve"> mechanism to confirm </w:t>
      </w:r>
      <w:r w:rsidR="00240E29">
        <w:t xml:space="preserve">the extent to which </w:t>
      </w:r>
      <w:r>
        <w:t>homes not participating in benchmarking (n=290) were consistently applying the program in practice</w:t>
      </w:r>
      <w:r w:rsidR="00240E29">
        <w:t>. This</w:t>
      </w:r>
      <w:r>
        <w:t xml:space="preserve"> creat</w:t>
      </w:r>
      <w:r w:rsidR="00240E29">
        <w:t>ed some</w:t>
      </w:r>
      <w:r>
        <w:t xml:space="preserve"> uncertainty around the depth of clinical integration</w:t>
      </w:r>
      <w:r w:rsidR="00240E29">
        <w:t xml:space="preserve"> across all participating homes</w:t>
      </w:r>
      <w:r>
        <w:t>.</w:t>
      </w:r>
    </w:p>
    <w:p w14:paraId="1FED3B6F" w14:textId="20F1A077" w:rsidR="00983349" w:rsidRDefault="00666A97" w:rsidP="00983349">
      <w:pPr>
        <w:pStyle w:val="Findings"/>
      </w:pPr>
      <w:r>
        <w:rPr>
          <w:lang w:eastAsia="en-AU"/>
        </w:rPr>
        <w:t xml:space="preserve">PACOP achieved coverage in most states and territories, but there was underrepresentation in some jurisdictions and no participating homes in the Northern Territory. </w:t>
      </w:r>
      <w:r w:rsidR="00983349">
        <w:t xml:space="preserve">By June 2025, nearly 70% of registered homes were using both Profile and Outcomes Collections, indicating depth of adoption. However, </w:t>
      </w:r>
      <w:bookmarkStart w:id="87" w:name="_Hlk220578776"/>
      <w:r w:rsidR="00983349">
        <w:t>fewer than 30%</w:t>
      </w:r>
      <w:r w:rsidR="005755F7">
        <w:t xml:space="preserve"> of registered homes</w:t>
      </w:r>
      <w:r w:rsidR="00983349">
        <w:t xml:space="preserve"> were engaged in national benchmarking</w:t>
      </w:r>
      <w:r w:rsidR="005755F7">
        <w:t xml:space="preserve"> overall</w:t>
      </w:r>
      <w:r w:rsidR="00983349">
        <w:t>, limiting the program</w:t>
      </w:r>
      <w:r w:rsidR="003863F5">
        <w:t>’</w:t>
      </w:r>
      <w:r w:rsidR="00983349">
        <w:t xml:space="preserve">s potential for driving sector-wide quality improvement. </w:t>
      </w:r>
      <w:bookmarkEnd w:id="87"/>
      <w:r w:rsidR="00983349">
        <w:t>While the remaining non-benchmarking homes were classified as actively participating, there were limited insights into the extent to which these homes were using PACOP in practice.</w:t>
      </w:r>
    </w:p>
    <w:p w14:paraId="24C2B860" w14:textId="53B0794F" w:rsidR="004A3E19" w:rsidRDefault="00B54BA6" w:rsidP="00860AD4">
      <w:r>
        <w:t>Given PACOP</w:t>
      </w:r>
      <w:r w:rsidR="003863F5">
        <w:t>’</w:t>
      </w:r>
      <w:r>
        <w:t>s comp</w:t>
      </w:r>
      <w:r w:rsidR="00F51B03">
        <w:t xml:space="preserve">rehensive system-level focus, understanding the practical </w:t>
      </w:r>
      <w:r w:rsidR="0035728F">
        <w:t>enablers and constraints influencing</w:t>
      </w:r>
      <w:r w:rsidR="00D75690">
        <w:t xml:space="preserve"> sustained participation</w:t>
      </w:r>
      <w:r w:rsidR="00902841">
        <w:t xml:space="preserve"> was a key focus of </w:t>
      </w:r>
      <w:r w:rsidR="00764BBB">
        <w:t>case studies (</w:t>
      </w:r>
      <w:r w:rsidR="00F57CE0">
        <w:t>technical paper, Section 9.2</w:t>
      </w:r>
      <w:r w:rsidR="00764BBB">
        <w:t xml:space="preserve">), </w:t>
      </w:r>
      <w:r w:rsidR="004F796B">
        <w:t>the online survey (</w:t>
      </w:r>
      <w:r w:rsidR="00F57CE0">
        <w:t xml:space="preserve">technical paper, </w:t>
      </w:r>
      <w:r w:rsidR="00A761C0">
        <w:t xml:space="preserve">Table </w:t>
      </w:r>
      <w:r w:rsidR="00297E27">
        <w:t>6</w:t>
      </w:r>
      <w:r w:rsidR="00A761C0">
        <w:t xml:space="preserve">.3 and Table </w:t>
      </w:r>
      <w:r w:rsidR="00297E27">
        <w:t>6</w:t>
      </w:r>
      <w:r w:rsidR="00A761C0">
        <w:t>.4</w:t>
      </w:r>
      <w:r w:rsidR="004F796B">
        <w:t>), and consultations with major aged care providers.</w:t>
      </w:r>
      <w:r w:rsidR="0035728F">
        <w:t xml:space="preserve"> </w:t>
      </w:r>
      <w:r w:rsidR="000572D7">
        <w:t xml:space="preserve">Findings </w:t>
      </w:r>
      <w:r w:rsidR="0035728F">
        <w:t>indicated</w:t>
      </w:r>
      <w:r w:rsidR="0035728F" w:rsidRPr="00F444C7">
        <w:t xml:space="preserve"> </w:t>
      </w:r>
      <w:r w:rsidR="00F444C7" w:rsidRPr="00F444C7">
        <w:t xml:space="preserve">that </w:t>
      </w:r>
      <w:r w:rsidR="00433D64">
        <w:t>sustained</w:t>
      </w:r>
      <w:r w:rsidR="00F444C7" w:rsidRPr="00F444C7">
        <w:t xml:space="preserve"> engagement was strongest where</w:t>
      </w:r>
      <w:r w:rsidR="004A3E19">
        <w:t>:</w:t>
      </w:r>
    </w:p>
    <w:p w14:paraId="58C8EA3C" w14:textId="1FDDDFA8" w:rsidR="004A3E19" w:rsidRDefault="00F444C7" w:rsidP="004A3E19">
      <w:pPr>
        <w:pStyle w:val="ListBullet"/>
      </w:pPr>
      <w:r w:rsidRPr="00F444C7">
        <w:t>organisational leadership prioritised PACOP</w:t>
      </w:r>
      <w:r w:rsidR="004A3E19">
        <w:t xml:space="preserve"> and positioned it as a strategic priority</w:t>
      </w:r>
    </w:p>
    <w:p w14:paraId="4B19FEEB" w14:textId="22F0AF6B" w:rsidR="004A3E19" w:rsidRDefault="00F444C7" w:rsidP="004A3E19">
      <w:pPr>
        <w:pStyle w:val="ListBullet"/>
      </w:pPr>
      <w:r w:rsidRPr="00F444C7">
        <w:t xml:space="preserve">dedicated </w:t>
      </w:r>
      <w:r w:rsidR="006F2BE3">
        <w:t xml:space="preserve">internal </w:t>
      </w:r>
      <w:r w:rsidRPr="00F444C7">
        <w:t xml:space="preserve">resources were allocated </w:t>
      </w:r>
      <w:r w:rsidR="002A1CA2">
        <w:t>to support</w:t>
      </w:r>
      <w:r w:rsidRPr="00F444C7">
        <w:t xml:space="preserve"> </w:t>
      </w:r>
      <w:r w:rsidR="004A3E19">
        <w:t>implementation and ongoing participation</w:t>
      </w:r>
    </w:p>
    <w:p w14:paraId="02259777" w14:textId="43491891" w:rsidR="004A3E19" w:rsidRDefault="0055565E" w:rsidP="004A3E19">
      <w:pPr>
        <w:pStyle w:val="ListBullet"/>
      </w:pPr>
      <w:r>
        <w:t>the program was</w:t>
      </w:r>
      <w:r w:rsidR="00F444C7" w:rsidRPr="00F444C7">
        <w:t xml:space="preserve"> adapt</w:t>
      </w:r>
      <w:r>
        <w:t>ed</w:t>
      </w:r>
      <w:r w:rsidR="00F444C7" w:rsidRPr="00F444C7">
        <w:t xml:space="preserve"> and integrate</w:t>
      </w:r>
      <w:r>
        <w:t>d</w:t>
      </w:r>
      <w:r w:rsidR="00F444C7" w:rsidRPr="00F444C7">
        <w:t xml:space="preserve"> into </w:t>
      </w:r>
      <w:r w:rsidR="00D079D5">
        <w:t>local workflows</w:t>
      </w:r>
      <w:r w:rsidR="00376CA5">
        <w:t xml:space="preserve">, including </w:t>
      </w:r>
      <w:r w:rsidR="009E7756">
        <w:t>IT systems where possible</w:t>
      </w:r>
      <w:r w:rsidR="00F444C7" w:rsidRPr="00F444C7">
        <w:t>.</w:t>
      </w:r>
    </w:p>
    <w:p w14:paraId="7CD7AE32" w14:textId="00336C5D" w:rsidR="00D63973" w:rsidRDefault="00A726F3" w:rsidP="004A3E19">
      <w:r w:rsidRPr="00F444C7">
        <w:t xml:space="preserve">These </w:t>
      </w:r>
      <w:r w:rsidR="004A3E19">
        <w:t>factors</w:t>
      </w:r>
      <w:r w:rsidRPr="00F444C7">
        <w:t xml:space="preserve"> ensured PACOP was adequately resourced and aligned with routine systems</w:t>
      </w:r>
      <w:r>
        <w:t xml:space="preserve">, </w:t>
      </w:r>
      <w:r w:rsidRPr="00F444C7">
        <w:t>reducing administrative burden and supporting integration into everyday practice</w:t>
      </w:r>
      <w:r>
        <w:t xml:space="preserve">. </w:t>
      </w:r>
      <w:r w:rsidR="00092A28">
        <w:t>Some</w:t>
      </w:r>
      <w:r w:rsidR="00D63973">
        <w:t xml:space="preserve"> </w:t>
      </w:r>
      <w:r w:rsidR="007B18C2">
        <w:t xml:space="preserve">providers reported that </w:t>
      </w:r>
      <w:r w:rsidR="00164AD0">
        <w:t xml:space="preserve">adapting elements of </w:t>
      </w:r>
      <w:r w:rsidR="00D63973">
        <w:t>the</w:t>
      </w:r>
      <w:r w:rsidR="00110284">
        <w:t xml:space="preserve"> prescribed model to</w:t>
      </w:r>
      <w:r w:rsidR="00164AD0">
        <w:t xml:space="preserve"> better fit</w:t>
      </w:r>
      <w:r w:rsidR="00110284">
        <w:t xml:space="preserve"> </w:t>
      </w:r>
      <w:r w:rsidR="00772005">
        <w:t xml:space="preserve">local practice, </w:t>
      </w:r>
      <w:r w:rsidR="009A6A34">
        <w:t>such as</w:t>
      </w:r>
      <w:r w:rsidR="00772005">
        <w:t xml:space="preserve"> adjusting the number of assessment tools used or the </w:t>
      </w:r>
      <w:r w:rsidR="009A3DC7">
        <w:t xml:space="preserve">frequency of </w:t>
      </w:r>
      <w:r w:rsidR="00772005">
        <w:t>administration, meant</w:t>
      </w:r>
      <w:r w:rsidR="00835EDD">
        <w:t xml:space="preserve"> sacrificing </w:t>
      </w:r>
      <w:r w:rsidR="00FB5417">
        <w:t xml:space="preserve">some </w:t>
      </w:r>
      <w:r w:rsidR="005D6AA2">
        <w:t>aspects of</w:t>
      </w:r>
      <w:r w:rsidR="007B18C2">
        <w:t xml:space="preserve"> </w:t>
      </w:r>
      <w:r w:rsidR="00835EDD">
        <w:t>benchmarking capability</w:t>
      </w:r>
      <w:r w:rsidR="00092A28">
        <w:t xml:space="preserve">. </w:t>
      </w:r>
      <w:r w:rsidR="006B1AB7">
        <w:t xml:space="preserve">However, </w:t>
      </w:r>
      <w:r w:rsidR="00FB5417">
        <w:t xml:space="preserve">providers generally viewed </w:t>
      </w:r>
      <w:r w:rsidR="006B1AB7">
        <w:t>this trade-off as acceptable to achieve practical and sustainable implementation.</w:t>
      </w:r>
    </w:p>
    <w:p w14:paraId="1381FB6D" w14:textId="5E4DAA6A" w:rsidR="00F97454" w:rsidRDefault="00EC4990" w:rsidP="00252A5E">
      <w:r>
        <w:t xml:space="preserve">Several key barriers to implementation and </w:t>
      </w:r>
      <w:r w:rsidR="00D43F34">
        <w:t>sustained engagement</w:t>
      </w:r>
      <w:r>
        <w:t xml:space="preserve"> were also identified. </w:t>
      </w:r>
      <w:r w:rsidR="003C58AA">
        <w:t xml:space="preserve">IT integration challenges were consistently </w:t>
      </w:r>
      <w:r w:rsidR="00CA7C25">
        <w:t>cited</w:t>
      </w:r>
      <w:r w:rsidR="003C58AA">
        <w:t xml:space="preserve"> as the most </w:t>
      </w:r>
      <w:r w:rsidR="00CB5B84">
        <w:t xml:space="preserve">significant </w:t>
      </w:r>
      <w:r w:rsidR="003E0874">
        <w:t>barrier</w:t>
      </w:r>
      <w:r w:rsidR="003C58AA">
        <w:t xml:space="preserve">. </w:t>
      </w:r>
      <w:r w:rsidR="002547D9">
        <w:t>Limited</w:t>
      </w:r>
      <w:r w:rsidR="00CA7C25">
        <w:t xml:space="preserve"> interoperability </w:t>
      </w:r>
      <w:r w:rsidR="003C58AA">
        <w:t xml:space="preserve">led to </w:t>
      </w:r>
      <w:r w:rsidR="00A01231">
        <w:t xml:space="preserve">a </w:t>
      </w:r>
      <w:r w:rsidR="00912A41">
        <w:t>reliance on paper-based processes or duplicat</w:t>
      </w:r>
      <w:r w:rsidR="0088119A">
        <w:t>ed data entry</w:t>
      </w:r>
      <w:r w:rsidR="00912A41">
        <w:t xml:space="preserve"> across multiple </w:t>
      </w:r>
      <w:r w:rsidR="00A01231">
        <w:t>systems, creating substantial administrative burden</w:t>
      </w:r>
      <w:r w:rsidR="00E22485">
        <w:t xml:space="preserve"> and impacting</w:t>
      </w:r>
      <w:r w:rsidR="001A6510">
        <w:t xml:space="preserve"> benchmarking participation</w:t>
      </w:r>
      <w:r w:rsidR="00E22485">
        <w:t>.</w:t>
      </w:r>
      <w:r w:rsidR="00D63454">
        <w:t xml:space="preserve"> The need for </w:t>
      </w:r>
      <w:r w:rsidR="00DB0F71">
        <w:t>improved IT integration was consistently emphasised.</w:t>
      </w:r>
    </w:p>
    <w:p w14:paraId="20828ECE" w14:textId="714A1E5D" w:rsidR="007C4F95" w:rsidRDefault="00B06D6C" w:rsidP="00252A5E">
      <w:r>
        <w:t>The program</w:t>
      </w:r>
      <w:r w:rsidR="003863F5">
        <w:t>’</w:t>
      </w:r>
      <w:r>
        <w:t>s r</w:t>
      </w:r>
      <w:r w:rsidR="00E22485">
        <w:t>esource intensity</w:t>
      </w:r>
      <w:r w:rsidR="00F97454">
        <w:t xml:space="preserve"> and complexity were also identified as </w:t>
      </w:r>
      <w:r w:rsidR="00204B46">
        <w:t>key</w:t>
      </w:r>
      <w:r w:rsidR="000E4890">
        <w:t xml:space="preserve"> </w:t>
      </w:r>
      <w:r>
        <w:t>barrier</w:t>
      </w:r>
      <w:r w:rsidR="00F97454">
        <w:t>s</w:t>
      </w:r>
      <w:r>
        <w:t xml:space="preserve"> to both implementation and ongoing participation</w:t>
      </w:r>
      <w:r w:rsidR="00A47E17">
        <w:t xml:space="preserve">, particularly for larger </w:t>
      </w:r>
      <w:r w:rsidR="00AB56B0">
        <w:t>providers</w:t>
      </w:r>
      <w:r w:rsidR="000924E3">
        <w:t xml:space="preserve">. </w:t>
      </w:r>
      <w:r w:rsidR="006C2220">
        <w:t>P</w:t>
      </w:r>
      <w:r w:rsidR="00701E1F">
        <w:t xml:space="preserve">roviders noted that </w:t>
      </w:r>
      <w:r w:rsidR="0063164F">
        <w:t>ro</w:t>
      </w:r>
      <w:r w:rsidR="0063164F" w:rsidRPr="004901DC">
        <w:t xml:space="preserve">llout </w:t>
      </w:r>
      <w:r w:rsidR="00E25576">
        <w:t>was often</w:t>
      </w:r>
      <w:r w:rsidR="0063164F" w:rsidRPr="004901DC">
        <w:t xml:space="preserve"> </w:t>
      </w:r>
      <w:r w:rsidR="00976853">
        <w:t>more complex and</w:t>
      </w:r>
      <w:r w:rsidR="00FE2ED4">
        <w:t xml:space="preserve"> resource-intensive</w:t>
      </w:r>
      <w:r w:rsidR="0063164F" w:rsidRPr="004901DC">
        <w:t xml:space="preserve"> than </w:t>
      </w:r>
      <w:r w:rsidR="008B0211">
        <w:t>initially expected</w:t>
      </w:r>
      <w:r w:rsidR="00270EC8">
        <w:t>, requiring substantial</w:t>
      </w:r>
      <w:r w:rsidR="00E25576">
        <w:t xml:space="preserve"> organisational</w:t>
      </w:r>
      <w:r w:rsidR="00CA4883">
        <w:t xml:space="preserve"> </w:t>
      </w:r>
      <w:r w:rsidR="00270EC8">
        <w:t>investment</w:t>
      </w:r>
      <w:r w:rsidR="0083645C">
        <w:t>.</w:t>
      </w:r>
      <w:r w:rsidR="004748C8">
        <w:t xml:space="preserve"> </w:t>
      </w:r>
      <w:r w:rsidR="00022D56">
        <w:t>Stakeholders advocated for s</w:t>
      </w:r>
      <w:r w:rsidR="00DB0F71">
        <w:t>implif</w:t>
      </w:r>
      <w:r w:rsidR="00203A6E">
        <w:t>ying</w:t>
      </w:r>
      <w:r w:rsidR="00DB0F71">
        <w:t xml:space="preserve"> the model and strengthen</w:t>
      </w:r>
      <w:r w:rsidR="00203A6E">
        <w:t>ing</w:t>
      </w:r>
      <w:r w:rsidR="00DB0F71">
        <w:t xml:space="preserve"> implementation support </w:t>
      </w:r>
      <w:r w:rsidR="00085ED4">
        <w:t>to improve feasibility.</w:t>
      </w:r>
    </w:p>
    <w:p w14:paraId="32CD649A" w14:textId="121608A4" w:rsidR="008210F5" w:rsidRDefault="004B274C" w:rsidP="00252A5E">
      <w:r>
        <w:t xml:space="preserve">Broader </w:t>
      </w:r>
      <w:r w:rsidR="00F618FF">
        <w:t xml:space="preserve">sector-wide </w:t>
      </w:r>
      <w:r>
        <w:t>barriers</w:t>
      </w:r>
      <w:r w:rsidR="009C3242">
        <w:t>,</w:t>
      </w:r>
      <w:r w:rsidR="007F06CA">
        <w:t xml:space="preserve"> </w:t>
      </w:r>
      <w:r>
        <w:t>includ</w:t>
      </w:r>
      <w:r w:rsidR="007F06CA">
        <w:t>ing</w:t>
      </w:r>
      <w:r>
        <w:t xml:space="preserve"> </w:t>
      </w:r>
      <w:r w:rsidR="008D10BD">
        <w:t>workforce turnover, staff</w:t>
      </w:r>
      <w:r w:rsidR="007F06CA">
        <w:t>ing</w:t>
      </w:r>
      <w:r w:rsidR="008D10BD">
        <w:t xml:space="preserve"> shortages, and </w:t>
      </w:r>
      <w:r w:rsidR="00C015FA">
        <w:t>competing organisational priorities</w:t>
      </w:r>
      <w:r w:rsidR="007F06CA">
        <w:t>, were also reported to influence sustained participation</w:t>
      </w:r>
      <w:r w:rsidR="00C16034">
        <w:t>.</w:t>
      </w:r>
    </w:p>
    <w:p w14:paraId="3F0F800C" w14:textId="745735EF" w:rsidR="00CF6B00" w:rsidRPr="009F5798" w:rsidRDefault="007F06CA" w:rsidP="00CF6B00">
      <w:pPr>
        <w:pStyle w:val="Findings"/>
      </w:pPr>
      <w:r>
        <w:t>Evaluation findings indicated that s</w:t>
      </w:r>
      <w:r w:rsidR="00CF6B00">
        <w:t>ustained participation</w:t>
      </w:r>
      <w:r w:rsidR="00601168">
        <w:t xml:space="preserve"> in PACOP was enabled by </w:t>
      </w:r>
      <w:r w:rsidR="00CF6B00">
        <w:t xml:space="preserve">strong leadership commitment, </w:t>
      </w:r>
      <w:r w:rsidR="00F5174C">
        <w:t xml:space="preserve">allocation of </w:t>
      </w:r>
      <w:r w:rsidR="00CF6B00">
        <w:t>dedicated internal resourc</w:t>
      </w:r>
      <w:r w:rsidR="006667AC">
        <w:t>es</w:t>
      </w:r>
      <w:r w:rsidR="00CF6B00">
        <w:t>, and adaptation of the PACOP model to</w:t>
      </w:r>
      <w:r w:rsidR="006667AC">
        <w:t xml:space="preserve"> fit</w:t>
      </w:r>
      <w:r w:rsidR="00CF6B00">
        <w:t xml:space="preserve"> local workflows. However, tailoring the prescribed model to local contexts sometimes reduced benchmarking capability, </w:t>
      </w:r>
      <w:r w:rsidR="006667AC">
        <w:t>reflecting</w:t>
      </w:r>
      <w:r w:rsidR="00CF6B00">
        <w:t xml:space="preserve"> a trade-off some providers </w:t>
      </w:r>
      <w:r w:rsidR="006667AC">
        <w:t>accepted</w:t>
      </w:r>
      <w:r w:rsidR="00CF6B00">
        <w:t xml:space="preserve"> to achieve practical implementation</w:t>
      </w:r>
      <w:r w:rsidR="00CF6B00" w:rsidRPr="009F5798">
        <w:rPr>
          <w:lang w:eastAsia="en-AU"/>
        </w:rPr>
        <w:t>.</w:t>
      </w:r>
    </w:p>
    <w:p w14:paraId="3799446C" w14:textId="140699FF" w:rsidR="005C6A29" w:rsidRDefault="002C2C9D" w:rsidP="006D5682">
      <w:pPr>
        <w:pStyle w:val="Findings"/>
      </w:pPr>
      <w:r>
        <w:t xml:space="preserve">Persistent </w:t>
      </w:r>
      <w:r w:rsidR="002E2251">
        <w:t>IT integration issues and</w:t>
      </w:r>
      <w:r>
        <w:t xml:space="preserve"> the program</w:t>
      </w:r>
      <w:r w:rsidR="003863F5">
        <w:t>’</w:t>
      </w:r>
      <w:r>
        <w:t>s</w:t>
      </w:r>
      <w:r w:rsidR="002E2251">
        <w:t xml:space="preserve"> resource intensity were consistently identified as </w:t>
      </w:r>
      <w:r>
        <w:t>the most significant</w:t>
      </w:r>
      <w:r w:rsidR="007C5BC9">
        <w:t xml:space="preserve"> barriers to </w:t>
      </w:r>
      <w:r w:rsidR="007C5BC9">
        <w:lastRenderedPageBreak/>
        <w:t xml:space="preserve">sustained </w:t>
      </w:r>
      <w:r w:rsidR="005C6A29">
        <w:t>participation</w:t>
      </w:r>
      <w:r w:rsidR="00EB253F">
        <w:t xml:space="preserve"> in PACOP</w:t>
      </w:r>
      <w:r>
        <w:t>. These challenges created</w:t>
      </w:r>
      <w:r w:rsidR="005C6A29">
        <w:t xml:space="preserve"> administrative burden and </w:t>
      </w:r>
      <w:r>
        <w:t>impacted</w:t>
      </w:r>
      <w:r w:rsidR="005C6A29">
        <w:t xml:space="preserve"> benchmarking participation</w:t>
      </w:r>
      <w:r>
        <w:t xml:space="preserve">, </w:t>
      </w:r>
      <w:r w:rsidR="00275ECE">
        <w:t>suggesting a</w:t>
      </w:r>
      <w:r>
        <w:t xml:space="preserve"> </w:t>
      </w:r>
      <w:bookmarkStart w:id="88" w:name="_Hlk220579818"/>
      <w:r>
        <w:t xml:space="preserve">need for </w:t>
      </w:r>
      <w:r w:rsidR="00E45E85">
        <w:t>improved technology solutions</w:t>
      </w:r>
      <w:r w:rsidR="00BD5ED5">
        <w:t xml:space="preserve">, additional implementation support, and </w:t>
      </w:r>
      <w:r w:rsidR="002C2362">
        <w:t>simplification of the</w:t>
      </w:r>
      <w:r w:rsidR="00BD5ED5">
        <w:t xml:space="preserve"> program model</w:t>
      </w:r>
      <w:r w:rsidR="005C6A29">
        <w:t>.</w:t>
      </w:r>
      <w:bookmarkEnd w:id="88"/>
    </w:p>
    <w:p w14:paraId="7818BCB5" w14:textId="28E56F8D" w:rsidR="008C5283" w:rsidRPr="004E737E" w:rsidRDefault="00611866" w:rsidP="008C5283">
      <w:pPr>
        <w:pStyle w:val="Heading4"/>
        <w:rPr>
          <w:rStyle w:val="Bold"/>
          <w:b w:val="0"/>
          <w:bCs/>
        </w:rPr>
      </w:pPr>
      <w:r>
        <w:rPr>
          <w:rStyle w:val="Bold"/>
          <w:b w:val="0"/>
          <w:bCs/>
        </w:rPr>
        <w:t xml:space="preserve">Participation </w:t>
      </w:r>
      <w:r w:rsidR="00194EAA">
        <w:rPr>
          <w:rStyle w:val="Bold"/>
          <w:b w:val="0"/>
          <w:bCs/>
        </w:rPr>
        <w:t>in</w:t>
      </w:r>
      <w:r w:rsidR="00DD6DE6">
        <w:rPr>
          <w:rStyle w:val="Bold"/>
          <w:b w:val="0"/>
          <w:bCs/>
        </w:rPr>
        <w:t xml:space="preserve"> </w:t>
      </w:r>
      <w:r w:rsidR="008C5283" w:rsidRPr="004E737E">
        <w:rPr>
          <w:rStyle w:val="Bold"/>
          <w:b w:val="0"/>
          <w:bCs/>
        </w:rPr>
        <w:t>PACOP educational activities</w:t>
      </w:r>
    </w:p>
    <w:p w14:paraId="0E30CB75" w14:textId="53314E52" w:rsidR="005C61A6" w:rsidRDefault="008C5283" w:rsidP="008C5283">
      <w:r>
        <w:t>PACOP delivered a</w:t>
      </w:r>
      <w:r w:rsidR="00EF2B5E">
        <w:t>n</w:t>
      </w:r>
      <w:r>
        <w:t xml:space="preserve"> expanding suite of educational activities</w:t>
      </w:r>
      <w:r w:rsidR="00177290">
        <w:t xml:space="preserve"> that were adapted over time to accommodate provider needs and</w:t>
      </w:r>
      <w:r w:rsidR="00105CDC">
        <w:t xml:space="preserve"> the early impacts of the COVID-19 pandemic. P</w:t>
      </w:r>
      <w:r>
        <w:t>rogram data indicat</w:t>
      </w:r>
      <w:r w:rsidR="0050450F">
        <w:t>ed</w:t>
      </w:r>
      <w:r>
        <w:t xml:space="preserve"> strong uptake and engagement</w:t>
      </w:r>
      <w:r w:rsidR="00CD25FF">
        <w:t xml:space="preserve"> across multiple formats</w:t>
      </w:r>
      <w:r w:rsidR="005C61A6">
        <w:t>:</w:t>
      </w:r>
    </w:p>
    <w:p w14:paraId="75E0EDEB" w14:textId="5CF3BAEB" w:rsidR="005C61A6" w:rsidRDefault="005C61A6" w:rsidP="005C61A6">
      <w:pPr>
        <w:pStyle w:val="ListBullet"/>
      </w:pPr>
      <w:r>
        <w:t xml:space="preserve">workshops: </w:t>
      </w:r>
      <w:r w:rsidR="007D2921">
        <w:t>2,988 individuals (</w:t>
      </w:r>
      <w:r w:rsidR="007D2921">
        <w:fldChar w:fldCharType="begin"/>
      </w:r>
      <w:r w:rsidR="007D2921">
        <w:instrText xml:space="preserve"> REF _Ref216264461 \h </w:instrText>
      </w:r>
      <w:r w:rsidR="007D2921">
        <w:fldChar w:fldCharType="separate"/>
      </w:r>
      <w:r w:rsidR="00167BA0">
        <w:t xml:space="preserve">Table </w:t>
      </w:r>
      <w:r w:rsidR="00167BA0">
        <w:rPr>
          <w:noProof/>
        </w:rPr>
        <w:t>9</w:t>
      </w:r>
      <w:r w:rsidR="00167BA0">
        <w:t>.</w:t>
      </w:r>
      <w:r w:rsidR="00167BA0">
        <w:rPr>
          <w:noProof/>
        </w:rPr>
        <w:t>25</w:t>
      </w:r>
      <w:r w:rsidR="007D2921">
        <w:fldChar w:fldCharType="end"/>
      </w:r>
      <w:r w:rsidR="007D2921">
        <w:t xml:space="preserve">, </w:t>
      </w:r>
      <w:r w:rsidR="007D2921">
        <w:fldChar w:fldCharType="begin"/>
      </w:r>
      <w:r w:rsidR="007D2921">
        <w:instrText xml:space="preserve"> REF _Ref216865792 \n \h </w:instrText>
      </w:r>
      <w:r w:rsidR="007D2921">
        <w:fldChar w:fldCharType="separate"/>
      </w:r>
      <w:r w:rsidR="00167BA0">
        <w:t>Appendix D</w:t>
      </w:r>
      <w:r w:rsidR="007D2921">
        <w:fldChar w:fldCharType="end"/>
      </w:r>
      <w:r w:rsidR="007D2921">
        <w:t>)</w:t>
      </w:r>
      <w:r w:rsidR="000B0CB6">
        <w:t xml:space="preserve"> participated in </w:t>
      </w:r>
      <w:r w:rsidR="00896367">
        <w:t xml:space="preserve">155 </w:t>
      </w:r>
      <w:r w:rsidR="000111D2">
        <w:t xml:space="preserve">in-person and online workshops </w:t>
      </w:r>
      <w:r w:rsidR="00621516">
        <w:t>between 2022–23 and 2024–25</w:t>
      </w:r>
      <w:r w:rsidR="000B0CB6">
        <w:t xml:space="preserve"> </w:t>
      </w:r>
      <w:r w:rsidR="00621516">
        <w:t>(</w:t>
      </w:r>
      <w:r w:rsidR="00621516">
        <w:fldChar w:fldCharType="begin"/>
      </w:r>
      <w:r w:rsidR="00621516">
        <w:instrText xml:space="preserve"> REF _Ref216264409 \h </w:instrText>
      </w:r>
      <w:r w:rsidR="00621516">
        <w:fldChar w:fldCharType="separate"/>
      </w:r>
      <w:r w:rsidR="00167BA0">
        <w:t xml:space="preserve">Table </w:t>
      </w:r>
      <w:r w:rsidR="00167BA0">
        <w:rPr>
          <w:noProof/>
        </w:rPr>
        <w:t>9</w:t>
      </w:r>
      <w:r w:rsidR="00167BA0">
        <w:t>.</w:t>
      </w:r>
      <w:r w:rsidR="00167BA0">
        <w:rPr>
          <w:noProof/>
        </w:rPr>
        <w:t>24</w:t>
      </w:r>
      <w:r w:rsidR="00621516">
        <w:fldChar w:fldCharType="end"/>
      </w:r>
      <w:r w:rsidR="00621516">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rsidR="00621516">
        <w:t>)</w:t>
      </w:r>
    </w:p>
    <w:p w14:paraId="4FE3EE59" w14:textId="5C1F15E7" w:rsidR="004A64F1" w:rsidRDefault="004A64F1" w:rsidP="005C61A6">
      <w:pPr>
        <w:pStyle w:val="ListBullet"/>
      </w:pPr>
      <w:r>
        <w:t>online modules: introduced in 2023–24</w:t>
      </w:r>
      <w:r w:rsidR="008831F0">
        <w:t>; 470 enrolments by June 2025 (</w:t>
      </w:r>
      <w:r w:rsidR="008831F0">
        <w:fldChar w:fldCharType="begin"/>
      </w:r>
      <w:r w:rsidR="008831F0">
        <w:instrText xml:space="preserve"> REF _Ref216264480 \h </w:instrText>
      </w:r>
      <w:r w:rsidR="008831F0">
        <w:fldChar w:fldCharType="separate"/>
      </w:r>
      <w:r w:rsidR="00167BA0">
        <w:t xml:space="preserve">Table </w:t>
      </w:r>
      <w:r w:rsidR="00167BA0">
        <w:rPr>
          <w:noProof/>
        </w:rPr>
        <w:t>9</w:t>
      </w:r>
      <w:r w:rsidR="00167BA0">
        <w:t>.</w:t>
      </w:r>
      <w:r w:rsidR="00167BA0">
        <w:rPr>
          <w:noProof/>
        </w:rPr>
        <w:t>26</w:t>
      </w:r>
      <w:r w:rsidR="008831F0">
        <w:fldChar w:fldCharType="end"/>
      </w:r>
      <w:r w:rsidR="008831F0">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rsidR="008831F0">
        <w:t>)</w:t>
      </w:r>
    </w:p>
    <w:p w14:paraId="5DFFE047" w14:textId="7CA494AF" w:rsidR="008831F0" w:rsidRDefault="004E64DD" w:rsidP="005C61A6">
      <w:pPr>
        <w:pStyle w:val="ListBullet"/>
      </w:pPr>
      <w:r>
        <w:t xml:space="preserve">communities of practice: 238 sessions involving 2,056 participants from 248 homes (55% of registered homes; </w:t>
      </w:r>
      <w:r>
        <w:fldChar w:fldCharType="begin"/>
      </w:r>
      <w:r>
        <w:instrText xml:space="preserve"> REF _Ref216264497 \h </w:instrText>
      </w:r>
      <w:r>
        <w:fldChar w:fldCharType="separate"/>
      </w:r>
      <w:r w:rsidR="00167BA0">
        <w:t xml:space="preserve">Table </w:t>
      </w:r>
      <w:r w:rsidR="00167BA0">
        <w:rPr>
          <w:noProof/>
        </w:rPr>
        <w:t>9</w:t>
      </w:r>
      <w:r w:rsidR="00167BA0">
        <w:t>.</w:t>
      </w:r>
      <w:r w:rsidR="00167BA0">
        <w:rPr>
          <w:noProof/>
        </w:rPr>
        <w:t>27</w:t>
      </w:r>
      <w:r>
        <w:fldChar w:fldCharType="end"/>
      </w:r>
      <w:r>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t>).</w:t>
      </w:r>
    </w:p>
    <w:p w14:paraId="3CE1A6FE" w14:textId="447EF9F7" w:rsidR="008C5283" w:rsidRDefault="00E12E96" w:rsidP="008C5283">
      <w:r>
        <w:t xml:space="preserve">Face-to-face education was concentrated in </w:t>
      </w:r>
      <w:r w:rsidR="004942A7">
        <w:t>New South Wales but</w:t>
      </w:r>
      <w:r>
        <w:t xml:space="preserve"> </w:t>
      </w:r>
      <w:r w:rsidR="004942A7">
        <w:t xml:space="preserve">demonstrated </w:t>
      </w:r>
      <w:r>
        <w:t xml:space="preserve">reach </w:t>
      </w:r>
      <w:r w:rsidR="009732D0">
        <w:t>beyond</w:t>
      </w:r>
      <w:r w:rsidR="00983AAA">
        <w:t xml:space="preserve"> metropolitan</w:t>
      </w:r>
      <w:r w:rsidR="00E55891">
        <w:t xml:space="preserve"> areas </w:t>
      </w:r>
      <w:r w:rsidR="008C5283">
        <w:t>(</w:t>
      </w:r>
      <w:r w:rsidR="008C5283">
        <w:fldChar w:fldCharType="begin"/>
      </w:r>
      <w:r w:rsidR="008C5283">
        <w:instrText xml:space="preserve"> REF _Ref216264461 \h </w:instrText>
      </w:r>
      <w:r w:rsidR="008C5283">
        <w:fldChar w:fldCharType="separate"/>
      </w:r>
      <w:r w:rsidR="00167BA0">
        <w:t xml:space="preserve">Table </w:t>
      </w:r>
      <w:r w:rsidR="00167BA0">
        <w:rPr>
          <w:noProof/>
        </w:rPr>
        <w:t>9</w:t>
      </w:r>
      <w:r w:rsidR="00167BA0">
        <w:t>.</w:t>
      </w:r>
      <w:r w:rsidR="00167BA0">
        <w:rPr>
          <w:noProof/>
        </w:rPr>
        <w:t>25</w:t>
      </w:r>
      <w:r w:rsidR="008C5283">
        <w:fldChar w:fldCharType="end"/>
      </w:r>
      <w:r w:rsidR="008C5283">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rsidR="008C5283">
        <w:t>).</w:t>
      </w:r>
    </w:p>
    <w:p w14:paraId="38F523AB" w14:textId="3E5A52E5" w:rsidR="003A08C4" w:rsidRDefault="003A08C4" w:rsidP="003C516C">
      <w:r>
        <w:t>Several key barriers to engagement</w:t>
      </w:r>
      <w:r w:rsidR="00BF0D1D">
        <w:t xml:space="preserve"> in PACOP educational activities</w:t>
      </w:r>
      <w:r>
        <w:t xml:space="preserve"> were </w:t>
      </w:r>
      <w:r w:rsidR="00BF0D1D">
        <w:t>reported. These included</w:t>
      </w:r>
      <w:r w:rsidR="006722B1">
        <w:t xml:space="preserve"> limited</w:t>
      </w:r>
      <w:r>
        <w:t xml:space="preserve"> access to </w:t>
      </w:r>
      <w:r w:rsidR="006722B1">
        <w:t xml:space="preserve">follow-up </w:t>
      </w:r>
      <w:r>
        <w:t xml:space="preserve">education and training resources, </w:t>
      </w:r>
      <w:r w:rsidR="006722B1">
        <w:t xml:space="preserve">high </w:t>
      </w:r>
      <w:r>
        <w:t xml:space="preserve">workload, and staffing </w:t>
      </w:r>
      <w:r w:rsidR="006722B1">
        <w:t>constraints</w:t>
      </w:r>
      <w:r>
        <w:t xml:space="preserve"> (</w:t>
      </w:r>
      <w:r>
        <w:fldChar w:fldCharType="begin"/>
      </w:r>
      <w:r>
        <w:instrText xml:space="preserve"> REF _Ref216265007 \h </w:instrText>
      </w:r>
      <w:r>
        <w:fldChar w:fldCharType="separate"/>
      </w:r>
      <w:r w:rsidR="00167BA0">
        <w:t xml:space="preserve">Table </w:t>
      </w:r>
      <w:r w:rsidR="00167BA0">
        <w:rPr>
          <w:noProof/>
        </w:rPr>
        <w:t>9</w:t>
      </w:r>
      <w:r w:rsidR="00167BA0">
        <w:t>.</w:t>
      </w:r>
      <w:r w:rsidR="00167BA0">
        <w:rPr>
          <w:noProof/>
        </w:rPr>
        <w:t>30</w:t>
      </w:r>
      <w:r>
        <w:fldChar w:fldCharType="end"/>
      </w:r>
      <w:r>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t>).</w:t>
      </w:r>
    </w:p>
    <w:p w14:paraId="639D12C8" w14:textId="5578187D" w:rsidR="00DC49FC" w:rsidRDefault="008C5283" w:rsidP="003C516C">
      <w:r w:rsidRPr="0008346D">
        <w:t xml:space="preserve">Feedback from </w:t>
      </w:r>
      <w:r>
        <w:t>participant</w:t>
      </w:r>
      <w:r w:rsidRPr="0008346D">
        <w:t>s indicated high satisfaction</w:t>
      </w:r>
      <w:r w:rsidR="001F3378">
        <w:t xml:space="preserve"> with PACOP educational activities</w:t>
      </w:r>
      <w:r w:rsidRPr="0008346D">
        <w:t xml:space="preserve">. Approximately 95% of workshop </w:t>
      </w:r>
      <w:r w:rsidR="00091A24">
        <w:t xml:space="preserve">participants </w:t>
      </w:r>
      <w:r w:rsidRPr="0008346D">
        <w:t>and 90% of online module participants agreed their training experience was positive and that the content was appropriate</w:t>
      </w:r>
      <w:r>
        <w:t xml:space="preserve">. </w:t>
      </w:r>
      <w:r w:rsidR="004359F8">
        <w:t xml:space="preserve">Suggestions for improving PACOP educational activities </w:t>
      </w:r>
      <w:r w:rsidR="00D53FA9">
        <w:t>include expanding</w:t>
      </w:r>
      <w:r w:rsidR="0007322F">
        <w:t xml:space="preserve"> access to </w:t>
      </w:r>
      <w:r w:rsidR="00DC49FC">
        <w:t>on-site and refresher training</w:t>
      </w:r>
      <w:r w:rsidR="00D53FA9">
        <w:t xml:space="preserve"> and providing </w:t>
      </w:r>
      <w:r w:rsidR="00DC49FC">
        <w:t xml:space="preserve">ongoing </w:t>
      </w:r>
      <w:r w:rsidR="001D728B">
        <w:t>support for implementation</w:t>
      </w:r>
      <w:r w:rsidR="00DC49FC">
        <w:t>.</w:t>
      </w:r>
    </w:p>
    <w:p w14:paraId="0B459296" w14:textId="5522CA44" w:rsidR="00DC49FC" w:rsidRDefault="009E3C05" w:rsidP="00B635E7">
      <w:pPr>
        <w:pStyle w:val="Findings"/>
      </w:pPr>
      <w:r>
        <w:t>PACOP</w:t>
      </w:r>
      <w:r w:rsidR="003863F5">
        <w:t>’</w:t>
      </w:r>
      <w:r>
        <w:t xml:space="preserve">s educational activities were </w:t>
      </w:r>
      <w:r w:rsidR="00321DFF">
        <w:t>widely accessed and highly rated</w:t>
      </w:r>
      <w:r w:rsidR="00670E7E">
        <w:t xml:space="preserve"> by participants</w:t>
      </w:r>
      <w:r>
        <w:t xml:space="preserve">. </w:t>
      </w:r>
      <w:r w:rsidR="00B45ADA">
        <w:t>D</w:t>
      </w:r>
      <w:r>
        <w:t>elivery models</w:t>
      </w:r>
      <w:r w:rsidR="00B45ADA">
        <w:t xml:space="preserve"> were</w:t>
      </w:r>
      <w:r>
        <w:t xml:space="preserve"> adapted over time to meet sector needs</w:t>
      </w:r>
      <w:r w:rsidR="00433E00">
        <w:t xml:space="preserve"> and expand reach</w:t>
      </w:r>
      <w:r w:rsidR="00DC49FC">
        <w:t>.</w:t>
      </w:r>
    </w:p>
    <w:p w14:paraId="699F9D62" w14:textId="1A13D389" w:rsidR="00F17455" w:rsidRPr="00421A39" w:rsidRDefault="00DC49FC" w:rsidP="000A4635">
      <w:pPr>
        <w:pStyle w:val="Findings"/>
      </w:pPr>
      <w:r>
        <w:t>Reported barriers to engaging with</w:t>
      </w:r>
      <w:r w:rsidR="00433E00">
        <w:t xml:space="preserve"> PACOP</w:t>
      </w:r>
      <w:r>
        <w:t xml:space="preserve"> education</w:t>
      </w:r>
      <w:r w:rsidR="00433E00">
        <w:t>al activities</w:t>
      </w:r>
      <w:r>
        <w:t xml:space="preserve"> included access to training resources, </w:t>
      </w:r>
      <w:r w:rsidR="00090A26">
        <w:t xml:space="preserve">high </w:t>
      </w:r>
      <w:r>
        <w:t xml:space="preserve">workload, and staffing constraints. </w:t>
      </w:r>
      <w:r w:rsidR="00090A26">
        <w:t xml:space="preserve">Participants </w:t>
      </w:r>
      <w:r w:rsidR="00F51CE5">
        <w:t>highlighted the value of</w:t>
      </w:r>
      <w:r w:rsidR="009940BC">
        <w:t xml:space="preserve"> continued</w:t>
      </w:r>
      <w:r>
        <w:t xml:space="preserve"> access to training and dedicated implementation support</w:t>
      </w:r>
      <w:r w:rsidR="009E3C05">
        <w:t>.</w:t>
      </w:r>
    </w:p>
    <w:p w14:paraId="34E5E2D6" w14:textId="40AD9FD0" w:rsidR="00DE353D" w:rsidRDefault="00B93302" w:rsidP="006E5597">
      <w:pPr>
        <w:pStyle w:val="Heading1"/>
        <w:framePr w:wrap="around"/>
      </w:pPr>
      <w:bookmarkStart w:id="89" w:name="_Toc232685908"/>
      <w:r>
        <w:lastRenderedPageBreak/>
        <w:t>Effectiveness</w:t>
      </w:r>
      <w:bookmarkEnd w:id="89"/>
    </w:p>
    <w:p w14:paraId="13C2F7FC" w14:textId="77777777" w:rsidR="00BE59D9" w:rsidRPr="009E76BF" w:rsidRDefault="00BE59D9" w:rsidP="00BE59D9">
      <w:pPr>
        <w:rPr>
          <w:i/>
        </w:rPr>
      </w:pPr>
      <w:r>
        <w:t xml:space="preserve">This chapter focuses on KEA 3 Effectiveness: </w:t>
      </w:r>
      <w:r w:rsidRPr="009E76BF">
        <w:rPr>
          <w:i/>
          <w:iCs/>
        </w:rPr>
        <w:t>What difference is the Measure making?</w:t>
      </w:r>
    </w:p>
    <w:p w14:paraId="344224FF" w14:textId="59577D23" w:rsidR="00024E8C" w:rsidRDefault="00024E8C" w:rsidP="00024E8C">
      <w:r>
        <w:t xml:space="preserve">The </w:t>
      </w:r>
      <w:r w:rsidR="00DF36A2">
        <w:t>questions</w:t>
      </w:r>
      <w:r>
        <w:t xml:space="preserve"> to be addressed under KEA 3</w:t>
      </w:r>
      <w:r w:rsidR="0069508C">
        <w:t xml:space="preserve"> are:</w:t>
      </w:r>
    </w:p>
    <w:p w14:paraId="13796CDB" w14:textId="4C87FC7F" w:rsidR="00024E8C" w:rsidRDefault="0088779A" w:rsidP="00EE3EB9">
      <w:pPr>
        <w:pStyle w:val="List"/>
        <w:numPr>
          <w:ilvl w:val="0"/>
          <w:numId w:val="31"/>
        </w:numPr>
      </w:pPr>
      <w:r w:rsidRPr="00114FD9">
        <w:rPr>
          <w:lang w:eastAsia="zh-CN" w:bidi="th-TH"/>
        </w:rPr>
        <w:t>To what extent have activities under the Measure improved the knowledge, skills and confidence of the aged care and primary care workforce to deliver high-quality palliative care and advance care planning in the aged care system?</w:t>
      </w:r>
    </w:p>
    <w:p w14:paraId="09E47282" w14:textId="3A3CD76E" w:rsidR="0088779A" w:rsidRDefault="00E3285F" w:rsidP="00024E8C">
      <w:pPr>
        <w:pStyle w:val="List"/>
      </w:pPr>
      <w:r w:rsidRPr="00BA7153">
        <w:t>To what extent have the activities under the Measure supported the development of organisational capabilities and confidence to deliver high-quality palliative care?</w:t>
      </w:r>
    </w:p>
    <w:p w14:paraId="1992493F" w14:textId="13303D52" w:rsidR="00E3285F" w:rsidRDefault="00C144F3" w:rsidP="00024E8C">
      <w:pPr>
        <w:pStyle w:val="List"/>
      </w:pPr>
      <w:r w:rsidRPr="00BA7153">
        <w:t>To what extent has the Measure supported embedding quality improvement and outcomes (e.g. system improvement)?</w:t>
      </w:r>
    </w:p>
    <w:p w14:paraId="1EF90637" w14:textId="56D9C4DC" w:rsidR="00C144F3" w:rsidRDefault="00D3559A" w:rsidP="00024E8C">
      <w:pPr>
        <w:pStyle w:val="List"/>
      </w:pPr>
      <w:r w:rsidRPr="00BA7153">
        <w:t>To what extent has the Measure supported collaboration and integration between the aged care, primary care and palliative care sectors?</w:t>
      </w:r>
    </w:p>
    <w:p w14:paraId="381DB3F5" w14:textId="5310D0C2" w:rsidR="006B0D77" w:rsidRDefault="006B0D77" w:rsidP="00024E8C">
      <w:pPr>
        <w:pStyle w:val="List"/>
      </w:pPr>
      <w:r w:rsidRPr="00CA14CB">
        <w:rPr>
          <w:lang w:eastAsia="zh-CN" w:bidi="th-TH"/>
        </w:rPr>
        <w:t xml:space="preserve">How and to what extent do the activities under the Measure improve </w:t>
      </w:r>
      <w:r>
        <w:rPr>
          <w:lang w:eastAsia="zh-CN" w:bidi="th-TH"/>
        </w:rPr>
        <w:t>the health outcomes and quality of life of patients and families involved</w:t>
      </w:r>
      <w:r w:rsidRPr="00CA14CB">
        <w:rPr>
          <w:lang w:eastAsia="zh-CN" w:bidi="th-TH"/>
        </w:rPr>
        <w:t>?</w:t>
      </w:r>
    </w:p>
    <w:p w14:paraId="128984F9" w14:textId="75E508CD" w:rsidR="006B0D77" w:rsidRPr="003D7140" w:rsidRDefault="00AF1FDC" w:rsidP="00024E8C">
      <w:pPr>
        <w:pStyle w:val="List"/>
      </w:pPr>
      <w:r w:rsidRPr="003D7140">
        <w:t>Are there subgroups for which activities under the Measure provide more benefit (e.g. higher uptake or reinforcement of palliative care training, increased palliative care needs being met, improved health outcomes or quality of life)?</w:t>
      </w:r>
    </w:p>
    <w:p w14:paraId="3D271BDA" w14:textId="3C69555B" w:rsidR="00024E8C" w:rsidRPr="003D7140" w:rsidRDefault="00D8206B" w:rsidP="00D8206B">
      <w:pPr>
        <w:pStyle w:val="List"/>
      </w:pPr>
      <w:r w:rsidRPr="003D7140">
        <w:t>What factors have facilitated or hindered the effectiveness of the Measure</w:t>
      </w:r>
      <w:r w:rsidR="00024E8C" w:rsidRPr="003D7140">
        <w:t>?</w:t>
      </w:r>
    </w:p>
    <w:p w14:paraId="206440A1" w14:textId="77777777" w:rsidR="00024E8C" w:rsidRDefault="00024E8C" w:rsidP="00082DBB">
      <w:pPr>
        <w:pStyle w:val="SectionTitle"/>
        <w:keepNext/>
        <w:numPr>
          <w:ilvl w:val="0"/>
          <w:numId w:val="0"/>
        </w:numPr>
        <w:ind w:left="1871" w:hanging="1871"/>
      </w:pPr>
      <w:bookmarkStart w:id="90" w:name="_Toc232685909"/>
      <w:r>
        <w:t>Analysis and findings</w:t>
      </w:r>
      <w:bookmarkEnd w:id="90"/>
    </w:p>
    <w:p w14:paraId="48D8EA0D" w14:textId="04DA8969" w:rsidR="00A836C1" w:rsidRPr="004B2716" w:rsidRDefault="00A836C1" w:rsidP="00A836C1">
      <w:r>
        <w:t xml:space="preserve">The sections below </w:t>
      </w:r>
      <w:r w:rsidR="00FC7201">
        <w:t>examine the effectiveness of the Measure in achieving its intended outcomes</w:t>
      </w:r>
      <w:r w:rsidR="009775FF">
        <w:t>. It explores the extent to which the funded program</w:t>
      </w:r>
      <w:r w:rsidR="003E0B96">
        <w:t xml:space="preserve">s contributed to strengthening workforce capability, organisational </w:t>
      </w:r>
      <w:r w:rsidR="007D6F2B">
        <w:t>systems and capability, and</w:t>
      </w:r>
      <w:r w:rsidR="009775FF">
        <w:t xml:space="preserve"> </w:t>
      </w:r>
      <w:r w:rsidR="007D6F2B">
        <w:t xml:space="preserve">outcomes for older people and their </w:t>
      </w:r>
      <w:r w:rsidR="00AD30AD">
        <w:t xml:space="preserve">families. Findings presented in </w:t>
      </w:r>
      <w:r w:rsidR="00804614">
        <w:t xml:space="preserve">the </w:t>
      </w:r>
      <w:r w:rsidR="00973EF8">
        <w:t>sections below draw on triangulated evidence from multiple sources, including</w:t>
      </w:r>
      <w:r>
        <w:t xml:space="preserve"> the online survey, case studies, stakeholder interviews, and evaluation surveys conducted by PEPA Aged Care and PACOP.</w:t>
      </w:r>
    </w:p>
    <w:p w14:paraId="72C3D961" w14:textId="47A9921D" w:rsidR="00491C32" w:rsidRDefault="00491C32" w:rsidP="00491C32">
      <w:pPr>
        <w:pStyle w:val="Heading2"/>
      </w:pPr>
      <w:bookmarkStart w:id="91" w:name="_Toc232685910"/>
      <w:r>
        <w:t>PEPA Aged Care</w:t>
      </w:r>
      <w:bookmarkEnd w:id="91"/>
    </w:p>
    <w:p w14:paraId="7A640D7A" w14:textId="2973F2E2" w:rsidR="00FE2E09" w:rsidRDefault="00FE2E09" w:rsidP="00FE2E09">
      <w:r>
        <w:t>This section</w:t>
      </w:r>
      <w:r w:rsidR="00304595">
        <w:t xml:space="preserve"> examines </w:t>
      </w:r>
      <w:r w:rsidR="007C7A9A">
        <w:t xml:space="preserve">the extent to which </w:t>
      </w:r>
      <w:r w:rsidR="00B05B55">
        <w:t>PEPA Aged Care</w:t>
      </w:r>
      <w:r w:rsidR="007C7A9A">
        <w:t xml:space="preserve"> contributed to improving </w:t>
      </w:r>
      <w:r w:rsidR="006C089C">
        <w:t>workforce and organisational capability</w:t>
      </w:r>
      <w:r w:rsidR="00383556">
        <w:t xml:space="preserve"> in palliative care</w:t>
      </w:r>
      <w:r w:rsidR="006C089C">
        <w:t xml:space="preserve">, </w:t>
      </w:r>
      <w:r w:rsidR="0003533E">
        <w:t>system improvement, collaboration and integration across sectors</w:t>
      </w:r>
      <w:r w:rsidR="006C089C">
        <w:t>, and outcomes for older people and their families.</w:t>
      </w:r>
      <w:r w:rsidR="00F37E8E">
        <w:t xml:space="preserve"> The analysis also </w:t>
      </w:r>
      <w:r w:rsidR="0003533E">
        <w:t>explores</w:t>
      </w:r>
      <w:r w:rsidR="00F37E8E">
        <w:t xml:space="preserve"> variation in </w:t>
      </w:r>
      <w:r w:rsidR="0003533E">
        <w:t xml:space="preserve">observed </w:t>
      </w:r>
      <w:r w:rsidR="00F37E8E">
        <w:t xml:space="preserve">benefits across subgroups and </w:t>
      </w:r>
      <w:r w:rsidR="0003533E">
        <w:t>identifies</w:t>
      </w:r>
      <w:r w:rsidR="00F37E8E">
        <w:t xml:space="preserve"> factors influe</w:t>
      </w:r>
      <w:r w:rsidR="000E4EDD">
        <w:t xml:space="preserve">ncing </w:t>
      </w:r>
      <w:r w:rsidR="00D57144">
        <w:t>the program</w:t>
      </w:r>
      <w:r w:rsidR="003863F5">
        <w:t>’</w:t>
      </w:r>
      <w:r w:rsidR="00D57144">
        <w:t xml:space="preserve">s </w:t>
      </w:r>
      <w:r w:rsidR="000E4EDD">
        <w:t>effectiveness.</w:t>
      </w:r>
    </w:p>
    <w:p w14:paraId="0B69EC3B" w14:textId="7127E8C3" w:rsidR="00FE2E09" w:rsidRDefault="00F17D60" w:rsidP="00FE2E09">
      <w:pPr>
        <w:pStyle w:val="Heading3"/>
      </w:pPr>
      <w:bookmarkStart w:id="92" w:name="_Toc232685911"/>
      <w:r>
        <w:t>Improve</w:t>
      </w:r>
      <w:r w:rsidR="004C5FCE">
        <w:t>ments in</w:t>
      </w:r>
      <w:r>
        <w:t xml:space="preserve"> w</w:t>
      </w:r>
      <w:r w:rsidR="00FE2E09">
        <w:t>orkforce capability</w:t>
      </w:r>
      <w:bookmarkEnd w:id="92"/>
    </w:p>
    <w:p w14:paraId="376266D8" w14:textId="7D134F6D" w:rsidR="00321FCF" w:rsidRDefault="002D1AE3" w:rsidP="00024E8C">
      <w:r>
        <w:t xml:space="preserve">A </w:t>
      </w:r>
      <w:r w:rsidR="00D57144">
        <w:t>central</w:t>
      </w:r>
      <w:r>
        <w:t xml:space="preserve"> objective of PEPA Aged Care </w:t>
      </w:r>
      <w:r w:rsidR="0040309C">
        <w:t>was</w:t>
      </w:r>
      <w:r>
        <w:t xml:space="preserve"> to </w:t>
      </w:r>
      <w:r w:rsidR="007B3FA9">
        <w:t>strengthen</w:t>
      </w:r>
      <w:r>
        <w:t xml:space="preserve"> capability</w:t>
      </w:r>
      <w:r w:rsidR="007B3FA9">
        <w:t xml:space="preserve"> within the aged care workforce</w:t>
      </w:r>
      <w:r w:rsidR="00DC16B5">
        <w:t>.</w:t>
      </w:r>
      <w:r>
        <w:t xml:space="preserve"> </w:t>
      </w:r>
      <w:r w:rsidR="00C809F5" w:rsidRPr="00C809F5">
        <w:t xml:space="preserve">Evidence from the online survey, case studies, and </w:t>
      </w:r>
      <w:r w:rsidR="00DC3B87">
        <w:t xml:space="preserve">PEPA Aged Care </w:t>
      </w:r>
      <w:r w:rsidR="00C809F5" w:rsidRPr="00C809F5">
        <w:t xml:space="preserve">pre/post-placement </w:t>
      </w:r>
      <w:r w:rsidR="005433FA">
        <w:t xml:space="preserve">evaluation </w:t>
      </w:r>
      <w:r w:rsidR="00C809F5" w:rsidRPr="00C809F5">
        <w:t xml:space="preserve">surveys consistently </w:t>
      </w:r>
      <w:r w:rsidR="002C7B91">
        <w:t xml:space="preserve">indicated that the program </w:t>
      </w:r>
      <w:r w:rsidR="00F14614">
        <w:t xml:space="preserve">contributed to </w:t>
      </w:r>
      <w:r w:rsidR="003A7FE2">
        <w:t xml:space="preserve">perceived </w:t>
      </w:r>
      <w:r w:rsidR="00F27D5B">
        <w:t>improv</w:t>
      </w:r>
      <w:r w:rsidR="003A7FE2">
        <w:t>ements in</w:t>
      </w:r>
      <w:r w:rsidR="00F27D5B">
        <w:t xml:space="preserve"> workforce capability</w:t>
      </w:r>
      <w:r w:rsidR="00C97E67">
        <w:t xml:space="preserve">, particularly </w:t>
      </w:r>
      <w:r w:rsidR="002C7B91">
        <w:t>among</w:t>
      </w:r>
      <w:r w:rsidR="00C97E67">
        <w:t xml:space="preserve"> </w:t>
      </w:r>
      <w:r w:rsidR="00E64542">
        <w:t>nursing and non-clinical aged care staff</w:t>
      </w:r>
      <w:r w:rsidR="00DC3B87">
        <w:t>.</w:t>
      </w:r>
    </w:p>
    <w:p w14:paraId="74ABA9E6" w14:textId="711753CB" w:rsidR="00DE03D1" w:rsidRDefault="00DE03D1" w:rsidP="00DE03D1">
      <w:pPr>
        <w:pStyle w:val="Heading4"/>
      </w:pPr>
      <w:r>
        <w:lastRenderedPageBreak/>
        <w:t>Capability gains across core domains</w:t>
      </w:r>
    </w:p>
    <w:p w14:paraId="3B04EAD5" w14:textId="46E05AC3" w:rsidR="000F27E5" w:rsidRDefault="00AB0E16" w:rsidP="004D405E">
      <w:r>
        <w:t>T</w:t>
      </w:r>
      <w:r w:rsidR="00FF0553">
        <w:t xml:space="preserve">he majority of </w:t>
      </w:r>
      <w:r w:rsidR="00006003">
        <w:t>PEPA Aged Care respondents</w:t>
      </w:r>
      <w:r>
        <w:t xml:space="preserve"> to the online survey</w:t>
      </w:r>
      <w:r w:rsidR="00006003">
        <w:t xml:space="preserve"> </w:t>
      </w:r>
      <w:r w:rsidR="00FF0553">
        <w:t xml:space="preserve">(&gt;75%) </w:t>
      </w:r>
      <w:r w:rsidR="00006003">
        <w:t xml:space="preserve">reported moderate or significant </w:t>
      </w:r>
      <w:r w:rsidR="00BA2CC3">
        <w:t>improvement</w:t>
      </w:r>
      <w:r w:rsidR="00FF0553">
        <w:t>s</w:t>
      </w:r>
      <w:r w:rsidR="000F27E5">
        <w:t xml:space="preserve"> in the knowledge, skills, and confidence of </w:t>
      </w:r>
      <w:r w:rsidR="00825CD7">
        <w:t>their</w:t>
      </w:r>
      <w:r w:rsidR="000F27E5">
        <w:t xml:space="preserve"> staff</w:t>
      </w:r>
      <w:r w:rsidR="00BA2CC3">
        <w:t xml:space="preserve"> </w:t>
      </w:r>
      <w:r w:rsidR="00D03359">
        <w:t xml:space="preserve">in </w:t>
      </w:r>
      <w:r w:rsidR="002E5C9D">
        <w:t>core domains</w:t>
      </w:r>
      <w:r w:rsidR="00E60E70">
        <w:t xml:space="preserve"> of palliative care</w:t>
      </w:r>
      <w:r w:rsidR="002E5C9D">
        <w:t>, including</w:t>
      </w:r>
      <w:r w:rsidR="000F27E5">
        <w:t>:</w:t>
      </w:r>
    </w:p>
    <w:p w14:paraId="520BB544" w14:textId="7260383D" w:rsidR="00825CD7" w:rsidRDefault="00954B4F" w:rsidP="000F27E5">
      <w:pPr>
        <w:pStyle w:val="ListBullet"/>
      </w:pPr>
      <w:r>
        <w:t>identify</w:t>
      </w:r>
      <w:r w:rsidR="009B6F2D">
        <w:t>ing</w:t>
      </w:r>
      <w:r>
        <w:t xml:space="preserve"> palliative care needs</w:t>
      </w:r>
    </w:p>
    <w:p w14:paraId="52FCBAC1" w14:textId="50F96E04" w:rsidR="00825CD7" w:rsidRDefault="00825CD7" w:rsidP="000F27E5">
      <w:pPr>
        <w:pStyle w:val="ListBullet"/>
      </w:pPr>
      <w:r>
        <w:t>providing high-quality palliative care</w:t>
      </w:r>
    </w:p>
    <w:p w14:paraId="7075C69F" w14:textId="4923F975" w:rsidR="00825CD7" w:rsidRDefault="00825CD7" w:rsidP="000F27E5">
      <w:pPr>
        <w:pStyle w:val="ListBullet"/>
      </w:pPr>
      <w:r>
        <w:t>facilitating advance care planning</w:t>
      </w:r>
    </w:p>
    <w:p w14:paraId="43DE8374" w14:textId="532D7E6F" w:rsidR="00473A2B" w:rsidRDefault="00473A2B" w:rsidP="00473A2B">
      <w:pPr>
        <w:pStyle w:val="ListBullet"/>
      </w:pPr>
      <w:r>
        <w:t>collaborating with external services to deliver palliative care (</w:t>
      </w:r>
      <w:r>
        <w:fldChar w:fldCharType="begin"/>
      </w:r>
      <w:r>
        <w:instrText xml:space="preserve"> REF _Ref210806857 \h </w:instrText>
      </w:r>
      <w:r>
        <w:fldChar w:fldCharType="separate"/>
      </w:r>
      <w:r w:rsidR="00167BA0">
        <w:t xml:space="preserve">Figure </w:t>
      </w:r>
      <w:r w:rsidR="00167BA0">
        <w:rPr>
          <w:noProof/>
        </w:rPr>
        <w:t>6</w:t>
      </w:r>
      <w:r w:rsidR="00167BA0">
        <w:t>.</w:t>
      </w:r>
      <w:r w:rsidR="00167BA0">
        <w:rPr>
          <w:noProof/>
        </w:rPr>
        <w:t>1</w:t>
      </w:r>
      <w:r>
        <w:fldChar w:fldCharType="end"/>
      </w:r>
      <w:r>
        <w:t>).</w:t>
      </w:r>
    </w:p>
    <w:p w14:paraId="26E17291" w14:textId="4F5D1094" w:rsidR="00DB1522" w:rsidRDefault="00DB1522" w:rsidP="00DB1522">
      <w:pPr>
        <w:pStyle w:val="Caption"/>
      </w:pPr>
      <w:bookmarkStart w:id="93" w:name="_Ref210806857"/>
      <w:r>
        <w:t xml:space="preserve">Figure </w:t>
      </w:r>
      <w:fldSimple w:instr=" STYLEREF 1 \s ">
        <w:r w:rsidR="00167BA0">
          <w:rPr>
            <w:noProof/>
          </w:rPr>
          <w:t>6</w:t>
        </w:r>
      </w:fldSimple>
      <w:r w:rsidR="00DD3EB1">
        <w:t>.</w:t>
      </w:r>
      <w:fldSimple w:instr=" SEQ Figure \* ARABIC \s 1 ">
        <w:r w:rsidR="00167BA0">
          <w:rPr>
            <w:noProof/>
          </w:rPr>
          <w:t>1</w:t>
        </w:r>
      </w:fldSimple>
      <w:bookmarkEnd w:id="93"/>
      <w:r>
        <w:t>: Reported i</w:t>
      </w:r>
      <w:r w:rsidRPr="00C863E0">
        <w:t>mpact of P</w:t>
      </w:r>
      <w:r>
        <w:t>EPA Aged Care participation</w:t>
      </w:r>
      <w:r w:rsidRPr="00C863E0">
        <w:t xml:space="preserve"> on staff knowledge, skills, and confidence in delivering palliative care</w:t>
      </w:r>
      <w:r>
        <w:t xml:space="preserve"> (n=178)</w:t>
      </w:r>
    </w:p>
    <w:p w14:paraId="31F4FAEB" w14:textId="77777777" w:rsidR="00DB1522" w:rsidRDefault="00DB1522" w:rsidP="00DE34D2">
      <w:pPr>
        <w:jc w:val="center"/>
      </w:pPr>
      <w:r>
        <w:rPr>
          <w:noProof/>
        </w:rPr>
        <w:drawing>
          <wp:inline distT="0" distB="0" distL="0" distR="0" wp14:anchorId="3A5FFBC3" wp14:editId="0539B720">
            <wp:extent cx="4562475" cy="2793237"/>
            <wp:effectExtent l="0" t="0" r="0" b="7620"/>
            <wp:docPr id="868066287" name="Picture 8" descr="Figure 6.1 is a bar graph showing reported impact of PEPA Aged Care participation on staff knowledge, skills, and confidence in delivering palliative care (n=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66287" name="Picture 8" descr="Figure 6.1 is a bar graph showing reported impact of PEPA Aged Care participation on staff knowledge, skills, and confidence in delivering palliative care (n=17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80132" cy="2804047"/>
                    </a:xfrm>
                    <a:prstGeom prst="rect">
                      <a:avLst/>
                    </a:prstGeom>
                    <a:noFill/>
                  </pic:spPr>
                </pic:pic>
              </a:graphicData>
            </a:graphic>
          </wp:inline>
        </w:drawing>
      </w:r>
    </w:p>
    <w:p w14:paraId="5023DA5D" w14:textId="67DEBC55" w:rsidR="00B027D8" w:rsidRDefault="000F0F2D" w:rsidP="00A87C59">
      <w:pPr>
        <w:pStyle w:val="Tablenotes"/>
      </w:pPr>
      <w:r>
        <w:t xml:space="preserve">Source: </w:t>
      </w:r>
      <w:r w:rsidR="00A87C59">
        <w:t>HMA online survey, August 2025.</w:t>
      </w:r>
    </w:p>
    <w:p w14:paraId="027434ED" w14:textId="2C9A6410" w:rsidR="00894283" w:rsidRDefault="00B67670" w:rsidP="00894283">
      <w:r>
        <w:t>Similarly</w:t>
      </w:r>
      <w:r w:rsidR="00A21D98">
        <w:t>, p</w:t>
      </w:r>
      <w:r w:rsidR="00894283">
        <w:t>re/post-placement evaluation survey data</w:t>
      </w:r>
      <w:r w:rsidR="008C6214">
        <w:t xml:space="preserve"> collected by PEPA Aged Care</w:t>
      </w:r>
      <w:r w:rsidR="00894283">
        <w:t xml:space="preserve"> </w:t>
      </w:r>
      <w:r w:rsidR="00A21D98">
        <w:t>indicated</w:t>
      </w:r>
      <w:r w:rsidR="00894283">
        <w:t xml:space="preserve"> improvements across a range of </w:t>
      </w:r>
      <w:r w:rsidR="007C38A1">
        <w:t>key</w:t>
      </w:r>
      <w:r w:rsidR="00894283">
        <w:t xml:space="preserve"> domains</w:t>
      </w:r>
      <w:r w:rsidR="00841875">
        <w:t xml:space="preserve"> of palliative care </w:t>
      </w:r>
      <w:r w:rsidR="00841875">
        <w:t>knowledge and skills</w:t>
      </w:r>
      <w:r w:rsidR="00894283">
        <w:t xml:space="preserve"> (</w:t>
      </w:r>
      <w:r w:rsidR="00894283">
        <w:fldChar w:fldCharType="begin"/>
      </w:r>
      <w:r w:rsidR="00894283">
        <w:instrText xml:space="preserve"> REF _Ref215493967 \h </w:instrText>
      </w:r>
      <w:r w:rsidR="00894283">
        <w:fldChar w:fldCharType="separate"/>
      </w:r>
      <w:r w:rsidR="00167BA0">
        <w:t xml:space="preserve">Figure </w:t>
      </w:r>
      <w:r w:rsidR="00167BA0">
        <w:rPr>
          <w:noProof/>
        </w:rPr>
        <w:t>9</w:t>
      </w:r>
      <w:r w:rsidR="00167BA0">
        <w:t>.</w:t>
      </w:r>
      <w:r w:rsidR="00167BA0">
        <w:rPr>
          <w:noProof/>
        </w:rPr>
        <w:t>4</w:t>
      </w:r>
      <w:r w:rsidR="00894283">
        <w:fldChar w:fldCharType="end"/>
      </w:r>
      <w:r w:rsidR="00894283">
        <w:t xml:space="preserve">, </w:t>
      </w:r>
      <w:r w:rsidR="00894283">
        <w:fldChar w:fldCharType="begin"/>
      </w:r>
      <w:r w:rsidR="00894283">
        <w:instrText xml:space="preserve"> REF _Ref214614002 \n \h </w:instrText>
      </w:r>
      <w:r w:rsidR="00894283">
        <w:fldChar w:fldCharType="separate"/>
      </w:r>
      <w:r w:rsidR="00167BA0">
        <w:t>Appendix C</w:t>
      </w:r>
      <w:r w:rsidR="00894283">
        <w:fldChar w:fldCharType="end"/>
      </w:r>
      <w:r w:rsidR="00894283">
        <w:t xml:space="preserve">). Largest improvements were </w:t>
      </w:r>
      <w:r w:rsidR="00841875">
        <w:t>reported</w:t>
      </w:r>
      <w:r w:rsidR="00894283">
        <w:t xml:space="preserve"> in the ability to apply principles of culturally centred care (+17%), confidence in end-of-life discussions (+15%), and confidence in contacting external palliative care services (+12%).</w:t>
      </w:r>
    </w:p>
    <w:p w14:paraId="1F8E9541" w14:textId="06F01729" w:rsidR="00491C32" w:rsidRDefault="00A72F5C" w:rsidP="00A72F5C">
      <w:r w:rsidRPr="00A72F5C">
        <w:t>Qualitative evidence from case studies</w:t>
      </w:r>
      <w:r w:rsidR="00074E88">
        <w:t xml:space="preserve"> </w:t>
      </w:r>
      <w:r w:rsidR="005F2231">
        <w:t>(</w:t>
      </w:r>
      <w:r w:rsidR="005F7C47">
        <w:t>technical paper, Section 9.1</w:t>
      </w:r>
      <w:r w:rsidR="005F2231">
        <w:t xml:space="preserve">) </w:t>
      </w:r>
      <w:r w:rsidR="00451845">
        <w:t>and p</w:t>
      </w:r>
      <w:r w:rsidR="00451845" w:rsidRPr="001E0DCC">
        <w:t xml:space="preserve">ost-placement </w:t>
      </w:r>
      <w:r w:rsidR="00D875EC">
        <w:t xml:space="preserve">participant </w:t>
      </w:r>
      <w:r w:rsidR="00451845" w:rsidRPr="001E0DCC">
        <w:t>reflections</w:t>
      </w:r>
      <w:r w:rsidR="00451845">
        <w:t xml:space="preserve"> </w:t>
      </w:r>
      <w:r w:rsidR="005F2231">
        <w:t>(</w:t>
      </w:r>
      <w:r w:rsidR="005F2231">
        <w:fldChar w:fldCharType="begin"/>
      </w:r>
      <w:r w:rsidR="005F2231">
        <w:instrText xml:space="preserve"> REF _Ref215478204 \h </w:instrText>
      </w:r>
      <w:r w:rsidR="005F2231">
        <w:fldChar w:fldCharType="separate"/>
      </w:r>
      <w:r w:rsidR="00167BA0">
        <w:t xml:space="preserve">Table </w:t>
      </w:r>
      <w:r w:rsidR="00167BA0">
        <w:rPr>
          <w:noProof/>
        </w:rPr>
        <w:t>9</w:t>
      </w:r>
      <w:r w:rsidR="00167BA0">
        <w:t>.</w:t>
      </w:r>
      <w:r w:rsidR="00167BA0">
        <w:rPr>
          <w:noProof/>
        </w:rPr>
        <w:t>14</w:t>
      </w:r>
      <w:r w:rsidR="005F2231">
        <w:fldChar w:fldCharType="end"/>
      </w:r>
      <w:r w:rsidR="005F2231">
        <w:t xml:space="preserve">, </w:t>
      </w:r>
      <w:r w:rsidR="005F2231">
        <w:fldChar w:fldCharType="begin"/>
      </w:r>
      <w:r w:rsidR="005F2231">
        <w:instrText xml:space="preserve"> REF _Ref214614002 \n \h </w:instrText>
      </w:r>
      <w:r w:rsidR="005F2231">
        <w:fldChar w:fldCharType="separate"/>
      </w:r>
      <w:r w:rsidR="00167BA0">
        <w:t>Appendix C</w:t>
      </w:r>
      <w:r w:rsidR="005F2231">
        <w:fldChar w:fldCharType="end"/>
      </w:r>
      <w:r w:rsidR="005F2231">
        <w:t xml:space="preserve">) </w:t>
      </w:r>
      <w:r w:rsidR="00D875EC">
        <w:t>reinforced</w:t>
      </w:r>
      <w:r w:rsidR="00074E88">
        <w:t xml:space="preserve"> these findings</w:t>
      </w:r>
      <w:r w:rsidR="00FB53B3">
        <w:t>.</w:t>
      </w:r>
      <w:r w:rsidR="00563BE5">
        <w:t xml:space="preserve"> </w:t>
      </w:r>
      <w:r w:rsidR="007C4332">
        <w:t>C</w:t>
      </w:r>
      <w:r w:rsidR="00074E88">
        <w:t>ase stud</w:t>
      </w:r>
      <w:r w:rsidR="007C4332">
        <w:t>y sites consistently r</w:t>
      </w:r>
      <w:r w:rsidR="00074E88">
        <w:t>eport</w:t>
      </w:r>
      <w:r w:rsidR="00FB53B3">
        <w:t>ed</w:t>
      </w:r>
      <w:r w:rsidR="00074E88">
        <w:t xml:space="preserve"> </w:t>
      </w:r>
      <w:r w:rsidR="007C4332">
        <w:t>greater</w:t>
      </w:r>
      <w:r w:rsidR="00FB53B3">
        <w:t xml:space="preserve"> staff confidence and capability </w:t>
      </w:r>
      <w:r w:rsidR="00FB72AF" w:rsidRPr="00FB72AF">
        <w:t>in recognising deterioration, communicating with families, and facilitating advance care planning</w:t>
      </w:r>
      <w:r w:rsidR="00FB53B3">
        <w:t>.</w:t>
      </w:r>
    </w:p>
    <w:p w14:paraId="71C4673D" w14:textId="73DFE4A7" w:rsidR="00DD3E4C" w:rsidRDefault="00DD3E4C" w:rsidP="00DD3E4C">
      <w:pPr>
        <w:pStyle w:val="Quote"/>
      </w:pPr>
      <w:r w:rsidRPr="005A6817">
        <w:t>The staff say now that they feel confident in palliative care</w:t>
      </w:r>
      <w:r>
        <w:t xml:space="preserve"> … </w:t>
      </w:r>
      <w:r w:rsidR="00A6432D">
        <w:t>T</w:t>
      </w:r>
      <w:r w:rsidRPr="001A45CC">
        <w:t xml:space="preserve">he </w:t>
      </w:r>
      <w:r>
        <w:t>personal care workers</w:t>
      </w:r>
      <w:r w:rsidRPr="001A45CC">
        <w:t xml:space="preserve"> particularly felt more confident</w:t>
      </w:r>
      <w:r>
        <w:t xml:space="preserve"> … It </w:t>
      </w:r>
      <w:r w:rsidRPr="004D08FB">
        <w:t>was able to make people feel comfortable, give them the tools that they needed to be able to recognise and report</w:t>
      </w:r>
      <w:r>
        <w:t>. – PEPA Aged Care case study (case study 1)</w:t>
      </w:r>
    </w:p>
    <w:p w14:paraId="64D42C97" w14:textId="042E8909" w:rsidR="00F100D6" w:rsidRPr="00F100D6" w:rsidRDefault="00F100D6" w:rsidP="00F100D6">
      <w:r w:rsidRPr="00F100D6">
        <w:t xml:space="preserve">One </w:t>
      </w:r>
      <w:r w:rsidR="00376A5E">
        <w:t xml:space="preserve">case study </w:t>
      </w:r>
      <w:r w:rsidRPr="00F100D6">
        <w:t>site described how this confidence enabled rapid response to unexpected palliative care needs</w:t>
      </w:r>
      <w:r>
        <w:t xml:space="preserve"> for a new resident</w:t>
      </w:r>
      <w:r w:rsidRPr="00F100D6">
        <w:t>, resulting in a dignified end-of-life experience and positive family feedback</w:t>
      </w:r>
      <w:r w:rsidR="00CD04A5">
        <w:t>.</w:t>
      </w:r>
    </w:p>
    <w:p w14:paraId="5E2F72FC" w14:textId="5367A2BE" w:rsidR="003A026D" w:rsidRDefault="003A026D" w:rsidP="003A026D">
      <w:pPr>
        <w:pStyle w:val="Quote"/>
      </w:pPr>
      <w:r>
        <w:t>T</w:t>
      </w:r>
      <w:r w:rsidRPr="00491E09">
        <w:t xml:space="preserve">hat was </w:t>
      </w:r>
      <w:r>
        <w:t>a</w:t>
      </w:r>
      <w:r w:rsidRPr="00491E09">
        <w:t xml:space="preserve"> good example of the confidence that staff had in knowing</w:t>
      </w:r>
      <w:r>
        <w:t xml:space="preserve"> </w:t>
      </w:r>
      <w:r w:rsidRPr="00491E09">
        <w:t>what was happening and what they needed to do</w:t>
      </w:r>
      <w:r>
        <w:t>,</w:t>
      </w:r>
      <w:r w:rsidRPr="00491E09">
        <w:t xml:space="preserve"> even though we hadn</w:t>
      </w:r>
      <w:r w:rsidR="003863F5">
        <w:t>’</w:t>
      </w:r>
      <w:r w:rsidRPr="00491E09">
        <w:t>t been able to develop a relationship with her or her family</w:t>
      </w:r>
      <w:r>
        <w:t>,</w:t>
      </w:r>
      <w:r w:rsidRPr="00491E09">
        <w:t xml:space="preserve"> because she wasn</w:t>
      </w:r>
      <w:r w:rsidR="003863F5">
        <w:t>’</w:t>
      </w:r>
      <w:r w:rsidRPr="00491E09">
        <w:t xml:space="preserve">t a </w:t>
      </w:r>
      <w:r>
        <w:t>long-standing</w:t>
      </w:r>
      <w:r w:rsidRPr="00491E09">
        <w:t xml:space="preserve"> resident.</w:t>
      </w:r>
      <w:r>
        <w:t xml:space="preserve"> T</w:t>
      </w:r>
      <w:r w:rsidRPr="00C67C1D">
        <w:t xml:space="preserve">he feedback that came from </w:t>
      </w:r>
      <w:r>
        <w:t>the</w:t>
      </w:r>
      <w:r w:rsidRPr="00C67C1D">
        <w:t xml:space="preserve"> family</w:t>
      </w:r>
      <w:r>
        <w:t xml:space="preserve"> – they </w:t>
      </w:r>
      <w:r w:rsidRPr="00C67C1D">
        <w:t>were so impressed with how she was treated, with how they were treated</w:t>
      </w:r>
      <w:r>
        <w:t>,</w:t>
      </w:r>
      <w:r w:rsidRPr="00C67C1D">
        <w:t xml:space="preserve"> and how quickly things were put into place to support them.</w:t>
      </w:r>
      <w:r>
        <w:t xml:space="preserve"> – PEPA Aged Care case study (case study 4)</w:t>
      </w:r>
    </w:p>
    <w:p w14:paraId="6ADD3F4C" w14:textId="6F45392A" w:rsidR="00CA5741" w:rsidRDefault="00CA5741" w:rsidP="00F80CE5">
      <w:r>
        <w:t xml:space="preserve">Post-placement reflections </w:t>
      </w:r>
      <w:r w:rsidR="007E62FC">
        <w:t xml:space="preserve">from participants </w:t>
      </w:r>
      <w:r w:rsidR="00A36C3B">
        <w:t xml:space="preserve">also </w:t>
      </w:r>
      <w:r w:rsidR="005D2F03">
        <w:t xml:space="preserve">highlighted </w:t>
      </w:r>
      <w:r w:rsidR="00A36C3B">
        <w:t xml:space="preserve">informal </w:t>
      </w:r>
      <w:r w:rsidR="005D2F03">
        <w:t>knowledge-sharing behaviours</w:t>
      </w:r>
      <w:r w:rsidR="00A36C3B">
        <w:t xml:space="preserve"> among staff</w:t>
      </w:r>
      <w:r w:rsidR="005D2F03">
        <w:t xml:space="preserve">, suggesting a multiplier effect that extended beyond </w:t>
      </w:r>
      <w:r w:rsidR="005B0B74">
        <w:t xml:space="preserve">those </w:t>
      </w:r>
      <w:r w:rsidR="00A821B2">
        <w:t>directly</w:t>
      </w:r>
      <w:r w:rsidR="005D2F03">
        <w:t xml:space="preserve"> </w:t>
      </w:r>
      <w:r w:rsidR="005B0B74">
        <w:t xml:space="preserve">involved in </w:t>
      </w:r>
      <w:r w:rsidR="00A821B2">
        <w:t>reverse placements</w:t>
      </w:r>
      <w:r w:rsidR="005D2F03">
        <w:t xml:space="preserve">. </w:t>
      </w:r>
    </w:p>
    <w:p w14:paraId="39D85DA9" w14:textId="77777777" w:rsidR="005F2231" w:rsidRDefault="005F2231" w:rsidP="005F2231">
      <w:pPr>
        <w:pStyle w:val="Quote"/>
      </w:pPr>
      <w:r w:rsidRPr="007301C0">
        <w:lastRenderedPageBreak/>
        <w:t xml:space="preserve">I have discussed with colleagues </w:t>
      </w:r>
      <w:r>
        <w:t>regarding</w:t>
      </w:r>
      <w:r w:rsidRPr="007301C0">
        <w:t xml:space="preserve"> the information I learnt within the PEPA training and have helped to better their knowledge as well as my own</w:t>
      </w:r>
      <w:r>
        <w:t xml:space="preserve"> – PEPA Aged Care participant</w:t>
      </w:r>
    </w:p>
    <w:p w14:paraId="640213BA" w14:textId="08390709" w:rsidR="005F2231" w:rsidRDefault="005F2231" w:rsidP="005F2231">
      <w:pPr>
        <w:pStyle w:val="Heading4"/>
      </w:pPr>
      <w:r>
        <w:t xml:space="preserve">Variation in benefit across </w:t>
      </w:r>
      <w:r w:rsidR="008C6214">
        <w:t>workforce streams</w:t>
      </w:r>
    </w:p>
    <w:p w14:paraId="20A13B12" w14:textId="7C1DA05F" w:rsidR="0001697E" w:rsidRDefault="005F2231" w:rsidP="00C92A10">
      <w:r>
        <w:t xml:space="preserve">Analysis of participation and online survey data </w:t>
      </w:r>
      <w:r w:rsidR="00586354">
        <w:t>(</w:t>
      </w:r>
      <w:r w:rsidR="00563BE5">
        <w:t xml:space="preserve">technical paper, </w:t>
      </w:r>
      <w:r w:rsidR="008F245F">
        <w:t>Figure 5.3</w:t>
      </w:r>
      <w:r w:rsidR="00586354">
        <w:t xml:space="preserve">) suggested </w:t>
      </w:r>
      <w:r>
        <w:t xml:space="preserve">that </w:t>
      </w:r>
      <w:r w:rsidR="00586354">
        <w:t>the program</w:t>
      </w:r>
      <w:r w:rsidR="003863F5">
        <w:t>’</w:t>
      </w:r>
      <w:r w:rsidR="00586354">
        <w:t xml:space="preserve">s </w:t>
      </w:r>
      <w:r>
        <w:t>benefits were</w:t>
      </w:r>
      <w:r w:rsidR="009C32A6">
        <w:t xml:space="preserve"> likely concentrated among staff directly involved in day-to-day care</w:t>
      </w:r>
      <w:r w:rsidR="00BB33A9">
        <w:t>, including</w:t>
      </w:r>
      <w:r w:rsidR="00707352">
        <w:t xml:space="preserve"> registered nurses, enrolled nurses, and personal care workers</w:t>
      </w:r>
      <w:r w:rsidR="00BB33A9">
        <w:t xml:space="preserve">. </w:t>
      </w:r>
      <w:r w:rsidR="00955514">
        <w:t xml:space="preserve">These groups </w:t>
      </w:r>
      <w:r w:rsidR="00AE56AF">
        <w:t>represented</w:t>
      </w:r>
      <w:r w:rsidR="00955514">
        <w:t xml:space="preserve"> </w:t>
      </w:r>
      <w:proofErr w:type="gramStart"/>
      <w:r w:rsidR="00955514">
        <w:t>the majority of</w:t>
      </w:r>
      <w:proofErr w:type="gramEnd"/>
      <w:r w:rsidR="00955514">
        <w:t xml:space="preserve"> participants (see Section 5.2.2) and were </w:t>
      </w:r>
      <w:r w:rsidR="00FA22E9">
        <w:t>identified</w:t>
      </w:r>
      <w:r w:rsidR="00955514">
        <w:t xml:space="preserve"> by survey respondents </w:t>
      </w:r>
      <w:r w:rsidR="00FA22E9">
        <w:t>as deriving</w:t>
      </w:r>
      <w:r w:rsidR="00C92A10">
        <w:t xml:space="preserve"> the </w:t>
      </w:r>
      <w:r w:rsidR="00FA22E9">
        <w:t>greatest benefit</w:t>
      </w:r>
      <w:r w:rsidR="00C92A10">
        <w:t xml:space="preserve"> from PEPA Aged Care, </w:t>
      </w:r>
      <w:r w:rsidR="00240A12">
        <w:t>reflecting both</w:t>
      </w:r>
      <w:r w:rsidR="003C5958">
        <w:t xml:space="preserve"> higher demand and need </w:t>
      </w:r>
      <w:r w:rsidR="00D4089D">
        <w:t>within</w:t>
      </w:r>
      <w:r w:rsidR="003C5958">
        <w:t xml:space="preserve"> these </w:t>
      </w:r>
      <w:r w:rsidR="00D4089D">
        <w:t>roles</w:t>
      </w:r>
      <w:r w:rsidR="00C92A10">
        <w:t xml:space="preserve">. Survey </w:t>
      </w:r>
      <w:r w:rsidR="00D4089D">
        <w:t>respondents</w:t>
      </w:r>
      <w:r w:rsidR="00C92A10">
        <w:t xml:space="preserve"> also </w:t>
      </w:r>
      <w:r w:rsidR="00D4089D">
        <w:t>indicated</w:t>
      </w:r>
      <w:r w:rsidR="0028365E">
        <w:t xml:space="preserve"> that </w:t>
      </w:r>
      <w:r w:rsidR="00C92A10">
        <w:t xml:space="preserve">staff with limited prior palliative care experience may </w:t>
      </w:r>
      <w:r w:rsidR="00D4089D">
        <w:t>gain</w:t>
      </w:r>
      <w:r w:rsidR="009C4230">
        <w:t xml:space="preserve"> </w:t>
      </w:r>
      <w:proofErr w:type="gramStart"/>
      <w:r w:rsidR="009C4230">
        <w:t>particular</w:t>
      </w:r>
      <w:r w:rsidR="00C92A10">
        <w:t xml:space="preserve"> </w:t>
      </w:r>
      <w:r w:rsidR="00D4089D">
        <w:t>value</w:t>
      </w:r>
      <w:proofErr w:type="gramEnd"/>
      <w:r w:rsidR="00C92A10">
        <w:t xml:space="preserve"> from the program</w:t>
      </w:r>
      <w:r w:rsidR="00F7620D">
        <w:t>.</w:t>
      </w:r>
    </w:p>
    <w:p w14:paraId="2B3ED94D" w14:textId="11786123" w:rsidR="005F2231" w:rsidRDefault="008304D5" w:rsidP="006D3E4F">
      <w:r>
        <w:t xml:space="preserve">Around 40% of online survey respondents also </w:t>
      </w:r>
      <w:r w:rsidR="003F66C4">
        <w:t>identified potential benefits for</w:t>
      </w:r>
      <w:r>
        <w:t xml:space="preserve"> </w:t>
      </w:r>
      <w:r w:rsidR="004E369C">
        <w:t>allied health professionals</w:t>
      </w:r>
      <w:r w:rsidR="003F66C4">
        <w:t xml:space="preserve"> and</w:t>
      </w:r>
      <w:r w:rsidR="003D6B1E">
        <w:t xml:space="preserve"> one-quarter for GPs and other medical professionals</w:t>
      </w:r>
      <w:r w:rsidR="003D4983">
        <w:t xml:space="preserve"> (</w:t>
      </w:r>
      <w:r w:rsidR="008F245F">
        <w:t>technical paper, Figure 5.3</w:t>
      </w:r>
      <w:r w:rsidR="003D4983">
        <w:t xml:space="preserve">). However, </w:t>
      </w:r>
      <w:r w:rsidR="006D3E4F">
        <w:t>participation among these groups was minimal</w:t>
      </w:r>
      <w:r w:rsidR="0076344E">
        <w:t xml:space="preserve"> (see Section 5.2.2)</w:t>
      </w:r>
      <w:r w:rsidR="006D3E4F">
        <w:t>.</w:t>
      </w:r>
    </w:p>
    <w:p w14:paraId="670DB0A6" w14:textId="2A6ED277" w:rsidR="00C026E8" w:rsidRDefault="0042122D" w:rsidP="00120E73">
      <w:pPr>
        <w:pStyle w:val="Findings"/>
      </w:pPr>
      <w:r>
        <w:t>There was evidence that</w:t>
      </w:r>
      <w:r w:rsidR="00C534C4">
        <w:t xml:space="preserve"> PEPA Aged Care </w:t>
      </w:r>
      <w:r w:rsidR="00F52E0C">
        <w:t xml:space="preserve">contributed to </w:t>
      </w:r>
      <w:r w:rsidR="00F00102">
        <w:t>perceived improvements in</w:t>
      </w:r>
      <w:r w:rsidR="00EB3F72">
        <w:t xml:space="preserve"> core palliative care knowledge and capabilities</w:t>
      </w:r>
      <w:r w:rsidR="00F00102">
        <w:t>, particularly</w:t>
      </w:r>
      <w:r w:rsidR="00E76FC8">
        <w:t xml:space="preserve"> among nursing and personal care staff</w:t>
      </w:r>
      <w:r w:rsidR="00F00102">
        <w:t>. Reported benefits were more</w:t>
      </w:r>
      <w:r w:rsidR="00A87E50">
        <w:t xml:space="preserve"> limited </w:t>
      </w:r>
      <w:r w:rsidR="00F00102">
        <w:t xml:space="preserve">among </w:t>
      </w:r>
      <w:r w:rsidR="00A87E50">
        <w:t>other health professional groups</w:t>
      </w:r>
      <w:r w:rsidR="00F00102">
        <w:t>, likely reflecting lower levels of participation</w:t>
      </w:r>
      <w:r w:rsidR="00A87E50">
        <w:t>.</w:t>
      </w:r>
    </w:p>
    <w:p w14:paraId="1CE7E0CD" w14:textId="52193623" w:rsidR="007B0A65" w:rsidRDefault="007B0A65" w:rsidP="007B0A65">
      <w:pPr>
        <w:pStyle w:val="Heading3"/>
      </w:pPr>
      <w:bookmarkStart w:id="94" w:name="_Toc232685912"/>
      <w:r>
        <w:t>Improve</w:t>
      </w:r>
      <w:r w:rsidR="004C5FCE">
        <w:t>ments in</w:t>
      </w:r>
      <w:r>
        <w:t xml:space="preserve"> organisational capability</w:t>
      </w:r>
      <w:r w:rsidR="00CE663B">
        <w:t>,</w:t>
      </w:r>
      <w:r w:rsidR="002739C7">
        <w:t xml:space="preserve"> </w:t>
      </w:r>
      <w:r w:rsidR="007A4AE8">
        <w:t>quality improvement</w:t>
      </w:r>
      <w:r w:rsidR="00CE663B">
        <w:t>, and collaboration</w:t>
      </w:r>
      <w:bookmarkEnd w:id="94"/>
    </w:p>
    <w:p w14:paraId="214FD854" w14:textId="733A9623" w:rsidR="001A1652" w:rsidRPr="001A1652" w:rsidRDefault="001A1652" w:rsidP="002F575B">
      <w:r w:rsidRPr="001A1652">
        <w:t xml:space="preserve">Evidence from surveys, case studies, and stakeholder interviews indicates that </w:t>
      </w:r>
      <w:r w:rsidR="008C6214">
        <w:t>PEPA Aged Care</w:t>
      </w:r>
      <w:r w:rsidR="00085010">
        <w:t xml:space="preserve"> contributed to</w:t>
      </w:r>
      <w:r w:rsidRPr="001A1652">
        <w:t xml:space="preserve"> </w:t>
      </w:r>
      <w:r w:rsidR="00BE0746">
        <w:t>strengthen</w:t>
      </w:r>
      <w:r w:rsidR="00085010">
        <w:t>ing</w:t>
      </w:r>
      <w:r w:rsidR="00BE0746">
        <w:t xml:space="preserve"> organisational capability, foster</w:t>
      </w:r>
      <w:r w:rsidR="00085010">
        <w:t>ing</w:t>
      </w:r>
      <w:r w:rsidR="00BE0746">
        <w:t xml:space="preserve"> a culture of </w:t>
      </w:r>
      <w:r w:rsidR="00811E57">
        <w:t xml:space="preserve">quality </w:t>
      </w:r>
      <w:r w:rsidR="00BE0746">
        <w:t>improvement, and improv</w:t>
      </w:r>
      <w:r w:rsidR="00085010">
        <w:t>ing</w:t>
      </w:r>
      <w:r w:rsidR="00BE0746" w:rsidRPr="00AB575F">
        <w:rPr>
          <w:lang w:eastAsia="en-AU"/>
        </w:rPr>
        <w:t xml:space="preserve"> collaboration with external providers</w:t>
      </w:r>
      <w:r w:rsidR="00085010">
        <w:rPr>
          <w:lang w:eastAsia="en-AU"/>
        </w:rPr>
        <w:t xml:space="preserve"> among participating sites</w:t>
      </w:r>
      <w:r w:rsidR="00F361DC">
        <w:t>.</w:t>
      </w:r>
      <w:r w:rsidR="009863B8">
        <w:t xml:space="preserve"> However, p</w:t>
      </w:r>
      <w:r w:rsidR="00AB5377">
        <w:t xml:space="preserve">articipation data </w:t>
      </w:r>
      <w:r w:rsidR="00AB5377">
        <w:t>indicated that these organisational benefits may not be evenly distributed across the aged care sector, with most placements occurring in residential aged care</w:t>
      </w:r>
      <w:r w:rsidR="00085010">
        <w:t xml:space="preserve"> settings</w:t>
      </w:r>
      <w:r w:rsidR="00AB5377">
        <w:t xml:space="preserve"> (</w:t>
      </w:r>
      <w:r w:rsidR="00AB5377">
        <w:fldChar w:fldCharType="begin"/>
      </w:r>
      <w:r w:rsidR="00AB5377">
        <w:instrText xml:space="preserve"> REF _Ref214889794 \h </w:instrText>
      </w:r>
      <w:r w:rsidR="00AB5377">
        <w:fldChar w:fldCharType="separate"/>
      </w:r>
      <w:r w:rsidR="00167BA0">
        <w:t xml:space="preserve">Table </w:t>
      </w:r>
      <w:r w:rsidR="00167BA0">
        <w:rPr>
          <w:noProof/>
        </w:rPr>
        <w:t>9</w:t>
      </w:r>
      <w:r w:rsidR="00167BA0">
        <w:t>.</w:t>
      </w:r>
      <w:r w:rsidR="00167BA0">
        <w:rPr>
          <w:noProof/>
        </w:rPr>
        <w:t>8</w:t>
      </w:r>
      <w:r w:rsidR="00AB5377">
        <w:fldChar w:fldCharType="end"/>
      </w:r>
      <w:r w:rsidR="00AB5377">
        <w:t xml:space="preserve">, </w:t>
      </w:r>
      <w:r w:rsidR="00AB5377">
        <w:fldChar w:fldCharType="begin"/>
      </w:r>
      <w:r w:rsidR="00AB5377">
        <w:instrText xml:space="preserve"> REF _Ref214614002 \n \h </w:instrText>
      </w:r>
      <w:r w:rsidR="00AB5377">
        <w:fldChar w:fldCharType="separate"/>
      </w:r>
      <w:r w:rsidR="00167BA0">
        <w:t>Appendix C</w:t>
      </w:r>
      <w:r w:rsidR="00AB5377">
        <w:fldChar w:fldCharType="end"/>
      </w:r>
      <w:r w:rsidR="00AB5377">
        <w:t>). As discussed in Section 5.2.2, participation among home and community care services was limited</w:t>
      </w:r>
      <w:r w:rsidR="006164E3">
        <w:t>.</w:t>
      </w:r>
    </w:p>
    <w:p w14:paraId="2F19A593" w14:textId="7CFDA03B" w:rsidR="003D46D9" w:rsidRDefault="003D46D9" w:rsidP="003D46D9">
      <w:pPr>
        <w:pStyle w:val="Heading4"/>
      </w:pPr>
      <w:r>
        <w:t>Organisational capability gains</w:t>
      </w:r>
    </w:p>
    <w:p w14:paraId="3B17EE6B" w14:textId="74866C13" w:rsidR="0010325E" w:rsidRDefault="00745DAE" w:rsidP="00B93302">
      <w:r>
        <w:t xml:space="preserve">Survey and case study evidence </w:t>
      </w:r>
      <w:r w:rsidRPr="00745DAE">
        <w:t>indicated that PEPA Aged Care contributed to building organisational capability and integrating palliative care into core business</w:t>
      </w:r>
      <w:r w:rsidR="005A200D">
        <w:t xml:space="preserve"> among participating sites</w:t>
      </w:r>
      <w:r>
        <w:t xml:space="preserve">. </w:t>
      </w:r>
      <w:r w:rsidR="00207F83">
        <w:t xml:space="preserve">As shown in </w:t>
      </w:r>
      <w:r w:rsidR="00207F83">
        <w:fldChar w:fldCharType="begin"/>
      </w:r>
      <w:r w:rsidR="00207F83">
        <w:instrText xml:space="preserve"> REF _Ref215480600 \h </w:instrText>
      </w:r>
      <w:r w:rsidR="00207F83">
        <w:fldChar w:fldCharType="separate"/>
      </w:r>
      <w:r w:rsidR="00167BA0">
        <w:t xml:space="preserve">Figure </w:t>
      </w:r>
      <w:r w:rsidR="00167BA0">
        <w:rPr>
          <w:noProof/>
        </w:rPr>
        <w:t>6</w:t>
      </w:r>
      <w:r w:rsidR="00167BA0">
        <w:t>.</w:t>
      </w:r>
      <w:r w:rsidR="00167BA0">
        <w:rPr>
          <w:noProof/>
        </w:rPr>
        <w:t>2</w:t>
      </w:r>
      <w:r w:rsidR="00207F83">
        <w:fldChar w:fldCharType="end"/>
      </w:r>
      <w:r w:rsidR="00207F83">
        <w:t>, m</w:t>
      </w:r>
      <w:r w:rsidR="00666AA1">
        <w:t>ore than three-quarters of</w:t>
      </w:r>
      <w:r w:rsidR="004B5F8C">
        <w:t xml:space="preserve"> PEPA Aged Care </w:t>
      </w:r>
      <w:r w:rsidR="00CF116A">
        <w:t xml:space="preserve">survey </w:t>
      </w:r>
      <w:r w:rsidR="005F0697">
        <w:t xml:space="preserve">respondents </w:t>
      </w:r>
      <w:r w:rsidR="004B5F8C">
        <w:t xml:space="preserve">reported the program had </w:t>
      </w:r>
      <w:r w:rsidR="00BA1591">
        <w:t xml:space="preserve">a </w:t>
      </w:r>
      <w:r w:rsidR="004B5F8C">
        <w:t>moderate or significant positive impact on</w:t>
      </w:r>
      <w:r w:rsidR="00C20ACB">
        <w:t xml:space="preserve"> </w:t>
      </w:r>
      <w:r w:rsidR="002C1D9F">
        <w:t xml:space="preserve">organisational capability </w:t>
      </w:r>
      <w:r w:rsidR="00C20ACB">
        <w:t>to deliver</w:t>
      </w:r>
      <w:r w:rsidR="002C1D9F">
        <w:t xml:space="preserve"> high-quality palliative care</w:t>
      </w:r>
      <w:r w:rsidR="00C20ACB">
        <w:t xml:space="preserve">, </w:t>
      </w:r>
      <w:r w:rsidR="00E60FFD">
        <w:t>integration of palliative care into core business</w:t>
      </w:r>
      <w:r w:rsidR="00C20ACB">
        <w:t xml:space="preserve">, and overall organisational </w:t>
      </w:r>
      <w:r w:rsidR="00E60FFD">
        <w:t>culture around palliative care</w:t>
      </w:r>
      <w:r w:rsidR="006C5F71">
        <w:t xml:space="preserve"> and quality improvement</w:t>
      </w:r>
      <w:r w:rsidR="00E60FFD">
        <w:t>.</w:t>
      </w:r>
      <w:r w:rsidR="00BA1591">
        <w:t xml:space="preserve"> </w:t>
      </w:r>
      <w:proofErr w:type="gramStart"/>
      <w:r w:rsidR="00255822">
        <w:t>The majority of</w:t>
      </w:r>
      <w:proofErr w:type="gramEnd"/>
      <w:r w:rsidR="00255822">
        <w:t xml:space="preserve"> r</w:t>
      </w:r>
      <w:r w:rsidR="002C1D9F">
        <w:t xml:space="preserve">espondents also cited </w:t>
      </w:r>
      <w:r w:rsidR="00255822">
        <w:t>positive impacts on</w:t>
      </w:r>
      <w:r w:rsidR="002C1D9F">
        <w:t xml:space="preserve"> the quality of palliative and end-of-life care plans and advance care planning documentation. </w:t>
      </w:r>
      <w:r w:rsidR="00F802C2">
        <w:t xml:space="preserve">These findings suggest that PEPA Aged Care influenced both </w:t>
      </w:r>
      <w:r w:rsidR="00EA20C9">
        <w:t xml:space="preserve">palliative care </w:t>
      </w:r>
      <w:r w:rsidR="00F802C2">
        <w:t xml:space="preserve">practice and </w:t>
      </w:r>
      <w:r w:rsidR="00EA20C9">
        <w:t>culture within participating sites</w:t>
      </w:r>
      <w:r w:rsidR="00F802C2">
        <w:t>.</w:t>
      </w:r>
    </w:p>
    <w:p w14:paraId="4919906B" w14:textId="6B322BC5" w:rsidR="00E60FFD" w:rsidRDefault="00E60FFD" w:rsidP="00E60FFD">
      <w:pPr>
        <w:pStyle w:val="Caption"/>
      </w:pPr>
      <w:bookmarkStart w:id="95" w:name="_Ref215480600"/>
      <w:r>
        <w:lastRenderedPageBreak/>
        <w:t xml:space="preserve">Figure </w:t>
      </w:r>
      <w:fldSimple w:instr=" STYLEREF 1 \s ">
        <w:r w:rsidR="00167BA0">
          <w:rPr>
            <w:noProof/>
          </w:rPr>
          <w:t>6</w:t>
        </w:r>
      </w:fldSimple>
      <w:r w:rsidR="00DD3EB1">
        <w:t>.</w:t>
      </w:r>
      <w:fldSimple w:instr=" SEQ Figure \* ARABIC \s 1 ">
        <w:r w:rsidR="00167BA0">
          <w:rPr>
            <w:noProof/>
          </w:rPr>
          <w:t>2</w:t>
        </w:r>
      </w:fldSimple>
      <w:bookmarkEnd w:id="95"/>
      <w:r>
        <w:t xml:space="preserve">: Reported impacts of PEPA Aged Care on </w:t>
      </w:r>
      <w:r w:rsidR="00E30F04">
        <w:t>the</w:t>
      </w:r>
      <w:r w:rsidR="00940E5A">
        <w:t xml:space="preserve"> quality,</w:t>
      </w:r>
      <w:r w:rsidR="00E30F04">
        <w:t xml:space="preserve"> </w:t>
      </w:r>
      <w:r>
        <w:t>integration, capability, and culture</w:t>
      </w:r>
      <w:r w:rsidR="00E30F04">
        <w:t xml:space="preserve"> around palliative care and quality improvement</w:t>
      </w:r>
      <w:r>
        <w:t xml:space="preserve"> (n=178)</w:t>
      </w:r>
    </w:p>
    <w:p w14:paraId="51834E59" w14:textId="4EE1A116" w:rsidR="003D2E1F" w:rsidRDefault="00A13195" w:rsidP="00B93302">
      <w:r>
        <w:rPr>
          <w:noProof/>
        </w:rPr>
        <w:drawing>
          <wp:inline distT="0" distB="0" distL="0" distR="0" wp14:anchorId="0DD381AA" wp14:editId="4B2D1B01">
            <wp:extent cx="4659810" cy="3724275"/>
            <wp:effectExtent l="0" t="0" r="7620" b="0"/>
            <wp:docPr id="2077914997" name="Picture 4" descr="Figure 6.2 is a bar graph showing reported impacts of PEPA Aged Care on the quality, integration, capability, and culture around palliative care and quality improvement (n=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14997" name="Picture 4" descr="Figure 6.2 is a bar graph showing reported impacts of PEPA Aged Care on the quality, integration, capability, and culture around palliative care and quality improvement (n=17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64318" cy="3727878"/>
                    </a:xfrm>
                    <a:prstGeom prst="rect">
                      <a:avLst/>
                    </a:prstGeom>
                    <a:noFill/>
                  </pic:spPr>
                </pic:pic>
              </a:graphicData>
            </a:graphic>
          </wp:inline>
        </w:drawing>
      </w:r>
    </w:p>
    <w:p w14:paraId="662710D5" w14:textId="77777777" w:rsidR="00E60FFD" w:rsidRDefault="00E60FFD" w:rsidP="00E60FFD">
      <w:pPr>
        <w:pStyle w:val="Tablenotes"/>
      </w:pPr>
      <w:r>
        <w:t>Source: HMA online survey, August 2025.</w:t>
      </w:r>
    </w:p>
    <w:p w14:paraId="42AA9D79" w14:textId="4EF9FBC6" w:rsidR="00116CAC" w:rsidRDefault="00116CAC" w:rsidP="00116CAC">
      <w:r>
        <w:t>Case stud</w:t>
      </w:r>
      <w:r w:rsidR="0036338A">
        <w:t>y findings were consistent with survey results</w:t>
      </w:r>
      <w:r>
        <w:t xml:space="preserve">, with all </w:t>
      </w:r>
      <w:r w:rsidR="001C2BD5">
        <w:t>sites</w:t>
      </w:r>
      <w:r>
        <w:t xml:space="preserve"> </w:t>
      </w:r>
      <w:r w:rsidR="0036338A">
        <w:t xml:space="preserve">describing </w:t>
      </w:r>
      <w:r>
        <w:t>improve</w:t>
      </w:r>
      <w:r w:rsidR="0036338A">
        <w:t>ments in</w:t>
      </w:r>
      <w:r>
        <w:t xml:space="preserve"> organisational culture around palliative care and care delivery</w:t>
      </w:r>
      <w:r w:rsidR="00AA4EFF">
        <w:t xml:space="preserve"> practices</w:t>
      </w:r>
      <w:r>
        <w:t xml:space="preserve"> (</w:t>
      </w:r>
      <w:r w:rsidR="00813343">
        <w:t>technical paper, Section 9.1</w:t>
      </w:r>
      <w:r>
        <w:t xml:space="preserve">). </w:t>
      </w:r>
      <w:r w:rsidR="00AA4EFF">
        <w:t xml:space="preserve">Sites </w:t>
      </w:r>
      <w:r>
        <w:t>attributed</w:t>
      </w:r>
      <w:r w:rsidR="00AA4EFF">
        <w:t xml:space="preserve"> these changes to increased workforce confidence,</w:t>
      </w:r>
      <w:r>
        <w:t xml:space="preserve"> reduced </w:t>
      </w:r>
      <w:r w:rsidR="00AA4EFF">
        <w:t>discomfort</w:t>
      </w:r>
      <w:r>
        <w:t xml:space="preserve"> around </w:t>
      </w:r>
      <w:r w:rsidR="00AA4EFF">
        <w:t xml:space="preserve">discussions of </w:t>
      </w:r>
      <w:r>
        <w:t xml:space="preserve">death and dying, and </w:t>
      </w:r>
      <w:r w:rsidR="0004068D">
        <w:t>enhanced</w:t>
      </w:r>
      <w:r>
        <w:t xml:space="preserve"> organisational </w:t>
      </w:r>
      <w:r w:rsidR="0004068D">
        <w:t>systems</w:t>
      </w:r>
      <w:r w:rsidR="00CC671C">
        <w:t xml:space="preserve"> and processes support</w:t>
      </w:r>
      <w:r w:rsidR="00AA4EFF">
        <w:t>ing</w:t>
      </w:r>
      <w:r w:rsidR="00CC671C">
        <w:t xml:space="preserve"> quality</w:t>
      </w:r>
      <w:r>
        <w:t xml:space="preserve"> palliative care.</w:t>
      </w:r>
    </w:p>
    <w:p w14:paraId="1D2582C8" w14:textId="1C5EA1A6" w:rsidR="008C5C6D" w:rsidRDefault="009F2BD8" w:rsidP="008C5C6D">
      <w:pPr>
        <w:pStyle w:val="Heading4"/>
      </w:pPr>
      <w:r>
        <w:t>Implementation of q</w:t>
      </w:r>
      <w:r w:rsidR="00946BB2">
        <w:t>uality improvement initiatives</w:t>
      </w:r>
    </w:p>
    <w:p w14:paraId="6920667D" w14:textId="60FC3FC5" w:rsidR="00D81BA6" w:rsidRDefault="007B72C7" w:rsidP="005172BB">
      <w:r>
        <w:t>Post-place</w:t>
      </w:r>
      <w:r w:rsidR="00012679">
        <w:t xml:space="preserve">ment service improvement activities were </w:t>
      </w:r>
      <w:r w:rsidR="00B325FE">
        <w:t>identified as</w:t>
      </w:r>
      <w:r w:rsidR="00012679">
        <w:t xml:space="preserve"> a key mechanism for translating learning</w:t>
      </w:r>
      <w:r w:rsidR="00D82156">
        <w:t>s from reverse PEPA Aged Care placements</w:t>
      </w:r>
      <w:r w:rsidR="00012679">
        <w:t xml:space="preserve"> into organisational practice. </w:t>
      </w:r>
      <w:r w:rsidR="0030792E">
        <w:t>Completed</w:t>
      </w:r>
      <w:r w:rsidR="00461F70">
        <w:t xml:space="preserve"> by </w:t>
      </w:r>
      <w:proofErr w:type="gramStart"/>
      <w:r w:rsidR="00711612">
        <w:t>the majority of</w:t>
      </w:r>
      <w:proofErr w:type="gramEnd"/>
      <w:r w:rsidR="00711612">
        <w:t xml:space="preserve"> sites (84%; </w:t>
      </w:r>
      <w:r w:rsidR="00711612">
        <w:fldChar w:fldCharType="begin"/>
      </w:r>
      <w:r w:rsidR="00711612">
        <w:instrText xml:space="preserve"> REF _Ref214953648 \h </w:instrText>
      </w:r>
      <w:r w:rsidR="00711612">
        <w:fldChar w:fldCharType="separate"/>
      </w:r>
      <w:r w:rsidR="00167BA0">
        <w:t xml:space="preserve">Table </w:t>
      </w:r>
      <w:r w:rsidR="00167BA0">
        <w:rPr>
          <w:noProof/>
        </w:rPr>
        <w:t>9</w:t>
      </w:r>
      <w:r w:rsidR="00167BA0">
        <w:t>.</w:t>
      </w:r>
      <w:r w:rsidR="00167BA0">
        <w:rPr>
          <w:noProof/>
        </w:rPr>
        <w:t>4</w:t>
      </w:r>
      <w:r w:rsidR="00711612">
        <w:fldChar w:fldCharType="end"/>
      </w:r>
      <w:r w:rsidR="00711612">
        <w:t xml:space="preserve">, </w:t>
      </w:r>
      <w:r w:rsidR="00711612">
        <w:fldChar w:fldCharType="begin"/>
      </w:r>
      <w:r w:rsidR="00711612">
        <w:instrText xml:space="preserve"> REF _Ref214614002 \n \h </w:instrText>
      </w:r>
      <w:r w:rsidR="00711612">
        <w:fldChar w:fldCharType="separate"/>
      </w:r>
      <w:r w:rsidR="00167BA0">
        <w:t>Appendix C</w:t>
      </w:r>
      <w:r w:rsidR="00711612">
        <w:fldChar w:fldCharType="end"/>
      </w:r>
      <w:r w:rsidR="00711612">
        <w:t>)</w:t>
      </w:r>
      <w:r w:rsidR="0030792E">
        <w:t xml:space="preserve">, </w:t>
      </w:r>
      <w:r w:rsidR="006B7D33">
        <w:t>reported</w:t>
      </w:r>
      <w:r w:rsidR="0030792E">
        <w:t xml:space="preserve"> initiatives ranged from internal education and knowledge transfer to </w:t>
      </w:r>
      <w:r w:rsidR="001310C0">
        <w:t>policy refinement, resource development (e.g.</w:t>
      </w:r>
      <w:r w:rsidR="00B53C43">
        <w:t xml:space="preserve"> quick reference guides, palliative care packs), and awareness-raising</w:t>
      </w:r>
      <w:r w:rsidR="00F03BB0">
        <w:t xml:space="preserve"> campaigns </w:t>
      </w:r>
      <w:r w:rsidR="003E3557">
        <w:t>(</w:t>
      </w:r>
      <w:r w:rsidR="00813343">
        <w:t>technical paper, Table 5.1</w:t>
      </w:r>
      <w:r w:rsidR="003E3557">
        <w:t>)</w:t>
      </w:r>
      <w:r w:rsidR="00887FAF">
        <w:t xml:space="preserve">. </w:t>
      </w:r>
      <w:r w:rsidR="00B15D9D">
        <w:t>T</w:t>
      </w:r>
      <w:r w:rsidR="007F0A15">
        <w:t>wo-thirds of</w:t>
      </w:r>
      <w:r w:rsidR="00377B90">
        <w:t xml:space="preserve"> PEPA Aged Care survey respondents</w:t>
      </w:r>
      <w:r w:rsidR="007F0A15">
        <w:t xml:space="preserve"> </w:t>
      </w:r>
      <w:r w:rsidR="00377B90">
        <w:t>reported that the program had led to tangible changes or quality improvement initiatives</w:t>
      </w:r>
      <w:r w:rsidR="0098654C">
        <w:t>.</w:t>
      </w:r>
      <w:r w:rsidR="00B40F84">
        <w:t xml:space="preserve"> M</w:t>
      </w:r>
      <w:r w:rsidR="006115B5">
        <w:t>ore than</w:t>
      </w:r>
      <w:r w:rsidR="00B049EC">
        <w:t xml:space="preserve"> 80% believed </w:t>
      </w:r>
      <w:r w:rsidR="00EB4912">
        <w:t xml:space="preserve">these changes would be sustained </w:t>
      </w:r>
      <w:r w:rsidR="00B049EC">
        <w:t xml:space="preserve">to a moderate or large extent </w:t>
      </w:r>
      <w:r w:rsidR="008B1D1D">
        <w:t>within their organisation</w:t>
      </w:r>
      <w:r w:rsidR="00502DAC">
        <w:t xml:space="preserve"> </w:t>
      </w:r>
      <w:r w:rsidR="00B049EC">
        <w:t>(</w:t>
      </w:r>
      <w:r w:rsidR="009B5A9D">
        <w:t>technical paper, Figure 8.7</w:t>
      </w:r>
      <w:r w:rsidR="00B049EC">
        <w:t>)</w:t>
      </w:r>
      <w:r w:rsidR="00284692">
        <w:t xml:space="preserve">, suggesting </w:t>
      </w:r>
      <w:r w:rsidR="00C36A07">
        <w:t>potential for longer-term organisational benefit</w:t>
      </w:r>
      <w:r w:rsidR="00F65991">
        <w:t>.</w:t>
      </w:r>
    </w:p>
    <w:p w14:paraId="09DDD386" w14:textId="5EDA91FD" w:rsidR="00DE0CDD" w:rsidRDefault="00DE0CDD" w:rsidP="00DE0CDD">
      <w:r w:rsidRPr="00DE0CDD">
        <w:t>The program</w:t>
      </w:r>
      <w:r w:rsidR="003863F5">
        <w:t>’</w:t>
      </w:r>
      <w:r w:rsidRPr="00DE0CDD">
        <w:t xml:space="preserve">s mentorship model aimed to reinforce organisational capability by fostering internal leadership among registered nurses. Uptake </w:t>
      </w:r>
      <w:r w:rsidR="00C36A07">
        <w:t xml:space="preserve">of this component </w:t>
      </w:r>
      <w:r w:rsidRPr="00DE0CDD">
        <w:t>was strong, with 1,655 mentors engaged across 425 sites (an average of four per site</w:t>
      </w:r>
      <w:r>
        <w:t xml:space="preserve">; </w:t>
      </w:r>
      <w:r>
        <w:fldChar w:fldCharType="begin"/>
      </w:r>
      <w:r>
        <w:instrText xml:space="preserve"> REF _Ref214953648 \h </w:instrText>
      </w:r>
      <w:r>
        <w:fldChar w:fldCharType="separate"/>
      </w:r>
      <w:r w:rsidR="00167BA0">
        <w:t xml:space="preserve">Table </w:t>
      </w:r>
      <w:r w:rsidR="00167BA0">
        <w:rPr>
          <w:noProof/>
        </w:rPr>
        <w:t>9</w:t>
      </w:r>
      <w:r w:rsidR="00167BA0">
        <w:t>.</w:t>
      </w:r>
      <w:r w:rsidR="00167BA0">
        <w:rPr>
          <w:noProof/>
        </w:rPr>
        <w:t>4</w:t>
      </w:r>
      <w:r>
        <w:fldChar w:fldCharType="end"/>
      </w:r>
      <w:r>
        <w:t xml:space="preserve">, </w:t>
      </w:r>
      <w:r>
        <w:fldChar w:fldCharType="begin"/>
      </w:r>
      <w:r>
        <w:instrText xml:space="preserve"> REF _Ref214614002 \n \h </w:instrText>
      </w:r>
      <w:r>
        <w:fldChar w:fldCharType="separate"/>
      </w:r>
      <w:r w:rsidR="00167BA0">
        <w:t>Appendix C</w:t>
      </w:r>
      <w:r>
        <w:fldChar w:fldCharType="end"/>
      </w:r>
      <w:r w:rsidRPr="00DE0CDD">
        <w:t>)</w:t>
      </w:r>
      <w:r w:rsidR="0014526F">
        <w:t>.</w:t>
      </w:r>
      <w:r w:rsidR="00ED60B9">
        <w:t xml:space="preserve"> However, </w:t>
      </w:r>
      <w:r w:rsidRPr="00DE0CDD">
        <w:t xml:space="preserve">the evaluation </w:t>
      </w:r>
      <w:r w:rsidR="00514BB2">
        <w:t>was unable to</w:t>
      </w:r>
      <w:r w:rsidRPr="00DE0CDD">
        <w:t xml:space="preserve"> determine the </w:t>
      </w:r>
      <w:r w:rsidR="0014526F" w:rsidRPr="00DE0CDD">
        <w:t>sustainability</w:t>
      </w:r>
      <w:r w:rsidR="0014526F">
        <w:t xml:space="preserve"> or</w:t>
      </w:r>
      <w:r w:rsidR="0014526F" w:rsidRPr="00DE0CDD">
        <w:t xml:space="preserve"> </w:t>
      </w:r>
      <w:r w:rsidRPr="00DE0CDD">
        <w:t>long-term effectiveness of this role</w:t>
      </w:r>
      <w:r>
        <w:t>.</w:t>
      </w:r>
      <w:r w:rsidR="00813300">
        <w:t xml:space="preserve"> As a potential indicator of sustained organisational knowledge and interest in palliative care, available sector-wide monitoring</w:t>
      </w:r>
      <w:r w:rsidR="00195CD3">
        <w:t>, such as the Aged Care Workforce Survey</w:t>
      </w:r>
      <w:r w:rsidR="003C0C63">
        <w:t>,</w:t>
      </w:r>
      <w:r w:rsidR="00195CD3">
        <w:t xml:space="preserve"> could provide valuable insights into the broader impact of such mentorship initiatives over time.</w:t>
      </w:r>
    </w:p>
    <w:p w14:paraId="381BE129" w14:textId="76EB5C2F" w:rsidR="00946BB2" w:rsidRDefault="00954F57" w:rsidP="00954F57">
      <w:pPr>
        <w:pStyle w:val="Heading4"/>
      </w:pPr>
      <w:r>
        <w:t>C</w:t>
      </w:r>
      <w:r w:rsidR="00946BB2">
        <w:t>ollaborat</w:t>
      </w:r>
      <w:r>
        <w:t>ion and integration with external services</w:t>
      </w:r>
    </w:p>
    <w:p w14:paraId="71DD2B22" w14:textId="56C9C5FD" w:rsidR="00355AF9" w:rsidRDefault="00E96910" w:rsidP="00EE777A">
      <w:r>
        <w:t xml:space="preserve">Strengthening linkages between </w:t>
      </w:r>
      <w:r w:rsidR="00843D1E">
        <w:t xml:space="preserve">participating sites and external palliative care services was an important </w:t>
      </w:r>
      <w:r w:rsidR="00355AF9">
        <w:t>program objective</w:t>
      </w:r>
      <w:r w:rsidR="00843D1E">
        <w:t>.</w:t>
      </w:r>
      <w:r w:rsidR="00355AF9">
        <w:t xml:space="preserve"> </w:t>
      </w:r>
      <w:r w:rsidR="001765B5">
        <w:t>To support this, sites were required to complete a mapping exercise of local service providers</w:t>
      </w:r>
      <w:r w:rsidR="00C07BFB">
        <w:t>. T</w:t>
      </w:r>
      <w:r w:rsidR="002D2385">
        <w:t xml:space="preserve">raining content </w:t>
      </w:r>
      <w:r w:rsidR="00C07BFB">
        <w:t xml:space="preserve">also </w:t>
      </w:r>
      <w:r w:rsidR="002D2385">
        <w:t xml:space="preserve">included modules on identifying referral pathways and communicating with </w:t>
      </w:r>
      <w:r w:rsidR="00EA6FD0">
        <w:t>external healthcare providers.</w:t>
      </w:r>
    </w:p>
    <w:p w14:paraId="7E6364CB" w14:textId="0846FAF8" w:rsidR="00EE777A" w:rsidRDefault="00843D1E" w:rsidP="00EE777A">
      <w:r>
        <w:t xml:space="preserve">As discussed in Section 6.1.1, approximately three-quarters of PEPA Aged Care survey respondents reported moderate or significant gains in staff capability to </w:t>
      </w:r>
      <w:r w:rsidR="006421BC">
        <w:t>collaborate</w:t>
      </w:r>
      <w:r>
        <w:t xml:space="preserve"> with external services</w:t>
      </w:r>
      <w:r w:rsidR="00146E03">
        <w:t xml:space="preserve"> </w:t>
      </w:r>
      <w:proofErr w:type="gramStart"/>
      <w:r w:rsidR="00146E03">
        <w:t>as a result of</w:t>
      </w:r>
      <w:proofErr w:type="gramEnd"/>
      <w:r w:rsidR="00146E03">
        <w:t xml:space="preserve"> program participation</w:t>
      </w:r>
      <w:r w:rsidR="00070488">
        <w:t>. A</w:t>
      </w:r>
      <w:r>
        <w:t xml:space="preserve">lmost 80% cited similar improvements at the organisational </w:t>
      </w:r>
      <w:r>
        <w:lastRenderedPageBreak/>
        <w:t>level (</w:t>
      </w:r>
      <w:r w:rsidR="007C141D">
        <w:t>technical paper, Figure 5.5</w:t>
      </w:r>
      <w:r>
        <w:t xml:space="preserve">). </w:t>
      </w:r>
      <w:r w:rsidR="00EE777A">
        <w:t xml:space="preserve">In addition, approximately 40% of respondents reported </w:t>
      </w:r>
      <w:r w:rsidR="00EE777A" w:rsidRPr="008B48C7">
        <w:t xml:space="preserve">improving communication with external palliative care providers, and one-third </w:t>
      </w:r>
      <w:r w:rsidR="00685554">
        <w:t>reported enhancing or creating</w:t>
      </w:r>
      <w:r w:rsidR="00EE777A" w:rsidRPr="008B48C7">
        <w:t xml:space="preserve"> referral pathways</w:t>
      </w:r>
      <w:r w:rsidR="00BA007D">
        <w:t xml:space="preserve"> </w:t>
      </w:r>
      <w:r w:rsidR="007A6F39">
        <w:t>following participation in</w:t>
      </w:r>
      <w:r w:rsidR="00BA007D">
        <w:t xml:space="preserve"> </w:t>
      </w:r>
      <w:r w:rsidR="00AC5659">
        <w:t>PEPA Aged Care</w:t>
      </w:r>
      <w:r w:rsidR="00EE777A">
        <w:t xml:space="preserve"> (</w:t>
      </w:r>
      <w:r w:rsidR="00FE3EA6">
        <w:t>technical paper, Table 5.1</w:t>
      </w:r>
      <w:r w:rsidR="00EE777A">
        <w:t>).</w:t>
      </w:r>
    </w:p>
    <w:p w14:paraId="461ECBDD" w14:textId="1378DF9E" w:rsidR="00EE777A" w:rsidRDefault="00EE777A" w:rsidP="00051223">
      <w:r>
        <w:t xml:space="preserve">Pre/post-placement evaluation survey data </w:t>
      </w:r>
      <w:r w:rsidR="00B72ABC">
        <w:t>and participant reflections reinforced</w:t>
      </w:r>
      <w:r>
        <w:t xml:space="preserve"> these findings, </w:t>
      </w:r>
      <w:r w:rsidR="00B72ABC">
        <w:t xml:space="preserve">highlighting </w:t>
      </w:r>
      <w:r w:rsidR="00B27E46">
        <w:t>improved confidence to contact palliative care services</w:t>
      </w:r>
      <w:r w:rsidR="00051223">
        <w:t xml:space="preserve"> and greater clarity </w:t>
      </w:r>
      <w:r>
        <w:t>on when and how to involve other providers (</w:t>
      </w:r>
      <w:r w:rsidR="00051223">
        <w:fldChar w:fldCharType="begin"/>
      </w:r>
      <w:r w:rsidR="00051223">
        <w:instrText xml:space="preserve"> REF _Ref215493967 \h </w:instrText>
      </w:r>
      <w:r w:rsidR="00051223">
        <w:fldChar w:fldCharType="separate"/>
      </w:r>
      <w:r w:rsidR="00167BA0">
        <w:t xml:space="preserve">Figure </w:t>
      </w:r>
      <w:r w:rsidR="00167BA0">
        <w:rPr>
          <w:noProof/>
        </w:rPr>
        <w:t>9</w:t>
      </w:r>
      <w:r w:rsidR="00167BA0">
        <w:t>.</w:t>
      </w:r>
      <w:r w:rsidR="00167BA0">
        <w:rPr>
          <w:noProof/>
        </w:rPr>
        <w:t>4</w:t>
      </w:r>
      <w:r w:rsidR="00051223">
        <w:fldChar w:fldCharType="end"/>
      </w:r>
      <w:r w:rsidR="00051223">
        <w:t xml:space="preserve"> and </w:t>
      </w:r>
      <w:r>
        <w:fldChar w:fldCharType="begin"/>
      </w:r>
      <w:r>
        <w:instrText xml:space="preserve"> REF _Ref215478204 \h </w:instrText>
      </w:r>
      <w:r>
        <w:fldChar w:fldCharType="separate"/>
      </w:r>
      <w:r w:rsidR="00167BA0">
        <w:t xml:space="preserve">Table </w:t>
      </w:r>
      <w:r w:rsidR="00167BA0">
        <w:rPr>
          <w:noProof/>
        </w:rPr>
        <w:t>9</w:t>
      </w:r>
      <w:r w:rsidR="00167BA0">
        <w:t>.</w:t>
      </w:r>
      <w:r w:rsidR="00167BA0">
        <w:rPr>
          <w:noProof/>
        </w:rPr>
        <w:t>14</w:t>
      </w:r>
      <w:r>
        <w:fldChar w:fldCharType="end"/>
      </w:r>
      <w:r>
        <w:t xml:space="preserve">, </w:t>
      </w:r>
      <w:r>
        <w:fldChar w:fldCharType="begin"/>
      </w:r>
      <w:r>
        <w:instrText xml:space="preserve"> REF _Ref214614002 \n \h </w:instrText>
      </w:r>
      <w:r>
        <w:fldChar w:fldCharType="separate"/>
      </w:r>
      <w:r w:rsidR="00167BA0">
        <w:t>Appendix C</w:t>
      </w:r>
      <w:r>
        <w:fldChar w:fldCharType="end"/>
      </w:r>
      <w:r>
        <w:t>).</w:t>
      </w:r>
    </w:p>
    <w:p w14:paraId="638D6C59" w14:textId="5A4B15E4" w:rsidR="00051223" w:rsidRDefault="00051223" w:rsidP="00051223">
      <w:r>
        <w:t xml:space="preserve">These findings suggest that PEPA Aged Care enhanced organisational </w:t>
      </w:r>
      <w:r w:rsidR="00947A00">
        <w:t>capability and</w:t>
      </w:r>
      <w:r w:rsidR="00530181">
        <w:t xml:space="preserve"> readiness to </w:t>
      </w:r>
      <w:r w:rsidR="003B7AB0">
        <w:t>deliver</w:t>
      </w:r>
      <w:r>
        <w:t xml:space="preserve"> integrated care, a key driver of system-level quality improvement.</w:t>
      </w:r>
    </w:p>
    <w:p w14:paraId="130493C9" w14:textId="5C3105AF" w:rsidR="00C026E8" w:rsidRDefault="003F5CAB" w:rsidP="00C026E8">
      <w:pPr>
        <w:pStyle w:val="Findings"/>
      </w:pPr>
      <w:r>
        <w:t>F</w:t>
      </w:r>
      <w:r w:rsidR="00A84F6B">
        <w:t>indings demonstrate</w:t>
      </w:r>
      <w:r>
        <w:t>d</w:t>
      </w:r>
      <w:r w:rsidR="00A84F6B">
        <w:t xml:space="preserve"> that PEPA Aged Care contributed to </w:t>
      </w:r>
      <w:r w:rsidR="00A26C3F">
        <w:t xml:space="preserve">building </w:t>
      </w:r>
      <w:r w:rsidR="00A84F6B">
        <w:t>organisational capability, cultural change, quality improvement</w:t>
      </w:r>
      <w:r w:rsidR="00B818C4">
        <w:t xml:space="preserve"> initiatives</w:t>
      </w:r>
      <w:r w:rsidR="00A84F6B">
        <w:t>, and strengthen</w:t>
      </w:r>
      <w:r w:rsidR="00B818C4">
        <w:t>ing</w:t>
      </w:r>
      <w:r w:rsidR="00A84F6B">
        <w:t xml:space="preserve"> collaboration with external providers in participating sites, laying the groundwork for system-level improvement. However, participation was concentrated in residential aged care, suggesting that benefits </w:t>
      </w:r>
      <w:r w:rsidR="00847ED0">
        <w:t>were</w:t>
      </w:r>
      <w:r w:rsidR="00A84F6B">
        <w:t xml:space="preserve"> primarily focused </w:t>
      </w:r>
      <w:r w:rsidR="00C905CF">
        <w:t>on</w:t>
      </w:r>
      <w:r w:rsidR="00A84F6B">
        <w:t xml:space="preserve"> this setting.</w:t>
      </w:r>
    </w:p>
    <w:p w14:paraId="57B16F6A" w14:textId="4ACE952B" w:rsidR="0022563D" w:rsidRDefault="00A028A7" w:rsidP="00A028A7">
      <w:pPr>
        <w:pStyle w:val="Heading3"/>
      </w:pPr>
      <w:bookmarkStart w:id="96" w:name="_Toc232685913"/>
      <w:r>
        <w:t>Improve</w:t>
      </w:r>
      <w:r w:rsidR="004C5FCE">
        <w:t>ments in</w:t>
      </w:r>
      <w:r>
        <w:t xml:space="preserve"> health outcomes and quality of life</w:t>
      </w:r>
      <w:bookmarkEnd w:id="96"/>
    </w:p>
    <w:p w14:paraId="56813BBC" w14:textId="2E3C4A05" w:rsidR="00974B3F" w:rsidRDefault="00D507D6" w:rsidP="001C1A07">
      <w:r>
        <w:t>The p</w:t>
      </w:r>
      <w:r w:rsidR="00E54CE9">
        <w:t>ercei</w:t>
      </w:r>
      <w:r>
        <w:t xml:space="preserve">ved impact of </w:t>
      </w:r>
      <w:r w:rsidR="006A01B0">
        <w:t xml:space="preserve">PEPA Aged Care on health outcomes and quality of life for older people and their families </w:t>
      </w:r>
      <w:r w:rsidR="00E140E3">
        <w:t xml:space="preserve">was explored through </w:t>
      </w:r>
      <w:r w:rsidR="00767180">
        <w:t xml:space="preserve">focus groups with consumer, carer, and family representatives, </w:t>
      </w:r>
      <w:r w:rsidR="00E140E3">
        <w:t xml:space="preserve">the online survey, </w:t>
      </w:r>
      <w:r w:rsidR="00327741">
        <w:t>and post-placement reflections</w:t>
      </w:r>
      <w:r w:rsidR="002C256B">
        <w:t xml:space="preserve"> from </w:t>
      </w:r>
      <w:r w:rsidR="00866323">
        <w:t>participants</w:t>
      </w:r>
      <w:r w:rsidR="00327741">
        <w:t xml:space="preserve">. </w:t>
      </w:r>
      <w:r w:rsidR="002C256B">
        <w:t>While QUT</w:t>
      </w:r>
      <w:r w:rsidR="0027293C">
        <w:t xml:space="preserve"> had</w:t>
      </w:r>
      <w:r w:rsidR="002C256B">
        <w:t xml:space="preserve"> initially </w:t>
      </w:r>
      <w:r w:rsidR="0027293C">
        <w:t xml:space="preserve">intended </w:t>
      </w:r>
      <w:r w:rsidR="002C256B">
        <w:t xml:space="preserve">to collect </w:t>
      </w:r>
      <w:r w:rsidR="00866323">
        <w:t>after</w:t>
      </w:r>
      <w:r w:rsidR="00E60B73">
        <w:t>-</w:t>
      </w:r>
      <w:r w:rsidR="00866323">
        <w:t xml:space="preserve">death audit data from participating sites to </w:t>
      </w:r>
      <w:r w:rsidR="00382DC6">
        <w:t>assess</w:t>
      </w:r>
      <w:r w:rsidR="00866323">
        <w:t xml:space="preserve"> </w:t>
      </w:r>
      <w:r w:rsidR="00C84FC2">
        <w:t xml:space="preserve">care </w:t>
      </w:r>
      <w:r w:rsidR="00866323">
        <w:t xml:space="preserve">quality </w:t>
      </w:r>
      <w:r w:rsidR="00C84FC2">
        <w:t>outcomes</w:t>
      </w:r>
      <w:r w:rsidR="00866323">
        <w:t xml:space="preserve">, </w:t>
      </w:r>
      <w:r w:rsidR="00151240" w:rsidRPr="00CA3057">
        <w:t>th</w:t>
      </w:r>
      <w:r w:rsidR="00651363">
        <w:t>ese</w:t>
      </w:r>
      <w:r w:rsidR="00151240" w:rsidRPr="00CA3057">
        <w:t xml:space="preserve"> data </w:t>
      </w:r>
      <w:r w:rsidR="00C05371">
        <w:t>had</w:t>
      </w:r>
      <w:r w:rsidR="00151240" w:rsidRPr="00151240">
        <w:t xml:space="preserve"> not</w:t>
      </w:r>
      <w:r w:rsidR="00C05371">
        <w:t xml:space="preserve"> been</w:t>
      </w:r>
      <w:r w:rsidR="00151240" w:rsidRPr="00CA3057">
        <w:t xml:space="preserve"> collected </w:t>
      </w:r>
      <w:r w:rsidR="00C05371">
        <w:t xml:space="preserve">to June 2025, reportedly due to data collection challenges. This limited the availability of </w:t>
      </w:r>
      <w:r w:rsidR="00E94BC6">
        <w:t>data on measurable outcomes</w:t>
      </w:r>
      <w:r w:rsidR="00AC2C34">
        <w:t xml:space="preserve"> for </w:t>
      </w:r>
      <w:r w:rsidR="00382DC6">
        <w:t>the evaluation</w:t>
      </w:r>
      <w:r w:rsidR="00DE2F2B">
        <w:t>. As a result</w:t>
      </w:r>
      <w:r w:rsidR="00AC2C34">
        <w:t xml:space="preserve">, </w:t>
      </w:r>
      <w:r w:rsidR="00D540A1">
        <w:t>findings</w:t>
      </w:r>
      <w:r w:rsidR="00AC2C34">
        <w:t xml:space="preserve"> presented in this section</w:t>
      </w:r>
      <w:r w:rsidR="00D2146E">
        <w:t xml:space="preserve"> are based on </w:t>
      </w:r>
      <w:r w:rsidR="00AC2C34">
        <w:t xml:space="preserve">stakeholder </w:t>
      </w:r>
      <w:r w:rsidR="00D2146E">
        <w:t>perceptions rather than objective indicators</w:t>
      </w:r>
      <w:r w:rsidR="004335C1">
        <w:t>.</w:t>
      </w:r>
    </w:p>
    <w:p w14:paraId="6BD767CF" w14:textId="61F8B1CA" w:rsidR="00165FA6" w:rsidRDefault="00165FA6" w:rsidP="00165FA6">
      <w:pPr>
        <w:pStyle w:val="Heading4"/>
      </w:pPr>
      <w:r>
        <w:t xml:space="preserve">Perceived </w:t>
      </w:r>
      <w:r w:rsidR="00A14D11">
        <w:t>impacts on</w:t>
      </w:r>
      <w:r>
        <w:t xml:space="preserve"> care and outcomes</w:t>
      </w:r>
    </w:p>
    <w:p w14:paraId="71F98838" w14:textId="7EEA29BD" w:rsidR="00CB4F9B" w:rsidRDefault="009549D6" w:rsidP="001C1A07">
      <w:r>
        <w:t xml:space="preserve">When </w:t>
      </w:r>
      <w:r w:rsidR="008B4A46">
        <w:t xml:space="preserve">PEPA Aged Care was </w:t>
      </w:r>
      <w:r w:rsidR="008315EB">
        <w:t xml:space="preserve">described </w:t>
      </w:r>
      <w:r w:rsidR="008B4A46">
        <w:t>to f</w:t>
      </w:r>
      <w:r w:rsidR="00364696">
        <w:t>ocus group</w:t>
      </w:r>
      <w:r w:rsidR="005B0272">
        <w:t xml:space="preserve"> p</w:t>
      </w:r>
      <w:r w:rsidR="001A4397" w:rsidRPr="001A4397">
        <w:t>articipants</w:t>
      </w:r>
      <w:r w:rsidR="008B4A46">
        <w:t xml:space="preserve">, there was </w:t>
      </w:r>
      <w:r w:rsidR="008315EB">
        <w:t>broad agreement</w:t>
      </w:r>
      <w:r w:rsidR="008B4A46">
        <w:t xml:space="preserve"> </w:t>
      </w:r>
      <w:r w:rsidR="007B7CB6">
        <w:t xml:space="preserve">that the program </w:t>
      </w:r>
      <w:r w:rsidR="008315EB">
        <w:t>was likely to improve</w:t>
      </w:r>
      <w:r w:rsidR="001A4397" w:rsidRPr="001A4397">
        <w:t xml:space="preserve"> </w:t>
      </w:r>
      <w:r w:rsidR="007B7CB6">
        <w:t xml:space="preserve">aged care </w:t>
      </w:r>
      <w:r w:rsidR="001A4397" w:rsidRPr="001A4397">
        <w:t xml:space="preserve">staff confidence, knowledge, and skills in identifying palliative care needs and providing appropriate care. In turn, </w:t>
      </w:r>
      <w:r w:rsidR="00FF3BE7">
        <w:t>focus group participants</w:t>
      </w:r>
      <w:r w:rsidR="008315EB">
        <w:t xml:space="preserve"> generally expected that these improvements</w:t>
      </w:r>
      <w:r w:rsidR="001A4397" w:rsidRPr="001A4397">
        <w:t xml:space="preserve"> would </w:t>
      </w:r>
      <w:r w:rsidR="00D15C20">
        <w:t>translate into better care and</w:t>
      </w:r>
      <w:r w:rsidR="001A4397" w:rsidRPr="001A4397">
        <w:t xml:space="preserve"> outcomes for </w:t>
      </w:r>
      <w:r w:rsidR="00D15C20">
        <w:t>older people</w:t>
      </w:r>
      <w:r w:rsidR="001A4397" w:rsidRPr="001A4397">
        <w:t xml:space="preserve"> and </w:t>
      </w:r>
      <w:r w:rsidR="00D15C20">
        <w:t xml:space="preserve">their </w:t>
      </w:r>
      <w:r w:rsidR="001A4397" w:rsidRPr="001A4397">
        <w:t>families</w:t>
      </w:r>
      <w:r w:rsidR="00BC2905">
        <w:t>.</w:t>
      </w:r>
    </w:p>
    <w:p w14:paraId="07A78BBF" w14:textId="2E121191" w:rsidR="00FD1978" w:rsidRDefault="006709C0" w:rsidP="00231095">
      <w:r>
        <w:t xml:space="preserve">Survey findings aligned with these views. </w:t>
      </w:r>
      <w:r w:rsidR="00D2271F">
        <w:t xml:space="preserve">Approximately 80% of </w:t>
      </w:r>
      <w:r w:rsidR="0076461C">
        <w:t xml:space="preserve">PEPA Aged Care survey respondents </w:t>
      </w:r>
      <w:r>
        <w:t>perceived</w:t>
      </w:r>
      <w:r w:rsidR="0076461C">
        <w:t xml:space="preserve"> a moderate or significant positive impact </w:t>
      </w:r>
      <w:r w:rsidR="00D437DD">
        <w:t xml:space="preserve">of the program </w:t>
      </w:r>
      <w:r w:rsidR="0076461C">
        <w:t>on</w:t>
      </w:r>
      <w:r w:rsidR="00231095">
        <w:t xml:space="preserve"> </w:t>
      </w:r>
      <w:r w:rsidR="00F539C7">
        <w:t xml:space="preserve">key indicators, including the </w:t>
      </w:r>
      <w:r w:rsidR="00FD1978">
        <w:t>timely identification of palliative care needs</w:t>
      </w:r>
      <w:r w:rsidR="00231095">
        <w:t xml:space="preserve">, </w:t>
      </w:r>
      <w:r w:rsidR="00FD1978">
        <w:t>health outcomes and quality of life throughout the palliative care journey</w:t>
      </w:r>
      <w:r w:rsidR="00231095">
        <w:t xml:space="preserve">, and </w:t>
      </w:r>
      <w:r w:rsidR="00FD1978">
        <w:t>end-of-life outcomes (</w:t>
      </w:r>
      <w:r w:rsidR="00FD1978">
        <w:fldChar w:fldCharType="begin"/>
      </w:r>
      <w:r w:rsidR="00FD1978">
        <w:instrText xml:space="preserve"> REF _Ref210908609 \h </w:instrText>
      </w:r>
      <w:r w:rsidR="00FD1978">
        <w:fldChar w:fldCharType="separate"/>
      </w:r>
      <w:r w:rsidR="00167BA0">
        <w:t xml:space="preserve">Figure </w:t>
      </w:r>
      <w:r w:rsidR="00167BA0">
        <w:rPr>
          <w:noProof/>
        </w:rPr>
        <w:t>6</w:t>
      </w:r>
      <w:r w:rsidR="00167BA0">
        <w:t>.</w:t>
      </w:r>
      <w:r w:rsidR="00167BA0">
        <w:rPr>
          <w:noProof/>
        </w:rPr>
        <w:t>3</w:t>
      </w:r>
      <w:r w:rsidR="00FD1978">
        <w:fldChar w:fldCharType="end"/>
      </w:r>
      <w:r w:rsidR="00FD1978">
        <w:t>)</w:t>
      </w:r>
      <w:r w:rsidR="009165B3">
        <w:t>.</w:t>
      </w:r>
    </w:p>
    <w:p w14:paraId="41A8E57E" w14:textId="4E3EDBF9" w:rsidR="00FD1978" w:rsidRDefault="00FD1978" w:rsidP="00FD1978">
      <w:pPr>
        <w:pStyle w:val="Caption"/>
      </w:pPr>
      <w:bookmarkStart w:id="97" w:name="_Ref210908609"/>
      <w:r>
        <w:t xml:space="preserve">Figure </w:t>
      </w:r>
      <w:fldSimple w:instr=" STYLEREF 1 \s ">
        <w:r w:rsidR="00167BA0">
          <w:rPr>
            <w:noProof/>
          </w:rPr>
          <w:t>6</w:t>
        </w:r>
      </w:fldSimple>
      <w:r w:rsidR="00DD3EB1">
        <w:t>.</w:t>
      </w:r>
      <w:fldSimple w:instr=" SEQ Figure \* ARABIC \s 1 ">
        <w:r w:rsidR="00167BA0">
          <w:rPr>
            <w:noProof/>
          </w:rPr>
          <w:t>3</w:t>
        </w:r>
      </w:fldSimple>
      <w:bookmarkEnd w:id="97"/>
      <w:r>
        <w:t xml:space="preserve">: </w:t>
      </w:r>
      <w:r w:rsidRPr="000C5F70">
        <w:t>Respondents</w:t>
      </w:r>
      <w:r w:rsidR="003863F5">
        <w:t>’</w:t>
      </w:r>
      <w:r w:rsidRPr="000C5F70">
        <w:t xml:space="preserve"> perceptions of the impact of P</w:t>
      </w:r>
      <w:r>
        <w:t>EPA Aged Care</w:t>
      </w:r>
      <w:r w:rsidRPr="000C5F70">
        <w:t xml:space="preserve"> participation </w:t>
      </w:r>
      <w:r w:rsidR="009C42E7">
        <w:br/>
      </w:r>
      <w:r w:rsidRPr="000C5F70">
        <w:t xml:space="preserve">on </w:t>
      </w:r>
      <w:r>
        <w:t xml:space="preserve">older people </w:t>
      </w:r>
      <w:r w:rsidRPr="000C5F70">
        <w:t>and families</w:t>
      </w:r>
      <w:r>
        <w:t xml:space="preserve"> (n=178)</w:t>
      </w:r>
    </w:p>
    <w:p w14:paraId="0778FB14" w14:textId="77777777" w:rsidR="00FD1978" w:rsidRDefault="00FD1978" w:rsidP="00FD1978">
      <w:r>
        <w:rPr>
          <w:noProof/>
        </w:rPr>
        <w:drawing>
          <wp:inline distT="0" distB="0" distL="0" distR="0" wp14:anchorId="32D6131A" wp14:editId="0C019117">
            <wp:extent cx="4591050" cy="2433643"/>
            <wp:effectExtent l="0" t="0" r="0" b="5080"/>
            <wp:docPr id="170624958" name="Picture 22" descr="Figure 6.3 is a diagram showing respondents’ perceptions of the impact of PEPA Aged Care participation on older people and families (n=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4958" name="Picture 22" descr="Figure 6.3 is a diagram showing respondents’ perceptions of the impact of PEPA Aged Care participation on older people and families (n=17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93059" cy="2434708"/>
                    </a:xfrm>
                    <a:prstGeom prst="rect">
                      <a:avLst/>
                    </a:prstGeom>
                    <a:noFill/>
                  </pic:spPr>
                </pic:pic>
              </a:graphicData>
            </a:graphic>
          </wp:inline>
        </w:drawing>
      </w:r>
    </w:p>
    <w:p w14:paraId="0802D8B2" w14:textId="77777777" w:rsidR="009165B3" w:rsidRDefault="009165B3" w:rsidP="009165B3">
      <w:pPr>
        <w:pStyle w:val="Tablenotes"/>
      </w:pPr>
      <w:r>
        <w:t>Source: HMA online survey, August 2025.</w:t>
      </w:r>
    </w:p>
    <w:p w14:paraId="7B5D208E" w14:textId="534594CE" w:rsidR="00C17FC3" w:rsidRDefault="00452F96" w:rsidP="00B2222C">
      <w:r w:rsidRPr="00452F96">
        <w:lastRenderedPageBreak/>
        <w:t>Qualitative feedback</w:t>
      </w:r>
      <w:r>
        <w:t xml:space="preserve"> from PEPA Aged Care survey respondents</w:t>
      </w:r>
      <w:r w:rsidRPr="00452F96">
        <w:t xml:space="preserve"> highlighted improve</w:t>
      </w:r>
      <w:r w:rsidR="00DC2239">
        <w:t>ments in</w:t>
      </w:r>
      <w:r w:rsidRPr="00452F96">
        <w:t xml:space="preserve"> </w:t>
      </w:r>
      <w:r w:rsidR="00522AE0">
        <w:t xml:space="preserve">family </w:t>
      </w:r>
      <w:r w:rsidRPr="00452F96">
        <w:t xml:space="preserve">communication </w:t>
      </w:r>
      <w:r w:rsidR="00522AE0">
        <w:t>and support</w:t>
      </w:r>
      <w:r w:rsidRPr="00452F96">
        <w:t>, person-centred care, symptom management, and advance care planning</w:t>
      </w:r>
      <w:r w:rsidR="00483C82">
        <w:t xml:space="preserve"> </w:t>
      </w:r>
      <w:r w:rsidR="00BE1312" w:rsidRPr="00C17AA6">
        <w:t>(</w:t>
      </w:r>
      <w:r w:rsidR="00FE3EA6">
        <w:t>technical paper, Table 5.2</w:t>
      </w:r>
      <w:r w:rsidR="00BE1312" w:rsidRPr="00C17AA6">
        <w:t>)</w:t>
      </w:r>
      <w:r w:rsidR="003E0AB3" w:rsidRPr="003E0AB3">
        <w:t xml:space="preserve">. </w:t>
      </w:r>
      <w:bookmarkStart w:id="98" w:name="_Toc212795261"/>
      <w:r w:rsidR="00483C82" w:rsidRPr="00483C82">
        <w:t xml:space="preserve">One example </w:t>
      </w:r>
      <w:r w:rsidR="005D63BD">
        <w:t>provided by a survey respondent illustrated this impact</w:t>
      </w:r>
      <w:r w:rsidR="00A615C1">
        <w:t>:</w:t>
      </w:r>
    </w:p>
    <w:p w14:paraId="1E2E9350" w14:textId="538A00FA" w:rsidR="00C17FC3" w:rsidRDefault="006B6228" w:rsidP="00DE5083">
      <w:pPr>
        <w:pStyle w:val="Quote"/>
      </w:pPr>
      <w:r>
        <w:t>A care manager at our service was supporting a client with a terminal illness. The client</w:t>
      </w:r>
      <w:r w:rsidR="003863F5">
        <w:t>’</w:t>
      </w:r>
      <w:r>
        <w:t xml:space="preserve">s family, from a culturally diverse background, avoided discussing end-of-life preferences due to cultural taboos. The care manager felt unequipped to initiate these conversations. Through the specialised program, the care manager gained confidence and skills to approach these conversations with sensitivity. With support from </w:t>
      </w:r>
      <w:r w:rsidR="00DE5083">
        <w:t>the [PEPA Aged Care]</w:t>
      </w:r>
      <w:r>
        <w:t xml:space="preserve"> facilitator and </w:t>
      </w:r>
      <w:r w:rsidR="00DE5083">
        <w:t xml:space="preserve">a </w:t>
      </w:r>
      <w:r>
        <w:t xml:space="preserve">clinical mentor, they used tools to initiate a respectful conversation with the family. This led </w:t>
      </w:r>
      <w:r w:rsidR="003F1855">
        <w:t>to</w:t>
      </w:r>
      <w:r w:rsidR="00DE5083">
        <w:t xml:space="preserve"> o</w:t>
      </w:r>
      <w:r>
        <w:t>pen communication</w:t>
      </w:r>
      <w:r w:rsidR="00DE5083">
        <w:t>; a</w:t>
      </w:r>
      <w:r>
        <w:t>ssessment of the client</w:t>
      </w:r>
      <w:r w:rsidR="003863F5">
        <w:t>’</w:t>
      </w:r>
      <w:r>
        <w:t>s end-of-care needs</w:t>
      </w:r>
      <w:r w:rsidR="00DE5083">
        <w:t>; d</w:t>
      </w:r>
      <w:r>
        <w:t xml:space="preserve">evelopment of an </w:t>
      </w:r>
      <w:r w:rsidR="00DE5083">
        <w:t>a</w:t>
      </w:r>
      <w:r>
        <w:t xml:space="preserve">dvance </w:t>
      </w:r>
      <w:r w:rsidR="00DE5083">
        <w:t>c</w:t>
      </w:r>
      <w:r>
        <w:t xml:space="preserve">are </w:t>
      </w:r>
      <w:r w:rsidR="00DE5083">
        <w:t>d</w:t>
      </w:r>
      <w:r>
        <w:t>irective</w:t>
      </w:r>
      <w:r w:rsidR="00DE5083">
        <w:t>; and a</w:t>
      </w:r>
      <w:r>
        <w:t xml:space="preserve"> clear care pathway</w:t>
      </w:r>
      <w:r w:rsidR="00DE5083">
        <w:t xml:space="preserve">. </w:t>
      </w:r>
      <w:r>
        <w:t>The client received person-centred care, and their symptoms were well-managed. They passed away peacefully at home, surrounded by loved ones. This experience transformed the care manager and the team, increasing their confidence in delivering culturally responsive palliative care.</w:t>
      </w:r>
      <w:r w:rsidR="00DE5083">
        <w:t xml:space="preserve"> – PEPA Aged Care survey respondent</w:t>
      </w:r>
    </w:p>
    <w:p w14:paraId="7535F359" w14:textId="64E2F709" w:rsidR="0025605A" w:rsidRDefault="0025605A" w:rsidP="00F6274D">
      <w:r>
        <w:t>Post-placement evaluation survey data reinforced these perceptions, with almost all participants agreeing that the program would improve both their care of people with life-limiting illness and their organisation</w:t>
      </w:r>
      <w:r w:rsidR="003863F5">
        <w:t>’</w:t>
      </w:r>
      <w:r>
        <w:t>s care delivery (</w:t>
      </w:r>
      <w:r>
        <w:fldChar w:fldCharType="begin"/>
      </w:r>
      <w:r>
        <w:instrText xml:space="preserve"> REF _Ref215671593 \h </w:instrText>
      </w:r>
      <w:r>
        <w:fldChar w:fldCharType="separate"/>
      </w:r>
      <w:r w:rsidR="00167BA0">
        <w:t xml:space="preserve">Figure </w:t>
      </w:r>
      <w:r w:rsidR="00167BA0">
        <w:rPr>
          <w:noProof/>
        </w:rPr>
        <w:t>9</w:t>
      </w:r>
      <w:r w:rsidR="00167BA0">
        <w:t>.</w:t>
      </w:r>
      <w:r w:rsidR="00167BA0">
        <w:rPr>
          <w:noProof/>
        </w:rPr>
        <w:t>5</w:t>
      </w:r>
      <w:r>
        <w:fldChar w:fldCharType="end"/>
      </w:r>
      <w:r>
        <w:t xml:space="preserve">, </w:t>
      </w:r>
      <w:r>
        <w:fldChar w:fldCharType="begin"/>
      </w:r>
      <w:r>
        <w:instrText xml:space="preserve"> REF _Ref214614002 \n \h </w:instrText>
      </w:r>
      <w:r>
        <w:fldChar w:fldCharType="separate"/>
      </w:r>
      <w:r w:rsidR="00167BA0">
        <w:t>Appendix C</w:t>
      </w:r>
      <w:r>
        <w:fldChar w:fldCharType="end"/>
      </w:r>
      <w:r>
        <w:t>).</w:t>
      </w:r>
    </w:p>
    <w:p w14:paraId="3D567999" w14:textId="32287436" w:rsidR="00B2222C" w:rsidRPr="004B2332" w:rsidRDefault="00A64D55" w:rsidP="00F6274D">
      <w:pPr>
        <w:rPr>
          <w:highlight w:val="yellow"/>
        </w:rPr>
      </w:pPr>
      <w:r>
        <w:t xml:space="preserve">Findings from </w:t>
      </w:r>
      <w:r w:rsidR="000F7973">
        <w:t xml:space="preserve">PEPA Aged Care survey respondents </w:t>
      </w:r>
      <w:r>
        <w:t xml:space="preserve">on </w:t>
      </w:r>
      <w:r w:rsidR="00F6274D">
        <w:t xml:space="preserve">the </w:t>
      </w:r>
      <w:r w:rsidR="00A14D11">
        <w:t xml:space="preserve">perceived </w:t>
      </w:r>
      <w:r w:rsidR="00F6274D">
        <w:t>impact of program participation on hospital utilisation</w:t>
      </w:r>
      <w:r w:rsidR="00987532">
        <w:t>, including unplanned hospital admissions and ED visits,</w:t>
      </w:r>
      <w:r w:rsidR="00F6274D">
        <w:t xml:space="preserve"> were inconclusive</w:t>
      </w:r>
      <w:r w:rsidR="000F7973">
        <w:t xml:space="preserve"> </w:t>
      </w:r>
      <w:r w:rsidR="000F7973" w:rsidRPr="000F7973">
        <w:t>(</w:t>
      </w:r>
      <w:r w:rsidR="00450D34">
        <w:t>technical paper, Figure 5.8 and Figure 8.9</w:t>
      </w:r>
      <w:r w:rsidR="000F7973" w:rsidRPr="000F7973">
        <w:t xml:space="preserve">). </w:t>
      </w:r>
      <w:r w:rsidR="000F7973" w:rsidRPr="001C1782">
        <w:t xml:space="preserve">These </w:t>
      </w:r>
      <w:r w:rsidR="00256DAE" w:rsidRPr="001C1782">
        <w:t>mixed results</w:t>
      </w:r>
      <w:r w:rsidR="00074563" w:rsidRPr="001C1782">
        <w:t xml:space="preserve"> may reflect</w:t>
      </w:r>
      <w:r w:rsidR="000C66A1">
        <w:t xml:space="preserve"> a range of</w:t>
      </w:r>
      <w:r w:rsidR="00491416">
        <w:t xml:space="preserve"> factors, including</w:t>
      </w:r>
      <w:r w:rsidR="00074563" w:rsidRPr="001C1782">
        <w:t xml:space="preserve"> </w:t>
      </w:r>
      <w:r w:rsidR="00FC46FD" w:rsidRPr="001C1782">
        <w:t>the program</w:t>
      </w:r>
      <w:r w:rsidR="003863F5">
        <w:t>’</w:t>
      </w:r>
      <w:r w:rsidR="00FC46FD" w:rsidRPr="001C1782">
        <w:t xml:space="preserve">s </w:t>
      </w:r>
      <w:r w:rsidR="00FC46FD">
        <w:t xml:space="preserve">early stage of implementation and </w:t>
      </w:r>
      <w:r w:rsidR="00074563" w:rsidRPr="001C1782">
        <w:t xml:space="preserve">external </w:t>
      </w:r>
      <w:r w:rsidR="00491416">
        <w:t>influences</w:t>
      </w:r>
      <w:r w:rsidR="006429AB" w:rsidRPr="001C1782">
        <w:t>.</w:t>
      </w:r>
    </w:p>
    <w:p w14:paraId="7DFB1BB7" w14:textId="354F33D6" w:rsidR="00E933E9" w:rsidRDefault="00A14ED8" w:rsidP="00E933E9">
      <w:pPr>
        <w:pStyle w:val="Findings"/>
      </w:pPr>
      <w:r>
        <w:t xml:space="preserve">PEPA Aged Care was perceived to </w:t>
      </w:r>
      <w:r w:rsidR="00847ED0">
        <w:t>indirectly enhance</w:t>
      </w:r>
      <w:r>
        <w:t xml:space="preserve"> care quality and experiences for older people and </w:t>
      </w:r>
      <w:r w:rsidR="006323A4">
        <w:t>families</w:t>
      </w:r>
      <w:r>
        <w:t xml:space="preserve"> </w:t>
      </w:r>
      <w:r w:rsidR="006323A4">
        <w:t xml:space="preserve">by </w:t>
      </w:r>
      <w:r w:rsidR="00847ED0">
        <w:t>improving</w:t>
      </w:r>
      <w:r w:rsidR="006323A4">
        <w:t xml:space="preserve"> </w:t>
      </w:r>
      <w:r w:rsidR="006323A4">
        <w:t>workforce capability and organisational systems. However</w:t>
      </w:r>
      <w:r w:rsidR="00C136C4">
        <w:t xml:space="preserve">, </w:t>
      </w:r>
      <w:r w:rsidR="001934C0">
        <w:t xml:space="preserve">the evaluation was unable to validate these </w:t>
      </w:r>
      <w:r w:rsidR="00867C81">
        <w:t>perceived outcomes</w:t>
      </w:r>
      <w:r w:rsidR="004C78CE">
        <w:t xml:space="preserve"> due to the absence of </w:t>
      </w:r>
      <w:r w:rsidR="000A384A">
        <w:t xml:space="preserve">measurable outcome data </w:t>
      </w:r>
      <w:r w:rsidR="004C78CE">
        <w:t>during the evaluation period</w:t>
      </w:r>
      <w:r w:rsidR="006323A4">
        <w:t>.</w:t>
      </w:r>
    </w:p>
    <w:p w14:paraId="1972B3C0" w14:textId="5596CD03" w:rsidR="005B4429" w:rsidRDefault="005B4429" w:rsidP="005B4429">
      <w:pPr>
        <w:pStyle w:val="Heading3"/>
      </w:pPr>
      <w:bookmarkStart w:id="99" w:name="_Toc232685914"/>
      <w:r>
        <w:t>Factors influencing effectiveness</w:t>
      </w:r>
      <w:bookmarkEnd w:id="99"/>
    </w:p>
    <w:p w14:paraId="60EC076F" w14:textId="4CA591A2" w:rsidR="005B4429" w:rsidRDefault="007F76BE" w:rsidP="005B4429">
      <w:r>
        <w:t xml:space="preserve">Several </w:t>
      </w:r>
      <w:r w:rsidR="00F5370E">
        <w:t xml:space="preserve">factors were identified as shaping the </w:t>
      </w:r>
      <w:r w:rsidR="00B55804">
        <w:t xml:space="preserve">overall </w:t>
      </w:r>
      <w:r w:rsidR="00F5370E">
        <w:t xml:space="preserve">effectiveness and sustainability of PEPA Aged Care </w:t>
      </w:r>
      <w:r w:rsidR="004E6184">
        <w:t>in improving</w:t>
      </w:r>
      <w:r w:rsidR="00261E55">
        <w:t xml:space="preserve"> workforce capability, organisational </w:t>
      </w:r>
      <w:r w:rsidR="00B15D94">
        <w:t>capability</w:t>
      </w:r>
      <w:r w:rsidR="00261E55">
        <w:t xml:space="preserve">, and </w:t>
      </w:r>
      <w:r w:rsidR="009D6C2A">
        <w:t>outcomes for older people</w:t>
      </w:r>
      <w:r w:rsidR="00FD6B08">
        <w:t xml:space="preserve"> and their families</w:t>
      </w:r>
      <w:r w:rsidR="00D074B3">
        <w:t>:</w:t>
      </w:r>
    </w:p>
    <w:p w14:paraId="398522AD" w14:textId="0B39177B" w:rsidR="00980B71" w:rsidRDefault="00D162F5" w:rsidP="00980B71">
      <w:pPr>
        <w:pStyle w:val="ListBullet"/>
      </w:pPr>
      <w:r w:rsidRPr="00D162F5">
        <w:rPr>
          <w:b/>
          <w:bCs/>
        </w:rPr>
        <w:t>Single training placement</w:t>
      </w:r>
      <w:r w:rsidR="00261E55">
        <w:rPr>
          <w:b/>
          <w:bCs/>
        </w:rPr>
        <w:t xml:space="preserve"> model</w:t>
      </w:r>
      <w:r w:rsidRPr="00D162F5">
        <w:rPr>
          <w:b/>
          <w:bCs/>
        </w:rPr>
        <w:t>:</w:t>
      </w:r>
      <w:r>
        <w:t xml:space="preserve"> </w:t>
      </w:r>
      <w:r w:rsidR="008A4FB4">
        <w:t xml:space="preserve">while </w:t>
      </w:r>
      <w:r w:rsidR="00D965D0">
        <w:t xml:space="preserve">the reverse placement model was viewed as </w:t>
      </w:r>
      <w:r w:rsidR="008A4FB4">
        <w:t xml:space="preserve">effective for initial </w:t>
      </w:r>
      <w:r w:rsidR="00795F81">
        <w:t xml:space="preserve">staff </w:t>
      </w:r>
      <w:r w:rsidR="008A4FB4">
        <w:t xml:space="preserve">capability building, </w:t>
      </w:r>
      <w:r>
        <w:t>t</w:t>
      </w:r>
      <w:r w:rsidR="00E311AC">
        <w:t xml:space="preserve">he one-off </w:t>
      </w:r>
      <w:r w:rsidR="00D965D0">
        <w:t>nature of training</w:t>
      </w:r>
      <w:r w:rsidR="00E311AC">
        <w:t xml:space="preserve"> was widely </w:t>
      </w:r>
      <w:r w:rsidR="00D965D0">
        <w:t xml:space="preserve">perceived </w:t>
      </w:r>
      <w:r w:rsidR="00E311AC">
        <w:t>as insufficient for sust</w:t>
      </w:r>
      <w:r w:rsidR="00BC472B">
        <w:t>aining currency</w:t>
      </w:r>
      <w:r w:rsidR="00013858">
        <w:t xml:space="preserve"> of knowledge and skills</w:t>
      </w:r>
      <w:r w:rsidR="00BC472B">
        <w:t xml:space="preserve"> over time</w:t>
      </w:r>
      <w:r w:rsidR="00BE6420">
        <w:t>, particularly in the context of high staff turnover.</w:t>
      </w:r>
      <w:r w:rsidR="00946874">
        <w:t xml:space="preserve"> </w:t>
      </w:r>
      <w:r w:rsidR="000C5B0F">
        <w:t xml:space="preserve">Stakeholders proposed several </w:t>
      </w:r>
      <w:r w:rsidR="007E0FCD">
        <w:t>strategies</w:t>
      </w:r>
      <w:r w:rsidR="003D4657">
        <w:t xml:space="preserve"> that could support reinforcement of learning over time, including</w:t>
      </w:r>
      <w:r w:rsidR="00980B71">
        <w:t>:</w:t>
      </w:r>
    </w:p>
    <w:p w14:paraId="43901B4B" w14:textId="2846761E" w:rsidR="00980B71" w:rsidRDefault="008C53F1" w:rsidP="00946874">
      <w:pPr>
        <w:pStyle w:val="ListBullet2"/>
      </w:pPr>
      <w:r>
        <w:t>provid</w:t>
      </w:r>
      <w:r w:rsidR="003D4657">
        <w:t>ing</w:t>
      </w:r>
      <w:r>
        <w:t xml:space="preserve"> </w:t>
      </w:r>
      <w:r w:rsidR="00980B71" w:rsidRPr="00B93FC8">
        <w:t>ongoing, recurring access</w:t>
      </w:r>
      <w:r w:rsidR="00980B71">
        <w:t xml:space="preserve"> to reverse placements (annual or biannual, potentially as shorter refresher sessions</w:t>
      </w:r>
      <w:r w:rsidR="005A6D9D">
        <w:t xml:space="preserve"> after the initial placement</w:t>
      </w:r>
      <w:r w:rsidR="00980B71">
        <w:t>)</w:t>
      </w:r>
    </w:p>
    <w:p w14:paraId="19A25EF0" w14:textId="7C62075D" w:rsidR="00980B71" w:rsidRDefault="00227861" w:rsidP="00946874">
      <w:pPr>
        <w:pStyle w:val="ListBullet2"/>
      </w:pPr>
      <w:r>
        <w:t>offer</w:t>
      </w:r>
      <w:r w:rsidR="003D4657">
        <w:t>ing</w:t>
      </w:r>
      <w:r w:rsidR="00980B71" w:rsidRPr="001048DF">
        <w:t xml:space="preserve"> a longer structured program</w:t>
      </w:r>
      <w:r w:rsidR="00980B71">
        <w:t xml:space="preserve"> (e.g. 12-month engagement with monthly sessions) to embed training outcomes more deeply and across a broader cross-section of staff within participating sites</w:t>
      </w:r>
    </w:p>
    <w:p w14:paraId="0520D071" w14:textId="5D818A27" w:rsidR="00980B71" w:rsidRDefault="00426E3E" w:rsidP="00946874">
      <w:pPr>
        <w:pStyle w:val="ListBullet2"/>
      </w:pPr>
      <w:r>
        <w:t>expan</w:t>
      </w:r>
      <w:r w:rsidR="00C1067A">
        <w:t>d</w:t>
      </w:r>
      <w:r w:rsidR="00B72F52">
        <w:t>ing</w:t>
      </w:r>
      <w:r w:rsidR="00980B71">
        <w:t xml:space="preserve"> virtual resources and communities of practice to supplement </w:t>
      </w:r>
      <w:r w:rsidR="007051D5">
        <w:t xml:space="preserve">the </w:t>
      </w:r>
      <w:r w:rsidR="00980B71">
        <w:t xml:space="preserve">core reverse placements and </w:t>
      </w:r>
      <w:r w:rsidR="007051D5">
        <w:t>facilitate</w:t>
      </w:r>
      <w:r w:rsidR="00980B71">
        <w:t xml:space="preserve"> ongoing peer support.</w:t>
      </w:r>
    </w:p>
    <w:p w14:paraId="3E3F798D" w14:textId="0E5DC86B" w:rsidR="00504FE3" w:rsidRDefault="001136E6" w:rsidP="001136E6">
      <w:pPr>
        <w:pStyle w:val="ListBullet"/>
      </w:pPr>
      <w:r w:rsidRPr="00B11388">
        <w:rPr>
          <w:b/>
          <w:bCs/>
        </w:rPr>
        <w:t>Competing priorities and resource constraints:</w:t>
      </w:r>
      <w:r>
        <w:t xml:space="preserve"> </w:t>
      </w:r>
      <w:r w:rsidR="008E7077">
        <w:t xml:space="preserve">as noted in Section 5.2.1, </w:t>
      </w:r>
      <w:r w:rsidR="00E2209A">
        <w:t>competing organisational priorities and workforce challenges</w:t>
      </w:r>
      <w:r>
        <w:t xml:space="preserve"> </w:t>
      </w:r>
      <w:r w:rsidR="002802D2">
        <w:t xml:space="preserve">reportedly </w:t>
      </w:r>
      <w:r w:rsidR="0099577D">
        <w:t>limited some sites</w:t>
      </w:r>
      <w:r w:rsidR="003863F5">
        <w:t>’</w:t>
      </w:r>
      <w:r w:rsidR="0099577D">
        <w:t xml:space="preserve"> ability to </w:t>
      </w:r>
      <w:r w:rsidR="00CF292C">
        <w:t>engage in</w:t>
      </w:r>
      <w:r>
        <w:t xml:space="preserve"> post-placement activities</w:t>
      </w:r>
      <w:r w:rsidR="0099577D">
        <w:t xml:space="preserve"> </w:t>
      </w:r>
      <w:r w:rsidR="00CF292C">
        <w:t>to embed and</w:t>
      </w:r>
      <w:r w:rsidR="0099577D">
        <w:t xml:space="preserve"> </w:t>
      </w:r>
      <w:r w:rsidR="008E7077">
        <w:t xml:space="preserve">sustain </w:t>
      </w:r>
      <w:r w:rsidR="00CF292C">
        <w:t>learnings</w:t>
      </w:r>
      <w:r>
        <w:t xml:space="preserve">. </w:t>
      </w:r>
      <w:r w:rsidR="008E7077">
        <w:t>Suggested solutions</w:t>
      </w:r>
      <w:r w:rsidR="00CF292C">
        <w:t xml:space="preserve"> to address this</w:t>
      </w:r>
      <w:r w:rsidR="008E7077">
        <w:t xml:space="preserve"> included</w:t>
      </w:r>
      <w:r w:rsidR="00504FE3">
        <w:t>:</w:t>
      </w:r>
    </w:p>
    <w:p w14:paraId="62C1EED4" w14:textId="77777777" w:rsidR="00504FE3" w:rsidRDefault="001136E6" w:rsidP="00504FE3">
      <w:pPr>
        <w:pStyle w:val="ListBullet2"/>
      </w:pPr>
      <w:r>
        <w:t xml:space="preserve">strengthening </w:t>
      </w:r>
      <w:r w:rsidR="00554C65">
        <w:t>the</w:t>
      </w:r>
      <w:r>
        <w:t xml:space="preserve"> support</w:t>
      </w:r>
      <w:r w:rsidR="00554C65">
        <w:t xml:space="preserve"> provided to sites following placements</w:t>
      </w:r>
      <w:r>
        <w:t xml:space="preserve"> </w:t>
      </w:r>
      <w:r w:rsidR="00194F12">
        <w:t xml:space="preserve">through </w:t>
      </w:r>
      <w:r w:rsidR="007F13C2">
        <w:t xml:space="preserve">more structured follow-up or </w:t>
      </w:r>
      <w:r w:rsidR="00504FE3">
        <w:t xml:space="preserve">ongoing </w:t>
      </w:r>
      <w:r w:rsidR="007F13C2">
        <w:t>mentoring</w:t>
      </w:r>
    </w:p>
    <w:p w14:paraId="3DB5407A" w14:textId="5CF5F4EC" w:rsidR="001136E6" w:rsidRDefault="00FE4BB1" w:rsidP="00504FE3">
      <w:pPr>
        <w:pStyle w:val="ListBullet2"/>
      </w:pPr>
      <w:r>
        <w:t xml:space="preserve">linking </w:t>
      </w:r>
      <w:r w:rsidR="001136E6">
        <w:t>site funding directly to the completion of post-placement activities to incentivise engagement.</w:t>
      </w:r>
    </w:p>
    <w:p w14:paraId="6D7752F2" w14:textId="7693E6CB" w:rsidR="001136E6" w:rsidRDefault="001136E6" w:rsidP="001136E6">
      <w:pPr>
        <w:pStyle w:val="ListBullet"/>
      </w:pPr>
      <w:r>
        <w:rPr>
          <w:b/>
          <w:bCs/>
        </w:rPr>
        <w:lastRenderedPageBreak/>
        <w:t xml:space="preserve">Limited </w:t>
      </w:r>
      <w:r w:rsidR="0094001D">
        <w:rPr>
          <w:b/>
          <w:bCs/>
        </w:rPr>
        <w:t>leadership</w:t>
      </w:r>
      <w:r>
        <w:rPr>
          <w:b/>
          <w:bCs/>
        </w:rPr>
        <w:t xml:space="preserve"> engagement:</w:t>
      </w:r>
      <w:r>
        <w:t xml:space="preserve"> some stakeholders expressed concern that without </w:t>
      </w:r>
      <w:r w:rsidR="0094001D">
        <w:t xml:space="preserve">active leadership engagement </w:t>
      </w:r>
      <w:r w:rsidR="00052154">
        <w:t>to foster and drive integration of palliative care</w:t>
      </w:r>
      <w:r>
        <w:t>,</w:t>
      </w:r>
      <w:r w:rsidR="00052154">
        <w:t xml:space="preserve"> program outcomes may not be sustained</w:t>
      </w:r>
      <w:r>
        <w:t xml:space="preserve">. It was suggested that developing distinct </w:t>
      </w:r>
      <w:r w:rsidR="009B706C">
        <w:t>PEPA Aged Care</w:t>
      </w:r>
      <w:r>
        <w:t xml:space="preserve"> training streams for managers and governance roles could enhance the program</w:t>
      </w:r>
      <w:r w:rsidR="003863F5">
        <w:t>’</w:t>
      </w:r>
      <w:r>
        <w:t>s effectiveness</w:t>
      </w:r>
      <w:r w:rsidR="008476E9">
        <w:t xml:space="preserve"> and sustainability</w:t>
      </w:r>
      <w:r>
        <w:t>.</w:t>
      </w:r>
    </w:p>
    <w:p w14:paraId="4E91FD5B" w14:textId="4D291AAB" w:rsidR="00EA4A09" w:rsidRDefault="00442747" w:rsidP="001136E6">
      <w:pPr>
        <w:pStyle w:val="ListBullet"/>
      </w:pPr>
      <w:r>
        <w:rPr>
          <w:b/>
          <w:bCs/>
        </w:rPr>
        <w:t>Program s</w:t>
      </w:r>
      <w:r w:rsidR="001136E6" w:rsidRPr="00CC251B">
        <w:rPr>
          <w:b/>
          <w:bCs/>
        </w:rPr>
        <w:t>cale and reach:</w:t>
      </w:r>
      <w:r w:rsidR="001136E6">
        <w:t xml:space="preserve"> stakeholders cautioned that without wider reach, PEPA Aged Care</w:t>
      </w:r>
      <w:r w:rsidR="00FC2D89">
        <w:t xml:space="preserve"> may not adequately meet the needs of the aged care sector</w:t>
      </w:r>
      <w:r w:rsidR="001136E6">
        <w:t>. Achieving genuine change was seen as contingent on reaching a critical mass of staff and aged care providers</w:t>
      </w:r>
      <w:r w:rsidR="00680DF7">
        <w:t xml:space="preserve">, including </w:t>
      </w:r>
      <w:r w:rsidR="005E6E18">
        <w:t xml:space="preserve">those </w:t>
      </w:r>
      <w:r w:rsidR="00680DF7">
        <w:t>beyond residential aged care settings</w:t>
      </w:r>
      <w:r w:rsidR="001136E6">
        <w:t>. Opportunities identified to ex</w:t>
      </w:r>
      <w:r w:rsidR="00512103">
        <w:t>tend</w:t>
      </w:r>
      <w:r w:rsidR="001136E6">
        <w:t xml:space="preserve"> the program</w:t>
      </w:r>
      <w:r w:rsidR="003863F5">
        <w:t>’</w:t>
      </w:r>
      <w:r w:rsidR="001136E6">
        <w:t>s reach included</w:t>
      </w:r>
      <w:r w:rsidR="00EA4A09">
        <w:t>:</w:t>
      </w:r>
    </w:p>
    <w:p w14:paraId="16A51253" w14:textId="77777777" w:rsidR="008107E4" w:rsidRDefault="008107E4" w:rsidP="00EA4A09">
      <w:pPr>
        <w:pStyle w:val="ListBullet2"/>
      </w:pPr>
      <w:r>
        <w:t>expansion of the nurse educator workforce to support scalability</w:t>
      </w:r>
    </w:p>
    <w:p w14:paraId="708F0346" w14:textId="6FECBBD6" w:rsidR="00EA4A09" w:rsidRDefault="00EA4A09" w:rsidP="00EA4A09">
      <w:pPr>
        <w:pStyle w:val="ListBullet2"/>
      </w:pPr>
      <w:r>
        <w:t>c</w:t>
      </w:r>
      <w:r w:rsidR="001136E6">
        <w:t xml:space="preserve">ascade </w:t>
      </w:r>
      <w:r w:rsidR="00A37F80">
        <w:t xml:space="preserve">or train-the-trainer </w:t>
      </w:r>
      <w:r w:rsidR="001136E6">
        <w:t>delivery models (e.g. training clinical educators to filter knowledge within organisations)</w:t>
      </w:r>
    </w:p>
    <w:p w14:paraId="58C1348B" w14:textId="61F74DA3" w:rsidR="00EA4A09" w:rsidRDefault="001136E6" w:rsidP="00EA4A09">
      <w:pPr>
        <w:pStyle w:val="ListBullet2"/>
      </w:pPr>
      <w:r>
        <w:t>blended learning approaches</w:t>
      </w:r>
      <w:r w:rsidR="00DB58D7">
        <w:t xml:space="preserve"> (e.g. </w:t>
      </w:r>
      <w:r w:rsidR="005127CE">
        <w:t>offering a blend of online</w:t>
      </w:r>
      <w:r w:rsidR="008D3B8D">
        <w:t xml:space="preserve"> and in-person learning options)</w:t>
      </w:r>
    </w:p>
    <w:p w14:paraId="15B60AD3" w14:textId="21C5BAF9" w:rsidR="001136E6" w:rsidRDefault="00786BD4" w:rsidP="00EA4A09">
      <w:pPr>
        <w:pStyle w:val="ListBullet2"/>
      </w:pPr>
      <w:r>
        <w:t>linking training to professional development requirements to incentivise</w:t>
      </w:r>
      <w:r w:rsidR="007D47D8">
        <w:t xml:space="preserve"> </w:t>
      </w:r>
      <w:r w:rsidR="008F241F">
        <w:t>staff participation and engagement</w:t>
      </w:r>
      <w:r w:rsidR="001136E6">
        <w:t>.</w:t>
      </w:r>
    </w:p>
    <w:p w14:paraId="168F6390" w14:textId="57DCAA9F" w:rsidR="001136E6" w:rsidRPr="005B4429" w:rsidRDefault="00850C8A" w:rsidP="00512103">
      <w:pPr>
        <w:pStyle w:val="Findings"/>
      </w:pPr>
      <w:r>
        <w:t xml:space="preserve">Factors </w:t>
      </w:r>
      <w:r w:rsidR="0034127C">
        <w:t xml:space="preserve">identified as potentially </w:t>
      </w:r>
      <w:r>
        <w:t>impacting the effectiveness of PEPA Aged Care included the one-off reverse placement model, competing organisational priorities, lack of direct leadership engagement, and the program</w:t>
      </w:r>
      <w:r w:rsidR="003863F5">
        <w:t>’</w:t>
      </w:r>
      <w:r>
        <w:t>s relatively limited reach. Suggested strategies to improve the effectiveness and sustainability of outcomes included ongoing, recurring access to placements; expanded online resources and communities of practice; strengthened post-placement mentoring; leadership-focused training streams; and increased nurse educator capacity to broaden reach</w:t>
      </w:r>
      <w:r w:rsidR="00502F40">
        <w:t>.</w:t>
      </w:r>
    </w:p>
    <w:p w14:paraId="60BF1AE0" w14:textId="49E60C4D" w:rsidR="00D511D1" w:rsidRDefault="00D511D1" w:rsidP="00D511D1">
      <w:pPr>
        <w:pStyle w:val="Heading2"/>
      </w:pPr>
      <w:bookmarkStart w:id="100" w:name="_Toc232685915"/>
      <w:r>
        <w:t>PACOP</w:t>
      </w:r>
      <w:bookmarkEnd w:id="100"/>
    </w:p>
    <w:p w14:paraId="2A73BFD9" w14:textId="42658F4E" w:rsidR="00D511D1" w:rsidRDefault="00E16583" w:rsidP="00B2222C">
      <w:r>
        <w:t xml:space="preserve">This section </w:t>
      </w:r>
      <w:r w:rsidR="00A10C29">
        <w:t xml:space="preserve">explores the extent to which PACOP </w:t>
      </w:r>
      <w:r w:rsidR="00FB1B4A">
        <w:t xml:space="preserve">contributed to </w:t>
      </w:r>
      <w:r w:rsidR="00A10C29">
        <w:t>strengthen</w:t>
      </w:r>
      <w:r w:rsidR="00FB1B4A">
        <w:t>ing</w:t>
      </w:r>
      <w:r w:rsidR="00A10C29">
        <w:t xml:space="preserve"> workforce capability, </w:t>
      </w:r>
      <w:r w:rsidR="00FB1B4A">
        <w:t xml:space="preserve">enhancing </w:t>
      </w:r>
      <w:r w:rsidR="005C19EB">
        <w:t>organisational</w:t>
      </w:r>
      <w:r w:rsidR="00A10C29">
        <w:t xml:space="preserve"> systems and collaboration, and </w:t>
      </w:r>
      <w:r w:rsidR="00FB1B4A">
        <w:t xml:space="preserve">improving </w:t>
      </w:r>
      <w:r w:rsidR="005C19EB">
        <w:t xml:space="preserve">care experiences and outcomes for older people and their families. It also examines </w:t>
      </w:r>
      <w:r w:rsidR="00BF16F7">
        <w:t>variation in reported benefits</w:t>
      </w:r>
      <w:r w:rsidR="00163CCD">
        <w:t xml:space="preserve"> across participant groups and factors </w:t>
      </w:r>
      <w:r w:rsidR="00BF16F7">
        <w:t>influencing</w:t>
      </w:r>
      <w:r w:rsidR="00163CCD">
        <w:t xml:space="preserve"> program effectiveness.</w:t>
      </w:r>
    </w:p>
    <w:p w14:paraId="29580A9D" w14:textId="27F6ED58" w:rsidR="00D511D1" w:rsidRDefault="00D511D1" w:rsidP="00D511D1">
      <w:pPr>
        <w:pStyle w:val="Heading3"/>
      </w:pPr>
      <w:bookmarkStart w:id="101" w:name="_Toc232685916"/>
      <w:r>
        <w:t>Improve</w:t>
      </w:r>
      <w:r w:rsidR="004C5FCE">
        <w:t>ments in</w:t>
      </w:r>
      <w:r>
        <w:t xml:space="preserve"> workforce capability</w:t>
      </w:r>
      <w:bookmarkEnd w:id="101"/>
    </w:p>
    <w:p w14:paraId="7B0ADC2A" w14:textId="2D517E78" w:rsidR="00252E89" w:rsidRDefault="005B4C56" w:rsidP="00B2222C">
      <w:r w:rsidRPr="005B4C56">
        <w:t>PACOP</w:t>
      </w:r>
      <w:r w:rsidR="003863F5">
        <w:t>’</w:t>
      </w:r>
      <w:r w:rsidRPr="005B4C56">
        <w:t>s educational activities</w:t>
      </w:r>
      <w:r w:rsidR="00CF1AE3">
        <w:t xml:space="preserve">, </w:t>
      </w:r>
      <w:r w:rsidRPr="005B4C56">
        <w:t>including online modules, workshops, webinars</w:t>
      </w:r>
      <w:r w:rsidR="00161BEF">
        <w:t xml:space="preserve">, and </w:t>
      </w:r>
      <w:r w:rsidR="004B3B09">
        <w:t>c</w:t>
      </w:r>
      <w:r w:rsidR="00161BEF">
        <w:t xml:space="preserve">ommunities of </w:t>
      </w:r>
      <w:r w:rsidR="004B3B09">
        <w:t>p</w:t>
      </w:r>
      <w:r w:rsidR="00161BEF">
        <w:t>ractice</w:t>
      </w:r>
      <w:r w:rsidR="00CF1AE3">
        <w:t xml:space="preserve">, </w:t>
      </w:r>
      <w:r w:rsidR="00001E67">
        <w:t>were designed to build capa</w:t>
      </w:r>
      <w:r w:rsidR="001210E6">
        <w:t>bility in</w:t>
      </w:r>
      <w:r w:rsidR="00CF1AE3">
        <w:t xml:space="preserve"> the aged care workforce.</w:t>
      </w:r>
    </w:p>
    <w:p w14:paraId="28011BEE" w14:textId="3AA89F31" w:rsidR="00B3494A" w:rsidRDefault="00B3494A" w:rsidP="00B3494A">
      <w:pPr>
        <w:pStyle w:val="Heading4"/>
      </w:pPr>
      <w:r>
        <w:t>Capability gains across key domains</w:t>
      </w:r>
    </w:p>
    <w:p w14:paraId="35F5879E" w14:textId="28178665" w:rsidR="003A7E49" w:rsidRDefault="003A7E49" w:rsidP="00B2222C">
      <w:r>
        <w:t xml:space="preserve">Evidence from </w:t>
      </w:r>
      <w:r w:rsidR="00073560">
        <w:t>the online survey, case studies, and pr</w:t>
      </w:r>
      <w:r w:rsidR="00374AF9">
        <w:t>e</w:t>
      </w:r>
      <w:r w:rsidR="00073560">
        <w:t>/</w:t>
      </w:r>
      <w:r w:rsidR="000A7946">
        <w:t>post-training</w:t>
      </w:r>
      <w:r w:rsidR="00073560">
        <w:t xml:space="preserve"> evaluation surveys </w:t>
      </w:r>
      <w:r w:rsidR="00B74AF6">
        <w:t>conducted by PACOP</w:t>
      </w:r>
      <w:r w:rsidR="00073560">
        <w:t xml:space="preserve"> </w:t>
      </w:r>
      <w:r w:rsidR="00371A0D">
        <w:t>indicate</w:t>
      </w:r>
      <w:r w:rsidR="005A666E">
        <w:t>d</w:t>
      </w:r>
      <w:r w:rsidR="00371A0D">
        <w:t xml:space="preserve"> that </w:t>
      </w:r>
      <w:r w:rsidR="00B74AF6">
        <w:t>the program</w:t>
      </w:r>
      <w:r w:rsidR="00371A0D">
        <w:t xml:space="preserve"> contributed to</w:t>
      </w:r>
      <w:r w:rsidR="00D70FF6">
        <w:t xml:space="preserve"> perceived</w:t>
      </w:r>
      <w:r w:rsidR="00371A0D">
        <w:t xml:space="preserve"> improv</w:t>
      </w:r>
      <w:r w:rsidR="00D70FF6">
        <w:t>ements in</w:t>
      </w:r>
      <w:r w:rsidR="00371A0D">
        <w:t xml:space="preserve"> </w:t>
      </w:r>
      <w:r w:rsidR="007A37C8">
        <w:t>workforce capability</w:t>
      </w:r>
      <w:r w:rsidR="00073560">
        <w:t xml:space="preserve">. </w:t>
      </w:r>
      <w:r w:rsidR="00BA56AA">
        <w:t xml:space="preserve">Findings from the online survey showed that </w:t>
      </w:r>
      <w:r w:rsidR="00B01CC3">
        <w:t xml:space="preserve">between 72% and 77% of PACOP respondents reported moderate or significant </w:t>
      </w:r>
      <w:r w:rsidR="00832637">
        <w:t>gains</w:t>
      </w:r>
      <w:r w:rsidR="00C93BCA">
        <w:t xml:space="preserve"> in </w:t>
      </w:r>
      <w:r w:rsidR="00D93B8F">
        <w:t>staff</w:t>
      </w:r>
      <w:r w:rsidR="00F479AC">
        <w:t xml:space="preserve"> knowledge, skills, and confidence </w:t>
      </w:r>
      <w:r w:rsidR="00D93B8F">
        <w:t>to recognise</w:t>
      </w:r>
      <w:r w:rsidR="00F479AC">
        <w:t xml:space="preserve"> palliative care needs</w:t>
      </w:r>
      <w:r w:rsidR="00C93BCA">
        <w:t xml:space="preserve">, </w:t>
      </w:r>
      <w:r w:rsidR="00D93B8F">
        <w:t>deliver</w:t>
      </w:r>
      <w:r w:rsidR="00F479AC">
        <w:t xml:space="preserve"> high-quality palliative care</w:t>
      </w:r>
      <w:r w:rsidR="00C93BCA">
        <w:t xml:space="preserve">, </w:t>
      </w:r>
      <w:r w:rsidR="000B3566">
        <w:t>facilitat</w:t>
      </w:r>
      <w:r w:rsidR="00D93B8F">
        <w:t>e</w:t>
      </w:r>
      <w:r w:rsidR="000B3566">
        <w:t xml:space="preserve"> advance care planning</w:t>
      </w:r>
      <w:r w:rsidR="00C93BCA">
        <w:t xml:space="preserve">, and </w:t>
      </w:r>
      <w:r w:rsidR="00D93B8F">
        <w:t>work</w:t>
      </w:r>
      <w:r w:rsidR="000B3566">
        <w:t xml:space="preserve"> effectively with external providers (</w:t>
      </w:r>
      <w:r w:rsidR="000B3566">
        <w:fldChar w:fldCharType="begin"/>
      </w:r>
      <w:r w:rsidR="000B3566">
        <w:instrText xml:space="preserve"> REF _Ref209606211 \h  \* MERGEFORMAT </w:instrText>
      </w:r>
      <w:r w:rsidR="000B3566">
        <w:fldChar w:fldCharType="separate"/>
      </w:r>
      <w:r w:rsidR="00167BA0">
        <w:t xml:space="preserve">Figure </w:t>
      </w:r>
      <w:r w:rsidR="00167BA0">
        <w:rPr>
          <w:noProof/>
        </w:rPr>
        <w:t>6.4</w:t>
      </w:r>
      <w:r w:rsidR="000B3566">
        <w:fldChar w:fldCharType="end"/>
      </w:r>
      <w:r w:rsidR="000B3566">
        <w:t xml:space="preserve">). </w:t>
      </w:r>
      <w:r w:rsidR="00C400EF">
        <w:t>M</w:t>
      </w:r>
      <w:r w:rsidR="00280677">
        <w:t xml:space="preserve">ost </w:t>
      </w:r>
      <w:r w:rsidR="00255F3B">
        <w:t xml:space="preserve">survey </w:t>
      </w:r>
      <w:r w:rsidR="00280677">
        <w:t>respondents believed these gains would be sustained within their organisation over time (</w:t>
      </w:r>
      <w:r w:rsidR="00331BCF">
        <w:t>technical paper, Figure 8.1</w:t>
      </w:r>
      <w:r w:rsidR="00A57B56">
        <w:t>3</w:t>
      </w:r>
      <w:r w:rsidR="00280677">
        <w:t xml:space="preserve">), suggesting potential </w:t>
      </w:r>
      <w:r w:rsidR="00C93BCA">
        <w:t>for</w:t>
      </w:r>
      <w:r w:rsidR="00037A43">
        <w:t xml:space="preserve"> lasting impact</w:t>
      </w:r>
      <w:r w:rsidR="00DE1A70">
        <w:t>.</w:t>
      </w:r>
      <w:r w:rsidR="00E2442B">
        <w:t xml:space="preserve"> However, </w:t>
      </w:r>
      <w:r w:rsidR="00C234BC">
        <w:t>given ongoing workforce pressures within</w:t>
      </w:r>
      <w:r w:rsidR="00E2442B">
        <w:t xml:space="preserve"> </w:t>
      </w:r>
      <w:r w:rsidR="0061703E">
        <w:t xml:space="preserve">the aged care </w:t>
      </w:r>
      <w:r w:rsidR="00C234BC">
        <w:t>sector</w:t>
      </w:r>
      <w:r w:rsidR="00F24A92">
        <w:t xml:space="preserve">, </w:t>
      </w:r>
      <w:r w:rsidR="00535F3E">
        <w:t xml:space="preserve">the </w:t>
      </w:r>
      <w:r w:rsidR="00C234BC">
        <w:t>extent to which th</w:t>
      </w:r>
      <w:r w:rsidR="00535F3E">
        <w:t xml:space="preserve">ese capability gains </w:t>
      </w:r>
      <w:r w:rsidR="00194C47">
        <w:t xml:space="preserve">are sustained </w:t>
      </w:r>
      <w:r w:rsidR="00535F3E">
        <w:t xml:space="preserve">in practice remains uncertain (see Section </w:t>
      </w:r>
      <w:r w:rsidR="00535F3E">
        <w:fldChar w:fldCharType="begin"/>
      </w:r>
      <w:r w:rsidR="00535F3E">
        <w:instrText xml:space="preserve"> REF _Ref217048711 \n \h </w:instrText>
      </w:r>
      <w:r w:rsidR="00535F3E">
        <w:fldChar w:fldCharType="separate"/>
      </w:r>
      <w:r w:rsidR="00167BA0">
        <w:t>6.2.4</w:t>
      </w:r>
      <w:r w:rsidR="00535F3E">
        <w:fldChar w:fldCharType="end"/>
      </w:r>
      <w:r w:rsidR="00535F3E">
        <w:t>).</w:t>
      </w:r>
    </w:p>
    <w:p w14:paraId="4093B6BB" w14:textId="7D5D5E0F" w:rsidR="007C4557" w:rsidRDefault="007C4557" w:rsidP="007C4557">
      <w:pPr>
        <w:pStyle w:val="Caption"/>
      </w:pPr>
      <w:bookmarkStart w:id="102" w:name="_Ref209606211"/>
      <w:r>
        <w:lastRenderedPageBreak/>
        <w:t xml:space="preserve">Figure </w:t>
      </w:r>
      <w:fldSimple w:instr=" STYLEREF 1 \s ">
        <w:r w:rsidR="00167BA0">
          <w:rPr>
            <w:noProof/>
          </w:rPr>
          <w:t>6</w:t>
        </w:r>
      </w:fldSimple>
      <w:r w:rsidR="00DD3EB1">
        <w:t>.</w:t>
      </w:r>
      <w:fldSimple w:instr=" SEQ Figure \* ARABIC \s 1 ">
        <w:r w:rsidR="00167BA0">
          <w:rPr>
            <w:noProof/>
          </w:rPr>
          <w:t>4</w:t>
        </w:r>
      </w:fldSimple>
      <w:bookmarkEnd w:id="102"/>
      <w:r>
        <w:t>: Reported i</w:t>
      </w:r>
      <w:r w:rsidRPr="00C863E0">
        <w:t xml:space="preserve">mpact of PACOP on staff knowledge, skills, </w:t>
      </w:r>
      <w:r w:rsidR="00D13740">
        <w:br/>
      </w:r>
      <w:r w:rsidRPr="00C863E0">
        <w:t>and confidence in delivering palliative care (n=79)</w:t>
      </w:r>
    </w:p>
    <w:p w14:paraId="7DD60B1B" w14:textId="77777777" w:rsidR="007C4557" w:rsidRDefault="007C4557" w:rsidP="007C4557">
      <w:r>
        <w:rPr>
          <w:noProof/>
        </w:rPr>
        <w:drawing>
          <wp:inline distT="0" distB="0" distL="0" distR="0" wp14:anchorId="00E39BE1" wp14:editId="3D6EB521">
            <wp:extent cx="4679577" cy="2848003"/>
            <wp:effectExtent l="0" t="0" r="6985" b="0"/>
            <wp:docPr id="87365890" name="Picture 38" descr="Figure 6.4 is a diagram showing reported impact of PACOP on staff knowledge, skills, and confidence in delivering palliative care (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5890" name="Picture 38" descr="Figure 6.4 is a diagram showing reported impact of PACOP on staff knowledge, skills, and confidence in delivering palliative care (n=7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83782" cy="2850562"/>
                    </a:xfrm>
                    <a:prstGeom prst="rect">
                      <a:avLst/>
                    </a:prstGeom>
                    <a:noFill/>
                  </pic:spPr>
                </pic:pic>
              </a:graphicData>
            </a:graphic>
          </wp:inline>
        </w:drawing>
      </w:r>
    </w:p>
    <w:p w14:paraId="2AE6992E" w14:textId="77777777" w:rsidR="009C5251" w:rsidRDefault="009C5251" w:rsidP="009C5251">
      <w:pPr>
        <w:pStyle w:val="Tablenotes"/>
      </w:pPr>
      <w:r>
        <w:t>Source: HMA online survey, August 2025.</w:t>
      </w:r>
    </w:p>
    <w:p w14:paraId="05EFC555" w14:textId="5D161FFC" w:rsidR="00265A1C" w:rsidRDefault="00E26298" w:rsidP="00E26298">
      <w:r>
        <w:t>Case study i</w:t>
      </w:r>
      <w:r w:rsidR="00265A1C">
        <w:t xml:space="preserve">nsights </w:t>
      </w:r>
      <w:r>
        <w:t>reinforced these findings</w:t>
      </w:r>
      <w:r w:rsidR="00E55059">
        <w:t>. M</w:t>
      </w:r>
      <w:r w:rsidR="00F974FB">
        <w:t>ost</w:t>
      </w:r>
      <w:r w:rsidR="00265A1C">
        <w:t xml:space="preserve"> PACOP case studies </w:t>
      </w:r>
      <w:r w:rsidR="00E55059">
        <w:t>reported</w:t>
      </w:r>
      <w:r>
        <w:t xml:space="preserve"> </w:t>
      </w:r>
      <w:r w:rsidR="00265A1C">
        <w:t xml:space="preserve">improved </w:t>
      </w:r>
      <w:r w:rsidR="00BC4459">
        <w:t>confidence and capability</w:t>
      </w:r>
      <w:r w:rsidR="00E55059">
        <w:t xml:space="preserve"> among both</w:t>
      </w:r>
      <w:r w:rsidR="00BC4459">
        <w:t xml:space="preserve"> </w:t>
      </w:r>
      <w:r w:rsidR="00E55059">
        <w:t xml:space="preserve">clinical and non-clinical staff to identify palliative care needs, initiate sensitive conversations, and provide quality care </w:t>
      </w:r>
      <w:r w:rsidR="00B765AF">
        <w:t>(</w:t>
      </w:r>
      <w:r w:rsidR="00A57B56">
        <w:t>technical paper, Section 9.2</w:t>
      </w:r>
      <w:r w:rsidR="00B765AF" w:rsidRPr="00D656C4">
        <w:t>)</w:t>
      </w:r>
      <w:r w:rsidR="00265A1C">
        <w:t>.</w:t>
      </w:r>
    </w:p>
    <w:p w14:paraId="5A71F298" w14:textId="7F84D42D" w:rsidR="00265A1C" w:rsidRDefault="00265A1C" w:rsidP="00265A1C">
      <w:pPr>
        <w:pStyle w:val="Quote"/>
      </w:pPr>
      <w:r>
        <w:t>I</w:t>
      </w:r>
      <w:r w:rsidRPr="00041408">
        <w:t>t</w:t>
      </w:r>
      <w:r w:rsidR="003863F5">
        <w:t>’</w:t>
      </w:r>
      <w:r w:rsidRPr="00041408">
        <w:t xml:space="preserve">s taking the fear out of </w:t>
      </w:r>
      <w:r w:rsidR="00B609FE">
        <w:t xml:space="preserve">[the staff] </w:t>
      </w:r>
      <w:r>
        <w:t xml:space="preserve">… </w:t>
      </w:r>
      <w:r w:rsidRPr="00041408">
        <w:t>We</w:t>
      </w:r>
      <w:r w:rsidR="003863F5">
        <w:t>’</w:t>
      </w:r>
      <w:r w:rsidRPr="00041408">
        <w:t xml:space="preserve">ve got more </w:t>
      </w:r>
      <w:r>
        <w:t>registered nurses and enrolled nurses</w:t>
      </w:r>
      <w:r w:rsidRPr="00041408">
        <w:t xml:space="preserve"> being able to have a conversation now. </w:t>
      </w:r>
      <w:r>
        <w:t>Carers</w:t>
      </w:r>
      <w:r w:rsidRPr="00041408">
        <w:t xml:space="preserve"> are feeling quite comfortable </w:t>
      </w:r>
      <w:r>
        <w:t>with</w:t>
      </w:r>
      <w:r w:rsidRPr="00041408">
        <w:t xml:space="preserve"> how to manage</w:t>
      </w:r>
      <w:r>
        <w:t xml:space="preserve"> and</w:t>
      </w:r>
      <w:r w:rsidRPr="00041408">
        <w:t xml:space="preserve"> care for these people</w:t>
      </w:r>
      <w:r w:rsidR="00B609FE">
        <w:t>.</w:t>
      </w:r>
      <w:r>
        <w:t xml:space="preserve"> – PACOP case study (case study 6)</w:t>
      </w:r>
    </w:p>
    <w:p w14:paraId="4D2AC9CA" w14:textId="7CDCD482" w:rsidR="00D511D1" w:rsidRDefault="006C2D34" w:rsidP="00B2222C">
      <w:r>
        <w:t>Pre/post-</w:t>
      </w:r>
      <w:r w:rsidR="00B23CDD">
        <w:t xml:space="preserve">evaluation survey data from PACOP </w:t>
      </w:r>
      <w:r w:rsidR="008F220E">
        <w:t>workshop and online module</w:t>
      </w:r>
      <w:r w:rsidR="001852A7">
        <w:t xml:space="preserve"> </w:t>
      </w:r>
      <w:r w:rsidR="00B23CDD">
        <w:t xml:space="preserve">participants </w:t>
      </w:r>
      <w:r w:rsidR="00194C47">
        <w:t>also showed reported</w:t>
      </w:r>
      <w:r w:rsidR="005841A0">
        <w:t xml:space="preserve"> gains in</w:t>
      </w:r>
      <w:r w:rsidR="00B23CDD">
        <w:t xml:space="preserve"> </w:t>
      </w:r>
      <w:proofErr w:type="gramStart"/>
      <w:r w:rsidR="00B23CDD">
        <w:t>a number of</w:t>
      </w:r>
      <w:proofErr w:type="gramEnd"/>
      <w:r w:rsidR="00B23CDD">
        <w:t xml:space="preserve"> domains, including</w:t>
      </w:r>
      <w:r w:rsidR="005841A0">
        <w:t xml:space="preserve"> </w:t>
      </w:r>
      <w:r w:rsidR="005841A0">
        <w:t xml:space="preserve">using </w:t>
      </w:r>
      <w:r w:rsidR="005308A4">
        <w:t xml:space="preserve">palliative care </w:t>
      </w:r>
      <w:r w:rsidR="005841A0">
        <w:t>assessment tools, assessing frailty and functional</w:t>
      </w:r>
      <w:r w:rsidR="007B11DB">
        <w:t xml:space="preserve"> status, communicating with external providers, and </w:t>
      </w:r>
      <w:r w:rsidR="0062218D">
        <w:t>identifying palliative care</w:t>
      </w:r>
      <w:r w:rsidR="009252F6">
        <w:t xml:space="preserve"> needs</w:t>
      </w:r>
      <w:r w:rsidR="00651905">
        <w:t xml:space="preserve"> </w:t>
      </w:r>
      <w:r w:rsidR="00711A2B">
        <w:t>(</w:t>
      </w:r>
      <w:r w:rsidR="00395B99">
        <w:fldChar w:fldCharType="begin"/>
      </w:r>
      <w:r w:rsidR="00395B99">
        <w:instrText xml:space="preserve"> REF _Ref215672333 \h </w:instrText>
      </w:r>
      <w:r w:rsidR="00395B99">
        <w:fldChar w:fldCharType="separate"/>
      </w:r>
      <w:r w:rsidR="00167BA0">
        <w:t xml:space="preserve">Figure </w:t>
      </w:r>
      <w:r w:rsidR="00167BA0">
        <w:rPr>
          <w:noProof/>
        </w:rPr>
        <w:t>9</w:t>
      </w:r>
      <w:r w:rsidR="00167BA0">
        <w:t>.</w:t>
      </w:r>
      <w:r w:rsidR="00167BA0">
        <w:rPr>
          <w:noProof/>
        </w:rPr>
        <w:t>7</w:t>
      </w:r>
      <w:r w:rsidR="00395B99">
        <w:fldChar w:fldCharType="end"/>
      </w:r>
      <w:r w:rsidR="00395B99">
        <w:t xml:space="preserve"> and </w:t>
      </w:r>
      <w:r w:rsidR="00395B99">
        <w:fldChar w:fldCharType="begin"/>
      </w:r>
      <w:r w:rsidR="00395B99">
        <w:instrText xml:space="preserve"> REF _Ref215672335 \h </w:instrText>
      </w:r>
      <w:r w:rsidR="00395B99">
        <w:fldChar w:fldCharType="separate"/>
      </w:r>
      <w:r w:rsidR="00167BA0">
        <w:t xml:space="preserve">Figure </w:t>
      </w:r>
      <w:r w:rsidR="00167BA0">
        <w:rPr>
          <w:noProof/>
        </w:rPr>
        <w:t>9</w:t>
      </w:r>
      <w:r w:rsidR="00167BA0">
        <w:t>.</w:t>
      </w:r>
      <w:r w:rsidR="00167BA0">
        <w:rPr>
          <w:noProof/>
        </w:rPr>
        <w:t>8</w:t>
      </w:r>
      <w:r w:rsidR="00395B99">
        <w:fldChar w:fldCharType="end"/>
      </w:r>
      <w:r w:rsidR="00395B99">
        <w:t xml:space="preserve">, </w:t>
      </w:r>
      <w:r w:rsidR="0062481C">
        <w:fldChar w:fldCharType="begin"/>
      </w:r>
      <w:r w:rsidR="0062481C">
        <w:instrText xml:space="preserve"> REF _Ref216865792 \n \h </w:instrText>
      </w:r>
      <w:r w:rsidR="0062481C">
        <w:fldChar w:fldCharType="separate"/>
      </w:r>
      <w:r w:rsidR="00167BA0">
        <w:t>Appendix D</w:t>
      </w:r>
      <w:r w:rsidR="0062481C">
        <w:fldChar w:fldCharType="end"/>
      </w:r>
      <w:r w:rsidR="00651905">
        <w:t>)</w:t>
      </w:r>
      <w:r w:rsidR="001A2E8A">
        <w:t>.</w:t>
      </w:r>
      <w:r w:rsidR="003F69ED">
        <w:t xml:space="preserve"> </w:t>
      </w:r>
      <w:r w:rsidR="00394EF0">
        <w:t>These</w:t>
      </w:r>
      <w:r w:rsidR="000F0FB7">
        <w:t xml:space="preserve"> improvements </w:t>
      </w:r>
      <w:r w:rsidR="00285D1F">
        <w:t>align</w:t>
      </w:r>
      <w:r w:rsidR="003F69ED">
        <w:t>ed</w:t>
      </w:r>
      <w:r w:rsidR="00285D1F">
        <w:t xml:space="preserve"> with </w:t>
      </w:r>
      <w:r w:rsidR="003F69ED">
        <w:t>PACOP</w:t>
      </w:r>
      <w:r w:rsidR="003863F5">
        <w:t>’</w:t>
      </w:r>
      <w:r w:rsidR="003F69ED">
        <w:t>s focus on</w:t>
      </w:r>
      <w:r w:rsidR="0016477B">
        <w:t xml:space="preserve"> timely and coordinated palliative care.</w:t>
      </w:r>
    </w:p>
    <w:p w14:paraId="20CE368C" w14:textId="2DFBE68F" w:rsidR="006539D1" w:rsidRDefault="006539D1" w:rsidP="006539D1">
      <w:pPr>
        <w:pStyle w:val="Heading4"/>
      </w:pPr>
      <w:r>
        <w:t xml:space="preserve">Variation in benefit across </w:t>
      </w:r>
      <w:r w:rsidR="009B572B">
        <w:t>workforce streams</w:t>
      </w:r>
    </w:p>
    <w:p w14:paraId="46F23E4C" w14:textId="7078AD25" w:rsidR="00554232" w:rsidRDefault="0004155C" w:rsidP="00B2222C">
      <w:r>
        <w:t>Insights</w:t>
      </w:r>
      <w:r w:rsidR="00554232">
        <w:t xml:space="preserve"> </w:t>
      </w:r>
      <w:r>
        <w:t xml:space="preserve">from the online survey </w:t>
      </w:r>
      <w:r w:rsidR="00554232">
        <w:t>suggested that PACOP</w:t>
      </w:r>
      <w:r w:rsidR="003863F5">
        <w:t>’</w:t>
      </w:r>
      <w:r w:rsidR="00554232">
        <w:t xml:space="preserve">s </w:t>
      </w:r>
      <w:r w:rsidR="00E922F1">
        <w:t>workforce benefits were concentrated among staff directly involved in care delivery</w:t>
      </w:r>
      <w:r>
        <w:t>, including registered nurses, personal care workers, and enrolled nurses (</w:t>
      </w:r>
      <w:r w:rsidR="00A57B56">
        <w:t>technical paper, Figure 6.3</w:t>
      </w:r>
      <w:r>
        <w:t xml:space="preserve">). </w:t>
      </w:r>
      <w:r w:rsidR="006A42A9">
        <w:t>Limited</w:t>
      </w:r>
      <w:r w:rsidR="00AD0F7A">
        <w:t xml:space="preserve"> enrolment data for PACOP online modules supported this, indicating these groups comprised </w:t>
      </w:r>
      <w:proofErr w:type="gramStart"/>
      <w:r w:rsidR="00AD0F7A">
        <w:t>the majority of</w:t>
      </w:r>
      <w:proofErr w:type="gramEnd"/>
      <w:r w:rsidR="00AD0F7A">
        <w:t xml:space="preserve"> participants (</w:t>
      </w:r>
      <w:r w:rsidR="00AD0F7A">
        <w:fldChar w:fldCharType="begin"/>
      </w:r>
      <w:r w:rsidR="00AD0F7A">
        <w:instrText xml:space="preserve"> REF _Ref216264480 \h </w:instrText>
      </w:r>
      <w:r w:rsidR="00AD0F7A">
        <w:fldChar w:fldCharType="separate"/>
      </w:r>
      <w:r w:rsidR="00167BA0">
        <w:t xml:space="preserve">Table </w:t>
      </w:r>
      <w:r w:rsidR="00167BA0">
        <w:rPr>
          <w:noProof/>
        </w:rPr>
        <w:t>9</w:t>
      </w:r>
      <w:r w:rsidR="00167BA0">
        <w:t>.</w:t>
      </w:r>
      <w:r w:rsidR="00167BA0">
        <w:rPr>
          <w:noProof/>
        </w:rPr>
        <w:t>26</w:t>
      </w:r>
      <w:r w:rsidR="00AD0F7A">
        <w:fldChar w:fldCharType="end"/>
      </w:r>
      <w:r w:rsidR="00AD0F7A">
        <w:t xml:space="preserve">, </w:t>
      </w:r>
      <w:r w:rsidR="00AD0F7A">
        <w:fldChar w:fldCharType="begin"/>
      </w:r>
      <w:r w:rsidR="00AD0F7A">
        <w:instrText xml:space="preserve"> REF _Ref216865792 \n \h </w:instrText>
      </w:r>
      <w:r w:rsidR="00AD0F7A">
        <w:fldChar w:fldCharType="separate"/>
      </w:r>
      <w:r w:rsidR="00167BA0">
        <w:t>Appendix D</w:t>
      </w:r>
      <w:r w:rsidR="00AD0F7A">
        <w:fldChar w:fldCharType="end"/>
      </w:r>
      <w:r w:rsidR="00AD0F7A">
        <w:t xml:space="preserve">). This alignment is to be expected, given PACOP relies on direct care staff to operationalise </w:t>
      </w:r>
      <w:r w:rsidR="006A42A9">
        <w:t>its structured assessment and monitoring framework.</w:t>
      </w:r>
    </w:p>
    <w:p w14:paraId="60633C11" w14:textId="2243DFC2" w:rsidR="00A91A8E" w:rsidRPr="00A91A8E" w:rsidRDefault="00F207FB" w:rsidP="00A91A8E">
      <w:r>
        <w:t xml:space="preserve">Exploratory subgroup analysis </w:t>
      </w:r>
      <w:r w:rsidR="005A7F3A">
        <w:t xml:space="preserve">of online survey </w:t>
      </w:r>
      <w:r w:rsidR="00B342A0">
        <w:t xml:space="preserve">data </w:t>
      </w:r>
      <w:r w:rsidR="005A7F3A">
        <w:t xml:space="preserve">indicated that longer participation in PACOP may be associated with greater </w:t>
      </w:r>
      <w:r w:rsidR="00C472F3">
        <w:t xml:space="preserve">reported gains in </w:t>
      </w:r>
      <w:r w:rsidR="005A7F3A">
        <w:t>workforce capability</w:t>
      </w:r>
      <w:r w:rsidR="00B0478B">
        <w:t xml:space="preserve">, particularly in </w:t>
      </w:r>
      <w:r w:rsidR="00A91A8E" w:rsidRPr="00A91A8E">
        <w:t xml:space="preserve">identifying palliative care needs, delivering high-quality care, and facilitating advance care planning </w:t>
      </w:r>
      <w:r w:rsidR="00EC0D45">
        <w:t>(</w:t>
      </w:r>
      <w:r w:rsidR="00A57B56">
        <w:t xml:space="preserve">technical paper, </w:t>
      </w:r>
      <w:r w:rsidR="007F29B6">
        <w:t>Table 8.6</w:t>
      </w:r>
      <w:r w:rsidR="00EC0D45">
        <w:t xml:space="preserve">). </w:t>
      </w:r>
      <w:r w:rsidR="008D2B54">
        <w:t>While t</w:t>
      </w:r>
      <w:r w:rsidR="00EC0D45">
        <w:t xml:space="preserve">hese findings suggest a potential cumulative benefit, </w:t>
      </w:r>
      <w:r w:rsidR="003D4C46">
        <w:t xml:space="preserve">they should be interpreted with caution </w:t>
      </w:r>
      <w:r w:rsidR="0005173B">
        <w:t>due to</w:t>
      </w:r>
      <w:r w:rsidR="00EC0D45">
        <w:t xml:space="preserve"> small sample sizes.</w:t>
      </w:r>
    </w:p>
    <w:p w14:paraId="5E069F11" w14:textId="621F50CA" w:rsidR="006A42A9" w:rsidRDefault="00A651F3" w:rsidP="004D2E5D">
      <w:r>
        <w:t xml:space="preserve">Notably, approximately 45% </w:t>
      </w:r>
      <w:r w:rsidR="00CA7451">
        <w:t xml:space="preserve">of </w:t>
      </w:r>
      <w:r w:rsidR="00A93679">
        <w:t xml:space="preserve">PACOP survey </w:t>
      </w:r>
      <w:r w:rsidR="00CA7451">
        <w:t xml:space="preserve">respondents identified the program as relevant and beneficial for GPs and other </w:t>
      </w:r>
      <w:r w:rsidR="00770096">
        <w:t>medical practitioners</w:t>
      </w:r>
      <w:r w:rsidR="0008191E">
        <w:t xml:space="preserve"> </w:t>
      </w:r>
      <w:r w:rsidR="00DE439C">
        <w:t>(</w:t>
      </w:r>
      <w:r w:rsidR="007F29B6">
        <w:t>technical paper, Figure 6.3</w:t>
      </w:r>
      <w:r w:rsidR="00DE439C">
        <w:t>)</w:t>
      </w:r>
      <w:r w:rsidR="006650C9">
        <w:t xml:space="preserve">. </w:t>
      </w:r>
      <w:r w:rsidR="00EC70D8">
        <w:t>While limited participation data were available to</w:t>
      </w:r>
      <w:r w:rsidR="004D2E5D" w:rsidRPr="004D2E5D">
        <w:t xml:space="preserve"> confirm the extent of engagement </w:t>
      </w:r>
      <w:r w:rsidR="00052FD4">
        <w:t>among</w:t>
      </w:r>
      <w:r w:rsidR="004D2E5D" w:rsidRPr="004D2E5D">
        <w:t xml:space="preserve"> these groups</w:t>
      </w:r>
      <w:r w:rsidR="00052FD4">
        <w:t>, stakeholder</w:t>
      </w:r>
      <w:r w:rsidR="00734E60">
        <w:t xml:space="preserve"> feedback indicated</w:t>
      </w:r>
      <w:r w:rsidR="001356A9">
        <w:t xml:space="preserve"> </w:t>
      </w:r>
      <w:r w:rsidR="003F2E21">
        <w:t>low participation</w:t>
      </w:r>
      <w:r w:rsidR="003E20B2">
        <w:t>.</w:t>
      </w:r>
      <w:r w:rsidR="00BC1A0E">
        <w:t xml:space="preserve"> This reinforces </w:t>
      </w:r>
      <w:r w:rsidR="00A8250D">
        <w:t xml:space="preserve">the </w:t>
      </w:r>
      <w:r w:rsidR="00BE2CA5">
        <w:t xml:space="preserve">opportunity </w:t>
      </w:r>
      <w:r w:rsidR="00BC1A0E">
        <w:t>to strengthen</w:t>
      </w:r>
      <w:r w:rsidR="0008191E">
        <w:t xml:space="preserve"> engagement with GPs and other healthcare professionals (see Section</w:t>
      </w:r>
      <w:r w:rsidR="007E4D35">
        <w:t xml:space="preserve"> 4.1).</w:t>
      </w:r>
    </w:p>
    <w:p w14:paraId="61D57E91" w14:textId="5B848F66" w:rsidR="00607C0F" w:rsidRPr="00607C0F" w:rsidRDefault="00BE2CA5" w:rsidP="00855C78">
      <w:pPr>
        <w:pStyle w:val="Findings"/>
      </w:pPr>
      <w:r>
        <w:t xml:space="preserve">Evidence suggests that </w:t>
      </w:r>
      <w:r w:rsidR="00607C0F" w:rsidRPr="00607C0F">
        <w:t xml:space="preserve">PACOP </w:t>
      </w:r>
      <w:r w:rsidR="000A3DBE">
        <w:t>contributed to</w:t>
      </w:r>
      <w:r w:rsidR="00607C0F" w:rsidRPr="00607C0F">
        <w:t xml:space="preserve"> </w:t>
      </w:r>
      <w:r w:rsidR="00744396">
        <w:t>perceived improvements in</w:t>
      </w:r>
      <w:r w:rsidR="00607C0F" w:rsidRPr="00607C0F">
        <w:t xml:space="preserve"> workforce capability </w:t>
      </w:r>
      <w:r w:rsidR="002F7281">
        <w:t>in key domains of palliative care</w:t>
      </w:r>
      <w:r w:rsidR="00E6395E">
        <w:t xml:space="preserve"> delivery within participating homes</w:t>
      </w:r>
      <w:r w:rsidR="008B773D">
        <w:t>, particularly among</w:t>
      </w:r>
      <w:r w:rsidR="00BE144D">
        <w:t xml:space="preserve"> direct care staff</w:t>
      </w:r>
      <w:r w:rsidR="00607C0F">
        <w:t>.</w:t>
      </w:r>
      <w:r w:rsidR="00FA3FAD">
        <w:t xml:space="preserve"> Survey </w:t>
      </w:r>
      <w:r w:rsidR="00744396">
        <w:t xml:space="preserve">findings </w:t>
      </w:r>
      <w:r w:rsidR="00FA3FAD">
        <w:t>suggested potential cumulative benefits with sustained program engagement.</w:t>
      </w:r>
      <w:r w:rsidR="00BD01BA">
        <w:t xml:space="preserve"> While PACOP was identified as relevant and </w:t>
      </w:r>
      <w:r w:rsidR="00BD01BA">
        <w:lastRenderedPageBreak/>
        <w:t xml:space="preserve">beneficial for GPs and other medical practitioners, </w:t>
      </w:r>
      <w:r w:rsidR="00DD3F3A">
        <w:t>evidence suggested that</w:t>
      </w:r>
      <w:r w:rsidR="00834F61">
        <w:t xml:space="preserve"> engagement among these groups</w:t>
      </w:r>
      <w:r w:rsidR="00DD3F3A">
        <w:t xml:space="preserve"> was limited</w:t>
      </w:r>
      <w:r w:rsidR="00834F61">
        <w:t xml:space="preserve">, </w:t>
      </w:r>
      <w:r w:rsidR="00DD3F3A">
        <w:t xml:space="preserve">highlighting potential opportunities to </w:t>
      </w:r>
      <w:r w:rsidR="00834F61">
        <w:t>broaden participation.</w:t>
      </w:r>
    </w:p>
    <w:p w14:paraId="07FF2817" w14:textId="5533DC7D" w:rsidR="00D511D1" w:rsidRDefault="00D511D1" w:rsidP="00D511D1">
      <w:pPr>
        <w:pStyle w:val="Heading3"/>
      </w:pPr>
      <w:bookmarkStart w:id="103" w:name="_Toc232685917"/>
      <w:r>
        <w:t>Improve</w:t>
      </w:r>
      <w:r w:rsidR="004C5FCE">
        <w:t>ments in</w:t>
      </w:r>
      <w:r>
        <w:t xml:space="preserve"> organisational capability</w:t>
      </w:r>
      <w:r w:rsidR="00CE663B">
        <w:t>,</w:t>
      </w:r>
      <w:r>
        <w:t xml:space="preserve"> quality improvement</w:t>
      </w:r>
      <w:r w:rsidR="00CE663B">
        <w:t>, and collaboration</w:t>
      </w:r>
      <w:bookmarkEnd w:id="103"/>
    </w:p>
    <w:p w14:paraId="70600C0D" w14:textId="2A844431" w:rsidR="006C1DAE" w:rsidRDefault="00995A4C" w:rsidP="00B2222C">
      <w:r>
        <w:t>P</w:t>
      </w:r>
      <w:r w:rsidRPr="00995A4C">
        <w:t xml:space="preserve">ACOP </w:t>
      </w:r>
      <w:r w:rsidR="00C276BA" w:rsidRPr="00C276BA">
        <w:t xml:space="preserve">aimed to embed a structured palliative care model </w:t>
      </w:r>
      <w:r w:rsidR="003D4C46">
        <w:t>in aged care homes, support the use of data for continuous improvement, and foster</w:t>
      </w:r>
      <w:r w:rsidR="00C276BA" w:rsidRPr="00C276BA">
        <w:t xml:space="preserve"> collaboration across aged care, primary care, and specialist services. Evidence from surveys, case studies, benchmarking data, and stakeholder consultations suggests that PACOP </w:t>
      </w:r>
      <w:r w:rsidR="00C82142">
        <w:t xml:space="preserve">contributed to </w:t>
      </w:r>
      <w:r w:rsidR="00C276BA" w:rsidRPr="00C276BA">
        <w:t xml:space="preserve">organisational </w:t>
      </w:r>
      <w:r w:rsidR="00C82142">
        <w:t>capability development</w:t>
      </w:r>
      <w:r w:rsidR="00C82142" w:rsidRPr="00C276BA">
        <w:t xml:space="preserve"> </w:t>
      </w:r>
      <w:r w:rsidR="00C276BA" w:rsidRPr="00C276BA">
        <w:t>and improved integration</w:t>
      </w:r>
      <w:r w:rsidR="00E84AD5">
        <w:t xml:space="preserve"> within participating homes</w:t>
      </w:r>
      <w:r w:rsidR="005E62C5">
        <w:t>. However</w:t>
      </w:r>
      <w:r w:rsidR="00C276BA" w:rsidRPr="00C276BA">
        <w:t xml:space="preserve">, </w:t>
      </w:r>
      <w:r w:rsidR="00E84AD5">
        <w:t xml:space="preserve">evaluation findings also point to ongoing challenges related to </w:t>
      </w:r>
      <w:r w:rsidR="00C276BA" w:rsidRPr="00C276BA">
        <w:t>sustainability and reach</w:t>
      </w:r>
      <w:r w:rsidRPr="00995A4C">
        <w:t>.</w:t>
      </w:r>
    </w:p>
    <w:p w14:paraId="192D85B7" w14:textId="524E998E" w:rsidR="00567C2F" w:rsidRDefault="00567C2F" w:rsidP="00567C2F">
      <w:pPr>
        <w:pStyle w:val="Heading4"/>
      </w:pPr>
      <w:r>
        <w:t>Organisational capability and cultural change</w:t>
      </w:r>
    </w:p>
    <w:p w14:paraId="06613E30" w14:textId="34221E03" w:rsidR="00896189" w:rsidRDefault="00886273" w:rsidP="00B2222C">
      <w:r>
        <w:t>Approximately three-quarters of PACOP survey respondents reported moderate or significant positive impact</w:t>
      </w:r>
      <w:r w:rsidR="00192738">
        <w:t>s</w:t>
      </w:r>
      <w:r>
        <w:t xml:space="preserve"> on </w:t>
      </w:r>
      <w:r w:rsidR="000E02EA" w:rsidRPr="000E02EA">
        <w:t>organisational capability, integration of palliative care and quality improvement, and organisational culture</w:t>
      </w:r>
      <w:r w:rsidR="000E02EA">
        <w:t xml:space="preserve"> </w:t>
      </w:r>
      <w:proofErr w:type="gramStart"/>
      <w:r w:rsidR="00735401">
        <w:t>as a result of</w:t>
      </w:r>
      <w:proofErr w:type="gramEnd"/>
      <w:r w:rsidR="00735401">
        <w:t xml:space="preserve"> participation</w:t>
      </w:r>
      <w:r w:rsidR="000E02EA">
        <w:t xml:space="preserve"> </w:t>
      </w:r>
      <w:r>
        <w:t>(</w:t>
      </w:r>
      <w:r>
        <w:fldChar w:fldCharType="begin"/>
      </w:r>
      <w:r>
        <w:instrText xml:space="preserve"> REF _Ref215579342 \h </w:instrText>
      </w:r>
      <w:r>
        <w:fldChar w:fldCharType="separate"/>
      </w:r>
      <w:r w:rsidR="00167BA0">
        <w:t xml:space="preserve">Figure </w:t>
      </w:r>
      <w:r w:rsidR="00167BA0">
        <w:rPr>
          <w:noProof/>
        </w:rPr>
        <w:t>6</w:t>
      </w:r>
      <w:r w:rsidR="00167BA0">
        <w:t>.</w:t>
      </w:r>
      <w:r w:rsidR="00167BA0">
        <w:rPr>
          <w:noProof/>
        </w:rPr>
        <w:t>5</w:t>
      </w:r>
      <w:r>
        <w:fldChar w:fldCharType="end"/>
      </w:r>
      <w:r>
        <w:t>).</w:t>
      </w:r>
      <w:r w:rsidR="007C01BB">
        <w:t xml:space="preserve"> </w:t>
      </w:r>
      <w:r w:rsidR="00051BF7">
        <w:t>A similar proportion of respondents also noted improvements in the quality of palliative and end-of-life care plans and advance care planning documentation</w:t>
      </w:r>
      <w:r w:rsidR="00735401">
        <w:t>, suggesting</w:t>
      </w:r>
      <w:r w:rsidR="00051BF7">
        <w:t xml:space="preserve"> a </w:t>
      </w:r>
      <w:r w:rsidR="00932FAB">
        <w:t>perceived improvements in</w:t>
      </w:r>
      <w:r w:rsidR="002E4D30">
        <w:t xml:space="preserve"> care planning</w:t>
      </w:r>
      <w:r w:rsidR="00E94225">
        <w:t xml:space="preserve"> </w:t>
      </w:r>
      <w:r w:rsidR="009315C1">
        <w:t>practices</w:t>
      </w:r>
      <w:r w:rsidR="002E4D30">
        <w:t>.</w:t>
      </w:r>
    </w:p>
    <w:p w14:paraId="54B4C508" w14:textId="66CFB774" w:rsidR="009C5251" w:rsidRDefault="009C5251" w:rsidP="009C5251">
      <w:pPr>
        <w:pStyle w:val="Caption"/>
      </w:pPr>
      <w:bookmarkStart w:id="104" w:name="_Ref215579342"/>
      <w:r>
        <w:t xml:space="preserve">Figure </w:t>
      </w:r>
      <w:fldSimple w:instr=" STYLEREF 1 \s ">
        <w:r w:rsidR="00167BA0">
          <w:rPr>
            <w:noProof/>
          </w:rPr>
          <w:t>6</w:t>
        </w:r>
      </w:fldSimple>
      <w:r w:rsidR="00DD3EB1">
        <w:t>.</w:t>
      </w:r>
      <w:fldSimple w:instr=" SEQ Figure \* ARABIC \s 1 ">
        <w:r w:rsidR="00167BA0">
          <w:rPr>
            <w:noProof/>
          </w:rPr>
          <w:t>5</w:t>
        </w:r>
      </w:fldSimple>
      <w:bookmarkEnd w:id="104"/>
      <w:r>
        <w:t xml:space="preserve">: </w:t>
      </w:r>
      <w:r w:rsidRPr="00F72C51">
        <w:t xml:space="preserve">Reported impacts of </w:t>
      </w:r>
      <w:r>
        <w:t>PACOP</w:t>
      </w:r>
      <w:r w:rsidRPr="00F72C51">
        <w:t xml:space="preserve"> on the quality, integration, capability, and culture around palliative care and quality improvement (n=</w:t>
      </w:r>
      <w:r>
        <w:t>79</w:t>
      </w:r>
      <w:r w:rsidRPr="00F72C51">
        <w:t>)</w:t>
      </w:r>
    </w:p>
    <w:p w14:paraId="49D05B0F" w14:textId="4FDEA4A9" w:rsidR="00D511D1" w:rsidRDefault="002A0BFB" w:rsidP="00B2222C">
      <w:r>
        <w:rPr>
          <w:noProof/>
        </w:rPr>
        <w:drawing>
          <wp:inline distT="0" distB="0" distL="0" distR="0" wp14:anchorId="107D31B7" wp14:editId="618A3548">
            <wp:extent cx="4607737" cy="3228975"/>
            <wp:effectExtent l="0" t="0" r="2540" b="0"/>
            <wp:docPr id="251824822" name="Picture 5" descr="Figure 6.5 is a diagram showing reported impacts of PACOP on the quality, integration, capability, and culture around palliative care and quality improvement (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824822" name="Picture 5" descr="Figure 6.5 is a diagram showing reported impacts of PACOP on the quality, integration, capability, and culture around palliative care and quality improvement (n=7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10196" cy="3230698"/>
                    </a:xfrm>
                    <a:prstGeom prst="rect">
                      <a:avLst/>
                    </a:prstGeom>
                    <a:noFill/>
                  </pic:spPr>
                </pic:pic>
              </a:graphicData>
            </a:graphic>
          </wp:inline>
        </w:drawing>
      </w:r>
    </w:p>
    <w:p w14:paraId="6EB5C26D" w14:textId="77777777" w:rsidR="009C5251" w:rsidRDefault="009C5251" w:rsidP="009C5251">
      <w:pPr>
        <w:pStyle w:val="Tablenotes"/>
      </w:pPr>
      <w:r>
        <w:t>Source: HMA online survey, August 2025.</w:t>
      </w:r>
    </w:p>
    <w:p w14:paraId="3DC24E68" w14:textId="63FF8CDC" w:rsidR="00A52722" w:rsidRDefault="00A52722" w:rsidP="00A52722">
      <w:r>
        <w:t xml:space="preserve">In addition, three-quarters of </w:t>
      </w:r>
      <w:r w:rsidR="003E7298">
        <w:t xml:space="preserve">online </w:t>
      </w:r>
      <w:r>
        <w:t xml:space="preserve">survey respondents </w:t>
      </w:r>
      <w:r w:rsidRPr="0097217E">
        <w:t>(</w:t>
      </w:r>
      <w:r w:rsidR="007F29B6">
        <w:t xml:space="preserve">technical paper, </w:t>
      </w:r>
      <w:r w:rsidR="0091494F">
        <w:t>Figure 8.17</w:t>
      </w:r>
      <w:r w:rsidRPr="0097217E">
        <w:t>)</w:t>
      </w:r>
      <w:r>
        <w:t xml:space="preserve"> and three of four case studies </w:t>
      </w:r>
      <w:r w:rsidRPr="00CF54CF">
        <w:t>(</w:t>
      </w:r>
      <w:r w:rsidR="007F29B6">
        <w:t>technical paper, Section 9.2</w:t>
      </w:r>
      <w:r w:rsidRPr="00CF54CF">
        <w:t>)</w:t>
      </w:r>
      <w:r>
        <w:t xml:space="preserve"> reported that their </w:t>
      </w:r>
      <w:r w:rsidRPr="000A670C">
        <w:t xml:space="preserve">organisation </w:t>
      </w:r>
      <w:r>
        <w:t xml:space="preserve">confidently </w:t>
      </w:r>
      <w:r w:rsidRPr="000A670C">
        <w:t xml:space="preserve">used </w:t>
      </w:r>
      <w:r>
        <w:t>the PACOP</w:t>
      </w:r>
      <w:r w:rsidRPr="000A670C">
        <w:t xml:space="preserve"> assessment tools to identify and respond to </w:t>
      </w:r>
      <w:r w:rsidR="008A42C4">
        <w:t>residents</w:t>
      </w:r>
      <w:r w:rsidR="003863F5">
        <w:t>’</w:t>
      </w:r>
      <w:r w:rsidR="008A42C4">
        <w:t xml:space="preserve"> </w:t>
      </w:r>
      <w:r w:rsidRPr="000A670C">
        <w:t xml:space="preserve">palliative care </w:t>
      </w:r>
      <w:r w:rsidRPr="0097217E">
        <w:t xml:space="preserve">needs. </w:t>
      </w:r>
      <w:r>
        <w:t>This suggests the</w:t>
      </w:r>
      <w:r w:rsidR="009F50F2">
        <w:t xml:space="preserve"> program was effective in building organisational capability to integrate structured palliative care processes into routine practice.</w:t>
      </w:r>
    </w:p>
    <w:p w14:paraId="46F21832" w14:textId="0BC107A4" w:rsidR="001220A7" w:rsidRDefault="00860741" w:rsidP="00860741">
      <w:pPr>
        <w:pStyle w:val="Heading4"/>
      </w:pPr>
      <w:r>
        <w:lastRenderedPageBreak/>
        <w:t>Embedding quality improvement through data</w:t>
      </w:r>
    </w:p>
    <w:p w14:paraId="5CCBD96E" w14:textId="5B5AE53D" w:rsidR="00B138AC" w:rsidRDefault="00860741" w:rsidP="005F49DB">
      <w:r>
        <w:t xml:space="preserve">There was evidence </w:t>
      </w:r>
      <w:r w:rsidR="008A0A65">
        <w:t xml:space="preserve">to </w:t>
      </w:r>
      <w:r w:rsidR="00B044BE">
        <w:t>suggest</w:t>
      </w:r>
      <w:r w:rsidR="008A0A65">
        <w:t xml:space="preserve"> that PACOP</w:t>
      </w:r>
      <w:r w:rsidR="003863F5">
        <w:t>’</w:t>
      </w:r>
      <w:r w:rsidR="008A0A65">
        <w:t xml:space="preserve">s </w:t>
      </w:r>
      <w:r w:rsidR="00B17F69">
        <w:t xml:space="preserve">structured assessment tools and benchmarking approach </w:t>
      </w:r>
      <w:r w:rsidR="00B4640E">
        <w:t>helped</w:t>
      </w:r>
      <w:r w:rsidR="00B044BE">
        <w:t xml:space="preserve"> drive quality improvement in participating homes.</w:t>
      </w:r>
      <w:r w:rsidR="00F544A8">
        <w:t xml:space="preserve"> </w:t>
      </w:r>
      <w:r w:rsidR="008967F5">
        <w:t>Around</w:t>
      </w:r>
      <w:r w:rsidR="008967F5" w:rsidRPr="008967F5">
        <w:t xml:space="preserve"> 75% of </w:t>
      </w:r>
      <w:r w:rsidR="008967F5">
        <w:t xml:space="preserve">survey </w:t>
      </w:r>
      <w:r w:rsidR="008967F5" w:rsidRPr="008967F5">
        <w:t>respondents reported</w:t>
      </w:r>
      <w:r w:rsidR="006D3D96">
        <w:t xml:space="preserve"> that PACOP had </w:t>
      </w:r>
      <w:r w:rsidR="00055C88">
        <w:t>at least a moderate impact on</w:t>
      </w:r>
      <w:r w:rsidR="006D3D96">
        <w:t xml:space="preserve"> </w:t>
      </w:r>
      <w:r w:rsidR="006341E2">
        <w:t>organisation</w:t>
      </w:r>
      <w:r w:rsidR="00AE0356">
        <w:t>al capability in</w:t>
      </w:r>
      <w:r w:rsidR="008967F5" w:rsidRPr="008967F5">
        <w:t xml:space="preserve"> measur</w:t>
      </w:r>
      <w:r w:rsidR="00AE0356">
        <w:t>ing</w:t>
      </w:r>
      <w:r w:rsidR="008967F5" w:rsidRPr="008967F5">
        <w:t xml:space="preserve"> and monitor</w:t>
      </w:r>
      <w:r w:rsidR="00AE0356">
        <w:t>ing</w:t>
      </w:r>
      <w:r w:rsidR="008967F5" w:rsidRPr="008967F5">
        <w:t xml:space="preserve"> </w:t>
      </w:r>
      <w:r w:rsidR="00C730D2">
        <w:t xml:space="preserve">palliative care </w:t>
      </w:r>
      <w:r w:rsidR="008967F5" w:rsidRPr="008967F5">
        <w:t>outcomes, identify</w:t>
      </w:r>
      <w:r w:rsidR="00AE0356">
        <w:t>ing</w:t>
      </w:r>
      <w:r w:rsidR="008967F5" w:rsidRPr="008967F5">
        <w:t xml:space="preserve"> areas for improvement, and implement</w:t>
      </w:r>
      <w:r w:rsidR="00AE0356">
        <w:t>ing</w:t>
      </w:r>
      <w:r w:rsidR="008967F5" w:rsidRPr="008967F5">
        <w:t xml:space="preserve"> quality</w:t>
      </w:r>
      <w:r w:rsidR="00721911">
        <w:t xml:space="preserve"> improvement</w:t>
      </w:r>
      <w:r w:rsidR="008967F5" w:rsidRPr="008967F5">
        <w:t xml:space="preserve"> initiatives</w:t>
      </w:r>
      <w:r w:rsidR="008967F5">
        <w:t xml:space="preserve"> </w:t>
      </w:r>
      <w:r w:rsidR="007D6813">
        <w:t>(</w:t>
      </w:r>
      <w:r w:rsidR="007D6813">
        <w:fldChar w:fldCharType="begin"/>
      </w:r>
      <w:r w:rsidR="007D6813">
        <w:instrText xml:space="preserve"> REF _Ref209540194 \h </w:instrText>
      </w:r>
      <w:r w:rsidR="007D6813">
        <w:fldChar w:fldCharType="separate"/>
      </w:r>
      <w:r w:rsidR="00167BA0">
        <w:t xml:space="preserve">Figure </w:t>
      </w:r>
      <w:r w:rsidR="00167BA0">
        <w:rPr>
          <w:noProof/>
        </w:rPr>
        <w:t>6</w:t>
      </w:r>
      <w:r w:rsidR="00167BA0">
        <w:t>.</w:t>
      </w:r>
      <w:r w:rsidR="00167BA0">
        <w:rPr>
          <w:noProof/>
        </w:rPr>
        <w:t>6</w:t>
      </w:r>
      <w:r w:rsidR="007D6813">
        <w:fldChar w:fldCharType="end"/>
      </w:r>
      <w:r w:rsidR="007D6813">
        <w:t>)</w:t>
      </w:r>
      <w:r w:rsidR="005F49DB">
        <w:t>.</w:t>
      </w:r>
    </w:p>
    <w:p w14:paraId="0AF56A8D" w14:textId="30EABE78" w:rsidR="00C06492" w:rsidRDefault="00C06492" w:rsidP="00C06492">
      <w:pPr>
        <w:pStyle w:val="Caption"/>
      </w:pPr>
      <w:bookmarkStart w:id="105" w:name="_Ref209540194"/>
      <w:r>
        <w:t xml:space="preserve">Figure </w:t>
      </w:r>
      <w:fldSimple w:instr=" STYLEREF 1 \s ">
        <w:r w:rsidR="00167BA0">
          <w:rPr>
            <w:noProof/>
          </w:rPr>
          <w:t>6</w:t>
        </w:r>
      </w:fldSimple>
      <w:r w:rsidR="00DD3EB1">
        <w:t>.</w:t>
      </w:r>
      <w:fldSimple w:instr=" SEQ Figure \* ARABIC \s 1 ">
        <w:r w:rsidR="00167BA0">
          <w:rPr>
            <w:noProof/>
          </w:rPr>
          <w:t>6</w:t>
        </w:r>
      </w:fldSimple>
      <w:bookmarkEnd w:id="105"/>
      <w:r>
        <w:t xml:space="preserve">: Reported impact of PACOP participation on organisational </w:t>
      </w:r>
      <w:r w:rsidR="00F7611C">
        <w:br/>
      </w:r>
      <w:r>
        <w:t>quality improvement in palliative care (n=79)</w:t>
      </w:r>
    </w:p>
    <w:p w14:paraId="04056CBB" w14:textId="77777777" w:rsidR="00C06492" w:rsidRDefault="00C06492" w:rsidP="00C06492">
      <w:pPr>
        <w:rPr>
          <w:sz w:val="16"/>
          <w:szCs w:val="18"/>
        </w:rPr>
      </w:pPr>
      <w:r>
        <w:rPr>
          <w:noProof/>
        </w:rPr>
        <w:drawing>
          <wp:inline distT="0" distB="0" distL="0" distR="0" wp14:anchorId="5F28FCAD" wp14:editId="23A86230">
            <wp:extent cx="4667250" cy="2702061"/>
            <wp:effectExtent l="0" t="0" r="0" b="3175"/>
            <wp:docPr id="535942710" name="Picture 36" descr="Figure 6.6 is a diagram showing reported impact of PACOP participation on organisational quality improvement in palliative care (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42710" name="Picture 36" descr="Figure 6.6 is a diagram showing reported impact of PACOP participation on organisational quality improvement in palliative care (n=7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67250" cy="2702061"/>
                    </a:xfrm>
                    <a:prstGeom prst="rect">
                      <a:avLst/>
                    </a:prstGeom>
                    <a:noFill/>
                  </pic:spPr>
                </pic:pic>
              </a:graphicData>
            </a:graphic>
          </wp:inline>
        </w:drawing>
      </w:r>
    </w:p>
    <w:p w14:paraId="332E3B75" w14:textId="77777777" w:rsidR="003B6F79" w:rsidRDefault="003B6F79" w:rsidP="003B6F79">
      <w:pPr>
        <w:pStyle w:val="Tablenotes"/>
      </w:pPr>
      <w:r>
        <w:t>Source: HMA online survey, August 2025.</w:t>
      </w:r>
    </w:p>
    <w:p w14:paraId="41A5084F" w14:textId="2D89A2DD" w:rsidR="00CA0B1D" w:rsidRDefault="00F91214" w:rsidP="00DD334B">
      <w:r>
        <w:t>A</w:t>
      </w:r>
      <w:r w:rsidR="00122FC4">
        <w:t xml:space="preserve">round 70% </w:t>
      </w:r>
      <w:r w:rsidR="00E36E75">
        <w:t xml:space="preserve">of </w:t>
      </w:r>
      <w:r w:rsidR="003E7298">
        <w:t xml:space="preserve">online </w:t>
      </w:r>
      <w:r w:rsidR="00E36E75">
        <w:t xml:space="preserve">survey respondents </w:t>
      </w:r>
      <w:r>
        <w:t xml:space="preserve">also </w:t>
      </w:r>
      <w:r w:rsidR="00122FC4" w:rsidRPr="0097217E">
        <w:t xml:space="preserve">reported their organisation regularly used PACOP data or benchmarking reports to </w:t>
      </w:r>
      <w:r w:rsidR="00463B07">
        <w:t>inform</w:t>
      </w:r>
      <w:r w:rsidR="00122FC4" w:rsidRPr="0097217E">
        <w:t xml:space="preserve"> quality improvement initiatives (</w:t>
      </w:r>
      <w:r w:rsidR="005B0A8A">
        <w:t>technical paper, Figure 8.17</w:t>
      </w:r>
      <w:r w:rsidR="00122FC4" w:rsidRPr="0097217E">
        <w:t>)</w:t>
      </w:r>
      <w:r w:rsidR="00702A25">
        <w:t xml:space="preserve">. </w:t>
      </w:r>
      <w:r w:rsidR="00DD334B">
        <w:t>Co</w:t>
      </w:r>
      <w:r w:rsidR="00CA0B1D">
        <w:t>mmon</w:t>
      </w:r>
      <w:r w:rsidR="00795C54">
        <w:t xml:space="preserve"> initiatives </w:t>
      </w:r>
      <w:r w:rsidR="00DD334B">
        <w:t>reported</w:t>
      </w:r>
      <w:r w:rsidR="00CA0B1D">
        <w:t xml:space="preserve"> </w:t>
      </w:r>
      <w:r w:rsidR="00795C54">
        <w:t xml:space="preserve">by PACOP survey respondents </w:t>
      </w:r>
      <w:proofErr w:type="gramStart"/>
      <w:r w:rsidR="00795C54">
        <w:t>as a result of</w:t>
      </w:r>
      <w:proofErr w:type="gramEnd"/>
      <w:r w:rsidR="00795C54">
        <w:t xml:space="preserve"> participation </w:t>
      </w:r>
      <w:r w:rsidR="00CA0B1D">
        <w:t xml:space="preserve">included </w:t>
      </w:r>
      <w:r w:rsidR="007C4F27" w:rsidRPr="007C4F27">
        <w:t>improv</w:t>
      </w:r>
      <w:r w:rsidR="004A4636">
        <w:t>ements to</w:t>
      </w:r>
      <w:r w:rsidR="007C4F27" w:rsidRPr="007C4F27">
        <w:t xml:space="preserve"> palliative care policies and procedures</w:t>
      </w:r>
      <w:r w:rsidR="00DD334B">
        <w:t xml:space="preserve">, </w:t>
      </w:r>
      <w:r w:rsidR="00FB3BE6">
        <w:t>development of palliative care</w:t>
      </w:r>
      <w:r w:rsidR="007C4F27" w:rsidRPr="007C4F27">
        <w:t xml:space="preserve"> resources, </w:t>
      </w:r>
      <w:r w:rsidR="00FB3BE6">
        <w:t>delivery of</w:t>
      </w:r>
      <w:r w:rsidR="007C4F27" w:rsidRPr="007C4F27">
        <w:t xml:space="preserve"> additional staff education, and </w:t>
      </w:r>
      <w:r w:rsidR="00FB3BE6">
        <w:t>improvements to</w:t>
      </w:r>
      <w:r w:rsidR="007C4F27" w:rsidRPr="007C4F27">
        <w:t xml:space="preserve"> clinical protocols (</w:t>
      </w:r>
      <w:r w:rsidR="005B0A8A">
        <w:t>technical paper, Table 6.1</w:t>
      </w:r>
      <w:r w:rsidR="00CA0B1D">
        <w:t xml:space="preserve">). </w:t>
      </w:r>
      <w:r w:rsidR="007C4F27">
        <w:t>M</w:t>
      </w:r>
      <w:r w:rsidR="00CA0B1D" w:rsidRPr="005250E9">
        <w:t>o</w:t>
      </w:r>
      <w:r w:rsidR="00CA0B1D">
        <w:t>re than 85% of</w:t>
      </w:r>
      <w:r w:rsidR="00CA0B1D" w:rsidRPr="005250E9">
        <w:t xml:space="preserve"> respondents believed these </w:t>
      </w:r>
      <w:r w:rsidR="00FF038B">
        <w:t>improvements</w:t>
      </w:r>
      <w:r w:rsidR="00CA0B1D" w:rsidRPr="005250E9">
        <w:t xml:space="preserve"> would be sustained over time </w:t>
      </w:r>
      <w:r w:rsidR="00CA0B1D">
        <w:t>(</w:t>
      </w:r>
      <w:r w:rsidR="005B0A8A">
        <w:t>technical paper, Figure 8.16</w:t>
      </w:r>
      <w:r w:rsidR="00CA0B1D">
        <w:t>),</w:t>
      </w:r>
      <w:r w:rsidR="00CA0B1D" w:rsidRPr="005250E9">
        <w:t xml:space="preserve"> </w:t>
      </w:r>
      <w:r w:rsidR="007C4F27">
        <w:t>suggesting</w:t>
      </w:r>
      <w:r w:rsidR="00CA0B1D" w:rsidRPr="005250E9">
        <w:t xml:space="preserve"> potential for lasting organisational </w:t>
      </w:r>
      <w:r w:rsidR="00FF038B">
        <w:t>change</w:t>
      </w:r>
      <w:r w:rsidR="00CA0B1D">
        <w:t>.</w:t>
      </w:r>
      <w:r w:rsidR="00122C55">
        <w:t xml:space="preserve"> One case study also highlighted that benchmarking reports were beginning to inform service-level gap analysis and action planning </w:t>
      </w:r>
      <w:r w:rsidR="00122C55" w:rsidRPr="00CF54CF">
        <w:t>(</w:t>
      </w:r>
      <w:r w:rsidR="005B0A8A">
        <w:t>technical paper, Section 9.1</w:t>
      </w:r>
      <w:r w:rsidR="00122C55" w:rsidRPr="00CF54CF">
        <w:t>).</w:t>
      </w:r>
    </w:p>
    <w:p w14:paraId="1C418069" w14:textId="708612EC" w:rsidR="00A42ECB" w:rsidRDefault="00C623AC" w:rsidP="005F5F7B">
      <w:r>
        <w:t>Available b</w:t>
      </w:r>
      <w:r w:rsidR="00EF0F60">
        <w:t xml:space="preserve">enchmarking data </w:t>
      </w:r>
      <w:r w:rsidR="0081693C">
        <w:t xml:space="preserve">from </w:t>
      </w:r>
      <w:r>
        <w:t xml:space="preserve">participating </w:t>
      </w:r>
      <w:r w:rsidR="0081693C">
        <w:t xml:space="preserve">homes </w:t>
      </w:r>
      <w:r w:rsidR="00C71FB2">
        <w:t xml:space="preserve">between January 2023 and June 2025 </w:t>
      </w:r>
      <w:r w:rsidR="00EF0F60">
        <w:t xml:space="preserve">demonstrated emerging improvements </w:t>
      </w:r>
      <w:r w:rsidR="00C71FB2">
        <w:t>in</w:t>
      </w:r>
      <w:r w:rsidR="001C1071">
        <w:t xml:space="preserve"> </w:t>
      </w:r>
      <w:r w:rsidR="00D74A66">
        <w:t>several</w:t>
      </w:r>
      <w:r w:rsidR="001C1071">
        <w:t xml:space="preserve"> </w:t>
      </w:r>
      <w:r w:rsidR="005252A0">
        <w:t xml:space="preserve">PACOP </w:t>
      </w:r>
      <w:r w:rsidR="00742AD5">
        <w:t>indicators</w:t>
      </w:r>
      <w:r w:rsidR="007B74CA">
        <w:t xml:space="preserve"> </w:t>
      </w:r>
      <w:r w:rsidR="00C71FB2">
        <w:t>of</w:t>
      </w:r>
      <w:r w:rsidR="007B74CA">
        <w:t xml:space="preserve"> organisational capability</w:t>
      </w:r>
      <w:r w:rsidR="00C876FE">
        <w:t>. These included</w:t>
      </w:r>
      <w:r w:rsidR="00A42ECB">
        <w:t>:</w:t>
      </w:r>
    </w:p>
    <w:p w14:paraId="041D9A08" w14:textId="3E5539AB" w:rsidR="00A42ECB" w:rsidRDefault="00A42ECB" w:rsidP="00A42ECB">
      <w:pPr>
        <w:pStyle w:val="ListBullet"/>
      </w:pPr>
      <w:r w:rsidRPr="00AE2F0C">
        <w:t xml:space="preserve">timely </w:t>
      </w:r>
      <w:r>
        <w:t>screening of new high-need admissions</w:t>
      </w:r>
      <w:r w:rsidRPr="00AE2F0C">
        <w:t xml:space="preserve"> (</w:t>
      </w:r>
      <w:r w:rsidR="007A6B98">
        <w:t xml:space="preserve">increased from </w:t>
      </w:r>
      <w:r w:rsidRPr="00AE2F0C">
        <w:t>28% to 49%</w:t>
      </w:r>
      <w:r w:rsidR="00F84294">
        <w:t xml:space="preserve"> of admissions</w:t>
      </w:r>
      <w:r w:rsidRPr="00AE2F0C">
        <w:t>)</w:t>
      </w:r>
      <w:r w:rsidR="0055613D">
        <w:t xml:space="preserve">, suggesting improved organisational capability in </w:t>
      </w:r>
      <w:r w:rsidR="00725D8D">
        <w:t>the</w:t>
      </w:r>
      <w:r w:rsidR="0055613D">
        <w:t xml:space="preserve"> early identification of palliative care needs among new</w:t>
      </w:r>
      <w:r w:rsidR="006B3C20">
        <w:t>ly admitted</w:t>
      </w:r>
      <w:r w:rsidR="0055613D">
        <w:t xml:space="preserve"> residents</w:t>
      </w:r>
    </w:p>
    <w:p w14:paraId="116A070F" w14:textId="37F0E9CD" w:rsidR="00A42ECB" w:rsidRDefault="00A42ECB" w:rsidP="00A42ECB">
      <w:pPr>
        <w:pStyle w:val="ListBullet"/>
      </w:pPr>
      <w:r>
        <w:t xml:space="preserve">the proportion of residents who died with an advance care plan in place </w:t>
      </w:r>
      <w:r w:rsidRPr="00AE2F0C">
        <w:t>(</w:t>
      </w:r>
      <w:r w:rsidR="006B3C20">
        <w:t xml:space="preserve">increased from </w:t>
      </w:r>
      <w:r w:rsidRPr="00AE2F0C">
        <w:t>51% to 78%</w:t>
      </w:r>
      <w:r w:rsidR="00B45D0C">
        <w:t xml:space="preserve">), </w:t>
      </w:r>
      <w:r w:rsidR="006822BD">
        <w:t>indicating stronger integration of</w:t>
      </w:r>
      <w:r w:rsidR="00B45D0C">
        <w:t xml:space="preserve"> advance care planning processes</w:t>
      </w:r>
      <w:r w:rsidR="006822BD">
        <w:t xml:space="preserve"> and more proactive conversations about end-of-life care</w:t>
      </w:r>
      <w:r w:rsidR="00B45D0C">
        <w:t xml:space="preserve"> (</w:t>
      </w:r>
      <w:r w:rsidR="00DA483A">
        <w:fldChar w:fldCharType="begin"/>
      </w:r>
      <w:r w:rsidR="00DA483A">
        <w:instrText xml:space="preserve"> REF _Ref215674118 \h </w:instrText>
      </w:r>
      <w:r>
        <w:instrText xml:space="preserve"> \* MERGEFORMAT </w:instrText>
      </w:r>
      <w:r w:rsidR="00DA483A">
        <w:fldChar w:fldCharType="separate"/>
      </w:r>
      <w:r w:rsidR="00167BA0">
        <w:t xml:space="preserve">Table </w:t>
      </w:r>
      <w:r w:rsidR="00167BA0">
        <w:rPr>
          <w:noProof/>
        </w:rPr>
        <w:t>9.28</w:t>
      </w:r>
      <w:r w:rsidR="00DA483A">
        <w:fldChar w:fldCharType="end"/>
      </w:r>
      <w:r w:rsidR="001A49F4">
        <w:t xml:space="preserve">, </w:t>
      </w:r>
      <w:r w:rsidR="003E7298">
        <w:fldChar w:fldCharType="begin"/>
      </w:r>
      <w:r w:rsidR="003E7298">
        <w:instrText xml:space="preserve"> REF _Ref216865792 \n \h </w:instrText>
      </w:r>
      <w:r w:rsidR="003E7298">
        <w:fldChar w:fldCharType="separate"/>
      </w:r>
      <w:r w:rsidR="00167BA0">
        <w:t>Appendix D</w:t>
      </w:r>
      <w:r w:rsidR="003E7298">
        <w:fldChar w:fldCharType="end"/>
      </w:r>
      <w:r w:rsidR="00595DB4">
        <w:t>)</w:t>
      </w:r>
      <w:r w:rsidR="006754F5">
        <w:t>.</w:t>
      </w:r>
    </w:p>
    <w:p w14:paraId="32E45BD8" w14:textId="077E32AC" w:rsidR="00405267" w:rsidRDefault="00296324" w:rsidP="005F5F7B">
      <w:r>
        <w:t xml:space="preserve">However, </w:t>
      </w:r>
      <w:r w:rsidR="00E40B9C">
        <w:t xml:space="preserve">several key </w:t>
      </w:r>
      <w:r w:rsidR="00205974">
        <w:t>process-related benchmarking indicators</w:t>
      </w:r>
      <w:r w:rsidR="00E40B9C">
        <w:t xml:space="preserve"> declined over this period</w:t>
      </w:r>
      <w:r w:rsidR="00887DA9">
        <w:t>. This</w:t>
      </w:r>
      <w:r w:rsidR="00205974">
        <w:t xml:space="preserve"> includ</w:t>
      </w:r>
      <w:r w:rsidR="00887DA9">
        <w:t>ed</w:t>
      </w:r>
      <w:r w:rsidR="00205974">
        <w:t xml:space="preserve"> </w:t>
      </w:r>
      <w:r w:rsidR="009F12D4">
        <w:t>the completion of</w:t>
      </w:r>
      <w:r w:rsidR="00887DA9">
        <w:t xml:space="preserve"> quarterly Profile Collection assessments to screen for palliative care needs and prompt commenc</w:t>
      </w:r>
      <w:r w:rsidR="009F12D4">
        <w:t>ement of</w:t>
      </w:r>
      <w:r w:rsidR="00AB1931">
        <w:t xml:space="preserve"> palliative care using the Outcomes Collection </w:t>
      </w:r>
      <w:r w:rsidR="00661176">
        <w:t>(</w:t>
      </w:r>
      <w:r w:rsidR="00661176">
        <w:fldChar w:fldCharType="begin"/>
      </w:r>
      <w:r w:rsidR="00661176">
        <w:instrText xml:space="preserve"> REF _Ref215674118 \h  \* MERGEFORMAT </w:instrText>
      </w:r>
      <w:r w:rsidR="00661176">
        <w:fldChar w:fldCharType="separate"/>
      </w:r>
      <w:r w:rsidR="00167BA0">
        <w:t xml:space="preserve">Table </w:t>
      </w:r>
      <w:r w:rsidR="00167BA0">
        <w:rPr>
          <w:noProof/>
        </w:rPr>
        <w:t>9.28</w:t>
      </w:r>
      <w:r w:rsidR="00661176">
        <w:fldChar w:fldCharType="end"/>
      </w:r>
      <w:r w:rsidR="00661176">
        <w:t xml:space="preserve">, </w:t>
      </w:r>
      <w:r w:rsidR="003E7298">
        <w:fldChar w:fldCharType="begin"/>
      </w:r>
      <w:r w:rsidR="003E7298">
        <w:instrText xml:space="preserve"> REF _Ref216865792 \n \h </w:instrText>
      </w:r>
      <w:r w:rsidR="003E7298">
        <w:fldChar w:fldCharType="separate"/>
      </w:r>
      <w:r w:rsidR="00167BA0">
        <w:t>Appendix D</w:t>
      </w:r>
      <w:r w:rsidR="003E7298">
        <w:fldChar w:fldCharType="end"/>
      </w:r>
      <w:r w:rsidR="00661176">
        <w:t>)</w:t>
      </w:r>
      <w:r w:rsidR="00F002F7">
        <w:t xml:space="preserve">, </w:t>
      </w:r>
      <w:r w:rsidR="00BA386C">
        <w:t>suggesting inconsistent adherence to core PACOP workflows in some participating homes</w:t>
      </w:r>
      <w:r w:rsidR="00F002F7">
        <w:t xml:space="preserve">. While </w:t>
      </w:r>
      <w:r w:rsidR="00493BF8">
        <w:t>these patterns</w:t>
      </w:r>
      <w:r w:rsidR="00CB74B2">
        <w:t xml:space="preserve"> likely </w:t>
      </w:r>
      <w:r w:rsidR="00F002F7">
        <w:t>reflect</w:t>
      </w:r>
      <w:r w:rsidR="00CB74B2">
        <w:t xml:space="preserve"> the early stage of </w:t>
      </w:r>
      <w:r w:rsidR="00BA5D3E">
        <w:t xml:space="preserve">program </w:t>
      </w:r>
      <w:r w:rsidR="00CB74B2">
        <w:t>implementation</w:t>
      </w:r>
      <w:r w:rsidR="00BA476A">
        <w:t xml:space="preserve"> and</w:t>
      </w:r>
      <w:r w:rsidR="00CB74B2">
        <w:t xml:space="preserve"> varying local capability</w:t>
      </w:r>
      <w:r w:rsidR="00093EBE">
        <w:t xml:space="preserve">, </w:t>
      </w:r>
      <w:r w:rsidR="00112469">
        <w:t>they</w:t>
      </w:r>
      <w:r w:rsidR="00BA476A">
        <w:t xml:space="preserve"> may also reflect </w:t>
      </w:r>
      <w:r w:rsidR="009C42BF">
        <w:t xml:space="preserve">broader </w:t>
      </w:r>
      <w:r w:rsidR="00073095">
        <w:t xml:space="preserve">implementation </w:t>
      </w:r>
      <w:r w:rsidR="00BA386C">
        <w:t>challenges (see Section 5.3.2)</w:t>
      </w:r>
      <w:r w:rsidR="00073095">
        <w:t>,</w:t>
      </w:r>
      <w:r w:rsidR="00B42D67">
        <w:t xml:space="preserve"> </w:t>
      </w:r>
      <w:r w:rsidR="00B708F8">
        <w:t xml:space="preserve">underscoring the importance of feasibility and </w:t>
      </w:r>
      <w:r w:rsidR="008C2129">
        <w:t>implementation support</w:t>
      </w:r>
      <w:r w:rsidR="00A6778A">
        <w:t>.</w:t>
      </w:r>
    </w:p>
    <w:p w14:paraId="0138310B" w14:textId="65EE8B12" w:rsidR="00F42E6C" w:rsidRDefault="007E1455" w:rsidP="005F5F7B">
      <w:bookmarkStart w:id="106" w:name="_Hlk220587527"/>
      <w:r>
        <w:t>I</w:t>
      </w:r>
      <w:r w:rsidR="00040ADF">
        <w:t xml:space="preserve">t is important to </w:t>
      </w:r>
      <w:r>
        <w:t>note</w:t>
      </w:r>
      <w:r w:rsidR="00040ADF">
        <w:t xml:space="preserve"> that </w:t>
      </w:r>
      <w:r w:rsidR="00405267">
        <w:t>findings from benchmarking data</w:t>
      </w:r>
      <w:r w:rsidR="00040ADF">
        <w:t xml:space="preserve"> represent initial signals rather than definitive outcomes and should be interpreted with caution. </w:t>
      </w:r>
      <w:r w:rsidR="00970668" w:rsidRPr="009E3F12">
        <w:t xml:space="preserve">Embedding a structured, data-driven </w:t>
      </w:r>
      <w:r w:rsidR="00970668">
        <w:t>program like PACOP</w:t>
      </w:r>
      <w:r w:rsidR="00970668" w:rsidRPr="009E3F12">
        <w:t xml:space="preserve"> is inherently a long-</w:t>
      </w:r>
      <w:r w:rsidR="00970668" w:rsidRPr="009E3F12">
        <w:lastRenderedPageBreak/>
        <w:t xml:space="preserve">term process, requiring ongoing commitment and iterative refinement before measurable </w:t>
      </w:r>
      <w:r w:rsidR="00970668">
        <w:t xml:space="preserve">organisational </w:t>
      </w:r>
      <w:r w:rsidR="00970668" w:rsidRPr="009E3F12">
        <w:t>benefits can be fully realised</w:t>
      </w:r>
      <w:r w:rsidR="00970668">
        <w:t>.</w:t>
      </w:r>
    </w:p>
    <w:bookmarkEnd w:id="106"/>
    <w:p w14:paraId="762F2A82" w14:textId="03CB0DC4" w:rsidR="002F2228" w:rsidRDefault="002F2228" w:rsidP="002F2228">
      <w:pPr>
        <w:pStyle w:val="Heading4"/>
      </w:pPr>
      <w:r>
        <w:t>Collaboration and integration with external services</w:t>
      </w:r>
    </w:p>
    <w:p w14:paraId="69937C25" w14:textId="5AFA7566" w:rsidR="00BD602F" w:rsidRDefault="00E736EB" w:rsidP="00D9365A">
      <w:r>
        <w:t>Survey, case study, and consultation findings</w:t>
      </w:r>
      <w:r w:rsidR="00C2069A">
        <w:t xml:space="preserve"> suggested that PACOP contributed to improved collaboration and integration</w:t>
      </w:r>
      <w:r w:rsidR="00BD602F">
        <w:t xml:space="preserve"> </w:t>
      </w:r>
      <w:r w:rsidR="00887DA9">
        <w:t>among aged care providers and external services involved in palliative care delivery</w:t>
      </w:r>
      <w:r w:rsidR="00C2069A">
        <w:t>.</w:t>
      </w:r>
    </w:p>
    <w:p w14:paraId="10988A0B" w14:textId="2B34D71C" w:rsidR="00D9365A" w:rsidRDefault="00C2069A" w:rsidP="00D9365A">
      <w:r>
        <w:t xml:space="preserve">As reported in Section 6.2.1, approximately 70% of PACOP survey respondents reported </w:t>
      </w:r>
      <w:r w:rsidRPr="00F848A7">
        <w:t>moderate or significant gains in staff confidence to work with external services</w:t>
      </w:r>
      <w:r w:rsidR="007E3DF4">
        <w:t>. T</w:t>
      </w:r>
      <w:r w:rsidRPr="00F848A7">
        <w:t>hree-quarters</w:t>
      </w:r>
      <w:r w:rsidR="007E3DF4">
        <w:t xml:space="preserve"> of respondents</w:t>
      </w:r>
      <w:r w:rsidRPr="00F848A7">
        <w:t xml:space="preserve"> cited similar improvements at the organisational level</w:t>
      </w:r>
      <w:r>
        <w:t xml:space="preserve"> (</w:t>
      </w:r>
      <w:r w:rsidR="005B0A8A">
        <w:t>technical paper, Figure 6.5</w:t>
      </w:r>
      <w:r>
        <w:t xml:space="preserve">). </w:t>
      </w:r>
      <w:r w:rsidR="00A11963">
        <w:t>Survey f</w:t>
      </w:r>
      <w:r w:rsidR="00A974E9">
        <w:t xml:space="preserve">indings </w:t>
      </w:r>
      <w:r w:rsidR="00A11963">
        <w:t xml:space="preserve">also </w:t>
      </w:r>
      <w:r w:rsidR="00A974E9">
        <w:t>suggested that these gains translated into tangible organisational improvements</w:t>
      </w:r>
      <w:r w:rsidR="00A11963">
        <w:t>. N</w:t>
      </w:r>
      <w:r w:rsidR="00A974E9">
        <w:t>early</w:t>
      </w:r>
      <w:r w:rsidR="00A01C11">
        <w:t xml:space="preserve"> half of </w:t>
      </w:r>
      <w:r w:rsidRPr="00126A64">
        <w:t xml:space="preserve">respondents </w:t>
      </w:r>
      <w:r w:rsidR="00F168D2">
        <w:t>report</w:t>
      </w:r>
      <w:r w:rsidR="00A11963">
        <w:t>ed</w:t>
      </w:r>
      <w:r w:rsidRPr="00126A64">
        <w:t xml:space="preserve"> their organisation had created or enhanced referral pathways,</w:t>
      </w:r>
      <w:r>
        <w:t xml:space="preserve"> and</w:t>
      </w:r>
      <w:r w:rsidRPr="00126A64">
        <w:t xml:space="preserve"> 40% actively improved collaboration and communication with external </w:t>
      </w:r>
      <w:r w:rsidR="00D9365A">
        <w:t>providers</w:t>
      </w:r>
      <w:r>
        <w:t xml:space="preserve"> </w:t>
      </w:r>
      <w:proofErr w:type="gramStart"/>
      <w:r w:rsidR="0047548C">
        <w:t>as a result of</w:t>
      </w:r>
      <w:proofErr w:type="gramEnd"/>
      <w:r w:rsidR="0047548C">
        <w:t xml:space="preserve"> program participation </w:t>
      </w:r>
      <w:r>
        <w:t>(</w:t>
      </w:r>
      <w:r w:rsidR="005B0A8A">
        <w:t>technical paper, Table 6.1</w:t>
      </w:r>
      <w:r>
        <w:t>).</w:t>
      </w:r>
    </w:p>
    <w:p w14:paraId="182512C3" w14:textId="1DFC779E" w:rsidR="00A52233" w:rsidRDefault="003E1628" w:rsidP="00A52233">
      <w:r>
        <w:t xml:space="preserve">Stakeholder </w:t>
      </w:r>
      <w:r w:rsidRPr="0026316B">
        <w:t>consultations highlighted improved communication</w:t>
      </w:r>
      <w:r>
        <w:t xml:space="preserve"> with medical and specialist palliative care professionals</w:t>
      </w:r>
      <w:r w:rsidRPr="0026316B">
        <w:t xml:space="preserve"> as a key </w:t>
      </w:r>
      <w:r>
        <w:t>perceived benefit of the program</w:t>
      </w:r>
      <w:r w:rsidRPr="0026316B">
        <w:t xml:space="preserve">. </w:t>
      </w:r>
      <w:r>
        <w:t>It was</w:t>
      </w:r>
      <w:r w:rsidRPr="0026316B">
        <w:t xml:space="preserve"> noted that PACOP provided a consistent language and structured framework, enabling aged care staff to articulate residents</w:t>
      </w:r>
      <w:r w:rsidR="003863F5">
        <w:t>’</w:t>
      </w:r>
      <w:r w:rsidRPr="0026316B">
        <w:t xml:space="preserve"> </w:t>
      </w:r>
      <w:r w:rsidR="00ED3B1B">
        <w:t>condition</w:t>
      </w:r>
      <w:r w:rsidR="00E61C13">
        <w:t xml:space="preserve">s and </w:t>
      </w:r>
      <w:r w:rsidRPr="0026316B">
        <w:t xml:space="preserve">needs more </w:t>
      </w:r>
      <w:r w:rsidR="00E61C13">
        <w:t>effectively</w:t>
      </w:r>
      <w:r>
        <w:t>. In turn, stakeholders felt this would</w:t>
      </w:r>
      <w:r w:rsidRPr="0026316B">
        <w:t xml:space="preserve"> support </w:t>
      </w:r>
      <w:r>
        <w:t xml:space="preserve">more </w:t>
      </w:r>
      <w:r w:rsidRPr="0026316B">
        <w:t>constructive conversations with GPs and specialist services</w:t>
      </w:r>
      <w:r>
        <w:t>.</w:t>
      </w:r>
    </w:p>
    <w:p w14:paraId="52FAF7F8" w14:textId="005F2482" w:rsidR="003E1628" w:rsidRDefault="003E1628" w:rsidP="003E1628">
      <w:pPr>
        <w:pStyle w:val="Quote"/>
      </w:pPr>
      <w:r w:rsidRPr="002508FD">
        <w:t xml:space="preserve">PACOP gives the nurse the tools to </w:t>
      </w:r>
      <w:proofErr w:type="gramStart"/>
      <w:r w:rsidRPr="002508FD">
        <w:t>actually have</w:t>
      </w:r>
      <w:proofErr w:type="gramEnd"/>
      <w:r w:rsidRPr="002508FD">
        <w:t xml:space="preserve"> a good discussion with a doctor. It gives them grounding, it gives them the story, it gives the information.</w:t>
      </w:r>
      <w:r>
        <w:t xml:space="preserve"> R</w:t>
      </w:r>
      <w:r w:rsidRPr="002508FD">
        <w:t>ather than just saying to the doctor, this is what this person</w:t>
      </w:r>
      <w:r w:rsidR="003863F5">
        <w:t>’</w:t>
      </w:r>
      <w:r w:rsidRPr="002508FD">
        <w:t>s got, it</w:t>
      </w:r>
      <w:r w:rsidR="003863F5">
        <w:t>’</w:t>
      </w:r>
      <w:r w:rsidRPr="002508FD">
        <w:t xml:space="preserve">s </w:t>
      </w:r>
      <w:proofErr w:type="gramStart"/>
      <w:r w:rsidRPr="002508FD">
        <w:t>actually grounded</w:t>
      </w:r>
      <w:proofErr w:type="gramEnd"/>
      <w:r w:rsidRPr="002508FD">
        <w:t xml:space="preserve"> in a proper framework.</w:t>
      </w:r>
      <w:r>
        <w:t xml:space="preserve"> – Specialist palliative care service representative</w:t>
      </w:r>
    </w:p>
    <w:p w14:paraId="2E4CC34A" w14:textId="326E75E4" w:rsidR="005C0831" w:rsidRDefault="00E61C13" w:rsidP="00605105">
      <w:r>
        <w:t>Consistent with this, one case study (</w:t>
      </w:r>
      <w:r w:rsidR="005B0A8A">
        <w:t>technical paper, Section 9.2</w:t>
      </w:r>
      <w:r>
        <w:t>) reported that PACOP assessment data strengthened communication with GPs.</w:t>
      </w:r>
    </w:p>
    <w:p w14:paraId="0CBF9567" w14:textId="2369142E" w:rsidR="001D34EB" w:rsidRPr="00C2714C" w:rsidRDefault="005C0831" w:rsidP="00605105">
      <w:r>
        <w:t>Together, t</w:t>
      </w:r>
      <w:r w:rsidR="00933E9D">
        <w:t xml:space="preserve">hese findings suggest that PACOP </w:t>
      </w:r>
      <w:r>
        <w:t xml:space="preserve">helped participating homes to </w:t>
      </w:r>
      <w:r w:rsidR="0057674E" w:rsidRPr="00C2714C">
        <w:t>embed processes (e.g.</w:t>
      </w:r>
      <w:r w:rsidR="007F4147" w:rsidRPr="00C2714C">
        <w:t xml:space="preserve"> referral pathways, structured communication) that support</w:t>
      </w:r>
      <w:r>
        <w:t>ed</w:t>
      </w:r>
      <w:r w:rsidR="007F4147" w:rsidRPr="00C2714C">
        <w:t xml:space="preserve"> collaboration </w:t>
      </w:r>
      <w:r>
        <w:t>and care integration</w:t>
      </w:r>
      <w:r w:rsidR="00051CE5">
        <w:t xml:space="preserve"> </w:t>
      </w:r>
      <w:r w:rsidR="007F4147" w:rsidRPr="00C2714C">
        <w:t>across sectors.</w:t>
      </w:r>
    </w:p>
    <w:p w14:paraId="11A9A699" w14:textId="266975D7" w:rsidR="002F2228" w:rsidRDefault="009B2822" w:rsidP="007264C8">
      <w:pPr>
        <w:pStyle w:val="Heading4"/>
      </w:pPr>
      <w:r w:rsidRPr="00C2714C">
        <w:t>Variation in benefit</w:t>
      </w:r>
      <w:r w:rsidR="00B826D4">
        <w:t>s</w:t>
      </w:r>
    </w:p>
    <w:p w14:paraId="33EED0BA" w14:textId="0156D85F" w:rsidR="004F35DB" w:rsidRDefault="00B400B9" w:rsidP="005F5F7B">
      <w:r>
        <w:t>There was some</w:t>
      </w:r>
      <w:r w:rsidR="00A31D6D">
        <w:t xml:space="preserve"> </w:t>
      </w:r>
      <w:r>
        <w:t>evidence to suggest that PACOP</w:t>
      </w:r>
      <w:r w:rsidR="003863F5">
        <w:t>’</w:t>
      </w:r>
      <w:r>
        <w:t xml:space="preserve">s effectiveness in improving organisational capability </w:t>
      </w:r>
      <w:r w:rsidR="00051CE5">
        <w:t>varied</w:t>
      </w:r>
      <w:r>
        <w:t xml:space="preserve"> by provider characteristics and length of participation. </w:t>
      </w:r>
      <w:r w:rsidR="005F6F27">
        <w:t xml:space="preserve">Participation data (see 5.3.2) indicated stronger demand among smaller providers (fewer than 10 homes). </w:t>
      </w:r>
      <w:r w:rsidR="00040132">
        <w:t>Consistent with this, s</w:t>
      </w:r>
      <w:r w:rsidR="005F6F27">
        <w:t>takeholder</w:t>
      </w:r>
      <w:r w:rsidR="00040132">
        <w:t xml:space="preserve">s perceived </w:t>
      </w:r>
      <w:r w:rsidR="00DA0E2A">
        <w:t xml:space="preserve">PACOP </w:t>
      </w:r>
      <w:r w:rsidR="00762B8D">
        <w:t>as particularly beneficial for smaller providers</w:t>
      </w:r>
      <w:r w:rsidR="00153CA1">
        <w:t xml:space="preserve">, </w:t>
      </w:r>
      <w:r w:rsidR="00627DED">
        <w:t>especially</w:t>
      </w:r>
      <w:r w:rsidR="00153CA1">
        <w:t xml:space="preserve"> those </w:t>
      </w:r>
      <w:r w:rsidR="00AF7927">
        <w:t xml:space="preserve">without </w:t>
      </w:r>
      <w:r w:rsidR="00A75BC8">
        <w:t>dedicated in-house palliative care support</w:t>
      </w:r>
      <w:r w:rsidR="001E571C">
        <w:t xml:space="preserve">. </w:t>
      </w:r>
      <w:r w:rsidR="00E1595D">
        <w:t>Sm</w:t>
      </w:r>
      <w:r w:rsidR="00762B8D">
        <w:t xml:space="preserve">aller providers </w:t>
      </w:r>
      <w:r w:rsidR="00E1595D">
        <w:t xml:space="preserve">were also viewed as having greater capacity to embed </w:t>
      </w:r>
      <w:r w:rsidR="00762B8D">
        <w:t>the comprehensive PACOP model</w:t>
      </w:r>
      <w:r w:rsidR="00CC7783">
        <w:t>, with th</w:t>
      </w:r>
      <w:r w:rsidR="00A277C7">
        <w:t xml:space="preserve">eir scale </w:t>
      </w:r>
      <w:r w:rsidR="00CC7783">
        <w:t>allowing</w:t>
      </w:r>
      <w:r w:rsidR="00BD2E2D">
        <w:t xml:space="preserve"> for more effective control and consistency in implementation</w:t>
      </w:r>
      <w:r w:rsidR="00A277C7">
        <w:t>.</w:t>
      </w:r>
      <w:r w:rsidR="00E1595D">
        <w:t xml:space="preserve"> Conversely, s</w:t>
      </w:r>
      <w:r w:rsidR="00171985">
        <w:t xml:space="preserve">takeholders </w:t>
      </w:r>
      <w:r w:rsidR="00E1595D">
        <w:t xml:space="preserve">perceived </w:t>
      </w:r>
      <w:r w:rsidR="00D11F33">
        <w:t xml:space="preserve">the program as being less beneficial for </w:t>
      </w:r>
      <w:r w:rsidR="00171985">
        <w:t xml:space="preserve">providers with </w:t>
      </w:r>
      <w:r w:rsidR="0094123E">
        <w:t xml:space="preserve">well-developed </w:t>
      </w:r>
      <w:r w:rsidR="00D11F33">
        <w:t>palliative care systems and processes.</w:t>
      </w:r>
    </w:p>
    <w:p w14:paraId="1460B35F" w14:textId="0B10C66B" w:rsidR="005B765C" w:rsidRDefault="00C2714C" w:rsidP="005B765C">
      <w:r>
        <w:t>Exploratory subgroup analysis of online survey findings</w:t>
      </w:r>
      <w:r w:rsidR="00B84C9F">
        <w:t xml:space="preserve"> indicated a potential cumulative benefit of sustained </w:t>
      </w:r>
      <w:r w:rsidR="006F2EDE">
        <w:t xml:space="preserve">program </w:t>
      </w:r>
      <w:r w:rsidR="00B84C9F">
        <w:t>engagement</w:t>
      </w:r>
      <w:r w:rsidR="00F71955">
        <w:t xml:space="preserve"> on the integration of high-quality palliative care into core business and organisational capability in delivering high-quality palliative care (</w:t>
      </w:r>
      <w:r w:rsidR="005B0A8A">
        <w:t xml:space="preserve">technical paper, </w:t>
      </w:r>
      <w:r w:rsidR="00DD1793">
        <w:t>Table 8.7</w:t>
      </w:r>
      <w:r w:rsidR="005B765C">
        <w:t>).</w:t>
      </w:r>
      <w:r w:rsidR="0094123E">
        <w:t xml:space="preserve"> These findings should be interpreted cautiously due to sample size limitations.</w:t>
      </w:r>
    </w:p>
    <w:p w14:paraId="43EA320D" w14:textId="6E1CCA73" w:rsidR="004003A4" w:rsidRDefault="00114AFA" w:rsidP="00120E73">
      <w:pPr>
        <w:pStyle w:val="Findings"/>
      </w:pPr>
      <w:r>
        <w:t xml:space="preserve">Survey and case study </w:t>
      </w:r>
      <w:r w:rsidR="00BE6CDD">
        <w:t xml:space="preserve">evidence </w:t>
      </w:r>
      <w:r>
        <w:t>suggested</w:t>
      </w:r>
      <w:r w:rsidR="00BE6CDD">
        <w:t xml:space="preserve"> that </w:t>
      </w:r>
      <w:r>
        <w:t>PACOP</w:t>
      </w:r>
      <w:r w:rsidR="00BE6CDD">
        <w:t xml:space="preserve"> </w:t>
      </w:r>
      <w:r w:rsidR="00624FFF">
        <w:t>contributed to strengthening</w:t>
      </w:r>
      <w:r w:rsidR="00BE6CDD">
        <w:t xml:space="preserve"> organisational capability and </w:t>
      </w:r>
      <w:r w:rsidR="00186B62">
        <w:t>embedding structured processes for</w:t>
      </w:r>
      <w:r w:rsidR="00A23925">
        <w:t xml:space="preserve"> quality improvement </w:t>
      </w:r>
      <w:r w:rsidR="00186B62">
        <w:t>and collaboration</w:t>
      </w:r>
      <w:r w:rsidR="00B104C8">
        <w:t xml:space="preserve">. </w:t>
      </w:r>
      <w:r w:rsidR="00422F65">
        <w:t>B</w:t>
      </w:r>
      <w:r w:rsidR="00A95FA0">
        <w:t>enchmarking data signalled some</w:t>
      </w:r>
      <w:r w:rsidR="00422F65">
        <w:t xml:space="preserve"> early</w:t>
      </w:r>
      <w:r w:rsidR="00A95FA0">
        <w:t xml:space="preserve"> </w:t>
      </w:r>
      <w:r w:rsidR="00091D14">
        <w:t>signs of improvement</w:t>
      </w:r>
      <w:r w:rsidR="00291B0B">
        <w:t xml:space="preserve"> in several domains</w:t>
      </w:r>
      <w:r w:rsidR="004E35EF">
        <w:t>, including timely screening of new admissions and advance care planning</w:t>
      </w:r>
      <w:r w:rsidR="004003A4">
        <w:t>.</w:t>
      </w:r>
    </w:p>
    <w:p w14:paraId="4B161C61" w14:textId="0677A4B1" w:rsidR="00A55F40" w:rsidRDefault="002E1E7D" w:rsidP="00120E73">
      <w:pPr>
        <w:pStyle w:val="Findings"/>
      </w:pPr>
      <w:r>
        <w:t>Declines in key process benchmarking measures, including completion of scheduled Profile Collection assessments and timely initiation of palliative care using the Outcomes Collection</w:t>
      </w:r>
      <w:r w:rsidR="00F11865">
        <w:t xml:space="preserve">, indicate that some homes </w:t>
      </w:r>
      <w:r w:rsidR="00C97D6D">
        <w:t xml:space="preserve">were </w:t>
      </w:r>
      <w:r w:rsidR="00F11865">
        <w:t xml:space="preserve">struggling to consistently adhere to the PACOP </w:t>
      </w:r>
      <w:r w:rsidR="00F11865">
        <w:lastRenderedPageBreak/>
        <w:t>framework</w:t>
      </w:r>
      <w:r w:rsidR="00D86E4C">
        <w:t>.</w:t>
      </w:r>
      <w:r w:rsidR="00B343AD">
        <w:t xml:space="preserve"> </w:t>
      </w:r>
      <w:r w:rsidR="00A16592">
        <w:t xml:space="preserve">These findings </w:t>
      </w:r>
      <w:r w:rsidR="00D87ACB">
        <w:t>highlight ongoing implementation and feasibility challenges</w:t>
      </w:r>
      <w:r w:rsidR="00A16592">
        <w:t>.</w:t>
      </w:r>
    </w:p>
    <w:p w14:paraId="045A33DD" w14:textId="2386F59E" w:rsidR="00D511D1" w:rsidRDefault="00D511D1" w:rsidP="00D511D1">
      <w:pPr>
        <w:pStyle w:val="Heading3"/>
      </w:pPr>
      <w:bookmarkStart w:id="107" w:name="_Toc232685918"/>
      <w:r>
        <w:t>Improve</w:t>
      </w:r>
      <w:r w:rsidR="004C5FCE">
        <w:t>ments in</w:t>
      </w:r>
      <w:r>
        <w:t xml:space="preserve"> health outcomes and quality of life</w:t>
      </w:r>
      <w:bookmarkEnd w:id="107"/>
    </w:p>
    <w:p w14:paraId="223DC881" w14:textId="66CD11AE" w:rsidR="002A08A8" w:rsidRDefault="00B54D12" w:rsidP="004A2E7E">
      <w:pPr>
        <w:spacing w:after="80"/>
      </w:pPr>
      <w:r>
        <w:t>Evaluation findings</w:t>
      </w:r>
      <w:r w:rsidR="00C43873">
        <w:t xml:space="preserve"> suggest</w:t>
      </w:r>
      <w:r>
        <w:t>ed</w:t>
      </w:r>
      <w:r w:rsidR="00C43873">
        <w:t xml:space="preserve"> that</w:t>
      </w:r>
      <w:r>
        <w:t xml:space="preserve"> PACOP</w:t>
      </w:r>
      <w:r w:rsidR="00C867B6">
        <w:t xml:space="preserve"> was perceived to</w:t>
      </w:r>
      <w:r w:rsidR="00C43873">
        <w:t xml:space="preserve"> indirectly </w:t>
      </w:r>
      <w:r w:rsidR="00C867B6">
        <w:t xml:space="preserve">influence </w:t>
      </w:r>
      <w:r w:rsidR="0036283C">
        <w:t>resident</w:t>
      </w:r>
      <w:r w:rsidR="00C43873">
        <w:t xml:space="preserve"> health outcomes and family experiences</w:t>
      </w:r>
      <w:r w:rsidR="0036283C">
        <w:t>,</w:t>
      </w:r>
      <w:r w:rsidR="00896C79" w:rsidRPr="00B0549A">
        <w:t xml:space="preserve"> primarily through earlier identification of palliative care needs and improved communication</w:t>
      </w:r>
      <w:r w:rsidR="00896C79">
        <w:t>.</w:t>
      </w:r>
    </w:p>
    <w:p w14:paraId="4DD7A035" w14:textId="0537DDAB" w:rsidR="00346C21" w:rsidRDefault="00346C21" w:rsidP="004A2E7E">
      <w:pPr>
        <w:pStyle w:val="Heading4"/>
        <w:spacing w:before="120"/>
      </w:pPr>
      <w:r>
        <w:t>Perceived improvements in care and family experience</w:t>
      </w:r>
    </w:p>
    <w:p w14:paraId="042C0D7C" w14:textId="47218CE9" w:rsidR="00495F1F" w:rsidRDefault="00346C21" w:rsidP="004A423E">
      <w:r>
        <w:t>A</w:t>
      </w:r>
      <w:r w:rsidR="00A41620">
        <w:t xml:space="preserve">s shown in </w:t>
      </w:r>
      <w:r w:rsidR="00A41620">
        <w:fldChar w:fldCharType="begin"/>
      </w:r>
      <w:r w:rsidR="00A41620">
        <w:instrText xml:space="preserve"> REF _Ref209684996 \h </w:instrText>
      </w:r>
      <w:r w:rsidR="00A41620">
        <w:fldChar w:fldCharType="separate"/>
      </w:r>
      <w:r w:rsidR="00167BA0">
        <w:t xml:space="preserve">Figure </w:t>
      </w:r>
      <w:r w:rsidR="00167BA0">
        <w:rPr>
          <w:noProof/>
        </w:rPr>
        <w:t>6</w:t>
      </w:r>
      <w:r w:rsidR="00167BA0">
        <w:t>.</w:t>
      </w:r>
      <w:r w:rsidR="00167BA0">
        <w:rPr>
          <w:noProof/>
        </w:rPr>
        <w:t>7</w:t>
      </w:r>
      <w:r w:rsidR="00A41620">
        <w:fldChar w:fldCharType="end"/>
      </w:r>
      <w:r w:rsidR="00A41620">
        <w:t>, the majority (around 75%)</w:t>
      </w:r>
      <w:r w:rsidR="008739D1">
        <w:t xml:space="preserve"> of P</w:t>
      </w:r>
      <w:r>
        <w:t>ACOP survey respondents perceived</w:t>
      </w:r>
      <w:r w:rsidR="006E7754">
        <w:t xml:space="preserve"> moderate or significant positive impact</w:t>
      </w:r>
      <w:r>
        <w:t>s</w:t>
      </w:r>
      <w:r w:rsidR="006E7754">
        <w:t xml:space="preserve"> of the program on </w:t>
      </w:r>
      <w:r w:rsidR="00EA1377">
        <w:t>key indicators of care quality, including</w:t>
      </w:r>
      <w:r w:rsidR="004A423E">
        <w:t xml:space="preserve"> </w:t>
      </w:r>
      <w:r w:rsidR="006E7754">
        <w:t>timely identification of palliative care needs</w:t>
      </w:r>
      <w:r w:rsidR="004A423E">
        <w:t xml:space="preserve">, </w:t>
      </w:r>
      <w:r w:rsidR="006E7754">
        <w:t>health outcomes and quality of life throughout the palliative care journey</w:t>
      </w:r>
      <w:r w:rsidR="004A423E">
        <w:t xml:space="preserve">, and </w:t>
      </w:r>
      <w:r w:rsidR="006E7754">
        <w:t>end-of-life outcomes.</w:t>
      </w:r>
    </w:p>
    <w:p w14:paraId="423EF5D1" w14:textId="739458FD" w:rsidR="006E7754" w:rsidRDefault="006E7754" w:rsidP="006E7754">
      <w:pPr>
        <w:pStyle w:val="Caption"/>
      </w:pPr>
      <w:bookmarkStart w:id="108" w:name="_Ref209684996"/>
      <w:r>
        <w:t xml:space="preserve">Figure </w:t>
      </w:r>
      <w:fldSimple w:instr=" STYLEREF 1 \s ">
        <w:r w:rsidR="00167BA0">
          <w:rPr>
            <w:noProof/>
          </w:rPr>
          <w:t>6</w:t>
        </w:r>
      </w:fldSimple>
      <w:r w:rsidR="00DD3EB1">
        <w:t>.</w:t>
      </w:r>
      <w:fldSimple w:instr=" SEQ Figure \* ARABIC \s 1 ">
        <w:r w:rsidR="00167BA0">
          <w:rPr>
            <w:noProof/>
          </w:rPr>
          <w:t>7</w:t>
        </w:r>
      </w:fldSimple>
      <w:bookmarkEnd w:id="108"/>
      <w:r>
        <w:t>: Respondents</w:t>
      </w:r>
      <w:r w:rsidR="003863F5">
        <w:t>’</w:t>
      </w:r>
      <w:r>
        <w:t xml:space="preserve"> perceptions of the impact of PACOP </w:t>
      </w:r>
      <w:r w:rsidR="00962EC3">
        <w:br/>
      </w:r>
      <w:r>
        <w:t xml:space="preserve">on </w:t>
      </w:r>
      <w:r w:rsidR="00962EC3">
        <w:t>health and end-of-life outcomes</w:t>
      </w:r>
      <w:r>
        <w:t xml:space="preserve"> (n=79)</w:t>
      </w:r>
    </w:p>
    <w:p w14:paraId="04693A41" w14:textId="77777777" w:rsidR="006E7754" w:rsidRDefault="006E7754" w:rsidP="00BE1F87">
      <w:pPr>
        <w:spacing w:after="0"/>
        <w:jc w:val="center"/>
      </w:pPr>
      <w:r>
        <w:rPr>
          <w:noProof/>
        </w:rPr>
        <w:drawing>
          <wp:inline distT="0" distB="0" distL="0" distR="0" wp14:anchorId="53EC9598" wp14:editId="31E71CCA">
            <wp:extent cx="4537267" cy="2714625"/>
            <wp:effectExtent l="0" t="0" r="0" b="0"/>
            <wp:docPr id="1761852219" name="Picture 16" descr="Figure 6.7 is a diagram showing respondents’ perceptions of the impact of PACOP on health and end-of-life outcomes (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52219" name="Picture 16" descr="Figure 6.7 is a diagram showing respondents’ perceptions of the impact of PACOP on health and end-of-life outcomes (n=7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39952" cy="2716231"/>
                    </a:xfrm>
                    <a:prstGeom prst="rect">
                      <a:avLst/>
                    </a:prstGeom>
                    <a:noFill/>
                  </pic:spPr>
                </pic:pic>
              </a:graphicData>
            </a:graphic>
          </wp:inline>
        </w:drawing>
      </w:r>
    </w:p>
    <w:p w14:paraId="200F185E" w14:textId="77777777" w:rsidR="006E7754" w:rsidRDefault="006E7754" w:rsidP="004A2E7E">
      <w:pPr>
        <w:pStyle w:val="Tablenotes"/>
        <w:spacing w:before="0"/>
      </w:pPr>
      <w:r>
        <w:t>Source: HMA online survey, August 2025.</w:t>
      </w:r>
    </w:p>
    <w:p w14:paraId="7C05D382" w14:textId="0C169958" w:rsidR="006E7754" w:rsidRDefault="006E7754" w:rsidP="00B2222C">
      <w:r>
        <w:t xml:space="preserve">Qualitative </w:t>
      </w:r>
      <w:r w:rsidR="00477C21">
        <w:t>examples</w:t>
      </w:r>
      <w:r>
        <w:t xml:space="preserve"> from </w:t>
      </w:r>
      <w:r w:rsidR="0043685A">
        <w:t xml:space="preserve">PACOP </w:t>
      </w:r>
      <w:r>
        <w:t>survey respondents</w:t>
      </w:r>
      <w:r w:rsidR="00477C21">
        <w:t xml:space="preserve"> </w:t>
      </w:r>
      <w:r>
        <w:t>reinforced these findings</w:t>
      </w:r>
      <w:r w:rsidR="00176AD3">
        <w:t xml:space="preserve">, highlighting </w:t>
      </w:r>
      <w:r w:rsidR="00F961CA">
        <w:t xml:space="preserve">improved </w:t>
      </w:r>
      <w:r w:rsidR="00176AD3">
        <w:t xml:space="preserve">family support and </w:t>
      </w:r>
      <w:r w:rsidR="00F961CA">
        <w:t>communication between staff and better sym</w:t>
      </w:r>
      <w:r w:rsidR="00B6420E">
        <w:t>ptom management (</w:t>
      </w:r>
      <w:r w:rsidR="00DD1793">
        <w:t>technical paper, Table 6.2</w:t>
      </w:r>
      <w:r w:rsidR="00E5558A">
        <w:t>). One respondent described the impact of the program as follows:</w:t>
      </w:r>
    </w:p>
    <w:p w14:paraId="253062D3" w14:textId="35A9C6A2" w:rsidR="00C245F1" w:rsidRDefault="00C245F1" w:rsidP="00C245F1">
      <w:pPr>
        <w:pStyle w:val="Quote"/>
        <w:rPr>
          <w:b/>
          <w:bCs/>
        </w:rPr>
      </w:pPr>
      <w:r w:rsidRPr="006774EB">
        <w:t>Participation in PACOP has helped enhance our approach to palliative care by improving communication between staff, residents, and families. Staff have become more confident in recognising signs of decline, initiating timely end-of-life discussions, and providing symptom management. Families have reported feeling more supported and informed, which has improved their overall satisfaction and reduced anxiety during the palliative phase</w:t>
      </w:r>
      <w:r w:rsidR="0060327B">
        <w:t>.</w:t>
      </w:r>
      <w:r>
        <w:t xml:space="preserve"> – </w:t>
      </w:r>
      <w:r w:rsidRPr="0010395F">
        <w:t xml:space="preserve">PACOP </w:t>
      </w:r>
      <w:r>
        <w:t>survey respondent</w:t>
      </w:r>
    </w:p>
    <w:p w14:paraId="7ABBE139" w14:textId="33A5FBB6" w:rsidR="00102ADE" w:rsidRDefault="00F078D9" w:rsidP="00B2222C">
      <w:r w:rsidRPr="00F078D9">
        <w:lastRenderedPageBreak/>
        <w:t xml:space="preserve">Other examples </w:t>
      </w:r>
      <w:r w:rsidR="0060327B">
        <w:t>described targeted im</w:t>
      </w:r>
      <w:r w:rsidRPr="00F078D9">
        <w:t>provements in pain management and proactive family engagement</w:t>
      </w:r>
      <w:r>
        <w:t>.</w:t>
      </w:r>
    </w:p>
    <w:p w14:paraId="05DA3830" w14:textId="103FD643" w:rsidR="00F078D9" w:rsidRPr="004D507E" w:rsidRDefault="00F078D9" w:rsidP="00F078D9">
      <w:pPr>
        <w:pStyle w:val="Quote"/>
        <w:rPr>
          <w:b/>
          <w:bCs/>
        </w:rPr>
      </w:pPr>
      <w:r w:rsidRPr="004D507E">
        <w:t>Through our participation in PACOP, we identified gaps in pain management for residents at the end of life</w:t>
      </w:r>
      <w:r>
        <w:t xml:space="preserve">. </w:t>
      </w:r>
      <w:r w:rsidRPr="004D507E">
        <w:t xml:space="preserve">PACOP highlighted areas for </w:t>
      </w:r>
      <w:r>
        <w:t>improvement</w:t>
      </w:r>
      <w:r w:rsidRPr="004D507E">
        <w:t xml:space="preserve"> in pain management and family communication. </w:t>
      </w:r>
      <w:r>
        <w:t>We introduced more frequent pain assessment, prompt interventions and structured family meetings soon after a resident</w:t>
      </w:r>
      <w:r w:rsidRPr="004D507E">
        <w:t xml:space="preserve"> begins palliative care. This improved comfort for residents and reduced stress for families. </w:t>
      </w:r>
      <w:r>
        <w:t xml:space="preserve">– </w:t>
      </w:r>
      <w:r w:rsidRPr="0010395F">
        <w:t xml:space="preserve">PACOP </w:t>
      </w:r>
      <w:r>
        <w:t>survey respondent</w:t>
      </w:r>
    </w:p>
    <w:p w14:paraId="68A01DD0" w14:textId="3DAB2F10" w:rsidR="0040724B" w:rsidRDefault="007834CE" w:rsidP="00C25476">
      <w:r>
        <w:t>Several c</w:t>
      </w:r>
      <w:r w:rsidR="0040724B">
        <w:t>ase stud</w:t>
      </w:r>
      <w:r>
        <w:t>ies</w:t>
      </w:r>
      <w:r w:rsidR="0040724B">
        <w:t xml:space="preserve"> </w:t>
      </w:r>
      <w:r w:rsidR="000B27DE">
        <w:t>(</w:t>
      </w:r>
      <w:r w:rsidR="00DD1793">
        <w:t>technical paper, Section 9.2</w:t>
      </w:r>
      <w:r w:rsidR="000B27DE">
        <w:t xml:space="preserve">) </w:t>
      </w:r>
      <w:r w:rsidR="006A46A9">
        <w:t xml:space="preserve">and interviewed stakeholders </w:t>
      </w:r>
      <w:r w:rsidR="0040724B">
        <w:t>echoed these themes</w:t>
      </w:r>
      <w:r>
        <w:t xml:space="preserve">, </w:t>
      </w:r>
      <w:r w:rsidR="00D712AC">
        <w:t>identifying</w:t>
      </w:r>
      <w:r w:rsidR="0065673F">
        <w:t xml:space="preserve"> PACOP</w:t>
      </w:r>
      <w:r w:rsidR="003863F5">
        <w:t>’</w:t>
      </w:r>
      <w:r w:rsidR="0065673F">
        <w:t>s structured assessment framework as a key enabler of earl</w:t>
      </w:r>
      <w:r w:rsidR="0040724B">
        <w:t xml:space="preserve">ier </w:t>
      </w:r>
      <w:r w:rsidR="00D712AC">
        <w:t>recognition</w:t>
      </w:r>
      <w:r w:rsidR="0065673F">
        <w:t xml:space="preserve"> of deterioration</w:t>
      </w:r>
      <w:r w:rsidR="002F0961">
        <w:t xml:space="preserve"> and </w:t>
      </w:r>
      <w:r w:rsidR="0040724B">
        <w:t xml:space="preserve">proactive care </w:t>
      </w:r>
      <w:r w:rsidR="00C25476">
        <w:t>planning</w:t>
      </w:r>
      <w:r w:rsidR="0040724B">
        <w:t>.</w:t>
      </w:r>
    </w:p>
    <w:p w14:paraId="61A4AA59" w14:textId="234D586C" w:rsidR="0040724B" w:rsidRDefault="0040724B" w:rsidP="0040724B">
      <w:pPr>
        <w:pStyle w:val="Quote"/>
      </w:pPr>
      <w:r>
        <w:t>W</w:t>
      </w:r>
      <w:r w:rsidRPr="00AE3034">
        <w:t>e</w:t>
      </w:r>
      <w:r w:rsidR="003863F5">
        <w:t>’</w:t>
      </w:r>
      <w:r w:rsidRPr="00AE3034">
        <w:t>re identifying earlier that people are starting to deteriorate</w:t>
      </w:r>
      <w:r>
        <w:t xml:space="preserve"> and </w:t>
      </w:r>
      <w:r w:rsidRPr="001C3FF2">
        <w:t>need pall</w:t>
      </w:r>
      <w:r>
        <w:t>iative care. We</w:t>
      </w:r>
      <w:r w:rsidR="003863F5">
        <w:t>’</w:t>
      </w:r>
      <w:r>
        <w:t xml:space="preserve">re doing our </w:t>
      </w:r>
      <w:r w:rsidRPr="001C3FF2">
        <w:t>family</w:t>
      </w:r>
      <w:r>
        <w:t xml:space="preserve"> case</w:t>
      </w:r>
      <w:r w:rsidRPr="001C3FF2">
        <w:t xml:space="preserve"> conference</w:t>
      </w:r>
      <w:r>
        <w:t>s earlier to prepare the families and have things in place, and then w</w:t>
      </w:r>
      <w:r w:rsidRPr="00FE269D">
        <w:t xml:space="preserve">e have been able to manage those people in the facility. </w:t>
      </w:r>
      <w:r>
        <w:t>– PACOP case study (case study 6)</w:t>
      </w:r>
    </w:p>
    <w:p w14:paraId="750BE7CF" w14:textId="0F3C37CC" w:rsidR="00C25476" w:rsidRPr="003F3F84" w:rsidRDefault="00C25476" w:rsidP="00C25476">
      <w:pPr>
        <w:pStyle w:val="Quote"/>
      </w:pPr>
      <w:r>
        <w:t>A</w:t>
      </w:r>
      <w:r w:rsidRPr="003F3F84">
        <w:t xml:space="preserve"> potentially really realised strength would be early identification</w:t>
      </w:r>
      <w:r w:rsidR="00CB53DF">
        <w:t xml:space="preserve"> </w:t>
      </w:r>
      <w:r>
        <w:t>..</w:t>
      </w:r>
      <w:r w:rsidRPr="003F3F84">
        <w:t>. the idea that we are trying to pull things further down to say</w:t>
      </w:r>
      <w:r>
        <w:t>,</w:t>
      </w:r>
      <w:r w:rsidRPr="003F3F84">
        <w:t xml:space="preserve"> let</w:t>
      </w:r>
      <w:r w:rsidR="003863F5">
        <w:t>’</w:t>
      </w:r>
      <w:r w:rsidRPr="003F3F84">
        <w:t>s think about could this person be in the last six months of life, the last year of life</w:t>
      </w:r>
      <w:r>
        <w:t>? I</w:t>
      </w:r>
      <w:r w:rsidRPr="003F3F84">
        <w:t xml:space="preserve">t </w:t>
      </w:r>
      <w:proofErr w:type="gramStart"/>
      <w:r w:rsidRPr="003F3F84">
        <w:t>actually gives</w:t>
      </w:r>
      <w:proofErr w:type="gramEnd"/>
      <w:r w:rsidRPr="003F3F84">
        <w:t xml:space="preserve"> time for people to reconceptualise care over a period.</w:t>
      </w:r>
      <w:r>
        <w:t xml:space="preserve"> – </w:t>
      </w:r>
      <w:r w:rsidR="002C2BFA">
        <w:t>Representative from a r</w:t>
      </w:r>
      <w:r w:rsidR="000E2226">
        <w:t>elated national palliative care initiative</w:t>
      </w:r>
    </w:p>
    <w:p w14:paraId="661A8953" w14:textId="45A462D5" w:rsidR="0040724B" w:rsidRDefault="000E2226" w:rsidP="00D73463">
      <w:r>
        <w:t xml:space="preserve">Findings from </w:t>
      </w:r>
      <w:r w:rsidR="00F536A9">
        <w:t>a</w:t>
      </w:r>
      <w:r>
        <w:t xml:space="preserve"> snapshot survey </w:t>
      </w:r>
      <w:r w:rsidR="002C2BFA">
        <w:t xml:space="preserve">conducted by PACOP </w:t>
      </w:r>
      <w:r>
        <w:t>supported these perceptions</w:t>
      </w:r>
      <w:r w:rsidR="002C2BFA">
        <w:t>. A</w:t>
      </w:r>
      <w:r w:rsidR="00D73463" w:rsidRPr="00D73463">
        <w:t xml:space="preserve">lmost 90% of respondents </w:t>
      </w:r>
      <w:r w:rsidR="002C2BFA">
        <w:t>agreed that</w:t>
      </w:r>
      <w:r w:rsidR="00D73463" w:rsidRPr="00D73463">
        <w:t xml:space="preserve"> PACOP improved routine monitoring of residents</w:t>
      </w:r>
      <w:r w:rsidR="003863F5">
        <w:t>’</w:t>
      </w:r>
      <w:r w:rsidR="00D73463" w:rsidRPr="00D73463">
        <w:t xml:space="preserve"> needs</w:t>
      </w:r>
      <w:r w:rsidR="002C2BFA">
        <w:t>,</w:t>
      </w:r>
      <w:r w:rsidR="00D73463" w:rsidRPr="00D73463">
        <w:t xml:space="preserve"> and around 80% agree</w:t>
      </w:r>
      <w:r w:rsidR="002C2BFA">
        <w:t>d</w:t>
      </w:r>
      <w:r w:rsidR="00D73463" w:rsidRPr="00D73463">
        <w:t xml:space="preserve"> it improved communication with families</w:t>
      </w:r>
      <w:r w:rsidR="00D73463">
        <w:t xml:space="preserve"> </w:t>
      </w:r>
      <w:r w:rsidR="00B353F5">
        <w:t>(</w:t>
      </w:r>
      <w:r w:rsidR="00CF401A">
        <w:fldChar w:fldCharType="begin"/>
      </w:r>
      <w:r w:rsidR="00CF401A">
        <w:instrText xml:space="preserve"> REF _Ref216794167 \h </w:instrText>
      </w:r>
      <w:r w:rsidR="00CF401A">
        <w:fldChar w:fldCharType="separate"/>
      </w:r>
      <w:r w:rsidR="00167BA0">
        <w:t xml:space="preserve">Figure </w:t>
      </w:r>
      <w:r w:rsidR="00167BA0">
        <w:rPr>
          <w:noProof/>
        </w:rPr>
        <w:t>9</w:t>
      </w:r>
      <w:r w:rsidR="00167BA0">
        <w:t>.</w:t>
      </w:r>
      <w:r w:rsidR="00167BA0">
        <w:rPr>
          <w:noProof/>
        </w:rPr>
        <w:t>9</w:t>
      </w:r>
      <w:r w:rsidR="00CF401A">
        <w:fldChar w:fldCharType="end"/>
      </w:r>
      <w:r w:rsidR="00CF401A">
        <w:t xml:space="preserve">, </w:t>
      </w:r>
      <w:r w:rsidR="00CF401A">
        <w:fldChar w:fldCharType="begin"/>
      </w:r>
      <w:r w:rsidR="00CF401A">
        <w:instrText xml:space="preserve"> REF _Ref216865792 \n \h </w:instrText>
      </w:r>
      <w:r w:rsidR="00CF401A">
        <w:fldChar w:fldCharType="separate"/>
      </w:r>
      <w:r w:rsidR="00167BA0">
        <w:t>Appendix D</w:t>
      </w:r>
      <w:r w:rsidR="00CF401A">
        <w:fldChar w:fldCharType="end"/>
      </w:r>
      <w:r w:rsidR="00B353F5">
        <w:t>).</w:t>
      </w:r>
    </w:p>
    <w:p w14:paraId="53C7F1F5" w14:textId="10A0E7D1" w:rsidR="00A976ED" w:rsidRDefault="001A4243" w:rsidP="00BD35B4">
      <w:r>
        <w:t>T</w:t>
      </w:r>
      <w:r w:rsidR="00CE6B0A">
        <w:t>he program</w:t>
      </w:r>
      <w:r w:rsidR="003863F5">
        <w:t>’</w:t>
      </w:r>
      <w:r w:rsidR="00CE6B0A">
        <w:t>s impact on hospital utilisation</w:t>
      </w:r>
      <w:r>
        <w:t xml:space="preserve"> was examined through both the online survey</w:t>
      </w:r>
      <w:r w:rsidR="001248A1">
        <w:t xml:space="preserve"> and </w:t>
      </w:r>
      <w:r w:rsidR="004C4BA1">
        <w:t xml:space="preserve">PACOP assessment </w:t>
      </w:r>
      <w:r w:rsidR="001248A1">
        <w:t>data</w:t>
      </w:r>
      <w:r w:rsidR="00CE6B0A">
        <w:t>.</w:t>
      </w:r>
      <w:r w:rsidR="001248A1">
        <w:t xml:space="preserve"> </w:t>
      </w:r>
      <w:r w:rsidR="005479B2">
        <w:t>Perceptions of</w:t>
      </w:r>
      <w:r w:rsidR="001248A1">
        <w:t xml:space="preserve"> PACOP</w:t>
      </w:r>
      <w:r w:rsidR="003863F5">
        <w:t>’</w:t>
      </w:r>
      <w:r w:rsidR="006B5717">
        <w:t>s influence on palliative care-related hospital utilisation</w:t>
      </w:r>
      <w:r w:rsidR="001248A1">
        <w:t xml:space="preserve"> </w:t>
      </w:r>
      <w:r w:rsidR="009474F9">
        <w:t xml:space="preserve">among respondents to </w:t>
      </w:r>
      <w:r w:rsidR="001248A1">
        <w:t>the online survey</w:t>
      </w:r>
      <w:r w:rsidR="00F338C1">
        <w:t xml:space="preserve"> were </w:t>
      </w:r>
      <w:r w:rsidR="00760A74">
        <w:t xml:space="preserve">highly </w:t>
      </w:r>
      <w:r w:rsidR="00F338C1">
        <w:t>mixed</w:t>
      </w:r>
      <w:r w:rsidR="005518D2">
        <w:t xml:space="preserve"> </w:t>
      </w:r>
      <w:r w:rsidR="00F338C1">
        <w:t>(</w:t>
      </w:r>
      <w:r w:rsidR="00DD1793">
        <w:t>technical paper, Figure 6.10 and Figure 8.19</w:t>
      </w:r>
      <w:r w:rsidR="00F338C1">
        <w:t xml:space="preserve">). </w:t>
      </w:r>
      <w:r w:rsidR="00837BDE">
        <w:t xml:space="preserve">This was reflected in </w:t>
      </w:r>
      <w:r w:rsidR="006A0BC7">
        <w:t xml:space="preserve">PACOP </w:t>
      </w:r>
      <w:r w:rsidR="00791895">
        <w:t>assessment</w:t>
      </w:r>
      <w:r w:rsidR="006A0BC7">
        <w:t xml:space="preserve"> data</w:t>
      </w:r>
      <w:r w:rsidR="00677C23">
        <w:t>, which</w:t>
      </w:r>
      <w:r w:rsidR="006A0BC7">
        <w:t xml:space="preserve"> </w:t>
      </w:r>
      <w:r w:rsidR="009D4626">
        <w:t xml:space="preserve">showed that the average proportion of </w:t>
      </w:r>
      <w:r w:rsidR="00597DDA">
        <w:t>residents</w:t>
      </w:r>
      <w:r w:rsidR="009D4626">
        <w:t xml:space="preserve"> </w:t>
      </w:r>
      <w:r w:rsidR="0050113C">
        <w:t xml:space="preserve">experiencing </w:t>
      </w:r>
      <w:r w:rsidR="009D4626">
        <w:t xml:space="preserve">one or more unplanned hospitalisations </w:t>
      </w:r>
      <w:r w:rsidR="0050113C">
        <w:t xml:space="preserve">or </w:t>
      </w:r>
      <w:r w:rsidR="009D4626">
        <w:t xml:space="preserve">ED presentations </w:t>
      </w:r>
      <w:r w:rsidR="00D9733C">
        <w:t xml:space="preserve">(across all causes, not just palliative care-related events) </w:t>
      </w:r>
      <w:r w:rsidR="009D4626">
        <w:t xml:space="preserve">rose by approximately five percentage points over </w:t>
      </w:r>
      <w:r w:rsidR="00FC06AE">
        <w:t>January 2023 to June 2025</w:t>
      </w:r>
      <w:r w:rsidR="00A45395">
        <w:t xml:space="preserve"> (</w:t>
      </w:r>
      <w:r w:rsidR="00A45395">
        <w:fldChar w:fldCharType="begin"/>
      </w:r>
      <w:r w:rsidR="00A45395">
        <w:instrText xml:space="preserve"> REF _Ref217031343 \h </w:instrText>
      </w:r>
      <w:r w:rsidR="00A45395">
        <w:fldChar w:fldCharType="separate"/>
      </w:r>
      <w:r w:rsidR="00167BA0">
        <w:t xml:space="preserve">Figure </w:t>
      </w:r>
      <w:r w:rsidR="00167BA0">
        <w:rPr>
          <w:noProof/>
        </w:rPr>
        <w:t>9</w:t>
      </w:r>
      <w:r w:rsidR="00167BA0">
        <w:t>.</w:t>
      </w:r>
      <w:r w:rsidR="00167BA0">
        <w:rPr>
          <w:noProof/>
        </w:rPr>
        <w:t>6</w:t>
      </w:r>
      <w:r w:rsidR="00A45395">
        <w:fldChar w:fldCharType="end"/>
      </w:r>
      <w:r w:rsidR="00A45395">
        <w:t xml:space="preserve">, </w:t>
      </w:r>
      <w:r w:rsidR="00A45395">
        <w:fldChar w:fldCharType="begin"/>
      </w:r>
      <w:r w:rsidR="00A45395">
        <w:instrText xml:space="preserve"> REF _Ref216865792 \n \h </w:instrText>
      </w:r>
      <w:r w:rsidR="00A45395">
        <w:fldChar w:fldCharType="separate"/>
      </w:r>
      <w:r w:rsidR="00167BA0">
        <w:t>Appendix D</w:t>
      </w:r>
      <w:r w:rsidR="00A45395">
        <w:fldChar w:fldCharType="end"/>
      </w:r>
      <w:r w:rsidR="00A45395">
        <w:t xml:space="preserve">). </w:t>
      </w:r>
      <w:r w:rsidR="00B269E7">
        <w:t xml:space="preserve">Taken together, these findings suggest that the introduction of PACOP has not yet produced a detectable reduction in unplanned hospital use at </w:t>
      </w:r>
      <w:r w:rsidR="006E27DC">
        <w:t xml:space="preserve">an </w:t>
      </w:r>
      <w:r w:rsidR="00B269E7">
        <w:t xml:space="preserve">aggregate level. However, </w:t>
      </w:r>
      <w:r w:rsidR="00F543E5">
        <w:t xml:space="preserve">these findings should be </w:t>
      </w:r>
      <w:r w:rsidR="00C43873">
        <w:t>interpreted with caution, given</w:t>
      </w:r>
      <w:r w:rsidR="00F543E5">
        <w:t xml:space="preserve"> the early stage of program implementation. Additionally, </w:t>
      </w:r>
      <w:r w:rsidR="00B269E7">
        <w:t>the direction and magnitude of change</w:t>
      </w:r>
      <w:r w:rsidR="00F543E5">
        <w:t xml:space="preserve"> in hospital use</w:t>
      </w:r>
      <w:r w:rsidR="00B269E7">
        <w:t xml:space="preserve"> are likely influenced by multiple factors </w:t>
      </w:r>
      <w:r w:rsidR="00E92011">
        <w:t xml:space="preserve">beyond the program’s </w:t>
      </w:r>
      <w:r w:rsidR="00B269E7">
        <w:t xml:space="preserve">scope, including resident </w:t>
      </w:r>
      <w:r w:rsidR="00E92011">
        <w:t>acuity</w:t>
      </w:r>
      <w:r w:rsidR="00B269E7">
        <w:t xml:space="preserve">, social and demographic characteristics, clinical </w:t>
      </w:r>
      <w:r w:rsidR="00F51BFC">
        <w:t>complexity, and broader system pressures.</w:t>
      </w:r>
    </w:p>
    <w:p w14:paraId="76C83103" w14:textId="3152D0C2" w:rsidR="00E87C1F" w:rsidRDefault="009665AF" w:rsidP="00F338C1">
      <w:pPr>
        <w:pStyle w:val="Heading4"/>
      </w:pPr>
      <w:r>
        <w:t>Resident outcome b</w:t>
      </w:r>
      <w:r w:rsidR="00F338C1">
        <w:t>enchmarking insights</w:t>
      </w:r>
    </w:p>
    <w:p w14:paraId="09AB7A6F" w14:textId="306634DE" w:rsidR="00F338C1" w:rsidRDefault="008C61A4" w:rsidP="00B2222C">
      <w:r>
        <w:t xml:space="preserve">Analysis of </w:t>
      </w:r>
      <w:r w:rsidR="00513503">
        <w:t>PACOP benchmarking data (January 2023 to June 2025</w:t>
      </w:r>
      <w:r w:rsidR="003D4308">
        <w:t xml:space="preserve">; </w:t>
      </w:r>
      <w:r w:rsidR="00523DF6">
        <w:fldChar w:fldCharType="begin"/>
      </w:r>
      <w:r w:rsidR="00523DF6">
        <w:instrText xml:space="preserve"> REF _Ref215674118 \h </w:instrText>
      </w:r>
      <w:r w:rsidR="00523DF6">
        <w:fldChar w:fldCharType="separate"/>
      </w:r>
      <w:r w:rsidR="00167BA0">
        <w:t xml:space="preserve">Table </w:t>
      </w:r>
      <w:r w:rsidR="00167BA0">
        <w:rPr>
          <w:noProof/>
        </w:rPr>
        <w:t>9</w:t>
      </w:r>
      <w:r w:rsidR="00167BA0">
        <w:t>.</w:t>
      </w:r>
      <w:r w:rsidR="00167BA0">
        <w:rPr>
          <w:noProof/>
        </w:rPr>
        <w:t>28</w:t>
      </w:r>
      <w:r w:rsidR="00523DF6">
        <w:fldChar w:fldCharType="end"/>
      </w:r>
      <w:r w:rsidR="00523DF6">
        <w:t xml:space="preserve">, </w:t>
      </w:r>
      <w:r w:rsidR="00930DDA">
        <w:fldChar w:fldCharType="begin"/>
      </w:r>
      <w:r w:rsidR="00930DDA">
        <w:instrText xml:space="preserve"> REF _Ref216884918 \n \h </w:instrText>
      </w:r>
      <w:r w:rsidR="00930DDA">
        <w:fldChar w:fldCharType="separate"/>
      </w:r>
      <w:r w:rsidR="00167BA0">
        <w:t>Appendix D</w:t>
      </w:r>
      <w:r w:rsidR="00930DDA">
        <w:fldChar w:fldCharType="end"/>
      </w:r>
      <w:r w:rsidR="00513503">
        <w:t xml:space="preserve">) showed early signs of improvement in </w:t>
      </w:r>
      <w:r w:rsidR="00884F1E">
        <w:t>several</w:t>
      </w:r>
      <w:r w:rsidR="00513503">
        <w:t xml:space="preserve"> resident</w:t>
      </w:r>
      <w:r w:rsidR="001828CE">
        <w:t>-focused outcome</w:t>
      </w:r>
      <w:r w:rsidR="00EA16D3">
        <w:t xml:space="preserve"> indicator</w:t>
      </w:r>
      <w:r w:rsidR="001828CE">
        <w:t>s</w:t>
      </w:r>
      <w:r w:rsidR="00682CB6">
        <w:t>, including:</w:t>
      </w:r>
    </w:p>
    <w:p w14:paraId="2449DAF4" w14:textId="20CBC02C" w:rsidR="0045602B" w:rsidRDefault="0045602B" w:rsidP="0045602B">
      <w:pPr>
        <w:pStyle w:val="ListBullet"/>
      </w:pPr>
      <w:r>
        <w:t>pain management within three days: improved from 38% to 81% (+44 percentage points</w:t>
      </w:r>
      <w:r w:rsidR="00E41ECE">
        <w:t>),</w:t>
      </w:r>
      <w:r w:rsidR="009E7306">
        <w:t xml:space="preserve"> exceeding the </w:t>
      </w:r>
      <w:r w:rsidR="00E41ECE">
        <w:t xml:space="preserve">60% </w:t>
      </w:r>
      <w:r w:rsidR="009E7306">
        <w:t xml:space="preserve">benchmark </w:t>
      </w:r>
      <w:r w:rsidR="00E41ECE">
        <w:t>and</w:t>
      </w:r>
      <w:r w:rsidR="00E245D8">
        <w:t xml:space="preserve"> suggesting better symptom control for residents</w:t>
      </w:r>
    </w:p>
    <w:p w14:paraId="12009EB8" w14:textId="7507932A" w:rsidR="001D3879" w:rsidRDefault="001D3879" w:rsidP="0045602B">
      <w:pPr>
        <w:pStyle w:val="ListBullet"/>
      </w:pPr>
      <w:r>
        <w:t xml:space="preserve">pain stability over time: marginal improvement from </w:t>
      </w:r>
      <w:r w:rsidR="001E5316">
        <w:t>10% to 14%</w:t>
      </w:r>
      <w:r w:rsidR="00EB2432">
        <w:t xml:space="preserve"> (+4 percentage points)</w:t>
      </w:r>
      <w:r w:rsidR="00000673">
        <w:t>.</w:t>
      </w:r>
    </w:p>
    <w:p w14:paraId="1C084920" w14:textId="2E1AEEC2" w:rsidR="00EA57AC" w:rsidRDefault="00000673" w:rsidP="00B2222C">
      <w:r>
        <w:t>However, some declines were also evident in:</w:t>
      </w:r>
    </w:p>
    <w:p w14:paraId="5E35366E" w14:textId="1263B434" w:rsidR="00000673" w:rsidRDefault="00811D95" w:rsidP="00000673">
      <w:pPr>
        <w:pStyle w:val="ListBullet"/>
      </w:pPr>
      <w:r>
        <w:t>early identification of palliative care needs prior to death: slight decline from 72% to 66%</w:t>
      </w:r>
      <w:r w:rsidR="004067D8">
        <w:t xml:space="preserve"> (</w:t>
      </w:r>
      <w:r w:rsidR="00EB2432">
        <w:t>-6 percentage points)</w:t>
      </w:r>
      <w:r>
        <w:t xml:space="preserve">, suggesting </w:t>
      </w:r>
      <w:r w:rsidR="007C4B9E">
        <w:t xml:space="preserve">ongoing </w:t>
      </w:r>
      <w:r>
        <w:t xml:space="preserve">challenges in </w:t>
      </w:r>
      <w:r w:rsidR="00955C22">
        <w:t>timely recognition of</w:t>
      </w:r>
      <w:r w:rsidR="00A544C9">
        <w:t xml:space="preserve"> palliative needs</w:t>
      </w:r>
    </w:p>
    <w:p w14:paraId="2CFABD94" w14:textId="432FE2A7" w:rsidR="0065328F" w:rsidRDefault="0065328F" w:rsidP="00000673">
      <w:pPr>
        <w:pStyle w:val="ListBullet"/>
      </w:pPr>
      <w:r>
        <w:lastRenderedPageBreak/>
        <w:t xml:space="preserve">timely commencement of palliative care: </w:t>
      </w:r>
      <w:r w:rsidR="00F07233">
        <w:t xml:space="preserve">fell from 24% to 11% via the </w:t>
      </w:r>
      <w:r w:rsidR="00911C5F">
        <w:t>Outcomes</w:t>
      </w:r>
      <w:r w:rsidR="00F07233">
        <w:t xml:space="preserve"> Collection (-12 percentage points) and from 53% to 23% via the Deteriorating Resident Tool (-31 percentage points)</w:t>
      </w:r>
    </w:p>
    <w:p w14:paraId="4B36DEEB" w14:textId="54AA6DA3" w:rsidR="008930A6" w:rsidRDefault="008930A6" w:rsidP="00000673">
      <w:pPr>
        <w:pStyle w:val="ListBullet"/>
      </w:pPr>
      <w:r>
        <w:t>unstable phases ending within three days: declined from 63% to 35% (-28 percentage points)</w:t>
      </w:r>
      <w:r w:rsidR="00D9795D">
        <w:t>, suggesting challenges in stabilising residents during acute phases.</w:t>
      </w:r>
    </w:p>
    <w:p w14:paraId="0B0FEC83" w14:textId="6DC37351" w:rsidR="00EA57AC" w:rsidRDefault="005B3053" w:rsidP="00B2222C">
      <w:r>
        <w:t>As noted in Section 6.2.2, d</w:t>
      </w:r>
      <w:r w:rsidR="00193238">
        <w:t xml:space="preserve">eclines were also evident in several </w:t>
      </w:r>
      <w:r w:rsidR="00333DBA">
        <w:t xml:space="preserve">process measures (e.g. </w:t>
      </w:r>
      <w:r w:rsidR="000B576E">
        <w:t xml:space="preserve">administering </w:t>
      </w:r>
      <w:r w:rsidR="00333DBA">
        <w:t xml:space="preserve">quarterly Profile </w:t>
      </w:r>
      <w:r w:rsidR="003335E9">
        <w:t xml:space="preserve">Collection </w:t>
      </w:r>
      <w:r w:rsidR="00333DBA">
        <w:t xml:space="preserve">assessments, </w:t>
      </w:r>
      <w:r w:rsidR="003335E9">
        <w:t xml:space="preserve">initiating </w:t>
      </w:r>
      <w:r w:rsidR="00EE347D">
        <w:t>timely</w:t>
      </w:r>
      <w:r w:rsidR="009B079D">
        <w:t xml:space="preserve"> Outcomes </w:t>
      </w:r>
      <w:r w:rsidR="003335E9">
        <w:t xml:space="preserve">Collection </w:t>
      </w:r>
      <w:r w:rsidR="009B079D">
        <w:t>assessments)</w:t>
      </w:r>
      <w:r w:rsidR="00BB5CC1">
        <w:t>. This</w:t>
      </w:r>
      <w:r w:rsidR="006A2AB1">
        <w:t xml:space="preserve"> suggest</w:t>
      </w:r>
      <w:r w:rsidR="00BB5CC1">
        <w:t>s</w:t>
      </w:r>
      <w:r w:rsidR="006401A9">
        <w:t xml:space="preserve"> variable adherence to core PACOP workflows in some homes</w:t>
      </w:r>
      <w:r w:rsidR="001C567C">
        <w:t>,</w:t>
      </w:r>
      <w:r w:rsidR="006C1AF2">
        <w:t xml:space="preserve"> with potential </w:t>
      </w:r>
      <w:r w:rsidR="00CA78E7">
        <w:t>downstream implications</w:t>
      </w:r>
      <w:r w:rsidR="006C1AF2">
        <w:t xml:space="preserve"> for resident</w:t>
      </w:r>
      <w:r w:rsidR="008B47C7">
        <w:t>-level outcomes</w:t>
      </w:r>
      <w:r w:rsidR="006C1AF2">
        <w:t>.</w:t>
      </w:r>
    </w:p>
    <w:p w14:paraId="682A0E85" w14:textId="2C691828" w:rsidR="009F6BCE" w:rsidRDefault="009F6BCE" w:rsidP="00B2222C">
      <w:r>
        <w:t>Available b</w:t>
      </w:r>
      <w:r w:rsidRPr="00A45DB5">
        <w:t xml:space="preserve">enchmarking data did not allow </w:t>
      </w:r>
      <w:r w:rsidR="00B74A5A">
        <w:t xml:space="preserve">for </w:t>
      </w:r>
      <w:r>
        <w:t>analysis of potential</w:t>
      </w:r>
      <w:r w:rsidRPr="00A45DB5">
        <w:t xml:space="preserve"> </w:t>
      </w:r>
      <w:r w:rsidR="00C457F6">
        <w:t>variation in</w:t>
      </w:r>
      <w:r w:rsidRPr="00A45DB5">
        <w:t xml:space="preserve"> benefits by resident demographics, geography, remoteness, provider size, or implementation stage</w:t>
      </w:r>
      <w:r w:rsidR="00FA6733">
        <w:t>. D</w:t>
      </w:r>
      <w:r w:rsidRPr="00A45DB5">
        <w:t xml:space="preserve">ata suppression requirements limited the granularity of available information, preventing meaningful </w:t>
      </w:r>
      <w:r w:rsidR="00B00CD5">
        <w:t xml:space="preserve">data </w:t>
      </w:r>
      <w:r w:rsidR="00535F3E">
        <w:t>interrogati</w:t>
      </w:r>
      <w:r w:rsidR="00B00CD5">
        <w:t>on</w:t>
      </w:r>
      <w:r w:rsidR="00517F21">
        <w:t>.</w:t>
      </w:r>
    </w:p>
    <w:p w14:paraId="12535FF4" w14:textId="162A032D" w:rsidR="003D4308" w:rsidRDefault="006E7E6F" w:rsidP="00145376">
      <w:r>
        <w:t>Overall, t</w:t>
      </w:r>
      <w:r w:rsidR="00B763D4">
        <w:t xml:space="preserve">hese </w:t>
      </w:r>
      <w:r w:rsidR="00A66262">
        <w:t>benchmarking insights</w:t>
      </w:r>
      <w:r w:rsidR="00B763D4">
        <w:t xml:space="preserve"> should be interpreted </w:t>
      </w:r>
      <w:r>
        <w:t>as early signals</w:t>
      </w:r>
      <w:r w:rsidR="00105059">
        <w:t xml:space="preserve"> only. The small proportion of registered homes engaged in benchmarking (&lt;30%) and</w:t>
      </w:r>
      <w:r w:rsidR="00B763D4">
        <w:t xml:space="preserve"> </w:t>
      </w:r>
      <w:r w:rsidR="00004EE1">
        <w:t xml:space="preserve">the early </w:t>
      </w:r>
      <w:r w:rsidR="001B627C">
        <w:t>stage</w:t>
      </w:r>
      <w:r w:rsidR="00004EE1">
        <w:t xml:space="preserve"> of </w:t>
      </w:r>
      <w:r w:rsidR="00FA7FF8">
        <w:t>implementation</w:t>
      </w:r>
      <w:r w:rsidR="00E33EB7">
        <w:t xml:space="preserve"> </w:t>
      </w:r>
      <w:r w:rsidR="009A1C36">
        <w:t>limit the extent to which conclusions about resident-level outcomes can be determined at this time</w:t>
      </w:r>
      <w:r w:rsidR="00A14C30">
        <w:t>.</w:t>
      </w:r>
    </w:p>
    <w:p w14:paraId="1713DAD8" w14:textId="69C573CF" w:rsidR="00F12A79" w:rsidRDefault="00BE7FCB" w:rsidP="00F12A79">
      <w:pPr>
        <w:pStyle w:val="Findings"/>
      </w:pPr>
      <w:r>
        <w:t>PACOP was perceived</w:t>
      </w:r>
      <w:r w:rsidR="00E95D6D">
        <w:t xml:space="preserve"> by stakeholders</w:t>
      </w:r>
      <w:r>
        <w:t xml:space="preserve"> to improve care experiences for residents and families, primarily through earlier identification of palliative care needs and better symptom management. </w:t>
      </w:r>
      <w:r w:rsidR="003718A1">
        <w:t>However, b</w:t>
      </w:r>
      <w:r>
        <w:t>enchmarking data</w:t>
      </w:r>
      <w:r w:rsidR="003718A1">
        <w:t xml:space="preserve"> did not consistently reflect these perceived </w:t>
      </w:r>
      <w:r w:rsidR="0059272E">
        <w:t>gains</w:t>
      </w:r>
      <w:r w:rsidR="003718A1">
        <w:t>,</w:t>
      </w:r>
      <w:r>
        <w:t xml:space="preserve"> show</w:t>
      </w:r>
      <w:r w:rsidR="003718A1">
        <w:t>ing</w:t>
      </w:r>
      <w:r>
        <w:t xml:space="preserve"> early </w:t>
      </w:r>
      <w:r w:rsidR="00D94112">
        <w:t>improvements</w:t>
      </w:r>
      <w:r>
        <w:t xml:space="preserve"> in pain control </w:t>
      </w:r>
      <w:r w:rsidR="0059272E">
        <w:t xml:space="preserve">alongside declines in several indicators of </w:t>
      </w:r>
      <w:r>
        <w:t xml:space="preserve">timely </w:t>
      </w:r>
      <w:r w:rsidR="00193607">
        <w:t xml:space="preserve">identification, </w:t>
      </w:r>
      <w:r>
        <w:t>care initiation</w:t>
      </w:r>
      <w:r w:rsidR="00193607">
        <w:t>,</w:t>
      </w:r>
      <w:r>
        <w:t xml:space="preserve"> and stabilisation during acute phases.</w:t>
      </w:r>
      <w:r w:rsidR="00033B57">
        <w:t xml:space="preserve"> </w:t>
      </w:r>
      <w:r w:rsidR="00056F02">
        <w:t>Additionally</w:t>
      </w:r>
      <w:r w:rsidR="00033B57">
        <w:t xml:space="preserve">, mixed survey views and </w:t>
      </w:r>
      <w:r w:rsidR="002074A1">
        <w:t xml:space="preserve">program data suggest no clear </w:t>
      </w:r>
      <w:r w:rsidR="00071A16">
        <w:t>reduction in</w:t>
      </w:r>
      <w:r w:rsidR="002074A1">
        <w:t xml:space="preserve"> unplanned hospital use to date</w:t>
      </w:r>
      <w:r w:rsidR="00056F02">
        <w:t>. This</w:t>
      </w:r>
      <w:r w:rsidR="002074A1">
        <w:t xml:space="preserve"> </w:t>
      </w:r>
      <w:r w:rsidR="00994EC8">
        <w:t>may</w:t>
      </w:r>
      <w:r w:rsidR="002074A1">
        <w:t xml:space="preserve"> reflect </w:t>
      </w:r>
      <w:r w:rsidR="006F2CC1">
        <w:t>the early stage of implementation</w:t>
      </w:r>
      <w:r w:rsidR="008B14A1">
        <w:t xml:space="preserve"> and potential external confounding influences</w:t>
      </w:r>
      <w:r w:rsidR="009741F5">
        <w:t xml:space="preserve">. </w:t>
      </w:r>
    </w:p>
    <w:p w14:paraId="7E65B107" w14:textId="2621EA44" w:rsidR="00E87C1F" w:rsidRDefault="009F6BCE" w:rsidP="00240DED">
      <w:pPr>
        <w:pStyle w:val="Heading3"/>
      </w:pPr>
      <w:bookmarkStart w:id="109" w:name="_Ref217048711"/>
      <w:bookmarkStart w:id="110" w:name="_Toc232685919"/>
      <w:r>
        <w:t>Factors influencing effectiveness</w:t>
      </w:r>
      <w:bookmarkEnd w:id="109"/>
      <w:bookmarkEnd w:id="110"/>
    </w:p>
    <w:p w14:paraId="46C43D86" w14:textId="3D0DFE81" w:rsidR="009F6BCE" w:rsidRDefault="0019522C" w:rsidP="00B2222C">
      <w:r>
        <w:t>Synthesis of f</w:t>
      </w:r>
      <w:r w:rsidR="009514D3">
        <w:t xml:space="preserve">indings from the online survey, case studies, </w:t>
      </w:r>
      <w:r w:rsidR="00BA1820">
        <w:t xml:space="preserve">stakeholder consultations, </w:t>
      </w:r>
      <w:r w:rsidR="00CE0A22">
        <w:t>and</w:t>
      </w:r>
      <w:r w:rsidR="00867EC1">
        <w:t xml:space="preserve"> program data</w:t>
      </w:r>
      <w:r>
        <w:t xml:space="preserve"> identified several </w:t>
      </w:r>
      <w:r w:rsidR="00D60113">
        <w:t xml:space="preserve">key factors that </w:t>
      </w:r>
      <w:r w:rsidR="00B41B83">
        <w:t>both helped and hindered PACOP</w:t>
      </w:r>
      <w:r w:rsidR="003863F5">
        <w:t>’</w:t>
      </w:r>
      <w:r w:rsidR="00B41B83">
        <w:t>s effectiveness</w:t>
      </w:r>
      <w:r w:rsidR="002C01C9">
        <w:t xml:space="preserve"> in achieving the intended outcomes</w:t>
      </w:r>
      <w:r w:rsidR="00B41B83">
        <w:t>:</w:t>
      </w:r>
    </w:p>
    <w:p w14:paraId="15271AF5" w14:textId="7F62A0D2" w:rsidR="00B41B83" w:rsidRDefault="008E6444" w:rsidP="00CC35AA">
      <w:pPr>
        <w:pStyle w:val="ListBullet"/>
      </w:pPr>
      <w:r w:rsidRPr="00F1063A">
        <w:rPr>
          <w:b/>
          <w:bCs/>
        </w:rPr>
        <w:t>Leadership and organisational readiness:</w:t>
      </w:r>
      <w:r>
        <w:t xml:space="preserve"> strong leadership emerged as a critical enabler</w:t>
      </w:r>
      <w:r w:rsidR="00F72A2E">
        <w:t xml:space="preserve"> for </w:t>
      </w:r>
      <w:r>
        <w:t xml:space="preserve">embedding the program </w:t>
      </w:r>
      <w:r w:rsidR="007F29E8">
        <w:t>as a core business priority</w:t>
      </w:r>
      <w:r w:rsidR="00F72A2E">
        <w:t xml:space="preserve"> and</w:t>
      </w:r>
      <w:r>
        <w:t xml:space="preserve"> creating the conditions for cultural change</w:t>
      </w:r>
      <w:r w:rsidR="007F29E8">
        <w:t xml:space="preserve">. Conversely, limited leadership engagement or organisational instability </w:t>
      </w:r>
      <w:r w:rsidR="00F1063A">
        <w:t xml:space="preserve">undermined the ability to maintain focus </w:t>
      </w:r>
      <w:r w:rsidR="00254BBB">
        <w:t>and prioritise</w:t>
      </w:r>
      <w:r w:rsidR="00F1063A">
        <w:t xml:space="preserve"> PACOP</w:t>
      </w:r>
      <w:r w:rsidR="00D203A8">
        <w:t>.</w:t>
      </w:r>
    </w:p>
    <w:p w14:paraId="25E49997" w14:textId="6177B5F9" w:rsidR="00BA64AB" w:rsidRDefault="00BA64AB" w:rsidP="00CC35AA">
      <w:pPr>
        <w:pStyle w:val="ListBullet"/>
      </w:pPr>
      <w:r w:rsidRPr="000601D7">
        <w:rPr>
          <w:b/>
          <w:bCs/>
        </w:rPr>
        <w:t>IT integration:</w:t>
      </w:r>
      <w:r>
        <w:t xml:space="preserve"> </w:t>
      </w:r>
      <w:r w:rsidR="00A516B6">
        <w:t>limited</w:t>
      </w:r>
      <w:r>
        <w:t xml:space="preserve"> integration </w:t>
      </w:r>
      <w:r w:rsidR="00A516B6">
        <w:t>of PACOP</w:t>
      </w:r>
      <w:r>
        <w:t xml:space="preserve"> with provider IT systems was consistently identified as both a key implementation challenge (Section 5.3.2) and a barrier to effectiveness. </w:t>
      </w:r>
      <w:r w:rsidR="0006235C" w:rsidRPr="0006235C">
        <w:t>Homes relying</w:t>
      </w:r>
      <w:r w:rsidRPr="00945085">
        <w:t xml:space="preserve"> on paper-based </w:t>
      </w:r>
      <w:r w:rsidR="00CE442E">
        <w:t>processes were able to</w:t>
      </w:r>
      <w:r w:rsidR="0006235C" w:rsidRPr="0006235C">
        <w:t xml:space="preserve"> apply</w:t>
      </w:r>
      <w:r w:rsidR="00AE1944">
        <w:t xml:space="preserve"> </w:t>
      </w:r>
      <w:r w:rsidRPr="00945085">
        <w:t>PACOP principles</w:t>
      </w:r>
      <w:r w:rsidR="0006235C" w:rsidRPr="0006235C">
        <w:t xml:space="preserve"> but were </w:t>
      </w:r>
      <w:r w:rsidR="00CE442E">
        <w:t xml:space="preserve">typically </w:t>
      </w:r>
      <w:r w:rsidR="0006235C" w:rsidRPr="0006235C">
        <w:t>excluded from</w:t>
      </w:r>
      <w:r w:rsidRPr="00945085">
        <w:t xml:space="preserve"> benchmarking</w:t>
      </w:r>
      <w:r w:rsidR="00CE442E">
        <w:t xml:space="preserve"> activities</w:t>
      </w:r>
      <w:r w:rsidR="0006235C" w:rsidRPr="0006235C">
        <w:t xml:space="preserve">, limiting their </w:t>
      </w:r>
      <w:r w:rsidR="00AE1944">
        <w:t>ability to use data for continuous quality improvement</w:t>
      </w:r>
      <w:r w:rsidR="0006235C" w:rsidRPr="0006235C">
        <w:t>—</w:t>
      </w:r>
      <w:r w:rsidR="00AE1944">
        <w:t xml:space="preserve">a </w:t>
      </w:r>
      <w:r w:rsidR="0006235C" w:rsidRPr="0006235C">
        <w:t>cornerstone</w:t>
      </w:r>
      <w:r w:rsidR="00AE1944">
        <w:t xml:space="preserve"> of the PACOP model.</w:t>
      </w:r>
      <w:r>
        <w:t xml:space="preserve"> </w:t>
      </w:r>
      <w:r w:rsidR="0006235C" w:rsidRPr="0006235C">
        <w:t>Manual</w:t>
      </w:r>
      <w:r w:rsidR="00AE1944">
        <w:t xml:space="preserve"> processes</w:t>
      </w:r>
      <w:r w:rsidR="008A5BA0">
        <w:t xml:space="preserve"> </w:t>
      </w:r>
      <w:r w:rsidR="00F961E4">
        <w:t xml:space="preserve">were </w:t>
      </w:r>
      <w:r w:rsidR="0006235C" w:rsidRPr="0006235C">
        <w:t>also</w:t>
      </w:r>
      <w:r w:rsidR="00F961E4">
        <w:t xml:space="preserve"> associated with</w:t>
      </w:r>
      <w:r w:rsidR="0006235C" w:rsidRPr="0006235C">
        <w:t xml:space="preserve"> increased</w:t>
      </w:r>
      <w:r w:rsidR="00D6100D">
        <w:t xml:space="preserve"> administrative burden</w:t>
      </w:r>
      <w:r w:rsidR="004B386F">
        <w:t xml:space="preserve">, </w:t>
      </w:r>
      <w:r w:rsidR="002B6D81">
        <w:t>reduced</w:t>
      </w:r>
      <w:r w:rsidR="004B386F">
        <w:t xml:space="preserve"> staff engagement</w:t>
      </w:r>
      <w:r w:rsidR="002B6D81">
        <w:t>,</w:t>
      </w:r>
      <w:r w:rsidR="004B386F">
        <w:t xml:space="preserve"> and sustainability risks</w:t>
      </w:r>
      <w:r w:rsidR="00D96CB4">
        <w:t>.</w:t>
      </w:r>
    </w:p>
    <w:p w14:paraId="17A9D79C" w14:textId="6636ACCD" w:rsidR="008166B8" w:rsidRDefault="002B1FC1">
      <w:pPr>
        <w:pStyle w:val="ListBullet"/>
      </w:pPr>
      <w:r w:rsidRPr="00BA64AB">
        <w:rPr>
          <w:b/>
          <w:bCs/>
        </w:rPr>
        <w:t>Workforce and organisational pressures:</w:t>
      </w:r>
      <w:r>
        <w:t xml:space="preserve"> high staff turnover, workforce shortages, and competing organisational priorities </w:t>
      </w:r>
      <w:r w:rsidR="00A20462">
        <w:t xml:space="preserve">were reported to </w:t>
      </w:r>
      <w:r w:rsidR="00FC55D0" w:rsidRPr="00FC55D0">
        <w:t>disrupt</w:t>
      </w:r>
      <w:r w:rsidR="000212DA">
        <w:t xml:space="preserve"> implementation and </w:t>
      </w:r>
      <w:r w:rsidR="00A20462">
        <w:t>dilute</w:t>
      </w:r>
      <w:r w:rsidR="00A20462" w:rsidRPr="00FC55D0">
        <w:t xml:space="preserve"> </w:t>
      </w:r>
      <w:r w:rsidR="00FC55D0" w:rsidRPr="00FC55D0">
        <w:t xml:space="preserve">program impact. These pressures highlighted the </w:t>
      </w:r>
      <w:r w:rsidR="00A20462">
        <w:t>importance of</w:t>
      </w:r>
      <w:r w:rsidR="00FC55D0" w:rsidRPr="00FC55D0">
        <w:t xml:space="preserve"> ongoing education and refresher training to maintain capability and momentum</w:t>
      </w:r>
      <w:r w:rsidR="00E35984">
        <w:t>.</w:t>
      </w:r>
    </w:p>
    <w:p w14:paraId="6FF6CA85" w14:textId="3BBC094F" w:rsidR="00113CC4" w:rsidRDefault="00F9234B" w:rsidP="00120E73">
      <w:pPr>
        <w:pStyle w:val="ListBullet"/>
      </w:pPr>
      <w:r w:rsidRPr="00F9234B">
        <w:rPr>
          <w:b/>
          <w:bCs/>
        </w:rPr>
        <w:t>Clinical capability gaps:</w:t>
      </w:r>
      <w:r>
        <w:t xml:space="preserve"> stakeholders noted that PACOP</w:t>
      </w:r>
      <w:r w:rsidR="003863F5">
        <w:t>’</w:t>
      </w:r>
      <w:r>
        <w:t xml:space="preserve">s effectiveness </w:t>
      </w:r>
      <w:r w:rsidR="0049256A">
        <w:t xml:space="preserve">in enhancing resident outcomes </w:t>
      </w:r>
      <w:r w:rsidR="00105D17">
        <w:t xml:space="preserve">would be influenced by the availability of </w:t>
      </w:r>
      <w:r>
        <w:t>sufficient clinical expertise</w:t>
      </w:r>
      <w:r w:rsidR="00105D17">
        <w:t xml:space="preserve"> within organisations</w:t>
      </w:r>
      <w:r>
        <w:t xml:space="preserve">. </w:t>
      </w:r>
      <w:r w:rsidR="00390F7A">
        <w:t>There was some concern that v</w:t>
      </w:r>
      <w:r>
        <w:t xml:space="preserve">ariable access to skilled clinicians could impact the appropriate translation of </w:t>
      </w:r>
      <w:r w:rsidR="00137834">
        <w:t xml:space="preserve">PACOP </w:t>
      </w:r>
      <w:r>
        <w:t>assessment findings into timely, quality care</w:t>
      </w:r>
      <w:r w:rsidR="00DC038D">
        <w:t>.</w:t>
      </w:r>
    </w:p>
    <w:p w14:paraId="69C13D15" w14:textId="0834C9F1" w:rsidR="008166B8" w:rsidRDefault="00DC038D" w:rsidP="00120E73">
      <w:pPr>
        <w:pStyle w:val="ListBullet"/>
      </w:pPr>
      <w:r w:rsidRPr="00793CC8">
        <w:rPr>
          <w:b/>
          <w:bCs/>
        </w:rPr>
        <w:t>Program scale and reach:</w:t>
      </w:r>
      <w:r>
        <w:t xml:space="preserve"> </w:t>
      </w:r>
      <w:r w:rsidR="00793CC8">
        <w:t>a</w:t>
      </w:r>
      <w:r w:rsidR="008166B8">
        <w:t xml:space="preserve">s with PEPA Aged Care, stakeholders highlighted that </w:t>
      </w:r>
      <w:r w:rsidR="008166B8" w:rsidRPr="00B50DB5">
        <w:t xml:space="preserve">without </w:t>
      </w:r>
      <w:r w:rsidR="008166B8">
        <w:t xml:space="preserve">broader and </w:t>
      </w:r>
      <w:r w:rsidR="008166B8" w:rsidRPr="00B50DB5">
        <w:t>deeper uptake, PACOP</w:t>
      </w:r>
      <w:r w:rsidR="003863F5">
        <w:t>’</w:t>
      </w:r>
      <w:r w:rsidR="008166B8" w:rsidRPr="00B50DB5">
        <w:t>s</w:t>
      </w:r>
      <w:r w:rsidR="008166B8">
        <w:t xml:space="preserve"> sector-wide</w:t>
      </w:r>
      <w:r w:rsidR="008166B8" w:rsidRPr="00B50DB5">
        <w:t xml:space="preserve"> impact would </w:t>
      </w:r>
      <w:r w:rsidR="00A152E7">
        <w:t>likely</w:t>
      </w:r>
      <w:r w:rsidR="008166B8" w:rsidRPr="00B50DB5">
        <w:t xml:space="preserve"> remain incremental rather than transformative. </w:t>
      </w:r>
      <w:r w:rsidR="008166B8">
        <w:t xml:space="preserve">They </w:t>
      </w:r>
      <w:r w:rsidR="008045F2">
        <w:lastRenderedPageBreak/>
        <w:t>emphasised</w:t>
      </w:r>
      <w:r w:rsidR="008166B8">
        <w:t xml:space="preserve"> that wider implementation would be required to achieve</w:t>
      </w:r>
      <w:r w:rsidR="008166B8" w:rsidRPr="00B50DB5">
        <w:t xml:space="preserve"> genuine system-level change</w:t>
      </w:r>
      <w:r w:rsidR="008166B8">
        <w:t>.</w:t>
      </w:r>
    </w:p>
    <w:p w14:paraId="2C45CA33" w14:textId="2B0632D9" w:rsidR="00D511D1" w:rsidRDefault="00F239A7" w:rsidP="004C6251">
      <w:pPr>
        <w:pStyle w:val="Findings"/>
      </w:pPr>
      <w:r>
        <w:t xml:space="preserve">Factors influencing </w:t>
      </w:r>
      <w:r w:rsidR="00086411">
        <w:t>PACOP</w:t>
      </w:r>
      <w:r w:rsidR="003863F5">
        <w:t>’</w:t>
      </w:r>
      <w:r w:rsidR="00086411">
        <w:t xml:space="preserve">s effectiveness </w:t>
      </w:r>
      <w:r>
        <w:t>included</w:t>
      </w:r>
      <w:r w:rsidR="00086411">
        <w:t xml:space="preserve"> leadership engagement, IT integration, </w:t>
      </w:r>
      <w:r w:rsidR="003E2546">
        <w:t xml:space="preserve">workforce challenges, the availability of appropriate </w:t>
      </w:r>
      <w:r w:rsidR="00A76D24">
        <w:t>in-house</w:t>
      </w:r>
      <w:r w:rsidR="003E2546">
        <w:t xml:space="preserve"> </w:t>
      </w:r>
      <w:r w:rsidR="00086411">
        <w:t xml:space="preserve">clinical capability, and program reach. </w:t>
      </w:r>
    </w:p>
    <w:bookmarkEnd w:id="98"/>
    <w:p w14:paraId="3EF738EF" w14:textId="77777777" w:rsidR="00525BBE" w:rsidRDefault="00525BBE" w:rsidP="00B93302"/>
    <w:p w14:paraId="5527AF42" w14:textId="77777777" w:rsidR="00525BBE" w:rsidRDefault="00525BBE" w:rsidP="00B93302"/>
    <w:p w14:paraId="7B65EF3E" w14:textId="77777777" w:rsidR="006F1421" w:rsidRPr="00B93302" w:rsidRDefault="006F1421" w:rsidP="00B93302"/>
    <w:p w14:paraId="10C9B31C" w14:textId="05BC6EF1" w:rsidR="00F94880" w:rsidRDefault="00B93302" w:rsidP="006E5597">
      <w:pPr>
        <w:pStyle w:val="Heading1"/>
        <w:framePr w:wrap="around"/>
      </w:pPr>
      <w:bookmarkStart w:id="111" w:name="_Toc232685920"/>
      <w:r>
        <w:lastRenderedPageBreak/>
        <w:t>Efficiency</w:t>
      </w:r>
      <w:bookmarkEnd w:id="111"/>
    </w:p>
    <w:p w14:paraId="5ABC1BA4" w14:textId="3AC2F514" w:rsidR="0069508C" w:rsidRPr="0069508C" w:rsidRDefault="00D8206B" w:rsidP="00F95B6C">
      <w:r>
        <w:t xml:space="preserve">This chapter focuses on KEA 4: Efficiency. The key evaluation question to be addressed </w:t>
      </w:r>
      <w:r w:rsidR="0069508C">
        <w:t>is</w:t>
      </w:r>
      <w:r>
        <w:t>:</w:t>
      </w:r>
      <w:r w:rsidR="0069508C">
        <w:t xml:space="preserve"> </w:t>
      </w:r>
      <w:r w:rsidR="0069508C" w:rsidRPr="003953A4">
        <w:rPr>
          <w:i/>
        </w:rPr>
        <w:t>How well have resources been used?</w:t>
      </w:r>
    </w:p>
    <w:p w14:paraId="484CDCC4" w14:textId="1B5BBD8A" w:rsidR="0069508C" w:rsidRDefault="0069508C" w:rsidP="00D8206B">
      <w:r>
        <w:t xml:space="preserve">The questions to be addressed under </w:t>
      </w:r>
      <w:r w:rsidR="00592C9C">
        <w:t>KEA 4</w:t>
      </w:r>
      <w:r>
        <w:t xml:space="preserve"> are:</w:t>
      </w:r>
    </w:p>
    <w:p w14:paraId="0C59F8F3" w14:textId="17F4BDCB" w:rsidR="00D8206B" w:rsidRDefault="000971DA" w:rsidP="00EE3EB9">
      <w:pPr>
        <w:pStyle w:val="List"/>
        <w:numPr>
          <w:ilvl w:val="0"/>
          <w:numId w:val="32"/>
        </w:numPr>
      </w:pPr>
      <w:r w:rsidRPr="00BA7153">
        <w:t>What are the broad costs and benefits of activities under the Measure, including short</w:t>
      </w:r>
      <w:r w:rsidR="00E558E3">
        <w:t>-</w:t>
      </w:r>
      <w:r w:rsidRPr="00BA7153">
        <w:t>, medium</w:t>
      </w:r>
      <w:r w:rsidR="00E558E3">
        <w:t>-</w:t>
      </w:r>
      <w:r w:rsidRPr="00BA7153">
        <w:t xml:space="preserve"> and long-term outcomes?</w:t>
      </w:r>
    </w:p>
    <w:p w14:paraId="49137378" w14:textId="77777777" w:rsidR="00191CDB" w:rsidRDefault="00191CDB" w:rsidP="00191CDB">
      <w:pPr>
        <w:pStyle w:val="List"/>
      </w:pPr>
      <w:r w:rsidRPr="00BA7153">
        <w:t>Where relevant, how efficiently are the activities utilising funding the Australian Government provides?</w:t>
      </w:r>
    </w:p>
    <w:p w14:paraId="7D3A76F2" w14:textId="0AB1789E" w:rsidR="00D8206B" w:rsidRDefault="00B529D4" w:rsidP="00B529D4">
      <w:pPr>
        <w:pStyle w:val="List"/>
      </w:pPr>
      <w:r w:rsidRPr="00BA7153">
        <w:t>Where relevant, how can activities better utilise funding provided by the Australian Government</w:t>
      </w:r>
      <w:r w:rsidR="00D8206B" w:rsidRPr="00184CAA">
        <w:t>?</w:t>
      </w:r>
    </w:p>
    <w:p w14:paraId="73662BCE" w14:textId="77777777" w:rsidR="0050277D" w:rsidRDefault="002063DA" w:rsidP="00446855">
      <w:pPr>
        <w:pBdr>
          <w:top w:val="single" w:sz="4" w:space="1" w:color="57C1A5" w:themeColor="background2"/>
          <w:left w:val="single" w:sz="4" w:space="4" w:color="57C1A5" w:themeColor="background2"/>
          <w:bottom w:val="single" w:sz="4" w:space="1" w:color="57C1A5" w:themeColor="background2"/>
          <w:right w:val="single" w:sz="4" w:space="4" w:color="57C1A5" w:themeColor="background2"/>
        </w:pBdr>
      </w:pPr>
      <w:r w:rsidRPr="00C364CF">
        <w:t>A comprehensive economic analysis of the Measure was not feasible for either PEPA Aged Care or PACOP due to data and timing limitations</w:t>
      </w:r>
      <w:r>
        <w:t xml:space="preserve"> identified through the program logic (</w:t>
      </w:r>
      <w:r>
        <w:fldChar w:fldCharType="begin"/>
      </w:r>
      <w:r>
        <w:instrText xml:space="preserve"> REF _Ref216431039 \h </w:instrText>
      </w:r>
      <w:r>
        <w:fldChar w:fldCharType="separate"/>
      </w:r>
      <w:r w:rsidR="00167BA0">
        <w:t xml:space="preserve">Figure </w:t>
      </w:r>
      <w:r w:rsidR="00167BA0">
        <w:rPr>
          <w:noProof/>
        </w:rPr>
        <w:t>2</w:t>
      </w:r>
      <w:r w:rsidR="00167BA0">
        <w:t>.</w:t>
      </w:r>
      <w:r w:rsidR="00167BA0">
        <w:rPr>
          <w:noProof/>
        </w:rPr>
        <w:t>2</w:t>
      </w:r>
      <w:r>
        <w:fldChar w:fldCharType="end"/>
      </w:r>
      <w:r>
        <w:t>)</w:t>
      </w:r>
      <w:r w:rsidRPr="00C364CF">
        <w:t xml:space="preserve">. </w:t>
      </w:r>
    </w:p>
    <w:p w14:paraId="5775DE07" w14:textId="77777777" w:rsidR="0050277D" w:rsidRDefault="002063DA" w:rsidP="00446855">
      <w:pPr>
        <w:pBdr>
          <w:top w:val="single" w:sz="4" w:space="1" w:color="57C1A5" w:themeColor="background2"/>
          <w:left w:val="single" w:sz="4" w:space="4" w:color="57C1A5" w:themeColor="background2"/>
          <w:bottom w:val="single" w:sz="4" w:space="1" w:color="57C1A5" w:themeColor="background2"/>
          <w:right w:val="single" w:sz="4" w:space="4" w:color="57C1A5" w:themeColor="background2"/>
        </w:pBdr>
      </w:pPr>
      <w:r w:rsidRPr="00C364CF">
        <w:t xml:space="preserve">For PEPA Aged Care, </w:t>
      </w:r>
      <w:r>
        <w:t>data on measurable outcomes</w:t>
      </w:r>
      <w:r w:rsidRPr="00C364CF">
        <w:t xml:space="preserve"> were unavailable</w:t>
      </w:r>
      <w:r>
        <w:t xml:space="preserve">. While the program had planned to collect after-death audit data from participating sites to assess care quality and outcomes, this </w:t>
      </w:r>
      <w:r w:rsidR="00D83A4F">
        <w:t>did not occur due to data</w:t>
      </w:r>
      <w:r w:rsidR="00F256AD">
        <w:t xml:space="preserve"> </w:t>
      </w:r>
      <w:r w:rsidR="00D83A4F">
        <w:t>collection</w:t>
      </w:r>
      <w:r>
        <w:t xml:space="preserve"> challenges. In addition</w:t>
      </w:r>
      <w:r w:rsidRPr="00C364CF">
        <w:t>, impacts with potential economic significance</w:t>
      </w:r>
      <w:r>
        <w:t>, s</w:t>
      </w:r>
      <w:r w:rsidRPr="00C364CF">
        <w:t>uch as reductions in hospital utilisation</w:t>
      </w:r>
      <w:r>
        <w:t xml:space="preserve">, </w:t>
      </w:r>
      <w:r w:rsidRPr="00C364CF">
        <w:t>were not expected to emerge until at least five years post-implementation</w:t>
      </w:r>
      <w:r w:rsidR="000D054D">
        <w:t>, beyond the timeframe of the evaluation</w:t>
      </w:r>
      <w:r w:rsidRPr="00C364CF">
        <w:t xml:space="preserve">. </w:t>
      </w:r>
    </w:p>
    <w:p w14:paraId="39CA7091" w14:textId="1A5BF9FE" w:rsidR="0050277D" w:rsidRDefault="002063DA" w:rsidP="00446855">
      <w:pPr>
        <w:pBdr>
          <w:top w:val="single" w:sz="4" w:space="1" w:color="57C1A5" w:themeColor="background2"/>
          <w:left w:val="single" w:sz="4" w:space="4" w:color="57C1A5" w:themeColor="background2"/>
          <w:bottom w:val="single" w:sz="4" w:space="1" w:color="57C1A5" w:themeColor="background2"/>
          <w:right w:val="single" w:sz="4" w:space="4" w:color="57C1A5" w:themeColor="background2"/>
        </w:pBdr>
      </w:pPr>
      <w:r w:rsidRPr="00C364CF">
        <w:t xml:space="preserve">Similarly, while PACOP </w:t>
      </w:r>
      <w:r>
        <w:t>collected</w:t>
      </w:r>
      <w:r w:rsidRPr="00C364CF">
        <w:t xml:space="preserve"> </w:t>
      </w:r>
      <w:r>
        <w:t>several</w:t>
      </w:r>
      <w:r w:rsidRPr="00C364CF">
        <w:t xml:space="preserve"> outcome indicators</w:t>
      </w:r>
      <w:r>
        <w:t xml:space="preserve"> as part of benchmarking reporting</w:t>
      </w:r>
      <w:r w:rsidRPr="00C364CF">
        <w:t xml:space="preserve"> (e.g. unplanned hospitalisations</w:t>
      </w:r>
      <w:r w:rsidR="00F72719">
        <w:t xml:space="preserve"> and</w:t>
      </w:r>
      <w:r w:rsidRPr="00C364CF">
        <w:t xml:space="preserve"> </w:t>
      </w:r>
      <w:r>
        <w:t>ED</w:t>
      </w:r>
      <w:r w:rsidRPr="00C364CF">
        <w:t xml:space="preserve"> presentations), the evaluation occurred </w:t>
      </w:r>
      <w:r w:rsidR="0050277D">
        <w:t>approximately</w:t>
      </w:r>
      <w:r w:rsidR="0050277D" w:rsidRPr="00C364CF">
        <w:t xml:space="preserve"> </w:t>
      </w:r>
      <w:r w:rsidRPr="00C364CF">
        <w:t xml:space="preserve">three years after large-scale implementation, well before anticipated </w:t>
      </w:r>
      <w:r w:rsidR="0050277D">
        <w:t xml:space="preserve">population-level </w:t>
      </w:r>
      <w:r w:rsidRPr="00C364CF">
        <w:t xml:space="preserve">benefits </w:t>
      </w:r>
      <w:r>
        <w:t>were expected to</w:t>
      </w:r>
      <w:r w:rsidRPr="00C364CF">
        <w:t xml:space="preserve"> be realised. </w:t>
      </w:r>
    </w:p>
    <w:p w14:paraId="6BE297CB" w14:textId="55925585" w:rsidR="002063DA" w:rsidRDefault="002063DA" w:rsidP="00446855">
      <w:pPr>
        <w:pBdr>
          <w:top w:val="single" w:sz="4" w:space="1" w:color="57C1A5" w:themeColor="background2"/>
          <w:left w:val="single" w:sz="4" w:space="4" w:color="57C1A5" w:themeColor="background2"/>
          <w:bottom w:val="single" w:sz="4" w:space="1" w:color="57C1A5" w:themeColor="background2"/>
          <w:right w:val="single" w:sz="4" w:space="4" w:color="57C1A5" w:themeColor="background2"/>
        </w:pBdr>
      </w:pPr>
      <w:r>
        <w:t>Other</w:t>
      </w:r>
      <w:r w:rsidRPr="00C364CF">
        <w:t xml:space="preserve"> constraints </w:t>
      </w:r>
      <w:r>
        <w:t xml:space="preserve">to conducting </w:t>
      </w:r>
      <w:r w:rsidR="0050277D">
        <w:t xml:space="preserve">a full </w:t>
      </w:r>
      <w:r>
        <w:t xml:space="preserve">economic analysis </w:t>
      </w:r>
      <w:r w:rsidRPr="00C364CF">
        <w:t>included the absence of baseline comparator</w:t>
      </w:r>
      <w:r w:rsidR="0050277D">
        <w:t xml:space="preserve"> data</w:t>
      </w:r>
      <w:r w:rsidRPr="00C364CF">
        <w:t>, attribution challenges due to concurrent reforms</w:t>
      </w:r>
      <w:r>
        <w:t>, and the potential confounding influence of other palliative care-related initiatives. Additionally, the</w:t>
      </w:r>
      <w:r w:rsidRPr="00C364CF">
        <w:t xml:space="preserve"> project scope did not allow for </w:t>
      </w:r>
      <w:r>
        <w:t xml:space="preserve">the collection of </w:t>
      </w:r>
      <w:r w:rsidRPr="00C364CF">
        <w:t xml:space="preserve">new </w:t>
      </w:r>
      <w:r>
        <w:t>outcome indicators to support quantifiable benefit analysis</w:t>
      </w:r>
      <w:r w:rsidRPr="00C364CF">
        <w:t xml:space="preserve">. Consequently, the </w:t>
      </w:r>
      <w:r>
        <w:t>efficiency assessment</w:t>
      </w:r>
      <w:r w:rsidRPr="00C364CF">
        <w:t xml:space="preserve"> focused on</w:t>
      </w:r>
      <w:r>
        <w:t xml:space="preserve"> a limited </w:t>
      </w:r>
      <w:r w:rsidR="00A67D16">
        <w:t>cost-efficiency analysis</w:t>
      </w:r>
      <w:r>
        <w:t>.</w:t>
      </w:r>
    </w:p>
    <w:p w14:paraId="46F21DFF" w14:textId="77777777" w:rsidR="00D8206B" w:rsidRDefault="00D8206B" w:rsidP="00D8206B">
      <w:pPr>
        <w:pStyle w:val="SectionTitle"/>
        <w:numPr>
          <w:ilvl w:val="0"/>
          <w:numId w:val="0"/>
        </w:numPr>
        <w:ind w:left="1871" w:hanging="1871"/>
      </w:pPr>
      <w:bookmarkStart w:id="112" w:name="_Toc232685921"/>
      <w:r>
        <w:t>Analysis and findings</w:t>
      </w:r>
      <w:bookmarkEnd w:id="112"/>
    </w:p>
    <w:p w14:paraId="4629397F" w14:textId="65FD25CA" w:rsidR="00446855" w:rsidRDefault="00A244E1" w:rsidP="002063DA">
      <w:r>
        <w:t>A</w:t>
      </w:r>
      <w:r w:rsidR="002063DA">
        <w:t>n assessment of</w:t>
      </w:r>
      <w:r w:rsidR="002063DA" w:rsidRPr="00C364CF">
        <w:t xml:space="preserve"> program expenditure and operational efficienc</w:t>
      </w:r>
      <w:r w:rsidR="00312A7A">
        <w:t>y</w:t>
      </w:r>
      <w:r w:rsidR="002063DA">
        <w:t xml:space="preserve"> </w:t>
      </w:r>
      <w:r w:rsidR="00247911">
        <w:t>was</w:t>
      </w:r>
      <w:r w:rsidR="002063DA">
        <w:t xml:space="preserve"> undertaken</w:t>
      </w:r>
      <w:r w:rsidR="00ED6327">
        <w:t xml:space="preserve"> for PEPA Aged Care. For PACOP</w:t>
      </w:r>
      <w:r w:rsidR="002063DA">
        <w:t xml:space="preserve">, </w:t>
      </w:r>
      <w:r w:rsidR="002063DA" w:rsidRPr="00C364CF">
        <w:t xml:space="preserve">a high-level mixed-methods analysis </w:t>
      </w:r>
      <w:r w:rsidR="00BD62C7">
        <w:t xml:space="preserve">was conducted </w:t>
      </w:r>
      <w:r w:rsidR="002063DA" w:rsidRPr="00C364CF">
        <w:t xml:space="preserve">to </w:t>
      </w:r>
      <w:r w:rsidR="002063DA">
        <w:t>quantify indicative</w:t>
      </w:r>
      <w:r w:rsidR="002063DA" w:rsidRPr="00C364CF">
        <w:t xml:space="preserve"> benefits</w:t>
      </w:r>
      <w:r w:rsidR="007C49A1">
        <w:t xml:space="preserve">, </w:t>
      </w:r>
      <w:r w:rsidR="007C49A1" w:rsidRPr="00C364CF">
        <w:t>where data permitted</w:t>
      </w:r>
      <w:r w:rsidR="007C49A1">
        <w:t xml:space="preserve"> </w:t>
      </w:r>
      <w:r w:rsidR="002063DA">
        <w:t xml:space="preserve">(see Appendix </w:t>
      </w:r>
      <w:r w:rsidR="00751704">
        <w:t>E</w:t>
      </w:r>
      <w:r w:rsidR="002063DA">
        <w:t xml:space="preserve"> for further detail).</w:t>
      </w:r>
    </w:p>
    <w:p w14:paraId="269F84E6" w14:textId="7174FF96" w:rsidR="002063DA" w:rsidRPr="004B2716" w:rsidRDefault="001850B8" w:rsidP="002063DA">
      <w:r>
        <w:t>The sections below present insights into how resource</w:t>
      </w:r>
      <w:r w:rsidR="00304FCE">
        <w:t>s</w:t>
      </w:r>
      <w:r>
        <w:t xml:space="preserve"> were deployed, the extent to which economies of scale were achieved and areas where delivery constraints </w:t>
      </w:r>
      <w:r w:rsidR="00D62586">
        <w:t xml:space="preserve">influenced </w:t>
      </w:r>
      <w:r>
        <w:t>efficiency</w:t>
      </w:r>
      <w:r w:rsidR="00C71960">
        <w:t xml:space="preserve"> for </w:t>
      </w:r>
      <w:r w:rsidR="00A1094A">
        <w:t>PEPA Aged Care and PACOP.</w:t>
      </w:r>
    </w:p>
    <w:p w14:paraId="0AE58D6A" w14:textId="335AFCDB" w:rsidR="0097611D" w:rsidRDefault="0097611D" w:rsidP="0097611D">
      <w:pPr>
        <w:pStyle w:val="Heading2"/>
      </w:pPr>
      <w:bookmarkStart w:id="113" w:name="_Toc232685922"/>
      <w:r>
        <w:t>PEPA Aged Care</w:t>
      </w:r>
      <w:bookmarkEnd w:id="113"/>
    </w:p>
    <w:p w14:paraId="7686B209" w14:textId="686BC10C" w:rsidR="00BA54B0" w:rsidRDefault="007F7ABF" w:rsidP="00BA54B0">
      <w:pPr>
        <w:rPr>
          <w:rStyle w:val="CommentReference"/>
        </w:rPr>
      </w:pPr>
      <w:r>
        <w:t>Th</w:t>
      </w:r>
      <w:r w:rsidR="00585B24">
        <w:t xml:space="preserve">is </w:t>
      </w:r>
      <w:r>
        <w:t xml:space="preserve">section </w:t>
      </w:r>
      <w:r w:rsidR="003F172E">
        <w:t>examine</w:t>
      </w:r>
      <w:r w:rsidR="00585B24">
        <w:t>s</w:t>
      </w:r>
      <w:r w:rsidR="004371FB">
        <w:t xml:space="preserve"> </w:t>
      </w:r>
      <w:r w:rsidR="00D143B3">
        <w:t xml:space="preserve">how efficiently PEPA Aged Care utilised </w:t>
      </w:r>
      <w:r w:rsidR="00C3219D">
        <w:t xml:space="preserve">available </w:t>
      </w:r>
      <w:r w:rsidR="00D143B3">
        <w:t>funding and resources, the extent to which operational efficiencies were achieved, and the qualitative benefits delivered within the evaluation timeframe. It also identifies opportunities to better leverage available fund</w:t>
      </w:r>
      <w:r w:rsidR="00A1094A">
        <w:t>ing</w:t>
      </w:r>
      <w:r w:rsidR="00D143B3">
        <w:t>.</w:t>
      </w:r>
    </w:p>
    <w:p w14:paraId="021E94BD" w14:textId="6B9DF565" w:rsidR="00A41D89" w:rsidRDefault="00166DC4" w:rsidP="00166DC4">
      <w:pPr>
        <w:pStyle w:val="Heading3"/>
        <w:rPr>
          <w:lang w:eastAsia="en-AU"/>
        </w:rPr>
      </w:pPr>
      <w:bookmarkStart w:id="114" w:name="_Toc232685923"/>
      <w:r>
        <w:rPr>
          <w:lang w:eastAsia="en-AU"/>
        </w:rPr>
        <w:lastRenderedPageBreak/>
        <w:t xml:space="preserve">Program </w:t>
      </w:r>
      <w:r w:rsidR="001608A5">
        <w:rPr>
          <w:lang w:eastAsia="en-AU"/>
        </w:rPr>
        <w:t>funding</w:t>
      </w:r>
      <w:r w:rsidR="00A42F15">
        <w:rPr>
          <w:lang w:eastAsia="en-AU"/>
        </w:rPr>
        <w:t xml:space="preserve"> and expenditure</w:t>
      </w:r>
      <w:bookmarkEnd w:id="114"/>
    </w:p>
    <w:p w14:paraId="55A38432" w14:textId="291A7F34" w:rsidR="00E749A2" w:rsidRDefault="00B31A27" w:rsidP="00AF46A3">
      <w:pPr>
        <w:rPr>
          <w:lang w:eastAsia="en-AU"/>
        </w:rPr>
      </w:pPr>
      <w:r>
        <w:rPr>
          <w:lang w:eastAsia="en-AU"/>
        </w:rPr>
        <w:t xml:space="preserve">The Australian Government provided </w:t>
      </w:r>
      <w:r w:rsidR="008703A6">
        <w:rPr>
          <w:lang w:eastAsia="en-AU"/>
        </w:rPr>
        <w:t xml:space="preserve">QUT </w:t>
      </w:r>
      <w:r w:rsidR="008703A6" w:rsidRPr="00114BDB">
        <w:t>$</w:t>
      </w:r>
      <w:r w:rsidR="00817135">
        <w:t>7</w:t>
      </w:r>
      <w:r w:rsidR="008703A6" w:rsidRPr="00114BDB">
        <w:t>.6</w:t>
      </w:r>
      <w:r w:rsidR="00EF4737">
        <w:t>2</w:t>
      </w:r>
      <w:r w:rsidR="008703A6" w:rsidRPr="00114BDB">
        <w:t xml:space="preserve"> million </w:t>
      </w:r>
      <w:r w:rsidR="00CF4C83">
        <w:t>to deliver</w:t>
      </w:r>
      <w:r w:rsidR="00EF4737">
        <w:t xml:space="preserve"> PEPA Aged Care over the evaluation period (</w:t>
      </w:r>
      <w:r w:rsidR="004155E7">
        <w:t>2021–22 to 2024–25</w:t>
      </w:r>
      <w:r w:rsidR="00485904">
        <w:t xml:space="preserve">; </w:t>
      </w:r>
      <w:r w:rsidR="00A36C76">
        <w:rPr>
          <w:lang w:eastAsia="en-AU"/>
        </w:rPr>
        <w:fldChar w:fldCharType="begin"/>
      </w:r>
      <w:r w:rsidR="00A36C76">
        <w:rPr>
          <w:lang w:eastAsia="en-AU"/>
        </w:rPr>
        <w:instrText xml:space="preserve"> REF _Ref213828732 \h </w:instrText>
      </w:r>
      <w:r w:rsidR="00A36C76">
        <w:rPr>
          <w:lang w:eastAsia="en-AU"/>
        </w:rPr>
      </w:r>
      <w:r w:rsidR="00A36C76">
        <w:rPr>
          <w:lang w:eastAsia="en-AU"/>
        </w:rPr>
        <w:fldChar w:fldCharType="separate"/>
      </w:r>
      <w:r w:rsidR="00167BA0">
        <w:t xml:space="preserve">Table </w:t>
      </w:r>
      <w:r w:rsidR="00167BA0">
        <w:rPr>
          <w:noProof/>
        </w:rPr>
        <w:t>7</w:t>
      </w:r>
      <w:r w:rsidR="00167BA0">
        <w:t>.</w:t>
      </w:r>
      <w:r w:rsidR="00167BA0">
        <w:rPr>
          <w:noProof/>
        </w:rPr>
        <w:t>1</w:t>
      </w:r>
      <w:r w:rsidR="00A36C76">
        <w:rPr>
          <w:lang w:eastAsia="en-AU"/>
        </w:rPr>
        <w:fldChar w:fldCharType="end"/>
      </w:r>
      <w:r w:rsidR="00A36C76">
        <w:rPr>
          <w:lang w:eastAsia="en-AU"/>
        </w:rPr>
        <w:t>)</w:t>
      </w:r>
      <w:r w:rsidR="00324612">
        <w:rPr>
          <w:lang w:eastAsia="en-AU"/>
        </w:rPr>
        <w:t xml:space="preserve">. </w:t>
      </w:r>
      <w:r w:rsidR="00F27065">
        <w:rPr>
          <w:lang w:eastAsia="en-AU"/>
        </w:rPr>
        <w:t>No additional funding</w:t>
      </w:r>
      <w:r w:rsidR="00C71E8A">
        <w:rPr>
          <w:lang w:eastAsia="en-AU"/>
        </w:rPr>
        <w:t xml:space="preserve"> sources </w:t>
      </w:r>
      <w:r w:rsidR="006A6051">
        <w:rPr>
          <w:lang w:eastAsia="en-AU"/>
        </w:rPr>
        <w:t>contributed to program delivery.</w:t>
      </w:r>
    </w:p>
    <w:p w14:paraId="29BCA2E1" w14:textId="59322397" w:rsidR="008D5DFC" w:rsidRDefault="00C334F0" w:rsidP="00AF46A3">
      <w:pPr>
        <w:rPr>
          <w:lang w:eastAsia="en-AU"/>
        </w:rPr>
      </w:pPr>
      <w:r>
        <w:rPr>
          <w:lang w:eastAsia="en-AU"/>
        </w:rPr>
        <w:t>P</w:t>
      </w:r>
      <w:r w:rsidR="006A6051">
        <w:rPr>
          <w:lang w:eastAsia="en-AU"/>
        </w:rPr>
        <w:t xml:space="preserve">rogram expenditure </w:t>
      </w:r>
      <w:r w:rsidR="0004166E" w:rsidRPr="0004166E">
        <w:rPr>
          <w:lang w:eastAsia="en-AU"/>
        </w:rPr>
        <w:t>averaged $1.4 million per year</w:t>
      </w:r>
      <w:r w:rsidR="00A36C76">
        <w:rPr>
          <w:lang w:eastAsia="en-AU"/>
        </w:rPr>
        <w:t>, resulting in a cumulative underspend of more than $2 million by June 2025. This was largely due to s</w:t>
      </w:r>
      <w:r w:rsidR="00DC40D0">
        <w:rPr>
          <w:lang w:eastAsia="en-AU"/>
        </w:rPr>
        <w:t>ignificant underspend</w:t>
      </w:r>
      <w:r w:rsidR="00A36C76">
        <w:rPr>
          <w:lang w:eastAsia="en-AU"/>
        </w:rPr>
        <w:t>s</w:t>
      </w:r>
      <w:r w:rsidR="00DC40D0">
        <w:rPr>
          <w:lang w:eastAsia="en-AU"/>
        </w:rPr>
        <w:t xml:space="preserve"> in the first two years</w:t>
      </w:r>
      <w:r w:rsidR="00C1274D">
        <w:rPr>
          <w:lang w:eastAsia="en-AU"/>
        </w:rPr>
        <w:t xml:space="preserve">, </w:t>
      </w:r>
      <w:r w:rsidR="00282188">
        <w:rPr>
          <w:lang w:eastAsia="en-AU"/>
        </w:rPr>
        <w:t>attributed to a</w:t>
      </w:r>
      <w:r w:rsidR="004D444C">
        <w:rPr>
          <w:lang w:eastAsia="en-AU"/>
        </w:rPr>
        <w:t xml:space="preserve"> slight </w:t>
      </w:r>
      <w:r w:rsidR="008A22D7">
        <w:rPr>
          <w:lang w:eastAsia="en-AU"/>
        </w:rPr>
        <w:t>delay</w:t>
      </w:r>
      <w:r w:rsidR="004D444C">
        <w:rPr>
          <w:lang w:eastAsia="en-AU"/>
        </w:rPr>
        <w:t xml:space="preserve"> in</w:t>
      </w:r>
      <w:r w:rsidR="008A22D7">
        <w:rPr>
          <w:lang w:eastAsia="en-AU"/>
        </w:rPr>
        <w:t xml:space="preserve"> program </w:t>
      </w:r>
      <w:r w:rsidR="004D444C">
        <w:rPr>
          <w:lang w:eastAsia="en-AU"/>
        </w:rPr>
        <w:t>commencement</w:t>
      </w:r>
      <w:r w:rsidR="008A22D7">
        <w:rPr>
          <w:lang w:eastAsia="en-AU"/>
        </w:rPr>
        <w:t xml:space="preserve">, </w:t>
      </w:r>
      <w:r w:rsidR="004D444C">
        <w:rPr>
          <w:lang w:eastAsia="en-AU"/>
        </w:rPr>
        <w:t xml:space="preserve">early impacts of the COVID-19 pandemic, </w:t>
      </w:r>
      <w:r w:rsidR="008A22D7">
        <w:rPr>
          <w:lang w:eastAsia="en-AU"/>
        </w:rPr>
        <w:t>operational efficiencies, and invoicing delays for site grants.</w:t>
      </w:r>
    </w:p>
    <w:p w14:paraId="213F2446" w14:textId="27D97CE9" w:rsidR="004E6C8A" w:rsidRDefault="00447580" w:rsidP="00AF46A3">
      <w:pPr>
        <w:rPr>
          <w:lang w:eastAsia="en-AU"/>
        </w:rPr>
      </w:pPr>
      <w:r>
        <w:rPr>
          <w:lang w:eastAsia="en-AU"/>
        </w:rPr>
        <w:t>Expenditure</w:t>
      </w:r>
      <w:r w:rsidR="00AF46A3">
        <w:rPr>
          <w:lang w:eastAsia="en-AU"/>
        </w:rPr>
        <w:t xml:space="preserve"> increased</w:t>
      </w:r>
      <w:r>
        <w:rPr>
          <w:lang w:eastAsia="en-AU"/>
        </w:rPr>
        <w:t xml:space="preserve"> markedly</w:t>
      </w:r>
      <w:r w:rsidR="00AF46A3">
        <w:rPr>
          <w:lang w:eastAsia="en-AU"/>
        </w:rPr>
        <w:t xml:space="preserve"> </w:t>
      </w:r>
      <w:r w:rsidR="0004166E" w:rsidRPr="0004166E">
        <w:rPr>
          <w:lang w:eastAsia="en-AU"/>
        </w:rPr>
        <w:t>in 2023–24 and 2024–25</w:t>
      </w:r>
      <w:r w:rsidR="00A2196B">
        <w:rPr>
          <w:lang w:eastAsia="en-AU"/>
        </w:rPr>
        <w:t xml:space="preserve">, </w:t>
      </w:r>
      <w:r>
        <w:rPr>
          <w:lang w:eastAsia="en-AU"/>
        </w:rPr>
        <w:t>with</w:t>
      </w:r>
      <w:r w:rsidR="00A2196B">
        <w:rPr>
          <w:lang w:eastAsia="en-AU"/>
        </w:rPr>
        <w:t xml:space="preserve"> </w:t>
      </w:r>
      <w:r w:rsidR="0004166E" w:rsidRPr="0004166E">
        <w:rPr>
          <w:lang w:eastAsia="en-AU"/>
        </w:rPr>
        <w:t xml:space="preserve">91–99% of annual </w:t>
      </w:r>
      <w:r w:rsidR="00DE1F7A">
        <w:rPr>
          <w:lang w:eastAsia="en-AU"/>
        </w:rPr>
        <w:t xml:space="preserve">allocated </w:t>
      </w:r>
      <w:r w:rsidR="0004166E" w:rsidRPr="0004166E">
        <w:rPr>
          <w:lang w:eastAsia="en-AU"/>
        </w:rPr>
        <w:t>grant</w:t>
      </w:r>
      <w:r w:rsidR="00A2196B">
        <w:rPr>
          <w:lang w:eastAsia="en-AU"/>
        </w:rPr>
        <w:t xml:space="preserve"> funding</w:t>
      </w:r>
      <w:r>
        <w:rPr>
          <w:lang w:eastAsia="en-AU"/>
        </w:rPr>
        <w:t xml:space="preserve"> </w:t>
      </w:r>
      <w:r w:rsidR="00DE1F7A">
        <w:rPr>
          <w:lang w:eastAsia="en-AU"/>
        </w:rPr>
        <w:t>used in these financial years</w:t>
      </w:r>
      <w:r w:rsidR="00A2196B">
        <w:rPr>
          <w:lang w:eastAsia="en-AU"/>
        </w:rPr>
        <w:t>.</w:t>
      </w:r>
      <w:r w:rsidR="009A555D">
        <w:rPr>
          <w:lang w:eastAsia="en-AU"/>
        </w:rPr>
        <w:t xml:space="preserve"> However, </w:t>
      </w:r>
      <w:r w:rsidR="003051E1">
        <w:rPr>
          <w:lang w:eastAsia="en-AU"/>
        </w:rPr>
        <w:t xml:space="preserve">including carried-forward balances from previous years, </w:t>
      </w:r>
      <w:r w:rsidR="009A555D">
        <w:rPr>
          <w:lang w:eastAsia="en-AU"/>
        </w:rPr>
        <w:t xml:space="preserve">only 46–50% of </w:t>
      </w:r>
      <w:r w:rsidR="004E6C8A">
        <w:rPr>
          <w:lang w:eastAsia="en-AU"/>
        </w:rPr>
        <w:t xml:space="preserve">the </w:t>
      </w:r>
      <w:r w:rsidR="009A555D">
        <w:rPr>
          <w:lang w:eastAsia="en-AU"/>
        </w:rPr>
        <w:t>total available funds were expended</w:t>
      </w:r>
      <w:r w:rsidR="005A03BB">
        <w:rPr>
          <w:lang w:eastAsia="en-AU"/>
        </w:rPr>
        <w:t xml:space="preserve"> </w:t>
      </w:r>
      <w:r w:rsidR="00C96E70" w:rsidRPr="0004166E">
        <w:rPr>
          <w:lang w:eastAsia="en-AU"/>
        </w:rPr>
        <w:t>in 2023–24 and 2024–25</w:t>
      </w:r>
      <w:r w:rsidR="00CA1C1C">
        <w:rPr>
          <w:lang w:eastAsia="en-AU"/>
        </w:rPr>
        <w:t>. This indicates</w:t>
      </w:r>
      <w:r w:rsidR="001F70B1">
        <w:rPr>
          <w:lang w:eastAsia="en-AU"/>
        </w:rPr>
        <w:t xml:space="preserve"> </w:t>
      </w:r>
      <w:r w:rsidR="005A03BB">
        <w:rPr>
          <w:lang w:eastAsia="en-AU"/>
        </w:rPr>
        <w:t>delivery and capacity constraints</w:t>
      </w:r>
      <w:r w:rsidR="00CA1C1C">
        <w:rPr>
          <w:lang w:eastAsia="en-AU"/>
        </w:rPr>
        <w:t xml:space="preserve"> that limited the program’s ability to fully utilise cumulative funding within these periods</w:t>
      </w:r>
      <w:r w:rsidR="005A03BB">
        <w:rPr>
          <w:lang w:eastAsia="en-AU"/>
        </w:rPr>
        <w:t>.</w:t>
      </w:r>
    </w:p>
    <w:p w14:paraId="0737A007" w14:textId="1874777A" w:rsidR="004E6C8A" w:rsidRDefault="00EA43C3" w:rsidP="00AF46A3">
      <w:r>
        <w:rPr>
          <w:lang w:eastAsia="en-AU"/>
        </w:rPr>
        <w:t>P</w:t>
      </w:r>
      <w:r w:rsidR="00A2196B">
        <w:rPr>
          <w:lang w:eastAsia="en-AU"/>
        </w:rPr>
        <w:t xml:space="preserve">erformance </w:t>
      </w:r>
      <w:r w:rsidR="00761008">
        <w:t xml:space="preserve">reporting </w:t>
      </w:r>
      <w:r w:rsidR="004569E9">
        <w:t>identified an intention</w:t>
      </w:r>
      <w:r w:rsidR="00761008">
        <w:t xml:space="preserve"> to use the rolled-over funds </w:t>
      </w:r>
      <w:r w:rsidR="00761008">
        <w:rPr>
          <w:lang w:eastAsia="en-AU"/>
        </w:rPr>
        <w:t>to deliver an additional 120 placements in 2024–25</w:t>
      </w:r>
      <w:r w:rsidR="00F66821">
        <w:rPr>
          <w:lang w:eastAsia="en-AU"/>
        </w:rPr>
        <w:t xml:space="preserve"> (over and above original targets)</w:t>
      </w:r>
      <w:r w:rsidR="00761008">
        <w:rPr>
          <w:lang w:eastAsia="en-AU"/>
        </w:rPr>
        <w:t xml:space="preserve"> </w:t>
      </w:r>
      <w:sdt>
        <w:sdtPr>
          <w:id w:val="1421909999"/>
          <w:citation/>
        </w:sdtPr>
        <w:sdtContent>
          <w:r w:rsidR="00761008">
            <w:fldChar w:fldCharType="begin"/>
          </w:r>
          <w:r w:rsidR="00761008">
            <w:instrText xml:space="preserve">CITATION Que243 \l 3081 </w:instrText>
          </w:r>
          <w:r w:rsidR="00761008">
            <w:fldChar w:fldCharType="separate"/>
          </w:r>
          <w:r w:rsidR="00513E81" w:rsidRPr="00513E81">
            <w:rPr>
              <w:noProof/>
            </w:rPr>
            <w:t>[32]</w:t>
          </w:r>
          <w:r w:rsidR="00761008">
            <w:fldChar w:fldCharType="end"/>
          </w:r>
        </w:sdtContent>
      </w:sdt>
      <w:r>
        <w:t>; however,</w:t>
      </w:r>
      <w:r w:rsidR="004C1B83">
        <w:t xml:space="preserve"> </w:t>
      </w:r>
      <w:r w:rsidR="004569E9">
        <w:t xml:space="preserve">available documentation did not confirm </w:t>
      </w:r>
      <w:r w:rsidR="004C5CB5">
        <w:t>whether this additional activity was delivered</w:t>
      </w:r>
      <w:r w:rsidR="00761008">
        <w:t>.</w:t>
      </w:r>
    </w:p>
    <w:p w14:paraId="3B753BC8" w14:textId="5D99B475" w:rsidR="00BD3937" w:rsidRDefault="00DF64F0" w:rsidP="00AF46A3">
      <w:pPr>
        <w:rPr>
          <w:lang w:eastAsia="en-AU"/>
        </w:rPr>
      </w:pPr>
      <w:r>
        <w:t xml:space="preserve">Program data and stakeholder feedback indicated unmet </w:t>
      </w:r>
      <w:r w:rsidR="004C5CB5">
        <w:t xml:space="preserve">demand </w:t>
      </w:r>
      <w:r w:rsidR="007F5E52">
        <w:t>for PEPA Aged Care</w:t>
      </w:r>
      <w:r>
        <w:t>,</w:t>
      </w:r>
      <w:r w:rsidR="007F5E52">
        <w:t xml:space="preserve"> as evidenced by</w:t>
      </w:r>
      <w:r>
        <w:t xml:space="preserve"> persistent waiting lists and </w:t>
      </w:r>
      <w:r w:rsidR="007F5E52">
        <w:t>stakeholder</w:t>
      </w:r>
      <w:r w:rsidR="00CB6D95">
        <w:t xml:space="preserve"> </w:t>
      </w:r>
      <w:r w:rsidR="00923FE2">
        <w:t>feedback regarding the importance of</w:t>
      </w:r>
      <w:r w:rsidR="00CB6D95">
        <w:t xml:space="preserve"> recurring access to </w:t>
      </w:r>
      <w:r w:rsidR="009D6314">
        <w:t xml:space="preserve">reverse placements. </w:t>
      </w:r>
      <w:r w:rsidR="00912F3D">
        <w:t>Taken together, these findings</w:t>
      </w:r>
      <w:r w:rsidR="009D6314">
        <w:t xml:space="preserve"> suggest</w:t>
      </w:r>
      <w:r w:rsidR="00912F3D">
        <w:t xml:space="preserve"> an opportunity</w:t>
      </w:r>
      <w:r w:rsidR="009D6314">
        <w:t xml:space="preserve"> to convert </w:t>
      </w:r>
      <w:r w:rsidR="00AE0B57">
        <w:t xml:space="preserve">cumulative </w:t>
      </w:r>
      <w:r w:rsidR="009D6314">
        <w:t>underspends into delivery outputs</w:t>
      </w:r>
      <w:r w:rsidR="00AE0B57">
        <w:t xml:space="preserve"> </w:t>
      </w:r>
      <w:r w:rsidR="00AE0B57">
        <w:rPr>
          <w:lang w:eastAsia="en-AU"/>
        </w:rPr>
        <w:t xml:space="preserve">to improve </w:t>
      </w:r>
      <w:r w:rsidR="008C1CD5">
        <w:rPr>
          <w:lang w:eastAsia="en-AU"/>
        </w:rPr>
        <w:t xml:space="preserve">the program’s </w:t>
      </w:r>
      <w:r w:rsidR="00AE0B57">
        <w:rPr>
          <w:lang w:eastAsia="en-AU"/>
        </w:rPr>
        <w:t>scalability</w:t>
      </w:r>
      <w:r w:rsidR="00F5007C">
        <w:t xml:space="preserve">, such as </w:t>
      </w:r>
      <w:r w:rsidR="00AE0B57">
        <w:t xml:space="preserve">by </w:t>
      </w:r>
      <w:r w:rsidR="00F5007C">
        <w:t>expanding</w:t>
      </w:r>
      <w:r w:rsidR="00F5007C" w:rsidRPr="00651DC5">
        <w:rPr>
          <w:lang w:eastAsia="en-AU"/>
        </w:rPr>
        <w:t xml:space="preserve"> the </w:t>
      </w:r>
      <w:r w:rsidR="00F5007C">
        <w:t>nurse educator</w:t>
      </w:r>
      <w:r w:rsidR="00F5007C" w:rsidRPr="008963D4">
        <w:rPr>
          <w:lang w:eastAsia="en-AU"/>
        </w:rPr>
        <w:t xml:space="preserve"> workforce </w:t>
      </w:r>
      <w:r w:rsidR="00F5007C">
        <w:rPr>
          <w:lang w:eastAsia="en-AU"/>
        </w:rPr>
        <w:t xml:space="preserve">and/or </w:t>
      </w:r>
      <w:r w:rsidR="00F5007C">
        <w:t>considering alternative</w:t>
      </w:r>
      <w:r w:rsidR="00F5007C">
        <w:rPr>
          <w:lang w:eastAsia="en-AU"/>
        </w:rPr>
        <w:t xml:space="preserve"> delivery </w:t>
      </w:r>
      <w:r w:rsidR="00F5007C">
        <w:t>models (e.g. blended learning approaches, train-the-trainer models)</w:t>
      </w:r>
      <w:r w:rsidR="00F5007C">
        <w:rPr>
          <w:lang w:eastAsia="en-AU"/>
        </w:rPr>
        <w:t>.</w:t>
      </w:r>
    </w:p>
    <w:p w14:paraId="4C6447D8" w14:textId="0E686CC2" w:rsidR="008E7A9A" w:rsidRDefault="008E7A9A" w:rsidP="008E7A9A">
      <w:pPr>
        <w:pStyle w:val="Caption"/>
      </w:pPr>
      <w:bookmarkStart w:id="115" w:name="_Ref213828732"/>
      <w:r>
        <w:t xml:space="preserve">Table </w:t>
      </w:r>
      <w:fldSimple w:instr=" STYLEREF 1 \s ">
        <w:r w:rsidR="0091457A">
          <w:rPr>
            <w:noProof/>
          </w:rPr>
          <w:t>7</w:t>
        </w:r>
      </w:fldSimple>
      <w:r w:rsidR="0091457A">
        <w:t>.</w:t>
      </w:r>
      <w:fldSimple w:instr=" SEQ Table \* ARABIC \s 1 ">
        <w:r w:rsidR="0091457A">
          <w:rPr>
            <w:noProof/>
          </w:rPr>
          <w:t>1</w:t>
        </w:r>
      </w:fldSimple>
      <w:bookmarkEnd w:id="115"/>
      <w:r>
        <w:t xml:space="preserve">: </w:t>
      </w:r>
      <w:r w:rsidR="004154FC">
        <w:t>C</w:t>
      </w:r>
      <w:r>
        <w:t>omparison of PEPA Aged Care income and expenditure by financial year</w:t>
      </w:r>
    </w:p>
    <w:tbl>
      <w:tblPr>
        <w:tblStyle w:val="HMAdefaulttable"/>
        <w:tblW w:w="7213"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PEPA Aged Care funding and expenditure"/>
        <w:tblDescription w:val="Table shows PEPA Aged Care income and expenditure across four financial years from 2021-22 to 2024-25."/>
      </w:tblPr>
      <w:tblGrid>
        <w:gridCol w:w="1171"/>
        <w:gridCol w:w="1208"/>
        <w:gridCol w:w="1208"/>
        <w:gridCol w:w="1209"/>
        <w:gridCol w:w="1208"/>
        <w:gridCol w:w="1209"/>
      </w:tblGrid>
      <w:tr w:rsidR="008E7A9A" w:rsidRPr="0033609E" w14:paraId="71CB7730" w14:textId="77777777" w:rsidTr="00BD4171">
        <w:trPr>
          <w:cnfStyle w:val="100000000000" w:firstRow="1" w:lastRow="0" w:firstColumn="0" w:lastColumn="0" w:oddVBand="0" w:evenVBand="0" w:oddHBand="0" w:evenHBand="0" w:firstRowFirstColumn="0" w:firstRowLastColumn="0" w:lastRowFirstColumn="0" w:lastRowLastColumn="0"/>
          <w:trHeight w:val="124"/>
          <w:tblHeader/>
        </w:trPr>
        <w:tc>
          <w:tcPr>
            <w:cnfStyle w:val="001000000000" w:firstRow="0" w:lastRow="0" w:firstColumn="1" w:lastColumn="0" w:oddVBand="0" w:evenVBand="0" w:oddHBand="0" w:evenHBand="0" w:firstRowFirstColumn="0" w:firstRowLastColumn="0" w:lastRowFirstColumn="0" w:lastRowLastColumn="0"/>
            <w:tcW w:w="1171" w:type="dxa"/>
            <w:noWrap/>
            <w:hideMark/>
          </w:tcPr>
          <w:p w14:paraId="3E24F9B8" w14:textId="6B417039" w:rsidR="008E7A9A" w:rsidRPr="00CA77D5" w:rsidRDefault="006349C1" w:rsidP="006349C1">
            <w:pPr>
              <w:pStyle w:val="TableHeading"/>
            </w:pPr>
            <w:r>
              <w:t>Financial metric</w:t>
            </w:r>
          </w:p>
        </w:tc>
        <w:tc>
          <w:tcPr>
            <w:tcW w:w="1208" w:type="dxa"/>
            <w:noWrap/>
            <w:hideMark/>
          </w:tcPr>
          <w:p w14:paraId="2B8CCFED" w14:textId="77777777" w:rsidR="008E7A9A" w:rsidRPr="00CA77D5"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t>2021–22</w:t>
            </w:r>
          </w:p>
        </w:tc>
        <w:tc>
          <w:tcPr>
            <w:tcW w:w="1208" w:type="dxa"/>
            <w:noWrap/>
            <w:hideMark/>
          </w:tcPr>
          <w:p w14:paraId="541186E5" w14:textId="77777777" w:rsidR="008E7A9A" w:rsidRPr="00CA77D5"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CA77D5">
              <w:t>2022</w:t>
            </w:r>
            <w:r>
              <w:t>–</w:t>
            </w:r>
            <w:r w:rsidRPr="00CA77D5">
              <w:t>23</w:t>
            </w:r>
          </w:p>
        </w:tc>
        <w:tc>
          <w:tcPr>
            <w:tcW w:w="1209" w:type="dxa"/>
            <w:noWrap/>
            <w:hideMark/>
          </w:tcPr>
          <w:p w14:paraId="3F70EA30" w14:textId="77777777" w:rsidR="008E7A9A" w:rsidRPr="00CA77D5"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t>2023–24</w:t>
            </w:r>
          </w:p>
        </w:tc>
        <w:tc>
          <w:tcPr>
            <w:tcW w:w="1208" w:type="dxa"/>
            <w:noWrap/>
            <w:hideMark/>
          </w:tcPr>
          <w:p w14:paraId="69D51BF6" w14:textId="77777777" w:rsidR="008E7A9A" w:rsidRPr="00CA77D5"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CA77D5">
              <w:t>2024</w:t>
            </w:r>
            <w:r>
              <w:t>–</w:t>
            </w:r>
            <w:r w:rsidRPr="00CA77D5">
              <w:t>25</w:t>
            </w:r>
          </w:p>
        </w:tc>
        <w:tc>
          <w:tcPr>
            <w:tcW w:w="1209" w:type="dxa"/>
          </w:tcPr>
          <w:p w14:paraId="2F9E951E" w14:textId="77777777" w:rsidR="008E7A9A" w:rsidRPr="007F0938"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7F0938">
              <w:t>Average</w:t>
            </w:r>
          </w:p>
        </w:tc>
      </w:tr>
      <w:tr w:rsidR="008E7A9A" w:rsidRPr="0033609E" w14:paraId="259D8587" w14:textId="77777777" w:rsidTr="00BD41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hideMark/>
          </w:tcPr>
          <w:p w14:paraId="25A85DBB" w14:textId="77777777" w:rsidR="008E7A9A" w:rsidRPr="00CA77D5" w:rsidRDefault="008E7A9A">
            <w:pPr>
              <w:pStyle w:val="TableText"/>
            </w:pPr>
            <w:r w:rsidRPr="00CA77D5">
              <w:t>Grant funding</w:t>
            </w:r>
          </w:p>
        </w:tc>
        <w:tc>
          <w:tcPr>
            <w:tcW w:w="1208" w:type="dxa"/>
            <w:noWrap/>
            <w:hideMark/>
          </w:tcPr>
          <w:p w14:paraId="47209AFC"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$1,850,000</w:t>
            </w:r>
          </w:p>
        </w:tc>
        <w:tc>
          <w:tcPr>
            <w:tcW w:w="1208" w:type="dxa"/>
            <w:noWrap/>
            <w:hideMark/>
          </w:tcPr>
          <w:p w14:paraId="48E69D66"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$1,887,000</w:t>
            </w:r>
          </w:p>
        </w:tc>
        <w:tc>
          <w:tcPr>
            <w:tcW w:w="1209" w:type="dxa"/>
            <w:noWrap/>
            <w:hideMark/>
          </w:tcPr>
          <w:p w14:paraId="52312274"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$1,925,000</w:t>
            </w:r>
          </w:p>
        </w:tc>
        <w:tc>
          <w:tcPr>
            <w:tcW w:w="1208" w:type="dxa"/>
            <w:noWrap/>
            <w:hideMark/>
          </w:tcPr>
          <w:p w14:paraId="42039229"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$1,960,000</w:t>
            </w:r>
          </w:p>
        </w:tc>
        <w:tc>
          <w:tcPr>
            <w:tcW w:w="1209" w:type="dxa"/>
          </w:tcPr>
          <w:p w14:paraId="1E0AF674" w14:textId="77777777" w:rsidR="008E7A9A" w:rsidRPr="007F0938" w:rsidRDefault="008E7A9A">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$1,905,500</w:t>
            </w:r>
          </w:p>
        </w:tc>
      </w:tr>
      <w:tr w:rsidR="008E7A9A" w:rsidRPr="0033609E" w14:paraId="372DBBDC" w14:textId="77777777" w:rsidTr="00BD417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hideMark/>
          </w:tcPr>
          <w:p w14:paraId="2718472A" w14:textId="77777777" w:rsidR="008E7A9A" w:rsidRPr="00CA77D5" w:rsidRDefault="008E7A9A">
            <w:pPr>
              <w:pStyle w:val="TableText"/>
            </w:pPr>
            <w:r w:rsidRPr="00CA77D5">
              <w:t>Balance brought forward</w:t>
            </w:r>
          </w:p>
        </w:tc>
        <w:tc>
          <w:tcPr>
            <w:tcW w:w="1208" w:type="dxa"/>
            <w:noWrap/>
            <w:hideMark/>
          </w:tcPr>
          <w:p w14:paraId="696ED5CB"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$0</w:t>
            </w:r>
          </w:p>
        </w:tc>
        <w:tc>
          <w:tcPr>
            <w:tcW w:w="1208" w:type="dxa"/>
            <w:noWrap/>
            <w:hideMark/>
          </w:tcPr>
          <w:p w14:paraId="5C0CCE25"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$1,173,768</w:t>
            </w:r>
          </w:p>
        </w:tc>
        <w:tc>
          <w:tcPr>
            <w:tcW w:w="1209" w:type="dxa"/>
            <w:noWrap/>
            <w:hideMark/>
          </w:tcPr>
          <w:p w14:paraId="724D55E1"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$1,879,1</w:t>
            </w:r>
            <w:r>
              <w:rPr>
                <w:sz w:val="18"/>
                <w:szCs w:val="18"/>
              </w:rPr>
              <w:t>60</w:t>
            </w:r>
          </w:p>
        </w:tc>
        <w:tc>
          <w:tcPr>
            <w:tcW w:w="1208" w:type="dxa"/>
            <w:noWrap/>
            <w:hideMark/>
          </w:tcPr>
          <w:p w14:paraId="1BE47CEC"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$1,897,50</w:t>
            </w:r>
            <w:r>
              <w:rPr>
                <w:sz w:val="18"/>
                <w:szCs w:val="18"/>
              </w:rPr>
              <w:t>1</w:t>
            </w:r>
          </w:p>
        </w:tc>
        <w:tc>
          <w:tcPr>
            <w:tcW w:w="1209" w:type="dxa"/>
          </w:tcPr>
          <w:p w14:paraId="279917AB" w14:textId="77777777" w:rsidR="008E7A9A" w:rsidRPr="007F0938" w:rsidRDefault="008E7A9A">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$1,388,027</w:t>
            </w:r>
          </w:p>
        </w:tc>
      </w:tr>
      <w:tr w:rsidR="008E7A9A" w:rsidRPr="0033609E" w14:paraId="16B5C905" w14:textId="77777777" w:rsidTr="00BD41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tcPr>
          <w:p w14:paraId="708CBE5C" w14:textId="77777777" w:rsidR="008E7A9A" w:rsidRPr="00CA77D5" w:rsidRDefault="008E7A9A">
            <w:pPr>
              <w:pStyle w:val="TableText"/>
            </w:pPr>
            <w:r w:rsidRPr="00CA77D5">
              <w:t>Funds available</w:t>
            </w:r>
          </w:p>
        </w:tc>
        <w:tc>
          <w:tcPr>
            <w:tcW w:w="1208" w:type="dxa"/>
            <w:noWrap/>
          </w:tcPr>
          <w:p w14:paraId="626FCEA6"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$1,850,000</w:t>
            </w:r>
          </w:p>
        </w:tc>
        <w:tc>
          <w:tcPr>
            <w:tcW w:w="1208" w:type="dxa"/>
            <w:noWrap/>
          </w:tcPr>
          <w:p w14:paraId="7657A0A0"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$3,060,768</w:t>
            </w:r>
          </w:p>
        </w:tc>
        <w:tc>
          <w:tcPr>
            <w:tcW w:w="1209" w:type="dxa"/>
            <w:noWrap/>
          </w:tcPr>
          <w:p w14:paraId="1ABA10AA"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$3,804,1</w:t>
            </w:r>
            <w:r>
              <w:rPr>
                <w:sz w:val="18"/>
                <w:szCs w:val="18"/>
              </w:rPr>
              <w:t>60</w:t>
            </w:r>
          </w:p>
        </w:tc>
        <w:tc>
          <w:tcPr>
            <w:tcW w:w="1208" w:type="dxa"/>
            <w:noWrap/>
          </w:tcPr>
          <w:p w14:paraId="6F1E0B05"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$3,857,50</w:t>
            </w:r>
            <w:r>
              <w:rPr>
                <w:sz w:val="18"/>
                <w:szCs w:val="18"/>
              </w:rPr>
              <w:t>1</w:t>
            </w:r>
          </w:p>
        </w:tc>
        <w:tc>
          <w:tcPr>
            <w:tcW w:w="1209" w:type="dxa"/>
          </w:tcPr>
          <w:p w14:paraId="6E99A0AC" w14:textId="77777777" w:rsidR="008E7A9A" w:rsidRPr="007F0938" w:rsidRDefault="008E7A9A">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$3,143,107</w:t>
            </w:r>
          </w:p>
        </w:tc>
      </w:tr>
      <w:tr w:rsidR="008E7A9A" w:rsidRPr="0033609E" w14:paraId="432DFCBA" w14:textId="77777777" w:rsidTr="00BD417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hideMark/>
          </w:tcPr>
          <w:p w14:paraId="56ED72E5" w14:textId="77777777" w:rsidR="008E7A9A" w:rsidRPr="00167B84" w:rsidRDefault="008E7A9A">
            <w:pPr>
              <w:pStyle w:val="TableText"/>
            </w:pPr>
            <w:r w:rsidRPr="00167B84">
              <w:t>Total expenditure</w:t>
            </w:r>
          </w:p>
        </w:tc>
        <w:tc>
          <w:tcPr>
            <w:tcW w:w="1208" w:type="dxa"/>
            <w:noWrap/>
            <w:hideMark/>
          </w:tcPr>
          <w:p w14:paraId="6E5DB03A"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$676,232</w:t>
            </w:r>
          </w:p>
        </w:tc>
        <w:tc>
          <w:tcPr>
            <w:tcW w:w="1208" w:type="dxa"/>
            <w:noWrap/>
            <w:hideMark/>
          </w:tcPr>
          <w:p w14:paraId="1B3E96A3"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$1,181,608</w:t>
            </w:r>
          </w:p>
        </w:tc>
        <w:tc>
          <w:tcPr>
            <w:tcW w:w="1209" w:type="dxa"/>
            <w:noWrap/>
            <w:hideMark/>
          </w:tcPr>
          <w:p w14:paraId="4B259E8A"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$1,906,659</w:t>
            </w:r>
          </w:p>
        </w:tc>
        <w:tc>
          <w:tcPr>
            <w:tcW w:w="1208" w:type="dxa"/>
            <w:noWrap/>
            <w:hideMark/>
          </w:tcPr>
          <w:p w14:paraId="7D3FFE3A"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$1,787,607</w:t>
            </w:r>
          </w:p>
        </w:tc>
        <w:tc>
          <w:tcPr>
            <w:tcW w:w="1209" w:type="dxa"/>
          </w:tcPr>
          <w:p w14:paraId="1B08FF11" w14:textId="77777777" w:rsidR="008E7A9A" w:rsidRPr="007F0938" w:rsidRDefault="008E7A9A">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$1,388,027</w:t>
            </w:r>
          </w:p>
        </w:tc>
      </w:tr>
      <w:tr w:rsidR="008E7A9A" w:rsidRPr="0033609E" w14:paraId="21745F59" w14:textId="77777777" w:rsidTr="00BD41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tcPr>
          <w:p w14:paraId="56454555" w14:textId="61CDCFE5" w:rsidR="008E7A9A" w:rsidRPr="00167B84" w:rsidRDefault="008E7A9A">
            <w:pPr>
              <w:pStyle w:val="TableText"/>
            </w:pPr>
            <w:r>
              <w:t xml:space="preserve">% </w:t>
            </w:r>
            <w:r w:rsidR="00E52AA8">
              <w:t>annual</w:t>
            </w:r>
            <w:r>
              <w:t xml:space="preserve"> grant spent</w:t>
            </w:r>
          </w:p>
        </w:tc>
        <w:tc>
          <w:tcPr>
            <w:tcW w:w="1208" w:type="dxa"/>
            <w:noWrap/>
          </w:tcPr>
          <w:p w14:paraId="3A81BEF2" w14:textId="77777777" w:rsidR="008E7A9A" w:rsidRPr="00A1721A"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A1721A">
              <w:rPr>
                <w:sz w:val="18"/>
                <w:szCs w:val="18"/>
              </w:rPr>
              <w:t>37%</w:t>
            </w:r>
          </w:p>
        </w:tc>
        <w:tc>
          <w:tcPr>
            <w:tcW w:w="1208" w:type="dxa"/>
            <w:noWrap/>
          </w:tcPr>
          <w:p w14:paraId="1E87276D" w14:textId="77777777" w:rsidR="008E7A9A" w:rsidRPr="00A1721A"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A1721A">
              <w:rPr>
                <w:sz w:val="18"/>
                <w:szCs w:val="18"/>
              </w:rPr>
              <w:t>63%</w:t>
            </w:r>
          </w:p>
        </w:tc>
        <w:tc>
          <w:tcPr>
            <w:tcW w:w="1209" w:type="dxa"/>
            <w:noWrap/>
          </w:tcPr>
          <w:p w14:paraId="42004E73" w14:textId="77777777" w:rsidR="008E7A9A" w:rsidRPr="00A1721A"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A1721A">
              <w:rPr>
                <w:sz w:val="18"/>
                <w:szCs w:val="18"/>
              </w:rPr>
              <w:t>99%</w:t>
            </w:r>
          </w:p>
        </w:tc>
        <w:tc>
          <w:tcPr>
            <w:tcW w:w="1208" w:type="dxa"/>
            <w:noWrap/>
          </w:tcPr>
          <w:p w14:paraId="20CE610E" w14:textId="77777777" w:rsidR="008E7A9A" w:rsidRPr="00A1721A"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A1721A">
              <w:rPr>
                <w:sz w:val="18"/>
                <w:szCs w:val="18"/>
              </w:rPr>
              <w:t>91%</w:t>
            </w:r>
          </w:p>
        </w:tc>
        <w:tc>
          <w:tcPr>
            <w:tcW w:w="1209" w:type="dxa"/>
          </w:tcPr>
          <w:p w14:paraId="286E104F" w14:textId="77777777" w:rsidR="008E7A9A" w:rsidRPr="007F0938" w:rsidRDefault="008E7A9A">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72%</w:t>
            </w:r>
          </w:p>
        </w:tc>
      </w:tr>
      <w:tr w:rsidR="008E7A9A" w:rsidRPr="0033609E" w14:paraId="070911CC" w14:textId="77777777" w:rsidTr="00BD417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tcPr>
          <w:p w14:paraId="087A991A" w14:textId="77777777" w:rsidR="008E7A9A" w:rsidRPr="00167B84" w:rsidRDefault="008E7A9A">
            <w:pPr>
              <w:pStyle w:val="TableText"/>
            </w:pPr>
            <w:r w:rsidRPr="00167B84">
              <w:t>% available funds spent</w:t>
            </w:r>
          </w:p>
        </w:tc>
        <w:tc>
          <w:tcPr>
            <w:tcW w:w="1208" w:type="dxa"/>
            <w:noWrap/>
          </w:tcPr>
          <w:p w14:paraId="62501DA9"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37%</w:t>
            </w:r>
          </w:p>
        </w:tc>
        <w:tc>
          <w:tcPr>
            <w:tcW w:w="1208" w:type="dxa"/>
            <w:noWrap/>
          </w:tcPr>
          <w:p w14:paraId="368EC479"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39%</w:t>
            </w:r>
          </w:p>
        </w:tc>
        <w:tc>
          <w:tcPr>
            <w:tcW w:w="1209" w:type="dxa"/>
            <w:noWrap/>
          </w:tcPr>
          <w:p w14:paraId="1E1414E6"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50%</w:t>
            </w:r>
          </w:p>
        </w:tc>
        <w:tc>
          <w:tcPr>
            <w:tcW w:w="1208" w:type="dxa"/>
            <w:noWrap/>
          </w:tcPr>
          <w:p w14:paraId="03728537"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46%</w:t>
            </w:r>
          </w:p>
        </w:tc>
        <w:tc>
          <w:tcPr>
            <w:tcW w:w="1209" w:type="dxa"/>
          </w:tcPr>
          <w:p w14:paraId="5B6D314C" w14:textId="77777777" w:rsidR="008E7A9A" w:rsidRPr="007F0938" w:rsidRDefault="008E7A9A">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43%</w:t>
            </w:r>
          </w:p>
        </w:tc>
      </w:tr>
      <w:tr w:rsidR="008E7A9A" w:rsidRPr="0033609E" w14:paraId="0CEBE68E" w14:textId="77777777" w:rsidTr="00BD4171">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171" w:type="dxa"/>
            <w:noWrap/>
            <w:hideMark/>
          </w:tcPr>
          <w:p w14:paraId="01FC62C8" w14:textId="77777777" w:rsidR="008E7A9A" w:rsidRPr="00CA77D5" w:rsidRDefault="008E7A9A">
            <w:pPr>
              <w:pStyle w:val="TableText"/>
            </w:pPr>
            <w:r w:rsidRPr="00CA77D5">
              <w:t>Surplus</w:t>
            </w:r>
          </w:p>
        </w:tc>
        <w:tc>
          <w:tcPr>
            <w:tcW w:w="1208" w:type="dxa"/>
            <w:noWrap/>
            <w:hideMark/>
          </w:tcPr>
          <w:p w14:paraId="4A663174"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$1,173,768</w:t>
            </w:r>
          </w:p>
        </w:tc>
        <w:tc>
          <w:tcPr>
            <w:tcW w:w="1208" w:type="dxa"/>
            <w:noWrap/>
            <w:hideMark/>
          </w:tcPr>
          <w:p w14:paraId="4D83FBB8"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$705,39</w:t>
            </w:r>
            <w:r>
              <w:rPr>
                <w:sz w:val="18"/>
                <w:szCs w:val="18"/>
              </w:rPr>
              <w:t>2</w:t>
            </w:r>
          </w:p>
        </w:tc>
        <w:tc>
          <w:tcPr>
            <w:tcW w:w="1209" w:type="dxa"/>
            <w:noWrap/>
            <w:hideMark/>
          </w:tcPr>
          <w:p w14:paraId="5B5CA4BF"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$18,34</w:t>
            </w:r>
            <w:r>
              <w:rPr>
                <w:sz w:val="18"/>
                <w:szCs w:val="18"/>
              </w:rPr>
              <w:t>1</w:t>
            </w:r>
          </w:p>
        </w:tc>
        <w:tc>
          <w:tcPr>
            <w:tcW w:w="1208" w:type="dxa"/>
            <w:noWrap/>
            <w:hideMark/>
          </w:tcPr>
          <w:p w14:paraId="0C292A9A"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$172,39</w:t>
            </w:r>
            <w:r>
              <w:rPr>
                <w:sz w:val="18"/>
                <w:szCs w:val="18"/>
              </w:rPr>
              <w:t>3</w:t>
            </w:r>
          </w:p>
        </w:tc>
        <w:tc>
          <w:tcPr>
            <w:tcW w:w="1209" w:type="dxa"/>
          </w:tcPr>
          <w:p w14:paraId="2254090C" w14:textId="77777777" w:rsidR="008E7A9A" w:rsidRPr="007F0938" w:rsidRDefault="008E7A9A">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$517,473</w:t>
            </w:r>
          </w:p>
        </w:tc>
      </w:tr>
      <w:tr w:rsidR="008E7A9A" w:rsidRPr="0033609E" w14:paraId="542BF4C3" w14:textId="77777777" w:rsidTr="00BD417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hideMark/>
          </w:tcPr>
          <w:p w14:paraId="50F89D37" w14:textId="77777777" w:rsidR="008E7A9A" w:rsidRPr="00CA77D5" w:rsidRDefault="008E7A9A">
            <w:pPr>
              <w:pStyle w:val="TableText"/>
            </w:pPr>
            <w:r w:rsidRPr="00CA77D5">
              <w:t>Closing balance</w:t>
            </w:r>
          </w:p>
        </w:tc>
        <w:tc>
          <w:tcPr>
            <w:tcW w:w="1208" w:type="dxa"/>
            <w:noWrap/>
            <w:hideMark/>
          </w:tcPr>
          <w:p w14:paraId="6CB439B1"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$1,173,768</w:t>
            </w:r>
          </w:p>
        </w:tc>
        <w:tc>
          <w:tcPr>
            <w:tcW w:w="1208" w:type="dxa"/>
            <w:noWrap/>
            <w:hideMark/>
          </w:tcPr>
          <w:p w14:paraId="59163F06"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$1,879,1</w:t>
            </w:r>
            <w:r>
              <w:rPr>
                <w:sz w:val="18"/>
                <w:szCs w:val="18"/>
              </w:rPr>
              <w:t>60</w:t>
            </w:r>
          </w:p>
        </w:tc>
        <w:tc>
          <w:tcPr>
            <w:tcW w:w="1209" w:type="dxa"/>
            <w:noWrap/>
            <w:hideMark/>
          </w:tcPr>
          <w:p w14:paraId="457CAF9B"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$1,897,50</w:t>
            </w:r>
            <w:r>
              <w:rPr>
                <w:sz w:val="18"/>
                <w:szCs w:val="18"/>
              </w:rPr>
              <w:t>1</w:t>
            </w:r>
          </w:p>
        </w:tc>
        <w:tc>
          <w:tcPr>
            <w:tcW w:w="1208" w:type="dxa"/>
            <w:noWrap/>
            <w:hideMark/>
          </w:tcPr>
          <w:p w14:paraId="5B69B2C3"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$2,069,893</w:t>
            </w:r>
          </w:p>
        </w:tc>
        <w:tc>
          <w:tcPr>
            <w:tcW w:w="1209" w:type="dxa"/>
          </w:tcPr>
          <w:p w14:paraId="00FBBA6F" w14:textId="77777777" w:rsidR="008E7A9A" w:rsidRPr="007F0938" w:rsidRDefault="008E7A9A">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$1,237,607</w:t>
            </w:r>
          </w:p>
        </w:tc>
      </w:tr>
    </w:tbl>
    <w:p w14:paraId="3559BEC6" w14:textId="005516EF" w:rsidR="008E7A9A" w:rsidRDefault="008E7A9A" w:rsidP="008E7A9A">
      <w:pPr>
        <w:pStyle w:val="Tablenotes"/>
      </w:pPr>
      <w:r>
        <w:t>Sources: Aged Care Audit Financials and Financial Declarations for 2021–24, 2021–22, 2022–23, 2024–25, and Dec</w:t>
      </w:r>
      <w:r w:rsidR="00D60553">
        <w:t>ember</w:t>
      </w:r>
      <w:r>
        <w:t xml:space="preserve"> 24–June 25.</w:t>
      </w:r>
    </w:p>
    <w:p w14:paraId="471A7BBB" w14:textId="7B96D631" w:rsidR="0048251D" w:rsidRDefault="006763BB" w:rsidP="00D51C88">
      <w:pPr>
        <w:pStyle w:val="Findings"/>
        <w:rPr>
          <w:lang w:eastAsia="en-AU"/>
        </w:rPr>
      </w:pPr>
      <w:r w:rsidRPr="006763BB">
        <w:rPr>
          <w:lang w:eastAsia="en-AU"/>
        </w:rPr>
        <w:t xml:space="preserve">Although annualised funds were largely expended beyond program implementation, PEPA Aged Care was unable to scale delivery </w:t>
      </w:r>
      <w:r w:rsidR="0055361C">
        <w:rPr>
          <w:lang w:eastAsia="en-AU"/>
        </w:rPr>
        <w:t>to meet program demand</w:t>
      </w:r>
      <w:r w:rsidRPr="006763BB">
        <w:rPr>
          <w:lang w:eastAsia="en-AU"/>
        </w:rPr>
        <w:t xml:space="preserve">. </w:t>
      </w:r>
      <w:r w:rsidR="00397780">
        <w:rPr>
          <w:lang w:eastAsia="en-AU"/>
        </w:rPr>
        <w:t>This was reflected in p</w:t>
      </w:r>
      <w:r w:rsidRPr="006763BB">
        <w:rPr>
          <w:lang w:eastAsia="en-AU"/>
        </w:rPr>
        <w:t>ersistent waiting lists</w:t>
      </w:r>
      <w:r w:rsidR="00B1212E">
        <w:rPr>
          <w:lang w:eastAsia="en-AU"/>
        </w:rPr>
        <w:t xml:space="preserve"> and the accumulation of unexpended funds</w:t>
      </w:r>
      <w:r w:rsidR="00DB64B7">
        <w:rPr>
          <w:lang w:eastAsia="en-AU"/>
        </w:rPr>
        <w:t>, indicating capacity and delivery limitations</w:t>
      </w:r>
      <w:r w:rsidR="00397780">
        <w:rPr>
          <w:lang w:eastAsia="en-AU"/>
        </w:rPr>
        <w:t>.</w:t>
      </w:r>
      <w:r w:rsidRPr="006763BB">
        <w:rPr>
          <w:lang w:eastAsia="en-AU"/>
        </w:rPr>
        <w:t xml:space="preserve"> </w:t>
      </w:r>
    </w:p>
    <w:p w14:paraId="56979B4D" w14:textId="2127B4F9" w:rsidR="00FB1949" w:rsidRDefault="00AF1266" w:rsidP="00204D87">
      <w:r>
        <w:fldChar w:fldCharType="begin"/>
      </w:r>
      <w:r>
        <w:instrText xml:space="preserve"> REF _Ref214276001 \h </w:instrText>
      </w:r>
      <w:r>
        <w:fldChar w:fldCharType="separate"/>
      </w:r>
      <w:r w:rsidR="00167BA0">
        <w:t xml:space="preserve">Table </w:t>
      </w:r>
      <w:r w:rsidR="00167BA0">
        <w:rPr>
          <w:noProof/>
        </w:rPr>
        <w:t>7</w:t>
      </w:r>
      <w:r w:rsidR="00167BA0">
        <w:t>.</w:t>
      </w:r>
      <w:r w:rsidR="00167BA0">
        <w:rPr>
          <w:noProof/>
        </w:rPr>
        <w:t>2</w:t>
      </w:r>
      <w:r>
        <w:fldChar w:fldCharType="end"/>
      </w:r>
      <w:r w:rsidR="008A1DBD">
        <w:t xml:space="preserve"> presents aggregated budget</w:t>
      </w:r>
      <w:r w:rsidR="00126ECD">
        <w:t>s</w:t>
      </w:r>
      <w:r w:rsidR="008A1DBD">
        <w:t xml:space="preserve"> and expenditure</w:t>
      </w:r>
      <w:r w:rsidR="00126ECD">
        <w:t>s</w:t>
      </w:r>
      <w:r w:rsidR="008A1DBD">
        <w:t xml:space="preserve"> by </w:t>
      </w:r>
      <w:r w:rsidR="00126ECD">
        <w:t xml:space="preserve">cost type for PEPA Aged Care from 2021–22 to 2024–25. Additional breakdowns by financial year are provided in </w:t>
      </w:r>
      <w:r w:rsidR="00F65CEC">
        <w:fldChar w:fldCharType="begin"/>
      </w:r>
      <w:r w:rsidR="00F65CEC">
        <w:instrText xml:space="preserve"> REF _Ref216796962 \h </w:instrText>
      </w:r>
      <w:r w:rsidR="00F65CEC">
        <w:fldChar w:fldCharType="separate"/>
      </w:r>
      <w:r w:rsidR="00167BA0">
        <w:t xml:space="preserve">Table </w:t>
      </w:r>
      <w:r w:rsidR="00167BA0">
        <w:rPr>
          <w:noProof/>
        </w:rPr>
        <w:t>9</w:t>
      </w:r>
      <w:r w:rsidR="00167BA0">
        <w:t>.</w:t>
      </w:r>
      <w:r w:rsidR="00167BA0">
        <w:rPr>
          <w:noProof/>
        </w:rPr>
        <w:t>15</w:t>
      </w:r>
      <w:r w:rsidR="00F65CEC">
        <w:fldChar w:fldCharType="end"/>
      </w:r>
      <w:r w:rsidR="00B55D18">
        <w:t xml:space="preserve">, </w:t>
      </w:r>
      <w:r w:rsidR="00B55D18">
        <w:fldChar w:fldCharType="begin"/>
      </w:r>
      <w:r w:rsidR="00B55D18">
        <w:instrText xml:space="preserve"> REF _Ref214614002 \n \h </w:instrText>
      </w:r>
      <w:r w:rsidR="00B55D18">
        <w:fldChar w:fldCharType="separate"/>
      </w:r>
      <w:r w:rsidR="00167BA0">
        <w:t>Appendix C</w:t>
      </w:r>
      <w:r w:rsidR="00B55D18">
        <w:fldChar w:fldCharType="end"/>
      </w:r>
      <w:r w:rsidR="00126ECD">
        <w:t>.</w:t>
      </w:r>
    </w:p>
    <w:p w14:paraId="1DF60303" w14:textId="4C7284A8" w:rsidR="00181DE5" w:rsidRDefault="00126ECD" w:rsidP="00204D87">
      <w:r>
        <w:lastRenderedPageBreak/>
        <w:t>S</w:t>
      </w:r>
      <w:r w:rsidR="00D3382F">
        <w:t>alaries accounted for the largest share of expenditure (</w:t>
      </w:r>
      <w:r w:rsidR="00FA384F">
        <w:t>53</w:t>
      </w:r>
      <w:r w:rsidR="00D3382F">
        <w:t>% of actual spend), with 78% of the allocated budget used</w:t>
      </w:r>
      <w:r>
        <w:t xml:space="preserve"> over the evaluation period</w:t>
      </w:r>
      <w:r w:rsidR="00D3382F">
        <w:t xml:space="preserve">. </w:t>
      </w:r>
      <w:r w:rsidR="00181DE5">
        <w:t xml:space="preserve">Staffing costs increased </w:t>
      </w:r>
      <w:r w:rsidR="00032987">
        <w:t>significantly</w:t>
      </w:r>
      <w:r w:rsidR="00181DE5">
        <w:t xml:space="preserve"> as the program scaled,</w:t>
      </w:r>
      <w:r w:rsidR="00032987">
        <w:t xml:space="preserve"> reflecting growth in headcount (from six to 11</w:t>
      </w:r>
      <w:r w:rsidR="00AD28AB">
        <w:t xml:space="preserve"> staff</w:t>
      </w:r>
      <w:r w:rsidR="00032987">
        <w:t>)</w:t>
      </w:r>
      <w:r w:rsidR="00181DE5">
        <w:t xml:space="preserve"> </w:t>
      </w:r>
      <w:r w:rsidR="00032987">
        <w:t>and</w:t>
      </w:r>
      <w:r w:rsidR="00AD28AB">
        <w:t xml:space="preserve"> total</w:t>
      </w:r>
      <w:r w:rsidR="00032987">
        <w:t xml:space="preserve"> FTE (from 4.2 to 7.9</w:t>
      </w:r>
      <w:r w:rsidR="00674F78">
        <w:t xml:space="preserve">; </w:t>
      </w:r>
      <w:r w:rsidR="002831AB">
        <w:fldChar w:fldCharType="begin"/>
      </w:r>
      <w:r w:rsidR="002831AB">
        <w:instrText xml:space="preserve"> REF _Ref216949742 \h </w:instrText>
      </w:r>
      <w:r w:rsidR="002831AB">
        <w:fldChar w:fldCharType="separate"/>
      </w:r>
      <w:r w:rsidR="00167BA0">
        <w:t xml:space="preserve">Table </w:t>
      </w:r>
      <w:r w:rsidR="00167BA0">
        <w:rPr>
          <w:noProof/>
        </w:rPr>
        <w:t>9</w:t>
      </w:r>
      <w:r w:rsidR="00167BA0">
        <w:t>.</w:t>
      </w:r>
      <w:r w:rsidR="00167BA0">
        <w:rPr>
          <w:noProof/>
        </w:rPr>
        <w:t>17</w:t>
      </w:r>
      <w:r w:rsidR="002831AB">
        <w:fldChar w:fldCharType="end"/>
      </w:r>
      <w:r w:rsidR="002831AB">
        <w:t xml:space="preserve">, </w:t>
      </w:r>
      <w:r w:rsidR="002831AB">
        <w:fldChar w:fldCharType="begin"/>
      </w:r>
      <w:r w:rsidR="002831AB">
        <w:instrText xml:space="preserve"> REF _Ref216948390 \n \h </w:instrText>
      </w:r>
      <w:r w:rsidR="002831AB">
        <w:fldChar w:fldCharType="separate"/>
      </w:r>
      <w:r w:rsidR="00167BA0">
        <w:t>Appendix C</w:t>
      </w:r>
      <w:r w:rsidR="002831AB">
        <w:fldChar w:fldCharType="end"/>
      </w:r>
      <w:r w:rsidR="00032987">
        <w:t>)</w:t>
      </w:r>
      <w:r w:rsidR="004870F8">
        <w:t xml:space="preserve">. </w:t>
      </w:r>
      <w:r w:rsidR="00674F78">
        <w:t>Nurse</w:t>
      </w:r>
      <w:r w:rsidR="004870F8">
        <w:t xml:space="preserve"> educators </w:t>
      </w:r>
      <w:r w:rsidR="003B2E5A">
        <w:t xml:space="preserve">accounted for </w:t>
      </w:r>
      <w:proofErr w:type="gramStart"/>
      <w:r w:rsidR="003B2E5A">
        <w:t>the majority of</w:t>
      </w:r>
      <w:proofErr w:type="gramEnd"/>
      <w:r w:rsidR="003B2E5A">
        <w:t xml:space="preserve"> salary costs (over 92%), with </w:t>
      </w:r>
      <w:r w:rsidR="00CE3356">
        <w:t>relatively small allocations</w:t>
      </w:r>
      <w:r w:rsidR="002B47F8">
        <w:t xml:space="preserve"> for research and administrative roles</w:t>
      </w:r>
      <w:r w:rsidR="00674F78">
        <w:t>.</w:t>
      </w:r>
    </w:p>
    <w:p w14:paraId="1D5D438C" w14:textId="30444E67" w:rsidR="00204D87" w:rsidRDefault="00204D87" w:rsidP="00204D87">
      <w:r>
        <w:t xml:space="preserve">PEPA Aged Care </w:t>
      </w:r>
      <w:r w:rsidR="00CE3356">
        <w:t xml:space="preserve">also </w:t>
      </w:r>
      <w:r>
        <w:t>benefited from cost-sharing arrangement</w:t>
      </w:r>
      <w:r w:rsidR="00CE3356">
        <w:t>s</w:t>
      </w:r>
      <w:r>
        <w:t xml:space="preserve"> with other programs delivered by QUT, </w:t>
      </w:r>
      <w:r w:rsidR="009F1F3F">
        <w:t xml:space="preserve">most </w:t>
      </w:r>
      <w:r>
        <w:t xml:space="preserve">notably </w:t>
      </w:r>
      <w:r w:rsidR="00CE3356">
        <w:t xml:space="preserve">the provision of </w:t>
      </w:r>
      <w:r w:rsidR="009F1F3F">
        <w:t>an i</w:t>
      </w:r>
      <w:r>
        <w:t xml:space="preserve">n-kind </w:t>
      </w:r>
      <w:r w:rsidR="009F1F3F">
        <w:t>0.5 FTE</w:t>
      </w:r>
      <w:r>
        <w:t xml:space="preserve"> managerial role funded </w:t>
      </w:r>
      <w:r w:rsidR="008415D4">
        <w:t xml:space="preserve">through </w:t>
      </w:r>
      <w:r>
        <w:t>PEPA/IPEPA. This arrangement resulted in an estimated 10% reduction in salary expenditure over</w:t>
      </w:r>
      <w:r w:rsidR="008415D4">
        <w:t xml:space="preserve"> the evaluation period</w:t>
      </w:r>
      <w:r>
        <w:t>, equating to approximately $293,816 in avoided costs (</w:t>
      </w:r>
      <w:r w:rsidR="00301173">
        <w:fldChar w:fldCharType="begin"/>
      </w:r>
      <w:r w:rsidR="00301173">
        <w:instrText xml:space="preserve"> REF _Ref214353090 \h </w:instrText>
      </w:r>
      <w:r w:rsidR="00301173">
        <w:fldChar w:fldCharType="separate"/>
      </w:r>
      <w:r w:rsidR="00167BA0">
        <w:t xml:space="preserve">Table </w:t>
      </w:r>
      <w:r w:rsidR="00167BA0">
        <w:rPr>
          <w:noProof/>
        </w:rPr>
        <w:t>9</w:t>
      </w:r>
      <w:r w:rsidR="00167BA0">
        <w:t>.</w:t>
      </w:r>
      <w:r w:rsidR="00167BA0">
        <w:rPr>
          <w:noProof/>
        </w:rPr>
        <w:t>16</w:t>
      </w:r>
      <w:r w:rsidR="00301173">
        <w:fldChar w:fldCharType="end"/>
      </w:r>
      <w:r w:rsidR="00301173">
        <w:t xml:space="preserve">, </w:t>
      </w:r>
      <w:r w:rsidR="00301173">
        <w:fldChar w:fldCharType="begin"/>
      </w:r>
      <w:r w:rsidR="00301173">
        <w:instrText xml:space="preserve"> REF _Ref216948390 \n \h </w:instrText>
      </w:r>
      <w:r w:rsidR="00301173">
        <w:fldChar w:fldCharType="separate"/>
      </w:r>
      <w:r w:rsidR="00167BA0">
        <w:t>Appendix C</w:t>
      </w:r>
      <w:r w:rsidR="00301173">
        <w:fldChar w:fldCharType="end"/>
      </w:r>
      <w:r>
        <w:t xml:space="preserve">). Without this </w:t>
      </w:r>
      <w:r w:rsidR="008415D4">
        <w:t>contribution</w:t>
      </w:r>
      <w:r>
        <w:t>, salary costs would have increased by 7–22% annually.</w:t>
      </w:r>
    </w:p>
    <w:p w14:paraId="1DF51440" w14:textId="77BB70BB" w:rsidR="00204D87" w:rsidRDefault="00204D87" w:rsidP="00204D87">
      <w:r>
        <w:t xml:space="preserve">Further efficiencies were gained </w:t>
      </w:r>
      <w:r w:rsidR="003F56D3">
        <w:t>by</w:t>
      </w:r>
      <w:r>
        <w:t xml:space="preserve"> sharing resources and infrastructure with other PEPA programs, including office space, </w:t>
      </w:r>
      <w:r w:rsidR="001476C7">
        <w:t xml:space="preserve">a </w:t>
      </w:r>
      <w:r>
        <w:t>learning management system, and printed materials. While the total value of these shared contributions was not available, data indicated that PEPA Aged Care contributed only a portion of the overall costs, suggesting additional cost</w:t>
      </w:r>
      <w:r w:rsidR="00504324">
        <w:t xml:space="preserve"> </w:t>
      </w:r>
      <w:r>
        <w:t>efficiencies.</w:t>
      </w:r>
    </w:p>
    <w:p w14:paraId="1ACA55CC" w14:textId="57304D1B" w:rsidR="00247AE5" w:rsidRDefault="00CE49F0" w:rsidP="00C07E9A">
      <w:r w:rsidRPr="006132E1">
        <w:t xml:space="preserve">Several </w:t>
      </w:r>
      <w:r w:rsidR="00473114">
        <w:t>budget line items</w:t>
      </w:r>
      <w:r w:rsidR="00241DB5">
        <w:t xml:space="preserve"> re</w:t>
      </w:r>
      <w:r w:rsidR="006132E1" w:rsidRPr="006132E1">
        <w:t xml:space="preserve">corded expenditure </w:t>
      </w:r>
      <w:r w:rsidR="005C1DE3">
        <w:t xml:space="preserve">significantly </w:t>
      </w:r>
      <w:r w:rsidR="006132E1" w:rsidRPr="006132E1">
        <w:t>below their allocated budgets</w:t>
      </w:r>
      <w:r w:rsidR="00E1046F">
        <w:t xml:space="preserve">, </w:t>
      </w:r>
      <w:r w:rsidR="00D84B5D">
        <w:t>indicating</w:t>
      </w:r>
      <w:r w:rsidR="00E1046F">
        <w:t xml:space="preserve"> over-allocation or underutilisation</w:t>
      </w:r>
      <w:r w:rsidR="006132E1" w:rsidRPr="006132E1">
        <w:t>. Education design and implementation accounted for only 15% of its allocation, with limited activity in two of the four years (</w:t>
      </w:r>
      <w:r w:rsidR="00F65CEC">
        <w:fldChar w:fldCharType="begin"/>
      </w:r>
      <w:r w:rsidR="00F65CEC">
        <w:instrText xml:space="preserve"> REF _Ref216796962 \h </w:instrText>
      </w:r>
      <w:r w:rsidR="00F65CEC">
        <w:fldChar w:fldCharType="separate"/>
      </w:r>
      <w:r w:rsidR="00167BA0">
        <w:t xml:space="preserve">Table </w:t>
      </w:r>
      <w:r w:rsidR="00167BA0">
        <w:rPr>
          <w:noProof/>
        </w:rPr>
        <w:t>9</w:t>
      </w:r>
      <w:r w:rsidR="00167BA0">
        <w:t>.</w:t>
      </w:r>
      <w:r w:rsidR="00167BA0">
        <w:rPr>
          <w:noProof/>
        </w:rPr>
        <w:t>15</w:t>
      </w:r>
      <w:r w:rsidR="00F65CEC">
        <w:fldChar w:fldCharType="end"/>
      </w:r>
      <w:r w:rsidR="00F65CEC">
        <w:t xml:space="preserve">, </w:t>
      </w:r>
      <w:r w:rsidR="00B55D18">
        <w:fldChar w:fldCharType="begin"/>
      </w:r>
      <w:r w:rsidR="00B55D18">
        <w:instrText xml:space="preserve"> REF _Ref214614002 \n \h </w:instrText>
      </w:r>
      <w:r w:rsidR="00B55D18">
        <w:fldChar w:fldCharType="separate"/>
      </w:r>
      <w:r w:rsidR="00167BA0">
        <w:t>Appendix C</w:t>
      </w:r>
      <w:r w:rsidR="00B55D18">
        <w:fldChar w:fldCharType="end"/>
      </w:r>
      <w:r w:rsidR="006132E1" w:rsidRPr="006132E1">
        <w:t>). Consumables were also underspent</w:t>
      </w:r>
      <w:r w:rsidR="00E25C6A">
        <w:t>, accounting for</w:t>
      </w:r>
      <w:r w:rsidR="006132E1" w:rsidRPr="006132E1">
        <w:t xml:space="preserve"> 26% of </w:t>
      </w:r>
      <w:r w:rsidR="00751222">
        <w:t xml:space="preserve">the </w:t>
      </w:r>
      <w:r w:rsidR="006132E1" w:rsidRPr="006132E1">
        <w:t>budget</w:t>
      </w:r>
      <w:r w:rsidR="00751222">
        <w:t>ed costs</w:t>
      </w:r>
      <w:r w:rsidR="006132E1">
        <w:t>.</w:t>
      </w:r>
      <w:r w:rsidR="007C3F4B">
        <w:t xml:space="preserve"> </w:t>
      </w:r>
      <w:r w:rsidR="00247AE5">
        <w:t>Participating site grants were</w:t>
      </w:r>
      <w:r w:rsidR="00386653">
        <w:t xml:space="preserve"> also</w:t>
      </w:r>
      <w:r w:rsidR="00247AE5">
        <w:t xml:space="preserve"> underutilised</w:t>
      </w:r>
      <w:r w:rsidR="00386653">
        <w:t>. While $1.15 million</w:t>
      </w:r>
      <w:r w:rsidR="00260ABA">
        <w:t xml:space="preserve"> was allocated</w:t>
      </w:r>
      <w:r w:rsidR="00D84B5D">
        <w:t xml:space="preserve"> for these grants</w:t>
      </w:r>
      <w:r w:rsidR="00260ABA">
        <w:t>, only 55% was expended. The average grant per completed placement was</w:t>
      </w:r>
      <w:r w:rsidR="00A16D97">
        <w:t xml:space="preserve"> $988</w:t>
      </w:r>
      <w:r w:rsidR="00030404">
        <w:t>,</w:t>
      </w:r>
      <w:r w:rsidR="00260ABA">
        <w:t xml:space="preserve"> </w:t>
      </w:r>
      <w:r w:rsidR="00121037">
        <w:t>compared with the planne</w:t>
      </w:r>
      <w:r w:rsidR="00030404">
        <w:t>d $4,000</w:t>
      </w:r>
      <w:r w:rsidR="00804A9A">
        <w:t>–</w:t>
      </w:r>
      <w:r w:rsidR="00A16D97">
        <w:t>$4,500 per site (</w:t>
      </w:r>
      <w:r w:rsidR="00F65CEC">
        <w:fldChar w:fldCharType="begin"/>
      </w:r>
      <w:r w:rsidR="00F65CEC">
        <w:instrText xml:space="preserve"> REF _Ref216796962 \h </w:instrText>
      </w:r>
      <w:r w:rsidR="00F65CEC">
        <w:fldChar w:fldCharType="separate"/>
      </w:r>
      <w:r w:rsidR="00167BA0">
        <w:t xml:space="preserve">Table </w:t>
      </w:r>
      <w:r w:rsidR="00167BA0">
        <w:rPr>
          <w:noProof/>
        </w:rPr>
        <w:t>9</w:t>
      </w:r>
      <w:r w:rsidR="00167BA0">
        <w:t>.</w:t>
      </w:r>
      <w:r w:rsidR="00167BA0">
        <w:rPr>
          <w:noProof/>
        </w:rPr>
        <w:t>15</w:t>
      </w:r>
      <w:r w:rsidR="00F65CEC">
        <w:fldChar w:fldCharType="end"/>
      </w:r>
      <w:r w:rsidR="00F65CEC">
        <w:t xml:space="preserve">, </w:t>
      </w:r>
      <w:r w:rsidR="007E7932">
        <w:fldChar w:fldCharType="begin"/>
      </w:r>
      <w:r w:rsidR="007E7932">
        <w:instrText xml:space="preserve"> REF _Ref214614002 \n \h </w:instrText>
      </w:r>
      <w:r w:rsidR="007E7932">
        <w:fldChar w:fldCharType="separate"/>
      </w:r>
      <w:r w:rsidR="00167BA0">
        <w:t>Appendix C</w:t>
      </w:r>
      <w:r w:rsidR="007E7932">
        <w:fldChar w:fldCharType="end"/>
      </w:r>
      <w:r w:rsidR="00A16D97">
        <w:t xml:space="preserve">). </w:t>
      </w:r>
      <w:r w:rsidR="000827FC">
        <w:t xml:space="preserve">Data on the </w:t>
      </w:r>
      <w:r w:rsidR="009F7DC6">
        <w:t>number of sites that received grant funding or on the reasons for opting out were not available for</w:t>
      </w:r>
      <w:r w:rsidR="00C07E9A">
        <w:t xml:space="preserve"> the evaluation. However, one large case study site </w:t>
      </w:r>
      <w:r w:rsidR="00055E3E">
        <w:t xml:space="preserve">reported </w:t>
      </w:r>
      <w:r w:rsidR="00A11456">
        <w:t>declining funds</w:t>
      </w:r>
      <w:r w:rsidR="00C20E6E">
        <w:t xml:space="preserve"> </w:t>
      </w:r>
      <w:r w:rsidR="00224AEE">
        <w:t>to</w:t>
      </w:r>
      <w:r w:rsidR="00DC36DB">
        <w:t xml:space="preserve"> </w:t>
      </w:r>
      <w:r w:rsidR="00C20E6E">
        <w:t xml:space="preserve">redirect </w:t>
      </w:r>
      <w:r w:rsidR="00DC36DB">
        <w:t>availability</w:t>
      </w:r>
      <w:r w:rsidR="00C20E6E">
        <w:t xml:space="preserve"> to smaller </w:t>
      </w:r>
      <w:r w:rsidR="00DC36DB">
        <w:t>sites</w:t>
      </w:r>
      <w:r w:rsidR="00055E3E">
        <w:t>.</w:t>
      </w:r>
      <w:r w:rsidR="00F75A66">
        <w:t xml:space="preserve"> </w:t>
      </w:r>
      <w:r w:rsidR="00F77797">
        <w:t xml:space="preserve">This suggests </w:t>
      </w:r>
      <w:r w:rsidR="008B54AD">
        <w:t xml:space="preserve">that the </w:t>
      </w:r>
      <w:r w:rsidR="00017288">
        <w:t xml:space="preserve">design and utilisation of the </w:t>
      </w:r>
      <w:r w:rsidR="008B54AD">
        <w:t xml:space="preserve">site funding mechanism may </w:t>
      </w:r>
      <w:r w:rsidR="00017288">
        <w:t xml:space="preserve">not have </w:t>
      </w:r>
      <w:r w:rsidR="00F75A66">
        <w:t>align</w:t>
      </w:r>
      <w:r w:rsidR="00725161">
        <w:t>ed fully</w:t>
      </w:r>
      <w:r w:rsidR="00F75A66">
        <w:t xml:space="preserve"> with site needs</w:t>
      </w:r>
      <w:r w:rsidR="005E7E4C">
        <w:t xml:space="preserve"> </w:t>
      </w:r>
      <w:r w:rsidR="00725161">
        <w:t>during the evaluation period</w:t>
      </w:r>
      <w:r w:rsidR="00F75A66">
        <w:t>.</w:t>
      </w:r>
    </w:p>
    <w:p w14:paraId="16439E51" w14:textId="748F63A3" w:rsidR="00B01328" w:rsidRDefault="00222B79" w:rsidP="00C07E9A">
      <w:r>
        <w:t xml:space="preserve">Marketing </w:t>
      </w:r>
      <w:r w:rsidR="00526453">
        <w:t>expenditure</w:t>
      </w:r>
      <w:r>
        <w:t xml:space="preserve"> rose substantially in 2023–24 and 2024–25, </w:t>
      </w:r>
      <w:r w:rsidR="00762232">
        <w:t>aligning with program scale-up</w:t>
      </w:r>
      <w:r w:rsidR="00962819">
        <w:t xml:space="preserve"> (</w:t>
      </w:r>
      <w:r w:rsidR="00F65CEC">
        <w:fldChar w:fldCharType="begin"/>
      </w:r>
      <w:r w:rsidR="00F65CEC">
        <w:instrText xml:space="preserve"> REF _Ref216796962 \h </w:instrText>
      </w:r>
      <w:r w:rsidR="00F65CEC">
        <w:fldChar w:fldCharType="separate"/>
      </w:r>
      <w:r w:rsidR="00167BA0">
        <w:t xml:space="preserve">Table </w:t>
      </w:r>
      <w:r w:rsidR="00167BA0">
        <w:rPr>
          <w:noProof/>
        </w:rPr>
        <w:t>9</w:t>
      </w:r>
      <w:r w:rsidR="00167BA0">
        <w:t>.</w:t>
      </w:r>
      <w:r w:rsidR="00167BA0">
        <w:rPr>
          <w:noProof/>
        </w:rPr>
        <w:t>15</w:t>
      </w:r>
      <w:r w:rsidR="00F65CEC">
        <w:fldChar w:fldCharType="end"/>
      </w:r>
      <w:r w:rsidR="00F65CEC">
        <w:t xml:space="preserve">, </w:t>
      </w:r>
      <w:r w:rsidR="007E7932">
        <w:fldChar w:fldCharType="begin"/>
      </w:r>
      <w:r w:rsidR="007E7932">
        <w:instrText xml:space="preserve"> REF _Ref214614002 \n \h </w:instrText>
      </w:r>
      <w:r w:rsidR="007E7932">
        <w:fldChar w:fldCharType="separate"/>
      </w:r>
      <w:r w:rsidR="00167BA0">
        <w:t>Appendix C</w:t>
      </w:r>
      <w:r w:rsidR="007E7932">
        <w:fldChar w:fldCharType="end"/>
      </w:r>
      <w:r w:rsidR="00962819">
        <w:t xml:space="preserve">). </w:t>
      </w:r>
      <w:r w:rsidR="000D2333">
        <w:t xml:space="preserve">Despite this growth, marketing represented a small share </w:t>
      </w:r>
      <w:r w:rsidR="00FB10B3">
        <w:t xml:space="preserve">(approximately 2%) </w:t>
      </w:r>
      <w:r w:rsidR="000D2333">
        <w:t xml:space="preserve">of total program expenditure </w:t>
      </w:r>
      <w:r w:rsidR="00C847D6">
        <w:t xml:space="preserve">and </w:t>
      </w:r>
      <w:r w:rsidR="00F479C4">
        <w:t>utilised only 69% of allocated funding</w:t>
      </w:r>
      <w:r w:rsidR="00F73D43">
        <w:t xml:space="preserve">. This reflects </w:t>
      </w:r>
      <w:r w:rsidR="00B120AF">
        <w:t>the deliberate choice to rely on</w:t>
      </w:r>
      <w:r w:rsidR="00051180">
        <w:t xml:space="preserve"> existing</w:t>
      </w:r>
      <w:r w:rsidR="00B120AF">
        <w:t xml:space="preserve"> low-cost channels, such as PEPA </w:t>
      </w:r>
      <w:r w:rsidR="00307F6D">
        <w:t>networks and social media, to manage demand within limited educator capacity</w:t>
      </w:r>
      <w:r w:rsidR="00A72D23">
        <w:t xml:space="preserve"> (see Section 5.2.2)</w:t>
      </w:r>
      <w:r w:rsidR="00307F6D">
        <w:t xml:space="preserve">. While this approach was financially efficient, it </w:t>
      </w:r>
      <w:r w:rsidR="006F0F6B">
        <w:t xml:space="preserve">may have constrained </w:t>
      </w:r>
      <w:r w:rsidR="00A72D23">
        <w:t xml:space="preserve">broader visibility, </w:t>
      </w:r>
      <w:r w:rsidR="006F0F6B">
        <w:t>limiting insight into the full</w:t>
      </w:r>
      <w:r w:rsidR="00A72D23">
        <w:t xml:space="preserve"> extent of unmet demand</w:t>
      </w:r>
      <w:r w:rsidR="007E1460">
        <w:t>.</w:t>
      </w:r>
    </w:p>
    <w:p w14:paraId="62F94D3F" w14:textId="44ECFC5E" w:rsidR="00D61156" w:rsidRDefault="00D61156" w:rsidP="00D61156">
      <w:pPr>
        <w:pStyle w:val="Caption"/>
      </w:pPr>
      <w:bookmarkStart w:id="116" w:name="_Ref214276001"/>
      <w:r>
        <w:t xml:space="preserve">Table </w:t>
      </w:r>
      <w:fldSimple w:instr=" STYLEREF 1 \s ">
        <w:r w:rsidR="0091457A">
          <w:rPr>
            <w:noProof/>
          </w:rPr>
          <w:t>7</w:t>
        </w:r>
      </w:fldSimple>
      <w:r w:rsidR="0091457A">
        <w:t>.</w:t>
      </w:r>
      <w:fldSimple w:instr=" SEQ Table \* ARABIC \s 1 ">
        <w:r w:rsidR="0091457A">
          <w:rPr>
            <w:noProof/>
          </w:rPr>
          <w:t>2</w:t>
        </w:r>
      </w:fldSimple>
      <w:bookmarkEnd w:id="116"/>
      <w:r>
        <w:t>: Budget and expenditure for PEPA Aged Care grant period 2021–25</w:t>
      </w:r>
    </w:p>
    <w:tbl>
      <w:tblPr>
        <w:tblStyle w:val="HMAdefaulttable"/>
        <w:tblW w:w="7213"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PACOP funding and expenditure"/>
        <w:tblDescription w:val="Table shows PACOP budget, expenditure and proportion of budget spent across various items."/>
      </w:tblPr>
      <w:tblGrid>
        <w:gridCol w:w="1418"/>
        <w:gridCol w:w="1276"/>
        <w:gridCol w:w="708"/>
        <w:gridCol w:w="1446"/>
        <w:gridCol w:w="681"/>
        <w:gridCol w:w="1684"/>
      </w:tblGrid>
      <w:tr w:rsidR="00D61156" w:rsidRPr="008B2209" w14:paraId="0AB7CD08" w14:textId="77777777" w:rsidTr="00D66C0F">
        <w:trPr>
          <w:cnfStyle w:val="100000000000" w:firstRow="1" w:lastRow="0" w:firstColumn="0" w:lastColumn="0" w:oddVBand="0" w:evenVBand="0" w:oddHBand="0" w:evenHBand="0" w:firstRowFirstColumn="0" w:firstRowLastColumn="0" w:lastRowFirstColumn="0" w:lastRowLastColumn="0"/>
          <w:trHeight w:val="244"/>
          <w:tblHead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115478D" w14:textId="77777777" w:rsidR="00D61156" w:rsidRPr="008B2209" w:rsidRDefault="00D61156">
            <w:pPr>
              <w:pStyle w:val="TableHeading"/>
              <w:rPr>
                <w:sz w:val="18"/>
                <w:szCs w:val="18"/>
              </w:rPr>
            </w:pPr>
            <w:r w:rsidRPr="008B2209">
              <w:rPr>
                <w:sz w:val="18"/>
                <w:szCs w:val="18"/>
              </w:rPr>
              <w:t>Item</w:t>
            </w:r>
          </w:p>
        </w:tc>
        <w:tc>
          <w:tcPr>
            <w:tcW w:w="1276" w:type="dxa"/>
            <w:noWrap/>
            <w:hideMark/>
          </w:tcPr>
          <w:p w14:paraId="7866A1A5" w14:textId="77777777" w:rsidR="00D61156" w:rsidRPr="008B2209" w:rsidRDefault="00D61156" w:rsidP="00C420C4">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Budget</w:t>
            </w:r>
          </w:p>
        </w:tc>
        <w:tc>
          <w:tcPr>
            <w:tcW w:w="708" w:type="dxa"/>
          </w:tcPr>
          <w:p w14:paraId="14542457" w14:textId="77777777" w:rsidR="00D61156" w:rsidRPr="008B2209" w:rsidRDefault="00D61156">
            <w:pPr>
              <w:pStyle w:val="TableHeading"/>
              <w:jc w:val="center"/>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 xml:space="preserve">% </w:t>
            </w:r>
          </w:p>
        </w:tc>
        <w:tc>
          <w:tcPr>
            <w:tcW w:w="1446" w:type="dxa"/>
            <w:noWrap/>
            <w:hideMark/>
          </w:tcPr>
          <w:p w14:paraId="7B02D892" w14:textId="77777777" w:rsidR="00D61156" w:rsidRPr="008B2209" w:rsidRDefault="00D61156" w:rsidP="00AF1266">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Expenditure</w:t>
            </w:r>
          </w:p>
        </w:tc>
        <w:tc>
          <w:tcPr>
            <w:tcW w:w="681" w:type="dxa"/>
            <w:noWrap/>
          </w:tcPr>
          <w:p w14:paraId="373B575E" w14:textId="77777777" w:rsidR="00D61156" w:rsidRPr="008B2209" w:rsidRDefault="00D61156">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 xml:space="preserve">% </w:t>
            </w:r>
          </w:p>
        </w:tc>
        <w:tc>
          <w:tcPr>
            <w:tcW w:w="1684" w:type="dxa"/>
          </w:tcPr>
          <w:p w14:paraId="7A939493" w14:textId="77777777" w:rsidR="00D61156" w:rsidRPr="008B2209" w:rsidRDefault="00D61156">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Proportion of budget spent</w:t>
            </w:r>
          </w:p>
        </w:tc>
      </w:tr>
      <w:tr w:rsidR="00D61156" w:rsidRPr="008B2209" w14:paraId="1BAC0C1F" w14:textId="77777777" w:rsidTr="00D66C0F">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484168AC" w14:textId="77777777" w:rsidR="00D61156" w:rsidRPr="008B2209" w:rsidRDefault="00D61156">
            <w:pPr>
              <w:pStyle w:val="TableText"/>
              <w:rPr>
                <w:sz w:val="18"/>
                <w:szCs w:val="18"/>
              </w:rPr>
            </w:pPr>
            <w:r w:rsidRPr="008B2209">
              <w:rPr>
                <w:sz w:val="18"/>
                <w:szCs w:val="18"/>
              </w:rPr>
              <w:t>Salaries</w:t>
            </w:r>
          </w:p>
        </w:tc>
        <w:tc>
          <w:tcPr>
            <w:tcW w:w="1276" w:type="dxa"/>
            <w:noWrap/>
          </w:tcPr>
          <w:p w14:paraId="1059743D" w14:textId="50017DEE"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D22E89">
              <w:rPr>
                <w:sz w:val="18"/>
                <w:szCs w:val="18"/>
              </w:rPr>
              <w:t>$3,723,739</w:t>
            </w:r>
          </w:p>
        </w:tc>
        <w:tc>
          <w:tcPr>
            <w:tcW w:w="708" w:type="dxa"/>
          </w:tcPr>
          <w:p w14:paraId="52CD1543" w14:textId="60D9527C" w:rsidR="00D61156" w:rsidRPr="008B2209" w:rsidRDefault="003242D1">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49</w:t>
            </w:r>
            <w:r w:rsidR="00D61156" w:rsidRPr="008B2209">
              <w:rPr>
                <w:sz w:val="18"/>
                <w:szCs w:val="18"/>
              </w:rPr>
              <w:t>%</w:t>
            </w:r>
          </w:p>
        </w:tc>
        <w:tc>
          <w:tcPr>
            <w:tcW w:w="1446" w:type="dxa"/>
            <w:noWrap/>
          </w:tcPr>
          <w:p w14:paraId="20B581A9" w14:textId="0476B6C2" w:rsidR="00D61156" w:rsidRPr="008B2209" w:rsidRDefault="00CF2FF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F2FF4">
              <w:rPr>
                <w:sz w:val="18"/>
                <w:szCs w:val="18"/>
              </w:rPr>
              <w:t>$2,919,481</w:t>
            </w:r>
          </w:p>
        </w:tc>
        <w:tc>
          <w:tcPr>
            <w:tcW w:w="681" w:type="dxa"/>
            <w:noWrap/>
          </w:tcPr>
          <w:p w14:paraId="6E3BED75" w14:textId="103702E6" w:rsidR="00D61156" w:rsidRPr="008B2209" w:rsidRDefault="0010786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53</w:t>
            </w:r>
            <w:r w:rsidR="00D61156" w:rsidRPr="008B2209">
              <w:rPr>
                <w:sz w:val="18"/>
                <w:szCs w:val="18"/>
              </w:rPr>
              <w:t>%</w:t>
            </w:r>
          </w:p>
        </w:tc>
        <w:tc>
          <w:tcPr>
            <w:tcW w:w="1684" w:type="dxa"/>
          </w:tcPr>
          <w:p w14:paraId="0C11A322"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78%</w:t>
            </w:r>
          </w:p>
        </w:tc>
      </w:tr>
      <w:tr w:rsidR="003B1400" w:rsidRPr="008B2209" w14:paraId="3F624214" w14:textId="77777777" w:rsidTr="00D66C0F">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0C5A466D" w14:textId="7308F3C0" w:rsidR="003B1400" w:rsidRPr="008B2209" w:rsidRDefault="003B1400" w:rsidP="003B1400">
            <w:pPr>
              <w:pStyle w:val="TableText"/>
              <w:rPr>
                <w:sz w:val="18"/>
                <w:szCs w:val="18"/>
              </w:rPr>
            </w:pPr>
            <w:r w:rsidRPr="003B1400">
              <w:rPr>
                <w:sz w:val="18"/>
                <w:szCs w:val="18"/>
              </w:rPr>
              <w:t>Overheads/</w:t>
            </w:r>
            <w:r w:rsidRPr="003B1400">
              <w:rPr>
                <w:sz w:val="18"/>
                <w:szCs w:val="18"/>
              </w:rPr>
              <w:br/>
              <w:t>QUT fees</w:t>
            </w:r>
          </w:p>
        </w:tc>
        <w:tc>
          <w:tcPr>
            <w:tcW w:w="1276" w:type="dxa"/>
            <w:noWrap/>
          </w:tcPr>
          <w:p w14:paraId="7E4C884E" w14:textId="5CFDF20E" w:rsidR="003B1400" w:rsidRPr="008B2209" w:rsidRDefault="0086790C"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D22E89">
              <w:rPr>
                <w:sz w:val="18"/>
                <w:szCs w:val="18"/>
              </w:rPr>
              <w:t>$1,358,926</w:t>
            </w:r>
          </w:p>
        </w:tc>
        <w:tc>
          <w:tcPr>
            <w:tcW w:w="708" w:type="dxa"/>
          </w:tcPr>
          <w:p w14:paraId="591607D4" w14:textId="60592824" w:rsidR="003B1400" w:rsidRPr="008B2209" w:rsidRDefault="003A255F"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A255F">
              <w:rPr>
                <w:sz w:val="18"/>
                <w:szCs w:val="18"/>
              </w:rPr>
              <w:t>18</w:t>
            </w:r>
            <w:r w:rsidR="003B1400" w:rsidRPr="003B1400">
              <w:rPr>
                <w:sz w:val="18"/>
                <w:szCs w:val="18"/>
              </w:rPr>
              <w:t>%</w:t>
            </w:r>
          </w:p>
        </w:tc>
        <w:tc>
          <w:tcPr>
            <w:tcW w:w="1446" w:type="dxa"/>
            <w:noWrap/>
          </w:tcPr>
          <w:p w14:paraId="3D3734A5" w14:textId="17731E13" w:rsidR="003B1400" w:rsidRPr="008B2209" w:rsidRDefault="003B1400"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B1400">
              <w:rPr>
                <w:sz w:val="18"/>
                <w:szCs w:val="18"/>
              </w:rPr>
              <w:t>$1,358,926</w:t>
            </w:r>
          </w:p>
        </w:tc>
        <w:tc>
          <w:tcPr>
            <w:tcW w:w="681" w:type="dxa"/>
            <w:noWrap/>
          </w:tcPr>
          <w:p w14:paraId="09EB759C" w14:textId="36558303" w:rsidR="003B1400" w:rsidRPr="008B2209" w:rsidRDefault="003B1400"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B1400">
              <w:rPr>
                <w:sz w:val="18"/>
                <w:szCs w:val="18"/>
              </w:rPr>
              <w:t>24%</w:t>
            </w:r>
          </w:p>
        </w:tc>
        <w:tc>
          <w:tcPr>
            <w:tcW w:w="1684" w:type="dxa"/>
          </w:tcPr>
          <w:p w14:paraId="290BA915" w14:textId="624A4253" w:rsidR="003B1400" w:rsidRPr="008B2209" w:rsidRDefault="003A255F"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A255F">
              <w:rPr>
                <w:sz w:val="18"/>
                <w:szCs w:val="18"/>
              </w:rPr>
              <w:t>100</w:t>
            </w:r>
            <w:r w:rsidR="003B1400" w:rsidRPr="003B1400">
              <w:rPr>
                <w:sz w:val="18"/>
                <w:szCs w:val="18"/>
              </w:rPr>
              <w:t>%</w:t>
            </w:r>
          </w:p>
        </w:tc>
      </w:tr>
      <w:tr w:rsidR="00D61156" w:rsidRPr="008B2209" w14:paraId="6D839742" w14:textId="77777777" w:rsidTr="00D66C0F">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3259C0A7" w14:textId="6BB23804" w:rsidR="00D61156" w:rsidRPr="008B2209" w:rsidRDefault="00D61156">
            <w:pPr>
              <w:pStyle w:val="TableText"/>
              <w:rPr>
                <w:sz w:val="18"/>
                <w:szCs w:val="18"/>
              </w:rPr>
            </w:pPr>
            <w:r w:rsidRPr="008B2209">
              <w:rPr>
                <w:sz w:val="18"/>
                <w:szCs w:val="18"/>
              </w:rPr>
              <w:t xml:space="preserve">Travel and </w:t>
            </w:r>
            <w:r w:rsidR="00030404" w:rsidRPr="008B2209">
              <w:rPr>
                <w:sz w:val="18"/>
                <w:szCs w:val="18"/>
              </w:rPr>
              <w:t>accommodation</w:t>
            </w:r>
          </w:p>
        </w:tc>
        <w:tc>
          <w:tcPr>
            <w:tcW w:w="1276" w:type="dxa"/>
            <w:noWrap/>
          </w:tcPr>
          <w:p w14:paraId="384093C5" w14:textId="396B4A29"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D22E89">
              <w:rPr>
                <w:sz w:val="18"/>
                <w:szCs w:val="18"/>
              </w:rPr>
              <w:t>$850,000</w:t>
            </w:r>
          </w:p>
        </w:tc>
        <w:tc>
          <w:tcPr>
            <w:tcW w:w="708" w:type="dxa"/>
          </w:tcPr>
          <w:p w14:paraId="2071C2E3" w14:textId="6F815834" w:rsidR="00D61156" w:rsidRPr="008B2209" w:rsidRDefault="00FA5E9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11</w:t>
            </w:r>
            <w:r w:rsidR="00D61156" w:rsidRPr="008B2209">
              <w:rPr>
                <w:sz w:val="18"/>
                <w:szCs w:val="18"/>
              </w:rPr>
              <w:t>%</w:t>
            </w:r>
          </w:p>
        </w:tc>
        <w:tc>
          <w:tcPr>
            <w:tcW w:w="1446" w:type="dxa"/>
            <w:noWrap/>
          </w:tcPr>
          <w:p w14:paraId="474E3B88" w14:textId="4701CB6F" w:rsidR="00D61156" w:rsidRPr="008B2209" w:rsidRDefault="002001C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2001C6">
              <w:rPr>
                <w:sz w:val="18"/>
                <w:szCs w:val="18"/>
              </w:rPr>
              <w:t>$436,825</w:t>
            </w:r>
          </w:p>
        </w:tc>
        <w:tc>
          <w:tcPr>
            <w:tcW w:w="681" w:type="dxa"/>
            <w:noWrap/>
          </w:tcPr>
          <w:p w14:paraId="1F4EABAC" w14:textId="5E900326" w:rsidR="00D61156" w:rsidRPr="008B2209" w:rsidRDefault="00807667">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8</w:t>
            </w:r>
            <w:r w:rsidR="00D61156" w:rsidRPr="008B2209">
              <w:rPr>
                <w:sz w:val="18"/>
                <w:szCs w:val="18"/>
              </w:rPr>
              <w:t>%</w:t>
            </w:r>
          </w:p>
        </w:tc>
        <w:tc>
          <w:tcPr>
            <w:tcW w:w="1684" w:type="dxa"/>
          </w:tcPr>
          <w:p w14:paraId="281CA21A"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51%</w:t>
            </w:r>
          </w:p>
        </w:tc>
      </w:tr>
      <w:tr w:rsidR="00D61156" w:rsidRPr="008B2209" w14:paraId="2BE924BF" w14:textId="77777777" w:rsidTr="00D66C0F">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6C4EBAAE" w14:textId="71DC5F1E" w:rsidR="00D61156" w:rsidRPr="008B2209" w:rsidRDefault="00D61156">
            <w:pPr>
              <w:pStyle w:val="TableText"/>
              <w:rPr>
                <w:sz w:val="18"/>
                <w:szCs w:val="18"/>
              </w:rPr>
            </w:pPr>
            <w:r w:rsidRPr="008B2209">
              <w:rPr>
                <w:sz w:val="18"/>
                <w:szCs w:val="18"/>
              </w:rPr>
              <w:t xml:space="preserve">Education design and </w:t>
            </w:r>
            <w:r w:rsidR="00D14B24" w:rsidRPr="008B2209">
              <w:rPr>
                <w:sz w:val="18"/>
                <w:szCs w:val="18"/>
              </w:rPr>
              <w:t>implementation</w:t>
            </w:r>
          </w:p>
        </w:tc>
        <w:tc>
          <w:tcPr>
            <w:tcW w:w="1276" w:type="dxa"/>
            <w:noWrap/>
          </w:tcPr>
          <w:p w14:paraId="235CA138" w14:textId="152BB20F"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D22E89">
              <w:rPr>
                <w:sz w:val="18"/>
                <w:szCs w:val="18"/>
              </w:rPr>
              <w:t>$265,000</w:t>
            </w:r>
          </w:p>
        </w:tc>
        <w:tc>
          <w:tcPr>
            <w:tcW w:w="708" w:type="dxa"/>
          </w:tcPr>
          <w:p w14:paraId="33A1AC7F" w14:textId="66A77C4F" w:rsidR="00D61156" w:rsidRPr="008B2209" w:rsidRDefault="003A255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A255F">
              <w:rPr>
                <w:sz w:val="18"/>
                <w:szCs w:val="18"/>
              </w:rPr>
              <w:t>3</w:t>
            </w:r>
            <w:r w:rsidR="00D61156" w:rsidRPr="008B2209">
              <w:rPr>
                <w:sz w:val="18"/>
                <w:szCs w:val="18"/>
              </w:rPr>
              <w:t>%</w:t>
            </w:r>
          </w:p>
        </w:tc>
        <w:tc>
          <w:tcPr>
            <w:tcW w:w="1446" w:type="dxa"/>
            <w:noWrap/>
          </w:tcPr>
          <w:p w14:paraId="5C636518"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$38,882</w:t>
            </w:r>
          </w:p>
        </w:tc>
        <w:tc>
          <w:tcPr>
            <w:tcW w:w="681" w:type="dxa"/>
            <w:noWrap/>
          </w:tcPr>
          <w:p w14:paraId="6C2A2534"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1%</w:t>
            </w:r>
          </w:p>
        </w:tc>
        <w:tc>
          <w:tcPr>
            <w:tcW w:w="1684" w:type="dxa"/>
          </w:tcPr>
          <w:p w14:paraId="27E233C7"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15%</w:t>
            </w:r>
          </w:p>
        </w:tc>
      </w:tr>
      <w:tr w:rsidR="00D61156" w:rsidRPr="008B2209" w14:paraId="221CEBB4" w14:textId="77777777" w:rsidTr="00D66C0F">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2A3389DB" w14:textId="77777777" w:rsidR="00D61156" w:rsidRPr="008B2209" w:rsidRDefault="00D61156">
            <w:pPr>
              <w:pStyle w:val="TableText"/>
              <w:rPr>
                <w:sz w:val="18"/>
                <w:szCs w:val="18"/>
              </w:rPr>
            </w:pPr>
            <w:r w:rsidRPr="008B2209">
              <w:rPr>
                <w:sz w:val="18"/>
                <w:szCs w:val="18"/>
              </w:rPr>
              <w:t>Marketing/ promotion</w:t>
            </w:r>
          </w:p>
        </w:tc>
        <w:tc>
          <w:tcPr>
            <w:tcW w:w="1276" w:type="dxa"/>
            <w:noWrap/>
          </w:tcPr>
          <w:p w14:paraId="163C6191" w14:textId="6DDFEA2F"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D22E89">
              <w:rPr>
                <w:sz w:val="18"/>
                <w:szCs w:val="18"/>
              </w:rPr>
              <w:t>$199,000</w:t>
            </w:r>
          </w:p>
        </w:tc>
        <w:tc>
          <w:tcPr>
            <w:tcW w:w="708" w:type="dxa"/>
          </w:tcPr>
          <w:p w14:paraId="2577A456"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3%</w:t>
            </w:r>
          </w:p>
        </w:tc>
        <w:tc>
          <w:tcPr>
            <w:tcW w:w="1446" w:type="dxa"/>
            <w:noWrap/>
          </w:tcPr>
          <w:p w14:paraId="79E8349B" w14:textId="0CF6F74A" w:rsidR="00D61156" w:rsidRPr="008B2209" w:rsidRDefault="002001C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2001C6">
              <w:rPr>
                <w:sz w:val="18"/>
                <w:szCs w:val="18"/>
              </w:rPr>
              <w:t>$136,836</w:t>
            </w:r>
          </w:p>
        </w:tc>
        <w:tc>
          <w:tcPr>
            <w:tcW w:w="681" w:type="dxa"/>
            <w:noWrap/>
          </w:tcPr>
          <w:p w14:paraId="5C371571" w14:textId="74C9D5F6" w:rsidR="00D61156" w:rsidRPr="008B2209" w:rsidRDefault="00807667">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w:t>
            </w:r>
            <w:r w:rsidR="00D61156" w:rsidRPr="008B2209">
              <w:rPr>
                <w:sz w:val="18"/>
                <w:szCs w:val="18"/>
              </w:rPr>
              <w:t>%</w:t>
            </w:r>
          </w:p>
        </w:tc>
        <w:tc>
          <w:tcPr>
            <w:tcW w:w="1684" w:type="dxa"/>
          </w:tcPr>
          <w:p w14:paraId="483E890F"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69%</w:t>
            </w:r>
          </w:p>
        </w:tc>
      </w:tr>
      <w:tr w:rsidR="00D61156" w:rsidRPr="008B2209" w14:paraId="09DD28B7" w14:textId="77777777" w:rsidTr="00D66C0F">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4A8B1768" w14:textId="77777777" w:rsidR="00D61156" w:rsidRPr="008B2209" w:rsidRDefault="00D61156">
            <w:pPr>
              <w:pStyle w:val="TableText"/>
              <w:rPr>
                <w:sz w:val="18"/>
                <w:szCs w:val="18"/>
              </w:rPr>
            </w:pPr>
            <w:r w:rsidRPr="008B2209">
              <w:rPr>
                <w:sz w:val="18"/>
                <w:szCs w:val="18"/>
              </w:rPr>
              <w:t>Consumables</w:t>
            </w:r>
          </w:p>
        </w:tc>
        <w:tc>
          <w:tcPr>
            <w:tcW w:w="1276" w:type="dxa"/>
            <w:noWrap/>
          </w:tcPr>
          <w:p w14:paraId="550DC167" w14:textId="10DAE4DC"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D22E89">
              <w:rPr>
                <w:sz w:val="18"/>
                <w:szCs w:val="18"/>
              </w:rPr>
              <w:t>$122,261</w:t>
            </w:r>
          </w:p>
        </w:tc>
        <w:tc>
          <w:tcPr>
            <w:tcW w:w="708" w:type="dxa"/>
          </w:tcPr>
          <w:p w14:paraId="0BC17758"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2%</w:t>
            </w:r>
          </w:p>
        </w:tc>
        <w:tc>
          <w:tcPr>
            <w:tcW w:w="1446" w:type="dxa"/>
            <w:noWrap/>
          </w:tcPr>
          <w:p w14:paraId="180C262A" w14:textId="43CB11BC" w:rsidR="00D61156" w:rsidRPr="008B2209" w:rsidRDefault="002001C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2001C6">
              <w:rPr>
                <w:sz w:val="18"/>
                <w:szCs w:val="18"/>
              </w:rPr>
              <w:t>$31,444</w:t>
            </w:r>
          </w:p>
        </w:tc>
        <w:tc>
          <w:tcPr>
            <w:tcW w:w="681" w:type="dxa"/>
            <w:noWrap/>
          </w:tcPr>
          <w:p w14:paraId="2520DFC4"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1%</w:t>
            </w:r>
          </w:p>
        </w:tc>
        <w:tc>
          <w:tcPr>
            <w:tcW w:w="1684" w:type="dxa"/>
          </w:tcPr>
          <w:p w14:paraId="7935391E"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26%</w:t>
            </w:r>
          </w:p>
        </w:tc>
      </w:tr>
      <w:tr w:rsidR="00D61156" w:rsidRPr="008B2209" w14:paraId="0CEF8D89" w14:textId="77777777" w:rsidTr="00D66C0F">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046FAEDB" w14:textId="77777777" w:rsidR="00D61156" w:rsidRPr="008B2209" w:rsidRDefault="00D61156">
            <w:pPr>
              <w:pStyle w:val="TableText"/>
              <w:rPr>
                <w:sz w:val="18"/>
                <w:szCs w:val="18"/>
              </w:rPr>
            </w:pPr>
            <w:r w:rsidRPr="008B2209">
              <w:rPr>
                <w:sz w:val="18"/>
                <w:szCs w:val="18"/>
              </w:rPr>
              <w:t>Participating site grants</w:t>
            </w:r>
          </w:p>
        </w:tc>
        <w:tc>
          <w:tcPr>
            <w:tcW w:w="1276" w:type="dxa"/>
            <w:noWrap/>
          </w:tcPr>
          <w:p w14:paraId="4B93A7C7" w14:textId="35ECCAB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D22E89">
              <w:rPr>
                <w:sz w:val="18"/>
                <w:szCs w:val="18"/>
              </w:rPr>
              <w:t>$1,152,000</w:t>
            </w:r>
          </w:p>
        </w:tc>
        <w:tc>
          <w:tcPr>
            <w:tcW w:w="708" w:type="dxa"/>
          </w:tcPr>
          <w:p w14:paraId="7A985B2D" w14:textId="4E159A9D"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1</w:t>
            </w:r>
            <w:r w:rsidR="00FA5E95">
              <w:rPr>
                <w:sz w:val="18"/>
                <w:szCs w:val="18"/>
              </w:rPr>
              <w:t>5</w:t>
            </w:r>
            <w:r w:rsidRPr="008B2209">
              <w:rPr>
                <w:sz w:val="18"/>
                <w:szCs w:val="18"/>
              </w:rPr>
              <w:t>%</w:t>
            </w:r>
          </w:p>
        </w:tc>
        <w:tc>
          <w:tcPr>
            <w:tcW w:w="1446" w:type="dxa"/>
            <w:noWrap/>
          </w:tcPr>
          <w:p w14:paraId="41EEBE0A" w14:textId="5EBFF40D" w:rsidR="00D61156" w:rsidRPr="008B2209" w:rsidRDefault="009C649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C6495">
              <w:rPr>
                <w:sz w:val="18"/>
                <w:szCs w:val="18"/>
              </w:rPr>
              <w:t>$629,714</w:t>
            </w:r>
          </w:p>
        </w:tc>
        <w:tc>
          <w:tcPr>
            <w:tcW w:w="681" w:type="dxa"/>
            <w:noWrap/>
          </w:tcPr>
          <w:p w14:paraId="7EFD66A9" w14:textId="6DAACB23"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1</w:t>
            </w:r>
            <w:r w:rsidR="00807667">
              <w:rPr>
                <w:sz w:val="18"/>
                <w:szCs w:val="18"/>
              </w:rPr>
              <w:t>1</w:t>
            </w:r>
            <w:r w:rsidRPr="008B2209">
              <w:rPr>
                <w:sz w:val="18"/>
                <w:szCs w:val="18"/>
              </w:rPr>
              <w:t>%</w:t>
            </w:r>
          </w:p>
        </w:tc>
        <w:tc>
          <w:tcPr>
            <w:tcW w:w="1684" w:type="dxa"/>
          </w:tcPr>
          <w:p w14:paraId="5A586A36"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55%</w:t>
            </w:r>
          </w:p>
        </w:tc>
      </w:tr>
      <w:tr w:rsidR="00D61156" w:rsidRPr="002B02AC" w14:paraId="4F04D23E" w14:textId="77777777" w:rsidTr="00D66C0F">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shd w:val="clear" w:color="auto" w:fill="DCDCDF" w:themeFill="accent3" w:themeFillTint="33"/>
            <w:noWrap/>
          </w:tcPr>
          <w:p w14:paraId="5D15742B" w14:textId="77777777" w:rsidR="00D61156" w:rsidRPr="002B02AC" w:rsidRDefault="00D61156">
            <w:pPr>
              <w:pStyle w:val="TableText"/>
              <w:rPr>
                <w:rFonts w:asciiTheme="majorHAnsi" w:hAnsiTheme="majorHAnsi"/>
                <w:sz w:val="18"/>
                <w:szCs w:val="18"/>
              </w:rPr>
            </w:pPr>
            <w:r w:rsidRPr="002B02AC">
              <w:rPr>
                <w:rFonts w:asciiTheme="majorHAnsi" w:hAnsiTheme="majorHAnsi"/>
                <w:sz w:val="18"/>
                <w:szCs w:val="18"/>
              </w:rPr>
              <w:t>TOTAL*</w:t>
            </w:r>
          </w:p>
        </w:tc>
        <w:tc>
          <w:tcPr>
            <w:tcW w:w="1276" w:type="dxa"/>
            <w:shd w:val="clear" w:color="auto" w:fill="DCDCDF" w:themeFill="accent3" w:themeFillTint="33"/>
            <w:noWrap/>
          </w:tcPr>
          <w:p w14:paraId="1B1686B1" w14:textId="7AFEE3B5" w:rsidR="00D61156" w:rsidRPr="002B02AC" w:rsidRDefault="00D22E89">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2B02AC">
              <w:rPr>
                <w:rFonts w:asciiTheme="majorHAnsi" w:hAnsiTheme="majorHAnsi"/>
                <w:sz w:val="18"/>
                <w:szCs w:val="18"/>
              </w:rPr>
              <w:t>$7,670,926</w:t>
            </w:r>
          </w:p>
        </w:tc>
        <w:tc>
          <w:tcPr>
            <w:tcW w:w="708" w:type="dxa"/>
            <w:shd w:val="clear" w:color="auto" w:fill="DCDCDF" w:themeFill="accent3" w:themeFillTint="33"/>
          </w:tcPr>
          <w:p w14:paraId="4A39EB73" w14:textId="2C807D93" w:rsidR="00D61156" w:rsidRPr="002B02AC" w:rsidRDefault="00D66C0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Pr>
                <w:rFonts w:asciiTheme="majorHAnsi" w:hAnsiTheme="majorHAnsi"/>
                <w:sz w:val="18"/>
                <w:szCs w:val="18"/>
              </w:rPr>
              <w:t>-</w:t>
            </w:r>
          </w:p>
        </w:tc>
        <w:tc>
          <w:tcPr>
            <w:tcW w:w="1446" w:type="dxa"/>
            <w:shd w:val="clear" w:color="auto" w:fill="DCDCDF" w:themeFill="accent3" w:themeFillTint="33"/>
            <w:noWrap/>
          </w:tcPr>
          <w:p w14:paraId="2B0A68A1" w14:textId="7D98A3FC" w:rsidR="00D61156" w:rsidRPr="002B02AC" w:rsidRDefault="00FD621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2B02AC">
              <w:rPr>
                <w:rFonts w:asciiTheme="majorHAnsi" w:hAnsiTheme="majorHAnsi"/>
                <w:sz w:val="18"/>
                <w:szCs w:val="18"/>
              </w:rPr>
              <w:t>$5,552,107</w:t>
            </w:r>
          </w:p>
        </w:tc>
        <w:tc>
          <w:tcPr>
            <w:tcW w:w="681" w:type="dxa"/>
            <w:shd w:val="clear" w:color="auto" w:fill="DCDCDF" w:themeFill="accent3" w:themeFillTint="33"/>
            <w:noWrap/>
          </w:tcPr>
          <w:p w14:paraId="495CB7C3" w14:textId="30595A15" w:rsidR="00D61156" w:rsidRPr="002B02AC" w:rsidRDefault="00AB186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Pr>
                <w:rFonts w:asciiTheme="majorHAnsi" w:hAnsiTheme="majorHAnsi"/>
                <w:sz w:val="18"/>
                <w:szCs w:val="18"/>
              </w:rPr>
              <w:t>-</w:t>
            </w:r>
          </w:p>
        </w:tc>
        <w:tc>
          <w:tcPr>
            <w:tcW w:w="1684" w:type="dxa"/>
            <w:shd w:val="clear" w:color="auto" w:fill="DCDCDF" w:themeFill="accent3" w:themeFillTint="33"/>
          </w:tcPr>
          <w:p w14:paraId="0502946D" w14:textId="324A013C" w:rsidR="00D61156" w:rsidRPr="002B02AC" w:rsidRDefault="00AB186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Pr>
                <w:rFonts w:asciiTheme="majorHAnsi" w:hAnsiTheme="majorHAnsi"/>
                <w:sz w:val="18"/>
                <w:szCs w:val="18"/>
              </w:rPr>
              <w:t>-</w:t>
            </w:r>
          </w:p>
        </w:tc>
      </w:tr>
    </w:tbl>
    <w:p w14:paraId="07027AA8" w14:textId="18E402CD" w:rsidR="00D61156" w:rsidRDefault="00D61156" w:rsidP="00D61156">
      <w:pPr>
        <w:pStyle w:val="Tablenotes"/>
      </w:pPr>
      <w:r>
        <w:t xml:space="preserve">Sources: </w:t>
      </w:r>
      <w:r w:rsidRPr="00B14D29">
        <w:t>PEPA Aged Care program data</w:t>
      </w:r>
      <w:r>
        <w:t xml:space="preserve"> 2021–24, </w:t>
      </w:r>
      <w:r w:rsidRPr="004F4659">
        <w:t>PEPA Aged Care 2021–2024 Activity Work Plan</w:t>
      </w:r>
      <w:r>
        <w:t xml:space="preserve"> </w:t>
      </w:r>
      <w:sdt>
        <w:sdtPr>
          <w:id w:val="2116394733"/>
          <w:citation/>
        </w:sdtPr>
        <w:sdtContent>
          <w:r>
            <w:fldChar w:fldCharType="begin"/>
          </w:r>
          <w:r>
            <w:instrText xml:space="preserve"> CITATION Que21 \l 3081 </w:instrText>
          </w:r>
          <w:r>
            <w:fldChar w:fldCharType="separate"/>
          </w:r>
          <w:r w:rsidR="00513E81" w:rsidRPr="00513E81">
            <w:rPr>
              <w:noProof/>
            </w:rPr>
            <w:t>[18]</w:t>
          </w:r>
          <w:r>
            <w:fldChar w:fldCharType="end"/>
          </w:r>
        </w:sdtContent>
      </w:sdt>
      <w:r>
        <w:t xml:space="preserve">, </w:t>
      </w:r>
      <w:r w:rsidRPr="004F4659">
        <w:t xml:space="preserve">PEPA </w:t>
      </w:r>
      <w:r w:rsidRPr="00973F11">
        <w:t xml:space="preserve">Aged Care 2021–2025 Activity Work Plan </w:t>
      </w:r>
      <w:sdt>
        <w:sdtPr>
          <w:id w:val="1265801171"/>
          <w:citation/>
        </w:sdtPr>
        <w:sdtContent>
          <w:r w:rsidRPr="00973F11">
            <w:fldChar w:fldCharType="begin"/>
          </w:r>
          <w:r w:rsidRPr="00973F11">
            <w:instrText xml:space="preserve"> CITATION Que242 \l 3081 </w:instrText>
          </w:r>
          <w:r w:rsidRPr="00973F11">
            <w:fldChar w:fldCharType="separate"/>
          </w:r>
          <w:r w:rsidR="00513E81" w:rsidRPr="00513E81">
            <w:rPr>
              <w:noProof/>
            </w:rPr>
            <w:t>[19]</w:t>
          </w:r>
          <w:r w:rsidRPr="00973F11">
            <w:fldChar w:fldCharType="end"/>
          </w:r>
        </w:sdtContent>
      </w:sdt>
      <w:r w:rsidRPr="00973F11">
        <w:t xml:space="preserve">, PEPA Aged Care 2025–2026 Activity Work Plan </w:t>
      </w:r>
      <w:sdt>
        <w:sdtPr>
          <w:id w:val="-1860581687"/>
          <w:citation/>
        </w:sdtPr>
        <w:sdtContent>
          <w:r w:rsidRPr="00973F11">
            <w:fldChar w:fldCharType="begin"/>
          </w:r>
          <w:r w:rsidRPr="00973F11">
            <w:instrText xml:space="preserve"> CITATION Que252 \l 3081 </w:instrText>
          </w:r>
          <w:r w:rsidRPr="00973F11">
            <w:fldChar w:fldCharType="separate"/>
          </w:r>
          <w:r w:rsidR="00513E81" w:rsidRPr="00513E81">
            <w:rPr>
              <w:noProof/>
            </w:rPr>
            <w:t>[20]</w:t>
          </w:r>
          <w:r w:rsidRPr="00973F11">
            <w:fldChar w:fldCharType="end"/>
          </w:r>
        </w:sdtContent>
      </w:sdt>
      <w:r w:rsidRPr="00973F11">
        <w:t>.</w:t>
      </w:r>
      <w:r w:rsidRPr="00973F11">
        <w:br/>
        <w:t>*Note: data</w:t>
      </w:r>
      <w:r w:rsidR="00C566CB">
        <w:t xml:space="preserve"> reporting was not consistent throughout</w:t>
      </w:r>
      <w:r w:rsidRPr="00973F11">
        <w:t xml:space="preserve"> the </w:t>
      </w:r>
      <w:r w:rsidR="00C566CB">
        <w:t>grant periods</w:t>
      </w:r>
      <w:r w:rsidR="008E6358">
        <w:t xml:space="preserve">, particularly </w:t>
      </w:r>
      <w:r w:rsidR="00157469">
        <w:t xml:space="preserve">between grants; </w:t>
      </w:r>
      <w:r w:rsidR="00EB12CC">
        <w:t xml:space="preserve">HMA </w:t>
      </w:r>
      <w:r w:rsidR="00177D94">
        <w:t>has</w:t>
      </w:r>
      <w:r w:rsidR="00EB12CC">
        <w:t xml:space="preserve"> assumed that the overheads budget </w:t>
      </w:r>
      <w:r w:rsidR="00224A50">
        <w:t xml:space="preserve">for FY 2024–25 </w:t>
      </w:r>
      <w:r w:rsidR="00EB12CC">
        <w:t xml:space="preserve">matched </w:t>
      </w:r>
      <w:r w:rsidR="00224A50">
        <w:t>the Jan</w:t>
      </w:r>
      <w:r w:rsidR="007F0624">
        <w:t>uary</w:t>
      </w:r>
      <w:r w:rsidR="00224A50">
        <w:t>–Jun</w:t>
      </w:r>
      <w:r w:rsidR="007F0624">
        <w:t>e</w:t>
      </w:r>
      <w:r w:rsidR="00224A50">
        <w:t xml:space="preserve"> 2025 budget, since no overheads were mentioned in the 2024–25 budget.</w:t>
      </w:r>
    </w:p>
    <w:p w14:paraId="6773F8C7" w14:textId="497026D9" w:rsidR="004478B7" w:rsidRDefault="00054485" w:rsidP="00992190">
      <w:pPr>
        <w:pStyle w:val="Findings"/>
      </w:pPr>
      <w:r>
        <w:lastRenderedPageBreak/>
        <w:t>Staff salaries</w:t>
      </w:r>
      <w:r w:rsidR="00347426">
        <w:t xml:space="preserve"> represent</w:t>
      </w:r>
      <w:r w:rsidR="00A024EB">
        <w:t>ed</w:t>
      </w:r>
      <w:r w:rsidR="00336447">
        <w:t xml:space="preserve"> around half of </w:t>
      </w:r>
      <w:r w:rsidR="00806B2F">
        <w:t>PEPA Aged Care</w:t>
      </w:r>
      <w:r w:rsidR="003863F5">
        <w:t>’</w:t>
      </w:r>
      <w:r w:rsidR="00806B2F">
        <w:t>s</w:t>
      </w:r>
      <w:r w:rsidR="00A6716A">
        <w:t xml:space="preserve"> budget and expenditure</w:t>
      </w:r>
      <w:r w:rsidR="00C64C19">
        <w:t>,</w:t>
      </w:r>
      <w:r w:rsidR="00A6716A">
        <w:t xml:space="preserve"> </w:t>
      </w:r>
      <w:r w:rsidR="005E48A4">
        <w:t xml:space="preserve">with cost savings realised through </w:t>
      </w:r>
      <w:r w:rsidR="00CA4921">
        <w:t>resource</w:t>
      </w:r>
      <w:r w:rsidR="00A6716A">
        <w:t xml:space="preserve"> </w:t>
      </w:r>
      <w:r w:rsidR="00F4123A">
        <w:t xml:space="preserve">sharing </w:t>
      </w:r>
      <w:r w:rsidR="00945A23">
        <w:t>with other programs.</w:t>
      </w:r>
      <w:r w:rsidR="00477B9E">
        <w:t xml:space="preserve"> </w:t>
      </w:r>
      <w:bookmarkStart w:id="117" w:name="_Hlk220592939"/>
      <w:r w:rsidR="00477B9E">
        <w:t xml:space="preserve">Utilisation of </w:t>
      </w:r>
      <w:r w:rsidR="00C64C19">
        <w:t>program</w:t>
      </w:r>
      <w:r w:rsidR="00477B9E">
        <w:t xml:space="preserve"> funds varied</w:t>
      </w:r>
      <w:r w:rsidR="002D3CCA">
        <w:t>,</w:t>
      </w:r>
      <w:r w:rsidR="00477B9E">
        <w:t xml:space="preserve"> </w:t>
      </w:r>
      <w:r w:rsidR="0054765D">
        <w:t xml:space="preserve">with underspend </w:t>
      </w:r>
      <w:r w:rsidR="00477B9E">
        <w:t xml:space="preserve">across </w:t>
      </w:r>
      <w:r w:rsidR="00147D1B">
        <w:t>most</w:t>
      </w:r>
      <w:r w:rsidR="002251C8">
        <w:t xml:space="preserve"> </w:t>
      </w:r>
      <w:r w:rsidR="00477B9E">
        <w:t>budget lines</w:t>
      </w:r>
      <w:r w:rsidR="005F00C3">
        <w:t xml:space="preserve">, </w:t>
      </w:r>
      <w:bookmarkStart w:id="118" w:name="_Hlk220592918"/>
      <w:r w:rsidR="005F00C3">
        <w:t>indicating potential over-allocation or unmet delivery capacity</w:t>
      </w:r>
      <w:r w:rsidR="004478B7">
        <w:t>.</w:t>
      </w:r>
      <w:bookmarkEnd w:id="118"/>
    </w:p>
    <w:bookmarkEnd w:id="117"/>
    <w:p w14:paraId="439907EB" w14:textId="0D330042" w:rsidR="009A5BCD" w:rsidRPr="005B765C" w:rsidRDefault="004478B7" w:rsidP="00992190">
      <w:pPr>
        <w:pStyle w:val="Findings"/>
      </w:pPr>
      <w:r>
        <w:t xml:space="preserve">Marketing expenditure </w:t>
      </w:r>
      <w:r w:rsidR="00B25340">
        <w:t xml:space="preserve">for PEPA Aged Care </w:t>
      </w:r>
      <w:r>
        <w:t>was low (~2% of total program expenditure)</w:t>
      </w:r>
      <w:r w:rsidR="000D637A">
        <w:t xml:space="preserve">, aligning with the deliberately constrained approach to manage demand within limited educator capacity. However, this likely </w:t>
      </w:r>
      <w:r w:rsidR="004C07F1">
        <w:t>limited program visibility beyond existing networks</w:t>
      </w:r>
      <w:r w:rsidR="00815D4B">
        <w:t>.</w:t>
      </w:r>
      <w:r w:rsidR="004C07F1">
        <w:t xml:space="preserve"> While this strategy achieved cost control, </w:t>
      </w:r>
      <w:r w:rsidR="00B41695">
        <w:t>it likely made the true scale of unmet demand unclear.</w:t>
      </w:r>
    </w:p>
    <w:p w14:paraId="18BFBE69" w14:textId="52972545" w:rsidR="00C46230" w:rsidRPr="00C46230" w:rsidRDefault="00C46230" w:rsidP="008521ED">
      <w:pPr>
        <w:pStyle w:val="Heading3"/>
      </w:pPr>
      <w:bookmarkStart w:id="119" w:name="_Toc232685924"/>
      <w:r>
        <w:t>Cost per placement and participant</w:t>
      </w:r>
      <w:bookmarkEnd w:id="119"/>
    </w:p>
    <w:p w14:paraId="3E7606E3" w14:textId="3A59BF91" w:rsidR="00261899" w:rsidRDefault="000D5205" w:rsidP="001829A4">
      <w:r>
        <w:t>The efficiency</w:t>
      </w:r>
      <w:r w:rsidR="00C171F9" w:rsidRPr="00C171F9">
        <w:t xml:space="preserve"> of funding utilisation was assessed by examining expenditure relative to </w:t>
      </w:r>
      <w:r w:rsidR="00047AED">
        <w:t>reverse PEPA Aged Care</w:t>
      </w:r>
      <w:r w:rsidR="00C171F9" w:rsidRPr="00C171F9">
        <w:t xml:space="preserve"> placements and participants</w:t>
      </w:r>
      <w:r w:rsidR="00C171F9">
        <w:t xml:space="preserve"> (</w:t>
      </w:r>
      <w:r w:rsidR="00C171F9">
        <w:fldChar w:fldCharType="begin"/>
      </w:r>
      <w:r w:rsidR="00C171F9">
        <w:instrText xml:space="preserve"> REF _Ref214275652 \h </w:instrText>
      </w:r>
      <w:r w:rsidR="00C171F9">
        <w:fldChar w:fldCharType="separate"/>
      </w:r>
      <w:r w:rsidR="00167BA0">
        <w:t xml:space="preserve">Table </w:t>
      </w:r>
      <w:r w:rsidR="00167BA0">
        <w:rPr>
          <w:noProof/>
        </w:rPr>
        <w:t>7</w:t>
      </w:r>
      <w:r w:rsidR="00167BA0">
        <w:t>.</w:t>
      </w:r>
      <w:r w:rsidR="00167BA0">
        <w:rPr>
          <w:noProof/>
        </w:rPr>
        <w:t>3</w:t>
      </w:r>
      <w:r w:rsidR="00C171F9">
        <w:fldChar w:fldCharType="end"/>
      </w:r>
      <w:r w:rsidR="00C171F9">
        <w:t>).</w:t>
      </w:r>
      <w:r w:rsidR="00261899">
        <w:t xml:space="preserve"> Across</w:t>
      </w:r>
      <w:r w:rsidR="001829A4">
        <w:t xml:space="preserve"> the evaluation period, the </w:t>
      </w:r>
      <w:r w:rsidR="00E4082D">
        <w:t>average cost per complete</w:t>
      </w:r>
      <w:r w:rsidR="001829A4">
        <w:t>d</w:t>
      </w:r>
      <w:r w:rsidR="00E4082D">
        <w:t xml:space="preserve"> placement </w:t>
      </w:r>
      <w:r w:rsidR="00514845">
        <w:t>was $16,478, while the average cost per participant was $1,767. Excluding the initial implementation year</w:t>
      </w:r>
      <w:r w:rsidR="00644F46">
        <w:t xml:space="preserve"> (</w:t>
      </w:r>
      <w:r w:rsidR="002A369C">
        <w:t>only 20</w:t>
      </w:r>
      <w:r w:rsidR="00644F46">
        <w:t xml:space="preserve"> completed</w:t>
      </w:r>
      <w:r w:rsidR="002A369C">
        <w:t xml:space="preserve"> placements</w:t>
      </w:r>
      <w:r w:rsidR="00644F46">
        <w:t>)</w:t>
      </w:r>
      <w:r w:rsidR="002A369C">
        <w:t>, the average cost per complete</w:t>
      </w:r>
      <w:r w:rsidR="009210C2">
        <w:t>d</w:t>
      </w:r>
      <w:r w:rsidR="002A369C">
        <w:t xml:space="preserve"> placement </w:t>
      </w:r>
      <w:r w:rsidR="00261899">
        <w:t>decreased to</w:t>
      </w:r>
      <w:r w:rsidR="00E4082D">
        <w:t xml:space="preserve"> $10,700</w:t>
      </w:r>
      <w:r w:rsidR="00723DC2">
        <w:t>,</w:t>
      </w:r>
      <w:r w:rsidR="00E4082D">
        <w:t xml:space="preserve"> and the average cost per participant </w:t>
      </w:r>
      <w:r w:rsidR="0006766F">
        <w:t xml:space="preserve">decreased </w:t>
      </w:r>
      <w:r w:rsidR="00261899">
        <w:t>to</w:t>
      </w:r>
      <w:r w:rsidR="00E4082D">
        <w:t xml:space="preserve"> $</w:t>
      </w:r>
      <w:r w:rsidR="00A42750">
        <w:t>981</w:t>
      </w:r>
      <w:r w:rsidR="00E4082D">
        <w:t>.</w:t>
      </w:r>
    </w:p>
    <w:p w14:paraId="637931D8" w14:textId="3B74D597" w:rsidR="00410D7B" w:rsidRDefault="00261899" w:rsidP="00261899">
      <w:r>
        <w:t xml:space="preserve">Although operational efficiencies were reported over time, </w:t>
      </w:r>
      <w:r w:rsidR="008E346C">
        <w:t xml:space="preserve">such as streamlined travel arrangements, </w:t>
      </w:r>
      <w:r w:rsidR="00AF4D89">
        <w:t xml:space="preserve">the </w:t>
      </w:r>
      <w:r>
        <w:t>cost per placement</w:t>
      </w:r>
      <w:r w:rsidR="008E346C">
        <w:t xml:space="preserve"> remained relatively steady after the initial implementation year</w:t>
      </w:r>
      <w:r w:rsidR="00B20D09">
        <w:t xml:space="preserve"> (ranging </w:t>
      </w:r>
      <w:r w:rsidR="00AF4D89">
        <w:t>from $9,090</w:t>
      </w:r>
      <w:r w:rsidR="00B20D09">
        <w:t xml:space="preserve"> to $11,697). </w:t>
      </w:r>
      <w:r w:rsidR="000D55BE" w:rsidRPr="000D55BE">
        <w:t xml:space="preserve">Similarly, cost per participant declined sharply after </w:t>
      </w:r>
      <w:r w:rsidR="000D55BE">
        <w:t>the first year of implementation</w:t>
      </w:r>
      <w:r w:rsidR="000D55BE" w:rsidRPr="000D55BE">
        <w:t xml:space="preserve"> </w:t>
      </w:r>
      <w:r w:rsidR="00D019D7">
        <w:t>and</w:t>
      </w:r>
      <w:r w:rsidR="000D55BE" w:rsidRPr="000D55BE">
        <w:t xml:space="preserve"> </w:t>
      </w:r>
      <w:r w:rsidR="000D55BE">
        <w:t xml:space="preserve">then </w:t>
      </w:r>
      <w:r w:rsidR="00055280">
        <w:t>stabilised</w:t>
      </w:r>
      <w:r w:rsidR="007575D2">
        <w:t>. This</w:t>
      </w:r>
      <w:r w:rsidR="000D55BE" w:rsidRPr="000D55BE">
        <w:t xml:space="preserve"> indicat</w:t>
      </w:r>
      <w:r w:rsidR="007575D2">
        <w:t>es</w:t>
      </w:r>
      <w:r w:rsidR="000D55BE" w:rsidRPr="000D55BE">
        <w:t xml:space="preserve"> </w:t>
      </w:r>
      <w:r w:rsidR="00BE4301">
        <w:t>early economies of scale</w:t>
      </w:r>
      <w:r w:rsidR="00055280">
        <w:t xml:space="preserve"> during program establishment, followed by relatively consistent resource use per</w:t>
      </w:r>
      <w:r w:rsidR="007575D2">
        <w:t xml:space="preserve"> unit of </w:t>
      </w:r>
      <w:r w:rsidR="00BE4301">
        <w:t>output.</w:t>
      </w:r>
    </w:p>
    <w:p w14:paraId="01554683" w14:textId="52ECC09A" w:rsidR="00077B9B" w:rsidRDefault="007479A1" w:rsidP="00261899">
      <w:r>
        <w:t>Program data indicated that the average number of participants per placement increased over time, while delivery formats evolved</w:t>
      </w:r>
      <w:r w:rsidR="00CA5C34">
        <w:t>; for example, the length of</w:t>
      </w:r>
      <w:r>
        <w:t xml:space="preserve"> placements </w:t>
      </w:r>
      <w:r w:rsidR="00CA5C34">
        <w:t>increased</w:t>
      </w:r>
      <w:r w:rsidR="00270BC9">
        <w:t xml:space="preserve"> (</w:t>
      </w:r>
      <w:r w:rsidR="007564B2">
        <w:fldChar w:fldCharType="begin"/>
      </w:r>
      <w:r w:rsidR="007564B2">
        <w:instrText xml:space="preserve"> REF _Ref214356299 \h </w:instrText>
      </w:r>
      <w:r w:rsidR="007564B2">
        <w:fldChar w:fldCharType="separate"/>
      </w:r>
      <w:r w:rsidR="00167BA0">
        <w:t xml:space="preserve">Table </w:t>
      </w:r>
      <w:r w:rsidR="00167BA0">
        <w:rPr>
          <w:noProof/>
        </w:rPr>
        <w:t>9</w:t>
      </w:r>
      <w:r w:rsidR="00167BA0">
        <w:t>.</w:t>
      </w:r>
      <w:r w:rsidR="00167BA0">
        <w:rPr>
          <w:noProof/>
        </w:rPr>
        <w:t>12</w:t>
      </w:r>
      <w:r w:rsidR="007564B2">
        <w:fldChar w:fldCharType="end"/>
      </w:r>
      <w:r w:rsidR="007564B2">
        <w:t xml:space="preserve">, </w:t>
      </w:r>
      <w:r w:rsidR="007564B2">
        <w:fldChar w:fldCharType="begin"/>
      </w:r>
      <w:r w:rsidR="007564B2">
        <w:instrText xml:space="preserve"> REF _Ref216944254 \n \h </w:instrText>
      </w:r>
      <w:r w:rsidR="007564B2">
        <w:fldChar w:fldCharType="separate"/>
      </w:r>
      <w:r w:rsidR="00167BA0">
        <w:t>Appendix C</w:t>
      </w:r>
      <w:r w:rsidR="007564B2">
        <w:fldChar w:fldCharType="end"/>
      </w:r>
      <w:r w:rsidR="00270BC9">
        <w:t xml:space="preserve">) and training was delivered in </w:t>
      </w:r>
      <w:r w:rsidR="00270BC9">
        <w:t xml:space="preserve">more flexible </w:t>
      </w:r>
      <w:r>
        <w:t>blocks. These changes likely</w:t>
      </w:r>
      <w:r w:rsidR="00270BC9">
        <w:t xml:space="preserve"> offset some early efficiency gains</w:t>
      </w:r>
      <w:r w:rsidR="00D90868">
        <w:t xml:space="preserve">, as </w:t>
      </w:r>
      <w:r w:rsidR="001F5B1E">
        <w:t>although</w:t>
      </w:r>
      <w:r w:rsidR="00877A6F">
        <w:t xml:space="preserve"> more participants per placement</w:t>
      </w:r>
      <w:r>
        <w:t xml:space="preserve"> </w:t>
      </w:r>
      <w:r w:rsidR="00BF4A2B">
        <w:t xml:space="preserve">improved </w:t>
      </w:r>
      <w:r w:rsidR="00A31F5D">
        <w:t>throughput, longer and more</w:t>
      </w:r>
      <w:r w:rsidR="00D06521">
        <w:t xml:space="preserve"> flexible formats </w:t>
      </w:r>
      <w:r w:rsidR="00D01874">
        <w:t xml:space="preserve">likely </w:t>
      </w:r>
      <w:r w:rsidR="00D06521">
        <w:t>increased</w:t>
      </w:r>
      <w:r w:rsidR="00D01874">
        <w:t xml:space="preserve"> nurse educator time and logistical complexity</w:t>
      </w:r>
      <w:r w:rsidR="000C3B43">
        <w:t xml:space="preserve">. This likely </w:t>
      </w:r>
      <w:r w:rsidR="00D01874">
        <w:t>contribut</w:t>
      </w:r>
      <w:r w:rsidR="000C3B43">
        <w:t>ed</w:t>
      </w:r>
      <w:r w:rsidR="00D01874">
        <w:t xml:space="preserve"> to </w:t>
      </w:r>
      <w:r w:rsidR="005947C0">
        <w:t xml:space="preserve">stabilising unit costs rather than to </w:t>
      </w:r>
      <w:r w:rsidR="00D01874">
        <w:t>further reductions.</w:t>
      </w:r>
    </w:p>
    <w:p w14:paraId="6DC2BA49" w14:textId="1EB4316B" w:rsidR="00D0493F" w:rsidRDefault="00D0493F" w:rsidP="00D0493F">
      <w:pPr>
        <w:pStyle w:val="Caption"/>
      </w:pPr>
      <w:bookmarkStart w:id="120" w:name="_Ref214275652"/>
      <w:r>
        <w:t xml:space="preserve">Table </w:t>
      </w:r>
      <w:fldSimple w:instr=" STYLEREF 1 \s ">
        <w:r w:rsidR="0091457A">
          <w:rPr>
            <w:noProof/>
          </w:rPr>
          <w:t>7</w:t>
        </w:r>
      </w:fldSimple>
      <w:r w:rsidR="0091457A">
        <w:t>.</w:t>
      </w:r>
      <w:fldSimple w:instr=" SEQ Table \* ARABIC \s 1 ">
        <w:r w:rsidR="0091457A">
          <w:rPr>
            <w:noProof/>
          </w:rPr>
          <w:t>3</w:t>
        </w:r>
      </w:fldSimple>
      <w:bookmarkEnd w:id="120"/>
      <w:r>
        <w:t xml:space="preserve">: PEPA Aged Care expenditure relative to </w:t>
      </w:r>
      <w:r w:rsidR="00FA4970">
        <w:t xml:space="preserve">the </w:t>
      </w:r>
      <w:r>
        <w:t xml:space="preserve">number of placements </w:t>
      </w:r>
      <w:r>
        <w:br/>
        <w:t>and participants by financial year</w:t>
      </w:r>
    </w:p>
    <w:tbl>
      <w:tblPr>
        <w:tblStyle w:val="HMAdefaulttable"/>
        <w:tblW w:w="7482"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PEPA Aged Care participation costs"/>
        <w:tblDescription w:val="Table shows PEPA Aged Care expenditure relative to the number of placements and participants across four financial years from 2021-22 to 2024-25."/>
      </w:tblPr>
      <w:tblGrid>
        <w:gridCol w:w="1247"/>
        <w:gridCol w:w="1247"/>
        <w:gridCol w:w="1247"/>
        <w:gridCol w:w="1247"/>
        <w:gridCol w:w="1247"/>
        <w:gridCol w:w="1247"/>
      </w:tblGrid>
      <w:tr w:rsidR="00D0493F" w:rsidRPr="002C4EDA" w14:paraId="656CB4E5" w14:textId="77777777" w:rsidTr="00AB186C">
        <w:trPr>
          <w:cnfStyle w:val="100000000000" w:firstRow="1" w:lastRow="0" w:firstColumn="0" w:lastColumn="0" w:oddVBand="0" w:evenVBand="0" w:oddHBand="0" w:evenHBand="0" w:firstRowFirstColumn="0" w:firstRowLastColumn="0" w:lastRowFirstColumn="0" w:lastRowLastColumn="0"/>
          <w:trHeight w:val="212"/>
          <w:tblHeader/>
        </w:trPr>
        <w:tc>
          <w:tcPr>
            <w:cnfStyle w:val="001000000000" w:firstRow="0" w:lastRow="0" w:firstColumn="1" w:lastColumn="0" w:oddVBand="0" w:evenVBand="0" w:oddHBand="0" w:evenHBand="0" w:firstRowFirstColumn="0" w:firstRowLastColumn="0" w:lastRowFirstColumn="0" w:lastRowLastColumn="0"/>
            <w:tcW w:w="1247" w:type="dxa"/>
            <w:noWrap/>
            <w:hideMark/>
          </w:tcPr>
          <w:p w14:paraId="62716E31" w14:textId="58F4B710" w:rsidR="00D0493F" w:rsidRPr="00B57A3C" w:rsidRDefault="00B25091" w:rsidP="00B25091">
            <w:pPr>
              <w:pStyle w:val="TableHeading"/>
            </w:pPr>
            <w:r>
              <w:t>Efficiency measure</w:t>
            </w:r>
          </w:p>
        </w:tc>
        <w:tc>
          <w:tcPr>
            <w:tcW w:w="1247" w:type="dxa"/>
            <w:noWrap/>
            <w:hideMark/>
          </w:tcPr>
          <w:p w14:paraId="349D2864" w14:textId="77777777" w:rsidR="00D0493F" w:rsidRPr="00B57A3C" w:rsidRDefault="00D0493F" w:rsidP="008521ED">
            <w:pPr>
              <w:pStyle w:val="TableHeading"/>
              <w:jc w:val="right"/>
              <w:cnfStyle w:val="100000000000" w:firstRow="1" w:lastRow="0" w:firstColumn="0" w:lastColumn="0" w:oddVBand="0" w:evenVBand="0" w:oddHBand="0" w:evenHBand="0" w:firstRowFirstColumn="0" w:firstRowLastColumn="0" w:lastRowFirstColumn="0" w:lastRowLastColumn="0"/>
            </w:pPr>
            <w:r>
              <w:t>2021–22</w:t>
            </w:r>
          </w:p>
        </w:tc>
        <w:tc>
          <w:tcPr>
            <w:tcW w:w="1247" w:type="dxa"/>
            <w:noWrap/>
            <w:hideMark/>
          </w:tcPr>
          <w:p w14:paraId="0C234EF6" w14:textId="77777777" w:rsidR="00D0493F" w:rsidRPr="00B57A3C" w:rsidRDefault="00D0493F"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CA77D5">
              <w:t>2022</w:t>
            </w:r>
            <w:r>
              <w:t>–</w:t>
            </w:r>
            <w:r w:rsidRPr="00CA77D5">
              <w:t>23</w:t>
            </w:r>
          </w:p>
        </w:tc>
        <w:tc>
          <w:tcPr>
            <w:tcW w:w="1247" w:type="dxa"/>
            <w:noWrap/>
            <w:hideMark/>
          </w:tcPr>
          <w:p w14:paraId="4198E38C" w14:textId="77777777" w:rsidR="00D0493F" w:rsidRPr="00B57A3C" w:rsidRDefault="00D0493F" w:rsidP="00D01874">
            <w:pPr>
              <w:pStyle w:val="TableHeading"/>
              <w:jc w:val="right"/>
              <w:cnfStyle w:val="100000000000" w:firstRow="1" w:lastRow="0" w:firstColumn="0" w:lastColumn="0" w:oddVBand="0" w:evenVBand="0" w:oddHBand="0" w:evenHBand="0" w:firstRowFirstColumn="0" w:firstRowLastColumn="0" w:lastRowFirstColumn="0" w:lastRowLastColumn="0"/>
            </w:pPr>
            <w:r>
              <w:t>2023–24</w:t>
            </w:r>
          </w:p>
        </w:tc>
        <w:tc>
          <w:tcPr>
            <w:tcW w:w="1247" w:type="dxa"/>
            <w:noWrap/>
            <w:hideMark/>
          </w:tcPr>
          <w:p w14:paraId="215E43D5" w14:textId="77777777" w:rsidR="00D0493F" w:rsidRPr="00B57A3C" w:rsidRDefault="00D0493F"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CA77D5">
              <w:t>2024</w:t>
            </w:r>
            <w:r>
              <w:t>–</w:t>
            </w:r>
            <w:r w:rsidRPr="00CA77D5">
              <w:t>25</w:t>
            </w:r>
          </w:p>
        </w:tc>
        <w:tc>
          <w:tcPr>
            <w:tcW w:w="1247" w:type="dxa"/>
          </w:tcPr>
          <w:p w14:paraId="385D1147" w14:textId="77777777" w:rsidR="00D0493F" w:rsidRPr="005E1DDD" w:rsidRDefault="00D0493F"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5E1DDD">
              <w:t>Average</w:t>
            </w:r>
          </w:p>
        </w:tc>
      </w:tr>
      <w:tr w:rsidR="00D0493F" w:rsidRPr="002C4EDA" w14:paraId="22E5B550" w14:textId="77777777" w:rsidTr="00AB186C">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1247" w:type="dxa"/>
            <w:noWrap/>
            <w:hideMark/>
          </w:tcPr>
          <w:p w14:paraId="1664A8CF" w14:textId="77777777" w:rsidR="00D0493F" w:rsidRPr="00167B84" w:rsidRDefault="00D0493F">
            <w:pPr>
              <w:pStyle w:val="TableText"/>
              <w:rPr>
                <w:sz w:val="18"/>
                <w:szCs w:val="18"/>
              </w:rPr>
            </w:pPr>
            <w:r w:rsidRPr="00167B84">
              <w:rPr>
                <w:sz w:val="18"/>
                <w:szCs w:val="18"/>
              </w:rPr>
              <w:t>Expenditure</w:t>
            </w:r>
          </w:p>
        </w:tc>
        <w:tc>
          <w:tcPr>
            <w:tcW w:w="1247" w:type="dxa"/>
            <w:noWrap/>
            <w:hideMark/>
          </w:tcPr>
          <w:p w14:paraId="2EACCB17" w14:textId="77777777" w:rsidR="00D0493F" w:rsidRPr="00167B8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167B84">
              <w:rPr>
                <w:sz w:val="18"/>
                <w:szCs w:val="18"/>
              </w:rPr>
              <w:t>$676,232</w:t>
            </w:r>
          </w:p>
        </w:tc>
        <w:tc>
          <w:tcPr>
            <w:tcW w:w="1247" w:type="dxa"/>
            <w:noWrap/>
            <w:hideMark/>
          </w:tcPr>
          <w:p w14:paraId="35F80C8B" w14:textId="77777777" w:rsidR="00D0493F" w:rsidRPr="00167B8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167B84">
              <w:rPr>
                <w:sz w:val="18"/>
                <w:szCs w:val="18"/>
              </w:rPr>
              <w:t>$1,181,608</w:t>
            </w:r>
          </w:p>
        </w:tc>
        <w:tc>
          <w:tcPr>
            <w:tcW w:w="1247" w:type="dxa"/>
            <w:noWrap/>
            <w:hideMark/>
          </w:tcPr>
          <w:p w14:paraId="08060C83" w14:textId="77777777" w:rsidR="00D0493F" w:rsidRPr="00167B8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167B84">
              <w:rPr>
                <w:sz w:val="18"/>
                <w:szCs w:val="18"/>
              </w:rPr>
              <w:t>$1,906,659</w:t>
            </w:r>
          </w:p>
        </w:tc>
        <w:tc>
          <w:tcPr>
            <w:tcW w:w="1247" w:type="dxa"/>
            <w:noWrap/>
            <w:hideMark/>
          </w:tcPr>
          <w:p w14:paraId="6B1AB329" w14:textId="77777777" w:rsidR="00D0493F" w:rsidRPr="00167B8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167B84">
              <w:rPr>
                <w:sz w:val="18"/>
                <w:szCs w:val="18"/>
              </w:rPr>
              <w:t>$1,787,607</w:t>
            </w:r>
          </w:p>
        </w:tc>
        <w:tc>
          <w:tcPr>
            <w:tcW w:w="1247" w:type="dxa"/>
          </w:tcPr>
          <w:p w14:paraId="7A582739" w14:textId="77777777" w:rsidR="00D0493F" w:rsidRPr="005E1DDD" w:rsidRDefault="00D0493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$1,388,027</w:t>
            </w:r>
          </w:p>
        </w:tc>
      </w:tr>
      <w:tr w:rsidR="00D0493F" w:rsidRPr="002C4EDA" w14:paraId="02025971" w14:textId="77777777" w:rsidTr="00AB186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61697E6D" w14:textId="77777777" w:rsidR="00D0493F" w:rsidRPr="00ED76F4" w:rsidRDefault="00D0493F">
            <w:pPr>
              <w:pStyle w:val="TableText"/>
              <w:rPr>
                <w:sz w:val="18"/>
                <w:szCs w:val="18"/>
              </w:rPr>
            </w:pPr>
            <w:r w:rsidRPr="00ED76F4">
              <w:rPr>
                <w:sz w:val="18"/>
                <w:szCs w:val="18"/>
              </w:rPr>
              <w:t>Number of complete placements</w:t>
            </w:r>
          </w:p>
        </w:tc>
        <w:tc>
          <w:tcPr>
            <w:tcW w:w="1247" w:type="dxa"/>
            <w:noWrap/>
            <w:hideMark/>
          </w:tcPr>
          <w:p w14:paraId="2723F690"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20</w:t>
            </w:r>
          </w:p>
        </w:tc>
        <w:tc>
          <w:tcPr>
            <w:tcW w:w="1247" w:type="dxa"/>
            <w:noWrap/>
            <w:hideMark/>
          </w:tcPr>
          <w:p w14:paraId="29B6B96C"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130</w:t>
            </w:r>
          </w:p>
        </w:tc>
        <w:tc>
          <w:tcPr>
            <w:tcW w:w="1247" w:type="dxa"/>
            <w:noWrap/>
            <w:hideMark/>
          </w:tcPr>
          <w:p w14:paraId="61F4262B"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163</w:t>
            </w:r>
          </w:p>
        </w:tc>
        <w:tc>
          <w:tcPr>
            <w:tcW w:w="1247" w:type="dxa"/>
            <w:noWrap/>
            <w:hideMark/>
          </w:tcPr>
          <w:p w14:paraId="6E6939D4"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158</w:t>
            </w:r>
          </w:p>
        </w:tc>
        <w:tc>
          <w:tcPr>
            <w:tcW w:w="1247" w:type="dxa"/>
          </w:tcPr>
          <w:p w14:paraId="55DC5DAB" w14:textId="77777777" w:rsidR="00D0493F" w:rsidRPr="005E1DDD" w:rsidRDefault="00D0493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118</w:t>
            </w:r>
          </w:p>
        </w:tc>
      </w:tr>
      <w:tr w:rsidR="00D0493F" w:rsidRPr="002C4EDA" w14:paraId="010A80CD" w14:textId="77777777" w:rsidTr="00AB18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2F2E023E" w14:textId="77777777" w:rsidR="00D0493F" w:rsidRPr="00ED76F4" w:rsidRDefault="00D0493F">
            <w:pPr>
              <w:pStyle w:val="TableText"/>
              <w:rPr>
                <w:sz w:val="18"/>
                <w:szCs w:val="18"/>
              </w:rPr>
            </w:pPr>
            <w:r w:rsidRPr="00ED76F4">
              <w:rPr>
                <w:sz w:val="18"/>
                <w:szCs w:val="18"/>
              </w:rPr>
              <w:t>Cost per complete placement</w:t>
            </w:r>
          </w:p>
        </w:tc>
        <w:tc>
          <w:tcPr>
            <w:tcW w:w="1247" w:type="dxa"/>
            <w:noWrap/>
            <w:hideMark/>
          </w:tcPr>
          <w:p w14:paraId="1318D53A"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$33,81</w:t>
            </w:r>
            <w:r>
              <w:rPr>
                <w:sz w:val="18"/>
                <w:szCs w:val="18"/>
              </w:rPr>
              <w:t>2</w:t>
            </w:r>
          </w:p>
        </w:tc>
        <w:tc>
          <w:tcPr>
            <w:tcW w:w="1247" w:type="dxa"/>
            <w:noWrap/>
            <w:hideMark/>
          </w:tcPr>
          <w:p w14:paraId="3AB8CE3D"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$9,0</w:t>
            </w:r>
            <w:r>
              <w:rPr>
                <w:sz w:val="18"/>
                <w:szCs w:val="18"/>
              </w:rPr>
              <w:t>90</w:t>
            </w:r>
          </w:p>
        </w:tc>
        <w:tc>
          <w:tcPr>
            <w:tcW w:w="1247" w:type="dxa"/>
            <w:noWrap/>
            <w:hideMark/>
          </w:tcPr>
          <w:p w14:paraId="5ECCCE87"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$11,697</w:t>
            </w:r>
          </w:p>
        </w:tc>
        <w:tc>
          <w:tcPr>
            <w:tcW w:w="1247" w:type="dxa"/>
            <w:noWrap/>
            <w:hideMark/>
          </w:tcPr>
          <w:p w14:paraId="721BFF1C"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$11,</w:t>
            </w:r>
            <w:r>
              <w:rPr>
                <w:sz w:val="18"/>
                <w:szCs w:val="18"/>
              </w:rPr>
              <w:t>314</w:t>
            </w:r>
          </w:p>
        </w:tc>
        <w:tc>
          <w:tcPr>
            <w:tcW w:w="1247" w:type="dxa"/>
          </w:tcPr>
          <w:p w14:paraId="3716CEDB" w14:textId="77777777" w:rsidR="00D0493F" w:rsidRPr="005E1DDD" w:rsidRDefault="00D0493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$16,478</w:t>
            </w:r>
          </w:p>
        </w:tc>
      </w:tr>
      <w:tr w:rsidR="00D0493F" w:rsidRPr="002C4EDA" w14:paraId="195AE860" w14:textId="77777777" w:rsidTr="00AB186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0AFBF8C4" w14:textId="77777777" w:rsidR="00D0493F" w:rsidRPr="00ED76F4" w:rsidRDefault="00D0493F">
            <w:pPr>
              <w:pStyle w:val="TableText"/>
              <w:rPr>
                <w:sz w:val="18"/>
                <w:szCs w:val="18"/>
              </w:rPr>
            </w:pPr>
            <w:r w:rsidRPr="00ED76F4">
              <w:rPr>
                <w:sz w:val="18"/>
                <w:szCs w:val="18"/>
              </w:rPr>
              <w:t>Number of all placements*</w:t>
            </w:r>
          </w:p>
        </w:tc>
        <w:tc>
          <w:tcPr>
            <w:tcW w:w="1247" w:type="dxa"/>
            <w:noWrap/>
            <w:hideMark/>
          </w:tcPr>
          <w:p w14:paraId="7F8324D5"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40</w:t>
            </w:r>
          </w:p>
        </w:tc>
        <w:tc>
          <w:tcPr>
            <w:tcW w:w="1247" w:type="dxa"/>
            <w:noWrap/>
            <w:hideMark/>
          </w:tcPr>
          <w:p w14:paraId="6528FC78"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144</w:t>
            </w:r>
          </w:p>
        </w:tc>
        <w:tc>
          <w:tcPr>
            <w:tcW w:w="1247" w:type="dxa"/>
            <w:noWrap/>
            <w:hideMark/>
          </w:tcPr>
          <w:p w14:paraId="706A7E34"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172</w:t>
            </w:r>
          </w:p>
        </w:tc>
        <w:tc>
          <w:tcPr>
            <w:tcW w:w="1247" w:type="dxa"/>
            <w:noWrap/>
            <w:hideMark/>
          </w:tcPr>
          <w:p w14:paraId="40787F56"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232</w:t>
            </w:r>
          </w:p>
        </w:tc>
        <w:tc>
          <w:tcPr>
            <w:tcW w:w="1247" w:type="dxa"/>
          </w:tcPr>
          <w:p w14:paraId="69B9D630" w14:textId="77777777" w:rsidR="00D0493F" w:rsidRPr="005E1DDD" w:rsidRDefault="00D0493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147</w:t>
            </w:r>
          </w:p>
        </w:tc>
      </w:tr>
      <w:tr w:rsidR="00D0493F" w:rsidRPr="002C4EDA" w14:paraId="2368EC52" w14:textId="77777777" w:rsidTr="00AB18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4F9164CB" w14:textId="77777777" w:rsidR="00D0493F" w:rsidRPr="00ED76F4" w:rsidRDefault="00D0493F">
            <w:pPr>
              <w:pStyle w:val="TableText"/>
              <w:rPr>
                <w:sz w:val="18"/>
                <w:szCs w:val="18"/>
              </w:rPr>
            </w:pPr>
            <w:r w:rsidRPr="00ED76F4">
              <w:rPr>
                <w:sz w:val="18"/>
                <w:szCs w:val="18"/>
              </w:rPr>
              <w:t>Cost per all placements</w:t>
            </w:r>
          </w:p>
        </w:tc>
        <w:tc>
          <w:tcPr>
            <w:tcW w:w="1247" w:type="dxa"/>
            <w:noWrap/>
            <w:hideMark/>
          </w:tcPr>
          <w:p w14:paraId="17D4A93F"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$16,90</w:t>
            </w:r>
            <w:r>
              <w:rPr>
                <w:sz w:val="18"/>
                <w:szCs w:val="18"/>
              </w:rPr>
              <w:t>6</w:t>
            </w:r>
          </w:p>
        </w:tc>
        <w:tc>
          <w:tcPr>
            <w:tcW w:w="1247" w:type="dxa"/>
            <w:noWrap/>
            <w:hideMark/>
          </w:tcPr>
          <w:p w14:paraId="546DA622"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$8,205.61</w:t>
            </w:r>
          </w:p>
        </w:tc>
        <w:tc>
          <w:tcPr>
            <w:tcW w:w="1247" w:type="dxa"/>
            <w:noWrap/>
            <w:hideMark/>
          </w:tcPr>
          <w:p w14:paraId="0D8B54CD"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$11,085</w:t>
            </w:r>
          </w:p>
        </w:tc>
        <w:tc>
          <w:tcPr>
            <w:tcW w:w="1247" w:type="dxa"/>
            <w:noWrap/>
            <w:hideMark/>
          </w:tcPr>
          <w:p w14:paraId="3540E5E9"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$7,705</w:t>
            </w:r>
          </w:p>
        </w:tc>
        <w:tc>
          <w:tcPr>
            <w:tcW w:w="1247" w:type="dxa"/>
          </w:tcPr>
          <w:p w14:paraId="15C0E048" w14:textId="77777777" w:rsidR="00D0493F" w:rsidRPr="005E1DDD" w:rsidRDefault="00D0493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$10,975</w:t>
            </w:r>
          </w:p>
        </w:tc>
      </w:tr>
      <w:tr w:rsidR="00D0493F" w:rsidRPr="002C4EDA" w14:paraId="1760D210" w14:textId="77777777" w:rsidTr="00AB186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0B3EC82E" w14:textId="77777777" w:rsidR="00D0493F" w:rsidRPr="00ED76F4" w:rsidRDefault="00D0493F">
            <w:pPr>
              <w:pStyle w:val="TableText"/>
              <w:rPr>
                <w:sz w:val="18"/>
                <w:szCs w:val="18"/>
              </w:rPr>
            </w:pPr>
            <w:r>
              <w:rPr>
                <w:sz w:val="18"/>
                <w:szCs w:val="18"/>
              </w:rPr>
              <w:t>Placement participants</w:t>
            </w:r>
          </w:p>
        </w:tc>
        <w:tc>
          <w:tcPr>
            <w:tcW w:w="1247" w:type="dxa"/>
            <w:noWrap/>
            <w:hideMark/>
          </w:tcPr>
          <w:p w14:paraId="02923DA5"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164</w:t>
            </w:r>
          </w:p>
        </w:tc>
        <w:tc>
          <w:tcPr>
            <w:tcW w:w="1247" w:type="dxa"/>
            <w:noWrap/>
            <w:hideMark/>
          </w:tcPr>
          <w:p w14:paraId="3F538782"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w:t>
            </w:r>
            <w:r>
              <w:rPr>
                <w:sz w:val="18"/>
                <w:szCs w:val="18"/>
              </w:rPr>
              <w:t>,</w:t>
            </w:r>
            <w:r w:rsidRPr="00ED76F4">
              <w:rPr>
                <w:sz w:val="18"/>
                <w:szCs w:val="18"/>
              </w:rPr>
              <w:t>077</w:t>
            </w:r>
          </w:p>
        </w:tc>
        <w:tc>
          <w:tcPr>
            <w:tcW w:w="1247" w:type="dxa"/>
            <w:noWrap/>
            <w:hideMark/>
          </w:tcPr>
          <w:p w14:paraId="02825249"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2</w:t>
            </w:r>
            <w:r>
              <w:rPr>
                <w:sz w:val="18"/>
                <w:szCs w:val="18"/>
              </w:rPr>
              <w:t>,</w:t>
            </w:r>
            <w:r w:rsidRPr="00ED76F4">
              <w:rPr>
                <w:sz w:val="18"/>
                <w:szCs w:val="18"/>
              </w:rPr>
              <w:t>133</w:t>
            </w:r>
          </w:p>
        </w:tc>
        <w:tc>
          <w:tcPr>
            <w:tcW w:w="1247" w:type="dxa"/>
            <w:noWrap/>
            <w:hideMark/>
          </w:tcPr>
          <w:p w14:paraId="5C9B6CA5"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w:t>
            </w:r>
            <w:r>
              <w:rPr>
                <w:sz w:val="18"/>
                <w:szCs w:val="18"/>
              </w:rPr>
              <w:t>,</w:t>
            </w:r>
            <w:r w:rsidRPr="00ED76F4">
              <w:rPr>
                <w:sz w:val="18"/>
                <w:szCs w:val="18"/>
              </w:rPr>
              <w:t>876</w:t>
            </w:r>
          </w:p>
        </w:tc>
        <w:tc>
          <w:tcPr>
            <w:tcW w:w="1247" w:type="dxa"/>
          </w:tcPr>
          <w:p w14:paraId="51A3E3A3" w14:textId="77777777" w:rsidR="00D0493F" w:rsidRPr="005E1DDD" w:rsidRDefault="00D0493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1,313</w:t>
            </w:r>
          </w:p>
        </w:tc>
      </w:tr>
      <w:tr w:rsidR="00D0493F" w:rsidRPr="002C4EDA" w14:paraId="2DDF7106" w14:textId="77777777" w:rsidTr="00AB18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78676E3A" w14:textId="77777777" w:rsidR="00D0493F" w:rsidRPr="00ED76F4" w:rsidRDefault="00D0493F">
            <w:pPr>
              <w:pStyle w:val="TableText"/>
              <w:rPr>
                <w:sz w:val="18"/>
                <w:szCs w:val="18"/>
              </w:rPr>
            </w:pPr>
            <w:r w:rsidRPr="00ED76F4">
              <w:rPr>
                <w:sz w:val="18"/>
                <w:szCs w:val="18"/>
              </w:rPr>
              <w:t xml:space="preserve">Cost per </w:t>
            </w:r>
            <w:r>
              <w:rPr>
                <w:sz w:val="18"/>
                <w:szCs w:val="18"/>
              </w:rPr>
              <w:t>placement participant</w:t>
            </w:r>
          </w:p>
        </w:tc>
        <w:tc>
          <w:tcPr>
            <w:tcW w:w="1247" w:type="dxa"/>
            <w:noWrap/>
            <w:hideMark/>
          </w:tcPr>
          <w:p w14:paraId="32FC8CAD"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$4,123</w:t>
            </w:r>
          </w:p>
        </w:tc>
        <w:tc>
          <w:tcPr>
            <w:tcW w:w="1247" w:type="dxa"/>
            <w:noWrap/>
            <w:hideMark/>
          </w:tcPr>
          <w:p w14:paraId="1DAD8804"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$1,097</w:t>
            </w:r>
          </w:p>
        </w:tc>
        <w:tc>
          <w:tcPr>
            <w:tcW w:w="1247" w:type="dxa"/>
            <w:noWrap/>
            <w:hideMark/>
          </w:tcPr>
          <w:p w14:paraId="2547B9A7"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$89</w:t>
            </w:r>
            <w:r>
              <w:rPr>
                <w:sz w:val="18"/>
                <w:szCs w:val="18"/>
              </w:rPr>
              <w:t>4</w:t>
            </w:r>
          </w:p>
        </w:tc>
        <w:tc>
          <w:tcPr>
            <w:tcW w:w="1247" w:type="dxa"/>
            <w:noWrap/>
            <w:hideMark/>
          </w:tcPr>
          <w:p w14:paraId="4BA9F7FC"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$95</w:t>
            </w:r>
            <w:r>
              <w:rPr>
                <w:sz w:val="18"/>
                <w:szCs w:val="18"/>
              </w:rPr>
              <w:t>3</w:t>
            </w:r>
          </w:p>
        </w:tc>
        <w:tc>
          <w:tcPr>
            <w:tcW w:w="1247" w:type="dxa"/>
          </w:tcPr>
          <w:p w14:paraId="529B60DA" w14:textId="77777777" w:rsidR="00D0493F" w:rsidRPr="005E1DDD" w:rsidRDefault="00D0493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$1,766.82</w:t>
            </w:r>
          </w:p>
        </w:tc>
      </w:tr>
      <w:tr w:rsidR="00AD3187" w:rsidRPr="002C4EDA" w14:paraId="10D292E2" w14:textId="77777777" w:rsidTr="00AB186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tcPr>
          <w:p w14:paraId="2EC2DA2D" w14:textId="307A3B2C" w:rsidR="00AD3187" w:rsidRPr="00ED76F4" w:rsidRDefault="00823022">
            <w:pPr>
              <w:pStyle w:val="TableText"/>
              <w:rPr>
                <w:sz w:val="18"/>
                <w:szCs w:val="18"/>
              </w:rPr>
            </w:pPr>
            <w:r>
              <w:rPr>
                <w:sz w:val="18"/>
                <w:szCs w:val="18"/>
              </w:rPr>
              <w:t>Average number of participants per placement</w:t>
            </w:r>
          </w:p>
        </w:tc>
        <w:tc>
          <w:tcPr>
            <w:tcW w:w="1247" w:type="dxa"/>
            <w:noWrap/>
          </w:tcPr>
          <w:p w14:paraId="0438B104" w14:textId="278AFDB7" w:rsidR="00AD3187" w:rsidRPr="00ED76F4" w:rsidRDefault="00823022">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8.2</w:t>
            </w:r>
          </w:p>
        </w:tc>
        <w:tc>
          <w:tcPr>
            <w:tcW w:w="1247" w:type="dxa"/>
            <w:noWrap/>
          </w:tcPr>
          <w:p w14:paraId="0DEB9091" w14:textId="7C50FEB2" w:rsidR="00AD3187" w:rsidRPr="00ED76F4" w:rsidRDefault="00823022">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8.3</w:t>
            </w:r>
          </w:p>
        </w:tc>
        <w:tc>
          <w:tcPr>
            <w:tcW w:w="1247" w:type="dxa"/>
            <w:noWrap/>
          </w:tcPr>
          <w:p w14:paraId="2115C14D" w14:textId="5AD5839C" w:rsidR="00AD3187" w:rsidRPr="00ED76F4" w:rsidRDefault="00823022">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13.1</w:t>
            </w:r>
          </w:p>
        </w:tc>
        <w:tc>
          <w:tcPr>
            <w:tcW w:w="1247" w:type="dxa"/>
            <w:noWrap/>
          </w:tcPr>
          <w:p w14:paraId="5AA56A68" w14:textId="41BFB0B9" w:rsidR="00AD3187" w:rsidRPr="00ED76F4" w:rsidRDefault="00823022">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11.9</w:t>
            </w:r>
          </w:p>
        </w:tc>
        <w:tc>
          <w:tcPr>
            <w:tcW w:w="1247" w:type="dxa"/>
          </w:tcPr>
          <w:p w14:paraId="16F003E8" w14:textId="32DAA802" w:rsidR="00AD3187" w:rsidRPr="005E1DDD" w:rsidRDefault="00AF4E0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Pr>
                <w:rFonts w:asciiTheme="majorHAnsi" w:hAnsiTheme="majorHAnsi"/>
                <w:sz w:val="18"/>
                <w:szCs w:val="18"/>
              </w:rPr>
              <w:t>11.1</w:t>
            </w:r>
          </w:p>
        </w:tc>
      </w:tr>
    </w:tbl>
    <w:p w14:paraId="6FFFC73F" w14:textId="0ECDF241" w:rsidR="00D0493F" w:rsidRDefault="00D0493F" w:rsidP="00D0493F">
      <w:pPr>
        <w:pStyle w:val="Tablenotes"/>
      </w:pPr>
      <w:r>
        <w:t xml:space="preserve">Sources: </w:t>
      </w:r>
      <w:r w:rsidRPr="00B14D29">
        <w:t>PEPA Aged Care program data</w:t>
      </w:r>
      <w:r>
        <w:t>, PEPA Aged Care Audit Financials and Financial Declarations for 2021–24, 2022–23, 2024–25, and Dec</w:t>
      </w:r>
      <w:r w:rsidR="00D54791">
        <w:t>ember</w:t>
      </w:r>
      <w:r>
        <w:t xml:space="preserve"> 24–June 25</w:t>
      </w:r>
      <w:r w:rsidR="00D54791">
        <w:t xml:space="preserve">, </w:t>
      </w:r>
      <w:r w:rsidR="00D54791" w:rsidRPr="00362F97">
        <w:t xml:space="preserve">PEPA Aged Care program data provided by QUT, </w:t>
      </w:r>
      <w:r w:rsidR="00D54791" w:rsidRPr="00362F97">
        <w:lastRenderedPageBreak/>
        <w:t>September 2025</w:t>
      </w:r>
      <w:r>
        <w:t xml:space="preserve">. </w:t>
      </w:r>
      <w:r>
        <w:br/>
        <w:t xml:space="preserve">* Includes placements that are </w:t>
      </w:r>
      <w:r w:rsidRPr="00C26756">
        <w:t>complete, incomplete</w:t>
      </w:r>
      <w:r>
        <w:t xml:space="preserve"> (including being processed)</w:t>
      </w:r>
      <w:r w:rsidRPr="00C26756">
        <w:t>,</w:t>
      </w:r>
      <w:r>
        <w:t xml:space="preserve"> or</w:t>
      </w:r>
      <w:r w:rsidRPr="00C26756">
        <w:t xml:space="preserve"> withdrawn</w:t>
      </w:r>
    </w:p>
    <w:p w14:paraId="1EAFB97F" w14:textId="1A99267C" w:rsidR="00255D5F" w:rsidRDefault="00255D5F" w:rsidP="00255D5F">
      <w:pPr>
        <w:pStyle w:val="Findings"/>
      </w:pPr>
      <w:r>
        <w:t xml:space="preserve">Unit costs </w:t>
      </w:r>
      <w:r w:rsidR="00B25340">
        <w:t xml:space="preserve">for PEPA Aged Care </w:t>
      </w:r>
      <w:r w:rsidR="00943210">
        <w:t xml:space="preserve">decreased after the initial implementation year and then </w:t>
      </w:r>
      <w:r w:rsidR="000E34F3">
        <w:t xml:space="preserve">stabilised, suggesting </w:t>
      </w:r>
      <w:r w:rsidR="00D131C2">
        <w:t xml:space="preserve">early economies of scale </w:t>
      </w:r>
      <w:r w:rsidR="00AB4B04">
        <w:t>followed by relatively</w:t>
      </w:r>
      <w:r w:rsidR="00D131C2">
        <w:t xml:space="preserve"> </w:t>
      </w:r>
      <w:r w:rsidR="000E34F3">
        <w:t>consistent resource use per output.</w:t>
      </w:r>
    </w:p>
    <w:p w14:paraId="5527E60C" w14:textId="0F4891EC" w:rsidR="00002514" w:rsidRDefault="007A7616" w:rsidP="007A7616">
      <w:pPr>
        <w:pStyle w:val="Heading3"/>
      </w:pPr>
      <w:bookmarkStart w:id="121" w:name="_Toc232685925"/>
      <w:r>
        <w:t>Participation costs for sites</w:t>
      </w:r>
      <w:bookmarkEnd w:id="121"/>
    </w:p>
    <w:p w14:paraId="1DC199D0" w14:textId="77777777" w:rsidR="003E4DC9" w:rsidRDefault="007A7616" w:rsidP="00AE60E3">
      <w:r>
        <w:t xml:space="preserve">The evaluation sought to identify direct and indirect costs incurred by </w:t>
      </w:r>
      <w:r w:rsidR="00C10A2E">
        <w:t xml:space="preserve">sites participating in PEPA Aged Care. </w:t>
      </w:r>
      <w:r w:rsidR="000B73EC">
        <w:t>Findings from the online survey</w:t>
      </w:r>
      <w:r w:rsidR="00C10A2E" w:rsidRPr="00C10A2E">
        <w:t xml:space="preserve"> indicate</w:t>
      </w:r>
      <w:r w:rsidR="000B73EC">
        <w:t>d</w:t>
      </w:r>
      <w:r w:rsidR="00C10A2E" w:rsidRPr="00C10A2E">
        <w:t xml:space="preserve"> that nearly two-thirds of </w:t>
      </w:r>
      <w:r w:rsidR="000B73EC">
        <w:t xml:space="preserve">PEPA Aged Care </w:t>
      </w:r>
      <w:r w:rsidR="00C10A2E" w:rsidRPr="00C10A2E">
        <w:t xml:space="preserve">respondents were unsure whether their organisation incurred out-of-pocket costs, likely </w:t>
      </w:r>
      <w:r w:rsidR="00D060C9">
        <w:t>because financial oversight was not</w:t>
      </w:r>
      <w:r w:rsidR="006C6945">
        <w:t xml:space="preserve"> a component of</w:t>
      </w:r>
      <w:r w:rsidR="00C10A2E" w:rsidRPr="00C10A2E">
        <w:t xml:space="preserve"> their</w:t>
      </w:r>
      <w:r w:rsidR="006C6945">
        <w:t xml:space="preserve"> specific</w:t>
      </w:r>
      <w:r w:rsidR="00C10A2E" w:rsidRPr="00C10A2E">
        <w:t xml:space="preserve"> roles</w:t>
      </w:r>
      <w:r w:rsidR="00C10A2E">
        <w:t xml:space="preserve"> (</w:t>
      </w:r>
      <w:r w:rsidR="00751704">
        <w:t xml:space="preserve">technical paper, </w:t>
      </w:r>
      <w:r w:rsidR="004C68A3">
        <w:t>Figure 8.10</w:t>
      </w:r>
      <w:r w:rsidR="00C10A2E">
        <w:t>)</w:t>
      </w:r>
      <w:r w:rsidR="00C10A2E" w:rsidRPr="00C10A2E">
        <w:t xml:space="preserve">. </w:t>
      </w:r>
    </w:p>
    <w:p w14:paraId="04911C26" w14:textId="3F1912C8" w:rsidR="007A7616" w:rsidRPr="003D3324" w:rsidRDefault="000C2445" w:rsidP="00AE60E3">
      <w:r>
        <w:t xml:space="preserve">Around one-quarter of respondents </w:t>
      </w:r>
      <w:r w:rsidR="003E4DC9">
        <w:t xml:space="preserve">reported that their organisation incurred </w:t>
      </w:r>
      <w:r w:rsidR="00D060C9">
        <w:t xml:space="preserve">out-of-pocket costs associated with participation. These were </w:t>
      </w:r>
      <w:r w:rsidR="001F4779">
        <w:t>primarily attributed</w:t>
      </w:r>
      <w:r w:rsidR="00D060C9">
        <w:t xml:space="preserve"> to </w:t>
      </w:r>
      <w:r w:rsidR="00BA42A7">
        <w:t xml:space="preserve">staff participation time and staff backfill. </w:t>
      </w:r>
      <w:r w:rsidR="002212A5">
        <w:t xml:space="preserve">When asked to </w:t>
      </w:r>
      <w:r w:rsidR="00540D5E">
        <w:t>provide estimates of costs associated with participation, seven respondents did so</w:t>
      </w:r>
      <w:r w:rsidR="002212A5">
        <w:t xml:space="preserve">. </w:t>
      </w:r>
      <w:r w:rsidR="00464F0B">
        <w:t>Reported e</w:t>
      </w:r>
      <w:r w:rsidR="00540D5E">
        <w:t>stimate</w:t>
      </w:r>
      <w:r w:rsidR="00464F0B">
        <w:t>s</w:t>
      </w:r>
      <w:r w:rsidR="002212A5">
        <w:t xml:space="preserve"> ranged</w:t>
      </w:r>
      <w:r w:rsidR="00C10A2E">
        <w:t xml:space="preserve"> </w:t>
      </w:r>
      <w:r w:rsidR="0056215F">
        <w:t xml:space="preserve">widely </w:t>
      </w:r>
      <w:r w:rsidR="00C10A2E">
        <w:t>from $200 to $25,000</w:t>
      </w:r>
      <w:r w:rsidR="00E32087">
        <w:t xml:space="preserve">. </w:t>
      </w:r>
      <w:r w:rsidR="00C85488">
        <w:t>Given the small number of respondents providing cost estimates and lack of detailed contextual information</w:t>
      </w:r>
      <w:r w:rsidR="00CB2383">
        <w:t xml:space="preserve"> in the survey</w:t>
      </w:r>
      <w:r w:rsidR="00F776D0">
        <w:t xml:space="preserve">, it was not possible to </w:t>
      </w:r>
      <w:r w:rsidR="004D778B">
        <w:t xml:space="preserve">determine the reasons behind </w:t>
      </w:r>
      <w:r w:rsidR="00CB2383">
        <w:t>the observed variation</w:t>
      </w:r>
      <w:r w:rsidR="000150F5">
        <w:t xml:space="preserve"> in</w:t>
      </w:r>
      <w:r w:rsidR="00EC102A">
        <w:t xml:space="preserve"> estimates</w:t>
      </w:r>
      <w:r w:rsidR="002D11DE">
        <w:t xml:space="preserve">. </w:t>
      </w:r>
      <w:r w:rsidR="00DE4FD0">
        <w:t xml:space="preserve">However, it </w:t>
      </w:r>
      <w:r w:rsidR="002C36F0">
        <w:t>is possible that this variability</w:t>
      </w:r>
      <w:r w:rsidR="00DE4FD0">
        <w:t xml:space="preserve"> </w:t>
      </w:r>
      <w:r w:rsidR="002C36F0">
        <w:t>reflects</w:t>
      </w:r>
      <w:r w:rsidR="00DE4FD0">
        <w:t xml:space="preserve"> differences in service type, organisational size, staffing structures, </w:t>
      </w:r>
      <w:r w:rsidR="00A82A46">
        <w:t xml:space="preserve">duration and format of staff participation, </w:t>
      </w:r>
      <w:r w:rsidR="002C36F0">
        <w:t>or</w:t>
      </w:r>
      <w:r w:rsidR="00A82A46">
        <w:t xml:space="preserve"> </w:t>
      </w:r>
      <w:r w:rsidR="00735BCA">
        <w:t xml:space="preserve">the extent to which backfill was required. </w:t>
      </w:r>
      <w:r w:rsidR="00CB2383">
        <w:t>Given survey limitations, t</w:t>
      </w:r>
      <w:r w:rsidR="002D11DE">
        <w:t>hese findings should be interpreted cautiously.</w:t>
      </w:r>
    </w:p>
    <w:p w14:paraId="01364DCE" w14:textId="2AA505BF" w:rsidR="0099010D" w:rsidRPr="003D3324" w:rsidRDefault="0056759F" w:rsidP="0099010D">
      <w:pPr>
        <w:pStyle w:val="Heading3"/>
        <w:rPr>
          <w:lang w:eastAsia="en-AU"/>
        </w:rPr>
      </w:pPr>
      <w:bookmarkStart w:id="122" w:name="_Toc232685926"/>
      <w:r>
        <w:rPr>
          <w:lang w:eastAsia="en-AU"/>
        </w:rPr>
        <w:t>P</w:t>
      </w:r>
      <w:r w:rsidR="0099010D" w:rsidRPr="003D3324">
        <w:rPr>
          <w:lang w:eastAsia="en-AU"/>
        </w:rPr>
        <w:t>rogram benefits</w:t>
      </w:r>
      <w:bookmarkEnd w:id="122"/>
    </w:p>
    <w:p w14:paraId="1B538B3D" w14:textId="05E1E0F4" w:rsidR="0099010D" w:rsidRDefault="0099010D" w:rsidP="0099010D">
      <w:pPr>
        <w:rPr>
          <w:lang w:eastAsia="en-AU"/>
        </w:rPr>
      </w:pPr>
      <w:r>
        <w:rPr>
          <w:lang w:eastAsia="en-AU"/>
        </w:rPr>
        <w:t>As outlined in the preceding chapters, PEPA Aged Care delivered benefits that aligned with many of the anticipated short</w:t>
      </w:r>
      <w:r w:rsidR="000061C3">
        <w:rPr>
          <w:lang w:eastAsia="en-AU"/>
        </w:rPr>
        <w:t>-</w:t>
      </w:r>
      <w:r>
        <w:rPr>
          <w:lang w:eastAsia="en-AU"/>
        </w:rPr>
        <w:t xml:space="preserve"> and medium-term outcomes in the </w:t>
      </w:r>
      <w:r>
        <w:rPr>
          <w:lang w:eastAsia="en-AU"/>
        </w:rPr>
        <w:t>program logic (</w:t>
      </w:r>
      <w:r>
        <w:rPr>
          <w:lang w:eastAsia="en-AU"/>
        </w:rPr>
        <w:fldChar w:fldCharType="begin"/>
      </w:r>
      <w:r>
        <w:rPr>
          <w:lang w:eastAsia="en-AU"/>
        </w:rPr>
        <w:instrText xml:space="preserve"> REF _Ref216431039 \h </w:instrText>
      </w:r>
      <w:r>
        <w:rPr>
          <w:lang w:eastAsia="en-AU"/>
        </w:rPr>
      </w:r>
      <w:r>
        <w:rPr>
          <w:lang w:eastAsia="en-AU"/>
        </w:rPr>
        <w:fldChar w:fldCharType="separate"/>
      </w:r>
      <w:r w:rsidR="00167BA0">
        <w:t xml:space="preserve">Figure </w:t>
      </w:r>
      <w:r w:rsidR="00167BA0">
        <w:rPr>
          <w:noProof/>
        </w:rPr>
        <w:t>2</w:t>
      </w:r>
      <w:r w:rsidR="00167BA0">
        <w:t>.</w:t>
      </w:r>
      <w:r w:rsidR="00167BA0">
        <w:rPr>
          <w:noProof/>
        </w:rPr>
        <w:t>2</w:t>
      </w:r>
      <w:r>
        <w:rPr>
          <w:lang w:eastAsia="en-AU"/>
        </w:rPr>
        <w:fldChar w:fldCharType="end"/>
      </w:r>
      <w:r>
        <w:rPr>
          <w:lang w:eastAsia="en-AU"/>
        </w:rPr>
        <w:t xml:space="preserve">). </w:t>
      </w:r>
      <w:r w:rsidR="00CA6F9C">
        <w:rPr>
          <w:lang w:eastAsia="en-AU"/>
        </w:rPr>
        <w:t>T</w:t>
      </w:r>
      <w:r>
        <w:rPr>
          <w:lang w:eastAsia="en-AU"/>
        </w:rPr>
        <w:t xml:space="preserve">hese benefits </w:t>
      </w:r>
      <w:r w:rsidR="00AE1646">
        <w:rPr>
          <w:lang w:eastAsia="en-AU"/>
        </w:rPr>
        <w:t>were</w:t>
      </w:r>
      <w:r>
        <w:rPr>
          <w:lang w:eastAsia="en-AU"/>
        </w:rPr>
        <w:t xml:space="preserve"> largely qualitative and cannot be </w:t>
      </w:r>
      <w:r w:rsidR="00815BA6">
        <w:rPr>
          <w:lang w:eastAsia="en-AU"/>
        </w:rPr>
        <w:t>quantified</w:t>
      </w:r>
      <w:r>
        <w:rPr>
          <w:lang w:eastAsia="en-AU"/>
        </w:rPr>
        <w:t xml:space="preserve"> within the current evaluation period</w:t>
      </w:r>
      <w:r w:rsidR="00CA6F9C">
        <w:rPr>
          <w:lang w:eastAsia="en-AU"/>
        </w:rPr>
        <w:t>. However,</w:t>
      </w:r>
      <w:r>
        <w:rPr>
          <w:lang w:eastAsia="en-AU"/>
        </w:rPr>
        <w:t xml:space="preserve"> they </w:t>
      </w:r>
      <w:r w:rsidR="00907353">
        <w:rPr>
          <w:lang w:eastAsia="en-AU"/>
        </w:rPr>
        <w:t xml:space="preserve">likely </w:t>
      </w:r>
      <w:r>
        <w:rPr>
          <w:lang w:eastAsia="en-AU"/>
        </w:rPr>
        <w:t xml:space="preserve">represent meaningful value for </w:t>
      </w:r>
      <w:r w:rsidR="004E055A">
        <w:rPr>
          <w:lang w:eastAsia="en-AU"/>
        </w:rPr>
        <w:t>money</w:t>
      </w:r>
      <w:r w:rsidR="00567A38">
        <w:rPr>
          <w:lang w:eastAsia="en-AU"/>
        </w:rPr>
        <w:t>, consistent</w:t>
      </w:r>
      <w:r w:rsidR="004E055A">
        <w:rPr>
          <w:lang w:eastAsia="en-AU"/>
        </w:rPr>
        <w:t xml:space="preserve"> with expected program outputs</w:t>
      </w:r>
      <w:r>
        <w:rPr>
          <w:lang w:eastAsia="en-AU"/>
        </w:rPr>
        <w:t>. Key benefits included:</w:t>
      </w:r>
    </w:p>
    <w:p w14:paraId="6F116DDD" w14:textId="01F228CF" w:rsidR="0099010D" w:rsidRDefault="00907353" w:rsidP="0099010D">
      <w:pPr>
        <w:pStyle w:val="ListBullet"/>
        <w:rPr>
          <w:lang w:eastAsia="en-AU"/>
        </w:rPr>
      </w:pPr>
      <w:r>
        <w:rPr>
          <w:lang w:eastAsia="en-AU"/>
        </w:rPr>
        <w:t>e</w:t>
      </w:r>
      <w:r w:rsidR="0099010D">
        <w:rPr>
          <w:lang w:eastAsia="en-AU"/>
        </w:rPr>
        <w:t>xpanded workforce training reach:</w:t>
      </w:r>
    </w:p>
    <w:p w14:paraId="0AB0A04D" w14:textId="77777777" w:rsidR="0099010D" w:rsidRDefault="0099010D" w:rsidP="0099010D">
      <w:pPr>
        <w:pStyle w:val="ListBullet2"/>
        <w:rPr>
          <w:lang w:eastAsia="en-AU"/>
        </w:rPr>
      </w:pPr>
      <w:r>
        <w:rPr>
          <w:lang w:eastAsia="en-AU"/>
        </w:rPr>
        <w:t>5,250 staff completed reverse PEPA Aged Care placements</w:t>
      </w:r>
    </w:p>
    <w:p w14:paraId="35026026" w14:textId="77777777" w:rsidR="0099010D" w:rsidRDefault="0099010D" w:rsidP="0099010D">
      <w:pPr>
        <w:pStyle w:val="ListBullet2"/>
        <w:rPr>
          <w:lang w:eastAsia="en-AU"/>
        </w:rPr>
      </w:pPr>
      <w:r>
        <w:rPr>
          <w:lang w:eastAsia="en-AU"/>
        </w:rPr>
        <w:t>palliative care training delivered across 425 sites</w:t>
      </w:r>
    </w:p>
    <w:p w14:paraId="372F51CB" w14:textId="4CF7E8C8" w:rsidR="0099010D" w:rsidRDefault="00907353" w:rsidP="0099010D">
      <w:pPr>
        <w:pStyle w:val="ListBullet"/>
        <w:rPr>
          <w:lang w:eastAsia="en-AU"/>
        </w:rPr>
      </w:pPr>
      <w:r>
        <w:rPr>
          <w:lang w:eastAsia="en-AU"/>
        </w:rPr>
        <w:t>s</w:t>
      </w:r>
      <w:r w:rsidR="006905E9">
        <w:rPr>
          <w:lang w:eastAsia="en-AU"/>
        </w:rPr>
        <w:t>elf-r</w:t>
      </w:r>
      <w:r w:rsidR="0099010D">
        <w:rPr>
          <w:lang w:eastAsia="en-AU"/>
        </w:rPr>
        <w:t>eported improvements in workforce and organisational palliative care capability, integration, and culture:</w:t>
      </w:r>
    </w:p>
    <w:p w14:paraId="2D61B73B" w14:textId="77777777" w:rsidR="0099010D" w:rsidRDefault="0099010D" w:rsidP="0099010D">
      <w:pPr>
        <w:pStyle w:val="ListBullet2"/>
        <w:rPr>
          <w:lang w:eastAsia="en-AU"/>
        </w:rPr>
      </w:pPr>
      <w:r>
        <w:rPr>
          <w:lang w:eastAsia="en-AU"/>
        </w:rPr>
        <w:t>enhanced staff knowledge, skills, confidence, and capability to provide timely and quality palliative care and advanced care planning</w:t>
      </w:r>
    </w:p>
    <w:p w14:paraId="18BF2E26" w14:textId="32BB6A33" w:rsidR="0099010D" w:rsidRDefault="0099010D" w:rsidP="0099010D">
      <w:pPr>
        <w:pStyle w:val="ListBullet2"/>
        <w:rPr>
          <w:lang w:eastAsia="en-AU"/>
        </w:rPr>
      </w:pPr>
      <w:r>
        <w:rPr>
          <w:lang w:eastAsia="en-AU"/>
        </w:rPr>
        <w:t xml:space="preserve">strengthened organisational capability and integration of palliative care as part of </w:t>
      </w:r>
      <w:r w:rsidR="005947C0">
        <w:rPr>
          <w:lang w:eastAsia="en-AU"/>
        </w:rPr>
        <w:t xml:space="preserve">the </w:t>
      </w:r>
      <w:r>
        <w:rPr>
          <w:lang w:eastAsia="en-AU"/>
        </w:rPr>
        <w:t>core business</w:t>
      </w:r>
    </w:p>
    <w:p w14:paraId="795A27DD" w14:textId="77777777" w:rsidR="0099010D" w:rsidRDefault="0099010D" w:rsidP="0099010D">
      <w:pPr>
        <w:pStyle w:val="ListBullet2"/>
        <w:rPr>
          <w:lang w:eastAsia="en-AU"/>
        </w:rPr>
      </w:pPr>
      <w:r>
        <w:rPr>
          <w:lang w:eastAsia="en-AU"/>
        </w:rPr>
        <w:t>improved communication and collaboration with external providers</w:t>
      </w:r>
    </w:p>
    <w:p w14:paraId="12B8551B" w14:textId="77777777" w:rsidR="0099010D" w:rsidRDefault="0099010D" w:rsidP="0099010D">
      <w:pPr>
        <w:pStyle w:val="ListBullet2"/>
        <w:rPr>
          <w:lang w:eastAsia="en-AU"/>
        </w:rPr>
      </w:pPr>
      <w:r>
        <w:rPr>
          <w:lang w:eastAsia="en-AU"/>
        </w:rPr>
        <w:t>enhanced timeliness and quality of palliative care delivery for older people.</w:t>
      </w:r>
    </w:p>
    <w:p w14:paraId="44A59E30" w14:textId="534A180B" w:rsidR="0099010D" w:rsidRDefault="0099010D" w:rsidP="0099010D">
      <w:pPr>
        <w:rPr>
          <w:lang w:eastAsia="en-AU"/>
        </w:rPr>
      </w:pPr>
      <w:r>
        <w:rPr>
          <w:lang w:eastAsia="en-AU"/>
        </w:rPr>
        <w:t xml:space="preserve">In the absence of </w:t>
      </w:r>
      <w:r w:rsidR="00907353">
        <w:rPr>
          <w:lang w:eastAsia="en-AU"/>
        </w:rPr>
        <w:t>quantifiable</w:t>
      </w:r>
      <w:r>
        <w:rPr>
          <w:lang w:eastAsia="en-AU"/>
        </w:rPr>
        <w:t xml:space="preserve"> outcomes, these benefits illustrate progress in building workforce capability and organisational readiness for palliative care</w:t>
      </w:r>
      <w:r w:rsidR="008102C3">
        <w:rPr>
          <w:lang w:eastAsia="en-AU"/>
        </w:rPr>
        <w:t xml:space="preserve"> in participating sites</w:t>
      </w:r>
      <w:r>
        <w:rPr>
          <w:lang w:eastAsia="en-AU"/>
        </w:rPr>
        <w:t xml:space="preserve">, contributing to sector improvement. </w:t>
      </w:r>
      <w:r w:rsidR="00EE46AC">
        <w:rPr>
          <w:lang w:eastAsia="en-AU"/>
        </w:rPr>
        <w:t xml:space="preserve">Collection of </w:t>
      </w:r>
      <w:r w:rsidR="00142879">
        <w:rPr>
          <w:lang w:eastAsia="en-AU"/>
        </w:rPr>
        <w:t xml:space="preserve">measurable outcome data, such as changes in hospital utilisation alongside workforce capability metrics, </w:t>
      </w:r>
      <w:r w:rsidR="00E8127F">
        <w:rPr>
          <w:lang w:eastAsia="en-AU"/>
        </w:rPr>
        <w:t>would improve the ability to quantify longer-term benefits and support</w:t>
      </w:r>
      <w:r>
        <w:rPr>
          <w:lang w:eastAsia="en-AU"/>
        </w:rPr>
        <w:t xml:space="preserve"> future economic </w:t>
      </w:r>
      <w:r w:rsidR="00E8127F">
        <w:rPr>
          <w:lang w:eastAsia="en-AU"/>
        </w:rPr>
        <w:t>evaluation</w:t>
      </w:r>
      <w:r>
        <w:rPr>
          <w:lang w:eastAsia="en-AU"/>
        </w:rPr>
        <w:t>.</w:t>
      </w:r>
    </w:p>
    <w:p w14:paraId="59B03D42" w14:textId="7BDEEA6D" w:rsidR="002C69E0" w:rsidRPr="00E220A3" w:rsidRDefault="002C69E0" w:rsidP="002C69E0">
      <w:pPr>
        <w:pStyle w:val="Findings"/>
      </w:pPr>
      <w:r w:rsidRPr="00E220A3">
        <w:t xml:space="preserve">PEPA Aged Care performance indicators were largely output-focused. </w:t>
      </w:r>
      <w:r w:rsidR="00C848CA">
        <w:t>T</w:t>
      </w:r>
      <w:r w:rsidRPr="00E220A3">
        <w:t xml:space="preserve">his </w:t>
      </w:r>
      <w:r w:rsidR="000B0B40">
        <w:t>allowed for</w:t>
      </w:r>
      <w:r w:rsidRPr="00E220A3">
        <w:t xml:space="preserve"> adequate monitoring of program activity against contractual obligations</w:t>
      </w:r>
      <w:r w:rsidR="00C848CA">
        <w:t>. However</w:t>
      </w:r>
      <w:r w:rsidRPr="00E220A3">
        <w:t xml:space="preserve">, </w:t>
      </w:r>
      <w:r w:rsidR="0011634C">
        <w:t>incorporating</w:t>
      </w:r>
      <w:r w:rsidRPr="00E220A3">
        <w:t xml:space="preserve"> outcome-based measures</w:t>
      </w:r>
      <w:r w:rsidR="0011634C">
        <w:t xml:space="preserve"> in future</w:t>
      </w:r>
      <w:r w:rsidR="006D674B">
        <w:t xml:space="preserve"> would enable a more comprehensive understanding of </w:t>
      </w:r>
      <w:r w:rsidR="001122CC">
        <w:t xml:space="preserve">program impact and facilitate </w:t>
      </w:r>
      <w:r w:rsidR="00C5627B">
        <w:t>economic analysis</w:t>
      </w:r>
      <w:r w:rsidRPr="00E220A3">
        <w:t>.</w:t>
      </w:r>
    </w:p>
    <w:p w14:paraId="2662BC72" w14:textId="15DE328C" w:rsidR="00D8206B" w:rsidRDefault="002114A4" w:rsidP="002114A4">
      <w:pPr>
        <w:pStyle w:val="Heading2"/>
      </w:pPr>
      <w:bookmarkStart w:id="123" w:name="_Toc232685927"/>
      <w:r>
        <w:lastRenderedPageBreak/>
        <w:t>PACOP</w:t>
      </w:r>
      <w:bookmarkEnd w:id="123"/>
    </w:p>
    <w:p w14:paraId="643811EA" w14:textId="40D4FA5A" w:rsidR="007C7CE1" w:rsidRDefault="00AA65F3" w:rsidP="00D8206B">
      <w:r>
        <w:t xml:space="preserve">This section examines </w:t>
      </w:r>
      <w:r w:rsidR="00872F01">
        <w:t>funding utilisation</w:t>
      </w:r>
      <w:r w:rsidR="00332FB4">
        <w:t xml:space="preserve">, </w:t>
      </w:r>
      <w:r w:rsidR="005B73DC">
        <w:t>unit costs, reported participation costs, and both early,</w:t>
      </w:r>
      <w:r w:rsidR="00332FB4">
        <w:t xml:space="preserve"> </w:t>
      </w:r>
      <w:r w:rsidR="00B276F4">
        <w:rPr>
          <w:lang w:eastAsia="en-AU"/>
        </w:rPr>
        <w:t xml:space="preserve">quantifiable </w:t>
      </w:r>
      <w:r w:rsidR="00332FB4">
        <w:t>and non-</w:t>
      </w:r>
      <w:r w:rsidR="00B276F4">
        <w:rPr>
          <w:lang w:eastAsia="en-AU"/>
        </w:rPr>
        <w:t xml:space="preserve">quantifiable </w:t>
      </w:r>
      <w:r w:rsidR="00332FB4">
        <w:t>benefits</w:t>
      </w:r>
      <w:r w:rsidR="00274378">
        <w:t xml:space="preserve"> for PACOP</w:t>
      </w:r>
      <w:r w:rsidR="00332FB4">
        <w:t>.</w:t>
      </w:r>
      <w:r w:rsidR="00955706">
        <w:t xml:space="preserve"> Given the early stage of program implementation and the complexity of embedding benchmarking systems across the residential aged care sector, the analysis focuses on cost-efficiency and indicative benefits</w:t>
      </w:r>
      <w:r w:rsidR="00577A92">
        <w:t xml:space="preserve">. </w:t>
      </w:r>
      <w:r w:rsidR="00955706">
        <w:t>Findings should be interpreted in the context of timing and data limitations.</w:t>
      </w:r>
    </w:p>
    <w:p w14:paraId="76A1EA3D" w14:textId="28F54FCD" w:rsidR="002114A4" w:rsidRDefault="002114A4" w:rsidP="002114A4">
      <w:pPr>
        <w:pStyle w:val="Heading3"/>
      </w:pPr>
      <w:bookmarkStart w:id="124" w:name="_Toc232685928"/>
      <w:r>
        <w:t xml:space="preserve">Program </w:t>
      </w:r>
      <w:r w:rsidR="00E555B9">
        <w:t>funding and expenditure</w:t>
      </w:r>
      <w:bookmarkEnd w:id="124"/>
    </w:p>
    <w:p w14:paraId="681B23B5" w14:textId="2A56AF0E" w:rsidR="00970D68" w:rsidRDefault="00272A2F" w:rsidP="00970D68">
      <w:pPr>
        <w:keepNext/>
      </w:pPr>
      <w:r>
        <w:t xml:space="preserve">The University of Wollongong </w:t>
      </w:r>
      <w:r w:rsidR="00494D40">
        <w:t>received $11.9</w:t>
      </w:r>
      <w:r w:rsidR="000876B6">
        <w:t>4</w:t>
      </w:r>
      <w:r w:rsidR="00494D40">
        <w:t xml:space="preserve"> million to deliver PACOP during</w:t>
      </w:r>
      <w:r w:rsidR="00F214FB">
        <w:t xml:space="preserve"> the evaluation period (2021–22 to 2024–25). </w:t>
      </w:r>
      <w:r w:rsidR="008801EC">
        <w:t>No additional funding sources contributed to program delivery.</w:t>
      </w:r>
    </w:p>
    <w:p w14:paraId="7789ED96" w14:textId="7C2694BC" w:rsidR="00F93A7E" w:rsidRDefault="00970D68" w:rsidP="00BA6B55">
      <w:r>
        <w:fldChar w:fldCharType="begin"/>
      </w:r>
      <w:r>
        <w:instrText xml:space="preserve"> REF _Ref216950655 \h </w:instrText>
      </w:r>
      <w:r>
        <w:fldChar w:fldCharType="separate"/>
      </w:r>
      <w:r w:rsidR="00167BA0" w:rsidRPr="001E3940">
        <w:t xml:space="preserve">Table </w:t>
      </w:r>
      <w:r w:rsidR="00167BA0">
        <w:rPr>
          <w:noProof/>
        </w:rPr>
        <w:t>7</w:t>
      </w:r>
      <w:r w:rsidR="00167BA0">
        <w:t>.</w:t>
      </w:r>
      <w:r w:rsidR="00167BA0">
        <w:rPr>
          <w:noProof/>
        </w:rPr>
        <w:t>4</w:t>
      </w:r>
      <w:r>
        <w:fldChar w:fldCharType="end"/>
      </w:r>
      <w:r w:rsidR="00747557">
        <w:t xml:space="preserve"> presents </w:t>
      </w:r>
      <w:r w:rsidR="00747557" w:rsidRPr="00790A58">
        <w:t xml:space="preserve">budgets and expenditures by cost type for PACOP based on available data for </w:t>
      </w:r>
      <w:r w:rsidR="004D396B">
        <w:t xml:space="preserve">the </w:t>
      </w:r>
      <w:r w:rsidR="00747557" w:rsidRPr="00790A58">
        <w:t>2021–22 to 2024</w:t>
      </w:r>
      <w:r w:rsidRPr="00790A58">
        <w:t>–</w:t>
      </w:r>
      <w:r w:rsidR="00747557" w:rsidRPr="00790A58">
        <w:t>25</w:t>
      </w:r>
      <w:r w:rsidR="004D396B">
        <w:t xml:space="preserve"> financial years</w:t>
      </w:r>
      <w:r w:rsidR="00747557" w:rsidRPr="00790A58">
        <w:t xml:space="preserve">. </w:t>
      </w:r>
      <w:r w:rsidR="00C231EF">
        <w:t>Under grant arrangements, unspent funds were carried forward between financial years</w:t>
      </w:r>
      <w:r w:rsidR="00285F10">
        <w:t xml:space="preserve">. </w:t>
      </w:r>
      <w:r w:rsidR="008801EC" w:rsidRPr="00790A58">
        <w:t>Actual</w:t>
      </w:r>
      <w:r w:rsidR="008801EC">
        <w:t xml:space="preserve"> program expenditure</w:t>
      </w:r>
      <w:r w:rsidR="00285F10">
        <w:t xml:space="preserve"> by financial year</w:t>
      </w:r>
      <w:r w:rsidR="008801EC">
        <w:t xml:space="preserve"> </w:t>
      </w:r>
      <w:r w:rsidR="003D5767">
        <w:t xml:space="preserve">ranged from </w:t>
      </w:r>
      <w:r w:rsidR="002F4043">
        <w:t xml:space="preserve">44% to </w:t>
      </w:r>
      <w:r w:rsidR="003D5767">
        <w:t xml:space="preserve">51% </w:t>
      </w:r>
      <w:r w:rsidR="0014444A">
        <w:t xml:space="preserve">of </w:t>
      </w:r>
      <w:r w:rsidR="00C231EF">
        <w:t>total funding available</w:t>
      </w:r>
      <w:r w:rsidR="00164E8E">
        <w:t>.</w:t>
      </w:r>
      <w:r w:rsidR="00285F10">
        <w:t xml:space="preserve"> When accounting for </w:t>
      </w:r>
      <w:r w:rsidR="0098418C">
        <w:t>carry-forward balances, there was a closing unspent balance of approximately $2.65</w:t>
      </w:r>
      <w:r w:rsidR="008B74D6">
        <w:t xml:space="preserve"> </w:t>
      </w:r>
      <w:r w:rsidR="00867FFC">
        <w:t xml:space="preserve">million by June 2025. </w:t>
      </w:r>
      <w:bookmarkStart w:id="125" w:name="_Hlk220594683"/>
      <w:r w:rsidR="00555BBD">
        <w:t>U</w:t>
      </w:r>
      <w:r w:rsidR="00710408">
        <w:t>nderspend</w:t>
      </w:r>
      <w:r w:rsidR="00555BBD">
        <w:t>s</w:t>
      </w:r>
      <w:r w:rsidR="00710408">
        <w:t xml:space="preserve"> </w:t>
      </w:r>
      <w:r w:rsidR="008B74D6">
        <w:t xml:space="preserve">relative to annual allocations </w:t>
      </w:r>
      <w:r w:rsidR="00710408">
        <w:t>occurred across all budget item lines</w:t>
      </w:r>
      <w:r w:rsidR="00527619">
        <w:t xml:space="preserve">, with </w:t>
      </w:r>
      <w:r w:rsidR="00963E42">
        <w:t>no</w:t>
      </w:r>
      <w:r w:rsidR="00DE47BA">
        <w:t xml:space="preserve"> clear </w:t>
      </w:r>
      <w:r w:rsidR="00C24B95">
        <w:t xml:space="preserve">attribution of </w:t>
      </w:r>
      <w:r w:rsidR="00D70410">
        <w:t>rolled</w:t>
      </w:r>
      <w:r w:rsidR="00527619">
        <w:t>-</w:t>
      </w:r>
      <w:r w:rsidR="00D70410">
        <w:t>over</w:t>
      </w:r>
      <w:r w:rsidR="00527619">
        <w:t xml:space="preserve"> funds</w:t>
      </w:r>
      <w:r w:rsidR="00D70410">
        <w:t xml:space="preserve"> to </w:t>
      </w:r>
      <w:r w:rsidR="003F732F">
        <w:t xml:space="preserve">specific activities in </w:t>
      </w:r>
      <w:r w:rsidR="00D70410">
        <w:t>the following financial year</w:t>
      </w:r>
      <w:r w:rsidR="00527619">
        <w:t>s</w:t>
      </w:r>
      <w:r w:rsidR="009978F1">
        <w:t xml:space="preserve"> in financial</w:t>
      </w:r>
      <w:r w:rsidR="00AF3B72">
        <w:t xml:space="preserve"> or performance reports.</w:t>
      </w:r>
      <w:r w:rsidR="00B62073">
        <w:t xml:space="preserve"> </w:t>
      </w:r>
      <w:bookmarkEnd w:id="125"/>
      <w:r w:rsidR="00BA6B55" w:rsidRPr="00BA6B55">
        <w:t>Reported reasons</w:t>
      </w:r>
      <w:r w:rsidR="00B91122">
        <w:t xml:space="preserve"> cited</w:t>
      </w:r>
      <w:r w:rsidR="00BA6B55" w:rsidRPr="00BA6B55">
        <w:t xml:space="preserve"> for </w:t>
      </w:r>
      <w:r w:rsidR="003F732F">
        <w:t>lower expenditure</w:t>
      </w:r>
      <w:r w:rsidR="003F732F" w:rsidRPr="00BA6B55">
        <w:t xml:space="preserve"> </w:t>
      </w:r>
      <w:r w:rsidR="00BA6B55" w:rsidRPr="00BA6B55">
        <w:t xml:space="preserve">included delays in program commencement, </w:t>
      </w:r>
      <w:r w:rsidR="004E1B54">
        <w:t xml:space="preserve">staff </w:t>
      </w:r>
      <w:r w:rsidR="00BA6B55" w:rsidRPr="00BA6B55">
        <w:t xml:space="preserve">recruitment challenges, and reduced travel costs due to COVID-19 restrictions in 2021–22. Additional factors included unplanned staff movements, </w:t>
      </w:r>
      <w:r w:rsidR="00007B54">
        <w:t xml:space="preserve">staff </w:t>
      </w:r>
      <w:r w:rsidR="00BA6B55" w:rsidRPr="00BA6B55">
        <w:t xml:space="preserve">recruitment freezes during faculty transitions, and </w:t>
      </w:r>
      <w:r w:rsidR="00BA6B55" w:rsidRPr="00927177">
        <w:t>delays in</w:t>
      </w:r>
      <w:r w:rsidR="004966D8">
        <w:t xml:space="preserve"> planned</w:t>
      </w:r>
      <w:r w:rsidR="00BA6B55" w:rsidRPr="00927177">
        <w:t xml:space="preserve"> IT </w:t>
      </w:r>
      <w:r w:rsidR="004966D8">
        <w:t>integration activities</w:t>
      </w:r>
      <w:r w:rsidR="00927177">
        <w:t xml:space="preserve"> </w:t>
      </w:r>
      <w:sdt>
        <w:sdtPr>
          <w:id w:val="1645620880"/>
          <w:citation/>
        </w:sdtPr>
        <w:sdtContent>
          <w:r w:rsidR="008F150D">
            <w:fldChar w:fldCharType="begin"/>
          </w:r>
          <w:r w:rsidR="008F150D">
            <w:rPr>
              <w:lang w:val="en-US"/>
            </w:rPr>
            <w:instrText xml:space="preserve"> CITATION Uni222 \l 1033 </w:instrText>
          </w:r>
          <w:r w:rsidR="008F150D">
            <w:fldChar w:fldCharType="separate"/>
          </w:r>
          <w:r w:rsidR="00513E81" w:rsidRPr="00513E81">
            <w:rPr>
              <w:noProof/>
              <w:lang w:val="en-US"/>
            </w:rPr>
            <w:t>[28]</w:t>
          </w:r>
          <w:r w:rsidR="008F150D">
            <w:fldChar w:fldCharType="end"/>
          </w:r>
        </w:sdtContent>
      </w:sdt>
      <w:sdt>
        <w:sdtPr>
          <w:id w:val="435412642"/>
          <w:citation/>
        </w:sdtPr>
        <w:sdtContent>
          <w:r w:rsidR="008F150D">
            <w:fldChar w:fldCharType="begin"/>
          </w:r>
          <w:r w:rsidR="008F150D">
            <w:rPr>
              <w:lang w:val="en-US"/>
            </w:rPr>
            <w:instrText xml:space="preserve"> CITATION Uni233 \l 1033 </w:instrText>
          </w:r>
          <w:r w:rsidR="008F150D">
            <w:fldChar w:fldCharType="separate"/>
          </w:r>
          <w:r w:rsidR="00513E81">
            <w:rPr>
              <w:noProof/>
              <w:lang w:val="en-US"/>
            </w:rPr>
            <w:t xml:space="preserve"> </w:t>
          </w:r>
          <w:r w:rsidR="00513E81" w:rsidRPr="00513E81">
            <w:rPr>
              <w:noProof/>
              <w:lang w:val="en-US"/>
            </w:rPr>
            <w:t>[29]</w:t>
          </w:r>
          <w:r w:rsidR="008F150D">
            <w:fldChar w:fldCharType="end"/>
          </w:r>
        </w:sdtContent>
      </w:sdt>
      <w:sdt>
        <w:sdtPr>
          <w:id w:val="-625385140"/>
          <w:citation/>
        </w:sdtPr>
        <w:sdtContent>
          <w:r w:rsidR="008F150D">
            <w:fldChar w:fldCharType="begin"/>
          </w:r>
          <w:r w:rsidR="008F150D">
            <w:rPr>
              <w:lang w:val="en-US"/>
            </w:rPr>
            <w:instrText xml:space="preserve"> CITATION Uni234 \l 1033 </w:instrText>
          </w:r>
          <w:r w:rsidR="008F150D">
            <w:fldChar w:fldCharType="separate"/>
          </w:r>
          <w:r w:rsidR="00513E81">
            <w:rPr>
              <w:noProof/>
              <w:lang w:val="en-US"/>
            </w:rPr>
            <w:t xml:space="preserve"> </w:t>
          </w:r>
          <w:r w:rsidR="00513E81" w:rsidRPr="00513E81">
            <w:rPr>
              <w:noProof/>
              <w:lang w:val="en-US"/>
            </w:rPr>
            <w:t>[30]</w:t>
          </w:r>
          <w:r w:rsidR="008F150D">
            <w:fldChar w:fldCharType="end"/>
          </w:r>
        </w:sdtContent>
      </w:sdt>
      <w:sdt>
        <w:sdtPr>
          <w:id w:val="-1570652862"/>
          <w:citation/>
        </w:sdtPr>
        <w:sdtContent>
          <w:r w:rsidR="008F150D">
            <w:fldChar w:fldCharType="begin"/>
          </w:r>
          <w:r w:rsidR="008F150D">
            <w:rPr>
              <w:lang w:val="en-US"/>
            </w:rPr>
            <w:instrText xml:space="preserve"> CITATION Uni234 \l 1033 </w:instrText>
          </w:r>
          <w:r w:rsidR="008F150D">
            <w:fldChar w:fldCharType="separate"/>
          </w:r>
          <w:r w:rsidR="00513E81">
            <w:rPr>
              <w:noProof/>
              <w:lang w:val="en-US"/>
            </w:rPr>
            <w:t xml:space="preserve"> </w:t>
          </w:r>
          <w:r w:rsidR="00513E81" w:rsidRPr="00513E81">
            <w:rPr>
              <w:noProof/>
              <w:lang w:val="en-US"/>
            </w:rPr>
            <w:t>[30]</w:t>
          </w:r>
          <w:r w:rsidR="008F150D">
            <w:fldChar w:fldCharType="end"/>
          </w:r>
        </w:sdtContent>
      </w:sdt>
      <w:sdt>
        <w:sdtPr>
          <w:id w:val="-1140640188"/>
          <w:citation/>
        </w:sdtPr>
        <w:sdtContent>
          <w:r w:rsidR="008F150D">
            <w:fldChar w:fldCharType="begin"/>
          </w:r>
          <w:r w:rsidR="008F150D">
            <w:rPr>
              <w:lang w:val="en-US"/>
            </w:rPr>
            <w:instrText xml:space="preserve"> CITATION Uni25 \l 1033 </w:instrText>
          </w:r>
          <w:r w:rsidR="008F150D">
            <w:fldChar w:fldCharType="separate"/>
          </w:r>
          <w:r w:rsidR="00513E81">
            <w:rPr>
              <w:noProof/>
              <w:lang w:val="en-US"/>
            </w:rPr>
            <w:t xml:space="preserve"> </w:t>
          </w:r>
          <w:r w:rsidR="00513E81" w:rsidRPr="00513E81">
            <w:rPr>
              <w:noProof/>
              <w:lang w:val="en-US"/>
            </w:rPr>
            <w:t>[25]</w:t>
          </w:r>
          <w:r w:rsidR="008F150D">
            <w:fldChar w:fldCharType="end"/>
          </w:r>
        </w:sdtContent>
      </w:sdt>
      <w:sdt>
        <w:sdtPr>
          <w:id w:val="-1783795897"/>
          <w:citation/>
        </w:sdtPr>
        <w:sdtContent>
          <w:r w:rsidR="008F150D">
            <w:fldChar w:fldCharType="begin"/>
          </w:r>
          <w:r w:rsidR="008F150D">
            <w:rPr>
              <w:lang w:val="en-US"/>
            </w:rPr>
            <w:instrText xml:space="preserve"> CITATION Uni2533 \l 1033 </w:instrText>
          </w:r>
          <w:r w:rsidR="008F150D">
            <w:fldChar w:fldCharType="separate"/>
          </w:r>
          <w:r w:rsidR="00513E81">
            <w:rPr>
              <w:noProof/>
              <w:lang w:val="en-US"/>
            </w:rPr>
            <w:t xml:space="preserve"> </w:t>
          </w:r>
          <w:r w:rsidR="00513E81" w:rsidRPr="00513E81">
            <w:rPr>
              <w:noProof/>
              <w:lang w:val="en-US"/>
            </w:rPr>
            <w:t>[24]</w:t>
          </w:r>
          <w:r w:rsidR="008F150D">
            <w:fldChar w:fldCharType="end"/>
          </w:r>
        </w:sdtContent>
      </w:sdt>
      <w:r w:rsidR="00991A0D" w:rsidRPr="00927177">
        <w:t>.</w:t>
      </w:r>
    </w:p>
    <w:p w14:paraId="0C5801B9" w14:textId="6506A43C" w:rsidR="00991A0D" w:rsidRPr="00BA6B55" w:rsidRDefault="00BF30F9" w:rsidP="00BA6B55">
      <w:r w:rsidRPr="00927177">
        <w:t>N</w:t>
      </w:r>
      <w:r w:rsidR="000C4967" w:rsidRPr="00927177">
        <w:t xml:space="preserve">early $1 million </w:t>
      </w:r>
      <w:r w:rsidRPr="00927177">
        <w:t xml:space="preserve">was </w:t>
      </w:r>
      <w:r w:rsidR="00AF21A6" w:rsidRPr="00927177">
        <w:t xml:space="preserve">allocated in </w:t>
      </w:r>
      <w:r w:rsidR="00EF2B05" w:rsidRPr="00927177">
        <w:t>the</w:t>
      </w:r>
      <w:r w:rsidR="00846E80" w:rsidRPr="00927177">
        <w:t xml:space="preserve"> 2024–25</w:t>
      </w:r>
      <w:r w:rsidR="00EF2B05" w:rsidRPr="00927177">
        <w:t xml:space="preserve"> budget</w:t>
      </w:r>
      <w:r w:rsidR="004966D8">
        <w:t xml:space="preserve"> for the development of new IT infrastructure</w:t>
      </w:r>
      <w:r w:rsidR="007A7B01">
        <w:t>. H</w:t>
      </w:r>
      <w:r w:rsidR="00846E80" w:rsidRPr="00927177">
        <w:t>owever, this activity was delayed</w:t>
      </w:r>
      <w:r w:rsidR="00E46CC3" w:rsidRPr="00927177">
        <w:t xml:space="preserve"> due to </w:t>
      </w:r>
      <w:r w:rsidR="00927177" w:rsidRPr="00927177">
        <w:t xml:space="preserve">internal resourcing constraints </w:t>
      </w:r>
      <w:sdt>
        <w:sdtPr>
          <w:id w:val="1364411102"/>
          <w:citation/>
        </w:sdtPr>
        <w:sdtContent>
          <w:r w:rsidR="00927177">
            <w:fldChar w:fldCharType="begin"/>
          </w:r>
          <w:r w:rsidR="00927177">
            <w:rPr>
              <w:lang w:val="en-US"/>
            </w:rPr>
            <w:instrText xml:space="preserve"> CITATION Uni25 \l 1033 </w:instrText>
          </w:r>
          <w:r w:rsidR="00927177">
            <w:fldChar w:fldCharType="separate"/>
          </w:r>
          <w:r w:rsidR="00513E81" w:rsidRPr="00513E81">
            <w:rPr>
              <w:noProof/>
              <w:lang w:val="en-US"/>
            </w:rPr>
            <w:t>[25]</w:t>
          </w:r>
          <w:r w:rsidR="00927177">
            <w:fldChar w:fldCharType="end"/>
          </w:r>
        </w:sdtContent>
      </w:sdt>
      <w:r w:rsidR="00044FCB" w:rsidRPr="00927177">
        <w:t>.</w:t>
      </w:r>
    </w:p>
    <w:p w14:paraId="773A5805" w14:textId="119AEAAD" w:rsidR="00BA3195" w:rsidRDefault="00CB09DD" w:rsidP="00E555B9">
      <w:r>
        <w:t xml:space="preserve">Staff salaries </w:t>
      </w:r>
      <w:r w:rsidR="00A52CF9">
        <w:t>accounted for the largest share of total expenditure (58%), followed by overheads/other operational costs (</w:t>
      </w:r>
      <w:r w:rsidR="002D3C0D">
        <w:t>e.g.</w:t>
      </w:r>
      <w:r w:rsidR="0063275D">
        <w:t xml:space="preserve"> </w:t>
      </w:r>
      <w:r w:rsidR="000C7913">
        <w:t xml:space="preserve">office space, university IT systems and maintenance; </w:t>
      </w:r>
      <w:r w:rsidR="006D4A13">
        <w:t>30%), and</w:t>
      </w:r>
      <w:r w:rsidR="00AD2E59">
        <w:t xml:space="preserve"> travel, training</w:t>
      </w:r>
      <w:r w:rsidR="006D4A13">
        <w:t>,</w:t>
      </w:r>
      <w:r w:rsidR="00AD2E59">
        <w:t xml:space="preserve"> and workshop</w:t>
      </w:r>
      <w:r w:rsidR="006D4A13">
        <w:t>s</w:t>
      </w:r>
      <w:r w:rsidR="00AD2E59">
        <w:t xml:space="preserve"> (7%). </w:t>
      </w:r>
      <w:r w:rsidR="009601C5">
        <w:t>The projected budget for staff salaries</w:t>
      </w:r>
      <w:r w:rsidR="006D382D">
        <w:t xml:space="preserve"> </w:t>
      </w:r>
      <w:r w:rsidR="009B29F5">
        <w:t>increased</w:t>
      </w:r>
      <w:r w:rsidR="005824D8">
        <w:t xml:space="preserve"> across financial years to reflect</w:t>
      </w:r>
      <w:r w:rsidR="009B29F5" w:rsidRPr="00B13CE9">
        <w:t xml:space="preserve"> a growing number of participating </w:t>
      </w:r>
      <w:r w:rsidR="006D4A13">
        <w:t>homes</w:t>
      </w:r>
      <w:r w:rsidR="006D3E65">
        <w:t>, with PACOP</w:t>
      </w:r>
      <w:r w:rsidR="003863F5">
        <w:t>’</w:t>
      </w:r>
      <w:r w:rsidR="006D3E65">
        <w:t>s workforce expanding from five staff (4.8 FTE) in 2021–22 to 14 staff (11.4 FTE) in 2024–25 (</w:t>
      </w:r>
      <w:r w:rsidR="006D3E65">
        <w:fldChar w:fldCharType="begin"/>
      </w:r>
      <w:r w:rsidR="006D3E65">
        <w:instrText xml:space="preserve"> REF _Ref214442994 \h </w:instrText>
      </w:r>
      <w:r w:rsidR="006D3E65">
        <w:fldChar w:fldCharType="separate"/>
      </w:r>
      <w:r w:rsidR="00167BA0">
        <w:t xml:space="preserve">Table </w:t>
      </w:r>
      <w:r w:rsidR="00167BA0">
        <w:rPr>
          <w:noProof/>
        </w:rPr>
        <w:t>9</w:t>
      </w:r>
      <w:r w:rsidR="00167BA0">
        <w:t>.</w:t>
      </w:r>
      <w:r w:rsidR="00167BA0">
        <w:rPr>
          <w:noProof/>
        </w:rPr>
        <w:t>31</w:t>
      </w:r>
      <w:r w:rsidR="006D3E65">
        <w:fldChar w:fldCharType="end"/>
      </w:r>
      <w:r w:rsidR="006D3E65">
        <w:t xml:space="preserve">, </w:t>
      </w:r>
      <w:r w:rsidR="006D3E65">
        <w:fldChar w:fldCharType="begin"/>
      </w:r>
      <w:r w:rsidR="006D3E65">
        <w:instrText xml:space="preserve"> REF _Ref216955815 \n \h </w:instrText>
      </w:r>
      <w:r w:rsidR="006D3E65">
        <w:fldChar w:fldCharType="separate"/>
      </w:r>
      <w:r w:rsidR="00167BA0">
        <w:t>Appendix D</w:t>
      </w:r>
      <w:r w:rsidR="006D3E65">
        <w:fldChar w:fldCharType="end"/>
      </w:r>
      <w:r w:rsidR="006D3E65">
        <w:t>)</w:t>
      </w:r>
      <w:r w:rsidR="00BA3195">
        <w:t>.</w:t>
      </w:r>
      <w:r w:rsidR="00297344">
        <w:t xml:space="preserve"> </w:t>
      </w:r>
      <w:r w:rsidR="00BA3195">
        <w:t>H</w:t>
      </w:r>
      <w:r w:rsidR="00297344">
        <w:t>owever</w:t>
      </w:r>
      <w:r w:rsidR="00BA3195">
        <w:t xml:space="preserve">, salaries </w:t>
      </w:r>
      <w:r w:rsidR="00E62647">
        <w:t xml:space="preserve">remained a significant </w:t>
      </w:r>
      <w:r w:rsidR="00522A94">
        <w:t xml:space="preserve">area of </w:t>
      </w:r>
      <w:r w:rsidR="00E62647">
        <w:t>underspend</w:t>
      </w:r>
      <w:r w:rsidR="00B56DC6">
        <w:t>, suggesting</w:t>
      </w:r>
      <w:r w:rsidR="00264AB4">
        <w:t xml:space="preserve"> ongoing staff recruitment challenges</w:t>
      </w:r>
      <w:r w:rsidR="00643437">
        <w:t xml:space="preserve"> and subsequent</w:t>
      </w:r>
      <w:r w:rsidR="00C84FFA">
        <w:t xml:space="preserve"> risks to program delivery capacity</w:t>
      </w:r>
      <w:r w:rsidR="00BA3195">
        <w:t>.</w:t>
      </w:r>
      <w:r w:rsidR="002B20E7">
        <w:t xml:space="preserve"> </w:t>
      </w:r>
      <w:r w:rsidR="00031A1E">
        <w:t>The University of Wollongong attributed recruitment challenges to the short-term grant funding cycles</w:t>
      </w:r>
      <w:r w:rsidR="00AE62C2">
        <w:t xml:space="preserve"> under the Measure</w:t>
      </w:r>
      <w:r w:rsidR="00031A1E">
        <w:t>, which made it difficult to attract high-quality staff.</w:t>
      </w:r>
      <w:r w:rsidR="00B56DC6">
        <w:t xml:space="preserve"> </w:t>
      </w:r>
      <w:r w:rsidR="00BA3195">
        <w:t xml:space="preserve">There </w:t>
      </w:r>
      <w:proofErr w:type="gramStart"/>
      <w:r w:rsidR="00BA3195">
        <w:t>were</w:t>
      </w:r>
      <w:proofErr w:type="gramEnd"/>
      <w:r w:rsidR="00BA3195">
        <w:t xml:space="preserve"> no clear mitigation strategies outlined in the risk management plans </w:t>
      </w:r>
      <w:r w:rsidR="00363897">
        <w:t>within</w:t>
      </w:r>
      <w:r w:rsidR="00BA3195">
        <w:t xml:space="preserve"> the Activity Work Plans to address staff recruitment issues other than bolstering existing staff FTE.</w:t>
      </w:r>
    </w:p>
    <w:p w14:paraId="6D962133" w14:textId="45E532AB" w:rsidR="008B76FE" w:rsidRDefault="00363897" w:rsidP="00E555B9">
      <w:r>
        <w:t>Overheads</w:t>
      </w:r>
      <w:r w:rsidR="00B56DC6">
        <w:t xml:space="preserve"> for PACOP</w:t>
      </w:r>
      <w:r>
        <w:t xml:space="preserve"> </w:t>
      </w:r>
      <w:r w:rsidR="00C61DAA">
        <w:t xml:space="preserve">nearly </w:t>
      </w:r>
      <w:r w:rsidR="00DD5C28">
        <w:t>doubled in 2024</w:t>
      </w:r>
      <w:r w:rsidR="00C574BB">
        <w:t>–</w:t>
      </w:r>
      <w:r w:rsidR="00DD5C28">
        <w:t>25</w:t>
      </w:r>
      <w:r w:rsidR="00B21A7D">
        <w:t xml:space="preserve"> </w:t>
      </w:r>
      <w:r w:rsidR="000E4ABE">
        <w:t>to $909,000 (43% of total expenditure)</w:t>
      </w:r>
      <w:r w:rsidR="00503607">
        <w:t xml:space="preserve">. </w:t>
      </w:r>
      <w:r w:rsidR="008B76FE">
        <w:t xml:space="preserve">Program data indicated this was </w:t>
      </w:r>
      <w:r w:rsidR="00306434">
        <w:t xml:space="preserve">related to </w:t>
      </w:r>
      <w:r w:rsidR="004E64EE">
        <w:t xml:space="preserve">changes in infrastructure contribution within the </w:t>
      </w:r>
      <w:r w:rsidR="004215F9">
        <w:t>University</w:t>
      </w:r>
      <w:r w:rsidR="004E64EE">
        <w:t xml:space="preserve"> of Wollongong</w:t>
      </w:r>
      <w:r w:rsidR="004215F9">
        <w:t xml:space="preserve">, which increased from 15% of grant funding in the initial funding period (2021–22 to 2023–24) to 30% </w:t>
      </w:r>
      <w:r w:rsidR="00C574BB">
        <w:t>in 2024–25 to 2025–26. Shared infrastructure included office space, University of Wollongong IT systems</w:t>
      </w:r>
      <w:r w:rsidR="00345C1B">
        <w:t>, and business services.</w:t>
      </w:r>
    </w:p>
    <w:p w14:paraId="0F9C18ED" w14:textId="0F9FC130" w:rsidR="002C1919" w:rsidRPr="002C1919" w:rsidRDefault="00EC0E6B" w:rsidP="002C1919">
      <w:r>
        <w:t>The</w:t>
      </w:r>
      <w:r w:rsidR="003A4B5C">
        <w:t xml:space="preserve"> University of Wollongong reported </w:t>
      </w:r>
      <w:r w:rsidR="001F2DCA">
        <w:t xml:space="preserve">that PACOP </w:t>
      </w:r>
      <w:r w:rsidR="003A4B5C">
        <w:t>shar</w:t>
      </w:r>
      <w:r w:rsidR="001F2DCA">
        <w:t>ed</w:t>
      </w:r>
      <w:r w:rsidR="003A4B5C">
        <w:t xml:space="preserve"> </w:t>
      </w:r>
      <w:r w:rsidR="002C1919">
        <w:t xml:space="preserve">IT and data system costs </w:t>
      </w:r>
      <w:r w:rsidR="001F2DCA">
        <w:t>with</w:t>
      </w:r>
      <w:r w:rsidR="002C1919">
        <w:t xml:space="preserve"> other programs administered within the same </w:t>
      </w:r>
      <w:r w:rsidR="0014687D">
        <w:t xml:space="preserve">research </w:t>
      </w:r>
      <w:r w:rsidR="002C1919">
        <w:t>centre</w:t>
      </w:r>
      <w:r w:rsidR="00ED5BCB">
        <w:t xml:space="preserve">. </w:t>
      </w:r>
      <w:r w:rsidR="002C1919" w:rsidRPr="002C1919">
        <w:t xml:space="preserve">For example, a joint evaluation of data security, privacy, and ethics across multiple programs cost $141,300, of which PACOP contributed $57,000 (40%), representing a potential saving of up to $84,300. </w:t>
      </w:r>
      <w:r w:rsidR="00370A5E">
        <w:t xml:space="preserve">However, the full extent of other shared costs between </w:t>
      </w:r>
      <w:r w:rsidR="0014687D">
        <w:t xml:space="preserve">PACOP and other </w:t>
      </w:r>
      <w:r w:rsidR="00370A5E">
        <w:t>programs</w:t>
      </w:r>
      <w:r w:rsidR="003A0B6E">
        <w:t xml:space="preserve">, as well as potential associated savings, </w:t>
      </w:r>
      <w:r w:rsidR="00370A5E">
        <w:t>could not be quantified</w:t>
      </w:r>
      <w:r w:rsidR="003A0B6E">
        <w:t xml:space="preserve"> </w:t>
      </w:r>
      <w:r w:rsidR="00C1756F">
        <w:t>based on data available to</w:t>
      </w:r>
      <w:r w:rsidR="003A0B6E">
        <w:t xml:space="preserve"> the evaluation</w:t>
      </w:r>
      <w:r w:rsidR="00370A5E">
        <w:t>.</w:t>
      </w:r>
    </w:p>
    <w:p w14:paraId="466C83D6" w14:textId="3F5A3A6C" w:rsidR="00D26FBC" w:rsidRDefault="00EA4606" w:rsidP="00E555B9">
      <w:r>
        <w:t>Marketing spend was minimal (3% of total expenditure) and</w:t>
      </w:r>
      <w:r w:rsidR="00BF191E">
        <w:t>,</w:t>
      </w:r>
      <w:r>
        <w:t xml:space="preserve"> as outlined in Section 5.3.2, relied on low-cost channels rather than paid advertising. </w:t>
      </w:r>
      <w:r w:rsidR="00EF400D">
        <w:t>This approach</w:t>
      </w:r>
      <w:r>
        <w:t xml:space="preserve"> likely constrained visibility beyond existing networks and</w:t>
      </w:r>
      <w:r w:rsidR="00A356B5">
        <w:t xml:space="preserve"> potentially</w:t>
      </w:r>
      <w:r>
        <w:t xml:space="preserve"> masked latent demand.</w:t>
      </w:r>
    </w:p>
    <w:p w14:paraId="6D0E12FE" w14:textId="77777777" w:rsidR="009F5F46" w:rsidRDefault="009F5F46" w:rsidP="004F5216">
      <w:pPr>
        <w:pStyle w:val="Caption"/>
        <w:sectPr w:rsidR="009F5F46" w:rsidSect="00D3683A">
          <w:headerReference w:type="default" r:id="rId56"/>
          <w:footerReference w:type="default" r:id="rId57"/>
          <w:pgSz w:w="16838" w:h="11906" w:orient="landscape" w:code="9"/>
          <w:pgMar w:top="851" w:right="678" w:bottom="851" w:left="851" w:header="709" w:footer="567" w:gutter="0"/>
          <w:cols w:num="2" w:space="709"/>
          <w:docGrid w:linePitch="360"/>
        </w:sectPr>
      </w:pPr>
      <w:bookmarkStart w:id="126" w:name="_Ref214968404"/>
    </w:p>
    <w:p w14:paraId="4EA8F5D5" w14:textId="13133AAB" w:rsidR="004F5216" w:rsidRPr="001E3940" w:rsidRDefault="004F5216" w:rsidP="004F5216">
      <w:pPr>
        <w:pStyle w:val="Caption"/>
      </w:pPr>
      <w:bookmarkStart w:id="127" w:name="_Ref216950655"/>
      <w:r w:rsidRPr="001E3940">
        <w:lastRenderedPageBreak/>
        <w:t xml:space="preserve">Table </w:t>
      </w:r>
      <w:fldSimple w:instr=" STYLEREF 1 \s ">
        <w:r w:rsidR="0091457A">
          <w:rPr>
            <w:noProof/>
          </w:rPr>
          <w:t>7</w:t>
        </w:r>
      </w:fldSimple>
      <w:r w:rsidR="0091457A">
        <w:t>.</w:t>
      </w:r>
      <w:fldSimple w:instr=" SEQ Table \* ARABIC \s 1 ">
        <w:r w:rsidR="0091457A">
          <w:rPr>
            <w:noProof/>
          </w:rPr>
          <w:t>4</w:t>
        </w:r>
      </w:fldSimple>
      <w:bookmarkEnd w:id="126"/>
      <w:bookmarkEnd w:id="127"/>
      <w:r w:rsidRPr="001E3940">
        <w:t xml:space="preserve">: Budget and expenditure for PACOP for financial years 2021–22 </w:t>
      </w:r>
      <w:r>
        <w:t>to</w:t>
      </w:r>
      <w:r w:rsidRPr="001E3940">
        <w:t xml:space="preserve"> 202</w:t>
      </w:r>
      <w:r w:rsidR="001453E4">
        <w:t>4</w:t>
      </w:r>
      <w:r w:rsidR="00736CAC">
        <w:t>–</w:t>
      </w:r>
      <w:r w:rsidR="001453E4">
        <w:t>25</w:t>
      </w:r>
    </w:p>
    <w:tbl>
      <w:tblPr>
        <w:tblStyle w:val="HMAdefaulttable"/>
        <w:tblW w:w="15249" w:type="dxa"/>
        <w:tblBorders>
          <w:left w:val="single" w:sz="4" w:space="0" w:color="auto"/>
          <w:right w:val="single" w:sz="4" w:space="0" w:color="auto"/>
          <w:insideV w:val="single" w:sz="4" w:space="0" w:color="auto"/>
        </w:tblBorders>
        <w:tblLayout w:type="fixed"/>
        <w:tblLook w:val="0420" w:firstRow="1" w:lastRow="0" w:firstColumn="0" w:lastColumn="0" w:noHBand="0" w:noVBand="1"/>
        <w:tblCaption w:val="Summary of PACOP funding and expenditure"/>
        <w:tblDescription w:val="Table shows PACOP budget and expenditure across four financial years from 2021-22 to 2024-25 across various categories."/>
      </w:tblPr>
      <w:tblGrid>
        <w:gridCol w:w="5665"/>
        <w:gridCol w:w="1418"/>
        <w:gridCol w:w="1417"/>
        <w:gridCol w:w="1418"/>
        <w:gridCol w:w="1417"/>
        <w:gridCol w:w="1483"/>
        <w:gridCol w:w="1045"/>
        <w:gridCol w:w="1386"/>
      </w:tblGrid>
      <w:tr w:rsidR="006E1742" w:rsidRPr="003E5BC8" w14:paraId="527D2F2D" w14:textId="4D07EC1E" w:rsidTr="00577DB8">
        <w:trPr>
          <w:cnfStyle w:val="100000000000" w:firstRow="1" w:lastRow="0" w:firstColumn="0" w:lastColumn="0" w:oddVBand="0" w:evenVBand="0" w:oddHBand="0" w:evenHBand="0" w:firstRowFirstColumn="0" w:firstRowLastColumn="0" w:lastRowFirstColumn="0" w:lastRowLastColumn="0"/>
          <w:trHeight w:val="112"/>
          <w:tblHeader/>
        </w:trPr>
        <w:tc>
          <w:tcPr>
            <w:tcW w:w="5665" w:type="dxa"/>
            <w:noWrap/>
            <w:hideMark/>
          </w:tcPr>
          <w:p w14:paraId="73542CE0" w14:textId="196CD8AE" w:rsidR="0024016C" w:rsidRPr="003E5BC8" w:rsidRDefault="00422654" w:rsidP="00F1603D">
            <w:pPr>
              <w:pStyle w:val="TableHeading"/>
            </w:pPr>
            <w:r>
              <w:t>Category</w:t>
            </w:r>
          </w:p>
        </w:tc>
        <w:tc>
          <w:tcPr>
            <w:tcW w:w="1418" w:type="dxa"/>
            <w:noWrap/>
            <w:hideMark/>
          </w:tcPr>
          <w:p w14:paraId="7F4A8A47" w14:textId="77B31287" w:rsidR="0024016C" w:rsidRPr="003E5BC8" w:rsidRDefault="0024016C" w:rsidP="00F7211C">
            <w:pPr>
              <w:pStyle w:val="TableHeading"/>
              <w:jc w:val="right"/>
            </w:pPr>
            <w:r w:rsidRPr="003E5BC8">
              <w:t>2021</w:t>
            </w:r>
            <w:r>
              <w:t>–</w:t>
            </w:r>
            <w:r w:rsidRPr="003E5BC8">
              <w:t>22</w:t>
            </w:r>
          </w:p>
        </w:tc>
        <w:tc>
          <w:tcPr>
            <w:tcW w:w="1417" w:type="dxa"/>
            <w:noWrap/>
            <w:hideMark/>
          </w:tcPr>
          <w:p w14:paraId="69A7BE33" w14:textId="221B1912" w:rsidR="0024016C" w:rsidRPr="003E5BC8" w:rsidRDefault="0024016C" w:rsidP="00F7211C">
            <w:pPr>
              <w:pStyle w:val="TableHeading"/>
              <w:jc w:val="right"/>
            </w:pPr>
            <w:r w:rsidRPr="003E5BC8">
              <w:t>2022</w:t>
            </w:r>
            <w:r>
              <w:t>–</w:t>
            </w:r>
            <w:r w:rsidRPr="003E5BC8">
              <w:t>23</w:t>
            </w:r>
          </w:p>
        </w:tc>
        <w:tc>
          <w:tcPr>
            <w:tcW w:w="1418" w:type="dxa"/>
            <w:noWrap/>
            <w:hideMark/>
          </w:tcPr>
          <w:p w14:paraId="6338A6D5" w14:textId="553CF1EB" w:rsidR="0024016C" w:rsidRPr="003E5BC8" w:rsidRDefault="0024016C" w:rsidP="00F7211C">
            <w:pPr>
              <w:pStyle w:val="TableHeading"/>
              <w:jc w:val="right"/>
            </w:pPr>
            <w:r w:rsidRPr="003E5BC8">
              <w:t>2023</w:t>
            </w:r>
            <w:r>
              <w:t>–</w:t>
            </w:r>
            <w:r w:rsidRPr="003E5BC8">
              <w:t>24</w:t>
            </w:r>
          </w:p>
        </w:tc>
        <w:tc>
          <w:tcPr>
            <w:tcW w:w="1417" w:type="dxa"/>
            <w:noWrap/>
            <w:hideMark/>
          </w:tcPr>
          <w:p w14:paraId="0F652055" w14:textId="2B52A291" w:rsidR="0024016C" w:rsidRPr="003E5BC8" w:rsidRDefault="0024016C" w:rsidP="00F7211C">
            <w:pPr>
              <w:pStyle w:val="TableHeading"/>
              <w:jc w:val="right"/>
            </w:pPr>
            <w:r w:rsidRPr="003E5BC8">
              <w:t>2024</w:t>
            </w:r>
            <w:r>
              <w:t>–</w:t>
            </w:r>
            <w:r w:rsidRPr="003E5BC8">
              <w:t>25</w:t>
            </w:r>
          </w:p>
        </w:tc>
        <w:tc>
          <w:tcPr>
            <w:tcW w:w="1483" w:type="dxa"/>
            <w:noWrap/>
            <w:hideMark/>
          </w:tcPr>
          <w:p w14:paraId="35962662" w14:textId="7A39099E" w:rsidR="0024016C" w:rsidRPr="003E5BC8" w:rsidRDefault="005B3C0E" w:rsidP="00F7211C">
            <w:pPr>
              <w:pStyle w:val="TableHeading"/>
              <w:jc w:val="right"/>
            </w:pPr>
            <w:r>
              <w:t>T</w:t>
            </w:r>
            <w:r w:rsidR="0024016C" w:rsidRPr="003E5BC8">
              <w:t>otal</w:t>
            </w:r>
          </w:p>
        </w:tc>
        <w:tc>
          <w:tcPr>
            <w:tcW w:w="1045" w:type="dxa"/>
            <w:noWrap/>
            <w:hideMark/>
          </w:tcPr>
          <w:p w14:paraId="5C4B5EB5" w14:textId="77777777" w:rsidR="0024016C" w:rsidRPr="003E5BC8" w:rsidRDefault="0024016C" w:rsidP="00F7211C">
            <w:pPr>
              <w:pStyle w:val="TableHeading"/>
              <w:jc w:val="right"/>
            </w:pPr>
            <w:r w:rsidRPr="003E5BC8">
              <w:t>%</w:t>
            </w:r>
          </w:p>
        </w:tc>
        <w:tc>
          <w:tcPr>
            <w:tcW w:w="1386" w:type="dxa"/>
          </w:tcPr>
          <w:p w14:paraId="43FA285E" w14:textId="1BB2258C" w:rsidR="0024016C" w:rsidRPr="003E5BC8" w:rsidRDefault="001D6B91" w:rsidP="00F7211C">
            <w:pPr>
              <w:pStyle w:val="TableHeading"/>
              <w:jc w:val="right"/>
            </w:pPr>
            <w:r>
              <w:t>Annual a</w:t>
            </w:r>
            <w:r w:rsidR="0024016C">
              <w:t>verage</w:t>
            </w:r>
          </w:p>
        </w:tc>
      </w:tr>
      <w:tr w:rsidR="006E1742" w:rsidRPr="005D218B" w14:paraId="10B6B00C" w14:textId="5E24607D" w:rsidTr="00577DB8">
        <w:trPr>
          <w:cnfStyle w:val="000000100000" w:firstRow="0" w:lastRow="0" w:firstColumn="0" w:lastColumn="0" w:oddVBand="0" w:evenVBand="0" w:oddHBand="1" w:evenHBand="0" w:firstRowFirstColumn="0" w:firstRowLastColumn="0" w:lastRowFirstColumn="0" w:lastRowLastColumn="0"/>
          <w:trHeight w:val="202"/>
        </w:trPr>
        <w:tc>
          <w:tcPr>
            <w:tcW w:w="5665" w:type="dxa"/>
            <w:shd w:val="clear" w:color="auto" w:fill="9AD9C8" w:themeFill="accent2" w:themeFillTint="99"/>
            <w:noWrap/>
          </w:tcPr>
          <w:p w14:paraId="2787C0FE" w14:textId="02394A5E" w:rsidR="0024016C" w:rsidRPr="005D218B" w:rsidRDefault="005D218B" w:rsidP="00FE19DA">
            <w:pPr>
              <w:pStyle w:val="TableText"/>
              <w:rPr>
                <w:rFonts w:asciiTheme="majorHAnsi" w:hAnsiTheme="majorHAnsi"/>
              </w:rPr>
            </w:pPr>
            <w:r w:rsidRPr="005D218B">
              <w:rPr>
                <w:rFonts w:asciiTheme="majorHAnsi" w:hAnsiTheme="majorHAnsi"/>
              </w:rPr>
              <w:t>Income</w:t>
            </w:r>
          </w:p>
        </w:tc>
        <w:tc>
          <w:tcPr>
            <w:tcW w:w="1418" w:type="dxa"/>
            <w:shd w:val="clear" w:color="auto" w:fill="9AD9C8" w:themeFill="accent2" w:themeFillTint="99"/>
            <w:noWrap/>
          </w:tcPr>
          <w:p w14:paraId="1E039C7A" w14:textId="3A54FC0D" w:rsidR="0024016C" w:rsidRPr="005D218B" w:rsidRDefault="00A22530" w:rsidP="00175BAC">
            <w:pPr>
              <w:pStyle w:val="TableText"/>
              <w:jc w:val="right"/>
              <w:rPr>
                <w:rFonts w:asciiTheme="majorHAnsi" w:hAnsiTheme="majorHAnsi"/>
              </w:rPr>
            </w:pPr>
            <w:r>
              <w:rPr>
                <w:rFonts w:asciiTheme="majorHAnsi" w:hAnsiTheme="majorHAnsi"/>
              </w:rPr>
              <w:t>$</w:t>
            </w:r>
          </w:p>
        </w:tc>
        <w:tc>
          <w:tcPr>
            <w:tcW w:w="1417" w:type="dxa"/>
            <w:shd w:val="clear" w:color="auto" w:fill="9AD9C8" w:themeFill="accent2" w:themeFillTint="99"/>
            <w:noWrap/>
          </w:tcPr>
          <w:p w14:paraId="0B96C3BF" w14:textId="6DD2D769" w:rsidR="0024016C" w:rsidRPr="005D218B" w:rsidRDefault="00A22530" w:rsidP="00175BAC">
            <w:pPr>
              <w:pStyle w:val="TableText"/>
              <w:jc w:val="right"/>
              <w:rPr>
                <w:rFonts w:asciiTheme="majorHAnsi" w:hAnsiTheme="majorHAnsi"/>
              </w:rPr>
            </w:pPr>
            <w:r>
              <w:rPr>
                <w:rFonts w:asciiTheme="majorHAnsi" w:hAnsiTheme="majorHAnsi"/>
              </w:rPr>
              <w:t>$</w:t>
            </w:r>
          </w:p>
        </w:tc>
        <w:tc>
          <w:tcPr>
            <w:tcW w:w="1418" w:type="dxa"/>
            <w:shd w:val="clear" w:color="auto" w:fill="9AD9C8" w:themeFill="accent2" w:themeFillTint="99"/>
            <w:noWrap/>
          </w:tcPr>
          <w:p w14:paraId="31E03E8B" w14:textId="29EC1C13" w:rsidR="0024016C" w:rsidRPr="005D218B" w:rsidRDefault="00A22530" w:rsidP="00175BAC">
            <w:pPr>
              <w:pStyle w:val="TableText"/>
              <w:jc w:val="right"/>
              <w:rPr>
                <w:rFonts w:asciiTheme="majorHAnsi" w:hAnsiTheme="majorHAnsi"/>
              </w:rPr>
            </w:pPr>
            <w:r>
              <w:rPr>
                <w:rFonts w:asciiTheme="majorHAnsi" w:hAnsiTheme="majorHAnsi"/>
              </w:rPr>
              <w:t>$</w:t>
            </w:r>
          </w:p>
        </w:tc>
        <w:tc>
          <w:tcPr>
            <w:tcW w:w="1417" w:type="dxa"/>
            <w:shd w:val="clear" w:color="auto" w:fill="9AD9C8" w:themeFill="accent2" w:themeFillTint="99"/>
            <w:noWrap/>
          </w:tcPr>
          <w:p w14:paraId="02CC3144" w14:textId="500E77F8" w:rsidR="0024016C" w:rsidRPr="005D218B" w:rsidRDefault="00A22530" w:rsidP="00175BAC">
            <w:pPr>
              <w:pStyle w:val="TableText"/>
              <w:jc w:val="right"/>
              <w:rPr>
                <w:rFonts w:asciiTheme="majorHAnsi" w:hAnsiTheme="majorHAnsi"/>
              </w:rPr>
            </w:pPr>
            <w:r>
              <w:rPr>
                <w:rFonts w:asciiTheme="majorHAnsi" w:hAnsiTheme="majorHAnsi"/>
              </w:rPr>
              <w:t>$</w:t>
            </w:r>
          </w:p>
        </w:tc>
        <w:tc>
          <w:tcPr>
            <w:tcW w:w="1483" w:type="dxa"/>
            <w:shd w:val="clear" w:color="auto" w:fill="9AD9C8" w:themeFill="accent2" w:themeFillTint="99"/>
            <w:noWrap/>
          </w:tcPr>
          <w:p w14:paraId="6E8ABE37" w14:textId="32233C9C" w:rsidR="0024016C" w:rsidRPr="005D218B" w:rsidRDefault="00A22530" w:rsidP="00175BAC">
            <w:pPr>
              <w:pStyle w:val="TableText"/>
              <w:jc w:val="right"/>
              <w:rPr>
                <w:rFonts w:asciiTheme="majorHAnsi" w:hAnsiTheme="majorHAnsi"/>
              </w:rPr>
            </w:pPr>
            <w:r>
              <w:rPr>
                <w:rFonts w:asciiTheme="majorHAnsi" w:hAnsiTheme="majorHAnsi"/>
              </w:rPr>
              <w:t>$</w:t>
            </w:r>
          </w:p>
        </w:tc>
        <w:tc>
          <w:tcPr>
            <w:tcW w:w="1045" w:type="dxa"/>
            <w:shd w:val="clear" w:color="auto" w:fill="9AD9C8" w:themeFill="accent2" w:themeFillTint="99"/>
            <w:noWrap/>
          </w:tcPr>
          <w:p w14:paraId="5BB02CE2" w14:textId="720F638E" w:rsidR="0024016C" w:rsidRPr="005D218B" w:rsidRDefault="00A22530" w:rsidP="00175BAC">
            <w:pPr>
              <w:pStyle w:val="TableText"/>
              <w:jc w:val="right"/>
              <w:rPr>
                <w:rFonts w:asciiTheme="majorHAnsi" w:hAnsiTheme="majorHAnsi"/>
              </w:rPr>
            </w:pPr>
            <w:r>
              <w:rPr>
                <w:rFonts w:asciiTheme="majorHAnsi" w:hAnsiTheme="majorHAnsi"/>
              </w:rPr>
              <w:t>%</w:t>
            </w:r>
          </w:p>
        </w:tc>
        <w:tc>
          <w:tcPr>
            <w:tcW w:w="1386" w:type="dxa"/>
            <w:shd w:val="clear" w:color="auto" w:fill="9AD9C8" w:themeFill="accent2" w:themeFillTint="99"/>
          </w:tcPr>
          <w:p w14:paraId="3496928C" w14:textId="1831E5E8" w:rsidR="0024016C" w:rsidRPr="005D218B" w:rsidRDefault="00A22530" w:rsidP="00175BAC">
            <w:pPr>
              <w:pStyle w:val="TableText"/>
              <w:jc w:val="right"/>
              <w:rPr>
                <w:rFonts w:asciiTheme="majorHAnsi" w:hAnsiTheme="majorHAnsi"/>
              </w:rPr>
            </w:pPr>
            <w:r>
              <w:rPr>
                <w:rFonts w:asciiTheme="majorHAnsi" w:hAnsiTheme="majorHAnsi"/>
              </w:rPr>
              <w:t>$</w:t>
            </w:r>
          </w:p>
        </w:tc>
      </w:tr>
      <w:tr w:rsidR="005D218B" w:rsidRPr="009243D7" w14:paraId="57077545" w14:textId="77777777" w:rsidTr="00577DB8">
        <w:trPr>
          <w:cnfStyle w:val="000000010000" w:firstRow="0" w:lastRow="0" w:firstColumn="0" w:lastColumn="0" w:oddVBand="0" w:evenVBand="0" w:oddHBand="0" w:evenHBand="1" w:firstRowFirstColumn="0" w:firstRowLastColumn="0" w:lastRowFirstColumn="0" w:lastRowLastColumn="0"/>
          <w:trHeight w:val="202"/>
        </w:trPr>
        <w:tc>
          <w:tcPr>
            <w:tcW w:w="5665" w:type="dxa"/>
            <w:shd w:val="clear" w:color="auto" w:fill="auto"/>
            <w:noWrap/>
          </w:tcPr>
          <w:p w14:paraId="103AA049" w14:textId="6F24E1F6" w:rsidR="005D218B" w:rsidRPr="00FE19DA" w:rsidDel="0024016C" w:rsidRDefault="005D218B" w:rsidP="005D218B">
            <w:pPr>
              <w:pStyle w:val="TableText"/>
            </w:pPr>
            <w:r w:rsidRPr="00FE19DA">
              <w:t>Grant funding</w:t>
            </w:r>
          </w:p>
        </w:tc>
        <w:tc>
          <w:tcPr>
            <w:tcW w:w="1418" w:type="dxa"/>
            <w:shd w:val="clear" w:color="auto" w:fill="auto"/>
            <w:noWrap/>
          </w:tcPr>
          <w:p w14:paraId="3423BE14" w14:textId="342CC829" w:rsidR="005D218B" w:rsidRPr="006E1742" w:rsidRDefault="005D218B" w:rsidP="005D218B">
            <w:pPr>
              <w:pStyle w:val="TableText"/>
              <w:jc w:val="right"/>
            </w:pPr>
            <w:r w:rsidRPr="006E1742">
              <w:t xml:space="preserve">$2,911,000 </w:t>
            </w:r>
          </w:p>
        </w:tc>
        <w:tc>
          <w:tcPr>
            <w:tcW w:w="1417" w:type="dxa"/>
            <w:shd w:val="clear" w:color="auto" w:fill="auto"/>
            <w:noWrap/>
          </w:tcPr>
          <w:p w14:paraId="5A3FC986" w14:textId="3507A16A" w:rsidR="005D218B" w:rsidRPr="006E1742" w:rsidRDefault="005D218B" w:rsidP="005D218B">
            <w:pPr>
              <w:pStyle w:val="TableText"/>
              <w:jc w:val="right"/>
            </w:pPr>
            <w:r w:rsidRPr="006E1742">
              <w:t xml:space="preserve">$2,969,000 </w:t>
            </w:r>
          </w:p>
        </w:tc>
        <w:tc>
          <w:tcPr>
            <w:tcW w:w="1418" w:type="dxa"/>
            <w:shd w:val="clear" w:color="auto" w:fill="auto"/>
            <w:noWrap/>
          </w:tcPr>
          <w:p w14:paraId="5C2305BA" w14:textId="00C83528" w:rsidR="005D218B" w:rsidRPr="006E1742" w:rsidRDefault="005D218B" w:rsidP="005D218B">
            <w:pPr>
              <w:pStyle w:val="TableText"/>
              <w:jc w:val="right"/>
            </w:pPr>
            <w:r w:rsidRPr="006E1742">
              <w:t xml:space="preserve">$3,028,000 </w:t>
            </w:r>
          </w:p>
        </w:tc>
        <w:tc>
          <w:tcPr>
            <w:tcW w:w="1417" w:type="dxa"/>
            <w:shd w:val="clear" w:color="auto" w:fill="auto"/>
            <w:noWrap/>
          </w:tcPr>
          <w:p w14:paraId="469F8790" w14:textId="1BABE440" w:rsidR="005D218B" w:rsidRPr="006E1742" w:rsidRDefault="005D218B" w:rsidP="005D218B">
            <w:pPr>
              <w:pStyle w:val="TableText"/>
              <w:jc w:val="right"/>
            </w:pPr>
            <w:r w:rsidRPr="006E1742">
              <w:t xml:space="preserve">$3,030,000 </w:t>
            </w:r>
          </w:p>
        </w:tc>
        <w:tc>
          <w:tcPr>
            <w:tcW w:w="1483" w:type="dxa"/>
            <w:shd w:val="clear" w:color="auto" w:fill="auto"/>
            <w:noWrap/>
          </w:tcPr>
          <w:p w14:paraId="712074BA" w14:textId="2C601EE1" w:rsidR="005D218B" w:rsidRPr="006E1742" w:rsidRDefault="005D218B" w:rsidP="005D218B">
            <w:pPr>
              <w:pStyle w:val="TableText"/>
              <w:jc w:val="right"/>
            </w:pPr>
            <w:r w:rsidRPr="006E1742">
              <w:t xml:space="preserve">$11,938,000 </w:t>
            </w:r>
          </w:p>
        </w:tc>
        <w:tc>
          <w:tcPr>
            <w:tcW w:w="1045" w:type="dxa"/>
            <w:shd w:val="clear" w:color="auto" w:fill="auto"/>
            <w:noWrap/>
          </w:tcPr>
          <w:p w14:paraId="052B0679" w14:textId="11636CD5" w:rsidR="005D218B" w:rsidRPr="006E1742" w:rsidRDefault="00422654" w:rsidP="005D218B">
            <w:pPr>
              <w:pStyle w:val="TableText"/>
              <w:jc w:val="right"/>
            </w:pPr>
            <w:r>
              <w:t>-</w:t>
            </w:r>
            <w:r w:rsidR="005D218B" w:rsidRPr="006E1742">
              <w:t> </w:t>
            </w:r>
          </w:p>
        </w:tc>
        <w:tc>
          <w:tcPr>
            <w:tcW w:w="1386" w:type="dxa"/>
            <w:shd w:val="clear" w:color="auto" w:fill="auto"/>
          </w:tcPr>
          <w:p w14:paraId="5EA41005" w14:textId="11080ED9" w:rsidR="005D218B" w:rsidRPr="006E1742" w:rsidRDefault="005D218B" w:rsidP="005D218B">
            <w:pPr>
              <w:pStyle w:val="TableText"/>
              <w:jc w:val="right"/>
            </w:pPr>
            <w:r w:rsidRPr="006E1742">
              <w:t>$2,984,500</w:t>
            </w:r>
          </w:p>
        </w:tc>
      </w:tr>
      <w:tr w:rsidR="005D218B" w:rsidRPr="009243D7" w14:paraId="13121296" w14:textId="77777777" w:rsidTr="00577DB8">
        <w:trPr>
          <w:cnfStyle w:val="000000100000" w:firstRow="0" w:lastRow="0" w:firstColumn="0" w:lastColumn="0" w:oddVBand="0" w:evenVBand="0" w:oddHBand="1" w:evenHBand="0" w:firstRowFirstColumn="0" w:firstRowLastColumn="0" w:lastRowFirstColumn="0" w:lastRowLastColumn="0"/>
          <w:trHeight w:val="202"/>
        </w:trPr>
        <w:tc>
          <w:tcPr>
            <w:tcW w:w="5665" w:type="dxa"/>
            <w:shd w:val="clear" w:color="auto" w:fill="auto"/>
            <w:noWrap/>
          </w:tcPr>
          <w:p w14:paraId="67408C1E" w14:textId="4ED2A5EE" w:rsidR="005D218B" w:rsidRPr="00FE19DA" w:rsidDel="0024016C" w:rsidRDefault="005D218B" w:rsidP="005D218B">
            <w:pPr>
              <w:pStyle w:val="TableText"/>
            </w:pPr>
            <w:r w:rsidRPr="00FE19DA">
              <w:t>Balance carried forward</w:t>
            </w:r>
          </w:p>
        </w:tc>
        <w:tc>
          <w:tcPr>
            <w:tcW w:w="1418" w:type="dxa"/>
            <w:shd w:val="clear" w:color="auto" w:fill="auto"/>
            <w:noWrap/>
          </w:tcPr>
          <w:p w14:paraId="324C4E70" w14:textId="6F85EE37" w:rsidR="005D218B" w:rsidRPr="006E1742" w:rsidRDefault="005D218B" w:rsidP="005D218B">
            <w:pPr>
              <w:pStyle w:val="TableText"/>
              <w:jc w:val="right"/>
            </w:pPr>
            <w:r w:rsidRPr="006E1742">
              <w:t>$0</w:t>
            </w:r>
          </w:p>
        </w:tc>
        <w:tc>
          <w:tcPr>
            <w:tcW w:w="1417" w:type="dxa"/>
            <w:shd w:val="clear" w:color="auto" w:fill="auto"/>
            <w:noWrap/>
          </w:tcPr>
          <w:p w14:paraId="3469FBF9" w14:textId="48376BC0" w:rsidR="005D218B" w:rsidRPr="006E1742" w:rsidRDefault="005D218B" w:rsidP="005D218B">
            <w:pPr>
              <w:pStyle w:val="TableText"/>
              <w:jc w:val="right"/>
            </w:pPr>
            <w:r w:rsidRPr="006E1742">
              <w:t>$1,435,969</w:t>
            </w:r>
          </w:p>
        </w:tc>
        <w:tc>
          <w:tcPr>
            <w:tcW w:w="1418" w:type="dxa"/>
            <w:shd w:val="clear" w:color="auto" w:fill="auto"/>
            <w:noWrap/>
          </w:tcPr>
          <w:p w14:paraId="60F45EC4" w14:textId="413DB29A" w:rsidR="005D218B" w:rsidRPr="006E1742" w:rsidRDefault="005D218B" w:rsidP="005D218B">
            <w:pPr>
              <w:pStyle w:val="TableText"/>
              <w:jc w:val="right"/>
            </w:pPr>
            <w:r w:rsidRPr="006E1742">
              <w:t>$2,335,089</w:t>
            </w:r>
          </w:p>
        </w:tc>
        <w:tc>
          <w:tcPr>
            <w:tcW w:w="1417" w:type="dxa"/>
            <w:shd w:val="clear" w:color="auto" w:fill="auto"/>
            <w:noWrap/>
          </w:tcPr>
          <w:p w14:paraId="19E460D8" w14:textId="73CFC72F" w:rsidR="005D218B" w:rsidRPr="006E1742" w:rsidRDefault="005D218B" w:rsidP="005D218B">
            <w:pPr>
              <w:pStyle w:val="TableText"/>
              <w:jc w:val="right"/>
            </w:pPr>
            <w:r w:rsidRPr="006E1742">
              <w:t>$1,731,529</w:t>
            </w:r>
          </w:p>
        </w:tc>
        <w:tc>
          <w:tcPr>
            <w:tcW w:w="1483" w:type="dxa"/>
            <w:shd w:val="clear" w:color="auto" w:fill="auto"/>
            <w:noWrap/>
          </w:tcPr>
          <w:p w14:paraId="6963F790" w14:textId="0D7EB53D" w:rsidR="005D218B" w:rsidRPr="006E1742" w:rsidRDefault="00422654" w:rsidP="005D218B">
            <w:pPr>
              <w:pStyle w:val="TableText"/>
              <w:jc w:val="right"/>
            </w:pPr>
            <w:r>
              <w:t>-</w:t>
            </w:r>
          </w:p>
        </w:tc>
        <w:tc>
          <w:tcPr>
            <w:tcW w:w="1045" w:type="dxa"/>
            <w:shd w:val="clear" w:color="auto" w:fill="auto"/>
            <w:noWrap/>
          </w:tcPr>
          <w:p w14:paraId="3B1D38E3" w14:textId="250EBDBD" w:rsidR="005D218B" w:rsidRPr="006E1742" w:rsidRDefault="00422654" w:rsidP="005D218B">
            <w:pPr>
              <w:pStyle w:val="TableText"/>
              <w:jc w:val="right"/>
            </w:pPr>
            <w:r>
              <w:t>-</w:t>
            </w:r>
          </w:p>
        </w:tc>
        <w:tc>
          <w:tcPr>
            <w:tcW w:w="1386" w:type="dxa"/>
            <w:shd w:val="clear" w:color="auto" w:fill="auto"/>
            <w:vAlign w:val="bottom"/>
          </w:tcPr>
          <w:p w14:paraId="6B1C33AE" w14:textId="4F4FE53A" w:rsidR="005D218B" w:rsidRPr="006E1742" w:rsidRDefault="005D218B" w:rsidP="005D218B">
            <w:pPr>
              <w:pStyle w:val="TableText"/>
              <w:jc w:val="right"/>
            </w:pPr>
            <w:r w:rsidRPr="006E1742">
              <w:t>$1,834,196</w:t>
            </w:r>
          </w:p>
        </w:tc>
      </w:tr>
      <w:tr w:rsidR="005D218B" w:rsidRPr="00631D12" w14:paraId="04C1AD4A" w14:textId="77777777" w:rsidTr="00577DB8">
        <w:trPr>
          <w:cnfStyle w:val="000000010000" w:firstRow="0" w:lastRow="0" w:firstColumn="0" w:lastColumn="0" w:oddVBand="0" w:evenVBand="0" w:oddHBand="0" w:evenHBand="1" w:firstRowFirstColumn="0" w:firstRowLastColumn="0" w:lastRowFirstColumn="0" w:lastRowLastColumn="0"/>
          <w:trHeight w:val="202"/>
        </w:trPr>
        <w:tc>
          <w:tcPr>
            <w:tcW w:w="5665" w:type="dxa"/>
            <w:shd w:val="clear" w:color="auto" w:fill="auto"/>
            <w:noWrap/>
          </w:tcPr>
          <w:p w14:paraId="26FFC787" w14:textId="6C41D753" w:rsidR="005D218B" w:rsidRPr="00631D12" w:rsidDel="0024016C" w:rsidRDefault="005D218B" w:rsidP="005D218B">
            <w:pPr>
              <w:pStyle w:val="TableText"/>
            </w:pPr>
            <w:r w:rsidRPr="00631D12">
              <w:t>Total funding available</w:t>
            </w:r>
          </w:p>
        </w:tc>
        <w:tc>
          <w:tcPr>
            <w:tcW w:w="1418" w:type="dxa"/>
            <w:shd w:val="clear" w:color="auto" w:fill="auto"/>
            <w:noWrap/>
          </w:tcPr>
          <w:p w14:paraId="3D96491B" w14:textId="6D541588" w:rsidR="005D218B" w:rsidRPr="00631D12" w:rsidRDefault="005D218B" w:rsidP="005D218B">
            <w:pPr>
              <w:pStyle w:val="TableText"/>
              <w:jc w:val="right"/>
            </w:pPr>
            <w:r w:rsidRPr="00631D12">
              <w:t>$2,911,00</w:t>
            </w:r>
            <w:r w:rsidR="00631D12">
              <w:t>0</w:t>
            </w:r>
          </w:p>
        </w:tc>
        <w:tc>
          <w:tcPr>
            <w:tcW w:w="1417" w:type="dxa"/>
            <w:shd w:val="clear" w:color="auto" w:fill="auto"/>
            <w:noWrap/>
          </w:tcPr>
          <w:p w14:paraId="497F5A17" w14:textId="47AC42C2" w:rsidR="005D218B" w:rsidRPr="00631D12" w:rsidRDefault="005D218B" w:rsidP="005D218B">
            <w:pPr>
              <w:pStyle w:val="TableText"/>
              <w:jc w:val="right"/>
            </w:pPr>
            <w:r w:rsidRPr="00631D12">
              <w:t>$4,404,969</w:t>
            </w:r>
          </w:p>
        </w:tc>
        <w:tc>
          <w:tcPr>
            <w:tcW w:w="1418" w:type="dxa"/>
            <w:shd w:val="clear" w:color="auto" w:fill="auto"/>
            <w:noWrap/>
          </w:tcPr>
          <w:p w14:paraId="35AFF08F" w14:textId="5A4AEDBD" w:rsidR="005D218B" w:rsidRPr="00631D12" w:rsidRDefault="005D218B" w:rsidP="005D218B">
            <w:pPr>
              <w:pStyle w:val="TableText"/>
              <w:jc w:val="right"/>
            </w:pPr>
            <w:r w:rsidRPr="00631D12">
              <w:t>$5,363,089</w:t>
            </w:r>
          </w:p>
        </w:tc>
        <w:tc>
          <w:tcPr>
            <w:tcW w:w="1417" w:type="dxa"/>
            <w:shd w:val="clear" w:color="auto" w:fill="auto"/>
            <w:noWrap/>
          </w:tcPr>
          <w:p w14:paraId="39AC6D60" w14:textId="764A6CCC" w:rsidR="005D218B" w:rsidRPr="00631D12" w:rsidRDefault="005D218B" w:rsidP="005D218B">
            <w:pPr>
              <w:pStyle w:val="TableText"/>
              <w:jc w:val="right"/>
            </w:pPr>
            <w:r w:rsidRPr="00631D12">
              <w:t>$4,761,529</w:t>
            </w:r>
          </w:p>
        </w:tc>
        <w:tc>
          <w:tcPr>
            <w:tcW w:w="1483" w:type="dxa"/>
            <w:shd w:val="clear" w:color="auto" w:fill="auto"/>
            <w:noWrap/>
          </w:tcPr>
          <w:p w14:paraId="26ECC408" w14:textId="72820498" w:rsidR="005D218B" w:rsidRPr="00631D12" w:rsidRDefault="00422654" w:rsidP="005D218B">
            <w:pPr>
              <w:pStyle w:val="TableText"/>
              <w:jc w:val="right"/>
            </w:pPr>
            <w:r>
              <w:t>-</w:t>
            </w:r>
          </w:p>
        </w:tc>
        <w:tc>
          <w:tcPr>
            <w:tcW w:w="1045" w:type="dxa"/>
            <w:shd w:val="clear" w:color="auto" w:fill="auto"/>
            <w:noWrap/>
          </w:tcPr>
          <w:p w14:paraId="64293DAC" w14:textId="122635FC" w:rsidR="005D218B" w:rsidRPr="00631D12" w:rsidRDefault="00422654" w:rsidP="005D218B">
            <w:pPr>
              <w:pStyle w:val="TableText"/>
              <w:jc w:val="right"/>
            </w:pPr>
            <w:r>
              <w:t>-</w:t>
            </w:r>
          </w:p>
        </w:tc>
        <w:tc>
          <w:tcPr>
            <w:tcW w:w="1386" w:type="dxa"/>
            <w:shd w:val="clear" w:color="auto" w:fill="auto"/>
            <w:vAlign w:val="bottom"/>
          </w:tcPr>
          <w:p w14:paraId="1D2FD65D" w14:textId="4719C7AC" w:rsidR="005D218B" w:rsidRPr="00631D12" w:rsidRDefault="005D218B" w:rsidP="005D218B">
            <w:pPr>
              <w:pStyle w:val="TableText"/>
              <w:jc w:val="right"/>
            </w:pPr>
            <w:r w:rsidRPr="00631D12">
              <w:t>$4,360,147</w:t>
            </w:r>
          </w:p>
        </w:tc>
      </w:tr>
      <w:tr w:rsidR="00A22530" w:rsidRPr="009243D7" w14:paraId="46431ADD" w14:textId="16060522" w:rsidTr="00577DB8">
        <w:trPr>
          <w:cnfStyle w:val="000000100000" w:firstRow="0" w:lastRow="0" w:firstColumn="0" w:lastColumn="0" w:oddVBand="0" w:evenVBand="0" w:oddHBand="1" w:evenHBand="0" w:firstRowFirstColumn="0" w:firstRowLastColumn="0" w:lastRowFirstColumn="0" w:lastRowLastColumn="0"/>
          <w:trHeight w:val="202"/>
        </w:trPr>
        <w:tc>
          <w:tcPr>
            <w:tcW w:w="5665" w:type="dxa"/>
            <w:shd w:val="clear" w:color="auto" w:fill="9AD9C8" w:themeFill="accent2" w:themeFillTint="99"/>
            <w:noWrap/>
          </w:tcPr>
          <w:p w14:paraId="5CD2C74A" w14:textId="291D90EE" w:rsidR="00A22530" w:rsidRPr="009243D7" w:rsidRDefault="00A22530" w:rsidP="00A22530">
            <w:pPr>
              <w:pStyle w:val="TableText"/>
              <w:rPr>
                <w:rFonts w:asciiTheme="majorHAnsi" w:hAnsiTheme="majorHAnsi"/>
              </w:rPr>
            </w:pPr>
            <w:r w:rsidRPr="009243D7">
              <w:rPr>
                <w:rFonts w:asciiTheme="majorHAnsi" w:hAnsiTheme="majorHAnsi"/>
              </w:rPr>
              <w:t>Expenditure</w:t>
            </w:r>
          </w:p>
        </w:tc>
        <w:tc>
          <w:tcPr>
            <w:tcW w:w="1418" w:type="dxa"/>
            <w:shd w:val="clear" w:color="auto" w:fill="9AD9C8" w:themeFill="accent2" w:themeFillTint="99"/>
            <w:noWrap/>
          </w:tcPr>
          <w:p w14:paraId="1D3449F6" w14:textId="419805B5" w:rsidR="00A22530" w:rsidRPr="009243D7" w:rsidRDefault="00A22530" w:rsidP="00A22530">
            <w:pPr>
              <w:pStyle w:val="TableText"/>
              <w:jc w:val="right"/>
              <w:rPr>
                <w:rFonts w:asciiTheme="majorHAnsi" w:hAnsiTheme="majorHAnsi"/>
              </w:rPr>
            </w:pPr>
            <w:r>
              <w:rPr>
                <w:rFonts w:asciiTheme="majorHAnsi" w:hAnsiTheme="majorHAnsi"/>
              </w:rPr>
              <w:t>$</w:t>
            </w:r>
          </w:p>
        </w:tc>
        <w:tc>
          <w:tcPr>
            <w:tcW w:w="1417" w:type="dxa"/>
            <w:shd w:val="clear" w:color="auto" w:fill="9AD9C8" w:themeFill="accent2" w:themeFillTint="99"/>
            <w:noWrap/>
          </w:tcPr>
          <w:p w14:paraId="7A06214E" w14:textId="5D10ED62" w:rsidR="00A22530" w:rsidRPr="009243D7" w:rsidRDefault="00A22530" w:rsidP="00A22530">
            <w:pPr>
              <w:pStyle w:val="TableText"/>
              <w:jc w:val="right"/>
              <w:rPr>
                <w:rFonts w:asciiTheme="majorHAnsi" w:hAnsiTheme="majorHAnsi"/>
              </w:rPr>
            </w:pPr>
            <w:r>
              <w:rPr>
                <w:rFonts w:asciiTheme="majorHAnsi" w:hAnsiTheme="majorHAnsi"/>
              </w:rPr>
              <w:t>$</w:t>
            </w:r>
          </w:p>
        </w:tc>
        <w:tc>
          <w:tcPr>
            <w:tcW w:w="1418" w:type="dxa"/>
            <w:shd w:val="clear" w:color="auto" w:fill="9AD9C8" w:themeFill="accent2" w:themeFillTint="99"/>
            <w:noWrap/>
          </w:tcPr>
          <w:p w14:paraId="58389D5A" w14:textId="70BA31F5" w:rsidR="00A22530" w:rsidRPr="009243D7" w:rsidRDefault="00A22530" w:rsidP="00A22530">
            <w:pPr>
              <w:pStyle w:val="TableText"/>
              <w:jc w:val="right"/>
              <w:rPr>
                <w:rFonts w:asciiTheme="majorHAnsi" w:hAnsiTheme="majorHAnsi"/>
              </w:rPr>
            </w:pPr>
            <w:r>
              <w:rPr>
                <w:rFonts w:asciiTheme="majorHAnsi" w:hAnsiTheme="majorHAnsi"/>
              </w:rPr>
              <w:t>$</w:t>
            </w:r>
          </w:p>
        </w:tc>
        <w:tc>
          <w:tcPr>
            <w:tcW w:w="1417" w:type="dxa"/>
            <w:shd w:val="clear" w:color="auto" w:fill="9AD9C8" w:themeFill="accent2" w:themeFillTint="99"/>
            <w:noWrap/>
          </w:tcPr>
          <w:p w14:paraId="0EF974D1" w14:textId="62950F0E" w:rsidR="00A22530" w:rsidRPr="009243D7" w:rsidRDefault="00A22530" w:rsidP="00A22530">
            <w:pPr>
              <w:pStyle w:val="TableText"/>
              <w:jc w:val="right"/>
              <w:rPr>
                <w:rFonts w:asciiTheme="majorHAnsi" w:hAnsiTheme="majorHAnsi"/>
              </w:rPr>
            </w:pPr>
            <w:r>
              <w:rPr>
                <w:rFonts w:asciiTheme="majorHAnsi" w:hAnsiTheme="majorHAnsi"/>
              </w:rPr>
              <w:t>$</w:t>
            </w:r>
          </w:p>
        </w:tc>
        <w:tc>
          <w:tcPr>
            <w:tcW w:w="1483" w:type="dxa"/>
            <w:shd w:val="clear" w:color="auto" w:fill="9AD9C8" w:themeFill="accent2" w:themeFillTint="99"/>
            <w:noWrap/>
          </w:tcPr>
          <w:p w14:paraId="130337B7" w14:textId="4C835CD0" w:rsidR="00A22530" w:rsidRPr="009243D7" w:rsidRDefault="00A22530" w:rsidP="00A22530">
            <w:pPr>
              <w:pStyle w:val="TableText"/>
              <w:jc w:val="right"/>
              <w:rPr>
                <w:rFonts w:asciiTheme="majorHAnsi" w:hAnsiTheme="majorHAnsi"/>
              </w:rPr>
            </w:pPr>
            <w:r>
              <w:rPr>
                <w:rFonts w:asciiTheme="majorHAnsi" w:hAnsiTheme="majorHAnsi"/>
              </w:rPr>
              <w:t>$</w:t>
            </w:r>
          </w:p>
        </w:tc>
        <w:tc>
          <w:tcPr>
            <w:tcW w:w="1045" w:type="dxa"/>
            <w:shd w:val="clear" w:color="auto" w:fill="9AD9C8" w:themeFill="accent2" w:themeFillTint="99"/>
            <w:noWrap/>
          </w:tcPr>
          <w:p w14:paraId="7D7D2D63" w14:textId="334680D8" w:rsidR="00A22530" w:rsidRPr="009243D7" w:rsidRDefault="00A22530" w:rsidP="00A22530">
            <w:pPr>
              <w:pStyle w:val="TableText"/>
              <w:jc w:val="right"/>
              <w:rPr>
                <w:rFonts w:asciiTheme="majorHAnsi" w:hAnsiTheme="majorHAnsi"/>
              </w:rPr>
            </w:pPr>
            <w:r>
              <w:rPr>
                <w:rFonts w:asciiTheme="majorHAnsi" w:hAnsiTheme="majorHAnsi"/>
              </w:rPr>
              <w:t>%</w:t>
            </w:r>
          </w:p>
        </w:tc>
        <w:tc>
          <w:tcPr>
            <w:tcW w:w="1386" w:type="dxa"/>
            <w:shd w:val="clear" w:color="auto" w:fill="9AD9C8" w:themeFill="accent2" w:themeFillTint="99"/>
          </w:tcPr>
          <w:p w14:paraId="7FFFB939" w14:textId="7D2F7D35" w:rsidR="00A22530" w:rsidRPr="009243D7" w:rsidRDefault="00A22530" w:rsidP="00A22530">
            <w:pPr>
              <w:pStyle w:val="TableText"/>
              <w:jc w:val="right"/>
              <w:rPr>
                <w:rFonts w:asciiTheme="majorHAnsi" w:hAnsiTheme="majorHAnsi"/>
              </w:rPr>
            </w:pPr>
            <w:r>
              <w:rPr>
                <w:rFonts w:asciiTheme="majorHAnsi" w:hAnsiTheme="majorHAnsi"/>
              </w:rPr>
              <w:t>$</w:t>
            </w:r>
          </w:p>
        </w:tc>
      </w:tr>
      <w:tr w:rsidR="005D218B" w:rsidRPr="003E5BC8" w14:paraId="403C6D49" w14:textId="1D6A8876" w:rsidTr="00577DB8">
        <w:trPr>
          <w:cnfStyle w:val="000000010000" w:firstRow="0" w:lastRow="0" w:firstColumn="0" w:lastColumn="0" w:oddVBand="0" w:evenVBand="0" w:oddHBand="0" w:evenHBand="1" w:firstRowFirstColumn="0" w:firstRowLastColumn="0" w:lastRowFirstColumn="0" w:lastRowLastColumn="0"/>
          <w:trHeight w:val="122"/>
        </w:trPr>
        <w:tc>
          <w:tcPr>
            <w:tcW w:w="5665" w:type="dxa"/>
            <w:shd w:val="clear" w:color="auto" w:fill="auto"/>
            <w:noWrap/>
            <w:hideMark/>
          </w:tcPr>
          <w:p w14:paraId="4B8C7CF2" w14:textId="77777777" w:rsidR="005D218B" w:rsidRPr="003E5BC8" w:rsidRDefault="005D218B" w:rsidP="005D218B">
            <w:pPr>
              <w:pStyle w:val="TableText"/>
            </w:pPr>
            <w:r w:rsidRPr="003E5BC8">
              <w:t>Salaries</w:t>
            </w:r>
          </w:p>
        </w:tc>
        <w:tc>
          <w:tcPr>
            <w:tcW w:w="1418" w:type="dxa"/>
            <w:shd w:val="clear" w:color="auto" w:fill="auto"/>
            <w:noWrap/>
            <w:hideMark/>
          </w:tcPr>
          <w:p w14:paraId="67A23FC8" w14:textId="3FF13F53" w:rsidR="005D218B" w:rsidRPr="003E5BC8" w:rsidRDefault="005D218B" w:rsidP="005D218B">
            <w:pPr>
              <w:pStyle w:val="TableText"/>
              <w:jc w:val="right"/>
            </w:pPr>
            <w:r w:rsidRPr="003E5BC8">
              <w:t xml:space="preserve">$917,575 </w:t>
            </w:r>
          </w:p>
        </w:tc>
        <w:tc>
          <w:tcPr>
            <w:tcW w:w="1417" w:type="dxa"/>
            <w:shd w:val="clear" w:color="auto" w:fill="auto"/>
            <w:noWrap/>
            <w:hideMark/>
          </w:tcPr>
          <w:p w14:paraId="5675BCC3" w14:textId="0EE6B2BA" w:rsidR="005D218B" w:rsidRPr="003E5BC8" w:rsidRDefault="005D218B" w:rsidP="005D218B">
            <w:pPr>
              <w:pStyle w:val="TableText"/>
              <w:jc w:val="right"/>
            </w:pPr>
            <w:r w:rsidRPr="003E5BC8">
              <w:t xml:space="preserve">$1,293,037 </w:t>
            </w:r>
          </w:p>
        </w:tc>
        <w:tc>
          <w:tcPr>
            <w:tcW w:w="1418" w:type="dxa"/>
            <w:shd w:val="clear" w:color="auto" w:fill="auto"/>
            <w:noWrap/>
            <w:hideMark/>
          </w:tcPr>
          <w:p w14:paraId="7DD76E43" w14:textId="2E9D0BCB" w:rsidR="005D218B" w:rsidRPr="003E5BC8" w:rsidRDefault="005D218B" w:rsidP="005D218B">
            <w:pPr>
              <w:pStyle w:val="TableText"/>
              <w:jc w:val="right"/>
            </w:pPr>
            <w:r w:rsidRPr="003E5BC8">
              <w:t xml:space="preserve">$1,595,276 </w:t>
            </w:r>
          </w:p>
        </w:tc>
        <w:tc>
          <w:tcPr>
            <w:tcW w:w="1417" w:type="dxa"/>
            <w:shd w:val="clear" w:color="auto" w:fill="auto"/>
            <w:noWrap/>
            <w:hideMark/>
          </w:tcPr>
          <w:p w14:paraId="4CADEFFC" w14:textId="5B9412F0" w:rsidR="005D218B" w:rsidRPr="003E5BC8" w:rsidRDefault="005D218B" w:rsidP="005D218B">
            <w:pPr>
              <w:pStyle w:val="TableText"/>
              <w:jc w:val="right"/>
            </w:pPr>
            <w:r w:rsidRPr="003E5BC8">
              <w:t xml:space="preserve">$914,482 </w:t>
            </w:r>
          </w:p>
        </w:tc>
        <w:tc>
          <w:tcPr>
            <w:tcW w:w="1483" w:type="dxa"/>
            <w:shd w:val="clear" w:color="auto" w:fill="auto"/>
            <w:noWrap/>
            <w:hideMark/>
          </w:tcPr>
          <w:p w14:paraId="47DC62E6" w14:textId="3EF83316" w:rsidR="005D218B" w:rsidRPr="003E5BC8" w:rsidRDefault="005D218B" w:rsidP="005D218B">
            <w:pPr>
              <w:pStyle w:val="TableText"/>
              <w:jc w:val="right"/>
            </w:pPr>
            <w:r w:rsidRPr="003E5BC8">
              <w:t xml:space="preserve">$4,720,371 </w:t>
            </w:r>
          </w:p>
        </w:tc>
        <w:tc>
          <w:tcPr>
            <w:tcW w:w="1045" w:type="dxa"/>
            <w:shd w:val="clear" w:color="auto" w:fill="auto"/>
            <w:noWrap/>
            <w:hideMark/>
          </w:tcPr>
          <w:p w14:paraId="6CCAEEEA" w14:textId="77777777" w:rsidR="005D218B" w:rsidRPr="003E5BC8" w:rsidRDefault="005D218B" w:rsidP="005D218B">
            <w:pPr>
              <w:pStyle w:val="TableText"/>
              <w:jc w:val="right"/>
            </w:pPr>
            <w:r w:rsidRPr="003E5BC8">
              <w:t>58%</w:t>
            </w:r>
          </w:p>
        </w:tc>
        <w:tc>
          <w:tcPr>
            <w:tcW w:w="1386" w:type="dxa"/>
            <w:shd w:val="clear" w:color="auto" w:fill="auto"/>
            <w:vAlign w:val="bottom"/>
          </w:tcPr>
          <w:p w14:paraId="1B01E685" w14:textId="4F256959" w:rsidR="005D218B" w:rsidRPr="0043721A" w:rsidRDefault="005D218B" w:rsidP="005D218B">
            <w:pPr>
              <w:pStyle w:val="TableText"/>
              <w:jc w:val="right"/>
            </w:pPr>
            <w:r w:rsidRPr="006E1742">
              <w:t>$1,180,093</w:t>
            </w:r>
          </w:p>
        </w:tc>
      </w:tr>
      <w:tr w:rsidR="005D218B" w:rsidRPr="003E5BC8" w14:paraId="4F787442" w14:textId="01E8BB90" w:rsidTr="00577DB8">
        <w:trPr>
          <w:cnfStyle w:val="000000100000" w:firstRow="0" w:lastRow="0" w:firstColumn="0" w:lastColumn="0" w:oddVBand="0" w:evenVBand="0" w:oddHBand="1" w:evenHBand="0" w:firstRowFirstColumn="0" w:firstRowLastColumn="0" w:lastRowFirstColumn="0" w:lastRowLastColumn="0"/>
          <w:trHeight w:val="198"/>
        </w:trPr>
        <w:tc>
          <w:tcPr>
            <w:tcW w:w="5665" w:type="dxa"/>
            <w:shd w:val="clear" w:color="auto" w:fill="auto"/>
            <w:noWrap/>
            <w:hideMark/>
          </w:tcPr>
          <w:p w14:paraId="6939611C" w14:textId="77777777" w:rsidR="005D218B" w:rsidRPr="003E5BC8" w:rsidRDefault="005D218B" w:rsidP="005D218B">
            <w:pPr>
              <w:pStyle w:val="TableText"/>
            </w:pPr>
            <w:r w:rsidRPr="003E5BC8">
              <w:t xml:space="preserve">Travel, training, workshops </w:t>
            </w:r>
          </w:p>
        </w:tc>
        <w:tc>
          <w:tcPr>
            <w:tcW w:w="1418" w:type="dxa"/>
            <w:shd w:val="clear" w:color="auto" w:fill="auto"/>
            <w:noWrap/>
            <w:hideMark/>
          </w:tcPr>
          <w:p w14:paraId="594F55F9" w14:textId="34FDA64A" w:rsidR="005D218B" w:rsidRPr="003E5BC8" w:rsidRDefault="005D218B" w:rsidP="005D218B">
            <w:pPr>
              <w:pStyle w:val="TableText"/>
              <w:jc w:val="right"/>
            </w:pPr>
            <w:r w:rsidRPr="003E5BC8">
              <w:t xml:space="preserve">$25,206 </w:t>
            </w:r>
          </w:p>
        </w:tc>
        <w:tc>
          <w:tcPr>
            <w:tcW w:w="1417" w:type="dxa"/>
            <w:shd w:val="clear" w:color="auto" w:fill="auto"/>
            <w:noWrap/>
            <w:hideMark/>
          </w:tcPr>
          <w:p w14:paraId="53A21363" w14:textId="109CF6F3" w:rsidR="005D218B" w:rsidRPr="003E5BC8" w:rsidRDefault="005D218B" w:rsidP="005D218B">
            <w:pPr>
              <w:pStyle w:val="TableText"/>
              <w:jc w:val="right"/>
            </w:pPr>
            <w:r w:rsidRPr="003E5BC8">
              <w:t xml:space="preserve">$173,299 </w:t>
            </w:r>
          </w:p>
        </w:tc>
        <w:tc>
          <w:tcPr>
            <w:tcW w:w="1418" w:type="dxa"/>
            <w:shd w:val="clear" w:color="auto" w:fill="auto"/>
            <w:noWrap/>
            <w:hideMark/>
          </w:tcPr>
          <w:p w14:paraId="0BCEA651" w14:textId="2BBFB59F" w:rsidR="005D218B" w:rsidRPr="003E5BC8" w:rsidRDefault="005D218B" w:rsidP="005D218B">
            <w:pPr>
              <w:pStyle w:val="TableText"/>
              <w:jc w:val="right"/>
            </w:pPr>
            <w:r w:rsidRPr="003E5BC8">
              <w:t xml:space="preserve">$225,963 </w:t>
            </w:r>
          </w:p>
        </w:tc>
        <w:tc>
          <w:tcPr>
            <w:tcW w:w="1417" w:type="dxa"/>
            <w:shd w:val="clear" w:color="auto" w:fill="auto"/>
            <w:noWrap/>
            <w:hideMark/>
          </w:tcPr>
          <w:p w14:paraId="11CF33BE" w14:textId="3E46695F" w:rsidR="005D218B" w:rsidRPr="003E5BC8" w:rsidRDefault="005D218B" w:rsidP="005D218B">
            <w:pPr>
              <w:pStyle w:val="TableText"/>
              <w:jc w:val="right"/>
            </w:pPr>
            <w:r w:rsidRPr="003E5BC8">
              <w:t xml:space="preserve">$130,813 </w:t>
            </w:r>
          </w:p>
        </w:tc>
        <w:tc>
          <w:tcPr>
            <w:tcW w:w="1483" w:type="dxa"/>
            <w:shd w:val="clear" w:color="auto" w:fill="auto"/>
            <w:noWrap/>
            <w:hideMark/>
          </w:tcPr>
          <w:p w14:paraId="5500A9FB" w14:textId="6E04BF35" w:rsidR="005D218B" w:rsidRPr="003E5BC8" w:rsidRDefault="005D218B" w:rsidP="005D218B">
            <w:pPr>
              <w:pStyle w:val="TableText"/>
              <w:jc w:val="right"/>
            </w:pPr>
            <w:r w:rsidRPr="003E5BC8">
              <w:t xml:space="preserve">$555,280 </w:t>
            </w:r>
          </w:p>
        </w:tc>
        <w:tc>
          <w:tcPr>
            <w:tcW w:w="1045" w:type="dxa"/>
            <w:shd w:val="clear" w:color="auto" w:fill="auto"/>
            <w:noWrap/>
            <w:hideMark/>
          </w:tcPr>
          <w:p w14:paraId="1585F799" w14:textId="77777777" w:rsidR="005D218B" w:rsidRPr="003E5BC8" w:rsidRDefault="005D218B" w:rsidP="005D218B">
            <w:pPr>
              <w:pStyle w:val="TableText"/>
              <w:jc w:val="right"/>
            </w:pPr>
            <w:r w:rsidRPr="003E5BC8">
              <w:t>7%</w:t>
            </w:r>
          </w:p>
        </w:tc>
        <w:tc>
          <w:tcPr>
            <w:tcW w:w="1386" w:type="dxa"/>
            <w:shd w:val="clear" w:color="auto" w:fill="auto"/>
            <w:vAlign w:val="bottom"/>
          </w:tcPr>
          <w:p w14:paraId="58703B48" w14:textId="69475BB0" w:rsidR="005D218B" w:rsidRPr="0043721A" w:rsidRDefault="005D218B" w:rsidP="005D218B">
            <w:pPr>
              <w:pStyle w:val="TableText"/>
              <w:jc w:val="right"/>
            </w:pPr>
            <w:r w:rsidRPr="006E1742">
              <w:t>$138,820</w:t>
            </w:r>
          </w:p>
        </w:tc>
      </w:tr>
      <w:tr w:rsidR="005D218B" w:rsidRPr="003E5BC8" w14:paraId="05D6428F" w14:textId="24FF6203" w:rsidTr="00577DB8">
        <w:trPr>
          <w:cnfStyle w:val="000000010000" w:firstRow="0" w:lastRow="0" w:firstColumn="0" w:lastColumn="0" w:oddVBand="0" w:evenVBand="0" w:oddHBand="0" w:evenHBand="1" w:firstRowFirstColumn="0" w:firstRowLastColumn="0" w:lastRowFirstColumn="0" w:lastRowLastColumn="0"/>
          <w:trHeight w:val="118"/>
        </w:trPr>
        <w:tc>
          <w:tcPr>
            <w:tcW w:w="5665" w:type="dxa"/>
            <w:shd w:val="clear" w:color="auto" w:fill="auto"/>
            <w:noWrap/>
            <w:hideMark/>
          </w:tcPr>
          <w:p w14:paraId="5B10F359" w14:textId="77777777" w:rsidR="005D218B" w:rsidRPr="003E5BC8" w:rsidRDefault="005D218B" w:rsidP="005D218B">
            <w:pPr>
              <w:pStyle w:val="TableText"/>
            </w:pPr>
            <w:r w:rsidRPr="003E5BC8">
              <w:t>Communication/marketing</w:t>
            </w:r>
          </w:p>
        </w:tc>
        <w:tc>
          <w:tcPr>
            <w:tcW w:w="1418" w:type="dxa"/>
            <w:shd w:val="clear" w:color="auto" w:fill="auto"/>
            <w:noWrap/>
            <w:hideMark/>
          </w:tcPr>
          <w:p w14:paraId="34548256" w14:textId="43BE5926" w:rsidR="005D218B" w:rsidRPr="003E5BC8" w:rsidRDefault="005D218B" w:rsidP="005D218B">
            <w:pPr>
              <w:pStyle w:val="TableText"/>
              <w:jc w:val="right"/>
            </w:pPr>
            <w:r w:rsidRPr="003E5BC8">
              <w:t xml:space="preserve">$12,787 </w:t>
            </w:r>
          </w:p>
        </w:tc>
        <w:tc>
          <w:tcPr>
            <w:tcW w:w="1417" w:type="dxa"/>
            <w:shd w:val="clear" w:color="auto" w:fill="auto"/>
            <w:noWrap/>
            <w:hideMark/>
          </w:tcPr>
          <w:p w14:paraId="2918F163" w14:textId="3F4769CC" w:rsidR="005D218B" w:rsidRPr="003E5BC8" w:rsidRDefault="005D218B" w:rsidP="005D218B">
            <w:pPr>
              <w:pStyle w:val="TableText"/>
              <w:jc w:val="right"/>
            </w:pPr>
            <w:r w:rsidRPr="003E5BC8">
              <w:t xml:space="preserve">$86,205 </w:t>
            </w:r>
          </w:p>
        </w:tc>
        <w:tc>
          <w:tcPr>
            <w:tcW w:w="1418" w:type="dxa"/>
            <w:shd w:val="clear" w:color="auto" w:fill="auto"/>
            <w:noWrap/>
            <w:hideMark/>
          </w:tcPr>
          <w:p w14:paraId="3CF13C21" w14:textId="3F2BF69F" w:rsidR="005D218B" w:rsidRPr="003E5BC8" w:rsidRDefault="005D218B" w:rsidP="005D218B">
            <w:pPr>
              <w:pStyle w:val="TableText"/>
              <w:jc w:val="right"/>
            </w:pPr>
            <w:r w:rsidRPr="003E5BC8">
              <w:t xml:space="preserve">$105,851 </w:t>
            </w:r>
          </w:p>
        </w:tc>
        <w:tc>
          <w:tcPr>
            <w:tcW w:w="1417" w:type="dxa"/>
            <w:shd w:val="clear" w:color="auto" w:fill="auto"/>
            <w:noWrap/>
            <w:hideMark/>
          </w:tcPr>
          <w:p w14:paraId="0D9C9DAD" w14:textId="5C3A7F7A" w:rsidR="005D218B" w:rsidRPr="003E5BC8" w:rsidRDefault="005D218B" w:rsidP="005D218B">
            <w:pPr>
              <w:pStyle w:val="TableText"/>
              <w:jc w:val="right"/>
            </w:pPr>
            <w:r w:rsidRPr="003E5BC8">
              <w:t xml:space="preserve">$23,062 </w:t>
            </w:r>
          </w:p>
        </w:tc>
        <w:tc>
          <w:tcPr>
            <w:tcW w:w="1483" w:type="dxa"/>
            <w:shd w:val="clear" w:color="auto" w:fill="auto"/>
            <w:noWrap/>
            <w:hideMark/>
          </w:tcPr>
          <w:p w14:paraId="4C59A79A" w14:textId="09D0AF28" w:rsidR="005D218B" w:rsidRPr="003E5BC8" w:rsidRDefault="005D218B" w:rsidP="005D218B">
            <w:pPr>
              <w:pStyle w:val="TableText"/>
              <w:jc w:val="right"/>
            </w:pPr>
            <w:r w:rsidRPr="003E5BC8">
              <w:t xml:space="preserve">$227,905 </w:t>
            </w:r>
          </w:p>
        </w:tc>
        <w:tc>
          <w:tcPr>
            <w:tcW w:w="1045" w:type="dxa"/>
            <w:shd w:val="clear" w:color="auto" w:fill="auto"/>
            <w:noWrap/>
            <w:hideMark/>
          </w:tcPr>
          <w:p w14:paraId="267F89CD" w14:textId="77777777" w:rsidR="005D218B" w:rsidRPr="003E5BC8" w:rsidRDefault="005D218B" w:rsidP="005D218B">
            <w:pPr>
              <w:pStyle w:val="TableText"/>
              <w:jc w:val="right"/>
            </w:pPr>
            <w:r w:rsidRPr="003E5BC8">
              <w:t>3%</w:t>
            </w:r>
          </w:p>
        </w:tc>
        <w:tc>
          <w:tcPr>
            <w:tcW w:w="1386" w:type="dxa"/>
            <w:shd w:val="clear" w:color="auto" w:fill="auto"/>
            <w:vAlign w:val="bottom"/>
          </w:tcPr>
          <w:p w14:paraId="745FC62F" w14:textId="71955F67" w:rsidR="005D218B" w:rsidRPr="0043721A" w:rsidRDefault="005D218B" w:rsidP="005D218B">
            <w:pPr>
              <w:pStyle w:val="TableText"/>
              <w:jc w:val="right"/>
            </w:pPr>
            <w:r w:rsidRPr="006E1742">
              <w:t>$56,976</w:t>
            </w:r>
          </w:p>
        </w:tc>
      </w:tr>
      <w:tr w:rsidR="005D218B" w:rsidRPr="003E5BC8" w14:paraId="21CE87BE" w14:textId="655EA582" w:rsidTr="00577DB8">
        <w:trPr>
          <w:cnfStyle w:val="000000100000" w:firstRow="0" w:lastRow="0" w:firstColumn="0" w:lastColumn="0" w:oddVBand="0" w:evenVBand="0" w:oddHBand="1" w:evenHBand="0" w:firstRowFirstColumn="0" w:firstRowLastColumn="0" w:lastRowFirstColumn="0" w:lastRowLastColumn="0"/>
          <w:trHeight w:val="66"/>
        </w:trPr>
        <w:tc>
          <w:tcPr>
            <w:tcW w:w="5665" w:type="dxa"/>
            <w:shd w:val="clear" w:color="auto" w:fill="auto"/>
            <w:noWrap/>
            <w:hideMark/>
          </w:tcPr>
          <w:p w14:paraId="07C42D90" w14:textId="77777777" w:rsidR="005D218B" w:rsidRPr="003E5BC8" w:rsidRDefault="005D218B" w:rsidP="005D218B">
            <w:pPr>
              <w:pStyle w:val="TableText"/>
            </w:pPr>
            <w:r w:rsidRPr="003E5BC8">
              <w:t>IT system and data</w:t>
            </w:r>
          </w:p>
        </w:tc>
        <w:tc>
          <w:tcPr>
            <w:tcW w:w="1418" w:type="dxa"/>
            <w:shd w:val="clear" w:color="auto" w:fill="auto"/>
            <w:noWrap/>
            <w:hideMark/>
          </w:tcPr>
          <w:p w14:paraId="0C1496FA" w14:textId="02D5C2F9" w:rsidR="005D218B" w:rsidRPr="003E5BC8" w:rsidRDefault="005D218B" w:rsidP="005D218B">
            <w:pPr>
              <w:pStyle w:val="TableText"/>
              <w:jc w:val="right"/>
            </w:pPr>
            <w:r w:rsidRPr="003E5BC8">
              <w:t xml:space="preserve">$2,621 </w:t>
            </w:r>
          </w:p>
        </w:tc>
        <w:tc>
          <w:tcPr>
            <w:tcW w:w="1417" w:type="dxa"/>
            <w:shd w:val="clear" w:color="auto" w:fill="auto"/>
            <w:noWrap/>
            <w:hideMark/>
          </w:tcPr>
          <w:p w14:paraId="0CF0A800" w14:textId="71FBA9D1" w:rsidR="005D218B" w:rsidRPr="003E5BC8" w:rsidRDefault="005D218B" w:rsidP="005D218B">
            <w:pPr>
              <w:pStyle w:val="TableText"/>
              <w:jc w:val="right"/>
            </w:pPr>
            <w:r w:rsidRPr="003E5BC8">
              <w:t xml:space="preserve">$4,483 </w:t>
            </w:r>
          </w:p>
        </w:tc>
        <w:tc>
          <w:tcPr>
            <w:tcW w:w="1418" w:type="dxa"/>
            <w:shd w:val="clear" w:color="auto" w:fill="auto"/>
            <w:noWrap/>
            <w:hideMark/>
          </w:tcPr>
          <w:p w14:paraId="0769BDCD" w14:textId="77E9F7F6" w:rsidR="005D218B" w:rsidRPr="003E5BC8" w:rsidRDefault="005D218B" w:rsidP="005D218B">
            <w:pPr>
              <w:pStyle w:val="TableText"/>
              <w:jc w:val="right"/>
            </w:pPr>
            <w:r w:rsidRPr="003E5BC8">
              <w:t xml:space="preserve">$39,031 </w:t>
            </w:r>
          </w:p>
        </w:tc>
        <w:tc>
          <w:tcPr>
            <w:tcW w:w="1417" w:type="dxa"/>
            <w:shd w:val="clear" w:color="auto" w:fill="auto"/>
            <w:noWrap/>
            <w:hideMark/>
          </w:tcPr>
          <w:p w14:paraId="7EA324FB" w14:textId="40EB2C56" w:rsidR="005D218B" w:rsidRPr="003E5BC8" w:rsidRDefault="005D218B" w:rsidP="005D218B">
            <w:pPr>
              <w:pStyle w:val="TableText"/>
              <w:jc w:val="right"/>
            </w:pPr>
            <w:r w:rsidRPr="003E5BC8">
              <w:t xml:space="preserve">$6,728 </w:t>
            </w:r>
          </w:p>
        </w:tc>
        <w:tc>
          <w:tcPr>
            <w:tcW w:w="1483" w:type="dxa"/>
            <w:shd w:val="clear" w:color="auto" w:fill="auto"/>
            <w:noWrap/>
            <w:hideMark/>
          </w:tcPr>
          <w:p w14:paraId="53CEA446" w14:textId="55FCC9F4" w:rsidR="005D218B" w:rsidRPr="003E5BC8" w:rsidRDefault="005D218B" w:rsidP="005D218B">
            <w:pPr>
              <w:pStyle w:val="TableText"/>
              <w:jc w:val="right"/>
            </w:pPr>
            <w:r w:rsidRPr="003E5BC8">
              <w:t xml:space="preserve">$52,864 </w:t>
            </w:r>
          </w:p>
        </w:tc>
        <w:tc>
          <w:tcPr>
            <w:tcW w:w="1045" w:type="dxa"/>
            <w:shd w:val="clear" w:color="auto" w:fill="auto"/>
            <w:noWrap/>
            <w:hideMark/>
          </w:tcPr>
          <w:p w14:paraId="3980EB45" w14:textId="77777777" w:rsidR="005D218B" w:rsidRPr="003E5BC8" w:rsidRDefault="005D218B" w:rsidP="005D218B">
            <w:pPr>
              <w:pStyle w:val="TableText"/>
              <w:jc w:val="right"/>
            </w:pPr>
            <w:r w:rsidRPr="003E5BC8">
              <w:t>1%</w:t>
            </w:r>
          </w:p>
        </w:tc>
        <w:tc>
          <w:tcPr>
            <w:tcW w:w="1386" w:type="dxa"/>
            <w:shd w:val="clear" w:color="auto" w:fill="auto"/>
            <w:vAlign w:val="bottom"/>
          </w:tcPr>
          <w:p w14:paraId="7B005EA4" w14:textId="0A79E4E9" w:rsidR="005D218B" w:rsidRPr="0043721A" w:rsidRDefault="005D218B" w:rsidP="005D218B">
            <w:pPr>
              <w:pStyle w:val="TableText"/>
              <w:jc w:val="right"/>
            </w:pPr>
            <w:r w:rsidRPr="006E1742">
              <w:t>$13,216</w:t>
            </w:r>
          </w:p>
        </w:tc>
      </w:tr>
      <w:tr w:rsidR="005D218B" w:rsidRPr="003E5BC8" w14:paraId="4111CDC6" w14:textId="39BB642E" w:rsidTr="00577DB8">
        <w:trPr>
          <w:cnfStyle w:val="000000010000" w:firstRow="0" w:lastRow="0" w:firstColumn="0" w:lastColumn="0" w:oddVBand="0" w:evenVBand="0" w:oddHBand="0" w:evenHBand="1" w:firstRowFirstColumn="0" w:firstRowLastColumn="0" w:lastRowFirstColumn="0" w:lastRowLastColumn="0"/>
          <w:trHeight w:val="142"/>
        </w:trPr>
        <w:tc>
          <w:tcPr>
            <w:tcW w:w="5665" w:type="dxa"/>
            <w:shd w:val="clear" w:color="auto" w:fill="auto"/>
            <w:noWrap/>
            <w:hideMark/>
          </w:tcPr>
          <w:p w14:paraId="0B3A370E" w14:textId="443CF7E2" w:rsidR="005D218B" w:rsidRPr="003E5BC8" w:rsidRDefault="005D218B" w:rsidP="005D218B">
            <w:pPr>
              <w:pStyle w:val="TableText"/>
            </w:pPr>
            <w:r>
              <w:t>Overheads/o</w:t>
            </w:r>
            <w:r w:rsidRPr="003E5BC8">
              <w:t>ther operational costs (e.g. office</w:t>
            </w:r>
            <w:r>
              <w:t xml:space="preserve"> space</w:t>
            </w:r>
            <w:r w:rsidRPr="003E5BC8">
              <w:t>,</w:t>
            </w:r>
            <w:r>
              <w:t xml:space="preserve"> university IT infrastructure</w:t>
            </w:r>
            <w:r w:rsidRPr="003E5BC8">
              <w:t xml:space="preserve"> </w:t>
            </w:r>
            <w:r>
              <w:t>and maintenance, university business services</w:t>
            </w:r>
            <w:r w:rsidRPr="003E5BC8">
              <w:t>)</w:t>
            </w:r>
          </w:p>
        </w:tc>
        <w:tc>
          <w:tcPr>
            <w:tcW w:w="1418" w:type="dxa"/>
            <w:shd w:val="clear" w:color="auto" w:fill="auto"/>
            <w:noWrap/>
            <w:hideMark/>
          </w:tcPr>
          <w:p w14:paraId="535EBBF2" w14:textId="76BA0790" w:rsidR="005D218B" w:rsidRPr="003E5BC8" w:rsidRDefault="005D218B" w:rsidP="005D218B">
            <w:pPr>
              <w:pStyle w:val="TableText"/>
              <w:jc w:val="right"/>
            </w:pPr>
            <w:r w:rsidRPr="003E5BC8">
              <w:t xml:space="preserve">$516,842 </w:t>
            </w:r>
          </w:p>
        </w:tc>
        <w:tc>
          <w:tcPr>
            <w:tcW w:w="1417" w:type="dxa"/>
            <w:shd w:val="clear" w:color="auto" w:fill="auto"/>
            <w:noWrap/>
            <w:hideMark/>
          </w:tcPr>
          <w:p w14:paraId="745D2507" w14:textId="5015E5AE" w:rsidR="005D218B" w:rsidRPr="003E5BC8" w:rsidRDefault="005D218B" w:rsidP="005D218B">
            <w:pPr>
              <w:pStyle w:val="TableText"/>
              <w:jc w:val="right"/>
            </w:pPr>
            <w:r w:rsidRPr="003E5BC8">
              <w:t xml:space="preserve">$512,856 </w:t>
            </w:r>
          </w:p>
        </w:tc>
        <w:tc>
          <w:tcPr>
            <w:tcW w:w="1418" w:type="dxa"/>
            <w:shd w:val="clear" w:color="auto" w:fill="auto"/>
            <w:noWrap/>
            <w:hideMark/>
          </w:tcPr>
          <w:p w14:paraId="34626FE2" w14:textId="44D88DF1" w:rsidR="005D218B" w:rsidRPr="003E5BC8" w:rsidRDefault="005D218B" w:rsidP="005D218B">
            <w:pPr>
              <w:pStyle w:val="TableText"/>
              <w:jc w:val="right"/>
            </w:pPr>
            <w:r w:rsidRPr="003E5BC8">
              <w:t xml:space="preserve">$470,059 </w:t>
            </w:r>
          </w:p>
        </w:tc>
        <w:tc>
          <w:tcPr>
            <w:tcW w:w="1417" w:type="dxa"/>
            <w:shd w:val="clear" w:color="auto" w:fill="auto"/>
            <w:noWrap/>
            <w:hideMark/>
          </w:tcPr>
          <w:p w14:paraId="3F6B1222" w14:textId="52CBE5E5" w:rsidR="005D218B" w:rsidRPr="003E5BC8" w:rsidRDefault="005D218B" w:rsidP="005D218B">
            <w:pPr>
              <w:pStyle w:val="TableText"/>
              <w:jc w:val="right"/>
            </w:pPr>
            <w:r w:rsidRPr="003E5BC8">
              <w:t xml:space="preserve">$909,000 </w:t>
            </w:r>
          </w:p>
        </w:tc>
        <w:tc>
          <w:tcPr>
            <w:tcW w:w="1483" w:type="dxa"/>
            <w:shd w:val="clear" w:color="auto" w:fill="auto"/>
            <w:noWrap/>
            <w:hideMark/>
          </w:tcPr>
          <w:p w14:paraId="09A384D0" w14:textId="69B19515" w:rsidR="005D218B" w:rsidRPr="003E5BC8" w:rsidRDefault="005D218B" w:rsidP="005D218B">
            <w:pPr>
              <w:pStyle w:val="TableText"/>
              <w:jc w:val="right"/>
            </w:pPr>
            <w:r w:rsidRPr="003E5BC8">
              <w:t xml:space="preserve">$2,408,756 </w:t>
            </w:r>
          </w:p>
        </w:tc>
        <w:tc>
          <w:tcPr>
            <w:tcW w:w="1045" w:type="dxa"/>
            <w:shd w:val="clear" w:color="auto" w:fill="auto"/>
            <w:noWrap/>
            <w:hideMark/>
          </w:tcPr>
          <w:p w14:paraId="612AC699" w14:textId="77777777" w:rsidR="005D218B" w:rsidRPr="003E5BC8" w:rsidRDefault="005D218B" w:rsidP="005D218B">
            <w:pPr>
              <w:pStyle w:val="TableText"/>
              <w:jc w:val="right"/>
            </w:pPr>
            <w:r w:rsidRPr="003E5BC8">
              <w:t>30%</w:t>
            </w:r>
          </w:p>
        </w:tc>
        <w:tc>
          <w:tcPr>
            <w:tcW w:w="1386" w:type="dxa"/>
            <w:shd w:val="clear" w:color="auto" w:fill="auto"/>
          </w:tcPr>
          <w:p w14:paraId="64FF1E64" w14:textId="014F871B" w:rsidR="005D218B" w:rsidRPr="0043721A" w:rsidRDefault="005D218B" w:rsidP="005D218B">
            <w:pPr>
              <w:pStyle w:val="TableText"/>
              <w:jc w:val="right"/>
            </w:pPr>
            <w:r w:rsidRPr="006E1742">
              <w:t>$602,189</w:t>
            </w:r>
          </w:p>
        </w:tc>
      </w:tr>
      <w:tr w:rsidR="005D218B" w:rsidRPr="003E5BC8" w14:paraId="665D9102" w14:textId="43683CD3" w:rsidTr="00577DB8">
        <w:trPr>
          <w:cnfStyle w:val="000000100000" w:firstRow="0" w:lastRow="0" w:firstColumn="0" w:lastColumn="0" w:oddVBand="0" w:evenVBand="0" w:oddHBand="1" w:evenHBand="0" w:firstRowFirstColumn="0" w:firstRowLastColumn="0" w:lastRowFirstColumn="0" w:lastRowLastColumn="0"/>
          <w:trHeight w:val="62"/>
        </w:trPr>
        <w:tc>
          <w:tcPr>
            <w:tcW w:w="5665" w:type="dxa"/>
            <w:shd w:val="clear" w:color="auto" w:fill="auto"/>
            <w:noWrap/>
            <w:hideMark/>
          </w:tcPr>
          <w:p w14:paraId="630FF7E0" w14:textId="6D91BFD8" w:rsidR="005D218B" w:rsidRPr="003E5BC8" w:rsidRDefault="005D218B" w:rsidP="005D218B">
            <w:pPr>
              <w:pStyle w:val="TableText"/>
            </w:pPr>
            <w:r>
              <w:t>B</w:t>
            </w:r>
            <w:r w:rsidRPr="003E5BC8">
              <w:t>oard and governance</w:t>
            </w:r>
          </w:p>
        </w:tc>
        <w:tc>
          <w:tcPr>
            <w:tcW w:w="1418" w:type="dxa"/>
            <w:shd w:val="clear" w:color="auto" w:fill="auto"/>
            <w:noWrap/>
            <w:hideMark/>
          </w:tcPr>
          <w:p w14:paraId="76A52922" w14:textId="2A889318" w:rsidR="005D218B" w:rsidRPr="003E5BC8" w:rsidRDefault="00422654" w:rsidP="005D218B">
            <w:pPr>
              <w:pStyle w:val="TableText"/>
              <w:jc w:val="right"/>
            </w:pPr>
            <w:r>
              <w:t>-</w:t>
            </w:r>
          </w:p>
        </w:tc>
        <w:tc>
          <w:tcPr>
            <w:tcW w:w="1417" w:type="dxa"/>
            <w:shd w:val="clear" w:color="auto" w:fill="auto"/>
            <w:noWrap/>
            <w:hideMark/>
          </w:tcPr>
          <w:p w14:paraId="3927F89C" w14:textId="6FAFC8F2" w:rsidR="005D218B" w:rsidRPr="003E5BC8" w:rsidRDefault="00422654" w:rsidP="005D218B">
            <w:pPr>
              <w:pStyle w:val="TableText"/>
              <w:jc w:val="right"/>
            </w:pPr>
            <w:r>
              <w:t>-</w:t>
            </w:r>
          </w:p>
        </w:tc>
        <w:tc>
          <w:tcPr>
            <w:tcW w:w="1418" w:type="dxa"/>
            <w:shd w:val="clear" w:color="auto" w:fill="auto"/>
            <w:noWrap/>
            <w:hideMark/>
          </w:tcPr>
          <w:p w14:paraId="4D794ADE" w14:textId="76DFCA96" w:rsidR="005D218B" w:rsidRPr="003E5BC8" w:rsidRDefault="00422654" w:rsidP="005D218B">
            <w:pPr>
              <w:pStyle w:val="TableText"/>
              <w:jc w:val="right"/>
            </w:pPr>
            <w:r>
              <w:t>-</w:t>
            </w:r>
          </w:p>
        </w:tc>
        <w:tc>
          <w:tcPr>
            <w:tcW w:w="1417" w:type="dxa"/>
            <w:shd w:val="clear" w:color="auto" w:fill="auto"/>
            <w:noWrap/>
            <w:hideMark/>
          </w:tcPr>
          <w:p w14:paraId="413A0A74" w14:textId="4161A93F" w:rsidR="005D218B" w:rsidRPr="003E5BC8" w:rsidRDefault="005D218B" w:rsidP="005D218B">
            <w:pPr>
              <w:pStyle w:val="TableText"/>
              <w:jc w:val="right"/>
            </w:pPr>
            <w:r w:rsidRPr="003E5BC8">
              <w:t xml:space="preserve">$2,455 </w:t>
            </w:r>
          </w:p>
        </w:tc>
        <w:tc>
          <w:tcPr>
            <w:tcW w:w="1483" w:type="dxa"/>
            <w:shd w:val="clear" w:color="auto" w:fill="auto"/>
            <w:noWrap/>
            <w:hideMark/>
          </w:tcPr>
          <w:p w14:paraId="6AAFDBE1" w14:textId="50D0C3A1" w:rsidR="005D218B" w:rsidRPr="003E5BC8" w:rsidRDefault="005D218B" w:rsidP="005D218B">
            <w:pPr>
              <w:pStyle w:val="TableText"/>
              <w:jc w:val="right"/>
            </w:pPr>
            <w:r w:rsidRPr="003E5BC8">
              <w:t xml:space="preserve">$2,455 </w:t>
            </w:r>
          </w:p>
        </w:tc>
        <w:tc>
          <w:tcPr>
            <w:tcW w:w="1045" w:type="dxa"/>
            <w:shd w:val="clear" w:color="auto" w:fill="auto"/>
            <w:noWrap/>
            <w:hideMark/>
          </w:tcPr>
          <w:p w14:paraId="77933B79" w14:textId="77777777" w:rsidR="005D218B" w:rsidRPr="003E5BC8" w:rsidRDefault="005D218B" w:rsidP="005D218B">
            <w:pPr>
              <w:pStyle w:val="TableText"/>
              <w:jc w:val="right"/>
            </w:pPr>
            <w:r w:rsidRPr="003E5BC8">
              <w:t>0%</w:t>
            </w:r>
          </w:p>
        </w:tc>
        <w:tc>
          <w:tcPr>
            <w:tcW w:w="1386" w:type="dxa"/>
            <w:shd w:val="clear" w:color="auto" w:fill="auto"/>
            <w:vAlign w:val="bottom"/>
          </w:tcPr>
          <w:p w14:paraId="10F2495D" w14:textId="62FEBCB8" w:rsidR="005D218B" w:rsidRPr="0043721A" w:rsidRDefault="005D218B" w:rsidP="005D218B">
            <w:pPr>
              <w:pStyle w:val="TableText"/>
              <w:jc w:val="right"/>
            </w:pPr>
            <w:r w:rsidRPr="006E1742">
              <w:t>$2,455</w:t>
            </w:r>
          </w:p>
        </w:tc>
      </w:tr>
      <w:tr w:rsidR="005D218B" w:rsidRPr="003E5BC8" w14:paraId="49F48889" w14:textId="22A55F3E" w:rsidTr="00577DB8">
        <w:trPr>
          <w:cnfStyle w:val="000000010000" w:firstRow="0" w:lastRow="0" w:firstColumn="0" w:lastColumn="0" w:oddVBand="0" w:evenVBand="0" w:oddHBand="0" w:evenHBand="1" w:firstRowFirstColumn="0" w:firstRowLastColumn="0" w:lastRowFirstColumn="0" w:lastRowLastColumn="0"/>
          <w:trHeight w:val="228"/>
        </w:trPr>
        <w:tc>
          <w:tcPr>
            <w:tcW w:w="5665" w:type="dxa"/>
            <w:shd w:val="clear" w:color="auto" w:fill="auto"/>
            <w:noWrap/>
            <w:hideMark/>
          </w:tcPr>
          <w:p w14:paraId="2E90E3E7" w14:textId="57B61E4E" w:rsidR="005D218B" w:rsidRPr="003E5BC8" w:rsidRDefault="005D218B" w:rsidP="005D218B">
            <w:pPr>
              <w:pStyle w:val="TableText"/>
            </w:pPr>
            <w:r>
              <w:t>C</w:t>
            </w:r>
            <w:r w:rsidRPr="003E5BC8">
              <w:t>lient support services and consumables</w:t>
            </w:r>
          </w:p>
        </w:tc>
        <w:tc>
          <w:tcPr>
            <w:tcW w:w="1418" w:type="dxa"/>
            <w:shd w:val="clear" w:color="auto" w:fill="auto"/>
            <w:noWrap/>
            <w:hideMark/>
          </w:tcPr>
          <w:p w14:paraId="0783D729" w14:textId="5B006BAC" w:rsidR="005D218B" w:rsidRPr="003E5BC8" w:rsidRDefault="00422654" w:rsidP="005D218B">
            <w:pPr>
              <w:pStyle w:val="TableText"/>
              <w:jc w:val="right"/>
            </w:pPr>
            <w:r>
              <w:t>-</w:t>
            </w:r>
          </w:p>
        </w:tc>
        <w:tc>
          <w:tcPr>
            <w:tcW w:w="1417" w:type="dxa"/>
            <w:shd w:val="clear" w:color="auto" w:fill="auto"/>
            <w:noWrap/>
            <w:hideMark/>
          </w:tcPr>
          <w:p w14:paraId="67E1E2E2" w14:textId="4AE5DFB1" w:rsidR="005D218B" w:rsidRPr="003E5BC8" w:rsidRDefault="00422654" w:rsidP="005D218B">
            <w:pPr>
              <w:pStyle w:val="TableText"/>
              <w:jc w:val="right"/>
            </w:pPr>
            <w:r>
              <w:t>-</w:t>
            </w:r>
          </w:p>
        </w:tc>
        <w:tc>
          <w:tcPr>
            <w:tcW w:w="1418" w:type="dxa"/>
            <w:shd w:val="clear" w:color="auto" w:fill="auto"/>
            <w:noWrap/>
            <w:hideMark/>
          </w:tcPr>
          <w:p w14:paraId="5FC9F1A2" w14:textId="404148BF" w:rsidR="005D218B" w:rsidRPr="003E5BC8" w:rsidRDefault="00422654" w:rsidP="005D218B">
            <w:pPr>
              <w:pStyle w:val="TableText"/>
              <w:jc w:val="right"/>
            </w:pPr>
            <w:r>
              <w:t>-</w:t>
            </w:r>
          </w:p>
        </w:tc>
        <w:tc>
          <w:tcPr>
            <w:tcW w:w="1417" w:type="dxa"/>
            <w:shd w:val="clear" w:color="auto" w:fill="auto"/>
            <w:noWrap/>
            <w:hideMark/>
          </w:tcPr>
          <w:p w14:paraId="6147C584" w14:textId="5B0C195A" w:rsidR="005D218B" w:rsidRPr="003E5BC8" w:rsidRDefault="005D218B" w:rsidP="005D218B">
            <w:pPr>
              <w:pStyle w:val="TableText"/>
              <w:jc w:val="right"/>
            </w:pPr>
            <w:r w:rsidRPr="003E5BC8">
              <w:t xml:space="preserve">$67,951 </w:t>
            </w:r>
          </w:p>
        </w:tc>
        <w:tc>
          <w:tcPr>
            <w:tcW w:w="1483" w:type="dxa"/>
            <w:shd w:val="clear" w:color="auto" w:fill="auto"/>
            <w:noWrap/>
            <w:hideMark/>
          </w:tcPr>
          <w:p w14:paraId="197147DA" w14:textId="2CB54494" w:rsidR="005D218B" w:rsidRPr="003E5BC8" w:rsidRDefault="005D218B" w:rsidP="005D218B">
            <w:pPr>
              <w:pStyle w:val="TableText"/>
              <w:jc w:val="right"/>
            </w:pPr>
            <w:r w:rsidRPr="003E5BC8">
              <w:t xml:space="preserve">$67,951 </w:t>
            </w:r>
          </w:p>
        </w:tc>
        <w:tc>
          <w:tcPr>
            <w:tcW w:w="1045" w:type="dxa"/>
            <w:shd w:val="clear" w:color="auto" w:fill="auto"/>
            <w:noWrap/>
            <w:hideMark/>
          </w:tcPr>
          <w:p w14:paraId="29DE2314" w14:textId="77777777" w:rsidR="005D218B" w:rsidRPr="003E5BC8" w:rsidRDefault="005D218B" w:rsidP="005D218B">
            <w:pPr>
              <w:pStyle w:val="TableText"/>
              <w:jc w:val="right"/>
            </w:pPr>
            <w:r w:rsidRPr="003E5BC8">
              <w:t>1%</w:t>
            </w:r>
          </w:p>
        </w:tc>
        <w:tc>
          <w:tcPr>
            <w:tcW w:w="1386" w:type="dxa"/>
            <w:shd w:val="clear" w:color="auto" w:fill="auto"/>
            <w:vAlign w:val="bottom"/>
          </w:tcPr>
          <w:p w14:paraId="3D439A8D" w14:textId="619ADB99" w:rsidR="005D218B" w:rsidRPr="0043721A" w:rsidRDefault="005D218B" w:rsidP="005D218B">
            <w:pPr>
              <w:pStyle w:val="TableText"/>
              <w:jc w:val="right"/>
            </w:pPr>
            <w:r w:rsidRPr="006E1742">
              <w:t>$67,951</w:t>
            </w:r>
          </w:p>
        </w:tc>
      </w:tr>
      <w:tr w:rsidR="005D218B" w:rsidRPr="003E5BC8" w14:paraId="12CD5B32" w14:textId="7CED95BD" w:rsidTr="00577DB8">
        <w:trPr>
          <w:cnfStyle w:val="000000100000" w:firstRow="0" w:lastRow="0" w:firstColumn="0" w:lastColumn="0" w:oddVBand="0" w:evenVBand="0" w:oddHBand="1" w:evenHBand="0" w:firstRowFirstColumn="0" w:firstRowLastColumn="0" w:lastRowFirstColumn="0" w:lastRowLastColumn="0"/>
          <w:trHeight w:val="172"/>
        </w:trPr>
        <w:tc>
          <w:tcPr>
            <w:tcW w:w="5665" w:type="dxa"/>
            <w:shd w:val="clear" w:color="auto" w:fill="auto"/>
            <w:noWrap/>
            <w:hideMark/>
          </w:tcPr>
          <w:p w14:paraId="4526DA8B" w14:textId="7BE7BB34" w:rsidR="005D218B" w:rsidRPr="003E5BC8" w:rsidRDefault="005D218B" w:rsidP="005D218B">
            <w:pPr>
              <w:pStyle w:val="TableText"/>
            </w:pPr>
            <w:r>
              <w:t>T</w:t>
            </w:r>
            <w:r w:rsidRPr="003E5BC8">
              <w:t>raining and development</w:t>
            </w:r>
          </w:p>
        </w:tc>
        <w:tc>
          <w:tcPr>
            <w:tcW w:w="1418" w:type="dxa"/>
            <w:shd w:val="clear" w:color="auto" w:fill="auto"/>
            <w:noWrap/>
            <w:hideMark/>
          </w:tcPr>
          <w:p w14:paraId="7E9ADA1D" w14:textId="18DB8219" w:rsidR="005D218B" w:rsidRPr="003E5BC8" w:rsidRDefault="00422654" w:rsidP="005D218B">
            <w:pPr>
              <w:pStyle w:val="TableText"/>
              <w:jc w:val="right"/>
            </w:pPr>
            <w:r>
              <w:t>-</w:t>
            </w:r>
          </w:p>
        </w:tc>
        <w:tc>
          <w:tcPr>
            <w:tcW w:w="1417" w:type="dxa"/>
            <w:shd w:val="clear" w:color="auto" w:fill="auto"/>
            <w:noWrap/>
            <w:hideMark/>
          </w:tcPr>
          <w:p w14:paraId="15AE7FA7" w14:textId="7BEE6911" w:rsidR="005D218B" w:rsidRPr="003E5BC8" w:rsidRDefault="00422654" w:rsidP="005D218B">
            <w:pPr>
              <w:pStyle w:val="TableText"/>
              <w:jc w:val="right"/>
            </w:pPr>
            <w:r>
              <w:t>-</w:t>
            </w:r>
          </w:p>
        </w:tc>
        <w:tc>
          <w:tcPr>
            <w:tcW w:w="1418" w:type="dxa"/>
            <w:shd w:val="clear" w:color="auto" w:fill="auto"/>
            <w:noWrap/>
            <w:hideMark/>
          </w:tcPr>
          <w:p w14:paraId="6263D98C" w14:textId="24353332" w:rsidR="005D218B" w:rsidRPr="003E5BC8" w:rsidRDefault="00422654" w:rsidP="005D218B">
            <w:pPr>
              <w:pStyle w:val="TableText"/>
              <w:jc w:val="right"/>
            </w:pPr>
            <w:r>
              <w:t>-</w:t>
            </w:r>
          </w:p>
        </w:tc>
        <w:tc>
          <w:tcPr>
            <w:tcW w:w="1417" w:type="dxa"/>
            <w:shd w:val="clear" w:color="auto" w:fill="auto"/>
            <w:noWrap/>
            <w:hideMark/>
          </w:tcPr>
          <w:p w14:paraId="2B9DAC53" w14:textId="5149C31A" w:rsidR="005D218B" w:rsidRPr="003E5BC8" w:rsidRDefault="005D218B" w:rsidP="005D218B">
            <w:pPr>
              <w:pStyle w:val="TableText"/>
              <w:jc w:val="right"/>
            </w:pPr>
            <w:r w:rsidRPr="003E5BC8">
              <w:t xml:space="preserve">$525 </w:t>
            </w:r>
          </w:p>
        </w:tc>
        <w:tc>
          <w:tcPr>
            <w:tcW w:w="1483" w:type="dxa"/>
            <w:shd w:val="clear" w:color="auto" w:fill="auto"/>
            <w:noWrap/>
            <w:hideMark/>
          </w:tcPr>
          <w:p w14:paraId="5AE8A52C" w14:textId="03E576B5" w:rsidR="005D218B" w:rsidRPr="003E5BC8" w:rsidRDefault="005D218B" w:rsidP="005D218B">
            <w:pPr>
              <w:pStyle w:val="TableText"/>
              <w:jc w:val="right"/>
            </w:pPr>
            <w:r w:rsidRPr="003E5BC8">
              <w:t xml:space="preserve">$525 </w:t>
            </w:r>
          </w:p>
        </w:tc>
        <w:tc>
          <w:tcPr>
            <w:tcW w:w="1045" w:type="dxa"/>
            <w:shd w:val="clear" w:color="auto" w:fill="auto"/>
            <w:noWrap/>
            <w:hideMark/>
          </w:tcPr>
          <w:p w14:paraId="2A156B97" w14:textId="77777777" w:rsidR="005D218B" w:rsidRPr="003E5BC8" w:rsidRDefault="005D218B" w:rsidP="005D218B">
            <w:pPr>
              <w:pStyle w:val="TableText"/>
              <w:jc w:val="right"/>
            </w:pPr>
            <w:r w:rsidRPr="003E5BC8">
              <w:t>0%</w:t>
            </w:r>
          </w:p>
        </w:tc>
        <w:tc>
          <w:tcPr>
            <w:tcW w:w="1386" w:type="dxa"/>
            <w:shd w:val="clear" w:color="auto" w:fill="auto"/>
            <w:vAlign w:val="bottom"/>
          </w:tcPr>
          <w:p w14:paraId="41968087" w14:textId="0CE77273" w:rsidR="005D218B" w:rsidRPr="0043721A" w:rsidRDefault="005D218B" w:rsidP="005D218B">
            <w:pPr>
              <w:pStyle w:val="TableText"/>
              <w:jc w:val="right"/>
            </w:pPr>
            <w:r w:rsidRPr="006E1742">
              <w:t>$525</w:t>
            </w:r>
          </w:p>
        </w:tc>
      </w:tr>
      <w:tr w:rsidR="005D218B" w:rsidRPr="003E5BC8" w14:paraId="7168944E" w14:textId="312A192F" w:rsidTr="00577DB8">
        <w:trPr>
          <w:cnfStyle w:val="000000010000" w:firstRow="0" w:lastRow="0" w:firstColumn="0" w:lastColumn="0" w:oddVBand="0" w:evenVBand="0" w:oddHBand="0" w:evenHBand="1" w:firstRowFirstColumn="0" w:firstRowLastColumn="0" w:lastRowFirstColumn="0" w:lastRowLastColumn="0"/>
          <w:trHeight w:val="248"/>
        </w:trPr>
        <w:tc>
          <w:tcPr>
            <w:tcW w:w="5665" w:type="dxa"/>
            <w:shd w:val="clear" w:color="auto" w:fill="auto"/>
            <w:noWrap/>
            <w:hideMark/>
          </w:tcPr>
          <w:p w14:paraId="6B3050BF" w14:textId="2ABE0C15" w:rsidR="005D218B" w:rsidRPr="003E5BC8" w:rsidRDefault="005D218B" w:rsidP="005D218B">
            <w:pPr>
              <w:pStyle w:val="TableText"/>
            </w:pPr>
            <w:r>
              <w:t>C</w:t>
            </w:r>
            <w:r w:rsidRPr="003E5BC8">
              <w:t>onsultants and contractors</w:t>
            </w:r>
          </w:p>
        </w:tc>
        <w:tc>
          <w:tcPr>
            <w:tcW w:w="1418" w:type="dxa"/>
            <w:shd w:val="clear" w:color="auto" w:fill="auto"/>
            <w:noWrap/>
            <w:hideMark/>
          </w:tcPr>
          <w:p w14:paraId="3796A972" w14:textId="1E56465E" w:rsidR="005D218B" w:rsidRPr="003E5BC8" w:rsidRDefault="00422654" w:rsidP="005D218B">
            <w:pPr>
              <w:pStyle w:val="TableText"/>
              <w:jc w:val="right"/>
            </w:pPr>
            <w:r>
              <w:t>-</w:t>
            </w:r>
          </w:p>
        </w:tc>
        <w:tc>
          <w:tcPr>
            <w:tcW w:w="1417" w:type="dxa"/>
            <w:shd w:val="clear" w:color="auto" w:fill="auto"/>
            <w:noWrap/>
            <w:hideMark/>
          </w:tcPr>
          <w:p w14:paraId="29EF5035" w14:textId="50603422" w:rsidR="005D218B" w:rsidRPr="003E5BC8" w:rsidRDefault="00422654" w:rsidP="005D218B">
            <w:pPr>
              <w:pStyle w:val="TableText"/>
              <w:jc w:val="right"/>
            </w:pPr>
            <w:r>
              <w:t>-</w:t>
            </w:r>
          </w:p>
        </w:tc>
        <w:tc>
          <w:tcPr>
            <w:tcW w:w="1418" w:type="dxa"/>
            <w:shd w:val="clear" w:color="auto" w:fill="auto"/>
            <w:noWrap/>
            <w:hideMark/>
          </w:tcPr>
          <w:p w14:paraId="5CE4DA44" w14:textId="53E7F7DE" w:rsidR="005D218B" w:rsidRPr="003E5BC8" w:rsidRDefault="00422654" w:rsidP="005D218B">
            <w:pPr>
              <w:pStyle w:val="TableText"/>
              <w:jc w:val="right"/>
            </w:pPr>
            <w:r>
              <w:t>-</w:t>
            </w:r>
          </w:p>
        </w:tc>
        <w:tc>
          <w:tcPr>
            <w:tcW w:w="1417" w:type="dxa"/>
            <w:shd w:val="clear" w:color="auto" w:fill="auto"/>
            <w:noWrap/>
            <w:hideMark/>
          </w:tcPr>
          <w:p w14:paraId="52965AD0" w14:textId="6C70F37C" w:rsidR="005D218B" w:rsidRPr="003E5BC8" w:rsidRDefault="005D218B" w:rsidP="005D218B">
            <w:pPr>
              <w:pStyle w:val="TableText"/>
              <w:jc w:val="right"/>
            </w:pPr>
            <w:r w:rsidRPr="003E5BC8">
              <w:t xml:space="preserve">$51,915 </w:t>
            </w:r>
          </w:p>
        </w:tc>
        <w:tc>
          <w:tcPr>
            <w:tcW w:w="1483" w:type="dxa"/>
            <w:shd w:val="clear" w:color="auto" w:fill="auto"/>
            <w:noWrap/>
            <w:hideMark/>
          </w:tcPr>
          <w:p w14:paraId="6D26BDEB" w14:textId="561F9148" w:rsidR="005D218B" w:rsidRPr="003E5BC8" w:rsidRDefault="005D218B" w:rsidP="005D218B">
            <w:pPr>
              <w:pStyle w:val="TableText"/>
              <w:jc w:val="right"/>
            </w:pPr>
            <w:r>
              <w:t>$</w:t>
            </w:r>
            <w:r w:rsidRPr="003E5BC8">
              <w:t xml:space="preserve">51,915 </w:t>
            </w:r>
          </w:p>
        </w:tc>
        <w:tc>
          <w:tcPr>
            <w:tcW w:w="1045" w:type="dxa"/>
            <w:shd w:val="clear" w:color="auto" w:fill="auto"/>
            <w:noWrap/>
            <w:hideMark/>
          </w:tcPr>
          <w:p w14:paraId="0250D0D8" w14:textId="77777777" w:rsidR="005D218B" w:rsidRPr="003E5BC8" w:rsidRDefault="005D218B" w:rsidP="005D218B">
            <w:pPr>
              <w:pStyle w:val="TableText"/>
              <w:jc w:val="right"/>
            </w:pPr>
            <w:r w:rsidRPr="003E5BC8">
              <w:t>1%</w:t>
            </w:r>
          </w:p>
        </w:tc>
        <w:tc>
          <w:tcPr>
            <w:tcW w:w="1386" w:type="dxa"/>
            <w:shd w:val="clear" w:color="auto" w:fill="auto"/>
            <w:vAlign w:val="bottom"/>
          </w:tcPr>
          <w:p w14:paraId="3714FE8F" w14:textId="261E4E8A" w:rsidR="005D218B" w:rsidRPr="0043721A" w:rsidRDefault="005D218B" w:rsidP="005D218B">
            <w:pPr>
              <w:pStyle w:val="TableText"/>
              <w:jc w:val="right"/>
            </w:pPr>
            <w:r w:rsidRPr="006E1742">
              <w:t>$51,915</w:t>
            </w:r>
          </w:p>
        </w:tc>
      </w:tr>
      <w:tr w:rsidR="005D218B" w:rsidRPr="00F7211C" w14:paraId="678A9DFC" w14:textId="0D2E59BF" w:rsidTr="00577DB8">
        <w:trPr>
          <w:cnfStyle w:val="000000100000" w:firstRow="0" w:lastRow="0" w:firstColumn="0" w:lastColumn="0" w:oddVBand="0" w:evenVBand="0" w:oddHBand="1" w:evenHBand="0" w:firstRowFirstColumn="0" w:firstRowLastColumn="0" w:lastRowFirstColumn="0" w:lastRowLastColumn="0"/>
          <w:trHeight w:val="216"/>
        </w:trPr>
        <w:tc>
          <w:tcPr>
            <w:tcW w:w="5665" w:type="dxa"/>
            <w:shd w:val="clear" w:color="auto" w:fill="DDF2EC" w:themeFill="background2" w:themeFillTint="33"/>
            <w:noWrap/>
            <w:hideMark/>
          </w:tcPr>
          <w:p w14:paraId="540E6A20" w14:textId="152CAFD7" w:rsidR="005D218B" w:rsidRPr="00F7211C" w:rsidRDefault="005D218B" w:rsidP="005D218B">
            <w:pPr>
              <w:pStyle w:val="TableText"/>
              <w:rPr>
                <w:rFonts w:asciiTheme="majorHAnsi" w:hAnsiTheme="majorHAnsi"/>
              </w:rPr>
            </w:pPr>
            <w:r w:rsidRPr="00F7211C">
              <w:rPr>
                <w:rFonts w:asciiTheme="majorHAnsi" w:hAnsiTheme="majorHAnsi"/>
              </w:rPr>
              <w:t>Total expenditure</w:t>
            </w:r>
          </w:p>
        </w:tc>
        <w:tc>
          <w:tcPr>
            <w:tcW w:w="1418" w:type="dxa"/>
            <w:shd w:val="clear" w:color="auto" w:fill="DDF2EC" w:themeFill="background2" w:themeFillTint="33"/>
            <w:noWrap/>
            <w:hideMark/>
          </w:tcPr>
          <w:p w14:paraId="480A2CDC" w14:textId="2C271F28" w:rsidR="005D218B" w:rsidRPr="00F7211C" w:rsidRDefault="005D218B" w:rsidP="005D218B">
            <w:pPr>
              <w:pStyle w:val="TableText"/>
              <w:jc w:val="right"/>
              <w:rPr>
                <w:rFonts w:asciiTheme="majorHAnsi" w:hAnsiTheme="majorHAnsi"/>
              </w:rPr>
            </w:pPr>
            <w:r w:rsidRPr="00F7211C">
              <w:rPr>
                <w:rFonts w:asciiTheme="majorHAnsi" w:hAnsiTheme="majorHAnsi"/>
              </w:rPr>
              <w:t xml:space="preserve">$1,475,031 </w:t>
            </w:r>
          </w:p>
        </w:tc>
        <w:tc>
          <w:tcPr>
            <w:tcW w:w="1417" w:type="dxa"/>
            <w:shd w:val="clear" w:color="auto" w:fill="DDF2EC" w:themeFill="background2" w:themeFillTint="33"/>
            <w:noWrap/>
            <w:hideMark/>
          </w:tcPr>
          <w:p w14:paraId="4967C897" w14:textId="6E85833C" w:rsidR="005D218B" w:rsidRPr="00F7211C" w:rsidRDefault="005D218B" w:rsidP="005D218B">
            <w:pPr>
              <w:pStyle w:val="TableText"/>
              <w:jc w:val="right"/>
              <w:rPr>
                <w:rFonts w:asciiTheme="majorHAnsi" w:hAnsiTheme="majorHAnsi"/>
              </w:rPr>
            </w:pPr>
            <w:r w:rsidRPr="00F7211C">
              <w:rPr>
                <w:rFonts w:asciiTheme="majorHAnsi" w:hAnsiTheme="majorHAnsi"/>
              </w:rPr>
              <w:t xml:space="preserve">$2,069,880 </w:t>
            </w:r>
          </w:p>
        </w:tc>
        <w:tc>
          <w:tcPr>
            <w:tcW w:w="1418" w:type="dxa"/>
            <w:shd w:val="clear" w:color="auto" w:fill="DDF2EC" w:themeFill="background2" w:themeFillTint="33"/>
            <w:noWrap/>
            <w:hideMark/>
          </w:tcPr>
          <w:p w14:paraId="2D872C70" w14:textId="4270AE45" w:rsidR="005D218B" w:rsidRPr="00F7211C" w:rsidRDefault="005D218B" w:rsidP="005D218B">
            <w:pPr>
              <w:pStyle w:val="TableText"/>
              <w:jc w:val="right"/>
              <w:rPr>
                <w:rFonts w:asciiTheme="majorHAnsi" w:hAnsiTheme="majorHAnsi"/>
              </w:rPr>
            </w:pPr>
            <w:r w:rsidRPr="00F7211C">
              <w:rPr>
                <w:rFonts w:asciiTheme="majorHAnsi" w:hAnsiTheme="majorHAnsi"/>
              </w:rPr>
              <w:t xml:space="preserve">$2,436,180 </w:t>
            </w:r>
          </w:p>
        </w:tc>
        <w:tc>
          <w:tcPr>
            <w:tcW w:w="1417" w:type="dxa"/>
            <w:shd w:val="clear" w:color="auto" w:fill="DDF2EC" w:themeFill="background2" w:themeFillTint="33"/>
            <w:noWrap/>
            <w:hideMark/>
          </w:tcPr>
          <w:p w14:paraId="35C08786" w14:textId="53730E8E" w:rsidR="005D218B" w:rsidRPr="00F7211C" w:rsidRDefault="005D218B" w:rsidP="005D218B">
            <w:pPr>
              <w:pStyle w:val="TableText"/>
              <w:jc w:val="right"/>
              <w:rPr>
                <w:rFonts w:asciiTheme="majorHAnsi" w:hAnsiTheme="majorHAnsi"/>
              </w:rPr>
            </w:pPr>
            <w:r w:rsidRPr="00F7211C">
              <w:rPr>
                <w:rFonts w:asciiTheme="majorHAnsi" w:hAnsiTheme="majorHAnsi"/>
              </w:rPr>
              <w:t xml:space="preserve">$2,106,931 </w:t>
            </w:r>
          </w:p>
        </w:tc>
        <w:tc>
          <w:tcPr>
            <w:tcW w:w="1483" w:type="dxa"/>
            <w:shd w:val="clear" w:color="auto" w:fill="DDF2EC" w:themeFill="background2" w:themeFillTint="33"/>
            <w:noWrap/>
            <w:hideMark/>
          </w:tcPr>
          <w:p w14:paraId="361BFA6B" w14:textId="70358596" w:rsidR="005D218B" w:rsidRPr="00F7211C" w:rsidRDefault="005D218B" w:rsidP="005D218B">
            <w:pPr>
              <w:pStyle w:val="TableText"/>
              <w:jc w:val="right"/>
              <w:rPr>
                <w:rFonts w:asciiTheme="majorHAnsi" w:hAnsiTheme="majorHAnsi"/>
              </w:rPr>
            </w:pPr>
            <w:r w:rsidRPr="00F7211C">
              <w:rPr>
                <w:rFonts w:asciiTheme="majorHAnsi" w:hAnsiTheme="majorHAnsi"/>
              </w:rPr>
              <w:t xml:space="preserve">$8,088,021 </w:t>
            </w:r>
          </w:p>
        </w:tc>
        <w:tc>
          <w:tcPr>
            <w:tcW w:w="1045" w:type="dxa"/>
            <w:shd w:val="clear" w:color="auto" w:fill="DDF2EC" w:themeFill="background2" w:themeFillTint="33"/>
            <w:noWrap/>
            <w:hideMark/>
          </w:tcPr>
          <w:p w14:paraId="6A62B36F" w14:textId="518F18C8" w:rsidR="005D218B" w:rsidRPr="00F7211C" w:rsidRDefault="00A93FD5" w:rsidP="005D218B">
            <w:pPr>
              <w:pStyle w:val="TableText"/>
              <w:jc w:val="right"/>
              <w:rPr>
                <w:rFonts w:asciiTheme="majorHAnsi" w:hAnsiTheme="majorHAnsi"/>
              </w:rPr>
            </w:pPr>
            <w:r>
              <w:rPr>
                <w:rFonts w:asciiTheme="majorHAnsi" w:hAnsiTheme="majorHAnsi"/>
              </w:rPr>
              <w:t>-</w:t>
            </w:r>
            <w:r w:rsidR="005D218B" w:rsidRPr="00F7211C">
              <w:rPr>
                <w:rFonts w:asciiTheme="majorHAnsi" w:hAnsiTheme="majorHAnsi"/>
              </w:rPr>
              <w:t> </w:t>
            </w:r>
          </w:p>
        </w:tc>
        <w:tc>
          <w:tcPr>
            <w:tcW w:w="1386" w:type="dxa"/>
            <w:shd w:val="clear" w:color="auto" w:fill="DDF2EC" w:themeFill="background2" w:themeFillTint="33"/>
            <w:vAlign w:val="bottom"/>
          </w:tcPr>
          <w:p w14:paraId="4635A59D" w14:textId="73B7D6C7" w:rsidR="005D218B" w:rsidRPr="008B4741" w:rsidRDefault="005D218B" w:rsidP="005D218B">
            <w:pPr>
              <w:pStyle w:val="TableText"/>
              <w:jc w:val="right"/>
              <w:rPr>
                <w:rFonts w:asciiTheme="majorHAnsi" w:hAnsiTheme="majorHAnsi"/>
              </w:rPr>
            </w:pPr>
            <w:r w:rsidRPr="006E1742">
              <w:rPr>
                <w:rFonts w:asciiTheme="majorHAnsi" w:hAnsiTheme="majorHAnsi"/>
              </w:rPr>
              <w:t>$2,022,006</w:t>
            </w:r>
          </w:p>
        </w:tc>
      </w:tr>
      <w:tr w:rsidR="005D218B" w:rsidRPr="00F7211C" w14:paraId="0ED84CFB" w14:textId="77777777" w:rsidTr="00577DB8">
        <w:trPr>
          <w:cnfStyle w:val="000000010000" w:firstRow="0" w:lastRow="0" w:firstColumn="0" w:lastColumn="0" w:oddVBand="0" w:evenVBand="0" w:oddHBand="0" w:evenHBand="1" w:firstRowFirstColumn="0" w:firstRowLastColumn="0" w:lastRowFirstColumn="0" w:lastRowLastColumn="0"/>
          <w:trHeight w:val="216"/>
        </w:trPr>
        <w:tc>
          <w:tcPr>
            <w:tcW w:w="5665" w:type="dxa"/>
            <w:shd w:val="clear" w:color="auto" w:fill="FFF8CB" w:themeFill="accent1" w:themeFillTint="33"/>
            <w:noWrap/>
          </w:tcPr>
          <w:p w14:paraId="36B47324" w14:textId="65C0D572" w:rsidR="005D218B" w:rsidRPr="00F7211C" w:rsidRDefault="005D218B" w:rsidP="005D218B">
            <w:pPr>
              <w:pStyle w:val="TableText"/>
              <w:rPr>
                <w:rFonts w:asciiTheme="majorHAnsi" w:hAnsiTheme="majorHAnsi"/>
              </w:rPr>
            </w:pPr>
            <w:r>
              <w:rPr>
                <w:rFonts w:asciiTheme="majorHAnsi" w:hAnsiTheme="majorHAnsi"/>
              </w:rPr>
              <w:t>% available funds spent</w:t>
            </w:r>
          </w:p>
        </w:tc>
        <w:tc>
          <w:tcPr>
            <w:tcW w:w="1418" w:type="dxa"/>
            <w:shd w:val="clear" w:color="auto" w:fill="FFF8CB" w:themeFill="accent1" w:themeFillTint="33"/>
            <w:noWrap/>
            <w:vAlign w:val="center"/>
          </w:tcPr>
          <w:p w14:paraId="43B1ED6A" w14:textId="6D1FE6FE" w:rsidR="005D218B" w:rsidRPr="008B4741" w:rsidRDefault="005D218B" w:rsidP="005D218B">
            <w:pPr>
              <w:pStyle w:val="TableText"/>
              <w:jc w:val="right"/>
              <w:rPr>
                <w:rFonts w:asciiTheme="majorHAnsi" w:hAnsiTheme="majorHAnsi"/>
              </w:rPr>
            </w:pPr>
            <w:r w:rsidRPr="006E1742">
              <w:rPr>
                <w:rFonts w:asciiTheme="majorHAnsi" w:hAnsiTheme="majorHAnsi"/>
              </w:rPr>
              <w:t>51%</w:t>
            </w:r>
          </w:p>
        </w:tc>
        <w:tc>
          <w:tcPr>
            <w:tcW w:w="1417" w:type="dxa"/>
            <w:shd w:val="clear" w:color="auto" w:fill="FFF8CB" w:themeFill="accent1" w:themeFillTint="33"/>
            <w:noWrap/>
            <w:vAlign w:val="center"/>
          </w:tcPr>
          <w:p w14:paraId="1BEDE456" w14:textId="7BED8F1D" w:rsidR="005D218B" w:rsidRPr="008B4741" w:rsidRDefault="005D218B" w:rsidP="005D218B">
            <w:pPr>
              <w:pStyle w:val="TableText"/>
              <w:jc w:val="right"/>
              <w:rPr>
                <w:rFonts w:asciiTheme="majorHAnsi" w:hAnsiTheme="majorHAnsi"/>
              </w:rPr>
            </w:pPr>
            <w:r w:rsidRPr="006E1742">
              <w:rPr>
                <w:rFonts w:asciiTheme="majorHAnsi" w:hAnsiTheme="majorHAnsi"/>
              </w:rPr>
              <w:t>47%</w:t>
            </w:r>
          </w:p>
        </w:tc>
        <w:tc>
          <w:tcPr>
            <w:tcW w:w="1418" w:type="dxa"/>
            <w:shd w:val="clear" w:color="auto" w:fill="FFF8CB" w:themeFill="accent1" w:themeFillTint="33"/>
            <w:noWrap/>
            <w:vAlign w:val="center"/>
          </w:tcPr>
          <w:p w14:paraId="105D6F24" w14:textId="63983AA7" w:rsidR="005D218B" w:rsidRPr="008B4741" w:rsidRDefault="005D218B" w:rsidP="005D218B">
            <w:pPr>
              <w:pStyle w:val="TableText"/>
              <w:jc w:val="right"/>
              <w:rPr>
                <w:rFonts w:asciiTheme="majorHAnsi" w:hAnsiTheme="majorHAnsi"/>
              </w:rPr>
            </w:pPr>
            <w:r w:rsidRPr="006E1742">
              <w:rPr>
                <w:rFonts w:asciiTheme="majorHAnsi" w:hAnsiTheme="majorHAnsi"/>
              </w:rPr>
              <w:t>45%</w:t>
            </w:r>
          </w:p>
        </w:tc>
        <w:tc>
          <w:tcPr>
            <w:tcW w:w="1417" w:type="dxa"/>
            <w:shd w:val="clear" w:color="auto" w:fill="FFF8CB" w:themeFill="accent1" w:themeFillTint="33"/>
            <w:noWrap/>
            <w:vAlign w:val="center"/>
          </w:tcPr>
          <w:p w14:paraId="6B7D7EE2" w14:textId="620F00E4" w:rsidR="005D218B" w:rsidRPr="008B4741" w:rsidRDefault="005D218B" w:rsidP="005D218B">
            <w:pPr>
              <w:pStyle w:val="TableText"/>
              <w:jc w:val="right"/>
              <w:rPr>
                <w:rFonts w:asciiTheme="majorHAnsi" w:hAnsiTheme="majorHAnsi"/>
              </w:rPr>
            </w:pPr>
            <w:r w:rsidRPr="006E1742">
              <w:rPr>
                <w:rFonts w:asciiTheme="majorHAnsi" w:hAnsiTheme="majorHAnsi"/>
              </w:rPr>
              <w:t>44%</w:t>
            </w:r>
          </w:p>
        </w:tc>
        <w:tc>
          <w:tcPr>
            <w:tcW w:w="1483" w:type="dxa"/>
            <w:shd w:val="clear" w:color="auto" w:fill="FFF8CB" w:themeFill="accent1" w:themeFillTint="33"/>
            <w:noWrap/>
            <w:vAlign w:val="center"/>
          </w:tcPr>
          <w:p w14:paraId="487996E4" w14:textId="345569DB" w:rsidR="005D218B" w:rsidRPr="008B4741" w:rsidRDefault="00A93FD5" w:rsidP="005D218B">
            <w:pPr>
              <w:pStyle w:val="TableText"/>
              <w:jc w:val="right"/>
              <w:rPr>
                <w:rFonts w:asciiTheme="majorHAnsi" w:hAnsiTheme="majorHAnsi"/>
              </w:rPr>
            </w:pPr>
            <w:r>
              <w:rPr>
                <w:rFonts w:asciiTheme="majorHAnsi" w:hAnsiTheme="majorHAnsi"/>
              </w:rPr>
              <w:t>-</w:t>
            </w:r>
          </w:p>
        </w:tc>
        <w:tc>
          <w:tcPr>
            <w:tcW w:w="1045" w:type="dxa"/>
            <w:shd w:val="clear" w:color="auto" w:fill="FFF8CB" w:themeFill="accent1" w:themeFillTint="33"/>
            <w:noWrap/>
          </w:tcPr>
          <w:p w14:paraId="7B9E8D27" w14:textId="257586BA" w:rsidR="005D218B" w:rsidRPr="00F7211C" w:rsidRDefault="00A93FD5" w:rsidP="005D218B">
            <w:pPr>
              <w:pStyle w:val="TableText"/>
              <w:jc w:val="right"/>
              <w:rPr>
                <w:rFonts w:asciiTheme="majorHAnsi" w:hAnsiTheme="majorHAnsi"/>
              </w:rPr>
            </w:pPr>
            <w:r>
              <w:rPr>
                <w:rFonts w:asciiTheme="majorHAnsi" w:hAnsiTheme="majorHAnsi"/>
              </w:rPr>
              <w:t>-</w:t>
            </w:r>
          </w:p>
        </w:tc>
        <w:tc>
          <w:tcPr>
            <w:tcW w:w="1386" w:type="dxa"/>
            <w:shd w:val="clear" w:color="auto" w:fill="FFF8CB" w:themeFill="accent1" w:themeFillTint="33"/>
            <w:vAlign w:val="bottom"/>
          </w:tcPr>
          <w:p w14:paraId="0C9A19B1" w14:textId="011AD088" w:rsidR="005D218B" w:rsidRPr="006E1742" w:rsidRDefault="005D218B" w:rsidP="005D218B">
            <w:pPr>
              <w:pStyle w:val="TableText"/>
              <w:jc w:val="right"/>
              <w:rPr>
                <w:rFonts w:asciiTheme="majorHAnsi" w:hAnsiTheme="majorHAnsi"/>
              </w:rPr>
            </w:pPr>
            <w:r w:rsidRPr="006E1742">
              <w:rPr>
                <w:rFonts w:asciiTheme="majorHAnsi" w:hAnsiTheme="majorHAnsi"/>
              </w:rPr>
              <w:t>47%</w:t>
            </w:r>
          </w:p>
        </w:tc>
      </w:tr>
      <w:tr w:rsidR="005D218B" w:rsidRPr="00F7211C" w14:paraId="2C5618F7" w14:textId="7493C4D5" w:rsidTr="00577DB8">
        <w:trPr>
          <w:cnfStyle w:val="000000100000" w:firstRow="0" w:lastRow="0" w:firstColumn="0" w:lastColumn="0" w:oddVBand="0" w:evenVBand="0" w:oddHBand="1" w:evenHBand="0" w:firstRowFirstColumn="0" w:firstRowLastColumn="0" w:lastRowFirstColumn="0" w:lastRowLastColumn="0"/>
          <w:trHeight w:val="160"/>
        </w:trPr>
        <w:tc>
          <w:tcPr>
            <w:tcW w:w="5665" w:type="dxa"/>
            <w:shd w:val="clear" w:color="auto" w:fill="FFF8CB" w:themeFill="accent1" w:themeFillTint="33"/>
            <w:noWrap/>
            <w:hideMark/>
          </w:tcPr>
          <w:p w14:paraId="4BDBC5A1" w14:textId="0127CB03" w:rsidR="005D218B" w:rsidRPr="00F7211C" w:rsidRDefault="005D218B" w:rsidP="005D218B">
            <w:pPr>
              <w:pStyle w:val="TableText"/>
              <w:rPr>
                <w:rFonts w:asciiTheme="majorHAnsi" w:hAnsiTheme="majorHAnsi"/>
              </w:rPr>
            </w:pPr>
            <w:r w:rsidRPr="00F7211C">
              <w:rPr>
                <w:rFonts w:asciiTheme="majorHAnsi" w:hAnsiTheme="majorHAnsi"/>
              </w:rPr>
              <w:t>Surplus/deficit</w:t>
            </w:r>
          </w:p>
        </w:tc>
        <w:tc>
          <w:tcPr>
            <w:tcW w:w="1418" w:type="dxa"/>
            <w:shd w:val="clear" w:color="auto" w:fill="FFF8CB" w:themeFill="accent1" w:themeFillTint="33"/>
            <w:noWrap/>
            <w:hideMark/>
          </w:tcPr>
          <w:p w14:paraId="49399FB5" w14:textId="5DDE63B9" w:rsidR="005D218B" w:rsidRPr="00F7211C" w:rsidRDefault="005D218B" w:rsidP="005D218B">
            <w:pPr>
              <w:pStyle w:val="TableText"/>
              <w:jc w:val="right"/>
              <w:rPr>
                <w:rFonts w:asciiTheme="majorHAnsi" w:hAnsiTheme="majorHAnsi"/>
              </w:rPr>
            </w:pPr>
            <w:r w:rsidRPr="00F7211C">
              <w:rPr>
                <w:rFonts w:asciiTheme="majorHAnsi" w:hAnsiTheme="majorHAnsi"/>
              </w:rPr>
              <w:t xml:space="preserve">$1,435,969 </w:t>
            </w:r>
          </w:p>
        </w:tc>
        <w:tc>
          <w:tcPr>
            <w:tcW w:w="1417" w:type="dxa"/>
            <w:shd w:val="clear" w:color="auto" w:fill="FFF8CB" w:themeFill="accent1" w:themeFillTint="33"/>
            <w:noWrap/>
            <w:hideMark/>
          </w:tcPr>
          <w:p w14:paraId="42B0C403" w14:textId="43C89518" w:rsidR="005D218B" w:rsidRPr="00F7211C" w:rsidRDefault="005D218B" w:rsidP="005D218B">
            <w:pPr>
              <w:pStyle w:val="TableText"/>
              <w:jc w:val="right"/>
              <w:rPr>
                <w:rFonts w:asciiTheme="majorHAnsi" w:hAnsiTheme="majorHAnsi"/>
              </w:rPr>
            </w:pPr>
            <w:r w:rsidRPr="00F7211C">
              <w:rPr>
                <w:rFonts w:asciiTheme="majorHAnsi" w:hAnsiTheme="majorHAnsi"/>
              </w:rPr>
              <w:t xml:space="preserve">$899,120 </w:t>
            </w:r>
          </w:p>
        </w:tc>
        <w:tc>
          <w:tcPr>
            <w:tcW w:w="1418" w:type="dxa"/>
            <w:shd w:val="clear" w:color="auto" w:fill="FFF8CB" w:themeFill="accent1" w:themeFillTint="33"/>
            <w:noWrap/>
            <w:hideMark/>
          </w:tcPr>
          <w:p w14:paraId="125C7817" w14:textId="202CE038" w:rsidR="005D218B" w:rsidRPr="00F7211C" w:rsidRDefault="005D218B" w:rsidP="005D218B">
            <w:pPr>
              <w:pStyle w:val="TableText"/>
              <w:jc w:val="right"/>
              <w:rPr>
                <w:rFonts w:asciiTheme="majorHAnsi" w:hAnsiTheme="majorHAnsi"/>
              </w:rPr>
            </w:pPr>
            <w:r w:rsidRPr="00F7211C">
              <w:rPr>
                <w:rFonts w:asciiTheme="majorHAnsi" w:hAnsiTheme="majorHAnsi"/>
              </w:rPr>
              <w:t xml:space="preserve">$591,820 </w:t>
            </w:r>
          </w:p>
        </w:tc>
        <w:tc>
          <w:tcPr>
            <w:tcW w:w="1417" w:type="dxa"/>
            <w:shd w:val="clear" w:color="auto" w:fill="FFF8CB" w:themeFill="accent1" w:themeFillTint="33"/>
            <w:noWrap/>
            <w:hideMark/>
          </w:tcPr>
          <w:p w14:paraId="0077CB66" w14:textId="7F83B2C4" w:rsidR="005D218B" w:rsidRPr="00F7211C" w:rsidRDefault="005D218B" w:rsidP="005D218B">
            <w:pPr>
              <w:pStyle w:val="TableText"/>
              <w:jc w:val="right"/>
              <w:rPr>
                <w:rFonts w:asciiTheme="majorHAnsi" w:hAnsiTheme="majorHAnsi"/>
              </w:rPr>
            </w:pPr>
            <w:r w:rsidRPr="00F7211C">
              <w:rPr>
                <w:rFonts w:asciiTheme="majorHAnsi" w:hAnsiTheme="majorHAnsi"/>
              </w:rPr>
              <w:t xml:space="preserve">$923,069 </w:t>
            </w:r>
          </w:p>
        </w:tc>
        <w:tc>
          <w:tcPr>
            <w:tcW w:w="1483" w:type="dxa"/>
            <w:shd w:val="clear" w:color="auto" w:fill="FFF8CB" w:themeFill="accent1" w:themeFillTint="33"/>
            <w:noWrap/>
            <w:hideMark/>
          </w:tcPr>
          <w:p w14:paraId="0EC2AEA5" w14:textId="6383FD43" w:rsidR="005D218B" w:rsidRPr="00F7211C" w:rsidRDefault="00A93FD5" w:rsidP="005D218B">
            <w:pPr>
              <w:pStyle w:val="TableText"/>
              <w:jc w:val="right"/>
              <w:rPr>
                <w:rFonts w:asciiTheme="majorHAnsi" w:hAnsiTheme="majorHAnsi"/>
              </w:rPr>
            </w:pPr>
            <w:r>
              <w:rPr>
                <w:rFonts w:asciiTheme="majorHAnsi" w:hAnsiTheme="majorHAnsi"/>
              </w:rPr>
              <w:t>-</w:t>
            </w:r>
          </w:p>
        </w:tc>
        <w:tc>
          <w:tcPr>
            <w:tcW w:w="1045" w:type="dxa"/>
            <w:shd w:val="clear" w:color="auto" w:fill="FFF8CB" w:themeFill="accent1" w:themeFillTint="33"/>
            <w:noWrap/>
            <w:hideMark/>
          </w:tcPr>
          <w:p w14:paraId="5DB2B852" w14:textId="3FCA3698" w:rsidR="005D218B" w:rsidRPr="00F7211C" w:rsidRDefault="00A93FD5" w:rsidP="005D218B">
            <w:pPr>
              <w:pStyle w:val="TableText"/>
              <w:jc w:val="right"/>
              <w:rPr>
                <w:rFonts w:asciiTheme="majorHAnsi" w:hAnsiTheme="majorHAnsi"/>
              </w:rPr>
            </w:pPr>
            <w:r>
              <w:rPr>
                <w:rFonts w:asciiTheme="majorHAnsi" w:hAnsiTheme="majorHAnsi"/>
              </w:rPr>
              <w:t>-</w:t>
            </w:r>
          </w:p>
        </w:tc>
        <w:tc>
          <w:tcPr>
            <w:tcW w:w="1386" w:type="dxa"/>
            <w:shd w:val="clear" w:color="auto" w:fill="FFF8CB" w:themeFill="accent1" w:themeFillTint="33"/>
            <w:vAlign w:val="bottom"/>
          </w:tcPr>
          <w:p w14:paraId="63F3080D" w14:textId="09AB6C6E" w:rsidR="005D218B" w:rsidRPr="008B4741" w:rsidRDefault="005D218B" w:rsidP="005D218B">
            <w:pPr>
              <w:pStyle w:val="TableText"/>
              <w:jc w:val="right"/>
              <w:rPr>
                <w:rFonts w:asciiTheme="majorHAnsi" w:hAnsiTheme="majorHAnsi"/>
              </w:rPr>
            </w:pPr>
            <w:r w:rsidRPr="006E1742">
              <w:rPr>
                <w:rFonts w:asciiTheme="majorHAnsi" w:hAnsiTheme="majorHAnsi"/>
              </w:rPr>
              <w:t>$962,495</w:t>
            </w:r>
          </w:p>
        </w:tc>
      </w:tr>
      <w:tr w:rsidR="005D218B" w:rsidRPr="00F7211C" w14:paraId="466663E5" w14:textId="21144BBC" w:rsidTr="00577DB8">
        <w:trPr>
          <w:cnfStyle w:val="000000010000" w:firstRow="0" w:lastRow="0" w:firstColumn="0" w:lastColumn="0" w:oddVBand="0" w:evenVBand="0" w:oddHBand="0" w:evenHBand="1" w:firstRowFirstColumn="0" w:firstRowLastColumn="0" w:lastRowFirstColumn="0" w:lastRowLastColumn="0"/>
          <w:trHeight w:val="222"/>
        </w:trPr>
        <w:tc>
          <w:tcPr>
            <w:tcW w:w="5665" w:type="dxa"/>
            <w:shd w:val="clear" w:color="auto" w:fill="D9D9D9" w:themeFill="background1" w:themeFillShade="D9"/>
            <w:noWrap/>
            <w:hideMark/>
          </w:tcPr>
          <w:p w14:paraId="7E087E90" w14:textId="3D8A8288" w:rsidR="005D218B" w:rsidRPr="00F7211C" w:rsidRDefault="005D218B" w:rsidP="005D218B">
            <w:pPr>
              <w:pStyle w:val="TableText"/>
              <w:rPr>
                <w:rFonts w:asciiTheme="majorHAnsi" w:hAnsiTheme="majorHAnsi"/>
              </w:rPr>
            </w:pPr>
            <w:r>
              <w:rPr>
                <w:rFonts w:asciiTheme="majorHAnsi" w:hAnsiTheme="majorHAnsi"/>
              </w:rPr>
              <w:t>Closing balance</w:t>
            </w:r>
          </w:p>
        </w:tc>
        <w:tc>
          <w:tcPr>
            <w:tcW w:w="1418" w:type="dxa"/>
            <w:shd w:val="clear" w:color="auto" w:fill="D9D9D9" w:themeFill="background1" w:themeFillShade="D9"/>
            <w:noWrap/>
            <w:vAlign w:val="center"/>
            <w:hideMark/>
          </w:tcPr>
          <w:p w14:paraId="26EC5B6A" w14:textId="05BE709B" w:rsidR="005D218B" w:rsidRPr="00F7211C" w:rsidRDefault="005D218B" w:rsidP="005D218B">
            <w:pPr>
              <w:pStyle w:val="TableText"/>
              <w:jc w:val="right"/>
              <w:rPr>
                <w:rFonts w:asciiTheme="majorHAnsi" w:hAnsiTheme="majorHAnsi"/>
              </w:rPr>
            </w:pPr>
            <w:r>
              <w:rPr>
                <w:rFonts w:ascii="Franklin Gothic Medium" w:hAnsi="Franklin Gothic Medium"/>
                <w:color w:val="000000"/>
              </w:rPr>
              <w:t>$1,435,969</w:t>
            </w:r>
          </w:p>
        </w:tc>
        <w:tc>
          <w:tcPr>
            <w:tcW w:w="1417" w:type="dxa"/>
            <w:shd w:val="clear" w:color="auto" w:fill="D9D9D9" w:themeFill="background1" w:themeFillShade="D9"/>
            <w:noWrap/>
            <w:vAlign w:val="center"/>
            <w:hideMark/>
          </w:tcPr>
          <w:p w14:paraId="547BCA26" w14:textId="75F28B93" w:rsidR="005D218B" w:rsidRPr="00F7211C" w:rsidRDefault="005D218B" w:rsidP="005D218B">
            <w:pPr>
              <w:pStyle w:val="TableText"/>
              <w:jc w:val="right"/>
              <w:rPr>
                <w:rFonts w:asciiTheme="majorHAnsi" w:hAnsiTheme="majorHAnsi"/>
              </w:rPr>
            </w:pPr>
            <w:r>
              <w:rPr>
                <w:rFonts w:ascii="Franklin Gothic Medium" w:hAnsi="Franklin Gothic Medium"/>
                <w:color w:val="000000"/>
              </w:rPr>
              <w:t>$2,335,089</w:t>
            </w:r>
          </w:p>
        </w:tc>
        <w:tc>
          <w:tcPr>
            <w:tcW w:w="1418" w:type="dxa"/>
            <w:shd w:val="clear" w:color="auto" w:fill="D9D9D9" w:themeFill="background1" w:themeFillShade="D9"/>
            <w:noWrap/>
            <w:vAlign w:val="center"/>
            <w:hideMark/>
          </w:tcPr>
          <w:p w14:paraId="2C06E913" w14:textId="74E1791D" w:rsidR="005D218B" w:rsidRPr="00F7211C" w:rsidRDefault="005D218B" w:rsidP="005D218B">
            <w:pPr>
              <w:pStyle w:val="TableText"/>
              <w:jc w:val="right"/>
              <w:rPr>
                <w:rFonts w:asciiTheme="majorHAnsi" w:hAnsiTheme="majorHAnsi"/>
              </w:rPr>
            </w:pPr>
            <w:r>
              <w:rPr>
                <w:rFonts w:ascii="Franklin Gothic Medium" w:hAnsi="Franklin Gothic Medium"/>
                <w:color w:val="000000"/>
              </w:rPr>
              <w:t>$2,926,909</w:t>
            </w:r>
          </w:p>
        </w:tc>
        <w:tc>
          <w:tcPr>
            <w:tcW w:w="1417" w:type="dxa"/>
            <w:shd w:val="clear" w:color="auto" w:fill="D9D9D9" w:themeFill="background1" w:themeFillShade="D9"/>
            <w:noWrap/>
            <w:vAlign w:val="center"/>
            <w:hideMark/>
          </w:tcPr>
          <w:p w14:paraId="20284C81" w14:textId="08F05156" w:rsidR="005D218B" w:rsidRPr="00F7211C" w:rsidRDefault="005D218B" w:rsidP="005D218B">
            <w:pPr>
              <w:pStyle w:val="TableText"/>
              <w:jc w:val="right"/>
              <w:rPr>
                <w:rFonts w:asciiTheme="majorHAnsi" w:hAnsiTheme="majorHAnsi"/>
              </w:rPr>
            </w:pPr>
            <w:r>
              <w:rPr>
                <w:rFonts w:ascii="Franklin Gothic Medium" w:hAnsi="Franklin Gothic Medium"/>
                <w:color w:val="000000"/>
              </w:rPr>
              <w:t>$2,654,598</w:t>
            </w:r>
          </w:p>
        </w:tc>
        <w:tc>
          <w:tcPr>
            <w:tcW w:w="1483" w:type="dxa"/>
            <w:shd w:val="clear" w:color="auto" w:fill="D9D9D9" w:themeFill="background1" w:themeFillShade="D9"/>
            <w:noWrap/>
          </w:tcPr>
          <w:p w14:paraId="450BB918" w14:textId="02068B33" w:rsidR="005D218B" w:rsidRPr="00F7211C" w:rsidRDefault="00A93FD5" w:rsidP="005D218B">
            <w:pPr>
              <w:pStyle w:val="TableText"/>
              <w:jc w:val="right"/>
              <w:rPr>
                <w:rFonts w:asciiTheme="majorHAnsi" w:hAnsiTheme="majorHAnsi"/>
              </w:rPr>
            </w:pPr>
            <w:r>
              <w:rPr>
                <w:rFonts w:asciiTheme="majorHAnsi" w:hAnsiTheme="majorHAnsi"/>
              </w:rPr>
              <w:t>-</w:t>
            </w:r>
          </w:p>
        </w:tc>
        <w:tc>
          <w:tcPr>
            <w:tcW w:w="1045" w:type="dxa"/>
            <w:shd w:val="clear" w:color="auto" w:fill="D9D9D9" w:themeFill="background1" w:themeFillShade="D9"/>
            <w:noWrap/>
          </w:tcPr>
          <w:p w14:paraId="6DC8AB74" w14:textId="66E998D4" w:rsidR="005D218B" w:rsidRPr="00F7211C" w:rsidRDefault="00A93FD5" w:rsidP="005D218B">
            <w:pPr>
              <w:pStyle w:val="TableText"/>
              <w:jc w:val="right"/>
              <w:rPr>
                <w:rFonts w:asciiTheme="majorHAnsi" w:hAnsiTheme="majorHAnsi"/>
              </w:rPr>
            </w:pPr>
            <w:r>
              <w:rPr>
                <w:rFonts w:asciiTheme="majorHAnsi" w:hAnsiTheme="majorHAnsi"/>
              </w:rPr>
              <w:t>-</w:t>
            </w:r>
          </w:p>
        </w:tc>
        <w:tc>
          <w:tcPr>
            <w:tcW w:w="1386" w:type="dxa"/>
            <w:shd w:val="clear" w:color="auto" w:fill="D9D9D9" w:themeFill="background1" w:themeFillShade="D9"/>
          </w:tcPr>
          <w:p w14:paraId="22AA30AF" w14:textId="2DD313C4" w:rsidR="005D218B" w:rsidRPr="008B4741" w:rsidRDefault="005D218B" w:rsidP="005D218B">
            <w:pPr>
              <w:pStyle w:val="TableText"/>
              <w:jc w:val="right"/>
              <w:rPr>
                <w:rFonts w:asciiTheme="majorHAnsi" w:hAnsiTheme="majorHAnsi"/>
              </w:rPr>
            </w:pPr>
            <w:r w:rsidRPr="006E1742">
              <w:rPr>
                <w:rFonts w:asciiTheme="majorHAnsi" w:hAnsiTheme="majorHAnsi"/>
              </w:rPr>
              <w:t xml:space="preserve">$2,338,141  </w:t>
            </w:r>
          </w:p>
        </w:tc>
      </w:tr>
    </w:tbl>
    <w:p w14:paraId="4627C38F" w14:textId="5592F3EB" w:rsidR="004F5216" w:rsidRDefault="004F5216" w:rsidP="004F5216">
      <w:pPr>
        <w:pStyle w:val="Tablenotes"/>
      </w:pPr>
      <w:r w:rsidRPr="006C49EE">
        <w:t>Sources: PACOP 2021–2024 Activity Work Plan</w:t>
      </w:r>
      <w:r>
        <w:t xml:space="preserve">, </w:t>
      </w:r>
      <w:r w:rsidRPr="006C49EE">
        <w:t>PACOP 2024–2025 Activity Work Plan</w:t>
      </w:r>
      <w:r>
        <w:t xml:space="preserve">, </w:t>
      </w:r>
      <w:r w:rsidRPr="006C49EE">
        <w:t>PACOP 2025–2026 Activity Work Plan</w:t>
      </w:r>
      <w:r>
        <w:t>,</w:t>
      </w:r>
      <w:r w:rsidRPr="006C49EE">
        <w:t xml:space="preserve"> University </w:t>
      </w:r>
      <w:r w:rsidRPr="002B2006">
        <w:t>of Wollongong Financial Statement November 2021 to December 2024</w:t>
      </w:r>
      <w:r>
        <w:t>.</w:t>
      </w:r>
    </w:p>
    <w:p w14:paraId="4FFB8F63" w14:textId="77777777" w:rsidR="009F5F46" w:rsidRDefault="009F5F46" w:rsidP="00B13CE9">
      <w:pPr>
        <w:sectPr w:rsidR="009F5F46" w:rsidSect="009F5F46">
          <w:type w:val="continuous"/>
          <w:pgSz w:w="16838" w:h="11906" w:orient="landscape" w:code="9"/>
          <w:pgMar w:top="851" w:right="851" w:bottom="851" w:left="851" w:header="709" w:footer="567" w:gutter="0"/>
          <w:cols w:space="709"/>
          <w:docGrid w:linePitch="360"/>
        </w:sectPr>
      </w:pPr>
    </w:p>
    <w:p w14:paraId="51BF9800" w14:textId="450EBE94" w:rsidR="008A5F6C" w:rsidRDefault="008A5F6C" w:rsidP="008A5F6C">
      <w:pPr>
        <w:pStyle w:val="Findings"/>
      </w:pPr>
      <w:r>
        <w:lastRenderedPageBreak/>
        <w:t xml:space="preserve">PACOP </w:t>
      </w:r>
      <w:r w:rsidR="00C94146">
        <w:t xml:space="preserve">accumulated </w:t>
      </w:r>
      <w:r>
        <w:t xml:space="preserve">a significant </w:t>
      </w:r>
      <w:r w:rsidR="00181E58">
        <w:t xml:space="preserve">unspent balance </w:t>
      </w:r>
      <w:r>
        <w:t>of $</w:t>
      </w:r>
      <w:r w:rsidR="00204EDA">
        <w:t>2</w:t>
      </w:r>
      <w:r w:rsidR="00204CD9">
        <w:t>.</w:t>
      </w:r>
      <w:r w:rsidR="00204EDA">
        <w:t>6</w:t>
      </w:r>
      <w:r w:rsidR="00204CD9">
        <w:t>5</w:t>
      </w:r>
      <w:r>
        <w:t xml:space="preserve"> million over </w:t>
      </w:r>
      <w:r w:rsidR="00DA3C0B">
        <w:t>the four financial years from 2021</w:t>
      </w:r>
      <w:r w:rsidR="006D2E33" w:rsidRPr="00790A58">
        <w:t>–</w:t>
      </w:r>
      <w:r w:rsidR="00DA3C0B">
        <w:t>22 to 2024</w:t>
      </w:r>
      <w:r w:rsidR="006D2E33" w:rsidRPr="00790A58">
        <w:t>–</w:t>
      </w:r>
      <w:r w:rsidR="00DA3C0B">
        <w:t>25</w:t>
      </w:r>
      <w:r>
        <w:t>. Delays</w:t>
      </w:r>
      <w:r w:rsidR="00F3336C">
        <w:t xml:space="preserve"> related to</w:t>
      </w:r>
      <w:r>
        <w:t xml:space="preserve"> IT development and </w:t>
      </w:r>
      <w:r w:rsidR="00A55B13">
        <w:t xml:space="preserve">persistent </w:t>
      </w:r>
      <w:r>
        <w:t xml:space="preserve">staff recruitment </w:t>
      </w:r>
      <w:r w:rsidR="00314270">
        <w:t xml:space="preserve">challenges </w:t>
      </w:r>
      <w:r w:rsidR="003D6EDA">
        <w:t>contributed to lower expenditure</w:t>
      </w:r>
      <w:r w:rsidR="004A0D01">
        <w:t>.</w:t>
      </w:r>
      <w:r w:rsidR="00314270">
        <w:t xml:space="preserve"> </w:t>
      </w:r>
      <w:r w:rsidR="00FE04D3">
        <w:t xml:space="preserve">These </w:t>
      </w:r>
      <w:r w:rsidR="0006486A">
        <w:t>constraints likely</w:t>
      </w:r>
      <w:r w:rsidR="007F53A5">
        <w:t xml:space="preserve"> </w:t>
      </w:r>
      <w:r w:rsidR="00F57432">
        <w:t>impacted program reach and scale.</w:t>
      </w:r>
    </w:p>
    <w:p w14:paraId="79FDCC5D" w14:textId="026C570A" w:rsidR="00CE44BE" w:rsidRDefault="00060AAE" w:rsidP="002A47F5">
      <w:pPr>
        <w:pStyle w:val="Heading3"/>
      </w:pPr>
      <w:bookmarkStart w:id="128" w:name="_Toc232685929"/>
      <w:r>
        <w:t>Program c</w:t>
      </w:r>
      <w:r w:rsidR="00CE44BE">
        <w:t xml:space="preserve">ost per participating </w:t>
      </w:r>
      <w:r w:rsidR="00AF3873">
        <w:t xml:space="preserve">provider and </w:t>
      </w:r>
      <w:r w:rsidR="00CE44BE">
        <w:t>home</w:t>
      </w:r>
      <w:bookmarkEnd w:id="128"/>
    </w:p>
    <w:p w14:paraId="76C5162B" w14:textId="3D64650F" w:rsidR="00287E44" w:rsidRDefault="00302AE2" w:rsidP="00287E44">
      <w:r>
        <w:t xml:space="preserve">As shown in </w:t>
      </w:r>
      <w:r>
        <w:fldChar w:fldCharType="begin"/>
      </w:r>
      <w:r>
        <w:instrText xml:space="preserve"> REF _Ref214366809 \h </w:instrText>
      </w:r>
      <w:r>
        <w:fldChar w:fldCharType="separate"/>
      </w:r>
      <w:r w:rsidR="00167BA0">
        <w:t xml:space="preserve">Table </w:t>
      </w:r>
      <w:r w:rsidR="00167BA0">
        <w:rPr>
          <w:noProof/>
        </w:rPr>
        <w:t>7</w:t>
      </w:r>
      <w:r w:rsidR="00167BA0">
        <w:t>.</w:t>
      </w:r>
      <w:r w:rsidR="00167BA0">
        <w:rPr>
          <w:noProof/>
        </w:rPr>
        <w:t>5</w:t>
      </w:r>
      <w:r>
        <w:fldChar w:fldCharType="end"/>
      </w:r>
      <w:r>
        <w:t xml:space="preserve">, </w:t>
      </w:r>
      <w:r w:rsidR="002A0243">
        <w:t xml:space="preserve">PACOP achieved considerable scale-up </w:t>
      </w:r>
      <w:r w:rsidR="005C3971">
        <w:t>between 2022</w:t>
      </w:r>
      <w:r w:rsidR="005C3971" w:rsidRPr="00790A58">
        <w:t>–</w:t>
      </w:r>
      <w:r w:rsidR="005C3971">
        <w:t>23 and 2024</w:t>
      </w:r>
      <w:r w:rsidR="005C3971" w:rsidRPr="00790A58">
        <w:t>–</w:t>
      </w:r>
      <w:r w:rsidR="005C3971">
        <w:t>25</w:t>
      </w:r>
      <w:r w:rsidR="00F44326">
        <w:t>. T</w:t>
      </w:r>
      <w:r w:rsidR="000F34C8">
        <w:t xml:space="preserve">he number of </w:t>
      </w:r>
      <w:r w:rsidR="002A0243">
        <w:t xml:space="preserve">registered </w:t>
      </w:r>
      <w:r>
        <w:t xml:space="preserve">providers </w:t>
      </w:r>
      <w:r w:rsidR="002A0243">
        <w:t>increas</w:t>
      </w:r>
      <w:r w:rsidR="00F44326">
        <w:t>ed</w:t>
      </w:r>
      <w:r w:rsidR="000F34C8">
        <w:t xml:space="preserve"> by 52%, </w:t>
      </w:r>
      <w:r w:rsidR="002949D3">
        <w:t xml:space="preserve">the number of </w:t>
      </w:r>
      <w:r w:rsidR="003F1632">
        <w:t>registered</w:t>
      </w:r>
      <w:r w:rsidR="000F34C8">
        <w:t xml:space="preserve"> homes</w:t>
      </w:r>
      <w:r w:rsidR="007D3CE0">
        <w:t xml:space="preserve"> </w:t>
      </w:r>
      <w:r w:rsidR="00F44326">
        <w:t>grew by 213%, and the number of homes participating in benchmarking rose</w:t>
      </w:r>
      <w:r w:rsidR="002949D3">
        <w:t xml:space="preserve"> by 589%</w:t>
      </w:r>
      <w:r w:rsidR="005B2E00">
        <w:t>.</w:t>
      </w:r>
      <w:r w:rsidR="000F34C8">
        <w:t xml:space="preserve"> This expansion drove reductions in unit costs</w:t>
      </w:r>
      <w:r w:rsidR="0004142F">
        <w:t xml:space="preserve"> by </w:t>
      </w:r>
      <w:r w:rsidR="00F870CF">
        <w:t>33%</w:t>
      </w:r>
      <w:r w:rsidR="00497F94">
        <w:t xml:space="preserve"> </w:t>
      </w:r>
      <w:r w:rsidR="004814FF">
        <w:t>per</w:t>
      </w:r>
      <w:r w:rsidR="009C12C6">
        <w:t xml:space="preserve"> registered</w:t>
      </w:r>
      <w:r w:rsidR="004814FF">
        <w:t xml:space="preserve"> provider ($36,962 to $24,787)</w:t>
      </w:r>
      <w:r w:rsidR="009C12C6">
        <w:t>,</w:t>
      </w:r>
      <w:r w:rsidR="004814FF">
        <w:t xml:space="preserve"> </w:t>
      </w:r>
      <w:r w:rsidR="00206987">
        <w:t>67</w:t>
      </w:r>
      <w:r w:rsidR="0004142F">
        <w:t xml:space="preserve">% </w:t>
      </w:r>
      <w:r w:rsidR="00F870CF">
        <w:t>per</w:t>
      </w:r>
      <w:r w:rsidR="0004142F">
        <w:t xml:space="preserve"> </w:t>
      </w:r>
      <w:r w:rsidR="009C12C6">
        <w:t>registered</w:t>
      </w:r>
      <w:r w:rsidR="0004142F">
        <w:t xml:space="preserve"> home</w:t>
      </w:r>
      <w:r w:rsidR="000F34C8">
        <w:t xml:space="preserve"> ($1</w:t>
      </w:r>
      <w:r w:rsidR="00206987">
        <w:t>4</w:t>
      </w:r>
      <w:r w:rsidR="000F34C8">
        <w:t>,</w:t>
      </w:r>
      <w:r w:rsidR="00206987">
        <w:t>275</w:t>
      </w:r>
      <w:r w:rsidR="000F34C8">
        <w:t xml:space="preserve"> to $</w:t>
      </w:r>
      <w:r w:rsidR="00245428">
        <w:t>4</w:t>
      </w:r>
      <w:r w:rsidR="000F34C8">
        <w:t>,</w:t>
      </w:r>
      <w:r w:rsidR="00245428">
        <w:t>641</w:t>
      </w:r>
      <w:r w:rsidR="004814FF">
        <w:t>)</w:t>
      </w:r>
      <w:r w:rsidR="009C12C6">
        <w:t xml:space="preserve">, and 85% </w:t>
      </w:r>
      <w:r w:rsidR="004608E3">
        <w:t xml:space="preserve">per home participating in benchmarking </w:t>
      </w:r>
      <w:r w:rsidR="009C12C6">
        <w:t>(</w:t>
      </w:r>
      <w:r w:rsidR="004608E3">
        <w:t>$108,941 to $16,083)</w:t>
      </w:r>
      <w:r w:rsidR="00896614">
        <w:t xml:space="preserve">. </w:t>
      </w:r>
      <w:r w:rsidR="006833BB">
        <w:t xml:space="preserve">These </w:t>
      </w:r>
      <w:r w:rsidR="008C68CB">
        <w:t>reductions occurred without a proportional increase in total expenditure (which remained relatively stable at $2.07</w:t>
      </w:r>
      <w:r w:rsidR="00885959" w:rsidRPr="00790A58">
        <w:t>–</w:t>
      </w:r>
      <w:r w:rsidR="00885959">
        <w:t>$2.43 million)</w:t>
      </w:r>
      <w:r w:rsidR="00A10E59">
        <w:t xml:space="preserve">, suggesting </w:t>
      </w:r>
      <w:r w:rsidR="00C41889">
        <w:t xml:space="preserve">that </w:t>
      </w:r>
      <w:r w:rsidR="00767D11">
        <w:t xml:space="preserve">the number of homes supported by </w:t>
      </w:r>
      <w:r w:rsidR="00C41889">
        <w:t xml:space="preserve">PACOP </w:t>
      </w:r>
      <w:r w:rsidR="00767D11">
        <w:t>staff members</w:t>
      </w:r>
      <w:r w:rsidR="00220CF6">
        <w:t xml:space="preserve"> increased significantly</w:t>
      </w:r>
      <w:r w:rsidR="00B10923">
        <w:t xml:space="preserve"> over time. </w:t>
      </w:r>
      <w:r w:rsidR="00476EB8">
        <w:t>These findings also indicate</w:t>
      </w:r>
      <w:r w:rsidR="00A1448E">
        <w:t xml:space="preserve"> that economies of scale were </w:t>
      </w:r>
      <w:r w:rsidR="00757D06">
        <w:t>realised</w:t>
      </w:r>
      <w:r w:rsidR="00A1448E">
        <w:t xml:space="preserve"> as fixed costs (e.g. overheads) were spread across more participa</w:t>
      </w:r>
      <w:r w:rsidR="007D434D">
        <w:t>ting homes/providers</w:t>
      </w:r>
      <w:r w:rsidR="00A1448E">
        <w:t>.</w:t>
      </w:r>
      <w:r w:rsidR="007D434D">
        <w:t xml:space="preserve"> </w:t>
      </w:r>
      <w:r w:rsidR="00F83A2C">
        <w:t>However, despite</w:t>
      </w:r>
      <w:r w:rsidR="00810413">
        <w:t xml:space="preserve"> the</w:t>
      </w:r>
      <w:r w:rsidR="00F83A2C">
        <w:t xml:space="preserve"> </w:t>
      </w:r>
      <w:r w:rsidR="00205796">
        <w:t>scale-up</w:t>
      </w:r>
      <w:r w:rsidR="00525DBA">
        <w:t xml:space="preserve"> achieved</w:t>
      </w:r>
      <w:r w:rsidR="00810413">
        <w:t xml:space="preserve"> </w:t>
      </w:r>
      <w:r w:rsidR="00757D06">
        <w:t>by</w:t>
      </w:r>
      <w:r w:rsidR="00810413">
        <w:t xml:space="preserve"> June 2025</w:t>
      </w:r>
      <w:r w:rsidR="00F83A2C">
        <w:t xml:space="preserve">, </w:t>
      </w:r>
      <w:r w:rsidR="008868C2">
        <w:t>more than</w:t>
      </w:r>
      <w:r w:rsidR="001A7E18">
        <w:t xml:space="preserve"> 70% of </w:t>
      </w:r>
      <w:r w:rsidR="00D31DDB">
        <w:t xml:space="preserve">homes </w:t>
      </w:r>
      <w:r w:rsidR="00BD6647">
        <w:t xml:space="preserve">were not </w:t>
      </w:r>
      <w:r w:rsidR="00810413">
        <w:t xml:space="preserve">yet </w:t>
      </w:r>
      <w:r w:rsidR="00BD6647">
        <w:t>participating in benchmarking</w:t>
      </w:r>
      <w:r w:rsidR="00810413">
        <w:t xml:space="preserve">. This </w:t>
      </w:r>
      <w:r w:rsidR="00753844">
        <w:t xml:space="preserve">highlights that, while unit costs decreased as participation grew, a large proportion of </w:t>
      </w:r>
      <w:r w:rsidR="00A53617">
        <w:t>homes</w:t>
      </w:r>
      <w:r w:rsidR="00753844">
        <w:t xml:space="preserve"> had not yet engaged with the most resource-intensive component of the program. As benchmarking participation expands, </w:t>
      </w:r>
      <w:r w:rsidR="00C23807">
        <w:t xml:space="preserve">additional </w:t>
      </w:r>
      <w:r w:rsidR="008872DB">
        <w:t>workforce</w:t>
      </w:r>
      <w:r w:rsidR="00C23807">
        <w:t xml:space="preserve"> capacity</w:t>
      </w:r>
      <w:r w:rsidR="008872DB">
        <w:t xml:space="preserve"> </w:t>
      </w:r>
      <w:r w:rsidR="0001358D">
        <w:t xml:space="preserve">will </w:t>
      </w:r>
      <w:r w:rsidR="00C23807">
        <w:t xml:space="preserve">likely </w:t>
      </w:r>
      <w:r w:rsidR="0001358D">
        <w:t xml:space="preserve">be required to </w:t>
      </w:r>
      <w:r w:rsidR="00810413">
        <w:t xml:space="preserve">maintain </w:t>
      </w:r>
      <w:r w:rsidR="00FF5690">
        <w:t>quality and responsiveness</w:t>
      </w:r>
      <w:r w:rsidR="008F7800">
        <w:t>.</w:t>
      </w:r>
    </w:p>
    <w:p w14:paraId="34F167B6" w14:textId="71A26F7D" w:rsidR="0059290F" w:rsidRDefault="0059290F" w:rsidP="0059290F">
      <w:pPr>
        <w:pStyle w:val="Caption"/>
      </w:pPr>
      <w:bookmarkStart w:id="129" w:name="_Ref214366809"/>
      <w:r>
        <w:t xml:space="preserve">Table </w:t>
      </w:r>
      <w:fldSimple w:instr=" STYLEREF 1 \s ">
        <w:r w:rsidR="0091457A">
          <w:rPr>
            <w:noProof/>
          </w:rPr>
          <w:t>7</w:t>
        </w:r>
      </w:fldSimple>
      <w:r w:rsidR="0091457A">
        <w:t>.</w:t>
      </w:r>
      <w:fldSimple w:instr=" SEQ Table \* ARABIC \s 1 ">
        <w:r w:rsidR="0091457A">
          <w:rPr>
            <w:noProof/>
          </w:rPr>
          <w:t>5</w:t>
        </w:r>
      </w:fldSimple>
      <w:bookmarkEnd w:id="129"/>
      <w:r>
        <w:t>: PACOP</w:t>
      </w:r>
      <w:r w:rsidRPr="007F78CF">
        <w:t xml:space="preserve"> expenditure relative to </w:t>
      </w:r>
      <w:r w:rsidR="00751D29">
        <w:t xml:space="preserve">the </w:t>
      </w:r>
      <w:r w:rsidRPr="007F78CF">
        <w:t xml:space="preserve">number of </w:t>
      </w:r>
      <w:r>
        <w:t xml:space="preserve">registered </w:t>
      </w:r>
      <w:r w:rsidR="00751D29">
        <w:br/>
        <w:t>a</w:t>
      </w:r>
      <w:r>
        <w:t xml:space="preserve">ged </w:t>
      </w:r>
      <w:r w:rsidR="00751D29">
        <w:t>c</w:t>
      </w:r>
      <w:r>
        <w:t>are providers and homes by financial year</w:t>
      </w:r>
    </w:p>
    <w:tbl>
      <w:tblPr>
        <w:tblStyle w:val="HMAdefaulttable"/>
        <w:tblW w:w="5000" w:type="pct"/>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PACOP cost efficiency"/>
        <w:tblDescription w:val="Table shows PACOP expenditure relative to the number of registered aged care providers and homes across three financial years from 2022-23 to 2024-25."/>
      </w:tblPr>
      <w:tblGrid>
        <w:gridCol w:w="1842"/>
        <w:gridCol w:w="1226"/>
        <w:gridCol w:w="1227"/>
        <w:gridCol w:w="1227"/>
        <w:gridCol w:w="1681"/>
      </w:tblGrid>
      <w:tr w:rsidR="00F31EBF" w:rsidRPr="002B6DB6" w14:paraId="0346CBD9" w14:textId="77777777" w:rsidTr="00577DB8">
        <w:trPr>
          <w:cnfStyle w:val="100000000000" w:firstRow="1" w:lastRow="0" w:firstColumn="0" w:lastColumn="0" w:oddVBand="0" w:evenVBand="0" w:oddHBand="0" w:evenHBand="0" w:firstRowFirstColumn="0" w:firstRowLastColumn="0" w:lastRowFirstColumn="0" w:lastRowLastColumn="0"/>
          <w:trHeight w:val="232"/>
          <w:tblHeader/>
        </w:trPr>
        <w:tc>
          <w:tcPr>
            <w:cnfStyle w:val="001000000000" w:firstRow="0" w:lastRow="0" w:firstColumn="1" w:lastColumn="0" w:oddVBand="0" w:evenVBand="0" w:oddHBand="0" w:evenHBand="0" w:firstRowFirstColumn="0" w:firstRowLastColumn="0" w:lastRowFirstColumn="0" w:lastRowLastColumn="0"/>
            <w:tcW w:w="1278" w:type="pct"/>
            <w:noWrap/>
            <w:hideMark/>
          </w:tcPr>
          <w:p w14:paraId="2C247DEC" w14:textId="1B44463C" w:rsidR="0059290F" w:rsidRPr="002B6DB6" w:rsidRDefault="00EA6072">
            <w:pPr>
              <w:pStyle w:val="TableHeading"/>
            </w:pPr>
            <w:r>
              <w:t>Efficiency measure</w:t>
            </w:r>
          </w:p>
        </w:tc>
        <w:tc>
          <w:tcPr>
            <w:tcW w:w="851" w:type="pct"/>
            <w:noWrap/>
            <w:hideMark/>
          </w:tcPr>
          <w:p w14:paraId="0EFF812F" w14:textId="1BCF7B9F" w:rsidR="0059290F" w:rsidRPr="009C13D7" w:rsidRDefault="0059290F" w:rsidP="00F31EBF">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9C13D7">
              <w:rPr>
                <w:sz w:val="18"/>
                <w:szCs w:val="18"/>
              </w:rPr>
              <w:t>2022–23</w:t>
            </w:r>
            <w:r w:rsidR="009C13D7">
              <w:rPr>
                <w:sz w:val="18"/>
                <w:szCs w:val="18"/>
              </w:rPr>
              <w:t>^</w:t>
            </w:r>
          </w:p>
        </w:tc>
        <w:tc>
          <w:tcPr>
            <w:tcW w:w="852" w:type="pct"/>
            <w:noWrap/>
            <w:hideMark/>
          </w:tcPr>
          <w:p w14:paraId="7B0B8F42" w14:textId="77777777" w:rsidR="0059290F" w:rsidRPr="009C13D7" w:rsidRDefault="0059290F" w:rsidP="00F31EBF">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9C13D7">
              <w:rPr>
                <w:sz w:val="18"/>
                <w:szCs w:val="18"/>
              </w:rPr>
              <w:t>2023–24</w:t>
            </w:r>
          </w:p>
        </w:tc>
        <w:tc>
          <w:tcPr>
            <w:tcW w:w="852" w:type="pct"/>
            <w:noWrap/>
            <w:hideMark/>
          </w:tcPr>
          <w:p w14:paraId="0583D71C" w14:textId="77777777" w:rsidR="0059290F" w:rsidRPr="009C13D7" w:rsidRDefault="0059290F" w:rsidP="00F31EBF">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9C13D7">
              <w:rPr>
                <w:sz w:val="18"/>
                <w:szCs w:val="18"/>
              </w:rPr>
              <w:t>2024–25</w:t>
            </w:r>
          </w:p>
        </w:tc>
        <w:tc>
          <w:tcPr>
            <w:tcW w:w="1167" w:type="pct"/>
            <w:noWrap/>
            <w:hideMark/>
          </w:tcPr>
          <w:p w14:paraId="2DDFF1AA" w14:textId="7B1861E1" w:rsidR="0059290F" w:rsidRPr="009C13D7" w:rsidRDefault="0059290F" w:rsidP="00F31EBF">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9C13D7">
              <w:rPr>
                <w:sz w:val="18"/>
                <w:szCs w:val="18"/>
              </w:rPr>
              <w:t>% change (2022–23 to 20</w:t>
            </w:r>
            <w:r w:rsidR="00F31EBF" w:rsidRPr="009C13D7">
              <w:rPr>
                <w:sz w:val="18"/>
                <w:szCs w:val="18"/>
              </w:rPr>
              <w:t>2</w:t>
            </w:r>
            <w:r w:rsidRPr="009C13D7">
              <w:rPr>
                <w:sz w:val="18"/>
                <w:szCs w:val="18"/>
              </w:rPr>
              <w:t>4–25)</w:t>
            </w:r>
          </w:p>
        </w:tc>
      </w:tr>
      <w:tr w:rsidR="00F31EBF" w:rsidRPr="002B6DB6" w14:paraId="53583E4E"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hideMark/>
          </w:tcPr>
          <w:p w14:paraId="4E06E314" w14:textId="77777777" w:rsidR="0059290F" w:rsidRPr="00994B9B" w:rsidRDefault="0059290F">
            <w:pPr>
              <w:pStyle w:val="TableText"/>
              <w:rPr>
                <w:sz w:val="18"/>
                <w:szCs w:val="18"/>
              </w:rPr>
            </w:pPr>
            <w:r w:rsidRPr="00994B9B">
              <w:rPr>
                <w:sz w:val="18"/>
                <w:szCs w:val="18"/>
              </w:rPr>
              <w:t>Total expenditure</w:t>
            </w:r>
          </w:p>
        </w:tc>
        <w:tc>
          <w:tcPr>
            <w:tcW w:w="851" w:type="pct"/>
            <w:noWrap/>
          </w:tcPr>
          <w:p w14:paraId="7942464A"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$2,069,880</w:t>
            </w:r>
          </w:p>
        </w:tc>
        <w:tc>
          <w:tcPr>
            <w:tcW w:w="852" w:type="pct"/>
            <w:noWrap/>
          </w:tcPr>
          <w:p w14:paraId="7E8F756C"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$2,436,180</w:t>
            </w:r>
          </w:p>
        </w:tc>
        <w:tc>
          <w:tcPr>
            <w:tcW w:w="852" w:type="pct"/>
            <w:noWrap/>
          </w:tcPr>
          <w:p w14:paraId="6098A9D7"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$2,106,931</w:t>
            </w:r>
          </w:p>
        </w:tc>
        <w:tc>
          <w:tcPr>
            <w:tcW w:w="1167" w:type="pct"/>
            <w:noWrap/>
          </w:tcPr>
          <w:p w14:paraId="5BB895D0"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2%</w:t>
            </w:r>
          </w:p>
        </w:tc>
      </w:tr>
      <w:tr w:rsidR="00F31EBF" w:rsidRPr="002B6DB6" w14:paraId="434A3356" w14:textId="77777777" w:rsidTr="00577DB8">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7B5B05D5" w14:textId="43604412" w:rsidR="0059290F" w:rsidRPr="00994B9B" w:rsidRDefault="0059290F">
            <w:pPr>
              <w:pStyle w:val="TableText"/>
              <w:rPr>
                <w:sz w:val="18"/>
                <w:szCs w:val="18"/>
              </w:rPr>
            </w:pPr>
            <w:r w:rsidRPr="00994B9B">
              <w:rPr>
                <w:sz w:val="18"/>
                <w:szCs w:val="18"/>
              </w:rPr>
              <w:t xml:space="preserve">Number </w:t>
            </w:r>
            <w:r w:rsidR="00AA0F0A" w:rsidRPr="00994B9B">
              <w:rPr>
                <w:sz w:val="18"/>
                <w:szCs w:val="18"/>
              </w:rPr>
              <w:t xml:space="preserve">of </w:t>
            </w:r>
            <w:r w:rsidR="00722CD5">
              <w:rPr>
                <w:sz w:val="18"/>
                <w:szCs w:val="18"/>
              </w:rPr>
              <w:t xml:space="preserve">registered </w:t>
            </w:r>
            <w:r w:rsidRPr="00994B9B">
              <w:rPr>
                <w:sz w:val="18"/>
                <w:szCs w:val="18"/>
              </w:rPr>
              <w:t>providers</w:t>
            </w:r>
            <w:r w:rsidR="008020CE" w:rsidRPr="00994B9B">
              <w:rPr>
                <w:sz w:val="18"/>
                <w:szCs w:val="18"/>
              </w:rPr>
              <w:t>*</w:t>
            </w:r>
          </w:p>
        </w:tc>
        <w:tc>
          <w:tcPr>
            <w:tcW w:w="851" w:type="pct"/>
            <w:noWrap/>
          </w:tcPr>
          <w:p w14:paraId="6DFBB1DD"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56</w:t>
            </w:r>
          </w:p>
        </w:tc>
        <w:tc>
          <w:tcPr>
            <w:tcW w:w="852" w:type="pct"/>
            <w:noWrap/>
          </w:tcPr>
          <w:p w14:paraId="6BE3644B"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74</w:t>
            </w:r>
          </w:p>
        </w:tc>
        <w:tc>
          <w:tcPr>
            <w:tcW w:w="852" w:type="pct"/>
            <w:noWrap/>
          </w:tcPr>
          <w:p w14:paraId="0D8B7893"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85</w:t>
            </w:r>
          </w:p>
        </w:tc>
        <w:tc>
          <w:tcPr>
            <w:tcW w:w="1167" w:type="pct"/>
            <w:noWrap/>
          </w:tcPr>
          <w:p w14:paraId="3A9D6576"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52%</w:t>
            </w:r>
          </w:p>
        </w:tc>
      </w:tr>
      <w:tr w:rsidR="00F31EBF" w:rsidRPr="002B6DB6" w14:paraId="546157AF"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10A0516C" w14:textId="6EFEB785" w:rsidR="0059290F" w:rsidRPr="00994B9B" w:rsidRDefault="0059290F">
            <w:pPr>
              <w:pStyle w:val="TableText"/>
              <w:rPr>
                <w:sz w:val="18"/>
                <w:szCs w:val="18"/>
              </w:rPr>
            </w:pPr>
            <w:r w:rsidRPr="00994B9B">
              <w:rPr>
                <w:sz w:val="18"/>
                <w:szCs w:val="18"/>
              </w:rPr>
              <w:t xml:space="preserve">Cost per </w:t>
            </w:r>
            <w:r w:rsidR="00722CD5">
              <w:rPr>
                <w:sz w:val="18"/>
                <w:szCs w:val="18"/>
              </w:rPr>
              <w:t xml:space="preserve">registered </w:t>
            </w:r>
            <w:r w:rsidRPr="00994B9B">
              <w:rPr>
                <w:sz w:val="18"/>
                <w:szCs w:val="18"/>
              </w:rPr>
              <w:t xml:space="preserve">provider </w:t>
            </w:r>
          </w:p>
        </w:tc>
        <w:tc>
          <w:tcPr>
            <w:tcW w:w="851" w:type="pct"/>
            <w:noWrap/>
          </w:tcPr>
          <w:p w14:paraId="71605447"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$36,962</w:t>
            </w:r>
          </w:p>
        </w:tc>
        <w:tc>
          <w:tcPr>
            <w:tcW w:w="852" w:type="pct"/>
            <w:noWrap/>
          </w:tcPr>
          <w:p w14:paraId="178E22E7"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$32,921</w:t>
            </w:r>
          </w:p>
        </w:tc>
        <w:tc>
          <w:tcPr>
            <w:tcW w:w="852" w:type="pct"/>
            <w:noWrap/>
          </w:tcPr>
          <w:p w14:paraId="42DDBC2E"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$24,787</w:t>
            </w:r>
          </w:p>
        </w:tc>
        <w:tc>
          <w:tcPr>
            <w:tcW w:w="1167" w:type="pct"/>
            <w:noWrap/>
          </w:tcPr>
          <w:p w14:paraId="4F88F665"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-33%</w:t>
            </w:r>
          </w:p>
        </w:tc>
      </w:tr>
      <w:tr w:rsidR="00F31EBF" w:rsidRPr="002B6DB6" w14:paraId="2676D9A9" w14:textId="77777777" w:rsidTr="00577DB8">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356DA9FE" w14:textId="0FB1EAFD" w:rsidR="0059290F" w:rsidRPr="00994B9B" w:rsidRDefault="0059290F">
            <w:pPr>
              <w:pStyle w:val="TableText"/>
              <w:rPr>
                <w:sz w:val="18"/>
                <w:szCs w:val="18"/>
              </w:rPr>
            </w:pPr>
            <w:r w:rsidRPr="00994B9B">
              <w:rPr>
                <w:sz w:val="18"/>
                <w:szCs w:val="18"/>
              </w:rPr>
              <w:t xml:space="preserve">Number of </w:t>
            </w:r>
            <w:r w:rsidR="00722CD5">
              <w:rPr>
                <w:sz w:val="18"/>
                <w:szCs w:val="18"/>
              </w:rPr>
              <w:t xml:space="preserve">registered </w:t>
            </w:r>
            <w:r w:rsidRPr="00994B9B">
              <w:rPr>
                <w:sz w:val="18"/>
                <w:szCs w:val="18"/>
              </w:rPr>
              <w:t>homes</w:t>
            </w:r>
            <w:r w:rsidR="008020CE" w:rsidRPr="00994B9B">
              <w:rPr>
                <w:sz w:val="18"/>
                <w:szCs w:val="18"/>
              </w:rPr>
              <w:t>*</w:t>
            </w:r>
          </w:p>
        </w:tc>
        <w:tc>
          <w:tcPr>
            <w:tcW w:w="851" w:type="pct"/>
            <w:noWrap/>
          </w:tcPr>
          <w:p w14:paraId="4B1F51CF"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145</w:t>
            </w:r>
          </w:p>
        </w:tc>
        <w:tc>
          <w:tcPr>
            <w:tcW w:w="852" w:type="pct"/>
            <w:noWrap/>
          </w:tcPr>
          <w:p w14:paraId="0B92588E"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300</w:t>
            </w:r>
          </w:p>
        </w:tc>
        <w:tc>
          <w:tcPr>
            <w:tcW w:w="852" w:type="pct"/>
            <w:noWrap/>
          </w:tcPr>
          <w:p w14:paraId="085BF7B6"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454</w:t>
            </w:r>
          </w:p>
        </w:tc>
        <w:tc>
          <w:tcPr>
            <w:tcW w:w="1167" w:type="pct"/>
            <w:noWrap/>
          </w:tcPr>
          <w:p w14:paraId="4B3AB677"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213%</w:t>
            </w:r>
          </w:p>
        </w:tc>
      </w:tr>
      <w:tr w:rsidR="00F31EBF" w:rsidRPr="002B6DB6" w14:paraId="1C06A8D3"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3888E77C" w14:textId="3025DFB4" w:rsidR="0059290F" w:rsidRPr="00994B9B" w:rsidRDefault="0059290F">
            <w:pPr>
              <w:pStyle w:val="TableText"/>
              <w:rPr>
                <w:sz w:val="18"/>
                <w:szCs w:val="18"/>
              </w:rPr>
            </w:pPr>
            <w:r w:rsidRPr="00994B9B">
              <w:rPr>
                <w:sz w:val="18"/>
                <w:szCs w:val="18"/>
              </w:rPr>
              <w:t xml:space="preserve">Cost per </w:t>
            </w:r>
            <w:r w:rsidR="00722CD5">
              <w:rPr>
                <w:sz w:val="18"/>
                <w:szCs w:val="18"/>
              </w:rPr>
              <w:t xml:space="preserve">registered </w:t>
            </w:r>
            <w:r w:rsidRPr="00994B9B">
              <w:rPr>
                <w:sz w:val="18"/>
                <w:szCs w:val="18"/>
              </w:rPr>
              <w:t xml:space="preserve">home </w:t>
            </w:r>
          </w:p>
        </w:tc>
        <w:tc>
          <w:tcPr>
            <w:tcW w:w="851" w:type="pct"/>
            <w:noWrap/>
          </w:tcPr>
          <w:p w14:paraId="772557A3"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$14,275</w:t>
            </w:r>
          </w:p>
        </w:tc>
        <w:tc>
          <w:tcPr>
            <w:tcW w:w="852" w:type="pct"/>
            <w:noWrap/>
          </w:tcPr>
          <w:p w14:paraId="6E9FEF04"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$8,121</w:t>
            </w:r>
          </w:p>
        </w:tc>
        <w:tc>
          <w:tcPr>
            <w:tcW w:w="852" w:type="pct"/>
            <w:noWrap/>
          </w:tcPr>
          <w:p w14:paraId="08A14E63"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$4,641</w:t>
            </w:r>
          </w:p>
        </w:tc>
        <w:tc>
          <w:tcPr>
            <w:tcW w:w="1167" w:type="pct"/>
            <w:noWrap/>
          </w:tcPr>
          <w:p w14:paraId="2F48EF07"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-67%</w:t>
            </w:r>
          </w:p>
        </w:tc>
      </w:tr>
      <w:tr w:rsidR="00F31EBF" w:rsidRPr="002B6DB6" w14:paraId="061AE0AF" w14:textId="77777777" w:rsidTr="00577DB8">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468772DB" w14:textId="6936ABB8" w:rsidR="0059290F" w:rsidRPr="00994B9B" w:rsidRDefault="0059290F">
            <w:pPr>
              <w:pStyle w:val="TableText"/>
              <w:rPr>
                <w:sz w:val="18"/>
                <w:szCs w:val="18"/>
              </w:rPr>
            </w:pPr>
            <w:r w:rsidRPr="00994B9B">
              <w:rPr>
                <w:sz w:val="18"/>
                <w:szCs w:val="18"/>
              </w:rPr>
              <w:t>Number actively participating homes</w:t>
            </w:r>
            <w:r w:rsidR="008020CE" w:rsidRPr="00994B9B">
              <w:rPr>
                <w:sz w:val="18"/>
                <w:szCs w:val="18"/>
              </w:rPr>
              <w:t>*</w:t>
            </w:r>
          </w:p>
        </w:tc>
        <w:tc>
          <w:tcPr>
            <w:tcW w:w="851" w:type="pct"/>
            <w:noWrap/>
          </w:tcPr>
          <w:p w14:paraId="554E0AFB"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115</w:t>
            </w:r>
          </w:p>
        </w:tc>
        <w:tc>
          <w:tcPr>
            <w:tcW w:w="852" w:type="pct"/>
            <w:noWrap/>
          </w:tcPr>
          <w:p w14:paraId="2E082DB4"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267</w:t>
            </w:r>
          </w:p>
        </w:tc>
        <w:tc>
          <w:tcPr>
            <w:tcW w:w="852" w:type="pct"/>
            <w:noWrap/>
          </w:tcPr>
          <w:p w14:paraId="0ACE2929"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421</w:t>
            </w:r>
          </w:p>
        </w:tc>
        <w:tc>
          <w:tcPr>
            <w:tcW w:w="1167" w:type="pct"/>
            <w:noWrap/>
          </w:tcPr>
          <w:p w14:paraId="220DCA69" w14:textId="17315D31"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266%</w:t>
            </w:r>
          </w:p>
        </w:tc>
      </w:tr>
      <w:tr w:rsidR="00F31EBF" w:rsidRPr="002B6DB6" w14:paraId="4DA88FD1"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502A5870" w14:textId="77777777" w:rsidR="0059290F" w:rsidRPr="00994B9B" w:rsidRDefault="0059290F">
            <w:pPr>
              <w:pStyle w:val="TableText"/>
              <w:rPr>
                <w:sz w:val="18"/>
                <w:szCs w:val="18"/>
              </w:rPr>
            </w:pPr>
            <w:r w:rsidRPr="00994B9B">
              <w:rPr>
                <w:sz w:val="18"/>
                <w:szCs w:val="18"/>
              </w:rPr>
              <w:t xml:space="preserve">Cost per actively participating home </w:t>
            </w:r>
          </w:p>
        </w:tc>
        <w:tc>
          <w:tcPr>
            <w:tcW w:w="851" w:type="pct"/>
            <w:noWrap/>
          </w:tcPr>
          <w:p w14:paraId="038FA9BE"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$17,999</w:t>
            </w:r>
          </w:p>
        </w:tc>
        <w:tc>
          <w:tcPr>
            <w:tcW w:w="852" w:type="pct"/>
            <w:noWrap/>
          </w:tcPr>
          <w:p w14:paraId="396F8476"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$9,124</w:t>
            </w:r>
          </w:p>
        </w:tc>
        <w:tc>
          <w:tcPr>
            <w:tcW w:w="852" w:type="pct"/>
            <w:noWrap/>
          </w:tcPr>
          <w:p w14:paraId="063983AE"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$5,006</w:t>
            </w:r>
          </w:p>
        </w:tc>
        <w:tc>
          <w:tcPr>
            <w:tcW w:w="1167" w:type="pct"/>
            <w:noWrap/>
          </w:tcPr>
          <w:p w14:paraId="677D5165"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-72%</w:t>
            </w:r>
          </w:p>
        </w:tc>
      </w:tr>
      <w:tr w:rsidR="00B259C5" w:rsidRPr="002B6DB6" w14:paraId="0147A6CC" w14:textId="77777777" w:rsidTr="00577DB8">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34B1854A" w14:textId="20F24449" w:rsidR="00B259C5" w:rsidRPr="00994B9B" w:rsidRDefault="00B259C5" w:rsidP="00B259C5">
            <w:pPr>
              <w:pStyle w:val="TableText"/>
              <w:rPr>
                <w:sz w:val="18"/>
                <w:szCs w:val="18"/>
              </w:rPr>
            </w:pPr>
            <w:r w:rsidRPr="00994B9B">
              <w:rPr>
                <w:sz w:val="18"/>
                <w:szCs w:val="18"/>
              </w:rPr>
              <w:t xml:space="preserve">Number of homes </w:t>
            </w:r>
            <w:r w:rsidR="00201FA1">
              <w:rPr>
                <w:sz w:val="18"/>
                <w:szCs w:val="18"/>
              </w:rPr>
              <w:t>participating in benchmarking</w:t>
            </w:r>
          </w:p>
        </w:tc>
        <w:tc>
          <w:tcPr>
            <w:tcW w:w="851" w:type="pct"/>
            <w:noWrap/>
          </w:tcPr>
          <w:p w14:paraId="1953428C" w14:textId="78B1AA9D" w:rsidR="00B259C5" w:rsidRPr="00994B9B" w:rsidRDefault="00B259C5" w:rsidP="00B259C5">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19</w:t>
            </w:r>
          </w:p>
        </w:tc>
        <w:tc>
          <w:tcPr>
            <w:tcW w:w="852" w:type="pct"/>
            <w:noWrap/>
          </w:tcPr>
          <w:p w14:paraId="2A2CC675" w14:textId="52EB3AB3" w:rsidR="00B259C5" w:rsidRPr="00994B9B" w:rsidRDefault="00B259C5" w:rsidP="00B259C5">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67</w:t>
            </w:r>
          </w:p>
        </w:tc>
        <w:tc>
          <w:tcPr>
            <w:tcW w:w="852" w:type="pct"/>
            <w:noWrap/>
          </w:tcPr>
          <w:p w14:paraId="12C648EE" w14:textId="2537D400" w:rsidR="00B259C5" w:rsidRPr="00994B9B" w:rsidRDefault="00B259C5" w:rsidP="00B259C5">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131</w:t>
            </w:r>
          </w:p>
        </w:tc>
        <w:tc>
          <w:tcPr>
            <w:tcW w:w="1167" w:type="pct"/>
            <w:noWrap/>
          </w:tcPr>
          <w:p w14:paraId="5BE87E71" w14:textId="69CCB7D9" w:rsidR="00B259C5" w:rsidRPr="00136B87" w:rsidRDefault="00B259C5" w:rsidP="00B259C5">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bCs/>
                <w:sz w:val="18"/>
                <w:szCs w:val="18"/>
              </w:rPr>
            </w:pPr>
            <w:r w:rsidRPr="00136B87">
              <w:rPr>
                <w:rFonts w:asciiTheme="majorHAnsi" w:hAnsiTheme="majorHAnsi"/>
                <w:bCs/>
                <w:sz w:val="18"/>
                <w:szCs w:val="18"/>
              </w:rPr>
              <w:t>589%</w:t>
            </w:r>
          </w:p>
        </w:tc>
      </w:tr>
      <w:tr w:rsidR="00B259C5" w:rsidRPr="002B6DB6" w14:paraId="2079C621"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4C6CE63A" w14:textId="10729165" w:rsidR="00B259C5" w:rsidRPr="00994B9B" w:rsidRDefault="00B259C5" w:rsidP="00B259C5">
            <w:pPr>
              <w:pStyle w:val="TableText"/>
              <w:rPr>
                <w:sz w:val="18"/>
                <w:szCs w:val="18"/>
              </w:rPr>
            </w:pPr>
            <w:r w:rsidRPr="00994B9B">
              <w:rPr>
                <w:sz w:val="18"/>
                <w:szCs w:val="18"/>
              </w:rPr>
              <w:t xml:space="preserve">Cost per home </w:t>
            </w:r>
            <w:r w:rsidR="00201FA1">
              <w:rPr>
                <w:sz w:val="18"/>
                <w:szCs w:val="18"/>
              </w:rPr>
              <w:t>participating in benchmarking</w:t>
            </w:r>
          </w:p>
        </w:tc>
        <w:tc>
          <w:tcPr>
            <w:tcW w:w="851" w:type="pct"/>
            <w:noWrap/>
          </w:tcPr>
          <w:p w14:paraId="08C925F3" w14:textId="786BBF1D" w:rsidR="00B259C5" w:rsidRPr="00994B9B" w:rsidRDefault="00B259C5" w:rsidP="00B259C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$108,941</w:t>
            </w:r>
          </w:p>
        </w:tc>
        <w:tc>
          <w:tcPr>
            <w:tcW w:w="852" w:type="pct"/>
            <w:noWrap/>
          </w:tcPr>
          <w:p w14:paraId="27C19DD1" w14:textId="588FB225" w:rsidR="00B259C5" w:rsidRPr="00994B9B" w:rsidRDefault="00B259C5" w:rsidP="00B259C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$36,361</w:t>
            </w:r>
          </w:p>
        </w:tc>
        <w:tc>
          <w:tcPr>
            <w:tcW w:w="852" w:type="pct"/>
            <w:noWrap/>
          </w:tcPr>
          <w:p w14:paraId="49D019CA" w14:textId="1BB223F7" w:rsidR="00B259C5" w:rsidRPr="00994B9B" w:rsidRDefault="00B259C5" w:rsidP="00B259C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$16,083</w:t>
            </w:r>
          </w:p>
        </w:tc>
        <w:tc>
          <w:tcPr>
            <w:tcW w:w="1167" w:type="pct"/>
            <w:noWrap/>
          </w:tcPr>
          <w:p w14:paraId="4F7A436F" w14:textId="1C1A6B23" w:rsidR="00B259C5" w:rsidRPr="00136B87" w:rsidRDefault="00B259C5" w:rsidP="00B259C5">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bCs/>
                <w:sz w:val="18"/>
                <w:szCs w:val="18"/>
              </w:rPr>
            </w:pPr>
            <w:r w:rsidRPr="00136B87">
              <w:rPr>
                <w:rFonts w:asciiTheme="majorHAnsi" w:hAnsiTheme="majorHAnsi"/>
                <w:bCs/>
                <w:sz w:val="18"/>
                <w:szCs w:val="18"/>
              </w:rPr>
              <w:t>-85%</w:t>
            </w:r>
          </w:p>
        </w:tc>
      </w:tr>
    </w:tbl>
    <w:p w14:paraId="15FD9D95" w14:textId="6B869FEC" w:rsidR="0059290F" w:rsidRDefault="0059290F" w:rsidP="0059290F">
      <w:pPr>
        <w:pStyle w:val="Tablenotes"/>
      </w:pPr>
      <w:r>
        <w:t xml:space="preserve">Source: </w:t>
      </w:r>
      <w:r w:rsidR="00136B87">
        <w:t>PACOP</w:t>
      </w:r>
      <w:r w:rsidR="00136B87" w:rsidRPr="00362F97">
        <w:t xml:space="preserve"> program data provided by </w:t>
      </w:r>
      <w:r w:rsidR="00136B87">
        <w:t>the University of Wollongong</w:t>
      </w:r>
      <w:r w:rsidR="00136B87" w:rsidRPr="00362F97">
        <w:t>, September 2025</w:t>
      </w:r>
      <w:r>
        <w:t xml:space="preserve">, PACOP Financial declaration 2024–25 and </w:t>
      </w:r>
      <w:proofErr w:type="gramStart"/>
      <w:r>
        <w:t>Financial</w:t>
      </w:r>
      <w:proofErr w:type="gramEnd"/>
      <w:r>
        <w:t xml:space="preserve"> statements July 2021 to December 2024 </w:t>
      </w:r>
      <w:r>
        <w:br/>
      </w:r>
      <w:r w:rsidR="00136B87">
        <w:t xml:space="preserve">Notes: </w:t>
      </w:r>
      <w:r w:rsidR="008020CE">
        <w:t>*</w:t>
      </w:r>
      <w:r w:rsidR="00136B87">
        <w:t>Numbers</w:t>
      </w:r>
      <w:r>
        <w:t xml:space="preserve"> are cumulative totals given the ongoing nature of the PACOP program</w:t>
      </w:r>
      <w:r w:rsidR="00136B87">
        <w:t xml:space="preserve">. </w:t>
      </w:r>
      <w:r w:rsidR="009C13D7">
        <w:t>^</w:t>
      </w:r>
      <w:r w:rsidR="00136B87">
        <w:t>A</w:t>
      </w:r>
      <w:r w:rsidR="009C13D7">
        <w:t xml:space="preserve">ny data from the implementation year </w:t>
      </w:r>
      <w:r w:rsidR="00136B87">
        <w:t>was</w:t>
      </w:r>
      <w:r w:rsidR="009C13D7">
        <w:t xml:space="preserve"> rolled up in FY 2022–23 for reporting purposes</w:t>
      </w:r>
      <w:r w:rsidR="00136B87">
        <w:t>.</w:t>
      </w:r>
    </w:p>
    <w:p w14:paraId="62F34FA0" w14:textId="786D6A14" w:rsidR="00CE44BE" w:rsidRDefault="006E7D5C" w:rsidP="00F3451E">
      <w:pPr>
        <w:pStyle w:val="Findings"/>
        <w:rPr>
          <w:lang w:eastAsia="en-AU"/>
        </w:rPr>
      </w:pPr>
      <w:r>
        <w:rPr>
          <w:lang w:eastAsia="en-AU"/>
        </w:rPr>
        <w:t xml:space="preserve">PACOP </w:t>
      </w:r>
      <w:r w:rsidR="00C23807">
        <w:rPr>
          <w:lang w:eastAsia="en-AU"/>
        </w:rPr>
        <w:t>unit</w:t>
      </w:r>
      <w:r>
        <w:rPr>
          <w:lang w:eastAsia="en-AU"/>
        </w:rPr>
        <w:t xml:space="preserve"> costs decreased per registered provider, per registered home, and per home participating in benchmarking,</w:t>
      </w:r>
      <w:r w:rsidR="00F3451E" w:rsidRPr="00F3451E">
        <w:rPr>
          <w:lang w:eastAsia="en-AU"/>
        </w:rPr>
        <w:t xml:space="preserve"> </w:t>
      </w:r>
      <w:r w:rsidR="00F3451E">
        <w:rPr>
          <w:lang w:eastAsia="en-AU"/>
        </w:rPr>
        <w:t>without an</w:t>
      </w:r>
      <w:r w:rsidR="00F3451E" w:rsidRPr="00F3451E">
        <w:rPr>
          <w:lang w:eastAsia="en-AU"/>
        </w:rPr>
        <w:t xml:space="preserve"> overall </w:t>
      </w:r>
      <w:r w:rsidR="00F3451E">
        <w:rPr>
          <w:lang w:eastAsia="en-AU"/>
        </w:rPr>
        <w:t xml:space="preserve">increase in </w:t>
      </w:r>
      <w:r w:rsidR="00F3451E" w:rsidRPr="00F3451E">
        <w:rPr>
          <w:lang w:eastAsia="en-AU"/>
        </w:rPr>
        <w:t>expenditure</w:t>
      </w:r>
      <w:r w:rsidR="00794885">
        <w:rPr>
          <w:lang w:eastAsia="en-AU"/>
        </w:rPr>
        <w:t>. This pattern indicates</w:t>
      </w:r>
      <w:r w:rsidR="00BC631B">
        <w:rPr>
          <w:lang w:eastAsia="en-AU"/>
        </w:rPr>
        <w:t xml:space="preserve"> economies of scale</w:t>
      </w:r>
      <w:r w:rsidR="00794885">
        <w:rPr>
          <w:lang w:eastAsia="en-AU"/>
        </w:rPr>
        <w:t xml:space="preserve"> </w:t>
      </w:r>
      <w:r w:rsidR="00794885">
        <w:rPr>
          <w:lang w:eastAsia="en-AU"/>
        </w:rPr>
        <w:lastRenderedPageBreak/>
        <w:t xml:space="preserve">as program participation expanded, although </w:t>
      </w:r>
      <w:r w:rsidR="00AA3639">
        <w:rPr>
          <w:lang w:eastAsia="en-AU"/>
        </w:rPr>
        <w:t xml:space="preserve">benchmarking participation </w:t>
      </w:r>
      <w:r w:rsidR="00794885">
        <w:rPr>
          <w:lang w:eastAsia="en-AU"/>
        </w:rPr>
        <w:t>remained limited at the time of the evaluation</w:t>
      </w:r>
      <w:r w:rsidR="00F3451E">
        <w:rPr>
          <w:lang w:eastAsia="en-AU"/>
        </w:rPr>
        <w:t>.</w:t>
      </w:r>
    </w:p>
    <w:p w14:paraId="500C120F" w14:textId="655022C6" w:rsidR="00E555B9" w:rsidRDefault="00E555B9" w:rsidP="00E555B9">
      <w:pPr>
        <w:pStyle w:val="Heading3"/>
      </w:pPr>
      <w:bookmarkStart w:id="130" w:name="_Toc232685930"/>
      <w:r>
        <w:t>Participation costs for aged care homes</w:t>
      </w:r>
      <w:bookmarkEnd w:id="130"/>
    </w:p>
    <w:p w14:paraId="60259D72" w14:textId="77777777" w:rsidR="00CE7771" w:rsidRDefault="00964948" w:rsidP="0041046A">
      <w:r>
        <w:t xml:space="preserve">The online survey sought feedback on direct and indirect costs associated with PACOP participation. </w:t>
      </w:r>
      <w:r w:rsidR="008375E3">
        <w:t xml:space="preserve">Among PACOP survey respondents, over half </w:t>
      </w:r>
      <w:r w:rsidR="00D25C8E">
        <w:t>indicated they were unsure whether their organisation incurred any out-of-pocket costs (</w:t>
      </w:r>
      <w:r w:rsidR="00BD2A97">
        <w:t xml:space="preserve">technical paper, </w:t>
      </w:r>
      <w:r w:rsidR="001A1ABA">
        <w:t>Figure 8.20</w:t>
      </w:r>
      <w:r w:rsidR="00D25C8E">
        <w:t>). This likely reflects the clinical focus of most respondents</w:t>
      </w:r>
      <w:r w:rsidR="007C0BA1">
        <w:t>.</w:t>
      </w:r>
      <w:r w:rsidR="007D1AA8">
        <w:t xml:space="preserve"> </w:t>
      </w:r>
    </w:p>
    <w:p w14:paraId="46F8B7B3" w14:textId="77777777" w:rsidR="00DE2BE2" w:rsidRDefault="00D7543C" w:rsidP="0041046A">
      <w:r>
        <w:t>Just over one-third of respondents reported out-of-pocket expenses</w:t>
      </w:r>
      <w:r w:rsidR="00CA457D">
        <w:t xml:space="preserve">, attributed to IT system modifications, travel and accommodation costs, staff </w:t>
      </w:r>
      <w:r w:rsidR="00B5510B">
        <w:t xml:space="preserve">backfill, and staff participation time. </w:t>
      </w:r>
      <w:r w:rsidR="00EC5F93">
        <w:t xml:space="preserve">Around 20% reported no </w:t>
      </w:r>
      <w:r w:rsidR="00995E9C">
        <w:t>substantial</w:t>
      </w:r>
      <w:r w:rsidR="00EC5F93">
        <w:t xml:space="preserve"> costs.</w:t>
      </w:r>
      <w:r w:rsidR="001B5F1A">
        <w:t xml:space="preserve"> </w:t>
      </w:r>
    </w:p>
    <w:p w14:paraId="554FA79A" w14:textId="7AB5DD1F" w:rsidR="007C0BA1" w:rsidRDefault="00F0547E" w:rsidP="0041046A">
      <w:r>
        <w:t xml:space="preserve">When asked to estimate total out-of-pocket costs associated with participation, </w:t>
      </w:r>
      <w:r w:rsidR="0041046A">
        <w:t xml:space="preserve">only </w:t>
      </w:r>
      <w:r w:rsidR="00276849">
        <w:t xml:space="preserve">three respondents provided </w:t>
      </w:r>
      <w:r w:rsidR="00DE2BE2">
        <w:t xml:space="preserve">indicative </w:t>
      </w:r>
      <w:r w:rsidR="00276849">
        <w:t>estimates:</w:t>
      </w:r>
    </w:p>
    <w:p w14:paraId="3126CA24" w14:textId="4BCC7489" w:rsidR="00276849" w:rsidRDefault="00276849" w:rsidP="00276849">
      <w:pPr>
        <w:pStyle w:val="ListBullet"/>
      </w:pPr>
      <w:r>
        <w:t xml:space="preserve">two described costs as </w:t>
      </w:r>
      <w:r w:rsidR="003863F5">
        <w:t>‘</w:t>
      </w:r>
      <w:r>
        <w:t>several thousand dollars</w:t>
      </w:r>
      <w:r w:rsidR="003863F5">
        <w:t>’</w:t>
      </w:r>
    </w:p>
    <w:p w14:paraId="3293518F" w14:textId="1E14E2ED" w:rsidR="00276849" w:rsidRDefault="00276849" w:rsidP="00276849">
      <w:pPr>
        <w:pStyle w:val="ListBullet"/>
      </w:pPr>
      <w:r>
        <w:t xml:space="preserve">one estimated </w:t>
      </w:r>
      <w:r w:rsidR="003863F5">
        <w:t>‘</w:t>
      </w:r>
      <w:r w:rsidR="00391378">
        <w:t>10 days</w:t>
      </w:r>
      <w:r w:rsidR="003863F5">
        <w:t>’</w:t>
      </w:r>
      <w:r w:rsidR="00391378">
        <w:t xml:space="preserve"> worth of wages</w:t>
      </w:r>
      <w:r w:rsidR="003863F5">
        <w:t>’</w:t>
      </w:r>
      <w:r w:rsidR="00391378">
        <w:t xml:space="preserve"> for education and staff backfill.</w:t>
      </w:r>
    </w:p>
    <w:p w14:paraId="424AF143" w14:textId="12206EF9" w:rsidR="00391378" w:rsidRDefault="00C42936" w:rsidP="00391378">
      <w:r>
        <w:t>These</w:t>
      </w:r>
      <w:r w:rsidR="002F362B">
        <w:t xml:space="preserve"> limited</w:t>
      </w:r>
      <w:r>
        <w:t xml:space="preserve"> findings </w:t>
      </w:r>
      <w:r w:rsidR="002F362B">
        <w:t>impact the ability to assess the</w:t>
      </w:r>
      <w:r w:rsidR="00D02E4A">
        <w:t xml:space="preserve"> economic impact of participation</w:t>
      </w:r>
      <w:r w:rsidR="002F362B">
        <w:t xml:space="preserve"> for</w:t>
      </w:r>
      <w:r w:rsidR="00BD394C">
        <w:t xml:space="preserve"> aged care homes and providers</w:t>
      </w:r>
      <w:r w:rsidR="00D02E4A">
        <w:t>.</w:t>
      </w:r>
    </w:p>
    <w:p w14:paraId="58FF13DA" w14:textId="796A9951" w:rsidR="00E555B9" w:rsidRDefault="0056759F" w:rsidP="001B5F83">
      <w:pPr>
        <w:pStyle w:val="Heading3"/>
      </w:pPr>
      <w:bookmarkStart w:id="131" w:name="_Toc232685931"/>
      <w:r>
        <w:t>P</w:t>
      </w:r>
      <w:r w:rsidR="001B5F83">
        <w:t>rogram benefits</w:t>
      </w:r>
      <w:bookmarkEnd w:id="131"/>
    </w:p>
    <w:p w14:paraId="299844D3" w14:textId="627066D3" w:rsidR="003D3162" w:rsidRPr="003D3162" w:rsidRDefault="009D1428" w:rsidP="003D3162">
      <w:r>
        <w:t xml:space="preserve">While PACOP </w:t>
      </w:r>
      <w:r w:rsidR="00A722B2">
        <w:t xml:space="preserve">remained in the early implementation phase, </w:t>
      </w:r>
      <w:r w:rsidR="0000185A">
        <w:t xml:space="preserve">emerging evidence </w:t>
      </w:r>
      <w:r w:rsidR="00E95D59">
        <w:t>indicates meaningful progress toward its intended</w:t>
      </w:r>
      <w:r w:rsidR="00A722B2">
        <w:t xml:space="preserve"> outcomes</w:t>
      </w:r>
      <w:r w:rsidR="006A3466">
        <w:t>. This section examines both</w:t>
      </w:r>
      <w:r>
        <w:t xml:space="preserve"> </w:t>
      </w:r>
      <w:r w:rsidR="00EE5FC0">
        <w:t xml:space="preserve">indicative </w:t>
      </w:r>
      <w:r w:rsidR="005D4BDE">
        <w:t>quantifiable and non-quantifiable</w:t>
      </w:r>
      <w:r w:rsidR="00464673">
        <w:t xml:space="preserve"> program</w:t>
      </w:r>
      <w:r w:rsidR="003D3162">
        <w:t xml:space="preserve"> benefits</w:t>
      </w:r>
      <w:r w:rsidR="00EE5FC0">
        <w:t xml:space="preserve"> observed to date</w:t>
      </w:r>
      <w:r w:rsidR="003D3162">
        <w:t>.</w:t>
      </w:r>
    </w:p>
    <w:p w14:paraId="60F9EF99" w14:textId="3293DD2D" w:rsidR="0056759F" w:rsidRPr="0056759F" w:rsidRDefault="005D4BDE" w:rsidP="0056759F">
      <w:pPr>
        <w:pStyle w:val="Heading4"/>
      </w:pPr>
      <w:r>
        <w:t>Quantifiable</w:t>
      </w:r>
      <w:r w:rsidR="0056759F">
        <w:t xml:space="preserve"> benefits</w:t>
      </w:r>
    </w:p>
    <w:p w14:paraId="34E41B09" w14:textId="28146FC9" w:rsidR="00D8206B" w:rsidRDefault="00D032D9" w:rsidP="00D8206B">
      <w:r>
        <w:t>Two key</w:t>
      </w:r>
      <w:r w:rsidR="00103DCC">
        <w:t xml:space="preserve"> </w:t>
      </w:r>
      <w:r w:rsidR="002E456D">
        <w:t xml:space="preserve">program outcomes were </w:t>
      </w:r>
      <w:r>
        <w:t>identified</w:t>
      </w:r>
      <w:r w:rsidR="00156282">
        <w:t xml:space="preserve"> </w:t>
      </w:r>
      <w:r w:rsidR="002E456D">
        <w:t xml:space="preserve">for </w:t>
      </w:r>
      <w:r w:rsidR="00D26D5B">
        <w:t xml:space="preserve">high-level analysis to </w:t>
      </w:r>
      <w:r w:rsidR="000B363C">
        <w:t xml:space="preserve">assess the potential economic benefits associated with </w:t>
      </w:r>
      <w:r w:rsidR="00156282">
        <w:t>PACOP</w:t>
      </w:r>
      <w:r w:rsidR="000B363C">
        <w:t>: reductions</w:t>
      </w:r>
      <w:r w:rsidR="00D26D5B">
        <w:t xml:space="preserve"> in unplanned </w:t>
      </w:r>
      <w:r w:rsidR="00103DCC">
        <w:t>hospitalisations and</w:t>
      </w:r>
      <w:r w:rsidR="00156282">
        <w:t xml:space="preserve"> reductions in</w:t>
      </w:r>
      <w:r w:rsidR="00103DCC">
        <w:t xml:space="preserve"> ED presentations. The</w:t>
      </w:r>
      <w:r w:rsidR="000B363C">
        <w:t xml:space="preserve"> </w:t>
      </w:r>
      <w:r w:rsidR="009927AB">
        <w:t xml:space="preserve">exploratory </w:t>
      </w:r>
      <w:r w:rsidR="000B363C">
        <w:t xml:space="preserve">analysis </w:t>
      </w:r>
      <w:r w:rsidR="00530389">
        <w:t xml:space="preserve">was </w:t>
      </w:r>
      <w:r w:rsidR="00156282">
        <w:t>made possible</w:t>
      </w:r>
      <w:r w:rsidR="00530389">
        <w:t xml:space="preserve"> through the</w:t>
      </w:r>
      <w:r w:rsidR="00A276FF">
        <w:t xml:space="preserve"> </w:t>
      </w:r>
      <w:r w:rsidR="00103DCC">
        <w:t>availability of a literature</w:t>
      </w:r>
      <w:r w:rsidR="00CA135A">
        <w:t>-based</w:t>
      </w:r>
      <w:r w:rsidR="00103DCC">
        <w:t xml:space="preserve"> comparator</w:t>
      </w:r>
      <w:r w:rsidR="00945BAB">
        <w:t xml:space="preserve"> </w:t>
      </w:r>
      <w:sdt>
        <w:sdtPr>
          <w:id w:val="1441729759"/>
          <w:citation/>
        </w:sdtPr>
        <w:sdtContent>
          <w:r w:rsidR="00945BAB">
            <w:fldChar w:fldCharType="begin"/>
          </w:r>
          <w:r w:rsidR="00945BAB">
            <w:instrText xml:space="preserve">CITATION Har24 \l 3081 </w:instrText>
          </w:r>
          <w:r w:rsidR="00945BAB">
            <w:fldChar w:fldCharType="separate"/>
          </w:r>
          <w:r w:rsidR="00513E81" w:rsidRPr="00513E81">
            <w:rPr>
              <w:noProof/>
            </w:rPr>
            <w:t>[33]</w:t>
          </w:r>
          <w:r w:rsidR="00945BAB">
            <w:fldChar w:fldCharType="end"/>
          </w:r>
        </w:sdtContent>
      </w:sdt>
      <w:r w:rsidR="00103DCC">
        <w:t xml:space="preserve"> and </w:t>
      </w:r>
      <w:r w:rsidR="00591CF7">
        <w:t>published</w:t>
      </w:r>
      <w:r w:rsidR="00103DCC">
        <w:t xml:space="preserve"> cost values</w:t>
      </w:r>
      <w:r w:rsidR="00B23FD1">
        <w:t xml:space="preserve"> </w:t>
      </w:r>
      <w:sdt>
        <w:sdtPr>
          <w:id w:val="-1992090140"/>
          <w:citation/>
        </w:sdtPr>
        <w:sdtContent>
          <w:r w:rsidR="00031D43">
            <w:fldChar w:fldCharType="begin"/>
          </w:r>
          <w:r w:rsidR="00031D43">
            <w:rPr>
              <w:lang w:val="en-US"/>
            </w:rPr>
            <w:instrText xml:space="preserve"> CITATION Ind25 \l 1033 </w:instrText>
          </w:r>
          <w:r w:rsidR="00031D43">
            <w:fldChar w:fldCharType="separate"/>
          </w:r>
          <w:r w:rsidR="00031D43" w:rsidRPr="00031D43">
            <w:rPr>
              <w:noProof/>
              <w:lang w:val="en-US"/>
            </w:rPr>
            <w:t>[34]</w:t>
          </w:r>
          <w:r w:rsidR="00031D43">
            <w:fldChar w:fldCharType="end"/>
          </w:r>
        </w:sdtContent>
      </w:sdt>
      <w:r w:rsidR="00103DCC">
        <w:t xml:space="preserve">. </w:t>
      </w:r>
      <w:r w:rsidR="001A6E1C">
        <w:t xml:space="preserve">The analysis outlined in this section </w:t>
      </w:r>
      <w:r w:rsidR="00626567">
        <w:t xml:space="preserve">used a mixed-methods approach to estimate </w:t>
      </w:r>
      <w:r w:rsidR="00B61B7D">
        <w:t xml:space="preserve">the theoretical benefits </w:t>
      </w:r>
      <w:r w:rsidR="00DF4A7D">
        <w:t xml:space="preserve">associated with </w:t>
      </w:r>
      <w:r w:rsidR="001A6E1C">
        <w:t>PACOP</w:t>
      </w:r>
      <w:r w:rsidR="009927AB">
        <w:t>. The approach</w:t>
      </w:r>
      <w:r w:rsidR="001A6E1C">
        <w:t xml:space="preserve"> </w:t>
      </w:r>
      <w:r w:rsidR="00B61B7D">
        <w:t>drew</w:t>
      </w:r>
      <w:r w:rsidR="001A6E1C">
        <w:t xml:space="preserve"> on program outcome data (January 2023 to June 2025), published average</w:t>
      </w:r>
      <w:r w:rsidR="00DF4A7D">
        <w:t xml:space="preserve"> costs </w:t>
      </w:r>
      <w:r w:rsidR="001A6E1C">
        <w:t>for</w:t>
      </w:r>
      <w:r w:rsidR="00DF4A7D">
        <w:t xml:space="preserve"> hospital and ED</w:t>
      </w:r>
      <w:r w:rsidR="001A6E1C">
        <w:t xml:space="preserve"> event</w:t>
      </w:r>
      <w:r w:rsidR="00DF4A7D">
        <w:t>s</w:t>
      </w:r>
      <w:r w:rsidR="001A6E1C">
        <w:t xml:space="preserve">, and a conservative attribution method </w:t>
      </w:r>
      <w:r w:rsidR="008F11CB">
        <w:t xml:space="preserve">informed by the literature and </w:t>
      </w:r>
      <w:r w:rsidR="00AA3FCA">
        <w:t>the online survey findings</w:t>
      </w:r>
      <w:r w:rsidR="001A6E1C">
        <w:t xml:space="preserve">. A detailed </w:t>
      </w:r>
      <w:r w:rsidR="00DF4A7D">
        <w:t xml:space="preserve">description </w:t>
      </w:r>
      <w:r w:rsidR="001A6E1C">
        <w:t>of the analy</w:t>
      </w:r>
      <w:r w:rsidR="00DF4A7D">
        <w:t>tical</w:t>
      </w:r>
      <w:r w:rsidR="001A6E1C">
        <w:t xml:space="preserve"> approach, data sources, assumptions</w:t>
      </w:r>
      <w:r w:rsidR="00B84E85">
        <w:t>, and limitations</w:t>
      </w:r>
      <w:r w:rsidR="001A6E1C">
        <w:t xml:space="preserve"> </w:t>
      </w:r>
      <w:r w:rsidR="00DB6100">
        <w:t>is</w:t>
      </w:r>
      <w:r w:rsidR="001A6E1C">
        <w:t xml:space="preserve"> provided in </w:t>
      </w:r>
      <w:r w:rsidR="0056793F">
        <w:t>Appendix E</w:t>
      </w:r>
      <w:r w:rsidR="001A6E1C">
        <w:t>.</w:t>
      </w:r>
    </w:p>
    <w:p w14:paraId="755579EF" w14:textId="524CC85C" w:rsidR="00D5074A" w:rsidRDefault="00FC4A27" w:rsidP="00F13684">
      <w:r>
        <w:fldChar w:fldCharType="begin"/>
      </w:r>
      <w:r>
        <w:instrText xml:space="preserve"> REF _Ref216959019 \h </w:instrText>
      </w:r>
      <w:r>
        <w:fldChar w:fldCharType="separate"/>
      </w:r>
      <w:r w:rsidR="00167BA0">
        <w:t xml:space="preserve">Table </w:t>
      </w:r>
      <w:r w:rsidR="00167BA0">
        <w:rPr>
          <w:noProof/>
        </w:rPr>
        <w:t>7</w:t>
      </w:r>
      <w:r w:rsidR="00167BA0">
        <w:t>.</w:t>
      </w:r>
      <w:r w:rsidR="00167BA0">
        <w:rPr>
          <w:noProof/>
        </w:rPr>
        <w:t>6</w:t>
      </w:r>
      <w:r>
        <w:fldChar w:fldCharType="end"/>
      </w:r>
      <w:r w:rsidR="00F13684">
        <w:t xml:space="preserve"> </w:t>
      </w:r>
      <w:r w:rsidR="00226AED">
        <w:t>summarises</w:t>
      </w:r>
      <w:r w:rsidR="00F13684">
        <w:t xml:space="preserve"> the </w:t>
      </w:r>
      <w:r w:rsidR="00DF4A7D">
        <w:t xml:space="preserve">estimated </w:t>
      </w:r>
      <w:r w:rsidR="004E6BBE">
        <w:t>theoretical</w:t>
      </w:r>
      <w:r w:rsidR="00F13684">
        <w:t xml:space="preserve"> </w:t>
      </w:r>
      <w:r w:rsidR="00967C04">
        <w:t>cost avoidance</w:t>
      </w:r>
      <w:r w:rsidR="00226AED">
        <w:t xml:space="preserve"> </w:t>
      </w:r>
      <w:r w:rsidR="003D223F">
        <w:t>associated with</w:t>
      </w:r>
      <w:r w:rsidR="00226AED">
        <w:t xml:space="preserve"> reduced unplanned hospitalisations and ED</w:t>
      </w:r>
      <w:r w:rsidR="008A55E9">
        <w:t xml:space="preserve"> presentations among residents in homes participating in PACOP benchmarking over </w:t>
      </w:r>
      <w:r w:rsidR="00F13684">
        <w:t>January 2023 to June 2025</w:t>
      </w:r>
      <w:r w:rsidR="00E153C9">
        <w:t xml:space="preserve"> (</w:t>
      </w:r>
      <w:r w:rsidR="00F13684">
        <w:t xml:space="preserve">for a detailed breakdown of calculations, see </w:t>
      </w:r>
      <w:r w:rsidR="000A4D26">
        <w:fldChar w:fldCharType="begin"/>
      </w:r>
      <w:r w:rsidR="000A4D26">
        <w:instrText xml:space="preserve"> REF _Ref214962616 \h </w:instrText>
      </w:r>
      <w:r w:rsidR="000A4D26">
        <w:fldChar w:fldCharType="separate"/>
      </w:r>
      <w:r w:rsidR="00167BA0">
        <w:t xml:space="preserve">Table </w:t>
      </w:r>
      <w:r w:rsidR="00167BA0">
        <w:rPr>
          <w:noProof/>
        </w:rPr>
        <w:t>9</w:t>
      </w:r>
      <w:r w:rsidR="00167BA0">
        <w:t>.</w:t>
      </w:r>
      <w:r w:rsidR="00167BA0">
        <w:rPr>
          <w:noProof/>
        </w:rPr>
        <w:t>34</w:t>
      </w:r>
      <w:r w:rsidR="000A4D26">
        <w:fldChar w:fldCharType="end"/>
      </w:r>
      <w:r w:rsidR="001E5E83">
        <w:t xml:space="preserve">, </w:t>
      </w:r>
      <w:r w:rsidR="000A4D26">
        <w:fldChar w:fldCharType="begin"/>
      </w:r>
      <w:r w:rsidR="000A4D26">
        <w:instrText xml:space="preserve"> REF _Ref216968458 \n \h </w:instrText>
      </w:r>
      <w:r w:rsidR="000A4D26">
        <w:fldChar w:fldCharType="separate"/>
      </w:r>
      <w:r w:rsidR="00167BA0">
        <w:t>Appendix E</w:t>
      </w:r>
      <w:r w:rsidR="000A4D26">
        <w:fldChar w:fldCharType="end"/>
      </w:r>
      <w:r w:rsidR="00F13684">
        <w:t xml:space="preserve">). </w:t>
      </w:r>
      <w:r w:rsidR="002C73DB">
        <w:t>Based on conservative attribution</w:t>
      </w:r>
      <w:r w:rsidR="003D223F">
        <w:t xml:space="preserve"> assumptions</w:t>
      </w:r>
      <w:r w:rsidR="002C73DB">
        <w:t xml:space="preserve">, the total </w:t>
      </w:r>
      <w:r w:rsidR="00E75493">
        <w:t>indicative potential</w:t>
      </w:r>
      <w:r w:rsidR="002C73DB">
        <w:t xml:space="preserve"> benefit was estimated at approximately $1.</w:t>
      </w:r>
      <w:r w:rsidR="005226AB">
        <w:t>72</w:t>
      </w:r>
      <w:r w:rsidR="002C73DB">
        <w:t xml:space="preserve"> million. This figure reflect</w:t>
      </w:r>
      <w:r w:rsidR="00E20F2E">
        <w:t>s</w:t>
      </w:r>
      <w:r w:rsidR="002C73DB">
        <w:t xml:space="preserve"> </w:t>
      </w:r>
      <w:r w:rsidR="007D1602">
        <w:t xml:space="preserve">only direct benefits and </w:t>
      </w:r>
      <w:r w:rsidR="00463302">
        <w:t>excludes</w:t>
      </w:r>
      <w:r w:rsidR="007D1602">
        <w:t xml:space="preserve"> other potential savings (e.g.</w:t>
      </w:r>
      <w:r w:rsidR="002C73DB">
        <w:t xml:space="preserve"> indirect or intangible benefits).</w:t>
      </w:r>
    </w:p>
    <w:p w14:paraId="6F2259AB" w14:textId="7B8CC3F2" w:rsidR="00F13684" w:rsidRDefault="00F13684" w:rsidP="00F13684">
      <w:pPr>
        <w:pStyle w:val="Caption"/>
      </w:pPr>
      <w:bookmarkStart w:id="132" w:name="_Ref216959019"/>
      <w:r>
        <w:t xml:space="preserve">Table </w:t>
      </w:r>
      <w:fldSimple w:instr=" STYLEREF 1 \s ">
        <w:r w:rsidR="0091457A">
          <w:rPr>
            <w:noProof/>
          </w:rPr>
          <w:t>7</w:t>
        </w:r>
      </w:fldSimple>
      <w:r w:rsidR="0091457A">
        <w:t>.</w:t>
      </w:r>
      <w:fldSimple w:instr=" SEQ Table \* ARABIC \s 1 ">
        <w:r w:rsidR="0091457A">
          <w:rPr>
            <w:noProof/>
          </w:rPr>
          <w:t>6</w:t>
        </w:r>
      </w:fldSimple>
      <w:bookmarkEnd w:id="132"/>
      <w:r>
        <w:t xml:space="preserve">: </w:t>
      </w:r>
      <w:bookmarkStart w:id="133" w:name="_Hlk220596290"/>
      <w:r w:rsidR="004B680E">
        <w:t>Estimated</w:t>
      </w:r>
      <w:r w:rsidR="003E6FF3">
        <w:t xml:space="preserve"> theoretical cost </w:t>
      </w:r>
      <w:r w:rsidR="00947A66">
        <w:t>avoidance of</w:t>
      </w:r>
      <w:r>
        <w:t xml:space="preserve"> reduced </w:t>
      </w:r>
      <w:r w:rsidR="00622F90">
        <w:br/>
      </w:r>
      <w:r>
        <w:t>unplanned hospitalisations and ED presentations among PACOP</w:t>
      </w:r>
      <w:r w:rsidR="00622F90">
        <w:br/>
      </w:r>
      <w:r>
        <w:t xml:space="preserve"> residents over two and a half years (January 2023 to June 2025)</w:t>
      </w:r>
      <w:bookmarkEnd w:id="133"/>
    </w:p>
    <w:tbl>
      <w:tblPr>
        <w:tblStyle w:val="HMAdefaulttable"/>
        <w:tblW w:w="7213"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estimated cost avoidance"/>
        <w:tblDescription w:val="Table compares estimated unplanned hospitalisations and emergency department presentations among PACOP residents."/>
      </w:tblPr>
      <w:tblGrid>
        <w:gridCol w:w="3686"/>
        <w:gridCol w:w="1909"/>
        <w:gridCol w:w="1618"/>
      </w:tblGrid>
      <w:tr w:rsidR="00F13684" w:rsidRPr="003B3243" w14:paraId="25CA00BD" w14:textId="77777777" w:rsidTr="00A47A5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3D6DAF4" w14:textId="77777777" w:rsidR="00F13684" w:rsidRPr="003B3243" w:rsidRDefault="00F13684" w:rsidP="00120E73">
            <w:pPr>
              <w:pStyle w:val="TableHeading"/>
            </w:pPr>
            <w:r>
              <w:t>Variable</w:t>
            </w:r>
          </w:p>
        </w:tc>
        <w:tc>
          <w:tcPr>
            <w:tcW w:w="1909" w:type="dxa"/>
            <w:noWrap/>
            <w:hideMark/>
          </w:tcPr>
          <w:p w14:paraId="349A706C" w14:textId="77777777" w:rsidR="00F13684" w:rsidRPr="003B3243" w:rsidRDefault="00F13684" w:rsidP="00DB4055">
            <w:pPr>
              <w:pStyle w:val="TableHeading"/>
              <w:jc w:val="right"/>
              <w:cnfStyle w:val="100000000000" w:firstRow="1" w:lastRow="0" w:firstColumn="0" w:lastColumn="0" w:oddVBand="0" w:evenVBand="0" w:oddHBand="0" w:evenHBand="0" w:firstRowFirstColumn="0" w:firstRowLastColumn="0" w:lastRowFirstColumn="0" w:lastRowLastColumn="0"/>
            </w:pPr>
            <w:r>
              <w:t>Unplanned hospitalisations</w:t>
            </w:r>
          </w:p>
        </w:tc>
        <w:tc>
          <w:tcPr>
            <w:tcW w:w="1618" w:type="dxa"/>
          </w:tcPr>
          <w:p w14:paraId="23D7B867" w14:textId="77777777" w:rsidR="00F13684" w:rsidRDefault="00F13684" w:rsidP="00DB4055">
            <w:pPr>
              <w:pStyle w:val="TableHeading"/>
              <w:jc w:val="right"/>
              <w:cnfStyle w:val="100000000000" w:firstRow="1" w:lastRow="0" w:firstColumn="0" w:lastColumn="0" w:oddVBand="0" w:evenVBand="0" w:oddHBand="0" w:evenHBand="0" w:firstRowFirstColumn="0" w:firstRowLastColumn="0" w:lastRowFirstColumn="0" w:lastRowLastColumn="0"/>
            </w:pPr>
            <w:r>
              <w:t>ED presentations</w:t>
            </w:r>
          </w:p>
        </w:tc>
      </w:tr>
      <w:tr w:rsidR="00F13684" w:rsidRPr="003B3243" w14:paraId="0A4DE571"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18B2AC6" w14:textId="77777777" w:rsidR="00F13684" w:rsidRPr="003B3243" w:rsidRDefault="00F13684" w:rsidP="00120E73">
            <w:pPr>
              <w:pStyle w:val="TableText"/>
              <w:rPr>
                <w:lang w:eastAsia="en-AU"/>
              </w:rPr>
            </w:pPr>
            <w:r w:rsidRPr="003B3243">
              <w:rPr>
                <w:lang w:eastAsia="en-AU"/>
              </w:rPr>
              <w:t xml:space="preserve">Total </w:t>
            </w:r>
            <w:r>
              <w:rPr>
                <w:lang w:eastAsia="en-AU"/>
              </w:rPr>
              <w:t>PACOP r</w:t>
            </w:r>
            <w:r w:rsidRPr="003B3243">
              <w:rPr>
                <w:lang w:eastAsia="en-AU"/>
              </w:rPr>
              <w:t>esidents</w:t>
            </w:r>
            <w:r>
              <w:rPr>
                <w:lang w:eastAsia="en-AU"/>
              </w:rPr>
              <w:t xml:space="preserve"> included in analysis</w:t>
            </w:r>
          </w:p>
        </w:tc>
        <w:tc>
          <w:tcPr>
            <w:tcW w:w="1909" w:type="dxa"/>
            <w:noWrap/>
            <w:hideMark/>
          </w:tcPr>
          <w:p w14:paraId="62F4DF25"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18,231</w:t>
            </w:r>
          </w:p>
        </w:tc>
        <w:tc>
          <w:tcPr>
            <w:tcW w:w="1618" w:type="dxa"/>
          </w:tcPr>
          <w:p w14:paraId="672179E3"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18,231</w:t>
            </w:r>
          </w:p>
        </w:tc>
      </w:tr>
      <w:tr w:rsidR="00F13684" w:rsidRPr="003B3243" w14:paraId="7EADCAAC"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967C9B5" w14:textId="77777777" w:rsidR="00F13684" w:rsidRPr="003B3243" w:rsidRDefault="00F13684" w:rsidP="00120E73">
            <w:pPr>
              <w:pStyle w:val="TableText"/>
              <w:rPr>
                <w:lang w:eastAsia="en-AU"/>
              </w:rPr>
            </w:pPr>
            <w:r>
              <w:rPr>
                <w:lang w:eastAsia="en-AU"/>
              </w:rPr>
              <w:t>PACOP residents with one or more</w:t>
            </w:r>
            <w:r w:rsidRPr="003B3243">
              <w:rPr>
                <w:lang w:eastAsia="en-AU"/>
              </w:rPr>
              <w:t xml:space="preserve"> </w:t>
            </w:r>
            <w:r>
              <w:rPr>
                <w:lang w:eastAsia="en-AU"/>
              </w:rPr>
              <w:t xml:space="preserve">reported outcome </w:t>
            </w:r>
            <w:r w:rsidRPr="003B3243">
              <w:rPr>
                <w:lang w:eastAsia="en-AU"/>
              </w:rPr>
              <w:t>(n)</w:t>
            </w:r>
          </w:p>
        </w:tc>
        <w:tc>
          <w:tcPr>
            <w:tcW w:w="1909" w:type="dxa"/>
            <w:noWrap/>
            <w:hideMark/>
          </w:tcPr>
          <w:p w14:paraId="4DB224A8"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746461">
              <w:t>3,629</w:t>
            </w:r>
          </w:p>
        </w:tc>
        <w:tc>
          <w:tcPr>
            <w:tcW w:w="1618" w:type="dxa"/>
          </w:tcPr>
          <w:p w14:paraId="46351D31"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746461">
              <w:t>4,185</w:t>
            </w:r>
          </w:p>
        </w:tc>
      </w:tr>
      <w:tr w:rsidR="00F13684" w:rsidRPr="003B3243" w14:paraId="0338936E"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C451B92" w14:textId="54904262" w:rsidR="00F13684" w:rsidRPr="00251AB3" w:rsidRDefault="00F13684" w:rsidP="00120E73">
            <w:pPr>
              <w:pStyle w:val="TableText"/>
              <w:rPr>
                <w:lang w:eastAsia="en-AU"/>
              </w:rPr>
            </w:pPr>
            <w:r w:rsidRPr="00251AB3">
              <w:rPr>
                <w:lang w:eastAsia="en-AU"/>
              </w:rPr>
              <w:lastRenderedPageBreak/>
              <w:t xml:space="preserve">Population </w:t>
            </w:r>
            <w:r>
              <w:rPr>
                <w:lang w:eastAsia="en-AU"/>
              </w:rPr>
              <w:t>cumulative incidence (based on Harrison et al</w:t>
            </w:r>
            <w:r w:rsidR="001E4F57">
              <w:rPr>
                <w:lang w:eastAsia="en-AU"/>
              </w:rPr>
              <w:t>.</w:t>
            </w:r>
            <w:r>
              <w:rPr>
                <w:lang w:eastAsia="en-AU"/>
              </w:rPr>
              <w:t xml:space="preserve">, </w:t>
            </w:r>
            <w:proofErr w:type="gramStart"/>
            <w:r>
              <w:rPr>
                <w:lang w:eastAsia="en-AU"/>
              </w:rPr>
              <w:t>2024)</w:t>
            </w:r>
            <w:r w:rsidRPr="00251AB3">
              <w:rPr>
                <w:lang w:eastAsia="en-AU"/>
              </w:rPr>
              <w:t>^</w:t>
            </w:r>
            <w:proofErr w:type="gramEnd"/>
          </w:p>
        </w:tc>
        <w:tc>
          <w:tcPr>
            <w:tcW w:w="1909" w:type="dxa"/>
            <w:noWrap/>
            <w:hideMark/>
          </w:tcPr>
          <w:p w14:paraId="323FB03E"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33.4%</w:t>
            </w:r>
          </w:p>
        </w:tc>
        <w:tc>
          <w:tcPr>
            <w:tcW w:w="1618" w:type="dxa"/>
          </w:tcPr>
          <w:p w14:paraId="50590C45"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37.8%</w:t>
            </w:r>
          </w:p>
        </w:tc>
      </w:tr>
      <w:tr w:rsidR="00F13684" w:rsidRPr="003B3243" w14:paraId="174C5982"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C7C86B4" w14:textId="77777777" w:rsidR="00F13684" w:rsidRPr="003B3243" w:rsidRDefault="00F13684" w:rsidP="00120E73">
            <w:pPr>
              <w:pStyle w:val="TableText"/>
              <w:rPr>
                <w:lang w:eastAsia="en-AU"/>
              </w:rPr>
            </w:pPr>
            <w:r>
              <w:rPr>
                <w:lang w:eastAsia="en-AU"/>
              </w:rPr>
              <w:t>Estimated prevalence in PACOP cohort (n)</w:t>
            </w:r>
          </w:p>
        </w:tc>
        <w:tc>
          <w:tcPr>
            <w:tcW w:w="1909" w:type="dxa"/>
            <w:noWrap/>
            <w:hideMark/>
          </w:tcPr>
          <w:p w14:paraId="40487385"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746461">
              <w:t>6,089</w:t>
            </w:r>
          </w:p>
        </w:tc>
        <w:tc>
          <w:tcPr>
            <w:tcW w:w="1618" w:type="dxa"/>
          </w:tcPr>
          <w:p w14:paraId="368494C7"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746461">
              <w:t>6891</w:t>
            </w:r>
          </w:p>
        </w:tc>
      </w:tr>
      <w:tr w:rsidR="00F13684" w:rsidRPr="003B3243" w14:paraId="5A5B7705"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tcPr>
          <w:p w14:paraId="67128114" w14:textId="77777777" w:rsidR="00F13684" w:rsidRDefault="00F13684" w:rsidP="00120E73">
            <w:pPr>
              <w:pStyle w:val="TableText"/>
              <w:rPr>
                <w:lang w:eastAsia="en-AU"/>
              </w:rPr>
            </w:pPr>
            <w:r>
              <w:rPr>
                <w:lang w:eastAsia="en-AU"/>
              </w:rPr>
              <w:t>Difference between population^ and PACOP (n)</w:t>
            </w:r>
          </w:p>
        </w:tc>
        <w:tc>
          <w:tcPr>
            <w:tcW w:w="1909" w:type="dxa"/>
            <w:noWrap/>
          </w:tcPr>
          <w:p w14:paraId="4BEEC697"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2,460</w:t>
            </w:r>
          </w:p>
        </w:tc>
        <w:tc>
          <w:tcPr>
            <w:tcW w:w="1618" w:type="dxa"/>
          </w:tcPr>
          <w:p w14:paraId="22455F08"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2,706</w:t>
            </w:r>
          </w:p>
        </w:tc>
      </w:tr>
      <w:tr w:rsidR="00F13684" w:rsidRPr="003B3243" w14:paraId="6FF4F9DD"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tcPr>
          <w:p w14:paraId="01F1CEBD" w14:textId="3947540B" w:rsidR="00F13684" w:rsidRPr="00F27666" w:rsidRDefault="00F13684" w:rsidP="00120E73">
            <w:pPr>
              <w:pStyle w:val="TableText"/>
              <w:rPr>
                <w:lang w:eastAsia="en-AU"/>
              </w:rPr>
            </w:pPr>
            <w:r w:rsidRPr="00F27666">
              <w:rPr>
                <w:lang w:eastAsia="en-AU"/>
              </w:rPr>
              <w:t>Average cost per event</w:t>
            </w:r>
          </w:p>
        </w:tc>
        <w:tc>
          <w:tcPr>
            <w:tcW w:w="1909" w:type="dxa"/>
            <w:noWrap/>
          </w:tcPr>
          <w:p w14:paraId="3494ECEC" w14:textId="49EC613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696CB5">
              <w:t>$6,670</w:t>
            </w:r>
            <w:r w:rsidR="000F753C">
              <w:t>*</w:t>
            </w:r>
          </w:p>
        </w:tc>
        <w:tc>
          <w:tcPr>
            <w:tcW w:w="1618" w:type="dxa"/>
          </w:tcPr>
          <w:p w14:paraId="5051DF6B"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3243">
              <w:rPr>
                <w:lang w:eastAsia="en-AU"/>
              </w:rPr>
              <w:t xml:space="preserve">$980 </w:t>
            </w:r>
          </w:p>
        </w:tc>
      </w:tr>
      <w:tr w:rsidR="00F13684" w:rsidRPr="003B3243" w14:paraId="16B8CA70"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4228601" w14:textId="4E108AC6" w:rsidR="00F13684" w:rsidRPr="00F27666" w:rsidRDefault="00F13684" w:rsidP="00120E73">
            <w:pPr>
              <w:pStyle w:val="TableText"/>
              <w:rPr>
                <w:lang w:eastAsia="en-AU"/>
              </w:rPr>
            </w:pPr>
            <w:r>
              <w:rPr>
                <w:lang w:eastAsia="en-AU"/>
              </w:rPr>
              <w:t xml:space="preserve">Potential cost </w:t>
            </w:r>
            <w:r w:rsidR="00625D02">
              <w:rPr>
                <w:lang w:eastAsia="en-AU"/>
              </w:rPr>
              <w:t>avoidance</w:t>
            </w:r>
          </w:p>
        </w:tc>
        <w:tc>
          <w:tcPr>
            <w:tcW w:w="1909" w:type="dxa"/>
            <w:noWrap/>
            <w:hideMark/>
          </w:tcPr>
          <w:p w14:paraId="5B7B8B6F"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$16,409,227</w:t>
            </w:r>
          </w:p>
        </w:tc>
        <w:tc>
          <w:tcPr>
            <w:tcW w:w="1618" w:type="dxa"/>
          </w:tcPr>
          <w:p w14:paraId="2DA10E92"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$2,652,192</w:t>
            </w:r>
          </w:p>
        </w:tc>
      </w:tr>
      <w:tr w:rsidR="00F13684" w:rsidRPr="003B3243" w14:paraId="73D903A7"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tcPr>
          <w:p w14:paraId="4A3AE488" w14:textId="77777777" w:rsidR="00F13684" w:rsidRPr="00D70CAA" w:rsidRDefault="00F13684" w:rsidP="00120E73">
            <w:pPr>
              <w:pStyle w:val="TableText"/>
              <w:rPr>
                <w:vertAlign w:val="superscript"/>
                <w:lang w:eastAsia="en-AU"/>
              </w:rPr>
            </w:pPr>
            <w:r>
              <w:rPr>
                <w:lang w:eastAsia="en-AU"/>
              </w:rPr>
              <w:t>Estimated attribution to PACOP</w:t>
            </w:r>
            <w:r>
              <w:rPr>
                <w:vertAlign w:val="superscript"/>
                <w:lang w:eastAsia="en-AU"/>
              </w:rPr>
              <w:t>#</w:t>
            </w:r>
          </w:p>
        </w:tc>
        <w:tc>
          <w:tcPr>
            <w:tcW w:w="1909" w:type="dxa"/>
            <w:noWrap/>
          </w:tcPr>
          <w:p w14:paraId="505E17F0" w14:textId="77777777" w:rsidR="00F13684" w:rsidRPr="00B92A08"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t>9%</w:t>
            </w:r>
          </w:p>
        </w:tc>
        <w:tc>
          <w:tcPr>
            <w:tcW w:w="1618" w:type="dxa"/>
          </w:tcPr>
          <w:p w14:paraId="44C9268F" w14:textId="77777777" w:rsidR="00F13684" w:rsidRPr="00B92A08"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t>10.5%</w:t>
            </w:r>
          </w:p>
        </w:tc>
      </w:tr>
      <w:tr w:rsidR="00F13684" w:rsidRPr="003B3243" w14:paraId="5687C750"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shd w:val="clear" w:color="auto" w:fill="DCDCDF" w:themeFill="accent3" w:themeFillTint="33"/>
            <w:noWrap/>
          </w:tcPr>
          <w:p w14:paraId="676E1759" w14:textId="77777777" w:rsidR="00F13684" w:rsidRPr="00DB4055" w:rsidRDefault="00F13684" w:rsidP="00120E73">
            <w:pPr>
              <w:pStyle w:val="TableText"/>
              <w:rPr>
                <w:rFonts w:asciiTheme="majorHAnsi" w:hAnsiTheme="majorHAnsi"/>
                <w:lang w:eastAsia="en-AU"/>
              </w:rPr>
            </w:pPr>
            <w:r w:rsidRPr="00DB4055">
              <w:rPr>
                <w:rFonts w:asciiTheme="majorHAnsi" w:hAnsiTheme="majorHAnsi"/>
                <w:lang w:eastAsia="en-AU"/>
              </w:rPr>
              <w:t>Subtotal</w:t>
            </w:r>
          </w:p>
        </w:tc>
        <w:tc>
          <w:tcPr>
            <w:tcW w:w="1909" w:type="dxa"/>
            <w:shd w:val="clear" w:color="auto" w:fill="DCDCDF" w:themeFill="accent3" w:themeFillTint="33"/>
            <w:noWrap/>
          </w:tcPr>
          <w:p w14:paraId="0582B0F0" w14:textId="6C2A7C4D" w:rsidR="00F13684" w:rsidRPr="00DB4055"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DB4055">
              <w:rPr>
                <w:rFonts w:asciiTheme="majorHAnsi" w:hAnsiTheme="majorHAnsi"/>
              </w:rPr>
              <w:t>$1,</w:t>
            </w:r>
            <w:r w:rsidR="000F2F7E">
              <w:rPr>
                <w:rFonts w:asciiTheme="majorHAnsi" w:hAnsiTheme="majorHAnsi"/>
              </w:rPr>
              <w:t>476</w:t>
            </w:r>
            <w:r w:rsidRPr="00DB4055">
              <w:rPr>
                <w:rFonts w:asciiTheme="majorHAnsi" w:hAnsiTheme="majorHAnsi"/>
              </w:rPr>
              <w:t>,8</w:t>
            </w:r>
            <w:r w:rsidR="000F2F7E">
              <w:rPr>
                <w:rFonts w:asciiTheme="majorHAnsi" w:hAnsiTheme="majorHAnsi"/>
              </w:rPr>
              <w:t>30</w:t>
            </w:r>
          </w:p>
        </w:tc>
        <w:tc>
          <w:tcPr>
            <w:tcW w:w="1618" w:type="dxa"/>
            <w:shd w:val="clear" w:color="auto" w:fill="DCDCDF" w:themeFill="accent3" w:themeFillTint="33"/>
          </w:tcPr>
          <w:p w14:paraId="01CAA77B" w14:textId="77777777" w:rsidR="00F13684" w:rsidRPr="00DB4055"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DB4055">
              <w:rPr>
                <w:rFonts w:asciiTheme="majorHAnsi" w:hAnsiTheme="majorHAnsi"/>
              </w:rPr>
              <w:t>$278,480</w:t>
            </w:r>
          </w:p>
        </w:tc>
      </w:tr>
      <w:tr w:rsidR="00A47A57" w:rsidRPr="003B3243" w14:paraId="26194DE2"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shd w:val="clear" w:color="auto" w:fill="DCDCDF" w:themeFill="text2" w:themeFillTint="33"/>
            <w:noWrap/>
          </w:tcPr>
          <w:p w14:paraId="31F639A8" w14:textId="77777777" w:rsidR="00A47A57" w:rsidRPr="00DB4055" w:rsidRDefault="00A47A57" w:rsidP="00120E73">
            <w:pPr>
              <w:pStyle w:val="TableText"/>
              <w:rPr>
                <w:rFonts w:asciiTheme="majorHAnsi" w:hAnsiTheme="majorHAnsi"/>
                <w:lang w:eastAsia="en-AU"/>
              </w:rPr>
            </w:pPr>
            <w:r w:rsidRPr="00DB4055">
              <w:rPr>
                <w:rFonts w:asciiTheme="majorHAnsi" w:hAnsiTheme="majorHAnsi"/>
                <w:lang w:eastAsia="en-AU"/>
              </w:rPr>
              <w:t>TOTAL</w:t>
            </w:r>
          </w:p>
        </w:tc>
        <w:tc>
          <w:tcPr>
            <w:tcW w:w="1909" w:type="dxa"/>
            <w:shd w:val="clear" w:color="auto" w:fill="DCDCDF" w:themeFill="text2" w:themeFillTint="33"/>
            <w:noWrap/>
          </w:tcPr>
          <w:p w14:paraId="797D52DF" w14:textId="56C30EEE" w:rsidR="00A47A57" w:rsidRPr="00DB4055" w:rsidRDefault="00EA6072" w:rsidP="00EA6072">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c>
          <w:tcPr>
            <w:tcW w:w="1618" w:type="dxa"/>
            <w:shd w:val="clear" w:color="auto" w:fill="DCDCDF" w:themeFill="text2" w:themeFillTint="33"/>
          </w:tcPr>
          <w:p w14:paraId="4E0EBA99" w14:textId="71990895" w:rsidR="00A47A57" w:rsidRPr="00DB4055" w:rsidRDefault="00EA6072" w:rsidP="00EA6072">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DB4055">
              <w:rPr>
                <w:rFonts w:asciiTheme="majorHAnsi" w:hAnsiTheme="majorHAnsi"/>
              </w:rPr>
              <w:t>$1,</w:t>
            </w:r>
            <w:r>
              <w:rPr>
                <w:rFonts w:asciiTheme="majorHAnsi" w:hAnsiTheme="majorHAnsi"/>
              </w:rPr>
              <w:t>715</w:t>
            </w:r>
            <w:r w:rsidRPr="00DB4055">
              <w:rPr>
                <w:rFonts w:asciiTheme="majorHAnsi" w:hAnsiTheme="majorHAnsi"/>
              </w:rPr>
              <w:t>,</w:t>
            </w:r>
            <w:r>
              <w:rPr>
                <w:rFonts w:asciiTheme="majorHAnsi" w:hAnsiTheme="majorHAnsi"/>
              </w:rPr>
              <w:t>528</w:t>
            </w:r>
          </w:p>
        </w:tc>
      </w:tr>
    </w:tbl>
    <w:p w14:paraId="19014386" w14:textId="171E650F" w:rsidR="00DB6100" w:rsidRDefault="004F146C" w:rsidP="004F146C">
      <w:pPr>
        <w:pStyle w:val="Tablenotes"/>
      </w:pPr>
      <w:r>
        <w:t xml:space="preserve">Notes: </w:t>
      </w:r>
      <w:r w:rsidR="00F13684" w:rsidRPr="00B948B7">
        <w:t>^Harrison et al</w:t>
      </w:r>
      <w:r w:rsidR="00E006D2">
        <w:t>.</w:t>
      </w:r>
      <w:r w:rsidR="00F13684" w:rsidRPr="00B948B7">
        <w:t xml:space="preserve"> 2024, Australian Health Review 48(2), 182–190</w:t>
      </w:r>
      <w:r w:rsidR="00B5155E">
        <w:t xml:space="preserve"> </w:t>
      </w:r>
      <w:sdt>
        <w:sdtPr>
          <w:id w:val="-276182443"/>
          <w:citation/>
        </w:sdtPr>
        <w:sdtContent>
          <w:r w:rsidR="00B5155E">
            <w:fldChar w:fldCharType="begin"/>
          </w:r>
          <w:r w:rsidR="00B5155E">
            <w:rPr>
              <w:lang w:val="en-US"/>
            </w:rPr>
            <w:instrText xml:space="preserve"> CITATION Har24 \l 1033 </w:instrText>
          </w:r>
          <w:r w:rsidR="00B5155E">
            <w:fldChar w:fldCharType="separate"/>
          </w:r>
          <w:r w:rsidR="00513E81" w:rsidRPr="00513E81">
            <w:rPr>
              <w:noProof/>
              <w:lang w:val="en-US"/>
            </w:rPr>
            <w:t>[33]</w:t>
          </w:r>
          <w:r w:rsidR="00B5155E">
            <w:fldChar w:fldCharType="end"/>
          </w:r>
        </w:sdtContent>
      </w:sdt>
      <w:r w:rsidR="00F13684" w:rsidRPr="00B948B7">
        <w:t>. *</w:t>
      </w:r>
      <w:r w:rsidR="000F753C">
        <w:t>Based on a</w:t>
      </w:r>
      <w:r w:rsidR="00F13684">
        <w:t xml:space="preserve">n average value of acute, non-acute, and subacute care based on </w:t>
      </w:r>
      <w:r w:rsidR="00F13684" w:rsidRPr="00D42A30">
        <w:t>the National Hospital Cost Data Collection.</w:t>
      </w:r>
      <w:r w:rsidR="00F13684">
        <w:t xml:space="preserve"> #based on the survey findings of 30.4% attribution of</w:t>
      </w:r>
      <w:r w:rsidR="00721D68">
        <w:t xml:space="preserve"> hospitalisation utilisation reduction</w:t>
      </w:r>
      <w:r w:rsidR="00F13684">
        <w:t xml:space="preserve"> benefits to PACOP</w:t>
      </w:r>
      <w:r w:rsidR="00B5155E">
        <w:t xml:space="preserve"> (</w:t>
      </w:r>
      <w:r w:rsidR="00F40430">
        <w:t xml:space="preserve">technical paper, </w:t>
      </w:r>
      <w:r w:rsidR="00E0659E">
        <w:t>Figure 6.10</w:t>
      </w:r>
      <w:r w:rsidR="00B5155E">
        <w:t>)</w:t>
      </w:r>
      <w:r w:rsidR="00F13684">
        <w:t xml:space="preserve"> and approximately </w:t>
      </w:r>
      <w:r w:rsidR="00EC0A9E">
        <w:t xml:space="preserve">a </w:t>
      </w:r>
      <w:r w:rsidR="00F13684">
        <w:t>1:1 ratio of palliative</w:t>
      </w:r>
      <w:r w:rsidR="008443BC">
        <w:t xml:space="preserve"> </w:t>
      </w:r>
      <w:r w:rsidR="00F13684">
        <w:t>care to non-palliative care</w:t>
      </w:r>
      <w:r w:rsidR="00D96A2A">
        <w:t xml:space="preserve"> hospitalisations</w:t>
      </w:r>
      <w:r w:rsidR="00451735">
        <w:t xml:space="preserve"> </w:t>
      </w:r>
      <w:sdt>
        <w:sdtPr>
          <w:id w:val="316695814"/>
          <w:citation/>
        </w:sdtPr>
        <w:sdtContent>
          <w:r w:rsidR="00CE3028">
            <w:fldChar w:fldCharType="begin"/>
          </w:r>
          <w:r w:rsidR="00CE3028">
            <w:rPr>
              <w:lang w:val="en-US"/>
            </w:rPr>
            <w:instrText xml:space="preserve"> CITATION Aus2511 \l 1033 </w:instrText>
          </w:r>
          <w:r w:rsidR="00CE3028">
            <w:fldChar w:fldCharType="separate"/>
          </w:r>
          <w:r w:rsidR="00513E81" w:rsidRPr="00513E81">
            <w:rPr>
              <w:noProof/>
              <w:lang w:val="en-US"/>
            </w:rPr>
            <w:t>[35]</w:t>
          </w:r>
          <w:r w:rsidR="00CE3028">
            <w:fldChar w:fldCharType="end"/>
          </w:r>
        </w:sdtContent>
      </w:sdt>
      <w:r w:rsidR="00CE3028">
        <w:t>.</w:t>
      </w:r>
    </w:p>
    <w:p w14:paraId="7CACCC4E" w14:textId="7F14778F" w:rsidR="00867005" w:rsidRDefault="00127E88" w:rsidP="002C6F24">
      <w:r>
        <w:t xml:space="preserve">However, as reported in Section </w:t>
      </w:r>
      <w:r w:rsidR="00D009C5">
        <w:t xml:space="preserve">6.2.3, </w:t>
      </w:r>
      <w:r w:rsidR="005A334B">
        <w:t xml:space="preserve">available </w:t>
      </w:r>
      <w:r w:rsidR="00D514A5">
        <w:t xml:space="preserve">PACOP </w:t>
      </w:r>
      <w:r w:rsidR="002604B9">
        <w:t>assessment data</w:t>
      </w:r>
      <w:r w:rsidR="005A334B">
        <w:t xml:space="preserve"> to June 2025</w:t>
      </w:r>
      <w:r w:rsidR="002604B9">
        <w:t xml:space="preserve"> showed no clear evidence of reduced unplanned hospital use attributable to PACOP. </w:t>
      </w:r>
      <w:r w:rsidR="00040EA6">
        <w:t>In fact</w:t>
      </w:r>
      <w:r w:rsidR="00010C44">
        <w:t>, data indicated a slight increase in the proportion of residents with one or more unplanned hospitalisations or ED presentations since January 2023</w:t>
      </w:r>
      <w:r w:rsidR="00171E22">
        <w:t xml:space="preserve"> (</w:t>
      </w:r>
      <w:r w:rsidR="00171E22">
        <w:fldChar w:fldCharType="begin"/>
      </w:r>
      <w:r w:rsidR="00171E22">
        <w:instrText xml:space="preserve"> REF _Ref217031343 \h </w:instrText>
      </w:r>
      <w:r w:rsidR="00171E22">
        <w:fldChar w:fldCharType="separate"/>
      </w:r>
      <w:r w:rsidR="00167BA0">
        <w:t xml:space="preserve">Figure </w:t>
      </w:r>
      <w:r w:rsidR="00167BA0">
        <w:rPr>
          <w:noProof/>
        </w:rPr>
        <w:t>9</w:t>
      </w:r>
      <w:r w:rsidR="00167BA0">
        <w:t>.</w:t>
      </w:r>
      <w:r w:rsidR="00167BA0">
        <w:rPr>
          <w:noProof/>
        </w:rPr>
        <w:t>6</w:t>
      </w:r>
      <w:r w:rsidR="00171E22">
        <w:fldChar w:fldCharType="end"/>
      </w:r>
      <w:r w:rsidR="00171E22">
        <w:t xml:space="preserve">, </w:t>
      </w:r>
      <w:r w:rsidR="00171E22">
        <w:fldChar w:fldCharType="begin"/>
      </w:r>
      <w:r w:rsidR="00171E22">
        <w:instrText xml:space="preserve"> REF _Ref216865792 \n \h </w:instrText>
      </w:r>
      <w:r w:rsidR="00171E22">
        <w:fldChar w:fldCharType="separate"/>
      </w:r>
      <w:r w:rsidR="00167BA0">
        <w:t>Appendix D</w:t>
      </w:r>
      <w:r w:rsidR="00171E22">
        <w:fldChar w:fldCharType="end"/>
      </w:r>
      <w:r w:rsidR="00171E22">
        <w:t>)</w:t>
      </w:r>
      <w:r w:rsidR="00010C44">
        <w:t>.</w:t>
      </w:r>
      <w:r w:rsidR="00DB756E">
        <w:t xml:space="preserve"> These mixed signals</w:t>
      </w:r>
      <w:r w:rsidR="00CD17FF">
        <w:t xml:space="preserve"> suggest that </w:t>
      </w:r>
      <w:r w:rsidR="002E08ED">
        <w:t xml:space="preserve">the theoretical benefit </w:t>
      </w:r>
      <w:r w:rsidR="008779C0">
        <w:t xml:space="preserve">presented in </w:t>
      </w:r>
      <w:r w:rsidR="008779C0">
        <w:fldChar w:fldCharType="begin"/>
      </w:r>
      <w:r w:rsidR="008779C0">
        <w:instrText xml:space="preserve"> REF _Ref216959019 \h </w:instrText>
      </w:r>
      <w:r w:rsidR="008779C0">
        <w:fldChar w:fldCharType="separate"/>
      </w:r>
      <w:r w:rsidR="00167BA0">
        <w:t xml:space="preserve">Table </w:t>
      </w:r>
      <w:r w:rsidR="00167BA0">
        <w:rPr>
          <w:noProof/>
        </w:rPr>
        <w:t>7</w:t>
      </w:r>
      <w:r w:rsidR="00167BA0">
        <w:t>.</w:t>
      </w:r>
      <w:r w:rsidR="00167BA0">
        <w:rPr>
          <w:noProof/>
        </w:rPr>
        <w:t>6</w:t>
      </w:r>
      <w:r w:rsidR="008779C0">
        <w:fldChar w:fldCharType="end"/>
      </w:r>
      <w:r w:rsidR="008779C0">
        <w:t xml:space="preserve"> </w:t>
      </w:r>
      <w:r w:rsidR="004E3AB7">
        <w:t>i</w:t>
      </w:r>
      <w:r w:rsidR="007109EC">
        <w:t>s</w:t>
      </w:r>
      <w:r w:rsidR="008779C0">
        <w:t xml:space="preserve"> unrel</w:t>
      </w:r>
      <w:r w:rsidR="00611AE0">
        <w:t>iable</w:t>
      </w:r>
      <w:r w:rsidR="00076901">
        <w:t xml:space="preserve"> at present</w:t>
      </w:r>
      <w:r w:rsidR="00445F59">
        <w:t xml:space="preserve"> and should be interpreted with caution</w:t>
      </w:r>
      <w:r w:rsidR="000E091B">
        <w:t>. This is</w:t>
      </w:r>
      <w:r w:rsidR="00076901">
        <w:t xml:space="preserve"> likely due to</w:t>
      </w:r>
      <w:r w:rsidR="00867005">
        <w:t xml:space="preserve"> a range of factors, including:</w:t>
      </w:r>
    </w:p>
    <w:p w14:paraId="649F7280" w14:textId="25BCCDCC" w:rsidR="00867005" w:rsidRDefault="00076901" w:rsidP="00867005">
      <w:pPr>
        <w:pStyle w:val="ListBullet"/>
      </w:pPr>
      <w:r>
        <w:t>the early stage of program implementation</w:t>
      </w:r>
    </w:p>
    <w:p w14:paraId="0274FFF1" w14:textId="77777777" w:rsidR="0078574E" w:rsidRDefault="0078574E" w:rsidP="00867005">
      <w:pPr>
        <w:pStyle w:val="ListBullet"/>
      </w:pPr>
      <w:r>
        <w:t xml:space="preserve">the </w:t>
      </w:r>
      <w:r w:rsidR="00387F56">
        <w:t>complexity of attributing changes in hospital utilisation to PACOP</w:t>
      </w:r>
    </w:p>
    <w:p w14:paraId="19097D82" w14:textId="1ECE4FD8" w:rsidR="00387F56" w:rsidRDefault="00387F56" w:rsidP="00867005">
      <w:pPr>
        <w:pStyle w:val="ListBullet"/>
      </w:pPr>
      <w:r>
        <w:t>external influences such as resident characteristics, clinical complexity, sector reform, program interdependence, and broader system pressures.</w:t>
      </w:r>
    </w:p>
    <w:p w14:paraId="2897DA03" w14:textId="5215E214" w:rsidR="002C6F24" w:rsidRDefault="008C2182" w:rsidP="00611B7E">
      <w:r>
        <w:t>Given current limitations, t</w:t>
      </w:r>
      <w:r w:rsidR="001224C1">
        <w:t xml:space="preserve">he </w:t>
      </w:r>
      <w:r w:rsidR="00C21459">
        <w:t xml:space="preserve">analysis presented in this section </w:t>
      </w:r>
      <w:r w:rsidR="009868F6">
        <w:t xml:space="preserve">aims to </w:t>
      </w:r>
      <w:r w:rsidR="0008347C">
        <w:t xml:space="preserve">outline a high-level methodological approach that could be considered in future economic analyses, once sufficient time has passed for expected benefits to be realised (i.e. at least </w:t>
      </w:r>
      <w:r w:rsidR="00C20166">
        <w:t>five</w:t>
      </w:r>
      <w:r w:rsidR="00D20FB9">
        <w:t xml:space="preserve"> years post-implementation).</w:t>
      </w:r>
      <w:r w:rsidR="00271598">
        <w:t xml:space="preserve"> </w:t>
      </w:r>
      <w:r w:rsidR="00B92BE7">
        <w:t>Continued</w:t>
      </w:r>
      <w:r w:rsidR="00C5166D">
        <w:t xml:space="preserve"> monitoring and </w:t>
      </w:r>
      <w:r w:rsidR="00B20D5C">
        <w:t xml:space="preserve">analysis beyond five years post-implementation will be required </w:t>
      </w:r>
      <w:r w:rsidR="00626567">
        <w:t xml:space="preserve">to </w:t>
      </w:r>
      <w:r w:rsidR="002C32C9">
        <w:t xml:space="preserve">reliably </w:t>
      </w:r>
      <w:r w:rsidR="00626567">
        <w:t>assess PACOP</w:t>
      </w:r>
      <w:r w:rsidR="003863F5">
        <w:t>’</w:t>
      </w:r>
      <w:r w:rsidR="00626567">
        <w:t xml:space="preserve">s impact on </w:t>
      </w:r>
      <w:r w:rsidR="005F5C47">
        <w:t>quantifiable</w:t>
      </w:r>
      <w:r w:rsidR="002C32C9">
        <w:t xml:space="preserve"> outcomes</w:t>
      </w:r>
      <w:r w:rsidR="006238EE">
        <w:t>.</w:t>
      </w:r>
    </w:p>
    <w:p w14:paraId="4492CA9A" w14:textId="4D38FE5B" w:rsidR="00DB6100" w:rsidRDefault="00BB23EF" w:rsidP="00BB23EF">
      <w:pPr>
        <w:pStyle w:val="Heading4"/>
      </w:pPr>
      <w:r>
        <w:t>Non-</w:t>
      </w:r>
      <w:r w:rsidR="00566ED9">
        <w:t>quantified</w:t>
      </w:r>
      <w:r>
        <w:t xml:space="preserve"> benefits</w:t>
      </w:r>
    </w:p>
    <w:p w14:paraId="37AD84E8" w14:textId="205E5589" w:rsidR="00BB23EF" w:rsidRDefault="00C15445" w:rsidP="007773B3">
      <w:pPr>
        <w:rPr>
          <w:lang w:eastAsia="en-AU"/>
        </w:rPr>
      </w:pPr>
      <w:r>
        <w:t xml:space="preserve">Beyond </w:t>
      </w:r>
      <w:r w:rsidR="00566ED9">
        <w:t>quantifiable</w:t>
      </w:r>
      <w:r>
        <w:t xml:space="preserve"> </w:t>
      </w:r>
      <w:r w:rsidR="002C32C9">
        <w:t>benefits</w:t>
      </w:r>
      <w:r>
        <w:t xml:space="preserve">, PACOP delivered </w:t>
      </w:r>
      <w:r w:rsidR="005D1E57">
        <w:t>qualitative benefits aligned with anticipated short</w:t>
      </w:r>
      <w:r w:rsidR="00C20166">
        <w:t>-</w:t>
      </w:r>
      <w:r w:rsidR="005D1E57">
        <w:t xml:space="preserve"> and medium-term outcomes in the program logic </w:t>
      </w:r>
      <w:r w:rsidR="005D1E57">
        <w:rPr>
          <w:lang w:eastAsia="en-AU"/>
        </w:rPr>
        <w:t>(</w:t>
      </w:r>
      <w:r w:rsidR="005D1E57">
        <w:rPr>
          <w:lang w:eastAsia="en-AU"/>
        </w:rPr>
        <w:fldChar w:fldCharType="begin"/>
      </w:r>
      <w:r w:rsidR="005D1E57">
        <w:rPr>
          <w:lang w:eastAsia="en-AU"/>
        </w:rPr>
        <w:instrText xml:space="preserve"> REF _Ref216431039 \h </w:instrText>
      </w:r>
      <w:r w:rsidR="005D1E57">
        <w:rPr>
          <w:lang w:eastAsia="en-AU"/>
        </w:rPr>
      </w:r>
      <w:r w:rsidR="005D1E57">
        <w:rPr>
          <w:lang w:eastAsia="en-AU"/>
        </w:rPr>
        <w:fldChar w:fldCharType="separate"/>
      </w:r>
      <w:r w:rsidR="00167BA0">
        <w:t xml:space="preserve">Figure </w:t>
      </w:r>
      <w:r w:rsidR="00167BA0">
        <w:rPr>
          <w:noProof/>
        </w:rPr>
        <w:t>2</w:t>
      </w:r>
      <w:r w:rsidR="00167BA0">
        <w:t>.</w:t>
      </w:r>
      <w:r w:rsidR="00167BA0">
        <w:rPr>
          <w:noProof/>
        </w:rPr>
        <w:t>2</w:t>
      </w:r>
      <w:r w:rsidR="005D1E57">
        <w:rPr>
          <w:lang w:eastAsia="en-AU"/>
        </w:rPr>
        <w:fldChar w:fldCharType="end"/>
      </w:r>
      <w:r w:rsidR="005D1E57">
        <w:rPr>
          <w:lang w:eastAsia="en-AU"/>
        </w:rPr>
        <w:t>)</w:t>
      </w:r>
      <w:r w:rsidR="00AB09AD">
        <w:rPr>
          <w:lang w:eastAsia="en-AU"/>
        </w:rPr>
        <w:t xml:space="preserve">, demonstrating </w:t>
      </w:r>
      <w:r w:rsidR="00A23AA4">
        <w:rPr>
          <w:lang w:eastAsia="en-AU"/>
        </w:rPr>
        <w:t xml:space="preserve">potential </w:t>
      </w:r>
      <w:r w:rsidR="00081181">
        <w:rPr>
          <w:lang w:eastAsia="en-AU"/>
        </w:rPr>
        <w:t>investment value</w:t>
      </w:r>
      <w:r w:rsidR="00AB09AD">
        <w:rPr>
          <w:lang w:eastAsia="en-AU"/>
        </w:rPr>
        <w:t xml:space="preserve">. </w:t>
      </w:r>
      <w:r w:rsidR="001F2EBA">
        <w:rPr>
          <w:lang w:eastAsia="en-AU"/>
        </w:rPr>
        <w:t>As outlined in preceding chapters, t</w:t>
      </w:r>
      <w:r w:rsidR="00AB09AD">
        <w:rPr>
          <w:lang w:eastAsia="en-AU"/>
        </w:rPr>
        <w:t>hese included:</w:t>
      </w:r>
    </w:p>
    <w:p w14:paraId="02A5B708" w14:textId="16E40B76" w:rsidR="00AB09AD" w:rsidRDefault="00E12929" w:rsidP="004E4874">
      <w:pPr>
        <w:pStyle w:val="ListBullet"/>
        <w:rPr>
          <w:lang w:eastAsia="en-AU"/>
        </w:rPr>
      </w:pPr>
      <w:r>
        <w:rPr>
          <w:lang w:eastAsia="en-AU"/>
        </w:rPr>
        <w:t>e</w:t>
      </w:r>
      <w:r w:rsidR="00227458">
        <w:rPr>
          <w:lang w:eastAsia="en-AU"/>
        </w:rPr>
        <w:t>xpande</w:t>
      </w:r>
      <w:r w:rsidR="004E4874">
        <w:rPr>
          <w:lang w:eastAsia="en-AU"/>
        </w:rPr>
        <w:t>d</w:t>
      </w:r>
      <w:r w:rsidR="00227458">
        <w:rPr>
          <w:lang w:eastAsia="en-AU"/>
        </w:rPr>
        <w:t xml:space="preserve"> </w:t>
      </w:r>
      <w:r w:rsidR="00307420">
        <w:rPr>
          <w:lang w:eastAsia="en-AU"/>
        </w:rPr>
        <w:t xml:space="preserve">access to </w:t>
      </w:r>
      <w:r w:rsidR="00227458">
        <w:rPr>
          <w:lang w:eastAsia="en-AU"/>
        </w:rPr>
        <w:t xml:space="preserve">workforce and organisational </w:t>
      </w:r>
      <w:r w:rsidR="004E4874">
        <w:rPr>
          <w:lang w:eastAsia="en-AU"/>
        </w:rPr>
        <w:t>capability building:</w:t>
      </w:r>
    </w:p>
    <w:p w14:paraId="53E8515D" w14:textId="0224D446" w:rsidR="004E4874" w:rsidRDefault="004E4874" w:rsidP="004E4874">
      <w:pPr>
        <w:pStyle w:val="ListBullet2"/>
      </w:pPr>
      <w:r>
        <w:t>86 providers and 454 homes registered to use the PACOP framework</w:t>
      </w:r>
    </w:p>
    <w:p w14:paraId="3EC498E7" w14:textId="35BF8398" w:rsidR="004E4874" w:rsidRDefault="003003D0" w:rsidP="004E4874">
      <w:pPr>
        <w:pStyle w:val="ListBullet2"/>
      </w:pPr>
      <w:r>
        <w:t>131 homes actively participating in benchmarking</w:t>
      </w:r>
    </w:p>
    <w:p w14:paraId="6C6C1B70" w14:textId="36678BD5" w:rsidR="00202949" w:rsidRDefault="00374D3D" w:rsidP="004E4874">
      <w:pPr>
        <w:pStyle w:val="ListBullet2"/>
      </w:pPr>
      <w:r>
        <w:t>approximately 3,500 staff completed educational workshops or learning modules</w:t>
      </w:r>
    </w:p>
    <w:p w14:paraId="3B31B082" w14:textId="4822134C" w:rsidR="001A6E1C" w:rsidRDefault="001C52B6" w:rsidP="00AC5139">
      <w:pPr>
        <w:pStyle w:val="ListBullet"/>
      </w:pPr>
      <w:r>
        <w:t>reported improvements in</w:t>
      </w:r>
      <w:r w:rsidR="00AC5139">
        <w:t xml:space="preserve"> organisational readiness and integration</w:t>
      </w:r>
      <w:r w:rsidR="006A0FB7">
        <w:t>:</w:t>
      </w:r>
    </w:p>
    <w:p w14:paraId="1EC60EC9" w14:textId="47026986" w:rsidR="00E9607F" w:rsidRDefault="00DC4C13" w:rsidP="00477D3C">
      <w:pPr>
        <w:pStyle w:val="ListBullet2"/>
        <w:rPr>
          <w:lang w:eastAsia="en-AU"/>
        </w:rPr>
      </w:pPr>
      <w:r>
        <w:rPr>
          <w:lang w:eastAsia="en-AU"/>
        </w:rPr>
        <w:t xml:space="preserve">improved </w:t>
      </w:r>
      <w:r w:rsidR="00E9607F">
        <w:rPr>
          <w:lang w:eastAsia="en-AU"/>
        </w:rPr>
        <w:t>staff knowledge, skills, confidence, and capability to provide timely and quality palliative care and advanced care planning</w:t>
      </w:r>
    </w:p>
    <w:p w14:paraId="0D21CC14" w14:textId="0220A5B5" w:rsidR="00477D3C" w:rsidRDefault="00553047" w:rsidP="00477D3C">
      <w:pPr>
        <w:pStyle w:val="ListBullet2"/>
        <w:rPr>
          <w:lang w:eastAsia="en-AU"/>
        </w:rPr>
      </w:pPr>
      <w:r>
        <w:rPr>
          <w:lang w:eastAsia="en-AU"/>
        </w:rPr>
        <w:t>enhanced</w:t>
      </w:r>
      <w:r w:rsidR="00477D3C">
        <w:rPr>
          <w:lang w:eastAsia="en-AU"/>
        </w:rPr>
        <w:t xml:space="preserve"> organisational </w:t>
      </w:r>
      <w:r>
        <w:rPr>
          <w:lang w:eastAsia="en-AU"/>
        </w:rPr>
        <w:t>systems for integrating</w:t>
      </w:r>
      <w:r w:rsidR="00477D3C">
        <w:rPr>
          <w:lang w:eastAsia="en-AU"/>
        </w:rPr>
        <w:t xml:space="preserve"> palliative care as part of core business</w:t>
      </w:r>
    </w:p>
    <w:p w14:paraId="782F1C41" w14:textId="653AEFE1" w:rsidR="00553047" w:rsidRDefault="00553047" w:rsidP="00553047">
      <w:pPr>
        <w:pStyle w:val="ListBullet2"/>
      </w:pPr>
      <w:r>
        <w:t>increased consistency of palliative care data collection and reporting</w:t>
      </w:r>
    </w:p>
    <w:p w14:paraId="39830181" w14:textId="51BFC1AF" w:rsidR="00553047" w:rsidRPr="00B93302" w:rsidRDefault="00553047" w:rsidP="00553047">
      <w:pPr>
        <w:pStyle w:val="ListBullet2"/>
      </w:pPr>
      <w:r>
        <w:t xml:space="preserve">increased use of palliative care data to inform continuous </w:t>
      </w:r>
      <w:r w:rsidR="000D7846">
        <w:t xml:space="preserve">quality </w:t>
      </w:r>
      <w:r>
        <w:t>improvement</w:t>
      </w:r>
    </w:p>
    <w:p w14:paraId="4740EF9E" w14:textId="50253ED0" w:rsidR="0007543D" w:rsidRDefault="0007543D" w:rsidP="0007543D">
      <w:pPr>
        <w:pStyle w:val="ListBullet2"/>
      </w:pPr>
      <w:r>
        <w:t>improved collaboration and communication</w:t>
      </w:r>
      <w:r w:rsidR="000D7846">
        <w:t xml:space="preserve"> across sectors</w:t>
      </w:r>
    </w:p>
    <w:p w14:paraId="0E564367" w14:textId="31597A14" w:rsidR="00537CB7" w:rsidRDefault="00E12929" w:rsidP="00E12929">
      <w:pPr>
        <w:pStyle w:val="ListBullet"/>
      </w:pPr>
      <w:r>
        <w:t>foundational steps toward improved resident outcomes</w:t>
      </w:r>
      <w:r w:rsidR="006A0FB7">
        <w:t>:</w:t>
      </w:r>
    </w:p>
    <w:p w14:paraId="0734DE55" w14:textId="4EDFA95B" w:rsidR="00AB0AD6" w:rsidRDefault="00AB0AD6" w:rsidP="00AB0AD6">
      <w:pPr>
        <w:pStyle w:val="ListBullet2"/>
      </w:pPr>
      <w:r>
        <w:t>self-reported improvements in the timeliness and quality of palliative care delivery</w:t>
      </w:r>
    </w:p>
    <w:p w14:paraId="0A5BF19B" w14:textId="4C8FE7A3" w:rsidR="00AB0AD6" w:rsidRDefault="00AB0AD6" w:rsidP="00AB0AD6">
      <w:pPr>
        <w:pStyle w:val="ListBullet2"/>
      </w:pPr>
      <w:r>
        <w:lastRenderedPageBreak/>
        <w:t>early evidence of improved pain management and advance care planning practices</w:t>
      </w:r>
      <w:r w:rsidR="0067211C">
        <w:t xml:space="preserve"> based on benchmarking</w:t>
      </w:r>
      <w:r w:rsidR="00ED5AF7">
        <w:t xml:space="preserve"> data</w:t>
      </w:r>
      <w:r>
        <w:t>.</w:t>
      </w:r>
    </w:p>
    <w:p w14:paraId="36EC9CFC" w14:textId="3A4F54EA" w:rsidR="00183AC7" w:rsidRDefault="00A926F4" w:rsidP="00183AC7">
      <w:pPr>
        <w:rPr>
          <w:lang w:eastAsia="en-AU"/>
        </w:rPr>
      </w:pPr>
      <w:r>
        <w:rPr>
          <w:lang w:eastAsia="en-AU"/>
        </w:rPr>
        <w:t>T</w:t>
      </w:r>
      <w:r w:rsidR="00E9040B">
        <w:rPr>
          <w:lang w:eastAsia="en-AU"/>
        </w:rPr>
        <w:t>aken together, t</w:t>
      </w:r>
      <w:r w:rsidR="00183AC7">
        <w:rPr>
          <w:lang w:eastAsia="en-AU"/>
        </w:rPr>
        <w:t xml:space="preserve">hese benefits </w:t>
      </w:r>
      <w:r w:rsidR="00DB07BF">
        <w:rPr>
          <w:lang w:eastAsia="en-AU"/>
        </w:rPr>
        <w:t>indicate</w:t>
      </w:r>
      <w:r w:rsidR="00183AC7">
        <w:rPr>
          <w:lang w:eastAsia="en-AU"/>
        </w:rPr>
        <w:t xml:space="preserve"> progress in</w:t>
      </w:r>
      <w:r w:rsidR="00DB07BF">
        <w:rPr>
          <w:lang w:eastAsia="en-AU"/>
        </w:rPr>
        <w:t xml:space="preserve"> developing the capability and infrastructure required for </w:t>
      </w:r>
      <w:r w:rsidR="00FF6494">
        <w:rPr>
          <w:lang w:eastAsia="en-AU"/>
        </w:rPr>
        <w:t xml:space="preserve">more </w:t>
      </w:r>
      <w:r w:rsidR="00DB07BF">
        <w:rPr>
          <w:lang w:eastAsia="en-AU"/>
        </w:rPr>
        <w:t>systematic</w:t>
      </w:r>
      <w:r w:rsidR="00FF6494">
        <w:rPr>
          <w:lang w:eastAsia="en-AU"/>
        </w:rPr>
        <w:t>, data-driven</w:t>
      </w:r>
      <w:r w:rsidR="00DB07BF">
        <w:rPr>
          <w:lang w:eastAsia="en-AU"/>
        </w:rPr>
        <w:t xml:space="preserve"> palliative care delivery </w:t>
      </w:r>
      <w:r w:rsidR="00FF6494">
        <w:rPr>
          <w:lang w:eastAsia="en-AU"/>
        </w:rPr>
        <w:t>in residential aged care settings</w:t>
      </w:r>
      <w:r w:rsidR="00DB07BF">
        <w:rPr>
          <w:lang w:eastAsia="en-AU"/>
        </w:rPr>
        <w:t>.</w:t>
      </w:r>
      <w:r w:rsidR="00FF6494">
        <w:rPr>
          <w:lang w:eastAsia="en-AU"/>
        </w:rPr>
        <w:t xml:space="preserve"> Expansion of benchmarking participation and continued maturation of PACOP data systems would strengthen the basis for</w:t>
      </w:r>
      <w:r w:rsidR="00903749">
        <w:rPr>
          <w:lang w:eastAsia="en-AU"/>
        </w:rPr>
        <w:t xml:space="preserve"> future economic </w:t>
      </w:r>
      <w:r w:rsidR="00622B9B">
        <w:rPr>
          <w:lang w:eastAsia="en-AU"/>
        </w:rPr>
        <w:t>analysis</w:t>
      </w:r>
      <w:r w:rsidR="005B3003">
        <w:rPr>
          <w:lang w:eastAsia="en-AU"/>
        </w:rPr>
        <w:t>.</w:t>
      </w:r>
    </w:p>
    <w:p w14:paraId="71175C8E" w14:textId="32562118" w:rsidR="00183AC7" w:rsidRPr="0032676E" w:rsidRDefault="00940BB8" w:rsidP="005B3003">
      <w:pPr>
        <w:pStyle w:val="Findings"/>
      </w:pPr>
      <w:r>
        <w:t xml:space="preserve">PACOP delivered early qualitative </w:t>
      </w:r>
      <w:r w:rsidR="008D0E59">
        <w:t xml:space="preserve">benefits </w:t>
      </w:r>
      <w:r w:rsidR="00EA1389">
        <w:t>for participating homes and staff</w:t>
      </w:r>
      <w:r w:rsidR="00F20EC1">
        <w:t xml:space="preserve">. </w:t>
      </w:r>
      <w:r w:rsidR="00750BBE">
        <w:t>E</w:t>
      </w:r>
      <w:r w:rsidR="00EA1389">
        <w:t xml:space="preserve">vidence from </w:t>
      </w:r>
      <w:r w:rsidR="00275247">
        <w:t xml:space="preserve">PACOP assessment data suggested no measurable impact on unplanned hospital use to date. </w:t>
      </w:r>
      <w:r w:rsidR="00463D58">
        <w:t>This</w:t>
      </w:r>
      <w:r w:rsidR="00457AAC">
        <w:t xml:space="preserve"> likely </w:t>
      </w:r>
      <w:r w:rsidR="00463D58">
        <w:t>reflects</w:t>
      </w:r>
      <w:r w:rsidR="00457AAC">
        <w:t xml:space="preserve"> the early stage of implementation</w:t>
      </w:r>
      <w:r w:rsidR="007B780B">
        <w:t>, limited benchmarking</w:t>
      </w:r>
      <w:r w:rsidR="00CF6980">
        <w:t xml:space="preserve"> participation, and the influence of external factors. More mature data and longer follow-up will be required before economic benefits can be </w:t>
      </w:r>
      <w:r w:rsidR="00463D58">
        <w:t xml:space="preserve">reliably </w:t>
      </w:r>
      <w:r w:rsidR="00CF6980">
        <w:t>assessed</w:t>
      </w:r>
      <w:r w:rsidR="00463D58">
        <w:t>.</w:t>
      </w:r>
    </w:p>
    <w:p w14:paraId="59422BE9" w14:textId="1C0D323C" w:rsidR="002E5B12" w:rsidRDefault="002F0C6D" w:rsidP="00E96C93">
      <w:pPr>
        <w:pStyle w:val="Heading1"/>
        <w:framePr w:wrap="around"/>
      </w:pPr>
      <w:bookmarkStart w:id="134" w:name="_Toc232685932"/>
      <w:r>
        <w:lastRenderedPageBreak/>
        <w:t>Opportunities</w:t>
      </w:r>
      <w:bookmarkEnd w:id="134"/>
    </w:p>
    <w:p w14:paraId="3609778D" w14:textId="77777777" w:rsidR="002C5F39" w:rsidRDefault="002C5F39" w:rsidP="004D77CD">
      <w:r>
        <w:t xml:space="preserve">This chapter presents opportunities to inform potential future iterations of the Measure. </w:t>
      </w:r>
    </w:p>
    <w:p w14:paraId="1C2B8FC8" w14:textId="414CF4D3" w:rsidR="009E1F47" w:rsidRDefault="004D77CD" w:rsidP="004D77CD">
      <w:r>
        <w:t xml:space="preserve">Overall, </w:t>
      </w:r>
      <w:r w:rsidR="00AC7B0C">
        <w:t xml:space="preserve">the </w:t>
      </w:r>
      <w:r>
        <w:t xml:space="preserve">evaluation </w:t>
      </w:r>
      <w:r w:rsidR="00AC7B0C">
        <w:t>found</w:t>
      </w:r>
      <w:r w:rsidR="005C4483">
        <w:t xml:space="preserve"> that the Measure and its funded programs achieved </w:t>
      </w:r>
      <w:r>
        <w:t xml:space="preserve">clear </w:t>
      </w:r>
      <w:r w:rsidR="005C4483">
        <w:t>progress</w:t>
      </w:r>
      <w:r>
        <w:t xml:space="preserve"> in strengthening palliative care workforce and organisational capability </w:t>
      </w:r>
      <w:r w:rsidR="00AC7B0C">
        <w:t>among</w:t>
      </w:r>
      <w:r>
        <w:t xml:space="preserve"> </w:t>
      </w:r>
      <w:r w:rsidR="00FE1D3F">
        <w:t xml:space="preserve">participating </w:t>
      </w:r>
      <w:r w:rsidR="00A87155">
        <w:t>organisations</w:t>
      </w:r>
      <w:r>
        <w:t>, alongside implementation, scalability, and sustainability challenges. Taken together, evaluation evidence provide</w:t>
      </w:r>
      <w:r w:rsidR="00060A3A">
        <w:t>s</w:t>
      </w:r>
      <w:r>
        <w:t xml:space="preserve"> a credible case for </w:t>
      </w:r>
      <w:r w:rsidR="002E033B">
        <w:t>g</w:t>
      </w:r>
      <w:r>
        <w:t>overnment to consider continuation of the Measure and the funded programs to address ongoing palliative care capability-building needs across the aged care sector. If a future extension of the Measure</w:t>
      </w:r>
      <w:r w:rsidR="00785861">
        <w:t xml:space="preserve"> were considered</w:t>
      </w:r>
      <w:r>
        <w:t xml:space="preserve">, targeted refinements could </w:t>
      </w:r>
      <w:r w:rsidR="00785861">
        <w:t>further</w:t>
      </w:r>
      <w:r>
        <w:t xml:space="preserve"> strengthen scalability, effectiveness, and sustainability. </w:t>
      </w:r>
    </w:p>
    <w:p w14:paraId="6E10CF85" w14:textId="7092CC44" w:rsidR="00E00C94" w:rsidRDefault="00E00C94" w:rsidP="00AD4C35">
      <w:r>
        <w:t xml:space="preserve">The </w:t>
      </w:r>
      <w:r w:rsidR="001F5201">
        <w:t xml:space="preserve">opportunities outlined </w:t>
      </w:r>
      <w:r w:rsidR="003945D9">
        <w:t xml:space="preserve">in this chapter </w:t>
      </w:r>
      <w:r w:rsidR="00E21703">
        <w:t>were</w:t>
      </w:r>
      <w:r w:rsidR="007A5AEA">
        <w:t xml:space="preserve"> synthesised from findings across all evaluation activities</w:t>
      </w:r>
      <w:r w:rsidR="003945D9">
        <w:t>. They</w:t>
      </w:r>
      <w:r w:rsidR="000E1B79">
        <w:t xml:space="preserve"> </w:t>
      </w:r>
      <w:r w:rsidR="007A5AEA">
        <w:t xml:space="preserve">are structured to address </w:t>
      </w:r>
      <w:r w:rsidR="0020337E">
        <w:t>areas where implementation, effectiveness, and scalability could be</w:t>
      </w:r>
      <w:r w:rsidR="007A5AEA">
        <w:t xml:space="preserve"> strengthen</w:t>
      </w:r>
      <w:r w:rsidR="0020337E">
        <w:t>ed</w:t>
      </w:r>
      <w:r w:rsidR="001F61F0">
        <w:t>, based on evidence observed during the evaluation period</w:t>
      </w:r>
      <w:r w:rsidR="007A5AEA">
        <w:t>.</w:t>
      </w:r>
    </w:p>
    <w:p w14:paraId="22A670B3" w14:textId="43DA45FD" w:rsidR="007A5AEA" w:rsidRDefault="007A5AEA" w:rsidP="00AD4C35">
      <w:r>
        <w:t xml:space="preserve">Importantly, these </w:t>
      </w:r>
      <w:r w:rsidR="001F61F0">
        <w:t xml:space="preserve">opportunities </w:t>
      </w:r>
      <w:r w:rsidR="003945D9">
        <w:t>were</w:t>
      </w:r>
      <w:r w:rsidR="001F61F0">
        <w:t xml:space="preserve"> framed</w:t>
      </w:r>
      <w:r>
        <w:t xml:space="preserve"> with consideration of the broader aged care environment. Several </w:t>
      </w:r>
      <w:r w:rsidR="00A12F31">
        <w:t xml:space="preserve">key challenges identified through the evaluation, </w:t>
      </w:r>
      <w:r w:rsidR="00CA3EBC">
        <w:t>including</w:t>
      </w:r>
      <w:r w:rsidR="00A12F31">
        <w:t xml:space="preserve"> workforce turnover and shortages</w:t>
      </w:r>
      <w:r w:rsidR="00614F7F">
        <w:t>,</w:t>
      </w:r>
      <w:r w:rsidR="00A12F31">
        <w:t xml:space="preserve"> and </w:t>
      </w:r>
      <w:r w:rsidR="002E2FA1">
        <w:t xml:space="preserve">the early stage of </w:t>
      </w:r>
      <w:r w:rsidR="00614F7F">
        <w:t xml:space="preserve">palliative care </w:t>
      </w:r>
      <w:r w:rsidR="00A12F31">
        <w:t>sector maturity</w:t>
      </w:r>
      <w:r w:rsidR="0035087A">
        <w:t xml:space="preserve">, </w:t>
      </w:r>
      <w:r w:rsidR="00A15ECA">
        <w:t xml:space="preserve">were </w:t>
      </w:r>
      <w:r w:rsidR="0035087A">
        <w:t>not unique to the funded programs but reflect</w:t>
      </w:r>
      <w:r w:rsidR="00A15ECA">
        <w:t>ed</w:t>
      </w:r>
      <w:r w:rsidR="0035087A">
        <w:t xml:space="preserve"> sector-wide </w:t>
      </w:r>
      <w:r w:rsidR="00CA3EBC">
        <w:t>conditions</w:t>
      </w:r>
      <w:r w:rsidR="0035087A">
        <w:t xml:space="preserve">. As such, </w:t>
      </w:r>
      <w:r w:rsidR="002C56E4">
        <w:t xml:space="preserve">opportunities </w:t>
      </w:r>
      <w:r w:rsidR="0035087A">
        <w:t>focus on actions within the scope of the Measure and funded initiatives</w:t>
      </w:r>
      <w:r w:rsidR="002C56E4">
        <w:t>,</w:t>
      </w:r>
      <w:r w:rsidR="0035087A">
        <w:t xml:space="preserve"> rather than </w:t>
      </w:r>
      <w:r w:rsidR="000D322F">
        <w:t xml:space="preserve">prescribing </w:t>
      </w:r>
      <w:r w:rsidR="0035087A">
        <w:t xml:space="preserve">solutions for </w:t>
      </w:r>
      <w:r w:rsidR="002C56E4">
        <w:t xml:space="preserve">broader </w:t>
      </w:r>
      <w:r w:rsidR="00C31944">
        <w:t>systemic reform.</w:t>
      </w:r>
    </w:p>
    <w:p w14:paraId="69104022" w14:textId="584033F9" w:rsidR="00C31944" w:rsidRDefault="00C31944" w:rsidP="00AD4C35">
      <w:r>
        <w:t xml:space="preserve">The evaluation also acknowledges concurrent reforms </w:t>
      </w:r>
      <w:r w:rsidR="00D01827">
        <w:t>shaping</w:t>
      </w:r>
      <w:r>
        <w:t xml:space="preserve"> the aged care landscape, including </w:t>
      </w:r>
      <w:r w:rsidR="00D01827">
        <w:t xml:space="preserve">the </w:t>
      </w:r>
      <w:r>
        <w:t>implementation of</w:t>
      </w:r>
      <w:r w:rsidR="00D01827">
        <w:t xml:space="preserve"> the strengthened ACQS, </w:t>
      </w:r>
      <w:r w:rsidR="002655D3">
        <w:t xml:space="preserve">the </w:t>
      </w:r>
      <w:r w:rsidR="00D01827">
        <w:t xml:space="preserve">new Aged Care Act, and </w:t>
      </w:r>
      <w:r w:rsidR="002655D3">
        <w:t xml:space="preserve">the </w:t>
      </w:r>
      <w:r w:rsidR="00D01827">
        <w:t xml:space="preserve">Support at Home program in </w:t>
      </w:r>
      <w:r w:rsidR="007C7454">
        <w:t>November</w:t>
      </w:r>
      <w:r w:rsidR="00D01827">
        <w:t xml:space="preserve"> 2025.</w:t>
      </w:r>
      <w:r w:rsidR="007C7454">
        <w:t xml:space="preserve"> These reforms </w:t>
      </w:r>
      <w:r w:rsidR="007D4C82">
        <w:t>were</w:t>
      </w:r>
      <w:r w:rsidR="00B40A16">
        <w:t xml:space="preserve"> likely to </w:t>
      </w:r>
      <w:r w:rsidR="007C7454">
        <w:t>influence provider priorities and capability requirements</w:t>
      </w:r>
      <w:r w:rsidR="00B40A16">
        <w:t xml:space="preserve"> </w:t>
      </w:r>
      <w:r w:rsidR="007C7454">
        <w:t xml:space="preserve">and should be considered </w:t>
      </w:r>
      <w:r w:rsidR="00AA12DF">
        <w:t>in any future decisions relating to the Measure</w:t>
      </w:r>
      <w:r w:rsidR="00C918BE">
        <w:t>.</w:t>
      </w:r>
    </w:p>
    <w:p w14:paraId="5E8984C7" w14:textId="31B16947" w:rsidR="007A3CDE" w:rsidRDefault="00CC5C71" w:rsidP="00AD4C35">
      <w:r>
        <w:fldChar w:fldCharType="begin"/>
      </w:r>
      <w:r>
        <w:instrText xml:space="preserve"> REF _Ref218686820 \h </w:instrText>
      </w:r>
      <w:r>
        <w:fldChar w:fldCharType="separate"/>
      </w:r>
      <w:r w:rsidR="00167BA0">
        <w:t xml:space="preserve">Table </w:t>
      </w:r>
      <w:r w:rsidR="00167BA0">
        <w:rPr>
          <w:noProof/>
        </w:rPr>
        <w:t>8</w:t>
      </w:r>
      <w:r w:rsidR="00167BA0">
        <w:t>.</w:t>
      </w:r>
      <w:r w:rsidR="00167BA0">
        <w:rPr>
          <w:noProof/>
        </w:rPr>
        <w:t>1</w:t>
      </w:r>
      <w:r>
        <w:fldChar w:fldCharType="end"/>
      </w:r>
      <w:r>
        <w:t xml:space="preserve"> presents </w:t>
      </w:r>
      <w:r w:rsidR="009919AF">
        <w:t xml:space="preserve">the </w:t>
      </w:r>
      <w:r w:rsidR="00820B22">
        <w:t>opportunities</w:t>
      </w:r>
      <w:r>
        <w:t>,</w:t>
      </w:r>
      <w:r w:rsidR="00820B22">
        <w:t xml:space="preserve"> associated</w:t>
      </w:r>
      <w:r>
        <w:t xml:space="preserve"> rationale, and </w:t>
      </w:r>
      <w:r w:rsidR="00820B22">
        <w:t xml:space="preserve">relevant evaluation </w:t>
      </w:r>
      <w:r>
        <w:t>findings for the Measure, PEPA Aged Care, and PACOP.</w:t>
      </w:r>
    </w:p>
    <w:p w14:paraId="45A306B2" w14:textId="77777777" w:rsidR="005D32E4" w:rsidRDefault="005D32E4" w:rsidP="00AD4C35">
      <w:pPr>
        <w:sectPr w:rsidR="005D32E4" w:rsidSect="009F5F46">
          <w:type w:val="continuous"/>
          <w:pgSz w:w="16838" w:h="11906" w:orient="landscape" w:code="9"/>
          <w:pgMar w:top="851" w:right="851" w:bottom="851" w:left="851" w:header="709" w:footer="567" w:gutter="0"/>
          <w:cols w:num="2" w:space="709"/>
          <w:docGrid w:linePitch="360"/>
        </w:sectPr>
      </w:pPr>
    </w:p>
    <w:p w14:paraId="0B89FA4B" w14:textId="7E208B53" w:rsidR="00CC5C71" w:rsidRDefault="00CC5C71" w:rsidP="00CC5C71">
      <w:pPr>
        <w:pStyle w:val="Caption"/>
      </w:pPr>
      <w:bookmarkStart w:id="135" w:name="_Ref218686820"/>
      <w:r>
        <w:t xml:space="preserve">Table </w:t>
      </w:r>
      <w:fldSimple w:instr=" STYLEREF 1 \s ">
        <w:r w:rsidR="0091457A">
          <w:rPr>
            <w:noProof/>
          </w:rPr>
          <w:t>8</w:t>
        </w:r>
      </w:fldSimple>
      <w:r w:rsidR="0091457A">
        <w:t>.</w:t>
      </w:r>
      <w:fldSimple w:instr=" SEQ Table \* ARABIC \s 1 ">
        <w:r w:rsidR="0091457A">
          <w:rPr>
            <w:noProof/>
          </w:rPr>
          <w:t>1</w:t>
        </w:r>
      </w:fldSimple>
      <w:bookmarkEnd w:id="135"/>
      <w:r>
        <w:t xml:space="preserve">: </w:t>
      </w:r>
      <w:r w:rsidR="00820B22">
        <w:t>Opportunities for consideration</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future improvement opportunities"/>
        <w:tblDescription w:val="Table outlines eight opportunities for future development of the Measure, PEPA Aged Care and PACOP."/>
      </w:tblPr>
      <w:tblGrid>
        <w:gridCol w:w="4109"/>
        <w:gridCol w:w="3542"/>
        <w:gridCol w:w="7475"/>
      </w:tblGrid>
      <w:tr w:rsidR="005D32E4" w14:paraId="0B603056" w14:textId="77777777" w:rsidTr="00F00620">
        <w:trPr>
          <w:cnfStyle w:val="100000000000" w:firstRow="1" w:lastRow="0" w:firstColumn="0" w:lastColumn="0" w:oddVBand="0" w:evenVBand="0" w:oddHBand="0" w:evenHBand="0" w:firstRowFirstColumn="0" w:firstRowLastColumn="0" w:lastRowFirstColumn="0" w:lastRowLastColumn="0"/>
          <w:tblHeader/>
        </w:trPr>
        <w:tc>
          <w:tcPr>
            <w:tcW w:w="4111" w:type="dxa"/>
          </w:tcPr>
          <w:p w14:paraId="6D7C4CEC" w14:textId="418DFABE" w:rsidR="005D32E4" w:rsidRDefault="00820B22" w:rsidP="005D32E4">
            <w:pPr>
              <w:spacing w:before="0" w:after="0"/>
            </w:pPr>
            <w:r>
              <w:t>Opportunities</w:t>
            </w:r>
          </w:p>
        </w:tc>
        <w:tc>
          <w:tcPr>
            <w:tcW w:w="3544" w:type="dxa"/>
          </w:tcPr>
          <w:p w14:paraId="549FED7F" w14:textId="543071A2" w:rsidR="005D32E4" w:rsidRDefault="00546DBC" w:rsidP="005D32E4">
            <w:pPr>
              <w:spacing w:before="0" w:after="0"/>
            </w:pPr>
            <w:r>
              <w:t>Rationale</w:t>
            </w:r>
          </w:p>
        </w:tc>
        <w:tc>
          <w:tcPr>
            <w:tcW w:w="7481" w:type="dxa"/>
          </w:tcPr>
          <w:p w14:paraId="16671368" w14:textId="2F6DD222" w:rsidR="005D32E4" w:rsidRDefault="00546DBC" w:rsidP="005D32E4">
            <w:pPr>
              <w:spacing w:before="0" w:after="0"/>
            </w:pPr>
            <w:r>
              <w:t>Associated findings</w:t>
            </w:r>
          </w:p>
        </w:tc>
      </w:tr>
      <w:tr w:rsidR="005D32E4" w:rsidRPr="00546DBC" w14:paraId="7D2719F3" w14:textId="77777777" w:rsidTr="00F00620">
        <w:tc>
          <w:tcPr>
            <w:tcW w:w="4111" w:type="dxa"/>
            <w:shd w:val="clear" w:color="auto" w:fill="DDF2EC" w:themeFill="background2" w:themeFillTint="33"/>
          </w:tcPr>
          <w:p w14:paraId="042B0586" w14:textId="1A070BAC" w:rsidR="005D32E4" w:rsidRPr="00546DBC" w:rsidRDefault="00546DBC" w:rsidP="005D32E4">
            <w:pPr>
              <w:spacing w:before="0" w:after="0"/>
              <w:rPr>
                <w:rFonts w:asciiTheme="majorHAnsi" w:hAnsiTheme="majorHAnsi"/>
              </w:rPr>
            </w:pPr>
            <w:r>
              <w:rPr>
                <w:rFonts w:asciiTheme="majorHAnsi" w:hAnsiTheme="majorHAnsi"/>
              </w:rPr>
              <w:t>The Measure</w:t>
            </w:r>
          </w:p>
        </w:tc>
        <w:tc>
          <w:tcPr>
            <w:tcW w:w="3544" w:type="dxa"/>
            <w:shd w:val="clear" w:color="auto" w:fill="DDF2EC" w:themeFill="background2" w:themeFillTint="33"/>
          </w:tcPr>
          <w:p w14:paraId="017F9497" w14:textId="3F4BD56D" w:rsidR="005D32E4" w:rsidRPr="00546DBC" w:rsidRDefault="00F00620" w:rsidP="005D32E4">
            <w:pPr>
              <w:spacing w:before="0" w:after="0"/>
              <w:rPr>
                <w:rFonts w:asciiTheme="majorHAnsi" w:hAnsiTheme="majorHAnsi"/>
              </w:rPr>
            </w:pPr>
            <w:r>
              <w:rPr>
                <w:rFonts w:asciiTheme="majorHAnsi" w:hAnsiTheme="majorHAnsi"/>
              </w:rPr>
              <w:t>The Measure</w:t>
            </w:r>
          </w:p>
        </w:tc>
        <w:tc>
          <w:tcPr>
            <w:tcW w:w="7481" w:type="dxa"/>
            <w:shd w:val="clear" w:color="auto" w:fill="DDF2EC" w:themeFill="background2" w:themeFillTint="33"/>
          </w:tcPr>
          <w:p w14:paraId="16740D18" w14:textId="75A4E8B3" w:rsidR="005D32E4" w:rsidRPr="00546DBC" w:rsidRDefault="00F00620" w:rsidP="005D32E4">
            <w:pPr>
              <w:spacing w:before="0" w:after="0"/>
              <w:rPr>
                <w:rFonts w:asciiTheme="majorHAnsi" w:hAnsiTheme="majorHAnsi"/>
              </w:rPr>
            </w:pPr>
            <w:r>
              <w:rPr>
                <w:rFonts w:asciiTheme="majorHAnsi" w:hAnsiTheme="majorHAnsi"/>
              </w:rPr>
              <w:t>The Measure</w:t>
            </w:r>
          </w:p>
        </w:tc>
      </w:tr>
      <w:tr w:rsidR="005D32E4" w14:paraId="7B3B69B0" w14:textId="77777777" w:rsidTr="00F00620">
        <w:tc>
          <w:tcPr>
            <w:tcW w:w="4111" w:type="dxa"/>
          </w:tcPr>
          <w:p w14:paraId="601B6883" w14:textId="042E3D00" w:rsidR="005D32E4" w:rsidRDefault="00F02642" w:rsidP="00D36456">
            <w:pPr>
              <w:pStyle w:val="TableList"/>
              <w:numPr>
                <w:ilvl w:val="0"/>
                <w:numId w:val="35"/>
              </w:numPr>
            </w:pPr>
            <w:r>
              <w:t>If t</w:t>
            </w:r>
            <w:r w:rsidR="00407202">
              <w:t xml:space="preserve">he Australian Government </w:t>
            </w:r>
            <w:r>
              <w:t xml:space="preserve">were to consider a future </w:t>
            </w:r>
            <w:r w:rsidR="003738A0">
              <w:t xml:space="preserve">extension of the Measure, there </w:t>
            </w:r>
            <w:r w:rsidR="00645F1D">
              <w:t>is</w:t>
            </w:r>
            <w:r w:rsidR="003738A0">
              <w:t xml:space="preserve"> an opportunity to </w:t>
            </w:r>
            <w:r w:rsidR="00D71F9B">
              <w:t>continue its</w:t>
            </w:r>
            <w:r w:rsidR="00015E92">
              <w:t xml:space="preserve"> </w:t>
            </w:r>
            <w:r w:rsidR="00C60A4D">
              <w:t>focus on</w:t>
            </w:r>
            <w:r w:rsidR="00015E92">
              <w:t xml:space="preserve"> </w:t>
            </w:r>
            <w:r w:rsidR="00645F1D">
              <w:t xml:space="preserve">strengthening </w:t>
            </w:r>
            <w:r w:rsidR="00015E92">
              <w:t xml:space="preserve">workforce training and </w:t>
            </w:r>
            <w:r w:rsidR="00603E2B">
              <w:t xml:space="preserve">organisational </w:t>
            </w:r>
            <w:r w:rsidR="003E0882">
              <w:t xml:space="preserve">capability </w:t>
            </w:r>
            <w:r w:rsidR="00F4115D">
              <w:t>across the aged care sector</w:t>
            </w:r>
            <w:r w:rsidR="00927F4D">
              <w:t>,</w:t>
            </w:r>
            <w:r w:rsidR="003E0882">
              <w:t xml:space="preserve"> </w:t>
            </w:r>
            <w:r w:rsidR="00C60A4D">
              <w:t>while</w:t>
            </w:r>
            <w:r w:rsidR="00F72987">
              <w:t xml:space="preserve"> addressing identified gaps in</w:t>
            </w:r>
            <w:r w:rsidR="00C60A4D">
              <w:t xml:space="preserve"> </w:t>
            </w:r>
            <w:r w:rsidR="00603E2B">
              <w:t xml:space="preserve">engagement with </w:t>
            </w:r>
            <w:r w:rsidR="001E274F">
              <w:t xml:space="preserve">home and community aged care services and the in-reach </w:t>
            </w:r>
            <w:r w:rsidR="001E274F">
              <w:lastRenderedPageBreak/>
              <w:t>workforce</w:t>
            </w:r>
            <w:r w:rsidR="0048399A">
              <w:t xml:space="preserve">, </w:t>
            </w:r>
            <w:r w:rsidR="001E274F">
              <w:t xml:space="preserve">including </w:t>
            </w:r>
            <w:r w:rsidR="004A3A83">
              <w:t>primary care</w:t>
            </w:r>
            <w:r w:rsidR="001E274F">
              <w:t xml:space="preserve"> and allied health</w:t>
            </w:r>
            <w:r w:rsidR="004A3A83">
              <w:t xml:space="preserve"> professionals</w:t>
            </w:r>
            <w:r w:rsidR="001E274F">
              <w:t>.</w:t>
            </w:r>
          </w:p>
        </w:tc>
        <w:tc>
          <w:tcPr>
            <w:tcW w:w="3544" w:type="dxa"/>
          </w:tcPr>
          <w:p w14:paraId="4B58AA22" w14:textId="090095C9" w:rsidR="00F4115D" w:rsidRDefault="007E57FD" w:rsidP="00C45985">
            <w:pPr>
              <w:spacing w:before="0"/>
            </w:pPr>
            <w:r>
              <w:lastRenderedPageBreak/>
              <w:t>Evidence from the evaluation</w:t>
            </w:r>
            <w:r w:rsidR="000769BB">
              <w:t xml:space="preserve"> indicate</w:t>
            </w:r>
            <w:r w:rsidR="0066603B">
              <w:t>d</w:t>
            </w:r>
            <w:r w:rsidR="000769BB">
              <w:t xml:space="preserve"> that palliative care </w:t>
            </w:r>
            <w:r w:rsidR="00C36BC3">
              <w:t xml:space="preserve">workforce </w:t>
            </w:r>
            <w:r w:rsidR="00075A92">
              <w:t xml:space="preserve">training </w:t>
            </w:r>
            <w:r w:rsidR="00C36BC3">
              <w:t xml:space="preserve">and organisational </w:t>
            </w:r>
            <w:r w:rsidR="007829FC">
              <w:t>capability</w:t>
            </w:r>
            <w:r w:rsidR="00075A92">
              <w:t>-building remain</w:t>
            </w:r>
            <w:r w:rsidR="0066603B">
              <w:t>ed</w:t>
            </w:r>
            <w:r w:rsidR="00075A92">
              <w:t xml:space="preserve"> ongoing needs across the aged care sector, driven by workforce pressures, increasing care complexity</w:t>
            </w:r>
            <w:r w:rsidR="00605FE6">
              <w:t xml:space="preserve">, </w:t>
            </w:r>
            <w:r w:rsidR="000B1779">
              <w:t xml:space="preserve">and </w:t>
            </w:r>
            <w:r w:rsidR="00605FE6">
              <w:t>heightened community expectations</w:t>
            </w:r>
            <w:r w:rsidR="00BE4810">
              <w:t>.</w:t>
            </w:r>
            <w:r w:rsidR="00F6177D">
              <w:t xml:space="preserve"> </w:t>
            </w:r>
          </w:p>
          <w:p w14:paraId="16855B1C" w14:textId="28E6620F" w:rsidR="005D32E4" w:rsidRDefault="00F6177D" w:rsidP="00C45985">
            <w:pPr>
              <w:spacing w:before="0"/>
            </w:pPr>
            <w:r>
              <w:lastRenderedPageBreak/>
              <w:t xml:space="preserve">While the Measure was consistently viewed as relevant and timely, findings suggest its impact </w:t>
            </w:r>
            <w:r w:rsidR="000B1779">
              <w:t>was</w:t>
            </w:r>
            <w:r>
              <w:t xml:space="preserve"> strongest in residential aged care settings, with more limited uptake and perceived relevance within </w:t>
            </w:r>
            <w:r w:rsidR="00D3789C">
              <w:t xml:space="preserve">home and community aged care </w:t>
            </w:r>
            <w:r w:rsidR="00256A4D">
              <w:t>and primary care. Strengthening engagement with these</w:t>
            </w:r>
            <w:r w:rsidR="002D69FC">
              <w:t xml:space="preserve"> sectors could support</w:t>
            </w:r>
            <w:r w:rsidR="0097592D">
              <w:t xml:space="preserve"> more integrated, </w:t>
            </w:r>
            <w:r w:rsidR="002D69FC">
              <w:t>multidisciplinary models of palliative</w:t>
            </w:r>
            <w:r w:rsidR="0097592D">
              <w:t xml:space="preserve"> care and improve outcomes for older Australians. </w:t>
            </w:r>
          </w:p>
        </w:tc>
        <w:tc>
          <w:tcPr>
            <w:tcW w:w="7481" w:type="dxa"/>
          </w:tcPr>
          <w:p w14:paraId="0360E333" w14:textId="4DD28DA1" w:rsidR="00FA49EF" w:rsidRDefault="00A32097" w:rsidP="00AA073E">
            <w:pPr>
              <w:spacing w:before="0"/>
            </w:pPr>
            <w:r>
              <w:lastRenderedPageBreak/>
              <w:t xml:space="preserve">Finding 1. </w:t>
            </w:r>
            <w:r w:rsidR="00295809">
              <w:t>Evaluation evidence suggests that t</w:t>
            </w:r>
            <w:r w:rsidR="001E73C1">
              <w:t>he Measure remain</w:t>
            </w:r>
            <w:r w:rsidR="00E22DA0">
              <w:t>ed</w:t>
            </w:r>
            <w:r w:rsidR="001E73C1">
              <w:t xml:space="preserve"> an appropriate and timely response to the needs of the aged care sector, addressing critical gaps in workforce and organisational capability. While </w:t>
            </w:r>
            <w:r w:rsidR="00295809">
              <w:t xml:space="preserve">stakeholders considered </w:t>
            </w:r>
            <w:r w:rsidR="001E73C1">
              <w:t xml:space="preserve">the Measure </w:t>
            </w:r>
            <w:r w:rsidR="00295809">
              <w:t>to be</w:t>
            </w:r>
            <w:r w:rsidR="001E73C1">
              <w:t xml:space="preserve"> highly relevant to residential aged care, its applicability to home and community aged care services was </w:t>
            </w:r>
            <w:r w:rsidR="0027714F">
              <w:t xml:space="preserve">perceived as </w:t>
            </w:r>
            <w:r w:rsidR="001E73C1">
              <w:t>less clear, given the design focus of PACOP and PEPA Aged Care. Similarly, its perceived relevance to the primary care sector was limited, with available data suggesting minimal engagement among primary care professionals. T</w:t>
            </w:r>
            <w:r w:rsidR="0027714F">
              <w:t>hese findings suggest that t</w:t>
            </w:r>
            <w:r w:rsidR="001E73C1">
              <w:t xml:space="preserve">argeted strategies to increase involvement </w:t>
            </w:r>
            <w:r w:rsidR="001E73C1">
              <w:lastRenderedPageBreak/>
              <w:t>across both home care and primary care could strengthen team-based palliative care and amplify the Measure’s impact</w:t>
            </w:r>
            <w:r w:rsidR="004A1DF6">
              <w:t>.</w:t>
            </w:r>
          </w:p>
          <w:p w14:paraId="3E9125CC" w14:textId="21904A08" w:rsidR="00A32097" w:rsidRDefault="00A32097" w:rsidP="00AA073E">
            <w:pPr>
              <w:spacing w:before="0"/>
            </w:pPr>
            <w:r>
              <w:t xml:space="preserve">Finding 2. </w:t>
            </w:r>
            <w:r w:rsidR="004A1DF6">
              <w:t xml:space="preserve">There </w:t>
            </w:r>
            <w:r w:rsidR="00E22DA0">
              <w:t xml:space="preserve">was </w:t>
            </w:r>
            <w:r w:rsidR="004A1DF6">
              <w:t xml:space="preserve">a strong and ongoing </w:t>
            </w:r>
            <w:r w:rsidR="00E22DA0">
              <w:t xml:space="preserve">perceived </w:t>
            </w:r>
            <w:r w:rsidR="004A1DF6">
              <w:t>need for palliative care education, training, and quality improvement in aged care, driven by systemic, workforce, and community factors.</w:t>
            </w:r>
          </w:p>
          <w:p w14:paraId="1504FBC5" w14:textId="262D5206" w:rsidR="005D32E4" w:rsidRDefault="004A1DF6" w:rsidP="005D32E4">
            <w:pPr>
              <w:spacing w:before="0" w:after="0"/>
            </w:pPr>
            <w:r>
              <w:t xml:space="preserve">Finding </w:t>
            </w:r>
            <w:r w:rsidR="004B4FB7">
              <w:t>7</w:t>
            </w:r>
            <w:r>
              <w:t xml:space="preserve">. </w:t>
            </w:r>
            <w:r w:rsidR="00524F33">
              <w:t>Identified gaps in palliative care training and support included targeted education for GPs, targeted support for home and community aged care services, and structured education for families and carers.</w:t>
            </w:r>
          </w:p>
        </w:tc>
      </w:tr>
      <w:tr w:rsidR="00792C54" w:rsidRPr="00546DBC" w14:paraId="443F9057" w14:textId="77777777" w:rsidTr="00F00620">
        <w:tc>
          <w:tcPr>
            <w:tcW w:w="4111" w:type="dxa"/>
            <w:shd w:val="clear" w:color="auto" w:fill="auto"/>
          </w:tcPr>
          <w:p w14:paraId="1EF55C21" w14:textId="3DAE5A6C" w:rsidR="00792C54" w:rsidRDefault="00C15225" w:rsidP="00792C54">
            <w:pPr>
              <w:pStyle w:val="TableList"/>
            </w:pPr>
            <w:r>
              <w:lastRenderedPageBreak/>
              <w:t xml:space="preserve">If </w:t>
            </w:r>
            <w:r w:rsidR="00B05322">
              <w:t>the Australian G</w:t>
            </w:r>
            <w:r>
              <w:t xml:space="preserve">overnment were to consider future iterations of </w:t>
            </w:r>
            <w:r w:rsidR="00DE1FA5">
              <w:t>the Measure</w:t>
            </w:r>
            <w:r>
              <w:t xml:space="preserve">, there </w:t>
            </w:r>
            <w:r w:rsidR="00F336CC">
              <w:t xml:space="preserve">is an opportunity to strengthen governance arrangements to more explicitly support </w:t>
            </w:r>
            <w:r w:rsidR="00A23F35">
              <w:t xml:space="preserve">active </w:t>
            </w:r>
            <w:r w:rsidR="00C03514">
              <w:t xml:space="preserve">engagement and </w:t>
            </w:r>
            <w:r w:rsidR="00A23F35">
              <w:t xml:space="preserve">collaboration between funded programs, with the aim of </w:t>
            </w:r>
            <w:r w:rsidR="003E4E5C">
              <w:t>leverag</w:t>
            </w:r>
            <w:r w:rsidR="00A23F35">
              <w:t>ing</w:t>
            </w:r>
            <w:r w:rsidR="003E4E5C">
              <w:t xml:space="preserve"> synergies and </w:t>
            </w:r>
            <w:r w:rsidR="00A23F35">
              <w:t xml:space="preserve">maximising </w:t>
            </w:r>
            <w:r w:rsidR="003E4E5C">
              <w:t>impact.</w:t>
            </w:r>
          </w:p>
        </w:tc>
        <w:tc>
          <w:tcPr>
            <w:tcW w:w="3544" w:type="dxa"/>
            <w:shd w:val="clear" w:color="auto" w:fill="auto"/>
          </w:tcPr>
          <w:p w14:paraId="45DC12D0" w14:textId="148BD4AF" w:rsidR="00792C54" w:rsidRPr="00546DBC" w:rsidRDefault="00616C1A" w:rsidP="00616C1A">
            <w:pPr>
              <w:pStyle w:val="TableText"/>
            </w:pPr>
            <w:r>
              <w:t>Stakeholders</w:t>
            </w:r>
            <w:r w:rsidR="005054F5">
              <w:t xml:space="preserve"> </w:t>
            </w:r>
            <w:r w:rsidR="002125A9">
              <w:t xml:space="preserve">identified </w:t>
            </w:r>
            <w:r w:rsidR="005054F5">
              <w:t>opportunities for stronger collaboration and integration between funded programs</w:t>
            </w:r>
            <w:r w:rsidR="002125A9">
              <w:t xml:space="preserve"> to better align activities and maximise collective impact</w:t>
            </w:r>
            <w:r w:rsidR="005054F5">
              <w:t xml:space="preserve">. </w:t>
            </w:r>
            <w:r w:rsidR="003B01DB">
              <w:t xml:space="preserve">Embedding </w:t>
            </w:r>
            <w:r w:rsidR="005D5ECF">
              <w:t xml:space="preserve">expectations for </w:t>
            </w:r>
            <w:r w:rsidR="003B01DB">
              <w:t xml:space="preserve">collaboration </w:t>
            </w:r>
            <w:r w:rsidR="005D5ECF">
              <w:t>within</w:t>
            </w:r>
            <w:r w:rsidR="003B01DB">
              <w:t xml:space="preserve"> governance</w:t>
            </w:r>
            <w:r w:rsidR="005D5ECF">
              <w:t xml:space="preserve"> and reporting processes</w:t>
            </w:r>
            <w:r w:rsidR="00E74670">
              <w:t>,</w:t>
            </w:r>
            <w:r w:rsidR="005D5ECF">
              <w:t xml:space="preserve"> rather than relying on discretionary or informal mechanisms</w:t>
            </w:r>
            <w:r w:rsidR="00E74670">
              <w:t>,</w:t>
            </w:r>
            <w:r w:rsidR="005D5ECF">
              <w:t xml:space="preserve"> </w:t>
            </w:r>
            <w:r w:rsidR="005E7B61">
              <w:t>could support more consistent engagement between programs and</w:t>
            </w:r>
            <w:r w:rsidR="004474A2">
              <w:t xml:space="preserve"> strengthen alignment of activities</w:t>
            </w:r>
            <w:r w:rsidR="002E2C10">
              <w:t>.</w:t>
            </w:r>
          </w:p>
        </w:tc>
        <w:tc>
          <w:tcPr>
            <w:tcW w:w="7481" w:type="dxa"/>
            <w:shd w:val="clear" w:color="auto" w:fill="auto"/>
          </w:tcPr>
          <w:p w14:paraId="26CA9194" w14:textId="1BBA0458" w:rsidR="00792C54" w:rsidRPr="00382928" w:rsidRDefault="00382928" w:rsidP="00382928">
            <w:pPr>
              <w:pStyle w:val="TableText"/>
            </w:pPr>
            <w:r w:rsidRPr="00382928">
              <w:t xml:space="preserve">Finding 4. </w:t>
            </w:r>
            <w:r w:rsidR="00AD1B7B">
              <w:t>PEPA Aged Care and PACOP were conceptually distinct, and QUT and the University of Wollongong</w:t>
            </w:r>
            <w:r w:rsidR="00AD1B7B" w:rsidRPr="00F623F9">
              <w:t xml:space="preserve"> </w:t>
            </w:r>
            <w:r w:rsidR="00AD1B7B">
              <w:t xml:space="preserve">made concerted efforts to </w:t>
            </w:r>
            <w:r w:rsidR="00AD1B7B" w:rsidRPr="00F623F9">
              <w:t>mitigate duplication of activities</w:t>
            </w:r>
            <w:r w:rsidR="00AD1B7B">
              <w:t xml:space="preserve">. However, there are opportunities to </w:t>
            </w:r>
            <w:r w:rsidR="00AD1B7B" w:rsidRPr="00F623F9">
              <w:t xml:space="preserve">strengthen </w:t>
            </w:r>
            <w:r w:rsidR="00AD1B7B">
              <w:t xml:space="preserve">strategic collaboration and </w:t>
            </w:r>
            <w:r w:rsidR="00AD1B7B" w:rsidRPr="00F623F9">
              <w:t>synerg</w:t>
            </w:r>
            <w:r w:rsidR="00AD1B7B">
              <w:t>ies</w:t>
            </w:r>
            <w:r w:rsidR="00AD1B7B" w:rsidRPr="00F623F9">
              <w:t xml:space="preserve"> between the</w:t>
            </w:r>
            <w:r w:rsidR="00AD1B7B">
              <w:t xml:space="preserve"> programs</w:t>
            </w:r>
            <w:r w:rsidRPr="00382928">
              <w:t>.</w:t>
            </w:r>
          </w:p>
        </w:tc>
      </w:tr>
      <w:tr w:rsidR="004B4FB7" w:rsidRPr="00546DBC" w14:paraId="5B56EDDB" w14:textId="77777777" w:rsidTr="00F00620">
        <w:tc>
          <w:tcPr>
            <w:tcW w:w="4111" w:type="dxa"/>
            <w:shd w:val="clear" w:color="auto" w:fill="auto"/>
          </w:tcPr>
          <w:p w14:paraId="6D4E2591" w14:textId="1C579C1A" w:rsidR="004B4FB7" w:rsidRDefault="00F7104E" w:rsidP="00792C54">
            <w:pPr>
              <w:pStyle w:val="TableList"/>
            </w:pPr>
            <w:r>
              <w:t>The</w:t>
            </w:r>
            <w:r w:rsidR="005A7BAD">
              <w:t xml:space="preserve">re is an opportunity </w:t>
            </w:r>
            <w:r w:rsidR="00DF554B">
              <w:t>to strengt</w:t>
            </w:r>
            <w:r w:rsidR="009B5C20">
              <w:t>hen</w:t>
            </w:r>
            <w:r>
              <w:t xml:space="preserve"> </w:t>
            </w:r>
            <w:r w:rsidR="003A026E">
              <w:t>strategic</w:t>
            </w:r>
            <w:r w:rsidR="00510976">
              <w:t xml:space="preserve"> </w:t>
            </w:r>
            <w:r>
              <w:t xml:space="preserve">coordination </w:t>
            </w:r>
            <w:r w:rsidR="00427ABC">
              <w:t>between</w:t>
            </w:r>
            <w:r w:rsidR="00316913">
              <w:t xml:space="preserve"> all</w:t>
            </w:r>
            <w:r w:rsidR="00427ABC">
              <w:t xml:space="preserve"> palliative care initiatives targeting aged care, </w:t>
            </w:r>
            <w:r w:rsidR="008016FB">
              <w:t>alongside more</w:t>
            </w:r>
            <w:r>
              <w:t xml:space="preserve"> </w:t>
            </w:r>
            <w:r w:rsidR="0078786E">
              <w:t>consolidated</w:t>
            </w:r>
            <w:r w:rsidR="008016FB">
              <w:t xml:space="preserve"> and coherent</w:t>
            </w:r>
            <w:r w:rsidR="0078786E">
              <w:t xml:space="preserve"> </w:t>
            </w:r>
            <w:r>
              <w:t xml:space="preserve">communication </w:t>
            </w:r>
            <w:r w:rsidR="009B5C20">
              <w:t xml:space="preserve">to </w:t>
            </w:r>
            <w:r w:rsidR="00316913">
              <w:t xml:space="preserve">aged care </w:t>
            </w:r>
            <w:r w:rsidR="007713C6">
              <w:t>providers</w:t>
            </w:r>
            <w:r w:rsidR="009B5C20">
              <w:t xml:space="preserve"> </w:t>
            </w:r>
            <w:r>
              <w:t xml:space="preserve">about </w:t>
            </w:r>
            <w:r w:rsidR="0078786E">
              <w:t>relevant</w:t>
            </w:r>
            <w:r>
              <w:t xml:space="preserve"> initiatives.</w:t>
            </w:r>
          </w:p>
        </w:tc>
        <w:tc>
          <w:tcPr>
            <w:tcW w:w="3544" w:type="dxa"/>
            <w:shd w:val="clear" w:color="auto" w:fill="auto"/>
          </w:tcPr>
          <w:p w14:paraId="0C358AC1" w14:textId="3F23851F" w:rsidR="00714BF5" w:rsidRDefault="006971A3" w:rsidP="0031258E">
            <w:pPr>
              <w:pStyle w:val="TableText"/>
              <w:spacing w:after="120"/>
              <w:contextualSpacing w:val="0"/>
            </w:pPr>
            <w:r>
              <w:t>Stronger program linkages</w:t>
            </w:r>
            <w:r w:rsidR="00316913">
              <w:t xml:space="preserve"> between </w:t>
            </w:r>
            <w:r w:rsidR="0006179B">
              <w:t>palliative</w:t>
            </w:r>
            <w:r w:rsidR="00316913">
              <w:t xml:space="preserve"> care initiatives targeting aged care</w:t>
            </w:r>
            <w:r w:rsidR="001F38D6">
              <w:t>, such as through shared messaging</w:t>
            </w:r>
            <w:r w:rsidR="007B679B">
              <w:t>, clearer articulation of respective program roles, or more</w:t>
            </w:r>
            <w:r w:rsidR="00DC185D">
              <w:t xml:space="preserve"> explicit</w:t>
            </w:r>
            <w:r w:rsidR="0043081C">
              <w:t xml:space="preserve"> </w:t>
            </w:r>
            <w:r w:rsidR="00DC185D">
              <w:t xml:space="preserve">sequencing </w:t>
            </w:r>
            <w:r w:rsidR="0043081C">
              <w:t xml:space="preserve">of participation </w:t>
            </w:r>
            <w:r w:rsidR="00DC185D">
              <w:t>between</w:t>
            </w:r>
            <w:r w:rsidR="0043081C">
              <w:t xml:space="preserve"> initiatives,</w:t>
            </w:r>
            <w:r>
              <w:t xml:space="preserve"> could </w:t>
            </w:r>
            <w:r w:rsidR="00500171">
              <w:t>support a more coherent palliative care offer</w:t>
            </w:r>
            <w:r w:rsidR="00CA15DE">
              <w:t>ing</w:t>
            </w:r>
            <w:r w:rsidR="00E057C4">
              <w:t xml:space="preserve"> to the aged care sector</w:t>
            </w:r>
            <w:r w:rsidR="00500171">
              <w:t>, improve</w:t>
            </w:r>
            <w:r w:rsidR="00E057C4">
              <w:t xml:space="preserve"> </w:t>
            </w:r>
            <w:r w:rsidR="00E057C4">
              <w:lastRenderedPageBreak/>
              <w:t>engagement, and maximise collecti</w:t>
            </w:r>
            <w:r w:rsidR="00335B69">
              <w:t>ve</w:t>
            </w:r>
            <w:r w:rsidR="00E057C4">
              <w:t xml:space="preserve"> impact</w:t>
            </w:r>
            <w:r w:rsidR="00866E83">
              <w:t>.</w:t>
            </w:r>
            <w:r>
              <w:t xml:space="preserve"> </w:t>
            </w:r>
          </w:p>
          <w:p w14:paraId="6A04220F" w14:textId="28150612" w:rsidR="004B4FB7" w:rsidRDefault="0006179B" w:rsidP="0031258E">
            <w:pPr>
              <w:pStyle w:val="TableText"/>
              <w:contextualSpacing w:val="0"/>
            </w:pPr>
            <w:r>
              <w:t>Evaluation f</w:t>
            </w:r>
            <w:r w:rsidR="00E057C4">
              <w:t>indings also</w:t>
            </w:r>
            <w:r w:rsidR="007415B8">
              <w:t xml:space="preserve"> </w:t>
            </w:r>
            <w:r w:rsidR="00A9237B">
              <w:t xml:space="preserve">indicated that fragmented communication about palliative care initiatives made it difficult for </w:t>
            </w:r>
            <w:r w:rsidR="00732AF8">
              <w:t xml:space="preserve">aged care </w:t>
            </w:r>
            <w:r w:rsidR="00A9237B">
              <w:t xml:space="preserve">providers to understand where to engage, how programs differed, </w:t>
            </w:r>
            <w:r w:rsidR="00FE66D2">
              <w:t xml:space="preserve">and how participation in one initiative related to participation in </w:t>
            </w:r>
            <w:r w:rsidR="00A9237B">
              <w:t xml:space="preserve">others. </w:t>
            </w:r>
            <w:r w:rsidR="00167A3C">
              <w:t>P</w:t>
            </w:r>
            <w:r w:rsidR="00343663">
              <w:t xml:space="preserve">erceived overlap between PACOP and ELDAC </w:t>
            </w:r>
            <w:r w:rsidR="00167A3C">
              <w:t>also reportedly</w:t>
            </w:r>
            <w:r w:rsidR="00343663">
              <w:t xml:space="preserve"> contributed to sector confusion. </w:t>
            </w:r>
            <w:r w:rsidR="0065196F">
              <w:t xml:space="preserve">More coordinated and consolidated </w:t>
            </w:r>
            <w:r w:rsidR="0031258E">
              <w:t>communication across palliative care initiatives targeting aged care could therefore improve provider understanding, reduce perceptions of overlap, and support more informed participation decisions. In turn, this could improve engagement and uptake across the sector</w:t>
            </w:r>
            <w:r w:rsidR="00E857DE">
              <w:t xml:space="preserve">. </w:t>
            </w:r>
          </w:p>
        </w:tc>
        <w:tc>
          <w:tcPr>
            <w:tcW w:w="7481" w:type="dxa"/>
            <w:shd w:val="clear" w:color="auto" w:fill="auto"/>
          </w:tcPr>
          <w:p w14:paraId="420345D3" w14:textId="77777777" w:rsidR="002D013B" w:rsidRDefault="002D013B" w:rsidP="002D013B">
            <w:pPr>
              <w:spacing w:before="0"/>
            </w:pPr>
            <w:r w:rsidRPr="00382928">
              <w:lastRenderedPageBreak/>
              <w:t xml:space="preserve">Finding 4. </w:t>
            </w:r>
            <w:r>
              <w:t>PEPA Aged Care and PACOP were conceptually distinct, and QUT and the University of Wollongong</w:t>
            </w:r>
            <w:r w:rsidRPr="00F623F9">
              <w:t xml:space="preserve"> </w:t>
            </w:r>
            <w:r>
              <w:t xml:space="preserve">made concerted efforts to </w:t>
            </w:r>
            <w:r w:rsidRPr="00F623F9">
              <w:t>mitigate duplication of activities</w:t>
            </w:r>
            <w:r>
              <w:t xml:space="preserve">. However, there are opportunities to </w:t>
            </w:r>
            <w:r w:rsidRPr="00F623F9">
              <w:t xml:space="preserve">strengthen </w:t>
            </w:r>
            <w:r>
              <w:t xml:space="preserve">strategic collaboration and </w:t>
            </w:r>
            <w:r w:rsidRPr="00F623F9">
              <w:t>synerg</w:t>
            </w:r>
            <w:r>
              <w:t>ies</w:t>
            </w:r>
            <w:r w:rsidRPr="00F623F9">
              <w:t xml:space="preserve"> between the</w:t>
            </w:r>
            <w:r>
              <w:t xml:space="preserve"> programs</w:t>
            </w:r>
            <w:r w:rsidRPr="00382928">
              <w:t>.</w:t>
            </w:r>
          </w:p>
          <w:p w14:paraId="14D778BC" w14:textId="77777777" w:rsidR="00BD0608" w:rsidRDefault="00BD0608" w:rsidP="00BD0608">
            <w:pPr>
              <w:spacing w:before="0"/>
            </w:pPr>
            <w:r>
              <w:t>Finding 5. There was a perception of overlap between PACOP and ELDAC due to their similar aims and system-level approaches. The</w:t>
            </w:r>
            <w:r w:rsidRPr="000E48FD">
              <w:t xml:space="preserve"> need for clearer positioning and coordinated communication to reduce </w:t>
            </w:r>
            <w:r>
              <w:t xml:space="preserve">sector </w:t>
            </w:r>
            <w:r w:rsidRPr="000E48FD">
              <w:t>confusion</w:t>
            </w:r>
            <w:r>
              <w:t xml:space="preserve"> was highlighted.</w:t>
            </w:r>
          </w:p>
          <w:p w14:paraId="3B9B995A" w14:textId="561BD687" w:rsidR="003A026E" w:rsidRPr="00382928" w:rsidRDefault="00462D33" w:rsidP="00124489">
            <w:pPr>
              <w:pStyle w:val="TableText"/>
              <w:spacing w:after="120"/>
              <w:contextualSpacing w:val="0"/>
            </w:pPr>
            <w:r>
              <w:lastRenderedPageBreak/>
              <w:t xml:space="preserve">Finding </w:t>
            </w:r>
            <w:r w:rsidR="00C63AF6">
              <w:t>6</w:t>
            </w:r>
            <w:r>
              <w:t xml:space="preserve">. </w:t>
            </w:r>
            <w:r w:rsidR="006B268A">
              <w:t>Stakeholders consistently reported that the large number of palliative care programs targeting aged care, combined with insufficient communication about their distinctions, had led to provider confusion and perceived overlap between initiatives. The need for initiatives to present clearer and more cohesive communication to the sector was highlighted. Stakeholders also saw a greater leadership role for the Australian Government in facilitating coordinated communication to the sector</w:t>
            </w:r>
            <w:r w:rsidR="00434826">
              <w:t>.</w:t>
            </w:r>
          </w:p>
        </w:tc>
      </w:tr>
      <w:tr w:rsidR="00546DBC" w:rsidRPr="00546DBC" w14:paraId="027EA665" w14:textId="77777777" w:rsidTr="00F00620">
        <w:tc>
          <w:tcPr>
            <w:tcW w:w="4111" w:type="dxa"/>
            <w:shd w:val="clear" w:color="auto" w:fill="DDF2EC" w:themeFill="background2" w:themeFillTint="33"/>
          </w:tcPr>
          <w:p w14:paraId="5C3EAABF" w14:textId="05D79539" w:rsidR="00546DBC" w:rsidRPr="00546DBC" w:rsidRDefault="00546DBC" w:rsidP="00AD1B7B">
            <w:pPr>
              <w:keepNext/>
              <w:spacing w:before="0" w:after="0"/>
              <w:rPr>
                <w:rFonts w:asciiTheme="majorHAnsi" w:hAnsiTheme="majorHAnsi"/>
              </w:rPr>
            </w:pPr>
            <w:r>
              <w:rPr>
                <w:rFonts w:asciiTheme="majorHAnsi" w:hAnsiTheme="majorHAnsi"/>
              </w:rPr>
              <w:lastRenderedPageBreak/>
              <w:t>PEPA Aged Care</w:t>
            </w:r>
          </w:p>
        </w:tc>
        <w:tc>
          <w:tcPr>
            <w:tcW w:w="3544" w:type="dxa"/>
            <w:shd w:val="clear" w:color="auto" w:fill="DDF2EC" w:themeFill="background2" w:themeFillTint="33"/>
          </w:tcPr>
          <w:p w14:paraId="6B295347" w14:textId="6471E178" w:rsidR="00546DBC" w:rsidRPr="00546DBC" w:rsidRDefault="00F00620">
            <w:pPr>
              <w:spacing w:before="0" w:after="0"/>
              <w:rPr>
                <w:rFonts w:asciiTheme="majorHAnsi" w:hAnsiTheme="majorHAnsi"/>
              </w:rPr>
            </w:pPr>
            <w:r>
              <w:rPr>
                <w:rFonts w:asciiTheme="majorHAnsi" w:hAnsiTheme="majorHAnsi"/>
              </w:rPr>
              <w:t>PEPA Aged Care</w:t>
            </w:r>
          </w:p>
        </w:tc>
        <w:tc>
          <w:tcPr>
            <w:tcW w:w="7481" w:type="dxa"/>
            <w:shd w:val="clear" w:color="auto" w:fill="DDF2EC" w:themeFill="background2" w:themeFillTint="33"/>
          </w:tcPr>
          <w:p w14:paraId="2B6CA83B" w14:textId="7FCC5FD3" w:rsidR="00546DBC" w:rsidRPr="00546DBC" w:rsidRDefault="00F00620">
            <w:pPr>
              <w:spacing w:before="0" w:after="0"/>
              <w:rPr>
                <w:rFonts w:asciiTheme="majorHAnsi" w:hAnsiTheme="majorHAnsi"/>
              </w:rPr>
            </w:pPr>
            <w:r>
              <w:rPr>
                <w:rFonts w:asciiTheme="majorHAnsi" w:hAnsiTheme="majorHAnsi"/>
              </w:rPr>
              <w:t>PEPA Aged Care</w:t>
            </w:r>
          </w:p>
        </w:tc>
      </w:tr>
      <w:tr w:rsidR="00546DBC" w14:paraId="2B7181EE" w14:textId="77777777" w:rsidTr="00F00620">
        <w:tc>
          <w:tcPr>
            <w:tcW w:w="4111" w:type="dxa"/>
          </w:tcPr>
          <w:p w14:paraId="5F8F58D6" w14:textId="022D4B79" w:rsidR="001C1590" w:rsidRDefault="00C044FC" w:rsidP="00E970D7">
            <w:pPr>
              <w:pStyle w:val="TableList"/>
            </w:pPr>
            <w:r>
              <w:t xml:space="preserve">If </w:t>
            </w:r>
            <w:r w:rsidR="00E970D7">
              <w:t xml:space="preserve">the Australian Government were to consider a future extension of </w:t>
            </w:r>
            <w:r w:rsidR="0057251C">
              <w:t>PEPA Aged Care</w:t>
            </w:r>
            <w:r w:rsidR="002150D3">
              <w:t>, there is an opportunity to strengthen the program’s scalability, reach, and sustainability, while maintaining its role in addressing foundational palliative care capability needs in the aged care workforce.</w:t>
            </w:r>
            <w:r w:rsidR="009B55DA">
              <w:t xml:space="preserve"> Potential areas for consideration </w:t>
            </w:r>
            <w:r w:rsidR="00240091">
              <w:t xml:space="preserve">in any future iteration </w:t>
            </w:r>
            <w:r w:rsidR="009B55DA">
              <w:t xml:space="preserve">include: </w:t>
            </w:r>
            <w:r w:rsidR="0057251C">
              <w:t xml:space="preserve"> </w:t>
            </w:r>
          </w:p>
          <w:p w14:paraId="601073F0" w14:textId="1EB50B25" w:rsidR="00F9643C" w:rsidRDefault="000E3D4E" w:rsidP="008F706C">
            <w:pPr>
              <w:pStyle w:val="TableBullets2"/>
            </w:pPr>
            <w:r>
              <w:lastRenderedPageBreak/>
              <w:t>e</w:t>
            </w:r>
            <w:r w:rsidR="00F1086F">
              <w:t>xpan</w:t>
            </w:r>
            <w:r w:rsidR="00750A06">
              <w:t>sion of</w:t>
            </w:r>
            <w:r w:rsidR="00F1086F">
              <w:t xml:space="preserve"> the </w:t>
            </w:r>
            <w:r w:rsidR="00B23212">
              <w:t xml:space="preserve">national </w:t>
            </w:r>
            <w:r w:rsidR="00F1086F">
              <w:t>nurse educator workforce</w:t>
            </w:r>
            <w:r w:rsidR="0022309D">
              <w:t xml:space="preserve"> to </w:t>
            </w:r>
            <w:r w:rsidR="009B55DA">
              <w:t xml:space="preserve">better </w:t>
            </w:r>
            <w:r w:rsidR="0022309D">
              <w:t>meet demand</w:t>
            </w:r>
            <w:r w:rsidR="00541C6F">
              <w:t xml:space="preserve"> for reverse placements</w:t>
            </w:r>
            <w:r w:rsidR="006F7E2B">
              <w:t xml:space="preserve"> and </w:t>
            </w:r>
            <w:r w:rsidR="00EE157A">
              <w:t>support recurring</w:t>
            </w:r>
            <w:r w:rsidR="00551B1A">
              <w:t xml:space="preserve"> access to </w:t>
            </w:r>
            <w:r w:rsidR="00541C6F">
              <w:t>training opportunities</w:t>
            </w:r>
          </w:p>
          <w:p w14:paraId="5DF4625C" w14:textId="21CD5797" w:rsidR="00F1086F" w:rsidRDefault="000E3D4E" w:rsidP="008F706C">
            <w:pPr>
              <w:pStyle w:val="TableBullets2"/>
            </w:pPr>
            <w:r>
              <w:t>c</w:t>
            </w:r>
            <w:r w:rsidR="00750A06">
              <w:t>onsideration of a</w:t>
            </w:r>
            <w:r w:rsidR="00166F34">
              <w:t xml:space="preserve">lternative delivery models </w:t>
            </w:r>
            <w:r w:rsidR="00575954">
              <w:t>(</w:t>
            </w:r>
            <w:r w:rsidR="00F15F62">
              <w:t>such as</w:t>
            </w:r>
            <w:r w:rsidR="00575954">
              <w:t xml:space="preserve"> cascade or blended learning approaches) </w:t>
            </w:r>
            <w:r w:rsidR="00166F34">
              <w:t xml:space="preserve">to </w:t>
            </w:r>
            <w:r w:rsidR="00F15F62">
              <w:t xml:space="preserve">improve </w:t>
            </w:r>
            <w:r w:rsidR="00166F34">
              <w:t>scalability and sustainability</w:t>
            </w:r>
          </w:p>
          <w:p w14:paraId="6BE88450" w14:textId="7A3A5E7C" w:rsidR="0061111A" w:rsidRDefault="000E3D4E" w:rsidP="0061111A">
            <w:pPr>
              <w:pStyle w:val="TableBullets2"/>
            </w:pPr>
            <w:r>
              <w:t>a</w:t>
            </w:r>
            <w:r w:rsidR="00A96165">
              <w:t xml:space="preserve">daptation of the </w:t>
            </w:r>
            <w:r w:rsidR="00AF2A14">
              <w:t>program model and content</w:t>
            </w:r>
            <w:r w:rsidR="000C7AB3">
              <w:t xml:space="preserve"> </w:t>
            </w:r>
            <w:r w:rsidR="00A96165">
              <w:t>for home and community care services</w:t>
            </w:r>
          </w:p>
          <w:p w14:paraId="2ECA5686" w14:textId="5DA5F8EC" w:rsidR="00166F34" w:rsidRDefault="000E3D4E" w:rsidP="0061111A">
            <w:pPr>
              <w:pStyle w:val="TableBullets2"/>
            </w:pPr>
            <w:r>
              <w:t>b</w:t>
            </w:r>
            <w:r w:rsidR="006068BF">
              <w:t>roade</w:t>
            </w:r>
            <w:r w:rsidR="00F15F62">
              <w:t>r</w:t>
            </w:r>
            <w:r w:rsidR="006068BF">
              <w:t xml:space="preserve"> </w:t>
            </w:r>
            <w:r w:rsidR="0064684E">
              <w:t xml:space="preserve">and </w:t>
            </w:r>
            <w:r w:rsidR="00EF161E">
              <w:t>more</w:t>
            </w:r>
            <w:r w:rsidR="0064684E">
              <w:t xml:space="preserve"> tailored </w:t>
            </w:r>
            <w:r w:rsidR="006068BF">
              <w:t>communication strategies</w:t>
            </w:r>
            <w:r w:rsidR="00525998">
              <w:t>, supported by specialist aged care marketing expertise,</w:t>
            </w:r>
            <w:r w:rsidR="006068BF">
              <w:t xml:space="preserve"> to </w:t>
            </w:r>
            <w:r w:rsidR="0006561F">
              <w:t xml:space="preserve">enhance program visibility, surface </w:t>
            </w:r>
            <w:r w:rsidR="00963065">
              <w:t>latent demand</w:t>
            </w:r>
            <w:r w:rsidR="0006561F">
              <w:t>, and inform future scaling</w:t>
            </w:r>
          </w:p>
          <w:p w14:paraId="54DEE79E" w14:textId="3027B689" w:rsidR="001A1DD0" w:rsidRDefault="000E3D4E" w:rsidP="008F706C">
            <w:pPr>
              <w:pStyle w:val="TableBullets2"/>
            </w:pPr>
            <w:r>
              <w:t>t</w:t>
            </w:r>
            <w:r w:rsidR="000351F5">
              <w:t xml:space="preserve">argeted engagement strategies for </w:t>
            </w:r>
            <w:r w:rsidR="00CF5154">
              <w:t>underrepresented provider types (e.g. home care), workforce groups (e.g. primary care</w:t>
            </w:r>
            <w:r w:rsidR="00842FF4">
              <w:t xml:space="preserve"> professionals</w:t>
            </w:r>
            <w:r w:rsidR="00CF5154">
              <w:t xml:space="preserve">), </w:t>
            </w:r>
            <w:r w:rsidR="00D667A8">
              <w:t>and leadership and governance levels. Strategies could include tailored messaging,</w:t>
            </w:r>
            <w:r w:rsidR="0023734A">
              <w:t xml:space="preserve"> strengthened linkages</w:t>
            </w:r>
            <w:r w:rsidR="00013390">
              <w:t xml:space="preserve"> with</w:t>
            </w:r>
            <w:r w:rsidR="00DF64F9">
              <w:t xml:space="preserve"> PHNs</w:t>
            </w:r>
            <w:r w:rsidR="0023734A">
              <w:t xml:space="preserve"> and key </w:t>
            </w:r>
            <w:r w:rsidR="00313E14">
              <w:t>peak bodies</w:t>
            </w:r>
            <w:r w:rsidR="00DF64F9">
              <w:t xml:space="preserve">, </w:t>
            </w:r>
            <w:r w:rsidR="00D667A8">
              <w:t xml:space="preserve">consideration of </w:t>
            </w:r>
            <w:r w:rsidR="00313E14">
              <w:t xml:space="preserve">financial </w:t>
            </w:r>
            <w:r w:rsidR="00F91C8F">
              <w:t>assistance</w:t>
            </w:r>
            <w:r w:rsidR="00313E14">
              <w:t xml:space="preserve"> or </w:t>
            </w:r>
            <w:r w:rsidR="00D667A8">
              <w:t>incentives</w:t>
            </w:r>
            <w:r w:rsidR="00313E14">
              <w:t xml:space="preserve"> (e.g. </w:t>
            </w:r>
            <w:r w:rsidR="0038366D">
              <w:t xml:space="preserve">aligning with </w:t>
            </w:r>
            <w:r w:rsidR="00313E14">
              <w:t>professional development</w:t>
            </w:r>
            <w:r w:rsidR="0038366D">
              <w:t xml:space="preserve"> requirements</w:t>
            </w:r>
            <w:r w:rsidR="00313E14">
              <w:t>)</w:t>
            </w:r>
            <w:r w:rsidR="00D667A8">
              <w:t xml:space="preserve">, and </w:t>
            </w:r>
            <w:r w:rsidR="00B5196B">
              <w:t xml:space="preserve">the development of </w:t>
            </w:r>
            <w:r w:rsidR="00D667A8">
              <w:t>dedicated training streams</w:t>
            </w:r>
            <w:r w:rsidR="000C0380">
              <w:t>.</w:t>
            </w:r>
          </w:p>
        </w:tc>
        <w:tc>
          <w:tcPr>
            <w:tcW w:w="3544" w:type="dxa"/>
          </w:tcPr>
          <w:p w14:paraId="066878FC" w14:textId="3DBC6314" w:rsidR="00546DBC" w:rsidRDefault="002E2813" w:rsidP="006569D7">
            <w:pPr>
              <w:spacing w:before="0"/>
            </w:pPr>
            <w:r>
              <w:lastRenderedPageBreak/>
              <w:t>Evaluation evidence indicate</w:t>
            </w:r>
            <w:r w:rsidR="00593A52">
              <w:t>d</w:t>
            </w:r>
            <w:r>
              <w:t xml:space="preserve"> that </w:t>
            </w:r>
            <w:r w:rsidR="00D47675">
              <w:t xml:space="preserve">PEPA Aged Care </w:t>
            </w:r>
            <w:r w:rsidR="00593A52">
              <w:t>was</w:t>
            </w:r>
            <w:r>
              <w:t xml:space="preserve"> effective in supporting </w:t>
            </w:r>
            <w:r w:rsidR="005933D9">
              <w:t xml:space="preserve">foundational palliative care </w:t>
            </w:r>
            <w:r>
              <w:t xml:space="preserve">knowledge and </w:t>
            </w:r>
            <w:r w:rsidR="005933D9">
              <w:t>capability gaps</w:t>
            </w:r>
            <w:r w:rsidR="007463AE">
              <w:t xml:space="preserve"> in the aged care workforce, particularly </w:t>
            </w:r>
            <w:r w:rsidR="003F5D8D">
              <w:t>with</w:t>
            </w:r>
            <w:r w:rsidR="007463AE">
              <w:t>in residential aged care settings.</w:t>
            </w:r>
            <w:r w:rsidR="00007062">
              <w:t xml:space="preserve"> However, </w:t>
            </w:r>
            <w:r w:rsidR="002C45ED">
              <w:t>the</w:t>
            </w:r>
            <w:r w:rsidR="00B316AD">
              <w:t xml:space="preserve"> current</w:t>
            </w:r>
            <w:r w:rsidR="002C45ED">
              <w:t xml:space="preserve"> one-off placement model and </w:t>
            </w:r>
            <w:r w:rsidR="00B316AD">
              <w:t xml:space="preserve">limited </w:t>
            </w:r>
            <w:r w:rsidR="002C45ED">
              <w:t>nurse educator capacity</w:t>
            </w:r>
            <w:r w:rsidR="0038450B">
              <w:t xml:space="preserve"> constrain</w:t>
            </w:r>
            <w:r w:rsidR="008513A9">
              <w:t>ed</w:t>
            </w:r>
            <w:r w:rsidR="0038450B">
              <w:t xml:space="preserve"> the program’s ability to scale delivery</w:t>
            </w:r>
            <w:r w:rsidR="00844B47">
              <w:t xml:space="preserve"> and</w:t>
            </w:r>
            <w:r w:rsidR="0038450B">
              <w:t xml:space="preserve"> sustain outcomes within participating sites</w:t>
            </w:r>
            <w:r w:rsidR="004C54D0">
              <w:t xml:space="preserve">. </w:t>
            </w:r>
            <w:r w:rsidR="006569D7">
              <w:lastRenderedPageBreak/>
              <w:t>Findings also indicate</w:t>
            </w:r>
            <w:r w:rsidR="008513A9">
              <w:t>d</w:t>
            </w:r>
            <w:r w:rsidR="006569D7">
              <w:t xml:space="preserve"> that the </w:t>
            </w:r>
            <w:r w:rsidR="004C54D0" w:rsidRPr="004C54D0">
              <w:t>true scale of program demand</w:t>
            </w:r>
            <w:r w:rsidR="00E84518">
              <w:t xml:space="preserve"> </w:t>
            </w:r>
            <w:r w:rsidR="00E84445">
              <w:t>remain</w:t>
            </w:r>
            <w:r w:rsidR="008513A9">
              <w:t>ed</w:t>
            </w:r>
            <w:r w:rsidR="00E84445">
              <w:t xml:space="preserve"> unclear</w:t>
            </w:r>
            <w:r w:rsidR="001571C9">
              <w:t xml:space="preserve"> due to deliberately narrow promotional strategies</w:t>
            </w:r>
            <w:r w:rsidR="00E84518">
              <w:t xml:space="preserve">. Addressing these constraints could support </w:t>
            </w:r>
            <w:r w:rsidR="00B125F2">
              <w:t>greater uptake and improved sustainability of learning outcomes in any future iteration of the program</w:t>
            </w:r>
            <w:r w:rsidR="004C54D0" w:rsidRPr="004C54D0">
              <w:t xml:space="preserve">. </w:t>
            </w:r>
          </w:p>
        </w:tc>
        <w:tc>
          <w:tcPr>
            <w:tcW w:w="7481" w:type="dxa"/>
          </w:tcPr>
          <w:p w14:paraId="656419CF" w14:textId="368AB328" w:rsidR="00C05287" w:rsidRDefault="00C05287" w:rsidP="008F706C">
            <w:pPr>
              <w:spacing w:before="0"/>
            </w:pPr>
            <w:r>
              <w:lastRenderedPageBreak/>
              <w:t xml:space="preserve">Finding 3. The underlying concepts and objectives of PEPA Aged Care and PACOP to uplift palliative care capability across the aged care sector were widely supported. However, as discussed in the following sections, refinements </w:t>
            </w:r>
            <w:r w:rsidR="0027714F">
              <w:t xml:space="preserve">may be </w:t>
            </w:r>
            <w:r>
              <w:t xml:space="preserve">needed to address identified limitations and better </w:t>
            </w:r>
            <w:r w:rsidR="004944FE">
              <w:t xml:space="preserve">align program delivery with </w:t>
            </w:r>
            <w:r>
              <w:t>sector needs.</w:t>
            </w:r>
          </w:p>
          <w:p w14:paraId="059542DC" w14:textId="0207C6CC" w:rsidR="00546DBC" w:rsidRDefault="00190457" w:rsidP="008F706C">
            <w:pPr>
              <w:spacing w:before="0"/>
            </w:pPr>
            <w:r>
              <w:t xml:space="preserve">Finding </w:t>
            </w:r>
            <w:r w:rsidR="004B4FB7">
              <w:t>8</w:t>
            </w:r>
            <w:r>
              <w:t xml:space="preserve">. </w:t>
            </w:r>
            <w:r w:rsidR="000E69F8">
              <w:t xml:space="preserve">PEPA </w:t>
            </w:r>
            <w:r w:rsidR="000E69F8" w:rsidRPr="00894B2E">
              <w:t>Aged Care was considered appropriate for addressing foundational palliative care knowledge and capability gaps, particularly in residential aged care settings. Key strengths</w:t>
            </w:r>
            <w:r w:rsidR="00386F30">
              <w:t xml:space="preserve"> identified</w:t>
            </w:r>
            <w:r w:rsidR="000E69F8" w:rsidRPr="00894B2E">
              <w:t xml:space="preserve"> included the program</w:t>
            </w:r>
            <w:r w:rsidR="003863F5">
              <w:t>’</w:t>
            </w:r>
            <w:r w:rsidR="000E69F8" w:rsidRPr="00894B2E">
              <w:t>s on-site</w:t>
            </w:r>
            <w:r w:rsidR="00386F30">
              <w:t xml:space="preserve"> reverse placement model</w:t>
            </w:r>
            <w:r w:rsidR="000E69F8" w:rsidRPr="00894B2E">
              <w:t xml:space="preserve">, inclusive delivery </w:t>
            </w:r>
            <w:r w:rsidR="002C6E06">
              <w:t>across staff roles</w:t>
            </w:r>
            <w:r w:rsidR="000E69F8" w:rsidRPr="00894B2E">
              <w:t xml:space="preserve">, adaptable training content, and </w:t>
            </w:r>
            <w:r w:rsidR="000E69F8">
              <w:t>site-level funding support.</w:t>
            </w:r>
          </w:p>
          <w:p w14:paraId="32699FFD" w14:textId="1F3A3DA2" w:rsidR="00BB01D5" w:rsidRDefault="00BB01D5" w:rsidP="008F706C">
            <w:pPr>
              <w:spacing w:before="0"/>
            </w:pPr>
            <w:r>
              <w:lastRenderedPageBreak/>
              <w:t xml:space="preserve">Finding </w:t>
            </w:r>
            <w:r w:rsidR="004B4FB7">
              <w:t>9</w:t>
            </w:r>
            <w:r>
              <w:t>. S</w:t>
            </w:r>
            <w:r w:rsidRPr="00894B2E">
              <w:t xml:space="preserve">ustainability was raised as a key concern </w:t>
            </w:r>
            <w:r>
              <w:t xml:space="preserve">for PEPA Aged Care </w:t>
            </w:r>
            <w:r w:rsidRPr="00894B2E">
              <w:t>due to the one-off training model and limited reach within sites. The model</w:t>
            </w:r>
            <w:r w:rsidR="003863F5">
              <w:t>’</w:t>
            </w:r>
            <w:r w:rsidRPr="00894B2E">
              <w:t xml:space="preserve">s suitability for home care services was also questioned, </w:t>
            </w:r>
            <w:r>
              <w:t>which could limit its</w:t>
            </w:r>
            <w:r w:rsidRPr="00894B2E">
              <w:t xml:space="preserve"> reach in this setting</w:t>
            </w:r>
            <w:r>
              <w:t>.</w:t>
            </w:r>
          </w:p>
          <w:p w14:paraId="0BD8C36C" w14:textId="76956553" w:rsidR="00BB01D5" w:rsidRDefault="00BB01D5" w:rsidP="008F706C">
            <w:pPr>
              <w:spacing w:before="0"/>
            </w:pPr>
            <w:r>
              <w:t xml:space="preserve">Finding </w:t>
            </w:r>
            <w:r w:rsidR="0081200A">
              <w:t>1</w:t>
            </w:r>
            <w:r w:rsidR="004B4FB7">
              <w:t>7</w:t>
            </w:r>
            <w:r w:rsidR="0081200A">
              <w:t xml:space="preserve">. </w:t>
            </w:r>
            <w:r w:rsidR="00F254D4">
              <w:t xml:space="preserve">PEPA Aged Care was primarily promoted through existing PEPA communication channels, with available qualitative data suggesting that referrals relied heavily on ELDAC and PEPA. </w:t>
            </w:r>
            <w:r w:rsidR="00F254D4" w:rsidRPr="009251D5">
              <w:t xml:space="preserve">While this </w:t>
            </w:r>
            <w:r w:rsidR="00F254D4">
              <w:t>approach aimed to</w:t>
            </w:r>
            <w:r w:rsidR="00F254D4" w:rsidRPr="009251D5">
              <w:t xml:space="preserve"> </w:t>
            </w:r>
            <w:r w:rsidR="00F254D4">
              <w:t>manage demand</w:t>
            </w:r>
            <w:r w:rsidR="00F254D4" w:rsidRPr="009251D5">
              <w:t xml:space="preserve"> </w:t>
            </w:r>
            <w:r w:rsidR="00F254D4">
              <w:t>within</w:t>
            </w:r>
            <w:r w:rsidR="00F254D4" w:rsidRPr="009251D5">
              <w:t xml:space="preserve"> available educator capacity, it</w:t>
            </w:r>
            <w:r w:rsidR="00F254D4">
              <w:t xml:space="preserve"> likely constrained broader visibility and reach, leading to potential underrepresentation of sector demand. </w:t>
            </w:r>
          </w:p>
          <w:p w14:paraId="5D23F7F9" w14:textId="73AFA6F1" w:rsidR="0081200A" w:rsidRDefault="0081200A" w:rsidP="008F706C">
            <w:pPr>
              <w:spacing w:before="0"/>
            </w:pPr>
            <w:r>
              <w:t>Finding 1</w:t>
            </w:r>
            <w:r w:rsidR="004B4FB7">
              <w:t>9</w:t>
            </w:r>
            <w:r>
              <w:t xml:space="preserve">. </w:t>
            </w:r>
            <w:r w:rsidR="002D5932">
              <w:t xml:space="preserve">PEPA Aged Care achieved steady uptake since launch, supported by practical design features such as on-site delivery and site funding. However, demand for placements consistently exceeded delivery capacity, and overall sector reach remained modest. </w:t>
            </w:r>
            <w:r w:rsidR="00C0593E">
              <w:t xml:space="preserve">Evaluation evidence indicates that uptake was likely influenced by </w:t>
            </w:r>
            <w:r w:rsidR="002D5932">
              <w:t>the finite capacity of the nurse educator team, deliberately narrow promotional strategy, and broader workforce</w:t>
            </w:r>
            <w:r w:rsidR="00D26004">
              <w:t xml:space="preserve"> and system pressures within the aged care sector</w:t>
            </w:r>
            <w:r w:rsidR="002D5932">
              <w:t xml:space="preserve">. Achieving sustained growth </w:t>
            </w:r>
            <w:r w:rsidR="00D26004">
              <w:t>would likely</w:t>
            </w:r>
            <w:r w:rsidR="00D26004" w:rsidRPr="00E03CD7">
              <w:t xml:space="preserve"> </w:t>
            </w:r>
            <w:r w:rsidR="002D5932" w:rsidRPr="00E03CD7">
              <w:t xml:space="preserve">require </w:t>
            </w:r>
            <w:r w:rsidR="002D5932">
              <w:t xml:space="preserve">targeted </w:t>
            </w:r>
            <w:r w:rsidR="002D5932" w:rsidRPr="00E03CD7">
              <w:t xml:space="preserve">strategies to </w:t>
            </w:r>
            <w:r w:rsidR="002D5932">
              <w:t>expand educator capacity</w:t>
            </w:r>
            <w:r w:rsidR="002D5932" w:rsidRPr="00E03CD7">
              <w:t>,</w:t>
            </w:r>
            <w:r w:rsidR="002D5932">
              <w:t xml:space="preserve"> enhance</w:t>
            </w:r>
            <w:r w:rsidR="002D5932" w:rsidRPr="00E03CD7">
              <w:t xml:space="preserve"> program visibility, and </w:t>
            </w:r>
            <w:r w:rsidR="002D5932">
              <w:t>offer</w:t>
            </w:r>
            <w:r w:rsidR="002D5932" w:rsidRPr="00E03CD7">
              <w:t xml:space="preserve"> flexib</w:t>
            </w:r>
            <w:r w:rsidR="002D5932">
              <w:t>le training options</w:t>
            </w:r>
            <w:r w:rsidR="00135293">
              <w:t>.</w:t>
            </w:r>
          </w:p>
          <w:p w14:paraId="1ABD7977" w14:textId="09F22A48" w:rsidR="00135293" w:rsidRDefault="00135293" w:rsidP="003F520D">
            <w:pPr>
              <w:spacing w:before="0"/>
            </w:pPr>
            <w:r>
              <w:t>Finding</w:t>
            </w:r>
            <w:r w:rsidR="008F706C">
              <w:t xml:space="preserve"> </w:t>
            </w:r>
            <w:r w:rsidR="004B4FB7">
              <w:t>20</w:t>
            </w:r>
            <w:r w:rsidR="008F706C">
              <w:t>.</w:t>
            </w:r>
            <w:r>
              <w:t xml:space="preserve"> </w:t>
            </w:r>
            <w:r w:rsidR="005C3BF4">
              <w:t xml:space="preserve">PEPA Aged Care achieved national coverage and strong engagement in residential aged care settings, with most participants from direct care roles. However, participation </w:t>
            </w:r>
            <w:r w:rsidR="00D26004">
              <w:t xml:space="preserve">by </w:t>
            </w:r>
            <w:r w:rsidR="005C3BF4">
              <w:t xml:space="preserve">home and community-based aged care services, and </w:t>
            </w:r>
            <w:r w:rsidR="00657C50">
              <w:t>by</w:t>
            </w:r>
            <w:r w:rsidR="005C3BF4">
              <w:t xml:space="preserve"> primary and allied health care professionals</w:t>
            </w:r>
            <w:r w:rsidR="00657C50">
              <w:t>, remained limited, indicating areas where</w:t>
            </w:r>
            <w:r w:rsidR="005C3BF4">
              <w:t xml:space="preserve"> engagement </w:t>
            </w:r>
            <w:r w:rsidR="00657C50">
              <w:t>could be strengthened in future iterations</w:t>
            </w:r>
            <w:r w:rsidR="005C3BF4">
              <w:t>.</w:t>
            </w:r>
          </w:p>
          <w:p w14:paraId="778B78D7" w14:textId="68427822" w:rsidR="005C3BF4" w:rsidRDefault="00EA40F9" w:rsidP="008F706C">
            <w:pPr>
              <w:spacing w:before="0"/>
            </w:pPr>
            <w:r>
              <w:t xml:space="preserve">Finding </w:t>
            </w:r>
            <w:r w:rsidR="004B4FB7">
              <w:t>30</w:t>
            </w:r>
            <w:r>
              <w:t>. There was evidence that PEPA Aged Care contributed to</w:t>
            </w:r>
            <w:r w:rsidR="00657C50">
              <w:t xml:space="preserve"> perceived improvements in</w:t>
            </w:r>
            <w:r>
              <w:t xml:space="preserve"> core palliative care knowledge and capabilities</w:t>
            </w:r>
            <w:r w:rsidR="00657C50">
              <w:t xml:space="preserve">, particularly </w:t>
            </w:r>
            <w:r>
              <w:t>among nursing and personal care staff</w:t>
            </w:r>
            <w:r w:rsidR="00657C50">
              <w:t>. Reported benefits were more</w:t>
            </w:r>
            <w:r>
              <w:t xml:space="preserve"> limited </w:t>
            </w:r>
            <w:r w:rsidR="00657C50">
              <w:t>among</w:t>
            </w:r>
            <w:r>
              <w:t xml:space="preserve"> other health professional groups</w:t>
            </w:r>
            <w:r w:rsidR="003F0F85">
              <w:t>, likely reflecting lower levels of participation</w:t>
            </w:r>
            <w:r w:rsidR="00C0009F">
              <w:t>.</w:t>
            </w:r>
          </w:p>
          <w:p w14:paraId="3A0DA30C" w14:textId="21452F3E" w:rsidR="004556A3" w:rsidRDefault="004556A3" w:rsidP="008F706C">
            <w:pPr>
              <w:spacing w:before="0"/>
            </w:pPr>
            <w:r>
              <w:t>Finding 3</w:t>
            </w:r>
            <w:r w:rsidR="004B4FB7">
              <w:t>3</w:t>
            </w:r>
            <w:r>
              <w:t xml:space="preserve">. </w:t>
            </w:r>
            <w:r w:rsidR="00197403">
              <w:t xml:space="preserve">Factors </w:t>
            </w:r>
            <w:r w:rsidR="00B9212C">
              <w:t xml:space="preserve">identified as </w:t>
            </w:r>
            <w:r w:rsidR="00197403">
              <w:t>impacting the effectiveness of PEPA Aged Care included the one-off reverse placement model, competing organisational priorities, lack of direct leadership engagement, and the program</w:t>
            </w:r>
            <w:r w:rsidR="003863F5">
              <w:t>’</w:t>
            </w:r>
            <w:r w:rsidR="00197403">
              <w:t>s relatively limited reach. Suggested strategies to improve the effectiveness and sustainability of outcomes included ongoing, recurring access to placements</w:t>
            </w:r>
            <w:r w:rsidR="00AA6C71">
              <w:t xml:space="preserve">; expanded online resources and </w:t>
            </w:r>
            <w:r w:rsidR="00AA6C71">
              <w:lastRenderedPageBreak/>
              <w:t>communities of practice; strengthened post-placement mentoring; leadership-focused training streams; and increased</w:t>
            </w:r>
            <w:r w:rsidR="00197403">
              <w:t xml:space="preserve"> nurse educator capacity to broaden reach.</w:t>
            </w:r>
          </w:p>
          <w:p w14:paraId="5E07248E" w14:textId="6E0D0D5E" w:rsidR="00197403" w:rsidRPr="008F706C" w:rsidRDefault="001A0ABC" w:rsidP="008F706C">
            <w:pPr>
              <w:spacing w:before="0"/>
              <w:rPr>
                <w:lang w:eastAsia="en-AU"/>
              </w:rPr>
            </w:pPr>
            <w:r>
              <w:t>Finding 3</w:t>
            </w:r>
            <w:r w:rsidR="004B4FB7">
              <w:t>9</w:t>
            </w:r>
            <w:r>
              <w:t xml:space="preserve">. </w:t>
            </w:r>
            <w:r w:rsidR="009C5469" w:rsidRPr="006763BB">
              <w:rPr>
                <w:lang w:eastAsia="en-AU"/>
              </w:rPr>
              <w:t xml:space="preserve">Although annualised funds were largely expended beyond program implementation, PEPA Aged Care was unable to scale delivery </w:t>
            </w:r>
            <w:r w:rsidR="009C5469">
              <w:rPr>
                <w:lang w:eastAsia="en-AU"/>
              </w:rPr>
              <w:t xml:space="preserve">to meet </w:t>
            </w:r>
            <w:r w:rsidR="00B9212C">
              <w:rPr>
                <w:lang w:eastAsia="en-AU"/>
              </w:rPr>
              <w:t xml:space="preserve">observed </w:t>
            </w:r>
            <w:r w:rsidR="009C5469">
              <w:rPr>
                <w:lang w:eastAsia="en-AU"/>
              </w:rPr>
              <w:t>demand</w:t>
            </w:r>
            <w:r w:rsidR="009C5469" w:rsidRPr="006763BB">
              <w:rPr>
                <w:lang w:eastAsia="en-AU"/>
              </w:rPr>
              <w:t xml:space="preserve">. </w:t>
            </w:r>
            <w:r w:rsidR="009C5469">
              <w:rPr>
                <w:lang w:eastAsia="en-AU"/>
              </w:rPr>
              <w:t>This was reflected in p</w:t>
            </w:r>
            <w:r w:rsidR="009C5469" w:rsidRPr="006763BB">
              <w:rPr>
                <w:lang w:eastAsia="en-AU"/>
              </w:rPr>
              <w:t>ersistent waiting lists</w:t>
            </w:r>
            <w:r w:rsidR="00B9212C">
              <w:rPr>
                <w:lang w:eastAsia="en-AU"/>
              </w:rPr>
              <w:t xml:space="preserve"> and the accumulation of unspent funds, indicating capacity and delivery limitations</w:t>
            </w:r>
            <w:r w:rsidR="009C5469">
              <w:rPr>
                <w:lang w:eastAsia="en-AU"/>
              </w:rPr>
              <w:t>.</w:t>
            </w:r>
            <w:r w:rsidR="009C5469" w:rsidRPr="006763BB">
              <w:rPr>
                <w:lang w:eastAsia="en-AU"/>
              </w:rPr>
              <w:t xml:space="preserve"> </w:t>
            </w:r>
          </w:p>
          <w:p w14:paraId="70F61431" w14:textId="5034970A" w:rsidR="000E69F8" w:rsidRDefault="008F706C" w:rsidP="008F706C">
            <w:pPr>
              <w:spacing w:before="0" w:after="0"/>
            </w:pPr>
            <w:r w:rsidRPr="008F706C">
              <w:t xml:space="preserve">Finding </w:t>
            </w:r>
            <w:r w:rsidR="00B53F0F">
              <w:t>4</w:t>
            </w:r>
            <w:r w:rsidR="004B4FB7">
              <w:t>1</w:t>
            </w:r>
            <w:r w:rsidRPr="008F706C">
              <w:t xml:space="preserve">. </w:t>
            </w:r>
            <w:r w:rsidR="00BB151A">
              <w:t>Marketing expenditure for PEPA Aged Care was low (~2% of total program expenditure), aligning with the deliberately constrained approach to manage demand within limited educator capacity. However, this likely limited program visibility beyond existing networks. While this strategy achieved cost control, it likely made the true scale of unmet demand unclear</w:t>
            </w:r>
            <w:r w:rsidRPr="008F706C">
              <w:t>.</w:t>
            </w:r>
          </w:p>
        </w:tc>
      </w:tr>
      <w:tr w:rsidR="0057251C" w14:paraId="43632ECC" w14:textId="77777777" w:rsidTr="00F00620">
        <w:tc>
          <w:tcPr>
            <w:tcW w:w="4111" w:type="dxa"/>
          </w:tcPr>
          <w:p w14:paraId="31527CD3" w14:textId="7F6DC117" w:rsidR="0057251C" w:rsidRDefault="00DF52F4" w:rsidP="0057251C">
            <w:pPr>
              <w:pStyle w:val="TableList"/>
            </w:pPr>
            <w:r>
              <w:lastRenderedPageBreak/>
              <w:t xml:space="preserve">If the Australian Government were to consider a future extension of PEPA Aged Care, there is an opportunity to </w:t>
            </w:r>
            <w:r w:rsidR="00C0180E">
              <w:t>s</w:t>
            </w:r>
            <w:r w:rsidR="0057251C">
              <w:t xml:space="preserve">trengthen post-placement support </w:t>
            </w:r>
            <w:r w:rsidR="009E0CC2">
              <w:t>to ensure that training outcomes translate into sustained practice change.</w:t>
            </w:r>
            <w:r w:rsidR="0060591F">
              <w:t xml:space="preserve"> </w:t>
            </w:r>
          </w:p>
        </w:tc>
        <w:tc>
          <w:tcPr>
            <w:tcW w:w="3544" w:type="dxa"/>
          </w:tcPr>
          <w:p w14:paraId="448B761B" w14:textId="06183FC2" w:rsidR="0057251C" w:rsidRDefault="00041ECB" w:rsidP="0057251C">
            <w:pPr>
              <w:spacing w:before="0" w:after="0"/>
            </w:pPr>
            <w:r>
              <w:t>P</w:t>
            </w:r>
            <w:r w:rsidR="0057251C">
              <w:t xml:space="preserve">ost-placement service improvement </w:t>
            </w:r>
            <w:r w:rsidR="00441A32">
              <w:t xml:space="preserve">activities </w:t>
            </w:r>
            <w:r w:rsidR="00BB215B">
              <w:t>we</w:t>
            </w:r>
            <w:r w:rsidR="00441A32">
              <w:t>re</w:t>
            </w:r>
            <w:r w:rsidR="00BB215B">
              <w:t xml:space="preserve"> identified as</w:t>
            </w:r>
            <w:r w:rsidR="00441A32">
              <w:t xml:space="preserve"> a key mechanism</w:t>
            </w:r>
            <w:r w:rsidR="003849EE">
              <w:t xml:space="preserve"> for embedding PEPA Aged Care learnings into practice</w:t>
            </w:r>
            <w:r w:rsidR="000E5E4D">
              <w:t>. However</w:t>
            </w:r>
            <w:r w:rsidR="003849EE">
              <w:t>,</w:t>
            </w:r>
            <w:r w:rsidR="00381CEA">
              <w:t xml:space="preserve"> </w:t>
            </w:r>
            <w:r w:rsidR="00441A32">
              <w:t xml:space="preserve">evaluation findings indicated that </w:t>
            </w:r>
            <w:r w:rsidR="00381CEA">
              <w:t>engagement with these activities</w:t>
            </w:r>
            <w:r w:rsidR="00FE221F">
              <w:t xml:space="preserve"> </w:t>
            </w:r>
            <w:r w:rsidR="00BB215B">
              <w:t>was</w:t>
            </w:r>
            <w:r w:rsidR="00FE221F">
              <w:t xml:space="preserve"> inconsistent,</w:t>
            </w:r>
            <w:r w:rsidR="003849EE">
              <w:t xml:space="preserve"> impacted by competing </w:t>
            </w:r>
            <w:r w:rsidR="00381CEA">
              <w:t xml:space="preserve">organisational </w:t>
            </w:r>
            <w:r w:rsidR="003849EE">
              <w:t>priorities and limited follow-up support</w:t>
            </w:r>
            <w:r w:rsidR="00FE221F">
              <w:t xml:space="preserve"> once placements conclude</w:t>
            </w:r>
            <w:r w:rsidR="00C74263">
              <w:t>d</w:t>
            </w:r>
            <w:r w:rsidR="003849EE">
              <w:t xml:space="preserve">. </w:t>
            </w:r>
            <w:r w:rsidR="00C74263">
              <w:t xml:space="preserve">Future program design could consider embedding structured post-placement follow-up, such as scheduled check-ins, mentoring, and communities of practice. These </w:t>
            </w:r>
            <w:r w:rsidR="00E67DBD">
              <w:t>mechanisms</w:t>
            </w:r>
            <w:r w:rsidR="00EF68DF">
              <w:t xml:space="preserve"> </w:t>
            </w:r>
            <w:r w:rsidR="00AB6343">
              <w:t>could help reinforce learning</w:t>
            </w:r>
            <w:r w:rsidR="00C81E4C">
              <w:t xml:space="preserve"> outcomes</w:t>
            </w:r>
            <w:r w:rsidR="00AB6343">
              <w:t>, address implementation barriers as they arise, and improve the sustainability of outcomes beyond the initial placement period</w:t>
            </w:r>
            <w:r w:rsidR="00BC48E3">
              <w:t>.</w:t>
            </w:r>
          </w:p>
        </w:tc>
        <w:tc>
          <w:tcPr>
            <w:tcW w:w="7481" w:type="dxa"/>
          </w:tcPr>
          <w:p w14:paraId="1EB2ACDB" w14:textId="32F5085B" w:rsidR="00C0180E" w:rsidRDefault="007E748A" w:rsidP="007E748A">
            <w:pPr>
              <w:spacing w:before="0"/>
            </w:pPr>
            <w:r>
              <w:t>Finding 1</w:t>
            </w:r>
            <w:r w:rsidR="004B4FB7">
              <w:t>6</w:t>
            </w:r>
            <w:r>
              <w:t>. PEPA Aged Care delivered all planned activities and exceeded four of five key performance indicators, reflecting strong planning and execution. However, completion of post-placement service improvement plans fell short of target, suggesting the need for stronger follow-up to support sites in translating learnings into practice.</w:t>
            </w:r>
          </w:p>
          <w:p w14:paraId="353EC047" w14:textId="1EAF9EAC" w:rsidR="0057251C" w:rsidRDefault="007E748A" w:rsidP="006F1C95">
            <w:pPr>
              <w:spacing w:before="0" w:after="0"/>
            </w:pPr>
            <w:r>
              <w:t xml:space="preserve">Finding </w:t>
            </w:r>
            <w:r w:rsidR="006F1C95">
              <w:t>3</w:t>
            </w:r>
            <w:r w:rsidR="004B4FB7">
              <w:t>3</w:t>
            </w:r>
            <w:r w:rsidR="006F1C95">
              <w:t xml:space="preserve">. Factors </w:t>
            </w:r>
            <w:r w:rsidR="003F0F85">
              <w:t xml:space="preserve">identified as potentially </w:t>
            </w:r>
            <w:r w:rsidR="006F1C95">
              <w:t>impacting the effectiveness of PEPA Aged Care included the one-off reverse placement model, competing organisational priorities, lack of direct leadership engagement, and the program</w:t>
            </w:r>
            <w:r w:rsidR="003863F5">
              <w:t>’</w:t>
            </w:r>
            <w:r w:rsidR="006F1C95">
              <w:t>s relatively limited reach. Suggested strategies to improve the effectiveness and sustainability of outcomes included ongoing, recurring access to placements</w:t>
            </w:r>
            <w:r w:rsidR="00317414">
              <w:t>;</w:t>
            </w:r>
            <w:r w:rsidR="006F1C95">
              <w:t xml:space="preserve"> expanded online resources and communities of practice</w:t>
            </w:r>
            <w:r w:rsidR="00317414">
              <w:t>;</w:t>
            </w:r>
            <w:r w:rsidR="006F1C95">
              <w:t xml:space="preserve"> strengthened post-placement mentoring</w:t>
            </w:r>
            <w:r w:rsidR="00FB0164">
              <w:t>;</w:t>
            </w:r>
            <w:r w:rsidR="006F1C95">
              <w:t xml:space="preserve"> leadership-focused training streams</w:t>
            </w:r>
            <w:r w:rsidR="00FB0164">
              <w:t>;</w:t>
            </w:r>
            <w:r w:rsidR="006F1C95">
              <w:t xml:space="preserve"> and expansion of nurse educator capacity to broaden reach.</w:t>
            </w:r>
          </w:p>
        </w:tc>
      </w:tr>
      <w:tr w:rsidR="0057251C" w14:paraId="0B19B618" w14:textId="77777777" w:rsidTr="00F00620">
        <w:tc>
          <w:tcPr>
            <w:tcW w:w="4111" w:type="dxa"/>
          </w:tcPr>
          <w:p w14:paraId="4D8F3AE6" w14:textId="018DD548" w:rsidR="0057251C" w:rsidRDefault="009D0803" w:rsidP="0057251C">
            <w:pPr>
              <w:pStyle w:val="TableList"/>
            </w:pPr>
            <w:r>
              <w:lastRenderedPageBreak/>
              <w:t xml:space="preserve">If the Australian Government were to consider a future extension of PEPA Aged Care, there is an opportunity to strengthen </w:t>
            </w:r>
            <w:r w:rsidR="007E732D">
              <w:t xml:space="preserve">the </w:t>
            </w:r>
            <w:r w:rsidR="00C615A1">
              <w:t>integrat</w:t>
            </w:r>
            <w:r w:rsidR="007E732D">
              <w:t>ion of</w:t>
            </w:r>
            <w:r w:rsidR="00C615A1">
              <w:t xml:space="preserve"> outcome </w:t>
            </w:r>
            <w:r w:rsidR="007E732D">
              <w:t xml:space="preserve">and referral source </w:t>
            </w:r>
            <w:r w:rsidR="00C615A1">
              <w:t xml:space="preserve">data collection </w:t>
            </w:r>
            <w:r w:rsidR="007E732D">
              <w:t>within</w:t>
            </w:r>
            <w:r w:rsidR="00DF263A">
              <w:t xml:space="preserve"> existing performance monitoring and governance framework</w:t>
            </w:r>
            <w:r w:rsidR="00441124">
              <w:t>s</w:t>
            </w:r>
            <w:r w:rsidR="009877F0">
              <w:t xml:space="preserve"> t</w:t>
            </w:r>
            <w:r w:rsidR="007A221B">
              <w:t xml:space="preserve">o </w:t>
            </w:r>
            <w:r w:rsidR="00441124">
              <w:t>improve understanding of program impact</w:t>
            </w:r>
            <w:r w:rsidR="009D0BCE">
              <w:t xml:space="preserve"> and engagement pathways.</w:t>
            </w:r>
          </w:p>
        </w:tc>
        <w:tc>
          <w:tcPr>
            <w:tcW w:w="3544" w:type="dxa"/>
          </w:tcPr>
          <w:p w14:paraId="79B32159" w14:textId="0CA359DB" w:rsidR="0057251C" w:rsidRDefault="00DF263A" w:rsidP="008C3953">
            <w:pPr>
              <w:spacing w:before="0"/>
            </w:pPr>
            <w:r>
              <w:t xml:space="preserve">PEPA Aged Care established governance </w:t>
            </w:r>
            <w:r w:rsidR="001726B9">
              <w:t xml:space="preserve">and reporting </w:t>
            </w:r>
            <w:r w:rsidR="00A94B7A">
              <w:t xml:space="preserve">arrangements </w:t>
            </w:r>
            <w:r w:rsidR="007A221B">
              <w:t>to</w:t>
            </w:r>
            <w:r w:rsidR="00A94B7A">
              <w:t xml:space="preserve"> support monitoring of program activity and outputs</w:t>
            </w:r>
            <w:r w:rsidR="00B627C8">
              <w:t>.</w:t>
            </w:r>
            <w:r w:rsidR="00A94B7A">
              <w:t xml:space="preserve"> However, the evaluation identified limitations in the </w:t>
            </w:r>
            <w:r w:rsidR="00C91ACB">
              <w:t>availability of</w:t>
            </w:r>
            <w:r w:rsidR="00F46342">
              <w:t xml:space="preserve"> </w:t>
            </w:r>
            <w:r w:rsidR="001C184A">
              <w:t>outcome-based data</w:t>
            </w:r>
            <w:r w:rsidR="007B0B94">
              <w:t xml:space="preserve">, impacting the ability to </w:t>
            </w:r>
            <w:r w:rsidR="00517F42">
              <w:t xml:space="preserve">assess longer-term </w:t>
            </w:r>
            <w:r w:rsidR="00734125">
              <w:t>outcomes</w:t>
            </w:r>
            <w:r w:rsidR="00517F42">
              <w:t xml:space="preserve"> for older people and </w:t>
            </w:r>
            <w:r w:rsidR="007A221B">
              <w:t xml:space="preserve">their </w:t>
            </w:r>
            <w:r w:rsidR="00517F42">
              <w:t>families</w:t>
            </w:r>
            <w:r w:rsidR="00451FCE">
              <w:t>. Incorporating a small number of</w:t>
            </w:r>
            <w:r w:rsidR="00D32D05">
              <w:t xml:space="preserve"> </w:t>
            </w:r>
            <w:r w:rsidR="007A221B">
              <w:t xml:space="preserve">relevant </w:t>
            </w:r>
            <w:r w:rsidR="00D32D05">
              <w:t>outcome</w:t>
            </w:r>
            <w:r w:rsidR="001C184A">
              <w:t xml:space="preserve"> indicators</w:t>
            </w:r>
            <w:r w:rsidR="001774E3">
              <w:t xml:space="preserve"> into existing frameworks</w:t>
            </w:r>
            <w:r w:rsidR="00C62B6A">
              <w:t xml:space="preserve"> </w:t>
            </w:r>
            <w:r w:rsidR="00D32D05">
              <w:t xml:space="preserve">could </w:t>
            </w:r>
            <w:r w:rsidR="00004CD2">
              <w:t>support</w:t>
            </w:r>
            <w:r w:rsidR="00C62B6A">
              <w:t xml:space="preserve"> monitoring and </w:t>
            </w:r>
            <w:r w:rsidR="00E75EC3">
              <w:t xml:space="preserve">evaluation of </w:t>
            </w:r>
            <w:r w:rsidR="00D32D05">
              <w:t xml:space="preserve">program impact </w:t>
            </w:r>
            <w:r w:rsidR="00B00865">
              <w:t>over</w:t>
            </w:r>
            <w:r w:rsidR="00D32D05">
              <w:t xml:space="preserve"> time</w:t>
            </w:r>
            <w:r w:rsidR="00004CD2">
              <w:t>. It would also</w:t>
            </w:r>
            <w:r w:rsidR="00B00865">
              <w:t xml:space="preserve"> </w:t>
            </w:r>
            <w:r w:rsidR="007A221B">
              <w:t>facilitate</w:t>
            </w:r>
            <w:r w:rsidR="00F6530F">
              <w:t xml:space="preserve"> </w:t>
            </w:r>
            <w:r w:rsidR="00004CD2">
              <w:t xml:space="preserve">future </w:t>
            </w:r>
            <w:r w:rsidR="00F6530F">
              <w:t>economic analysis.</w:t>
            </w:r>
          </w:p>
          <w:p w14:paraId="0AD37288" w14:textId="77953861" w:rsidR="00A7272F" w:rsidRDefault="003459BA" w:rsidP="00E75EC3">
            <w:pPr>
              <w:spacing w:before="0" w:after="0"/>
            </w:pPr>
            <w:r>
              <w:t xml:space="preserve">Additionally, </w:t>
            </w:r>
            <w:r w:rsidR="00B00865">
              <w:t xml:space="preserve">systematic collection of </w:t>
            </w:r>
            <w:r>
              <w:t>r</w:t>
            </w:r>
            <w:r w:rsidR="00A7272F">
              <w:t xml:space="preserve">eferral source data </w:t>
            </w:r>
            <w:r w:rsidR="00B5255A">
              <w:t xml:space="preserve">would be beneficial </w:t>
            </w:r>
            <w:r w:rsidR="001A7FC4">
              <w:t>in any future iteration</w:t>
            </w:r>
            <w:r w:rsidR="00B5255A">
              <w:t xml:space="preserve">. This would </w:t>
            </w:r>
            <w:r w:rsidR="00B00865">
              <w:t xml:space="preserve">strengthen </w:t>
            </w:r>
            <w:r w:rsidR="00A7272F">
              <w:t xml:space="preserve">understanding </w:t>
            </w:r>
            <w:r w:rsidR="00B00865">
              <w:t xml:space="preserve">of </w:t>
            </w:r>
            <w:r w:rsidR="001A7FC4">
              <w:t>engagement pathways</w:t>
            </w:r>
            <w:r w:rsidR="00B00865">
              <w:t xml:space="preserve">, </w:t>
            </w:r>
            <w:r w:rsidR="001A7FC4">
              <w:t>highlight</w:t>
            </w:r>
            <w:r w:rsidR="001E4457">
              <w:t xml:space="preserve"> gaps in reach, and </w:t>
            </w:r>
            <w:r w:rsidR="001A7FC4">
              <w:t>support</w:t>
            </w:r>
            <w:r w:rsidR="001E4457">
              <w:t xml:space="preserve"> </w:t>
            </w:r>
            <w:r w:rsidR="00DF0016">
              <w:t>targeted engagement</w:t>
            </w:r>
            <w:r w:rsidR="001E4457">
              <w:t xml:space="preserve"> and communication</w:t>
            </w:r>
            <w:r w:rsidR="00DF0016">
              <w:t xml:space="preserve"> strategies.</w:t>
            </w:r>
            <w:r w:rsidR="008C3953">
              <w:t xml:space="preserve"> </w:t>
            </w:r>
          </w:p>
        </w:tc>
        <w:tc>
          <w:tcPr>
            <w:tcW w:w="7481" w:type="dxa"/>
          </w:tcPr>
          <w:p w14:paraId="4D7EF5CD" w14:textId="73B3F60A" w:rsidR="00B656B3" w:rsidRDefault="00B656B3" w:rsidP="00B656B3">
            <w:pPr>
              <w:spacing w:before="0"/>
            </w:pPr>
            <w:r>
              <w:t>Finding 1</w:t>
            </w:r>
            <w:r w:rsidR="004B4FB7">
              <w:t>8</w:t>
            </w:r>
            <w:r>
              <w:t xml:space="preserve">. </w:t>
            </w:r>
            <w:r w:rsidR="008E5ED5">
              <w:t xml:space="preserve">Referral </w:t>
            </w:r>
            <w:r w:rsidR="00D452A2">
              <w:t xml:space="preserve">source </w:t>
            </w:r>
            <w:r w:rsidR="008E5ED5">
              <w:t>data w</w:t>
            </w:r>
            <w:r w:rsidR="00D452A2">
              <w:t>ere</w:t>
            </w:r>
            <w:r w:rsidR="008E5ED5">
              <w:t xml:space="preserve"> not consistently collected for PEPA Aged Care, limiting understanding of engagement pathways and the ability to identify gaps in program reach. </w:t>
            </w:r>
          </w:p>
          <w:p w14:paraId="559AAAFB" w14:textId="5ECE90DA" w:rsidR="000B3C2B" w:rsidRDefault="00A75427" w:rsidP="00074F5B">
            <w:pPr>
              <w:spacing w:before="0"/>
            </w:pPr>
            <w:r>
              <w:t>Finding 3</w:t>
            </w:r>
            <w:r w:rsidR="004B4FB7">
              <w:t>2</w:t>
            </w:r>
            <w:r>
              <w:t xml:space="preserve">. </w:t>
            </w:r>
            <w:r w:rsidR="0073490E">
              <w:t xml:space="preserve">PEPA Aged Care was perceived to indirectly enhance care quality and experiences for older people and families by improving workforce capability and organisational systems. However, </w:t>
            </w:r>
            <w:r w:rsidR="003F0F85">
              <w:t xml:space="preserve">the evaluation was unable to validate these </w:t>
            </w:r>
            <w:r w:rsidR="0073490E">
              <w:t xml:space="preserve">perceived outcomes </w:t>
            </w:r>
            <w:r w:rsidR="003F0F85">
              <w:t>due to the absence of</w:t>
            </w:r>
            <w:r w:rsidR="0073490E">
              <w:t xml:space="preserve"> measurable outcome data</w:t>
            </w:r>
            <w:r w:rsidR="00951122">
              <w:t xml:space="preserve"> </w:t>
            </w:r>
            <w:r w:rsidR="003F0F85">
              <w:t>during the evaluation period</w:t>
            </w:r>
            <w:r>
              <w:t>.</w:t>
            </w:r>
          </w:p>
          <w:p w14:paraId="6CDD913D" w14:textId="643CE6C4" w:rsidR="0057251C" w:rsidRDefault="00074F5B" w:rsidP="00074F5B">
            <w:pPr>
              <w:spacing w:before="0" w:after="0"/>
            </w:pPr>
            <w:r>
              <w:t>Finding 4</w:t>
            </w:r>
            <w:r w:rsidR="004B4FB7">
              <w:t>3</w:t>
            </w:r>
            <w:r>
              <w:t xml:space="preserve">. </w:t>
            </w:r>
            <w:r w:rsidR="007A0AD2" w:rsidRPr="00E220A3">
              <w:t xml:space="preserve">PEPA Aged Care performance indicators were largely output-focused. </w:t>
            </w:r>
            <w:r w:rsidR="007A0AD2">
              <w:t>T</w:t>
            </w:r>
            <w:r w:rsidR="007A0AD2" w:rsidRPr="00E220A3">
              <w:t xml:space="preserve">his </w:t>
            </w:r>
            <w:r w:rsidR="007A0AD2">
              <w:t>allowed for</w:t>
            </w:r>
            <w:r w:rsidR="007A0AD2" w:rsidRPr="00E220A3">
              <w:t xml:space="preserve"> adequate monitoring of program activity against contractual obligations</w:t>
            </w:r>
            <w:r w:rsidR="007A0AD2">
              <w:t>. However</w:t>
            </w:r>
            <w:r w:rsidR="007A0AD2" w:rsidRPr="00E220A3">
              <w:t xml:space="preserve">, </w:t>
            </w:r>
            <w:r w:rsidR="007A0AD2">
              <w:t>incorporating</w:t>
            </w:r>
            <w:r w:rsidR="007A0AD2" w:rsidRPr="00E220A3">
              <w:t xml:space="preserve"> outcome-based measures</w:t>
            </w:r>
            <w:r w:rsidR="007A0AD2">
              <w:t xml:space="preserve"> in future would enable a more comprehensive understanding of program impact and facilitate economic analysis</w:t>
            </w:r>
            <w:r>
              <w:t>.</w:t>
            </w:r>
          </w:p>
        </w:tc>
      </w:tr>
      <w:tr w:rsidR="0057251C" w:rsidRPr="00546DBC" w14:paraId="18ECCE29" w14:textId="77777777" w:rsidTr="00F00620">
        <w:tc>
          <w:tcPr>
            <w:tcW w:w="4111" w:type="dxa"/>
            <w:shd w:val="clear" w:color="auto" w:fill="DDF2EC" w:themeFill="background2" w:themeFillTint="33"/>
          </w:tcPr>
          <w:p w14:paraId="6933DB00" w14:textId="48468564" w:rsidR="0057251C" w:rsidRPr="00546DBC" w:rsidRDefault="0057251C" w:rsidP="0057251C">
            <w:pPr>
              <w:spacing w:before="0" w:after="0"/>
              <w:rPr>
                <w:rFonts w:asciiTheme="majorHAnsi" w:hAnsiTheme="majorHAnsi"/>
              </w:rPr>
            </w:pPr>
            <w:r>
              <w:rPr>
                <w:rFonts w:asciiTheme="majorHAnsi" w:hAnsiTheme="majorHAnsi"/>
              </w:rPr>
              <w:t>PACOP</w:t>
            </w:r>
          </w:p>
        </w:tc>
        <w:tc>
          <w:tcPr>
            <w:tcW w:w="3544" w:type="dxa"/>
            <w:shd w:val="clear" w:color="auto" w:fill="DDF2EC" w:themeFill="background2" w:themeFillTint="33"/>
          </w:tcPr>
          <w:p w14:paraId="05657847" w14:textId="0B9C1169" w:rsidR="0057251C" w:rsidRPr="00546DBC" w:rsidRDefault="00F00620" w:rsidP="0057251C">
            <w:pPr>
              <w:spacing w:before="0" w:after="0"/>
              <w:rPr>
                <w:rFonts w:asciiTheme="majorHAnsi" w:hAnsiTheme="majorHAnsi"/>
              </w:rPr>
            </w:pPr>
            <w:r>
              <w:rPr>
                <w:rFonts w:asciiTheme="majorHAnsi" w:hAnsiTheme="majorHAnsi"/>
              </w:rPr>
              <w:t>PACOP</w:t>
            </w:r>
          </w:p>
        </w:tc>
        <w:tc>
          <w:tcPr>
            <w:tcW w:w="7481" w:type="dxa"/>
            <w:shd w:val="clear" w:color="auto" w:fill="DDF2EC" w:themeFill="background2" w:themeFillTint="33"/>
          </w:tcPr>
          <w:p w14:paraId="20C3F723" w14:textId="44219491" w:rsidR="0057251C" w:rsidRPr="00546DBC" w:rsidRDefault="00F00620" w:rsidP="0057251C">
            <w:pPr>
              <w:spacing w:before="0" w:after="0"/>
              <w:rPr>
                <w:rFonts w:asciiTheme="majorHAnsi" w:hAnsiTheme="majorHAnsi"/>
              </w:rPr>
            </w:pPr>
            <w:r>
              <w:rPr>
                <w:rFonts w:asciiTheme="majorHAnsi" w:hAnsiTheme="majorHAnsi"/>
              </w:rPr>
              <w:t>PACOP</w:t>
            </w:r>
          </w:p>
        </w:tc>
      </w:tr>
      <w:tr w:rsidR="0057251C" w14:paraId="26FF3AE5" w14:textId="77777777" w:rsidTr="00F00620">
        <w:tc>
          <w:tcPr>
            <w:tcW w:w="4111" w:type="dxa"/>
          </w:tcPr>
          <w:p w14:paraId="32FFBAE7" w14:textId="3A6B7F8F" w:rsidR="00A20198" w:rsidRDefault="00CE7DC2" w:rsidP="00652CE4">
            <w:pPr>
              <w:pStyle w:val="TableList"/>
            </w:pPr>
            <w:r>
              <w:t xml:space="preserve">If the Australian Government were to consider a future extension of PACOP, there is an opportunity to strengthen the program’s scalability, </w:t>
            </w:r>
            <w:r w:rsidR="00937346">
              <w:t>feasibility</w:t>
            </w:r>
            <w:r>
              <w:t xml:space="preserve">, </w:t>
            </w:r>
            <w:r w:rsidR="00652CE4">
              <w:t xml:space="preserve">reach, </w:t>
            </w:r>
            <w:r>
              <w:t xml:space="preserve">and </w:t>
            </w:r>
            <w:r w:rsidR="00937346">
              <w:t>sustained implementation</w:t>
            </w:r>
            <w:r>
              <w:t xml:space="preserve">, while maintaining its role in </w:t>
            </w:r>
            <w:r w:rsidR="00937346">
              <w:t>supporting organisational palliative care capability in aged care</w:t>
            </w:r>
            <w:r>
              <w:t>. Potential areas for consideration</w:t>
            </w:r>
            <w:r w:rsidR="000C1218">
              <w:t xml:space="preserve"> in any future iteration</w:t>
            </w:r>
            <w:r>
              <w:t xml:space="preserve"> </w:t>
            </w:r>
            <w:r w:rsidR="00A20198">
              <w:t>include:</w:t>
            </w:r>
          </w:p>
          <w:p w14:paraId="7FE899D6" w14:textId="4DB77DD2" w:rsidR="002C56F7" w:rsidRDefault="00B3220E" w:rsidP="001E724D">
            <w:pPr>
              <w:pStyle w:val="TableBullets2"/>
            </w:pPr>
            <w:r>
              <w:lastRenderedPageBreak/>
              <w:t>simplif</w:t>
            </w:r>
            <w:r w:rsidR="00652CE4">
              <w:t>ication of</w:t>
            </w:r>
            <w:r>
              <w:t xml:space="preserve"> the PACOP model</w:t>
            </w:r>
            <w:r w:rsidR="002C56F7">
              <w:t>, including data collection protocol</w:t>
            </w:r>
            <w:r w:rsidR="00577E77">
              <w:t>s</w:t>
            </w:r>
            <w:r w:rsidR="002C56F7">
              <w:t xml:space="preserve"> and assessment tools, to reduce resource intensity and improv</w:t>
            </w:r>
            <w:r w:rsidR="008B7702">
              <w:t>e</w:t>
            </w:r>
            <w:r w:rsidR="002C56F7">
              <w:t xml:space="preserve"> feasibility</w:t>
            </w:r>
            <w:r w:rsidR="00577E77">
              <w:t xml:space="preserve"> for a wider range of providers</w:t>
            </w:r>
          </w:p>
          <w:p w14:paraId="2F9385DD" w14:textId="5E7758CF" w:rsidR="0057251C" w:rsidRDefault="007F4413" w:rsidP="001E724D">
            <w:pPr>
              <w:pStyle w:val="TableBullets2"/>
            </w:pPr>
            <w:r>
              <w:t xml:space="preserve">acceleration of </w:t>
            </w:r>
            <w:r w:rsidR="005966BC">
              <w:t xml:space="preserve">digital integration </w:t>
            </w:r>
            <w:r>
              <w:t xml:space="preserve">activities to </w:t>
            </w:r>
            <w:r w:rsidR="00CB2D92">
              <w:t>streamline PACOP data collection, reduce administrative burden, and support greater engagement in benchmarking</w:t>
            </w:r>
          </w:p>
          <w:p w14:paraId="7CC96F52" w14:textId="5261E262" w:rsidR="00CB2D92" w:rsidRDefault="00577E77" w:rsidP="001E724D">
            <w:pPr>
              <w:pStyle w:val="TableBullets2"/>
            </w:pPr>
            <w:r>
              <w:t xml:space="preserve">consideration </w:t>
            </w:r>
            <w:r w:rsidR="00036F51">
              <w:t xml:space="preserve">of </w:t>
            </w:r>
            <w:r w:rsidR="00416977">
              <w:t xml:space="preserve">financial support mechanisms to </w:t>
            </w:r>
            <w:r w:rsidR="00972F81">
              <w:t>offset</w:t>
            </w:r>
            <w:r w:rsidR="00416977">
              <w:t xml:space="preserve"> implementation </w:t>
            </w:r>
            <w:r w:rsidR="00B63443">
              <w:t xml:space="preserve">and </w:t>
            </w:r>
            <w:r w:rsidR="009B21CC">
              <w:t>participation</w:t>
            </w:r>
            <w:r>
              <w:t xml:space="preserve"> costs </w:t>
            </w:r>
          </w:p>
          <w:p w14:paraId="2CB24541" w14:textId="6D44ADB0" w:rsidR="004F3060" w:rsidRDefault="003A1DF7" w:rsidP="001E724D">
            <w:pPr>
              <w:pStyle w:val="TableBullets2"/>
            </w:pPr>
            <w:r>
              <w:t>strengthened implementation support</w:t>
            </w:r>
            <w:r w:rsidR="00050910">
              <w:t xml:space="preserve">, such as </w:t>
            </w:r>
            <w:r w:rsidR="0092788A">
              <w:t>dedicated mentors</w:t>
            </w:r>
            <w:r w:rsidR="002D1AC5">
              <w:t xml:space="preserve"> and ongoing refresher training</w:t>
            </w:r>
            <w:r w:rsidR="0003416D">
              <w:t>,</w:t>
            </w:r>
            <w:r w:rsidR="002D1AC5">
              <w:t xml:space="preserve"> to</w:t>
            </w:r>
            <w:r w:rsidR="0003416D">
              <w:t xml:space="preserve"> </w:t>
            </w:r>
            <w:r w:rsidR="00881E4E">
              <w:t>facilitate successful implementation</w:t>
            </w:r>
          </w:p>
          <w:p w14:paraId="68E03C03" w14:textId="1C178CFE" w:rsidR="005C35D4" w:rsidRDefault="005C35D4" w:rsidP="005C35D4">
            <w:pPr>
              <w:pStyle w:val="TableBullets2"/>
            </w:pPr>
            <w:r>
              <w:t xml:space="preserve">continued </w:t>
            </w:r>
            <w:r w:rsidR="001F79C9">
              <w:t>expansion of</w:t>
            </w:r>
            <w:r>
              <w:t xml:space="preserve"> the PACOP workforce to enable strengthened implementation support and maintain quality </w:t>
            </w:r>
            <w:r w:rsidR="001F79C9">
              <w:t>as participation grows</w:t>
            </w:r>
          </w:p>
          <w:p w14:paraId="69A472BA" w14:textId="4E88A285" w:rsidR="006545C4" w:rsidRDefault="006545C4" w:rsidP="006545C4">
            <w:pPr>
              <w:pStyle w:val="TableBullets2"/>
            </w:pPr>
            <w:r>
              <w:t>broade</w:t>
            </w:r>
            <w:r w:rsidR="00025388">
              <w:t>r</w:t>
            </w:r>
            <w:r>
              <w:t xml:space="preserve"> and </w:t>
            </w:r>
            <w:r w:rsidR="000E5A94">
              <w:t>more</w:t>
            </w:r>
            <w:r>
              <w:t xml:space="preserve"> tailored communication strategies</w:t>
            </w:r>
            <w:r w:rsidR="007E6BD7">
              <w:t>, supported by specialist aged care marketing expertise,</w:t>
            </w:r>
            <w:r>
              <w:t xml:space="preserve"> to enhance program visibility</w:t>
            </w:r>
            <w:r w:rsidR="00FE2456">
              <w:t xml:space="preserve"> and identify</w:t>
            </w:r>
            <w:r>
              <w:t xml:space="preserve"> latent demand</w:t>
            </w:r>
          </w:p>
          <w:p w14:paraId="4CF706D0" w14:textId="77777777" w:rsidR="00C13AE9" w:rsidRDefault="008C60AF" w:rsidP="001E724D">
            <w:pPr>
              <w:pStyle w:val="TableBullets2"/>
            </w:pPr>
            <w:r>
              <w:t xml:space="preserve">targeted </w:t>
            </w:r>
            <w:r w:rsidR="005C35D4">
              <w:t xml:space="preserve">engagement </w:t>
            </w:r>
            <w:r>
              <w:t>strategies to improve jurisdictional</w:t>
            </w:r>
            <w:r w:rsidR="004E13C6">
              <w:t xml:space="preserve"> coverage and </w:t>
            </w:r>
            <w:r w:rsidR="005C35D4">
              <w:t xml:space="preserve">national </w:t>
            </w:r>
            <w:r w:rsidR="004E13C6">
              <w:t>representativeness</w:t>
            </w:r>
          </w:p>
          <w:p w14:paraId="4F071B21" w14:textId="72FB9D17" w:rsidR="006545C4" w:rsidRDefault="00C13AE9" w:rsidP="001E724D">
            <w:pPr>
              <w:pStyle w:val="TableBullets2"/>
            </w:pPr>
            <w:r>
              <w:t xml:space="preserve">continued </w:t>
            </w:r>
            <w:r w:rsidR="00CB70EF">
              <w:t>focus on expanding engagement with GPs and other primary care professionals</w:t>
            </w:r>
            <w:r w:rsidR="00807C4C">
              <w:t>.</w:t>
            </w:r>
          </w:p>
        </w:tc>
        <w:tc>
          <w:tcPr>
            <w:tcW w:w="3544" w:type="dxa"/>
          </w:tcPr>
          <w:p w14:paraId="45FDCA54" w14:textId="7454BF56" w:rsidR="00D46213" w:rsidRDefault="00186ACB" w:rsidP="0043705A">
            <w:pPr>
              <w:spacing w:before="0"/>
            </w:pPr>
            <w:r>
              <w:lastRenderedPageBreak/>
              <w:t>Evaluation findings indicate</w:t>
            </w:r>
            <w:r w:rsidR="00F51169">
              <w:t>d</w:t>
            </w:r>
            <w:r>
              <w:t xml:space="preserve"> that </w:t>
            </w:r>
            <w:r w:rsidR="006743A0">
              <w:t xml:space="preserve">PACOP </w:t>
            </w:r>
            <w:r w:rsidR="00F51169">
              <w:t>was</w:t>
            </w:r>
            <w:r w:rsidR="006743A0">
              <w:t xml:space="preserve"> conceptual</w:t>
            </w:r>
            <w:r>
              <w:t xml:space="preserve">ly well </w:t>
            </w:r>
            <w:r w:rsidR="006743A0">
              <w:t>align</w:t>
            </w:r>
            <w:r>
              <w:t>ed</w:t>
            </w:r>
            <w:r w:rsidR="006743A0">
              <w:t xml:space="preserve"> with sector needs and</w:t>
            </w:r>
            <w:r>
              <w:t xml:space="preserve"> </w:t>
            </w:r>
            <w:r w:rsidR="00242F78">
              <w:t>delivered early benefits for participating homes and staff</w:t>
            </w:r>
            <w:r w:rsidR="006743A0">
              <w:t xml:space="preserve">. However, </w:t>
            </w:r>
            <w:r w:rsidR="00242F78">
              <w:t xml:space="preserve">program implementation </w:t>
            </w:r>
            <w:r w:rsidR="00F51169">
              <w:t>was</w:t>
            </w:r>
            <w:r w:rsidR="00242F78">
              <w:t xml:space="preserve"> impacted by the model’s</w:t>
            </w:r>
            <w:r w:rsidR="00D71458">
              <w:t xml:space="preserve"> resource intensity</w:t>
            </w:r>
            <w:r w:rsidR="00A9442F">
              <w:t xml:space="preserve"> and persistent </w:t>
            </w:r>
            <w:r w:rsidR="00D71458">
              <w:t xml:space="preserve">IT integration challenges, </w:t>
            </w:r>
            <w:r w:rsidR="0043705A">
              <w:t xml:space="preserve">leading to </w:t>
            </w:r>
            <w:r w:rsidR="00D71458">
              <w:t>scalability and sustainability</w:t>
            </w:r>
            <w:r w:rsidR="0043705A">
              <w:t xml:space="preserve"> challenges</w:t>
            </w:r>
            <w:r w:rsidR="00D71458">
              <w:t xml:space="preserve">. </w:t>
            </w:r>
            <w:r w:rsidR="003C07D6">
              <w:t xml:space="preserve">Strengthening digital </w:t>
            </w:r>
            <w:r w:rsidR="003C07D6">
              <w:lastRenderedPageBreak/>
              <w:t>integration, s</w:t>
            </w:r>
            <w:r w:rsidR="00D71458">
              <w:t xml:space="preserve">implifying </w:t>
            </w:r>
            <w:r w:rsidR="003C07D6">
              <w:t xml:space="preserve">program requirements, and enhancing implementation support could </w:t>
            </w:r>
            <w:r w:rsidR="00F51169">
              <w:t>facilitate</w:t>
            </w:r>
            <w:r w:rsidR="00361852">
              <w:t xml:space="preserve"> </w:t>
            </w:r>
            <w:r w:rsidR="00C0122A">
              <w:t xml:space="preserve">greater uptake and </w:t>
            </w:r>
            <w:r w:rsidR="00361852">
              <w:t>more</w:t>
            </w:r>
            <w:r w:rsidR="00CF5494">
              <w:t xml:space="preserve"> consistent </w:t>
            </w:r>
            <w:r w:rsidR="00D22EAC">
              <w:t xml:space="preserve">adherence </w:t>
            </w:r>
            <w:r w:rsidR="00C0122A">
              <w:t>over time</w:t>
            </w:r>
            <w:r w:rsidR="00755559">
              <w:t xml:space="preserve">. </w:t>
            </w:r>
          </w:p>
          <w:p w14:paraId="5EA8A4B7" w14:textId="0E93ACA1" w:rsidR="00DE3F79" w:rsidRDefault="00D46213" w:rsidP="0043705A">
            <w:pPr>
              <w:spacing w:before="0"/>
            </w:pPr>
            <w:r>
              <w:t xml:space="preserve">Findings also indicated that PACOP’s engagement and communication approach may have limited visibility beyond motivated early adopters, making </w:t>
            </w:r>
            <w:r w:rsidR="00CE5896">
              <w:t>it difficult to determine the true extent of sector-wide demand</w:t>
            </w:r>
            <w:r>
              <w:t xml:space="preserve">. </w:t>
            </w:r>
            <w:r w:rsidR="006716D1">
              <w:t xml:space="preserve">Broader and more </w:t>
            </w:r>
            <w:r w:rsidR="00EF161E">
              <w:t xml:space="preserve">tailored </w:t>
            </w:r>
            <w:r w:rsidR="00BB4389">
              <w:t>engagement</w:t>
            </w:r>
            <w:r w:rsidR="006716D1">
              <w:t xml:space="preserve"> strategies, including targeted outreach fo</w:t>
            </w:r>
            <w:r w:rsidR="00BB4389">
              <w:t>r</w:t>
            </w:r>
            <w:r w:rsidR="006716D1">
              <w:t xml:space="preserve"> primary care and improved jurisdictional coverage, </w:t>
            </w:r>
            <w:r w:rsidR="00BB4389">
              <w:t xml:space="preserve">could support broader uptake </w:t>
            </w:r>
            <w:r w:rsidR="00986B5C">
              <w:t xml:space="preserve">and </w:t>
            </w:r>
            <w:r w:rsidR="002F5146">
              <w:t>inform planning for future scale</w:t>
            </w:r>
            <w:r w:rsidR="00981242">
              <w:t>.</w:t>
            </w:r>
          </w:p>
        </w:tc>
        <w:tc>
          <w:tcPr>
            <w:tcW w:w="7481" w:type="dxa"/>
          </w:tcPr>
          <w:p w14:paraId="617EDE8F" w14:textId="3A59CDD6" w:rsidR="000565F6" w:rsidRDefault="000565F6" w:rsidP="000565F6">
            <w:pPr>
              <w:spacing w:before="0"/>
            </w:pPr>
            <w:r>
              <w:lastRenderedPageBreak/>
              <w:t xml:space="preserve">Finding 3. The underlying concepts and objectives of PEPA Aged Care and PACOP to uplift palliative care capability across the aged care sector were widely supported. However, as discussed in the following sections, refinements </w:t>
            </w:r>
            <w:r w:rsidR="004944FE">
              <w:t xml:space="preserve">may be </w:t>
            </w:r>
            <w:r>
              <w:t xml:space="preserve">needed to address identified limitations and better </w:t>
            </w:r>
            <w:r w:rsidR="004944FE">
              <w:t xml:space="preserve">align program delivery with </w:t>
            </w:r>
            <w:r>
              <w:t>sector needs.</w:t>
            </w:r>
          </w:p>
          <w:p w14:paraId="0FF03C17" w14:textId="4F365C98" w:rsidR="0057251C" w:rsidRDefault="000565F6" w:rsidP="001D7984">
            <w:pPr>
              <w:spacing w:before="0"/>
            </w:pPr>
            <w:r>
              <w:t xml:space="preserve">Finding </w:t>
            </w:r>
            <w:r w:rsidR="00931EDB">
              <w:t>1</w:t>
            </w:r>
            <w:r w:rsidR="004B4FB7">
              <w:t>1</w:t>
            </w:r>
            <w:r w:rsidR="00931EDB">
              <w:t>. PACOP</w:t>
            </w:r>
            <w:r w:rsidR="003863F5">
              <w:t>’</w:t>
            </w:r>
            <w:r w:rsidR="00931EDB">
              <w:t>s systematic, evidence-based approach was widely viewed as conceptually appropriate and aligned with sector needs.</w:t>
            </w:r>
          </w:p>
          <w:p w14:paraId="101C53E5" w14:textId="32519AE9" w:rsidR="000565F6" w:rsidRDefault="000565F6" w:rsidP="001D7984">
            <w:pPr>
              <w:spacing w:before="0"/>
            </w:pPr>
            <w:r>
              <w:t xml:space="preserve">Finding </w:t>
            </w:r>
            <w:r w:rsidR="001D7984">
              <w:t>1</w:t>
            </w:r>
            <w:r w:rsidR="004B4FB7">
              <w:t>2</w:t>
            </w:r>
            <w:r w:rsidR="001D7984">
              <w:t xml:space="preserve">. Practical challenges, including resource intensity, implementation complexity, and IT integration obstacles, tempered </w:t>
            </w:r>
            <w:r w:rsidR="002C6E06">
              <w:t xml:space="preserve">stakeholder </w:t>
            </w:r>
            <w:r w:rsidR="001D7984">
              <w:t>perceptions of PACOP</w:t>
            </w:r>
            <w:r w:rsidR="003863F5">
              <w:t>’</w:t>
            </w:r>
            <w:r w:rsidR="001D7984">
              <w:t xml:space="preserve">s suitability in practice. </w:t>
            </w:r>
            <w:r w:rsidR="002C6E06">
              <w:t>Evaluation evidence suggests that</w:t>
            </w:r>
            <w:r w:rsidR="00263991">
              <w:t xml:space="preserve"> simplification of</w:t>
            </w:r>
            <w:r w:rsidR="001D7984">
              <w:t xml:space="preserve"> the </w:t>
            </w:r>
            <w:r w:rsidR="001D7984">
              <w:lastRenderedPageBreak/>
              <w:t>program model, enhance</w:t>
            </w:r>
            <w:r w:rsidR="00263991">
              <w:t>d</w:t>
            </w:r>
            <w:r w:rsidR="001D7984">
              <w:t xml:space="preserve"> implementation support, and accelerate</w:t>
            </w:r>
            <w:r w:rsidR="00263991">
              <w:t>d</w:t>
            </w:r>
            <w:r w:rsidR="001D7984">
              <w:t xml:space="preserve"> IT integration activities </w:t>
            </w:r>
            <w:r w:rsidR="00263991">
              <w:t>would be important considerations in improving feasibility and sustained uptake among providers</w:t>
            </w:r>
            <w:r w:rsidR="001D7984">
              <w:t>.</w:t>
            </w:r>
          </w:p>
          <w:p w14:paraId="43EC6508" w14:textId="3664669A" w:rsidR="000565F6" w:rsidRDefault="000565F6" w:rsidP="001D7984">
            <w:pPr>
              <w:spacing w:before="0"/>
            </w:pPr>
            <w:r>
              <w:t xml:space="preserve">Finding </w:t>
            </w:r>
            <w:r w:rsidR="00920EA7">
              <w:t>2</w:t>
            </w:r>
            <w:r w:rsidR="004B4FB7">
              <w:t>3</w:t>
            </w:r>
            <w:r w:rsidR="00920EA7">
              <w:t xml:space="preserve">. </w:t>
            </w:r>
            <w:r w:rsidR="00111485">
              <w:rPr>
                <w:lang w:eastAsia="en-AU"/>
              </w:rPr>
              <w:t>The PACOP</w:t>
            </w:r>
            <w:r w:rsidR="00111485" w:rsidRPr="007716ED">
              <w:rPr>
                <w:lang w:eastAsia="en-AU"/>
              </w:rPr>
              <w:t xml:space="preserve"> engagement strategy </w:t>
            </w:r>
            <w:r w:rsidR="00111485">
              <w:rPr>
                <w:lang w:eastAsia="en-AU"/>
              </w:rPr>
              <w:t xml:space="preserve">used multiple channels but </w:t>
            </w:r>
            <w:r w:rsidR="00111485" w:rsidRPr="003A6FC1">
              <w:rPr>
                <w:lang w:eastAsia="en-AU"/>
              </w:rPr>
              <w:t xml:space="preserve">relied heavily on PACOP-owned </w:t>
            </w:r>
            <w:r w:rsidR="00111485">
              <w:rPr>
                <w:lang w:eastAsia="en-AU"/>
              </w:rPr>
              <w:t>platforms and self-referral, with minimal referrals through sector partnerships and related initiatives (PEPA Aged Care and ELDAC). While this approach likely supported uptake among motivated providers, it may have constrained broader visibility across the aged care sector, masking potential unmet demand. Stakeholders also noted that existing communication materials could benefit from specialist aged care communications expertise</w:t>
            </w:r>
            <w:r w:rsidR="00155B8E">
              <w:rPr>
                <w:lang w:eastAsia="en-AU"/>
              </w:rPr>
              <w:t xml:space="preserve"> to more clearly convey the program’s value and potential benef</w:t>
            </w:r>
            <w:r w:rsidR="00E64DAD">
              <w:rPr>
                <w:lang w:eastAsia="en-AU"/>
              </w:rPr>
              <w:t>its</w:t>
            </w:r>
            <w:r w:rsidR="00111485">
              <w:rPr>
                <w:lang w:eastAsia="en-AU"/>
              </w:rPr>
              <w:t xml:space="preserve">. </w:t>
            </w:r>
          </w:p>
          <w:p w14:paraId="21CCDAFB" w14:textId="5C2EF960" w:rsidR="000565F6" w:rsidRDefault="000565F6" w:rsidP="001D7984">
            <w:pPr>
              <w:spacing w:before="0"/>
            </w:pPr>
            <w:r>
              <w:t xml:space="preserve">Finding </w:t>
            </w:r>
            <w:r w:rsidR="00C84CEA">
              <w:t>2</w:t>
            </w:r>
            <w:r w:rsidR="004B4FB7">
              <w:t>4</w:t>
            </w:r>
            <w:r w:rsidR="00C84CEA">
              <w:t xml:space="preserve">. </w:t>
            </w:r>
            <w:r w:rsidR="00C84CEA" w:rsidRPr="00B90D5E">
              <w:rPr>
                <w:lang w:eastAsia="en-AU"/>
              </w:rPr>
              <w:t>PACOP achieved strong early growth</w:t>
            </w:r>
            <w:r w:rsidR="00E64DAD">
              <w:rPr>
                <w:lang w:eastAsia="en-AU"/>
              </w:rPr>
              <w:t xml:space="preserve"> in provider and aged care home participation, followed by a deceleration in</w:t>
            </w:r>
            <w:r w:rsidR="00C84CEA" w:rsidRPr="00B90D5E">
              <w:rPr>
                <w:lang w:eastAsia="en-AU"/>
              </w:rPr>
              <w:t xml:space="preserve"> later years. Uptake was driven primarily by smaller providers, while participation among medium and larger organisations remained </w:t>
            </w:r>
            <w:r w:rsidR="00C84CEA">
              <w:rPr>
                <w:lang w:eastAsia="en-AU"/>
              </w:rPr>
              <w:t>relatively stable</w:t>
            </w:r>
            <w:r w:rsidR="00C84CEA" w:rsidRPr="00B90D5E">
              <w:rPr>
                <w:lang w:eastAsia="en-AU"/>
              </w:rPr>
              <w:t>. Overall sector penetration was modest</w:t>
            </w:r>
            <w:r w:rsidR="00E64DAD">
              <w:rPr>
                <w:lang w:eastAsia="en-AU"/>
              </w:rPr>
              <w:t xml:space="preserve">, with evidence suggesting that </w:t>
            </w:r>
            <w:r w:rsidR="00675682">
              <w:rPr>
                <w:lang w:eastAsia="en-AU"/>
              </w:rPr>
              <w:t>participation</w:t>
            </w:r>
            <w:r w:rsidR="00E64DAD">
              <w:rPr>
                <w:lang w:eastAsia="en-AU"/>
              </w:rPr>
              <w:t xml:space="preserve"> may have been influenced by factors</w:t>
            </w:r>
            <w:r w:rsidR="00675682">
              <w:rPr>
                <w:lang w:eastAsia="en-AU"/>
              </w:rPr>
              <w:t xml:space="preserve"> includ</w:t>
            </w:r>
            <w:r w:rsidR="00E64DAD">
              <w:rPr>
                <w:lang w:eastAsia="en-AU"/>
              </w:rPr>
              <w:t>ing</w:t>
            </w:r>
            <w:r w:rsidR="00675682">
              <w:rPr>
                <w:lang w:eastAsia="en-AU"/>
              </w:rPr>
              <w:t xml:space="preserve"> low awareness, </w:t>
            </w:r>
            <w:r w:rsidR="008771B5">
              <w:rPr>
                <w:lang w:eastAsia="en-AU"/>
              </w:rPr>
              <w:t>IT interoperability challenges</w:t>
            </w:r>
            <w:r w:rsidR="00675682">
              <w:rPr>
                <w:lang w:eastAsia="en-AU"/>
              </w:rPr>
              <w:t xml:space="preserve">, perceived resource intensity, and the </w:t>
            </w:r>
            <w:r w:rsidR="0006749E">
              <w:rPr>
                <w:lang w:eastAsia="en-AU"/>
              </w:rPr>
              <w:t xml:space="preserve">absence </w:t>
            </w:r>
            <w:r w:rsidR="00675682">
              <w:rPr>
                <w:lang w:eastAsia="en-AU"/>
              </w:rPr>
              <w:t>of financial support for</w:t>
            </w:r>
            <w:r w:rsidR="00C84CEA">
              <w:rPr>
                <w:lang w:eastAsia="en-AU"/>
              </w:rPr>
              <w:t xml:space="preserve"> participation.</w:t>
            </w:r>
          </w:p>
          <w:p w14:paraId="7BEE98E1" w14:textId="5868C016" w:rsidR="000565F6" w:rsidRDefault="000565F6" w:rsidP="001D7984">
            <w:pPr>
              <w:spacing w:before="0"/>
            </w:pPr>
            <w:r>
              <w:t>Finding</w:t>
            </w:r>
            <w:r w:rsidR="007356D6">
              <w:t xml:space="preserve"> 2</w:t>
            </w:r>
            <w:r w:rsidR="004B4FB7">
              <w:t>7</w:t>
            </w:r>
            <w:r w:rsidR="007356D6">
              <w:t xml:space="preserve">. </w:t>
            </w:r>
            <w:r w:rsidR="007356D6" w:rsidRPr="00B71D53">
              <w:t>Persistent IT integration issues and the program</w:t>
            </w:r>
            <w:r w:rsidR="003863F5">
              <w:t>’</w:t>
            </w:r>
            <w:r w:rsidR="007356D6" w:rsidRPr="00B71D53">
              <w:t>s resource intensity were consistently identified as the most significant barriers to sustained participation</w:t>
            </w:r>
            <w:r w:rsidR="00CA4883">
              <w:t xml:space="preserve"> in PACOP</w:t>
            </w:r>
            <w:r w:rsidR="007356D6" w:rsidRPr="00B71D53">
              <w:t xml:space="preserve">. These challenges created administrative burden and impacted benchmarking participation, </w:t>
            </w:r>
            <w:r w:rsidR="008B6EA3">
              <w:t>suggesting</w:t>
            </w:r>
            <w:r w:rsidR="008B6EA3" w:rsidRPr="00B71D53">
              <w:t xml:space="preserve"> </w:t>
            </w:r>
            <w:r w:rsidR="007356D6" w:rsidRPr="00B71D53">
              <w:t xml:space="preserve">the need for improved technology solutions, additional implementation support, and </w:t>
            </w:r>
            <w:r w:rsidR="008B6EA3">
              <w:t>simplification of the</w:t>
            </w:r>
            <w:r w:rsidR="007356D6" w:rsidRPr="00B71D53">
              <w:t xml:space="preserve"> program model</w:t>
            </w:r>
            <w:r w:rsidR="00675682">
              <w:t>.</w:t>
            </w:r>
          </w:p>
          <w:p w14:paraId="61F1E17F" w14:textId="04EF2BFB" w:rsidR="000565F6" w:rsidRDefault="000565F6" w:rsidP="001D7984">
            <w:pPr>
              <w:spacing w:before="0"/>
            </w:pPr>
            <w:r>
              <w:t>Finding</w:t>
            </w:r>
            <w:r w:rsidR="00901F7E">
              <w:t xml:space="preserve"> 2</w:t>
            </w:r>
            <w:r w:rsidR="004B4FB7">
              <w:t>9</w:t>
            </w:r>
            <w:r w:rsidR="00901F7E">
              <w:t xml:space="preserve">. Reported barriers to engaging with PACOP educational activities included access to training resources, high workload, and staffing constraints. Participants </w:t>
            </w:r>
            <w:r w:rsidR="00C9621D">
              <w:t xml:space="preserve">highlighted </w:t>
            </w:r>
            <w:r w:rsidR="00901F7E">
              <w:t>the</w:t>
            </w:r>
            <w:r w:rsidR="00C9621D">
              <w:t xml:space="preserve"> value of continued</w:t>
            </w:r>
            <w:r w:rsidR="00901F7E">
              <w:t xml:space="preserve"> access to training and dedicated implementation support.</w:t>
            </w:r>
          </w:p>
          <w:p w14:paraId="4637BB90" w14:textId="1775688C" w:rsidR="00C9445B" w:rsidRDefault="00C9445B" w:rsidP="001D7984">
            <w:pPr>
              <w:spacing w:before="0"/>
            </w:pPr>
            <w:r>
              <w:t>Finding 3</w:t>
            </w:r>
            <w:r w:rsidR="004B4FB7">
              <w:t>4</w:t>
            </w:r>
            <w:r>
              <w:t xml:space="preserve">. </w:t>
            </w:r>
            <w:r w:rsidR="00DF79E7">
              <w:t xml:space="preserve">Evidence suggests that </w:t>
            </w:r>
            <w:r w:rsidR="00892CDA" w:rsidRPr="00607C0F">
              <w:t xml:space="preserve">PACOP </w:t>
            </w:r>
            <w:r w:rsidR="00892CDA">
              <w:t>contributed to</w:t>
            </w:r>
            <w:r w:rsidR="00892CDA" w:rsidRPr="00607C0F">
              <w:t xml:space="preserve"> </w:t>
            </w:r>
            <w:r w:rsidR="00DF79E7">
              <w:t>perceived improvements in</w:t>
            </w:r>
            <w:r w:rsidR="00DF79E7" w:rsidRPr="00607C0F">
              <w:t xml:space="preserve"> </w:t>
            </w:r>
            <w:r w:rsidR="00892CDA" w:rsidRPr="00607C0F">
              <w:t xml:space="preserve">workforce capability </w:t>
            </w:r>
            <w:r w:rsidR="00892CDA">
              <w:t xml:space="preserve">in key domains of palliative care delivery within participating homes, particularly among direct care staff. Survey </w:t>
            </w:r>
            <w:r w:rsidR="00392E57">
              <w:t xml:space="preserve">findings </w:t>
            </w:r>
            <w:r w:rsidR="00892CDA">
              <w:t xml:space="preserve">suggested potential cumulative benefits with sustained program engagement. While PACOP was identified as relevant and beneficial for GPs and other medical practitioners, qualitative </w:t>
            </w:r>
            <w:r w:rsidR="00392E57">
              <w:lastRenderedPageBreak/>
              <w:t xml:space="preserve">evidence </w:t>
            </w:r>
            <w:r w:rsidR="00892CDA">
              <w:t xml:space="preserve">suggested </w:t>
            </w:r>
            <w:r w:rsidR="00392E57">
              <w:t>that</w:t>
            </w:r>
            <w:r w:rsidR="00892CDA">
              <w:t xml:space="preserve"> engagement among these groups</w:t>
            </w:r>
            <w:r w:rsidR="00392E57">
              <w:t xml:space="preserve"> was limited</w:t>
            </w:r>
            <w:r w:rsidR="00892CDA">
              <w:t>,</w:t>
            </w:r>
            <w:r w:rsidR="00392E57">
              <w:t xml:space="preserve"> highlighting potential opportunities</w:t>
            </w:r>
            <w:r w:rsidR="00892CDA">
              <w:t xml:space="preserve"> to broaden participation.</w:t>
            </w:r>
          </w:p>
          <w:p w14:paraId="76AA5181" w14:textId="3CEFF517" w:rsidR="000565F6" w:rsidRDefault="000565F6" w:rsidP="001D7984">
            <w:pPr>
              <w:spacing w:before="0"/>
            </w:pPr>
            <w:r>
              <w:t>Finding</w:t>
            </w:r>
            <w:r w:rsidR="00CE736B">
              <w:t xml:space="preserve"> 3</w:t>
            </w:r>
            <w:r w:rsidR="004B4FB7">
              <w:t>5</w:t>
            </w:r>
            <w:r w:rsidR="00CE736B">
              <w:t>. Survey and case study evidence suggested that PACOP contributed to strengthening organisational capability and embedding structured processes for quality improvement and collaboration. Benchmarking data signalled some early signs of improvement in several domains.</w:t>
            </w:r>
          </w:p>
          <w:p w14:paraId="2571DCFF" w14:textId="2831A6A1" w:rsidR="0057100B" w:rsidRDefault="00864E07" w:rsidP="001D7984">
            <w:pPr>
              <w:spacing w:before="0"/>
            </w:pPr>
            <w:r>
              <w:t>Finding 3</w:t>
            </w:r>
            <w:r w:rsidR="004B4FB7">
              <w:t>6</w:t>
            </w:r>
            <w:r>
              <w:t xml:space="preserve">. Declines in key process benchmarking measures, including completion of scheduled Profile Collection assessments and timely initiation of palliative care using the Outcomes Collection, indicate that some homes </w:t>
            </w:r>
            <w:r w:rsidR="00FC0885">
              <w:t xml:space="preserve">were </w:t>
            </w:r>
            <w:r>
              <w:t xml:space="preserve">struggling to consistently adhere to the PACOP framework. These findings </w:t>
            </w:r>
            <w:r w:rsidR="00392E57">
              <w:t>highlight ongoing implementation and feasibility challenges</w:t>
            </w:r>
            <w:r>
              <w:t>.</w:t>
            </w:r>
          </w:p>
          <w:p w14:paraId="2839C468" w14:textId="74025E08" w:rsidR="000565F6" w:rsidRDefault="000565F6" w:rsidP="007012AF">
            <w:pPr>
              <w:spacing w:before="0"/>
            </w:pPr>
            <w:r>
              <w:t>Finding</w:t>
            </w:r>
            <w:r w:rsidR="00E23880">
              <w:t xml:space="preserve"> 3</w:t>
            </w:r>
            <w:r w:rsidR="004B4FB7">
              <w:t>8</w:t>
            </w:r>
            <w:r w:rsidR="00E23880">
              <w:t xml:space="preserve">. </w:t>
            </w:r>
            <w:r w:rsidR="008C2770" w:rsidRPr="008C2770">
              <w:t xml:space="preserve">Factors influencing </w:t>
            </w:r>
            <w:r w:rsidR="00E23880">
              <w:t>PACOP</w:t>
            </w:r>
            <w:r w:rsidR="003863F5">
              <w:t>’</w:t>
            </w:r>
            <w:r w:rsidR="00E23880">
              <w:t xml:space="preserve">s effectiveness </w:t>
            </w:r>
            <w:r w:rsidR="008C2770" w:rsidRPr="008C2770">
              <w:t>included</w:t>
            </w:r>
            <w:r w:rsidR="00E23880">
              <w:t xml:space="preserve"> leadership engagement, IT integration, </w:t>
            </w:r>
            <w:r w:rsidR="00A217AD">
              <w:t xml:space="preserve">workforce challenges, the availability of appropriate </w:t>
            </w:r>
            <w:r w:rsidR="00397D4A">
              <w:t xml:space="preserve">internal </w:t>
            </w:r>
            <w:r w:rsidR="00E23880">
              <w:t xml:space="preserve">clinical capability, and program reach. </w:t>
            </w:r>
          </w:p>
          <w:p w14:paraId="47153174" w14:textId="123EB9A3" w:rsidR="009B162B" w:rsidRDefault="009B162B" w:rsidP="007012AF">
            <w:pPr>
              <w:spacing w:before="0"/>
            </w:pPr>
            <w:r>
              <w:t>Finding 4</w:t>
            </w:r>
            <w:r w:rsidR="004B4FB7">
              <w:t>4</w:t>
            </w:r>
            <w:r>
              <w:t xml:space="preserve">. </w:t>
            </w:r>
            <w:r w:rsidR="00193B41">
              <w:t>PACOP had a</w:t>
            </w:r>
            <w:r w:rsidR="00392E57">
              <w:t>ccumulated a</w:t>
            </w:r>
            <w:r w:rsidR="00193B41">
              <w:t xml:space="preserve"> significant </w:t>
            </w:r>
            <w:r w:rsidR="005F1641">
              <w:t xml:space="preserve">unspent balance of $2.65 </w:t>
            </w:r>
            <w:r w:rsidR="00193B41">
              <w:t>million over the four financial years from 2021</w:t>
            </w:r>
            <w:r w:rsidR="00193B41" w:rsidRPr="00790A58">
              <w:t>–</w:t>
            </w:r>
            <w:r w:rsidR="00193B41">
              <w:t>22 to 2024</w:t>
            </w:r>
            <w:r w:rsidR="00193B41" w:rsidRPr="00790A58">
              <w:t>–</w:t>
            </w:r>
            <w:r w:rsidR="00193B41">
              <w:t xml:space="preserve">25. Delays </w:t>
            </w:r>
            <w:r w:rsidR="00FD5D24">
              <w:t>related to</w:t>
            </w:r>
            <w:r w:rsidR="00193B41">
              <w:t xml:space="preserve"> IT development and persistent staff recruitment challenges </w:t>
            </w:r>
            <w:r w:rsidR="00FD5D24">
              <w:t>contributed to lower expenditure</w:t>
            </w:r>
            <w:r w:rsidR="00193B41">
              <w:t>. These constraints likely impacted program reach and scale.</w:t>
            </w:r>
          </w:p>
          <w:p w14:paraId="799E390F" w14:textId="0ADBDE49" w:rsidR="00193B41" w:rsidRDefault="00193B41" w:rsidP="007012AF">
            <w:pPr>
              <w:spacing w:before="0"/>
              <w:rPr>
                <w:lang w:eastAsia="en-AU"/>
              </w:rPr>
            </w:pPr>
            <w:r>
              <w:t>Finding 4</w:t>
            </w:r>
            <w:r w:rsidR="004B4FB7">
              <w:t>5</w:t>
            </w:r>
            <w:r>
              <w:t xml:space="preserve">. </w:t>
            </w:r>
            <w:r w:rsidR="00964DD9">
              <w:rPr>
                <w:lang w:eastAsia="en-AU"/>
              </w:rPr>
              <w:t xml:space="preserve">PACOP </w:t>
            </w:r>
            <w:r w:rsidR="00FD5D24">
              <w:rPr>
                <w:lang w:eastAsia="en-AU"/>
              </w:rPr>
              <w:t xml:space="preserve">unit </w:t>
            </w:r>
            <w:r w:rsidR="00964DD9">
              <w:rPr>
                <w:lang w:eastAsia="en-AU"/>
              </w:rPr>
              <w:t>costs decreased per registered provider, per registered home, and per home participating in benchmarking,</w:t>
            </w:r>
            <w:r w:rsidR="00964DD9" w:rsidRPr="00F3451E">
              <w:rPr>
                <w:lang w:eastAsia="en-AU"/>
              </w:rPr>
              <w:t xml:space="preserve"> </w:t>
            </w:r>
            <w:r w:rsidR="00964DD9">
              <w:rPr>
                <w:lang w:eastAsia="en-AU"/>
              </w:rPr>
              <w:t>without an</w:t>
            </w:r>
            <w:r w:rsidR="00964DD9" w:rsidRPr="00F3451E">
              <w:rPr>
                <w:lang w:eastAsia="en-AU"/>
              </w:rPr>
              <w:t xml:space="preserve"> overall </w:t>
            </w:r>
            <w:r w:rsidR="00964DD9">
              <w:rPr>
                <w:lang w:eastAsia="en-AU"/>
              </w:rPr>
              <w:t xml:space="preserve">increase in </w:t>
            </w:r>
            <w:r w:rsidR="00964DD9" w:rsidRPr="00F3451E">
              <w:rPr>
                <w:lang w:eastAsia="en-AU"/>
              </w:rPr>
              <w:t>expenditure</w:t>
            </w:r>
            <w:r w:rsidR="00FD5D24">
              <w:rPr>
                <w:lang w:eastAsia="en-AU"/>
              </w:rPr>
              <w:t>. This pattern</w:t>
            </w:r>
            <w:r w:rsidR="000528A2">
              <w:rPr>
                <w:lang w:eastAsia="en-AU"/>
              </w:rPr>
              <w:t xml:space="preserve"> indicates</w:t>
            </w:r>
            <w:r w:rsidR="00964DD9">
              <w:rPr>
                <w:lang w:eastAsia="en-AU"/>
              </w:rPr>
              <w:t xml:space="preserve"> economies of scale</w:t>
            </w:r>
            <w:r w:rsidR="000528A2">
              <w:rPr>
                <w:lang w:eastAsia="en-AU"/>
              </w:rPr>
              <w:t xml:space="preserve"> as program participation expanded, although </w:t>
            </w:r>
            <w:r w:rsidR="00964DD9">
              <w:rPr>
                <w:lang w:eastAsia="en-AU"/>
              </w:rPr>
              <w:t xml:space="preserve">benchmarking participation </w:t>
            </w:r>
            <w:r w:rsidR="000528A2">
              <w:rPr>
                <w:lang w:eastAsia="en-AU"/>
              </w:rPr>
              <w:t>remained limited at the time of the evaluation</w:t>
            </w:r>
            <w:r w:rsidR="00964DD9">
              <w:rPr>
                <w:lang w:eastAsia="en-AU"/>
              </w:rPr>
              <w:t>.</w:t>
            </w:r>
          </w:p>
          <w:p w14:paraId="06C3F79F" w14:textId="71BEBF14" w:rsidR="000565F6" w:rsidRDefault="00964DD9" w:rsidP="007012AF">
            <w:pPr>
              <w:spacing w:before="0" w:after="0"/>
            </w:pPr>
            <w:r>
              <w:rPr>
                <w:lang w:eastAsia="en-AU"/>
              </w:rPr>
              <w:t>Finding 4</w:t>
            </w:r>
            <w:r w:rsidR="004B4FB7">
              <w:rPr>
                <w:lang w:eastAsia="en-AU"/>
              </w:rPr>
              <w:t>6</w:t>
            </w:r>
            <w:r>
              <w:rPr>
                <w:lang w:eastAsia="en-AU"/>
              </w:rPr>
              <w:t xml:space="preserve">. </w:t>
            </w:r>
            <w:r w:rsidR="007012AF">
              <w:t>PACOP delivered early qualitative benefits for participating homes and staff. Evidence from PACOP assessment data suggested no measurable impact on unplanned hospital use to date. This likely reflects the early stage of implementation</w:t>
            </w:r>
            <w:r w:rsidR="000528A2">
              <w:t>, limited benchmarking participation, and the influence of external factors. More mature data and longer follow-up will be required</w:t>
            </w:r>
            <w:r w:rsidR="007012AF">
              <w:t xml:space="preserve"> before economic benefits can be reliably </w:t>
            </w:r>
            <w:r w:rsidR="000528A2">
              <w:t>assessed</w:t>
            </w:r>
            <w:r w:rsidR="007012AF">
              <w:t>.</w:t>
            </w:r>
          </w:p>
        </w:tc>
      </w:tr>
      <w:tr w:rsidR="00444D0C" w14:paraId="540284F5" w14:textId="77777777" w:rsidTr="00F00620">
        <w:tc>
          <w:tcPr>
            <w:tcW w:w="4111" w:type="dxa"/>
          </w:tcPr>
          <w:p w14:paraId="35F8D318" w14:textId="5E7CE904" w:rsidR="00444D0C" w:rsidRDefault="00636F5B" w:rsidP="00A20198">
            <w:pPr>
              <w:pStyle w:val="TableList"/>
            </w:pPr>
            <w:r>
              <w:lastRenderedPageBreak/>
              <w:t xml:space="preserve">If the Australian Government were to consider a future extension of PACOP, </w:t>
            </w:r>
            <w:r>
              <w:lastRenderedPageBreak/>
              <w:t xml:space="preserve">there is an opportunity to </w:t>
            </w:r>
            <w:r w:rsidR="00B95537">
              <w:t>continue validat</w:t>
            </w:r>
            <w:r w:rsidR="00F34F75">
              <w:t>ing</w:t>
            </w:r>
            <w:r w:rsidR="00B95537">
              <w:t xml:space="preserve"> and </w:t>
            </w:r>
            <w:r w:rsidR="00F34F75">
              <w:t xml:space="preserve">adapting the </w:t>
            </w:r>
            <w:r w:rsidR="00B95537">
              <w:t>PACOP assessment tools to ensure clinical appropriate</w:t>
            </w:r>
            <w:r w:rsidR="00F34F75">
              <w:t>ness</w:t>
            </w:r>
            <w:r w:rsidR="00B95537">
              <w:t xml:space="preserve"> for residential aged care populations, including people with dementia and cognitive impairment</w:t>
            </w:r>
            <w:r w:rsidR="00342674">
              <w:t>.</w:t>
            </w:r>
          </w:p>
        </w:tc>
        <w:tc>
          <w:tcPr>
            <w:tcW w:w="3544" w:type="dxa"/>
          </w:tcPr>
          <w:p w14:paraId="25C71178" w14:textId="2849ECE1" w:rsidR="00444D0C" w:rsidRDefault="00787330" w:rsidP="0057251C">
            <w:pPr>
              <w:spacing w:before="0" w:after="0"/>
            </w:pPr>
            <w:r>
              <w:lastRenderedPageBreak/>
              <w:t xml:space="preserve">Residential aged care populations are characterised by a high </w:t>
            </w:r>
            <w:r w:rsidR="009637A1">
              <w:t xml:space="preserve">prevalence of </w:t>
            </w:r>
            <w:r w:rsidR="009637A1">
              <w:lastRenderedPageBreak/>
              <w:t>dementia and cognitive impairment, coupled with unpredictable end-of-life trajectories</w:t>
            </w:r>
            <w:r>
              <w:t>. This can complicate the application of assessment tools developed primarily</w:t>
            </w:r>
            <w:r w:rsidR="009637A1">
              <w:t xml:space="preserve"> for other settings</w:t>
            </w:r>
            <w:r>
              <w:t>. Evaluation findings suggested that</w:t>
            </w:r>
            <w:r w:rsidR="009637A1">
              <w:t xml:space="preserve"> </w:t>
            </w:r>
            <w:r>
              <w:t xml:space="preserve">some PACOP assessment items </w:t>
            </w:r>
            <w:r w:rsidR="00CE5896">
              <w:t>did not</w:t>
            </w:r>
            <w:r w:rsidR="009637A1">
              <w:t xml:space="preserve"> </w:t>
            </w:r>
            <w:r w:rsidR="00CA485B">
              <w:t>consistently reflect</w:t>
            </w:r>
            <w:r w:rsidR="009637A1">
              <w:t xml:space="preserve"> the needs or </w:t>
            </w:r>
            <w:r w:rsidR="00CA485B">
              <w:t>clinical circumstance</w:t>
            </w:r>
            <w:r w:rsidR="003C4A2E">
              <w:t>s</w:t>
            </w:r>
            <w:r w:rsidR="00CA485B">
              <w:t xml:space="preserve"> </w:t>
            </w:r>
            <w:r w:rsidR="009637A1">
              <w:t xml:space="preserve">of the residential aged care cohort. </w:t>
            </w:r>
            <w:r w:rsidR="003C4A2E">
              <w:t xml:space="preserve">Continued validation and adaptation of assessment tools, alongside efforts to simplify data collection processes (see </w:t>
            </w:r>
            <w:r w:rsidR="00137177">
              <w:t xml:space="preserve">Opportunity </w:t>
            </w:r>
            <w:r w:rsidR="007D49FC">
              <w:t>7</w:t>
            </w:r>
            <w:r w:rsidR="003C4A2E">
              <w:t>), coul</w:t>
            </w:r>
            <w:r w:rsidR="00D345F7">
              <w:t>d enhance the clinical relevance and usability of PACOP data</w:t>
            </w:r>
            <w:r w:rsidR="00570FE1">
              <w:t>.</w:t>
            </w:r>
          </w:p>
        </w:tc>
        <w:tc>
          <w:tcPr>
            <w:tcW w:w="7481" w:type="dxa"/>
          </w:tcPr>
          <w:p w14:paraId="60F5E296" w14:textId="4FBA06FE" w:rsidR="00444D0C" w:rsidRDefault="00DB255D" w:rsidP="0057251C">
            <w:pPr>
              <w:spacing w:before="0" w:after="0"/>
            </w:pPr>
            <w:r>
              <w:lastRenderedPageBreak/>
              <w:t>Finding 1</w:t>
            </w:r>
            <w:r w:rsidR="004B4FB7">
              <w:t>3</w:t>
            </w:r>
            <w:r>
              <w:t>. The suitability of some PACOP assessment tools for aged care populations was questioned, due to high levels of cognitive impairment and unpredictable end-of-</w:t>
            </w:r>
            <w:r>
              <w:lastRenderedPageBreak/>
              <w:t>life trajectories. This suggests a need for further validation and adaptation to ensure clinical appropriateness.</w:t>
            </w:r>
          </w:p>
        </w:tc>
      </w:tr>
    </w:tbl>
    <w:p w14:paraId="166878AA" w14:textId="77777777" w:rsidR="005D32E4" w:rsidRDefault="005D32E4" w:rsidP="00AD4C35">
      <w:pPr>
        <w:sectPr w:rsidR="005D32E4" w:rsidSect="005D32E4">
          <w:type w:val="continuous"/>
          <w:pgSz w:w="16838" w:h="11906" w:orient="landscape" w:code="9"/>
          <w:pgMar w:top="851" w:right="851" w:bottom="851" w:left="851" w:header="709" w:footer="567" w:gutter="0"/>
          <w:cols w:space="709"/>
          <w:docGrid w:linePitch="360"/>
        </w:sectPr>
      </w:pPr>
    </w:p>
    <w:p w14:paraId="1E64745A" w14:textId="5883F45B" w:rsidR="00AF7E60" w:rsidRDefault="00E96C93" w:rsidP="00E96C93">
      <w:pPr>
        <w:pStyle w:val="Heading1"/>
        <w:framePr w:wrap="around"/>
      </w:pPr>
      <w:bookmarkStart w:id="136" w:name="_Toc232685933"/>
      <w:r>
        <w:lastRenderedPageBreak/>
        <w:t>Appendices</w:t>
      </w:r>
      <w:bookmarkEnd w:id="136"/>
    </w:p>
    <w:p w14:paraId="5FDCCB58" w14:textId="6122899C" w:rsidR="00C349A1" w:rsidRDefault="00C349A1" w:rsidP="00C349A1">
      <w:pPr>
        <w:pStyle w:val="Heading-Appendix"/>
      </w:pPr>
      <w:bookmarkStart w:id="137" w:name="_Toc183101073"/>
      <w:bookmarkStart w:id="138" w:name="_Ref216962490"/>
      <w:bookmarkStart w:id="139" w:name="_Ref216962555"/>
      <w:bookmarkStart w:id="140" w:name="_Toc232685934"/>
      <w:bookmarkStart w:id="141" w:name="_Ref158109064"/>
      <w:r>
        <w:t>Evaluation framework</w:t>
      </w:r>
      <w:bookmarkEnd w:id="137"/>
      <w:bookmarkEnd w:id="138"/>
      <w:bookmarkEnd w:id="139"/>
      <w:bookmarkEnd w:id="140"/>
    </w:p>
    <w:p w14:paraId="3E5866BE" w14:textId="1F0751BE" w:rsidR="00C349A1" w:rsidRDefault="00C349A1" w:rsidP="00C349A1">
      <w:r>
        <w:t xml:space="preserve">The program logic informed the development of the </w:t>
      </w:r>
      <w:r w:rsidR="00C97DDD">
        <w:t>e</w:t>
      </w:r>
      <w:r>
        <w:t xml:space="preserve">valuation </w:t>
      </w:r>
      <w:r w:rsidR="00C97DDD">
        <w:t>f</w:t>
      </w:r>
      <w:r>
        <w:t>ramework for the evaluation of the Measure.</w:t>
      </w:r>
    </w:p>
    <w:p w14:paraId="29530C56" w14:textId="188D8D8F" w:rsidR="00731C35" w:rsidRDefault="00731C35" w:rsidP="00731C35">
      <w:r>
        <w:t xml:space="preserve">The </w:t>
      </w:r>
      <w:r w:rsidR="00C97DDD">
        <w:t>e</w:t>
      </w:r>
      <w:r>
        <w:t xml:space="preserve">valuation </w:t>
      </w:r>
      <w:r w:rsidR="00C97DDD">
        <w:t>f</w:t>
      </w:r>
      <w:r>
        <w:t>ramework sets out:</w:t>
      </w:r>
    </w:p>
    <w:p w14:paraId="720CFA35" w14:textId="40F67368" w:rsidR="00731C35" w:rsidRPr="00F12A79" w:rsidRDefault="00C97DDD" w:rsidP="00731C35">
      <w:pPr>
        <w:pStyle w:val="ListBullet"/>
        <w:spacing w:before="0"/>
        <w:ind w:left="284" w:hanging="284"/>
      </w:pPr>
      <w:r>
        <w:t>t</w:t>
      </w:r>
      <w:r w:rsidR="00731C35" w:rsidRPr="00990FD1">
        <w:t>he</w:t>
      </w:r>
      <w:r w:rsidR="00731C35" w:rsidRPr="00990FD1">
        <w:rPr>
          <w:b/>
          <w:bCs/>
        </w:rPr>
        <w:t xml:space="preserve"> </w:t>
      </w:r>
      <w:r w:rsidR="00731C35" w:rsidRPr="00F12A79">
        <w:t>KEAs</w:t>
      </w:r>
      <w:r w:rsidRPr="00F12A79">
        <w:t>,</w:t>
      </w:r>
      <w:r w:rsidR="00731C35" w:rsidRPr="00F12A79">
        <w:t xml:space="preserve"> which provide the broad focus areas for the evaluation</w:t>
      </w:r>
    </w:p>
    <w:p w14:paraId="76E7C194" w14:textId="27B9C24A" w:rsidR="00731C35" w:rsidRPr="00F12A79" w:rsidRDefault="00C97DDD" w:rsidP="00731C35">
      <w:pPr>
        <w:pStyle w:val="ListBullet"/>
        <w:spacing w:before="0"/>
        <w:ind w:left="284" w:hanging="284"/>
      </w:pPr>
      <w:r w:rsidRPr="00F12A79">
        <w:t>t</w:t>
      </w:r>
      <w:r w:rsidR="00731C35" w:rsidRPr="00F12A79">
        <w:t xml:space="preserve">he key evaluation questions </w:t>
      </w:r>
      <w:r w:rsidRPr="00F12A79">
        <w:t xml:space="preserve">and sub-questions </w:t>
      </w:r>
      <w:r w:rsidR="00731C35" w:rsidRPr="00F12A79">
        <w:t>the evaluation sought to address</w:t>
      </w:r>
    </w:p>
    <w:p w14:paraId="33FA548F" w14:textId="5CE21302" w:rsidR="002F4F88" w:rsidRPr="00F12A79" w:rsidRDefault="00C97DDD" w:rsidP="002F4F88">
      <w:pPr>
        <w:pStyle w:val="ListBullet"/>
        <w:spacing w:before="0"/>
        <w:ind w:left="284" w:hanging="284"/>
      </w:pPr>
      <w:r w:rsidRPr="00F12A79">
        <w:t>d</w:t>
      </w:r>
      <w:r w:rsidR="00731C35" w:rsidRPr="00F12A79">
        <w:t>ata sources used to assess each evaluation question</w:t>
      </w:r>
    </w:p>
    <w:p w14:paraId="6378F649" w14:textId="2D696B67" w:rsidR="00731C35" w:rsidRDefault="00C97DDD">
      <w:pPr>
        <w:pStyle w:val="ListBullet"/>
        <w:spacing w:before="0"/>
        <w:ind w:left="284" w:hanging="284"/>
      </w:pPr>
      <w:r w:rsidRPr="00F12A79">
        <w:t xml:space="preserve">data analysis </w:t>
      </w:r>
      <w:r>
        <w:t>methods</w:t>
      </w:r>
      <w:r w:rsidR="00731C35">
        <w:t>.</w:t>
      </w:r>
    </w:p>
    <w:p w14:paraId="6F1DEBFD" w14:textId="3EF29C2A" w:rsidR="006B23F3" w:rsidRDefault="00927D38" w:rsidP="00731C35">
      <w:r>
        <w:fldChar w:fldCharType="begin"/>
      </w:r>
      <w:r>
        <w:instrText xml:space="preserve"> REF _Ref228273015 \h </w:instrText>
      </w:r>
      <w:r>
        <w:fldChar w:fldCharType="separate"/>
      </w:r>
      <w:r>
        <w:t xml:space="preserve">Table </w:t>
      </w:r>
      <w:r>
        <w:rPr>
          <w:noProof/>
        </w:rPr>
        <w:t>9</w:t>
      </w:r>
      <w:r>
        <w:t>.</w:t>
      </w:r>
      <w:r>
        <w:rPr>
          <w:noProof/>
        </w:rPr>
        <w:t>1</w:t>
      </w:r>
      <w:r>
        <w:fldChar w:fldCharType="end"/>
      </w:r>
      <w:r>
        <w:t xml:space="preserve"> </w:t>
      </w:r>
      <w:r w:rsidR="00731C35">
        <w:t xml:space="preserve">presents the </w:t>
      </w:r>
      <w:r w:rsidR="00C87743">
        <w:t>e</w:t>
      </w:r>
      <w:r w:rsidR="00731C35">
        <w:t xml:space="preserve">valuation </w:t>
      </w:r>
      <w:r w:rsidR="00C87743">
        <w:t>f</w:t>
      </w:r>
      <w:r w:rsidR="00731C35">
        <w:t>ramework.</w:t>
      </w:r>
    </w:p>
    <w:p w14:paraId="04E0C563" w14:textId="4D5B32A4" w:rsidR="0091457A" w:rsidRDefault="0091457A" w:rsidP="0091457A">
      <w:pPr>
        <w:pStyle w:val="Caption"/>
      </w:pPr>
      <w:bookmarkStart w:id="142" w:name="_Ref228273015"/>
      <w:r>
        <w:t xml:space="preserve">Table </w:t>
      </w:r>
      <w:fldSimple w:instr=" STYLEREF 1 \s ">
        <w:r>
          <w:rPr>
            <w:noProof/>
          </w:rPr>
          <w:t>9</w:t>
        </w:r>
      </w:fldSimple>
      <w:r>
        <w:t>.</w:t>
      </w:r>
      <w:fldSimple w:instr=" SEQ Table \* ARABIC \s 1 ">
        <w:r>
          <w:rPr>
            <w:noProof/>
          </w:rPr>
          <w:t>1</w:t>
        </w:r>
      </w:fldSimple>
      <w:bookmarkEnd w:id="142"/>
      <w:r>
        <w:t>: Evaluation framework</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the evaluation framework"/>
        <w:tblDescription w:val="Table outlines the evaluation framework for the Measure."/>
      </w:tblPr>
      <w:tblGrid>
        <w:gridCol w:w="478"/>
        <w:gridCol w:w="3864"/>
        <w:gridCol w:w="5065"/>
        <w:gridCol w:w="3766"/>
        <w:gridCol w:w="1953"/>
      </w:tblGrid>
      <w:tr w:rsidR="0091457A" w14:paraId="6E19C05D" w14:textId="77777777" w:rsidTr="008F79B7">
        <w:trPr>
          <w:cnfStyle w:val="100000000000" w:firstRow="1" w:lastRow="0" w:firstColumn="0" w:lastColumn="0" w:oddVBand="0" w:evenVBand="0" w:oddHBand="0" w:evenHBand="0" w:firstRowFirstColumn="0" w:firstRowLastColumn="0" w:lastRowFirstColumn="0" w:lastRowLastColumn="0"/>
          <w:tblHeader/>
        </w:trPr>
        <w:tc>
          <w:tcPr>
            <w:tcW w:w="0" w:type="auto"/>
          </w:tcPr>
          <w:p w14:paraId="52A1759E" w14:textId="463F9A1D" w:rsidR="0091457A" w:rsidRDefault="009B37B6" w:rsidP="003C12E8">
            <w:pPr>
              <w:spacing w:before="0" w:after="0"/>
            </w:pPr>
            <w:r>
              <w:t>#</w:t>
            </w:r>
          </w:p>
        </w:tc>
        <w:tc>
          <w:tcPr>
            <w:tcW w:w="0" w:type="auto"/>
          </w:tcPr>
          <w:p w14:paraId="172A0B76" w14:textId="77777777" w:rsidR="0091457A" w:rsidRDefault="0091457A" w:rsidP="003C12E8">
            <w:pPr>
              <w:spacing w:before="0" w:after="0"/>
            </w:pPr>
            <w:r>
              <w:t>Evaluation sub-questions</w:t>
            </w:r>
          </w:p>
        </w:tc>
        <w:tc>
          <w:tcPr>
            <w:tcW w:w="0" w:type="auto"/>
          </w:tcPr>
          <w:p w14:paraId="43067845" w14:textId="77777777" w:rsidR="0091457A" w:rsidRDefault="0091457A" w:rsidP="003C12E8">
            <w:pPr>
              <w:spacing w:before="0" w:after="0"/>
            </w:pPr>
            <w:r>
              <w:t>Indicators</w:t>
            </w:r>
          </w:p>
        </w:tc>
        <w:tc>
          <w:tcPr>
            <w:tcW w:w="0" w:type="auto"/>
          </w:tcPr>
          <w:p w14:paraId="6A40D711" w14:textId="77777777" w:rsidR="0091457A" w:rsidRDefault="0091457A" w:rsidP="003C12E8">
            <w:pPr>
              <w:spacing w:before="0" w:after="0"/>
            </w:pPr>
            <w:r>
              <w:t>data sources</w:t>
            </w:r>
          </w:p>
        </w:tc>
        <w:tc>
          <w:tcPr>
            <w:tcW w:w="0" w:type="auto"/>
          </w:tcPr>
          <w:p w14:paraId="54878582" w14:textId="77777777" w:rsidR="0091457A" w:rsidRDefault="0091457A" w:rsidP="003C12E8">
            <w:pPr>
              <w:spacing w:before="0" w:after="0"/>
            </w:pPr>
            <w:r>
              <w:t>analysis method</w:t>
            </w:r>
          </w:p>
        </w:tc>
      </w:tr>
      <w:tr w:rsidR="00FB03B6" w14:paraId="7A8FE23C" w14:textId="77777777" w:rsidTr="008F79B7">
        <w:tc>
          <w:tcPr>
            <w:tcW w:w="0" w:type="auto"/>
            <w:shd w:val="clear" w:color="auto" w:fill="DDF2EC" w:themeFill="background2" w:themeFillTint="33"/>
          </w:tcPr>
          <w:p w14:paraId="78501558" w14:textId="5B97BB79" w:rsidR="00FB03B6" w:rsidRDefault="00204F62" w:rsidP="00204F62">
            <w:pPr>
              <w:spacing w:before="0" w:after="0"/>
            </w:pPr>
            <w:r>
              <w:t>1</w:t>
            </w:r>
          </w:p>
        </w:tc>
        <w:tc>
          <w:tcPr>
            <w:tcW w:w="0" w:type="auto"/>
            <w:shd w:val="clear" w:color="auto" w:fill="DDF2EC" w:themeFill="background2" w:themeFillTint="33"/>
          </w:tcPr>
          <w:p w14:paraId="334FC2A3" w14:textId="1665541E" w:rsidR="00FB03B6" w:rsidRPr="00BA7153" w:rsidRDefault="00204F62" w:rsidP="00204F62">
            <w:pPr>
              <w:pStyle w:val="TableText"/>
            </w:pPr>
            <w:r w:rsidRPr="00421219">
              <w:rPr>
                <w:rFonts w:asciiTheme="majorHAnsi" w:hAnsiTheme="majorHAnsi"/>
              </w:rPr>
              <w:t>Implementation: How (well) is the Measure being delivered?</w:t>
            </w:r>
          </w:p>
        </w:tc>
        <w:tc>
          <w:tcPr>
            <w:tcW w:w="0" w:type="auto"/>
            <w:shd w:val="clear" w:color="auto" w:fill="DDF2EC" w:themeFill="background2" w:themeFillTint="33"/>
          </w:tcPr>
          <w:p w14:paraId="15EAAFD3" w14:textId="03E3690B" w:rsidR="00FB03B6" w:rsidRPr="003B65F8" w:rsidRDefault="00204F62" w:rsidP="00204F62">
            <w:pPr>
              <w:pStyle w:val="TableBullets1"/>
              <w:numPr>
                <w:ilvl w:val="0"/>
                <w:numId w:val="0"/>
              </w:numPr>
              <w:ind w:left="57"/>
            </w:pPr>
            <w:r w:rsidRPr="00421219">
              <w:rPr>
                <w:rFonts w:asciiTheme="majorHAnsi" w:hAnsiTheme="majorHAnsi"/>
              </w:rPr>
              <w:t>Implementation: How (well) is the Measure being delivered?</w:t>
            </w:r>
          </w:p>
        </w:tc>
        <w:tc>
          <w:tcPr>
            <w:tcW w:w="0" w:type="auto"/>
            <w:shd w:val="clear" w:color="auto" w:fill="DDF2EC" w:themeFill="background2" w:themeFillTint="33"/>
          </w:tcPr>
          <w:p w14:paraId="6767E580" w14:textId="2E648379" w:rsidR="00FB03B6" w:rsidRPr="00196F1F" w:rsidRDefault="00204F62" w:rsidP="00204F62">
            <w:pPr>
              <w:pStyle w:val="TableBullets1"/>
              <w:numPr>
                <w:ilvl w:val="0"/>
                <w:numId w:val="0"/>
              </w:numPr>
              <w:ind w:left="57"/>
            </w:pPr>
            <w:r w:rsidRPr="00421219">
              <w:rPr>
                <w:rFonts w:asciiTheme="majorHAnsi" w:hAnsiTheme="majorHAnsi"/>
              </w:rPr>
              <w:t>Implementation: How (well) is the Measure being delivered?</w:t>
            </w:r>
          </w:p>
        </w:tc>
        <w:tc>
          <w:tcPr>
            <w:tcW w:w="0" w:type="auto"/>
            <w:shd w:val="clear" w:color="auto" w:fill="DDF2EC" w:themeFill="background2" w:themeFillTint="33"/>
          </w:tcPr>
          <w:p w14:paraId="17DC5404" w14:textId="2ACA24D4" w:rsidR="00FB03B6" w:rsidRPr="00046DBF" w:rsidRDefault="00204F62" w:rsidP="00204F62">
            <w:pPr>
              <w:pStyle w:val="TableBullets1"/>
              <w:numPr>
                <w:ilvl w:val="0"/>
                <w:numId w:val="0"/>
              </w:numPr>
              <w:ind w:left="57"/>
            </w:pPr>
            <w:r w:rsidRPr="00421219">
              <w:rPr>
                <w:rFonts w:asciiTheme="majorHAnsi" w:hAnsiTheme="majorHAnsi"/>
              </w:rPr>
              <w:t>Implementation: How (well) is the Measure being delivered?</w:t>
            </w:r>
          </w:p>
        </w:tc>
      </w:tr>
      <w:tr w:rsidR="0091457A" w14:paraId="1BF152A2" w14:textId="77777777" w:rsidTr="008F79B7">
        <w:tc>
          <w:tcPr>
            <w:tcW w:w="0" w:type="auto"/>
          </w:tcPr>
          <w:p w14:paraId="6177ADB1" w14:textId="77777777" w:rsidR="0091457A" w:rsidRDefault="0091457A" w:rsidP="003C12E8">
            <w:pPr>
              <w:spacing w:before="0" w:after="0"/>
            </w:pPr>
            <w:r>
              <w:t>1.1</w:t>
            </w:r>
          </w:p>
        </w:tc>
        <w:tc>
          <w:tcPr>
            <w:tcW w:w="0" w:type="auto"/>
          </w:tcPr>
          <w:p w14:paraId="474F3E16" w14:textId="77777777" w:rsidR="0091457A" w:rsidRPr="00E52DDC" w:rsidRDefault="0091457A" w:rsidP="003C12E8">
            <w:pPr>
              <w:pStyle w:val="TableText"/>
            </w:pPr>
            <w:r w:rsidRPr="00BA7153">
              <w:t>To what extent was the Measure implemented and delivered as intended?</w:t>
            </w:r>
          </w:p>
        </w:tc>
        <w:tc>
          <w:tcPr>
            <w:tcW w:w="0" w:type="auto"/>
          </w:tcPr>
          <w:p w14:paraId="460DA337" w14:textId="77777777" w:rsidR="0091457A" w:rsidRPr="003B65F8" w:rsidRDefault="0091457A" w:rsidP="003C12E8">
            <w:pPr>
              <w:pStyle w:val="TableBullets1"/>
            </w:pPr>
            <w:r w:rsidRPr="003B65F8">
              <w:t>Extent to which planned activities were implemented and delivered as intended</w:t>
            </w:r>
          </w:p>
          <w:p w14:paraId="143B4AED" w14:textId="77777777" w:rsidR="0091457A" w:rsidRPr="003B65F8" w:rsidRDefault="0091457A" w:rsidP="003C12E8">
            <w:pPr>
              <w:pStyle w:val="TableBullets1"/>
            </w:pPr>
            <w:r w:rsidRPr="003B65F8">
              <w:t>Number and proportion of performance indicator targets achieved annually for the funded programs</w:t>
            </w:r>
          </w:p>
          <w:p w14:paraId="41B626B0" w14:textId="77777777" w:rsidR="0091457A" w:rsidRPr="003B65F8" w:rsidRDefault="0091457A" w:rsidP="003C12E8">
            <w:pPr>
              <w:pStyle w:val="TableBullets1"/>
            </w:pPr>
            <w:r w:rsidRPr="003B65F8">
              <w:t>Proportion of contractual reporting delivered on agreed basis</w:t>
            </w:r>
          </w:p>
        </w:tc>
        <w:tc>
          <w:tcPr>
            <w:tcW w:w="0" w:type="auto"/>
          </w:tcPr>
          <w:p w14:paraId="03F6F772" w14:textId="77777777" w:rsidR="0091457A" w:rsidRDefault="0091457A" w:rsidP="003C12E8">
            <w:pPr>
              <w:pStyle w:val="TableBullets1"/>
            </w:pPr>
            <w:r w:rsidRPr="002139E2">
              <w:t>Desktop</w:t>
            </w:r>
            <w:r>
              <w:t xml:space="preserve"> review (e.g. Activity Work Plans, performance and financial reporting)</w:t>
            </w:r>
          </w:p>
          <w:p w14:paraId="347F8B29" w14:textId="77777777" w:rsidR="0091457A" w:rsidRDefault="0091457A" w:rsidP="003C12E8">
            <w:pPr>
              <w:pStyle w:val="TableBullets1"/>
            </w:pPr>
            <w:r>
              <w:t>Stakeholder consultations: funded organisations, the Department</w:t>
            </w:r>
          </w:p>
          <w:p w14:paraId="1C0A66F5" w14:textId="77777777" w:rsidR="0091457A" w:rsidRDefault="0091457A" w:rsidP="003C12E8">
            <w:pPr>
              <w:pStyle w:val="TableBullets1"/>
            </w:pPr>
            <w:r>
              <w:t>PEPA Aged Care/PACOP program data</w:t>
            </w:r>
          </w:p>
        </w:tc>
        <w:tc>
          <w:tcPr>
            <w:tcW w:w="0" w:type="auto"/>
          </w:tcPr>
          <w:p w14:paraId="561C8E48" w14:textId="77777777" w:rsidR="0091457A" w:rsidRPr="00046DBF" w:rsidRDefault="0091457A" w:rsidP="003C12E8">
            <w:pPr>
              <w:pStyle w:val="TableBullets1"/>
            </w:pPr>
            <w:r w:rsidRPr="00046DBF">
              <w:t>Descriptive statistics</w:t>
            </w:r>
          </w:p>
          <w:p w14:paraId="208B52B9" w14:textId="77777777" w:rsidR="0091457A" w:rsidRDefault="0091457A" w:rsidP="003C12E8">
            <w:pPr>
              <w:pStyle w:val="TableBullets1"/>
            </w:pPr>
            <w:r w:rsidRPr="00046DBF">
              <w:t>Thematic analysis</w:t>
            </w:r>
          </w:p>
        </w:tc>
      </w:tr>
      <w:tr w:rsidR="0091457A" w14:paraId="3A1962D1" w14:textId="77777777" w:rsidTr="008F79B7">
        <w:tc>
          <w:tcPr>
            <w:tcW w:w="0" w:type="auto"/>
          </w:tcPr>
          <w:p w14:paraId="13FBD903" w14:textId="77777777" w:rsidR="0091457A" w:rsidRDefault="0091457A" w:rsidP="003C12E8">
            <w:pPr>
              <w:spacing w:before="0" w:after="0"/>
            </w:pPr>
            <w:r>
              <w:t>1.2</w:t>
            </w:r>
          </w:p>
        </w:tc>
        <w:tc>
          <w:tcPr>
            <w:tcW w:w="0" w:type="auto"/>
          </w:tcPr>
          <w:p w14:paraId="3FC0F87E" w14:textId="77777777" w:rsidR="0091457A" w:rsidRPr="00BA7153" w:rsidRDefault="0091457A" w:rsidP="003C12E8">
            <w:pPr>
              <w:pStyle w:val="TableText"/>
            </w:pPr>
            <w:r w:rsidRPr="00BA7153">
              <w:t xml:space="preserve">What factors have impacted the Measure, and how (e.g. changes to funding or delivery </w:t>
            </w:r>
            <w:r w:rsidRPr="00BA7153">
              <w:lastRenderedPageBreak/>
              <w:t>models)?</w:t>
            </w:r>
            <w:r>
              <w:t xml:space="preserve"> H</w:t>
            </w:r>
            <w:r w:rsidRPr="00BA7153">
              <w:t>ow have the activities under the Measure changed over time?</w:t>
            </w:r>
          </w:p>
        </w:tc>
        <w:tc>
          <w:tcPr>
            <w:tcW w:w="0" w:type="auto"/>
          </w:tcPr>
          <w:p w14:paraId="6909E0A6" w14:textId="77777777" w:rsidR="0091457A" w:rsidRPr="003B65F8" w:rsidRDefault="0091457A" w:rsidP="003C12E8">
            <w:pPr>
              <w:pStyle w:val="TableBullets1"/>
            </w:pPr>
            <w:r w:rsidRPr="003B65F8">
              <w:lastRenderedPageBreak/>
              <w:t xml:space="preserve">Description of any significant changes to the Measure or funded programs since implementation, including the internal and external factors reported to have </w:t>
            </w:r>
            <w:r w:rsidRPr="003B65F8">
              <w:lastRenderedPageBreak/>
              <w:t>influenced these changes (e.g. changes to funding levels, timeframes, staffing, or delivery models)</w:t>
            </w:r>
          </w:p>
          <w:p w14:paraId="3AFC2934" w14:textId="77777777" w:rsidR="0091457A" w:rsidRPr="003B65F8" w:rsidRDefault="0091457A" w:rsidP="003C12E8">
            <w:pPr>
              <w:pStyle w:val="TableBullets1"/>
            </w:pPr>
            <w:r w:rsidRPr="003B65F8">
              <w:t xml:space="preserve">Stakeholder perceptions of the impact of changes to the Measure or program activities on program delivery </w:t>
            </w:r>
          </w:p>
        </w:tc>
        <w:tc>
          <w:tcPr>
            <w:tcW w:w="0" w:type="auto"/>
          </w:tcPr>
          <w:p w14:paraId="76C5951E" w14:textId="77777777" w:rsidR="0091457A" w:rsidRPr="00196F1F" w:rsidRDefault="0091457A" w:rsidP="003C12E8">
            <w:pPr>
              <w:pStyle w:val="TableBullets1"/>
            </w:pPr>
            <w:r w:rsidRPr="00196F1F">
              <w:lastRenderedPageBreak/>
              <w:t xml:space="preserve">Desktop review (e.g. </w:t>
            </w:r>
            <w:r>
              <w:t>Activity Work Plans</w:t>
            </w:r>
            <w:r w:rsidRPr="00196F1F">
              <w:t>, performance and financial reporting)</w:t>
            </w:r>
          </w:p>
          <w:p w14:paraId="14F688F3" w14:textId="77777777" w:rsidR="0091457A" w:rsidRDefault="0091457A" w:rsidP="003C12E8">
            <w:pPr>
              <w:pStyle w:val="TableBullets1"/>
            </w:pPr>
            <w:r w:rsidRPr="00196F1F">
              <w:lastRenderedPageBreak/>
              <w:t xml:space="preserve">Stakeholder consultations: funded organisations, government stakeholders, </w:t>
            </w:r>
            <w:r>
              <w:t xml:space="preserve">palliative care-related peak bodies, </w:t>
            </w:r>
            <w:r w:rsidRPr="00196F1F">
              <w:t>aged and</w:t>
            </w:r>
            <w:r>
              <w:t xml:space="preserve"> primary care peak and professional bodies, major aged care providers</w:t>
            </w:r>
          </w:p>
        </w:tc>
        <w:tc>
          <w:tcPr>
            <w:tcW w:w="0" w:type="auto"/>
          </w:tcPr>
          <w:p w14:paraId="50F09F3A" w14:textId="77777777" w:rsidR="0091457A" w:rsidRDefault="0091457A" w:rsidP="003C12E8">
            <w:pPr>
              <w:pStyle w:val="TableBullets1"/>
            </w:pPr>
            <w:r w:rsidRPr="00046DBF">
              <w:lastRenderedPageBreak/>
              <w:t>Thematic analysis</w:t>
            </w:r>
          </w:p>
        </w:tc>
      </w:tr>
      <w:tr w:rsidR="0091457A" w14:paraId="4DEDC0B0" w14:textId="77777777" w:rsidTr="008F79B7">
        <w:tc>
          <w:tcPr>
            <w:tcW w:w="0" w:type="auto"/>
          </w:tcPr>
          <w:p w14:paraId="7AF0B13B" w14:textId="77777777" w:rsidR="0091457A" w:rsidRDefault="0091457A" w:rsidP="003C12E8">
            <w:pPr>
              <w:spacing w:before="0" w:after="0"/>
            </w:pPr>
            <w:r>
              <w:t>1.3</w:t>
            </w:r>
          </w:p>
        </w:tc>
        <w:tc>
          <w:tcPr>
            <w:tcW w:w="0" w:type="auto"/>
          </w:tcPr>
          <w:p w14:paraId="7ECC254F" w14:textId="77777777" w:rsidR="0091457A" w:rsidRDefault="0091457A" w:rsidP="003C12E8">
            <w:pPr>
              <w:pStyle w:val="TableText"/>
            </w:pPr>
            <w:r w:rsidRPr="00567053">
              <w:t xml:space="preserve">What </w:t>
            </w:r>
            <w:r>
              <w:t>key strategies are</w:t>
            </w:r>
            <w:r w:rsidRPr="00567053">
              <w:t xml:space="preserve"> used to engage the aged care and primary care workforce and service providers in the funded programs?</w:t>
            </w:r>
          </w:p>
          <w:p w14:paraId="78C031B8" w14:textId="77777777" w:rsidR="0091457A" w:rsidRDefault="0091457A" w:rsidP="003C12E8">
            <w:pPr>
              <w:pStyle w:val="TableText"/>
            </w:pPr>
          </w:p>
        </w:tc>
        <w:tc>
          <w:tcPr>
            <w:tcW w:w="0" w:type="auto"/>
          </w:tcPr>
          <w:p w14:paraId="004060F3" w14:textId="77777777" w:rsidR="0091457A" w:rsidRPr="003B65F8" w:rsidRDefault="0091457A" w:rsidP="003C12E8">
            <w:pPr>
              <w:pStyle w:val="TableBullets1"/>
            </w:pPr>
            <w:r w:rsidRPr="003B65F8">
              <w:t xml:space="preserve">Description of engagement strategies and referral pathways employed to engage the aged care and primary care workforce and </w:t>
            </w:r>
            <w:r>
              <w:t xml:space="preserve">entities providing aged care services </w:t>
            </w:r>
            <w:r w:rsidRPr="003B65F8">
              <w:t>in the funded programs</w:t>
            </w:r>
          </w:p>
          <w:p w14:paraId="40D3FC8E" w14:textId="77777777" w:rsidR="0091457A" w:rsidRPr="003B65F8" w:rsidRDefault="0091457A" w:rsidP="003C12E8">
            <w:pPr>
              <w:pStyle w:val="TableBullets1"/>
            </w:pPr>
            <w:r w:rsidRPr="003B65F8">
              <w:t>Reach of engagement activities delivered by the funded organisations, overall and by activity type</w:t>
            </w:r>
          </w:p>
          <w:p w14:paraId="1F8CA8DC" w14:textId="77777777" w:rsidR="0091457A" w:rsidRPr="003B65F8" w:rsidRDefault="0091457A" w:rsidP="003C12E8">
            <w:pPr>
              <w:pStyle w:val="TableBullets1"/>
            </w:pPr>
            <w:r w:rsidRPr="003B65F8">
              <w:t>Growth in the number of participating workers</w:t>
            </w:r>
            <w:r>
              <w:t xml:space="preserve">/entities providing aged care services </w:t>
            </w:r>
            <w:r w:rsidRPr="003B65F8">
              <w:t>in each program over time, analysed in the context of the reach of engagement activities and the estimated eligible population</w:t>
            </w:r>
          </w:p>
          <w:p w14:paraId="7236B68B" w14:textId="77777777" w:rsidR="0091457A" w:rsidRPr="003B65F8" w:rsidRDefault="0091457A" w:rsidP="003C12E8">
            <w:pPr>
              <w:pStyle w:val="TableBullets1"/>
            </w:pPr>
            <w:r w:rsidRPr="003B65F8">
              <w:t>Stakeholder perceptions of the effectiveness and appropriateness of the engagement strategies and referral pathways used by the funded organisations</w:t>
            </w:r>
          </w:p>
          <w:p w14:paraId="3805DC4C" w14:textId="77777777" w:rsidR="0091457A" w:rsidRDefault="0091457A" w:rsidP="003C12E8">
            <w:pPr>
              <w:pStyle w:val="TableBullets1"/>
            </w:pPr>
            <w:r w:rsidRPr="003B65F8">
              <w:t>Reasons for participation/non</w:t>
            </w:r>
            <w:r>
              <w:t>-participation reported by entities providing aged care services</w:t>
            </w:r>
          </w:p>
          <w:p w14:paraId="53E1155E" w14:textId="77777777" w:rsidR="0091457A" w:rsidRDefault="0091457A" w:rsidP="003C12E8">
            <w:pPr>
              <w:pStyle w:val="TableBullets1"/>
            </w:pPr>
            <w:r>
              <w:t>Level of intention to participate in the future reported by non-participating entities providing aged care services</w:t>
            </w:r>
          </w:p>
          <w:p w14:paraId="7CFD951B" w14:textId="77777777" w:rsidR="0091457A" w:rsidRDefault="0091457A" w:rsidP="003C12E8">
            <w:pPr>
              <w:pStyle w:val="TableBullets1"/>
            </w:pPr>
            <w:r>
              <w:t>Reported opportunities to improve awareness of and engagement with the funded program</w:t>
            </w:r>
          </w:p>
        </w:tc>
        <w:tc>
          <w:tcPr>
            <w:tcW w:w="0" w:type="auto"/>
          </w:tcPr>
          <w:p w14:paraId="274E2479" w14:textId="77777777" w:rsidR="0091457A" w:rsidRPr="0040247B" w:rsidRDefault="0091457A" w:rsidP="003C12E8">
            <w:pPr>
              <w:pStyle w:val="TableBullets1"/>
            </w:pPr>
            <w:r w:rsidRPr="0040247B">
              <w:t xml:space="preserve">Desktop review (e.g. </w:t>
            </w:r>
            <w:r>
              <w:t>Activity Work Plans</w:t>
            </w:r>
            <w:r w:rsidRPr="0040247B">
              <w:t>, performance reporting)</w:t>
            </w:r>
          </w:p>
          <w:p w14:paraId="7BD9EC94" w14:textId="77777777" w:rsidR="0091457A" w:rsidRDefault="0091457A" w:rsidP="003C12E8">
            <w:pPr>
              <w:pStyle w:val="TableBullets1"/>
            </w:pPr>
            <w:r w:rsidRPr="0040247B">
              <w:t>Stakeholder consultations: funded organisations, the Department, aged</w:t>
            </w:r>
            <w:r w:rsidRPr="00196F1F">
              <w:t xml:space="preserve"> and</w:t>
            </w:r>
            <w:r>
              <w:t xml:space="preserve"> primary care peak and professional bodies, major aged care providers, representatives from related national initiatives, health professionals</w:t>
            </w:r>
          </w:p>
          <w:p w14:paraId="7255D390" w14:textId="77777777" w:rsidR="0091457A" w:rsidRDefault="0091457A" w:rsidP="003C12E8">
            <w:pPr>
              <w:pStyle w:val="TableBullets1"/>
            </w:pPr>
            <w:r>
              <w:t>PEPA Aged Care/PACOP program data</w:t>
            </w:r>
          </w:p>
        </w:tc>
        <w:tc>
          <w:tcPr>
            <w:tcW w:w="0" w:type="auto"/>
          </w:tcPr>
          <w:p w14:paraId="61A2276F" w14:textId="77777777" w:rsidR="0091457A" w:rsidRDefault="0091457A" w:rsidP="003C12E8">
            <w:pPr>
              <w:pStyle w:val="TableBullets1"/>
            </w:pPr>
            <w:r w:rsidRPr="00046DBF">
              <w:t>Descriptive statistics</w:t>
            </w:r>
          </w:p>
          <w:p w14:paraId="24CFAB5C" w14:textId="77777777" w:rsidR="0091457A" w:rsidRDefault="0091457A" w:rsidP="003C12E8">
            <w:pPr>
              <w:pStyle w:val="TableBullets1"/>
            </w:pPr>
            <w:r w:rsidRPr="00046DBF">
              <w:t>Thematic analysis</w:t>
            </w:r>
          </w:p>
        </w:tc>
      </w:tr>
      <w:tr w:rsidR="0091457A" w14:paraId="5DE6AB41" w14:textId="77777777" w:rsidTr="008F79B7">
        <w:tc>
          <w:tcPr>
            <w:tcW w:w="0" w:type="auto"/>
          </w:tcPr>
          <w:p w14:paraId="3505F8BB" w14:textId="77777777" w:rsidR="0091457A" w:rsidRDefault="0091457A" w:rsidP="003C12E8">
            <w:pPr>
              <w:spacing w:before="0" w:after="0"/>
            </w:pPr>
            <w:r>
              <w:t>1.4</w:t>
            </w:r>
          </w:p>
        </w:tc>
        <w:tc>
          <w:tcPr>
            <w:tcW w:w="0" w:type="auto"/>
          </w:tcPr>
          <w:p w14:paraId="4123DAC7" w14:textId="77777777" w:rsidR="0091457A" w:rsidRDefault="0091457A" w:rsidP="003C12E8">
            <w:pPr>
              <w:pStyle w:val="TableText"/>
            </w:pPr>
            <w:r w:rsidRPr="00184CAA">
              <w:t xml:space="preserve">To what extent have the aged care and primary care workforce and service providers taken up palliative care education, training and quality improvement activities through the Measure (including accessibility, </w:t>
            </w:r>
            <w:r w:rsidRPr="00184CAA">
              <w:lastRenderedPageBreak/>
              <w:t>attendance/engagement and drop-out rates)?</w:t>
            </w:r>
          </w:p>
        </w:tc>
        <w:tc>
          <w:tcPr>
            <w:tcW w:w="0" w:type="auto"/>
          </w:tcPr>
          <w:p w14:paraId="178CCAA7" w14:textId="77777777" w:rsidR="0091457A" w:rsidRDefault="0091457A" w:rsidP="003C12E8">
            <w:pPr>
              <w:pStyle w:val="TableBullets1"/>
            </w:pPr>
            <w:r>
              <w:lastRenderedPageBreak/>
              <w:t>Number of individual workers participating in PEPA Aged Care:</w:t>
            </w:r>
          </w:p>
          <w:p w14:paraId="0F4731A7" w14:textId="77777777" w:rsidR="0091457A" w:rsidRDefault="0091457A" w:rsidP="003C12E8">
            <w:pPr>
              <w:pStyle w:val="TableBullets2"/>
              <w:ind w:left="625" w:hanging="283"/>
            </w:pPr>
            <w:r>
              <w:t>reverse placements</w:t>
            </w:r>
          </w:p>
          <w:p w14:paraId="394883FF" w14:textId="77777777" w:rsidR="0091457A" w:rsidRDefault="0091457A" w:rsidP="003C12E8">
            <w:pPr>
              <w:pStyle w:val="TableBullets2"/>
              <w:ind w:left="625" w:hanging="283"/>
            </w:pPr>
            <w:r>
              <w:t>workshops</w:t>
            </w:r>
          </w:p>
          <w:p w14:paraId="2DFCAD8C" w14:textId="77777777" w:rsidR="0091457A" w:rsidRDefault="0091457A" w:rsidP="003C12E8">
            <w:pPr>
              <w:pStyle w:val="TableBullets2"/>
              <w:ind w:left="625" w:hanging="283"/>
            </w:pPr>
            <w:r>
              <w:t>online learning modules</w:t>
            </w:r>
          </w:p>
          <w:p w14:paraId="519A9A84" w14:textId="77777777" w:rsidR="0091457A" w:rsidRDefault="0091457A" w:rsidP="003C12E8">
            <w:pPr>
              <w:pStyle w:val="TableBullets2"/>
              <w:ind w:left="625" w:hanging="283"/>
            </w:pPr>
            <w:r>
              <w:lastRenderedPageBreak/>
              <w:t>community of practice</w:t>
            </w:r>
          </w:p>
          <w:p w14:paraId="33269ECF" w14:textId="77777777" w:rsidR="0091457A" w:rsidRDefault="0091457A" w:rsidP="003C12E8">
            <w:pPr>
              <w:pStyle w:val="TableBullets1"/>
            </w:pPr>
            <w:r>
              <w:t>Number of placement sites participating in PEPA Aged Care reverse placements, by service type</w:t>
            </w:r>
          </w:p>
          <w:p w14:paraId="6BA73168" w14:textId="77777777" w:rsidR="0091457A" w:rsidRDefault="0091457A" w:rsidP="003C12E8">
            <w:pPr>
              <w:pStyle w:val="TableBullets1"/>
            </w:pPr>
            <w:r>
              <w:t>Number and percentage of PEPA Aged Care workers/placement sites participating in post-placement activities, by service type</w:t>
            </w:r>
          </w:p>
          <w:p w14:paraId="081F4431" w14:textId="77777777" w:rsidR="0091457A" w:rsidRDefault="0091457A" w:rsidP="003C12E8">
            <w:pPr>
              <w:pStyle w:val="TableBullets1"/>
            </w:pPr>
            <w:r>
              <w:t>Number and percentage of placement sites participating in PEPA Aged Care that developed post-placement service improvement plans, by service type</w:t>
            </w:r>
          </w:p>
          <w:p w14:paraId="3287C45F" w14:textId="77777777" w:rsidR="0091457A" w:rsidRDefault="0091457A" w:rsidP="003C12E8">
            <w:pPr>
              <w:pStyle w:val="TableBullets1"/>
            </w:pPr>
            <w:r>
              <w:t>Withdrawal/drop-out rates from PEPA Aged Care placements and reasons why</w:t>
            </w:r>
          </w:p>
          <w:p w14:paraId="1D854FAC" w14:textId="77777777" w:rsidR="0091457A" w:rsidRDefault="0091457A" w:rsidP="003C12E8">
            <w:pPr>
              <w:pStyle w:val="TableBullets1"/>
            </w:pPr>
            <w:r>
              <w:t>Number of:</w:t>
            </w:r>
          </w:p>
          <w:p w14:paraId="1E4E4730" w14:textId="77777777" w:rsidR="0091457A" w:rsidRDefault="0091457A" w:rsidP="003C12E8">
            <w:pPr>
              <w:pStyle w:val="TableBullets2"/>
              <w:ind w:left="625" w:hanging="283"/>
            </w:pPr>
            <w:r>
              <w:t>aged care providers registered in PACOP</w:t>
            </w:r>
          </w:p>
          <w:p w14:paraId="3C0DBDC7" w14:textId="77777777" w:rsidR="0091457A" w:rsidRDefault="0091457A" w:rsidP="003C12E8">
            <w:pPr>
              <w:pStyle w:val="TableBullets2"/>
              <w:ind w:left="625" w:hanging="283"/>
            </w:pPr>
            <w:r>
              <w:t>aged care providers actively participating in PACOP, by stage of implementation (Profile Collection or Outcomes Collection)</w:t>
            </w:r>
          </w:p>
          <w:p w14:paraId="76363DC0" w14:textId="77777777" w:rsidR="0091457A" w:rsidRDefault="0091457A" w:rsidP="003C12E8">
            <w:pPr>
              <w:pStyle w:val="TableBullets2"/>
              <w:ind w:left="625" w:hanging="283"/>
            </w:pPr>
            <w:r>
              <w:t>individual aged care homes actively participating in PACOP, by stage of implementation (Profile Collection or Outcomes Collection)</w:t>
            </w:r>
          </w:p>
          <w:p w14:paraId="19EBF360" w14:textId="77777777" w:rsidR="0091457A" w:rsidRDefault="0091457A" w:rsidP="003C12E8">
            <w:pPr>
              <w:pStyle w:val="TableBullets2"/>
              <w:ind w:left="625" w:hanging="283"/>
            </w:pPr>
            <w:r>
              <w:t>individual aged care homes reporting outcomes data to PACOP</w:t>
            </w:r>
          </w:p>
          <w:p w14:paraId="0BE470D6" w14:textId="77777777" w:rsidR="0091457A" w:rsidRDefault="0091457A" w:rsidP="003C12E8">
            <w:pPr>
              <w:pStyle w:val="TableBullets2"/>
              <w:ind w:left="625" w:hanging="283"/>
            </w:pPr>
            <w:r>
              <w:t>individual aged care homes receiving benchmarking reports</w:t>
            </w:r>
          </w:p>
          <w:p w14:paraId="55C975BE" w14:textId="77777777" w:rsidR="0091457A" w:rsidRDefault="0091457A" w:rsidP="003C12E8">
            <w:pPr>
              <w:pStyle w:val="TableBullets1"/>
            </w:pPr>
            <w:r>
              <w:t>Number of:</w:t>
            </w:r>
          </w:p>
          <w:p w14:paraId="2CB6D61D" w14:textId="77777777" w:rsidR="0091457A" w:rsidRDefault="0091457A" w:rsidP="003C12E8">
            <w:pPr>
              <w:pStyle w:val="TableBullets2"/>
              <w:ind w:left="625" w:hanging="283"/>
            </w:pPr>
            <w:r>
              <w:t>aged care staff participating in PACOP education workshops, by workshop type</w:t>
            </w:r>
          </w:p>
          <w:p w14:paraId="7D40D313" w14:textId="77777777" w:rsidR="0091457A" w:rsidRDefault="0091457A" w:rsidP="003C12E8">
            <w:pPr>
              <w:pStyle w:val="TableBullets2"/>
              <w:ind w:left="625" w:hanging="283"/>
            </w:pPr>
            <w:r>
              <w:t>aged care staff participating in PACOP communities of practice</w:t>
            </w:r>
          </w:p>
          <w:p w14:paraId="3AEE771D" w14:textId="77777777" w:rsidR="0091457A" w:rsidRDefault="0091457A" w:rsidP="003C12E8">
            <w:pPr>
              <w:pStyle w:val="TableBullets2"/>
              <w:ind w:left="625" w:hanging="283"/>
            </w:pPr>
            <w:r w:rsidRPr="002B0C78">
              <w:t>completions of PACOP online learning</w:t>
            </w:r>
            <w:r>
              <w:t xml:space="preserve"> modules, by module type</w:t>
            </w:r>
          </w:p>
          <w:p w14:paraId="695C6D13" w14:textId="77777777" w:rsidR="0091457A" w:rsidRDefault="0091457A" w:rsidP="003C12E8">
            <w:pPr>
              <w:pStyle w:val="TableBullets1"/>
            </w:pPr>
            <w:r>
              <w:t>Withdrawal/drop-out rates from PACOP and reasons why</w:t>
            </w:r>
          </w:p>
        </w:tc>
        <w:tc>
          <w:tcPr>
            <w:tcW w:w="0" w:type="auto"/>
          </w:tcPr>
          <w:p w14:paraId="19D14E11" w14:textId="77777777" w:rsidR="0091457A" w:rsidRPr="009B2349" w:rsidRDefault="0091457A" w:rsidP="003C12E8">
            <w:pPr>
              <w:pStyle w:val="TableBullets1"/>
            </w:pPr>
            <w:r w:rsidRPr="009B2349">
              <w:lastRenderedPageBreak/>
              <w:t xml:space="preserve">Desktop review (e.g. </w:t>
            </w:r>
            <w:r>
              <w:t>Activity Work Plans</w:t>
            </w:r>
            <w:r w:rsidRPr="009B2349">
              <w:t>, performance reporting, previous evaluations)</w:t>
            </w:r>
          </w:p>
          <w:p w14:paraId="0DACA5B1" w14:textId="77777777" w:rsidR="0091457A" w:rsidRPr="009B2349" w:rsidRDefault="0091457A" w:rsidP="003C12E8">
            <w:pPr>
              <w:pStyle w:val="TableBullets1"/>
            </w:pPr>
            <w:r w:rsidRPr="009B2349">
              <w:t>Stakeholder consultations: funded organisations, major aged care providers</w:t>
            </w:r>
          </w:p>
          <w:p w14:paraId="335D1DAA" w14:textId="77777777" w:rsidR="0091457A" w:rsidRPr="009B2349" w:rsidRDefault="0091457A" w:rsidP="003C12E8">
            <w:pPr>
              <w:pStyle w:val="TableBullets1"/>
            </w:pPr>
            <w:r w:rsidRPr="009B2349">
              <w:lastRenderedPageBreak/>
              <w:t>PEPA Aged Care/PACOP program data</w:t>
            </w:r>
          </w:p>
        </w:tc>
        <w:tc>
          <w:tcPr>
            <w:tcW w:w="0" w:type="auto"/>
          </w:tcPr>
          <w:p w14:paraId="1647DC9A" w14:textId="77777777" w:rsidR="0091457A" w:rsidRDefault="0091457A" w:rsidP="003C12E8">
            <w:pPr>
              <w:pStyle w:val="TableBullets1"/>
            </w:pPr>
            <w:r w:rsidRPr="00046DBF">
              <w:lastRenderedPageBreak/>
              <w:t>Descriptive statistics</w:t>
            </w:r>
          </w:p>
        </w:tc>
      </w:tr>
      <w:tr w:rsidR="00FF164B" w:rsidRPr="00AE4634" w14:paraId="4390E356" w14:textId="77777777" w:rsidTr="008F79B7">
        <w:tc>
          <w:tcPr>
            <w:tcW w:w="0" w:type="auto"/>
            <w:shd w:val="clear" w:color="auto" w:fill="DDF2EC" w:themeFill="accent5" w:themeFillTint="33"/>
          </w:tcPr>
          <w:p w14:paraId="7544B600" w14:textId="77777777" w:rsidR="00FF164B" w:rsidRPr="00AE4634" w:rsidRDefault="00FF164B" w:rsidP="003C12E8">
            <w:pPr>
              <w:spacing w:before="0" w:after="0"/>
              <w:rPr>
                <w:rFonts w:asciiTheme="majorHAnsi" w:hAnsiTheme="majorHAnsi"/>
              </w:rPr>
            </w:pPr>
            <w:r w:rsidRPr="00AE4634">
              <w:rPr>
                <w:rFonts w:asciiTheme="majorHAnsi" w:hAnsiTheme="majorHAnsi"/>
              </w:rPr>
              <w:lastRenderedPageBreak/>
              <w:t>2</w:t>
            </w:r>
          </w:p>
        </w:tc>
        <w:tc>
          <w:tcPr>
            <w:tcW w:w="0" w:type="auto"/>
            <w:shd w:val="clear" w:color="auto" w:fill="DDF2EC" w:themeFill="accent5" w:themeFillTint="33"/>
          </w:tcPr>
          <w:p w14:paraId="3BC27CB1" w14:textId="77777777" w:rsidR="00FF164B" w:rsidRPr="00AE4634" w:rsidRDefault="00FF164B" w:rsidP="003C12E8">
            <w:pPr>
              <w:spacing w:before="0" w:after="0"/>
              <w:rPr>
                <w:rFonts w:asciiTheme="majorHAnsi" w:hAnsiTheme="majorHAnsi"/>
              </w:rPr>
            </w:pPr>
            <w:r w:rsidRPr="00AE4634">
              <w:rPr>
                <w:rFonts w:asciiTheme="majorHAnsi" w:hAnsiTheme="majorHAnsi"/>
              </w:rPr>
              <w:t>Appropriateness: Is the Measure (still) the right response?</w:t>
            </w:r>
          </w:p>
        </w:tc>
        <w:tc>
          <w:tcPr>
            <w:tcW w:w="0" w:type="auto"/>
            <w:shd w:val="clear" w:color="auto" w:fill="DDF2EC" w:themeFill="accent5" w:themeFillTint="33"/>
          </w:tcPr>
          <w:p w14:paraId="68071296" w14:textId="0756E68F" w:rsidR="00FF164B" w:rsidRPr="00AE4634" w:rsidRDefault="00FF164B" w:rsidP="003C12E8">
            <w:pPr>
              <w:spacing w:before="0" w:after="0"/>
              <w:rPr>
                <w:rFonts w:asciiTheme="majorHAnsi" w:hAnsiTheme="majorHAnsi"/>
              </w:rPr>
            </w:pPr>
            <w:r w:rsidRPr="00AE4634">
              <w:rPr>
                <w:rFonts w:asciiTheme="majorHAnsi" w:hAnsiTheme="majorHAnsi"/>
              </w:rPr>
              <w:t>Appropriateness: Is the Measure (still) the right response?</w:t>
            </w:r>
          </w:p>
        </w:tc>
        <w:tc>
          <w:tcPr>
            <w:tcW w:w="0" w:type="auto"/>
            <w:shd w:val="clear" w:color="auto" w:fill="DDF2EC" w:themeFill="accent5" w:themeFillTint="33"/>
          </w:tcPr>
          <w:p w14:paraId="7260F69B" w14:textId="2CF316EE" w:rsidR="00FF164B" w:rsidRPr="009B2349" w:rsidRDefault="00FF164B" w:rsidP="003C12E8">
            <w:pPr>
              <w:spacing w:before="0" w:after="0"/>
              <w:rPr>
                <w:rFonts w:asciiTheme="majorHAnsi" w:hAnsiTheme="majorHAnsi"/>
              </w:rPr>
            </w:pPr>
            <w:r w:rsidRPr="00AE4634">
              <w:rPr>
                <w:rFonts w:asciiTheme="majorHAnsi" w:hAnsiTheme="majorHAnsi"/>
              </w:rPr>
              <w:t>Appropriateness: Is the Measure (still) the right response?</w:t>
            </w:r>
          </w:p>
        </w:tc>
        <w:tc>
          <w:tcPr>
            <w:tcW w:w="0" w:type="auto"/>
            <w:shd w:val="clear" w:color="auto" w:fill="DDF2EC" w:themeFill="accent5" w:themeFillTint="33"/>
          </w:tcPr>
          <w:p w14:paraId="0CE18AA7" w14:textId="02EC1925" w:rsidR="00FF164B" w:rsidRPr="00AE4634" w:rsidRDefault="00FF164B" w:rsidP="003C12E8">
            <w:pPr>
              <w:spacing w:before="0" w:after="0"/>
              <w:rPr>
                <w:rFonts w:asciiTheme="majorHAnsi" w:hAnsiTheme="majorHAnsi"/>
              </w:rPr>
            </w:pPr>
            <w:r w:rsidRPr="00AE4634">
              <w:rPr>
                <w:rFonts w:asciiTheme="majorHAnsi" w:hAnsiTheme="majorHAnsi"/>
              </w:rPr>
              <w:t>Appropriateness: Is the Measure (still) the right response?</w:t>
            </w:r>
          </w:p>
        </w:tc>
      </w:tr>
      <w:tr w:rsidR="0091457A" w14:paraId="22BCB9BB" w14:textId="77777777" w:rsidTr="008F79B7">
        <w:tc>
          <w:tcPr>
            <w:tcW w:w="0" w:type="auto"/>
          </w:tcPr>
          <w:p w14:paraId="286E3CB3" w14:textId="77777777" w:rsidR="0091457A" w:rsidRDefault="0091457A" w:rsidP="003C12E8">
            <w:pPr>
              <w:spacing w:before="0" w:after="0"/>
            </w:pPr>
            <w:r>
              <w:t>2.1</w:t>
            </w:r>
          </w:p>
        </w:tc>
        <w:tc>
          <w:tcPr>
            <w:tcW w:w="0" w:type="auto"/>
          </w:tcPr>
          <w:p w14:paraId="281B6C6E" w14:textId="77777777" w:rsidR="0091457A" w:rsidRPr="00BA7153" w:rsidRDefault="0091457A" w:rsidP="003C12E8">
            <w:pPr>
              <w:pStyle w:val="TableText"/>
            </w:pPr>
            <w:r w:rsidRPr="00BA7153">
              <w:t xml:space="preserve">To what extent </w:t>
            </w:r>
            <w:r>
              <w:t xml:space="preserve">were </w:t>
            </w:r>
            <w:r w:rsidRPr="00BA7153">
              <w:t xml:space="preserve">the activities </w:t>
            </w:r>
            <w:r>
              <w:t xml:space="preserve">funded </w:t>
            </w:r>
            <w:r w:rsidRPr="00BA7153">
              <w:t>under the Measure</w:t>
            </w:r>
            <w:r>
              <w:t xml:space="preserve"> a suitable response to</w:t>
            </w:r>
            <w:r w:rsidRPr="00BA7153">
              <w:t xml:space="preserve"> support the aged care and primary care workforce </w:t>
            </w:r>
            <w:r>
              <w:t>in identifying and meeting</w:t>
            </w:r>
            <w:r w:rsidRPr="00BA7153">
              <w:t xml:space="preserve"> the palliative care needs of older Australians?</w:t>
            </w:r>
          </w:p>
        </w:tc>
        <w:tc>
          <w:tcPr>
            <w:tcW w:w="0" w:type="auto"/>
          </w:tcPr>
          <w:p w14:paraId="3F1B83CA" w14:textId="77777777" w:rsidR="0091457A" w:rsidRDefault="0091457A" w:rsidP="003C12E8">
            <w:pPr>
              <w:pStyle w:val="TableBullets1"/>
            </w:pPr>
            <w:r>
              <w:t>Level of alignment between the Measure’s objectives and the activities delivered by the funded programs</w:t>
            </w:r>
          </w:p>
          <w:p w14:paraId="1D9BAF55" w14:textId="77777777" w:rsidR="0091457A" w:rsidRDefault="0091457A" w:rsidP="003C12E8">
            <w:pPr>
              <w:pStyle w:val="TableBullets1"/>
            </w:pPr>
            <w:r>
              <w:t>Rationale provided for the selection of the funded programs and the specific activity types within each program in relation to the identified needs of the aged care and primary care workforce</w:t>
            </w:r>
          </w:p>
          <w:p w14:paraId="78A20646" w14:textId="77777777" w:rsidR="0091457A" w:rsidRDefault="0091457A" w:rsidP="003C12E8">
            <w:pPr>
              <w:pStyle w:val="TableBullets1"/>
            </w:pPr>
            <w:r>
              <w:t xml:space="preserve">Extent to which stakeholders perceived the activities funded under the Measure to be a suitable response to support the </w:t>
            </w:r>
            <w:r w:rsidRPr="00BA7153">
              <w:t>aged care and primary care workforce to identify and meet the palliative care needs of older Australians</w:t>
            </w:r>
          </w:p>
        </w:tc>
        <w:tc>
          <w:tcPr>
            <w:tcW w:w="0" w:type="auto"/>
          </w:tcPr>
          <w:p w14:paraId="7AD7A6AF" w14:textId="77777777" w:rsidR="0091457A" w:rsidRPr="007A60A5" w:rsidRDefault="0091457A" w:rsidP="003C12E8">
            <w:pPr>
              <w:pStyle w:val="TableBullets1"/>
            </w:pPr>
            <w:r w:rsidRPr="007A60A5">
              <w:t xml:space="preserve">Desktop review (e.g. </w:t>
            </w:r>
            <w:r>
              <w:t>Activity Work Plans</w:t>
            </w:r>
            <w:r w:rsidRPr="007A60A5">
              <w:t>, performance reporting)</w:t>
            </w:r>
          </w:p>
          <w:p w14:paraId="3E228022" w14:textId="77777777" w:rsidR="0091457A" w:rsidRDefault="0091457A" w:rsidP="003C12E8">
            <w:pPr>
              <w:pStyle w:val="TableBullets1"/>
            </w:pPr>
            <w:r w:rsidRPr="007A60A5">
              <w:t xml:space="preserve">Stakeholder consultations: funded organisations, </w:t>
            </w:r>
            <w:r>
              <w:t xml:space="preserve">ACQSC, </w:t>
            </w:r>
            <w:r w:rsidRPr="007A60A5">
              <w:t xml:space="preserve">palliative care-related peak bodies, aged and primary care peak and professional bodies, major aged care </w:t>
            </w:r>
            <w:r>
              <w:t>providers</w:t>
            </w:r>
            <w:r w:rsidRPr="007A60A5">
              <w:t>, health professionals, consumer representative peak bodies, representatives from related initiatives</w:t>
            </w:r>
          </w:p>
          <w:p w14:paraId="4C9A7C3B" w14:textId="77777777" w:rsidR="0091457A" w:rsidRPr="007A60A5" w:rsidRDefault="0091457A" w:rsidP="003C12E8">
            <w:pPr>
              <w:pStyle w:val="TableBullets1"/>
            </w:pPr>
            <w:r>
              <w:t>Focus groups with consumer representatives</w:t>
            </w:r>
          </w:p>
        </w:tc>
        <w:tc>
          <w:tcPr>
            <w:tcW w:w="0" w:type="auto"/>
          </w:tcPr>
          <w:p w14:paraId="5D9CC224" w14:textId="77777777" w:rsidR="0091457A" w:rsidRDefault="0091457A" w:rsidP="003C12E8">
            <w:pPr>
              <w:pStyle w:val="TableBullets1"/>
            </w:pPr>
            <w:r w:rsidRPr="00046DBF">
              <w:t>Thematic analysis</w:t>
            </w:r>
          </w:p>
          <w:p w14:paraId="61D0CFB2" w14:textId="77777777" w:rsidR="0091457A" w:rsidRDefault="0091457A" w:rsidP="003C12E8">
            <w:pPr>
              <w:pStyle w:val="TableBullets1"/>
            </w:pPr>
            <w:r>
              <w:t>Critical analysis</w:t>
            </w:r>
          </w:p>
        </w:tc>
      </w:tr>
      <w:tr w:rsidR="0091457A" w14:paraId="1489ECAA" w14:textId="77777777" w:rsidTr="008F79B7">
        <w:tc>
          <w:tcPr>
            <w:tcW w:w="0" w:type="auto"/>
          </w:tcPr>
          <w:p w14:paraId="3D2DFB26" w14:textId="77777777" w:rsidR="0091457A" w:rsidRDefault="0091457A" w:rsidP="003C12E8">
            <w:pPr>
              <w:spacing w:before="0" w:after="0"/>
            </w:pPr>
            <w:r>
              <w:t>2.2</w:t>
            </w:r>
          </w:p>
        </w:tc>
        <w:tc>
          <w:tcPr>
            <w:tcW w:w="0" w:type="auto"/>
          </w:tcPr>
          <w:p w14:paraId="2808ADD5" w14:textId="77777777" w:rsidR="0091457A" w:rsidRPr="00BA7153" w:rsidRDefault="0091457A" w:rsidP="003C12E8">
            <w:pPr>
              <w:pStyle w:val="TableText"/>
            </w:pPr>
            <w:r>
              <w:t xml:space="preserve">To </w:t>
            </w:r>
            <w:r w:rsidRPr="00BA7153">
              <w:t xml:space="preserve">what extent is there still a need for palliative care education, training, and quality improvement in the aged care sector? </w:t>
            </w:r>
          </w:p>
        </w:tc>
        <w:tc>
          <w:tcPr>
            <w:tcW w:w="0" w:type="auto"/>
          </w:tcPr>
          <w:p w14:paraId="700193BA" w14:textId="77777777" w:rsidR="0091457A" w:rsidRDefault="0091457A" w:rsidP="003C12E8">
            <w:pPr>
              <w:pStyle w:val="TableBullets1"/>
            </w:pPr>
            <w:r>
              <w:t>Stakeholder perceptions of the continued need for the specific programs funded through the Measure and the key gaps the programs are perceived to address</w:t>
            </w:r>
          </w:p>
          <w:p w14:paraId="078D2E20" w14:textId="77777777" w:rsidR="0091457A" w:rsidRDefault="0091457A" w:rsidP="003C12E8">
            <w:pPr>
              <w:pStyle w:val="TableBullets1"/>
            </w:pPr>
            <w:r>
              <w:t xml:space="preserve">Stakeholder perceptions of the ongoing need for </w:t>
            </w:r>
            <w:r w:rsidRPr="00BA7153">
              <w:t>palliative care education, training, and quality improvement in the aged care sector</w:t>
            </w:r>
          </w:p>
          <w:p w14:paraId="4E2F364D" w14:textId="77777777" w:rsidR="0091457A" w:rsidRDefault="0091457A" w:rsidP="003C12E8">
            <w:pPr>
              <w:pStyle w:val="TableBullets1"/>
            </w:pPr>
            <w:r>
              <w:t xml:space="preserve">Stakeholder suggestions for alternative or additional types of activities that might be more suitable for addressing future </w:t>
            </w:r>
            <w:r w:rsidRPr="00BA7153">
              <w:t>palliative care education, training, and quality improvement</w:t>
            </w:r>
            <w:r>
              <w:t xml:space="preserve"> needs</w:t>
            </w:r>
            <w:r w:rsidRPr="00BA7153">
              <w:t xml:space="preserve"> in the aged care sector</w:t>
            </w:r>
          </w:p>
          <w:p w14:paraId="0442F60D" w14:textId="77777777" w:rsidR="0091457A" w:rsidRDefault="0091457A" w:rsidP="003C12E8">
            <w:pPr>
              <w:pStyle w:val="TableBullets1"/>
            </w:pPr>
            <w:r>
              <w:t>Analysis of changes in learning objectives and priority areas identified by PEPA Aged Care placement sites over the life of the Measure</w:t>
            </w:r>
          </w:p>
          <w:p w14:paraId="17E60E8B" w14:textId="77777777" w:rsidR="0091457A" w:rsidRDefault="0091457A" w:rsidP="003C12E8">
            <w:pPr>
              <w:pStyle w:val="TableBullets1"/>
            </w:pPr>
            <w:r>
              <w:t xml:space="preserve">Stakeholder perceptions of the longer-term sustainability and application of knowledge and skills gained through the funded programs and the extent to </w:t>
            </w:r>
            <w:r>
              <w:lastRenderedPageBreak/>
              <w:t>which this impacts the ongoing need for similar education and training</w:t>
            </w:r>
          </w:p>
          <w:p w14:paraId="6FC8985A" w14:textId="77777777" w:rsidR="0091457A" w:rsidRDefault="0091457A" w:rsidP="003C12E8">
            <w:pPr>
              <w:pStyle w:val="TableBullets1"/>
            </w:pPr>
            <w:r>
              <w:t>Level of over/undersubscription (if any) in the funded programs over the life of the Measure and reported reasons why</w:t>
            </w:r>
          </w:p>
          <w:p w14:paraId="7D8994D3" w14:textId="77777777" w:rsidR="0091457A" w:rsidRDefault="0091457A" w:rsidP="003C12E8">
            <w:pPr>
              <w:pStyle w:val="TableBullets1"/>
            </w:pPr>
            <w:r>
              <w:t>Reported participation in/use of other palliative care education, training, and quality improvement initiatives among entities providing aged care services</w:t>
            </w:r>
          </w:p>
          <w:p w14:paraId="221F64A8" w14:textId="77777777" w:rsidR="0091457A" w:rsidRDefault="0091457A" w:rsidP="003C12E8">
            <w:pPr>
              <w:pStyle w:val="TableBullets1"/>
            </w:pPr>
            <w:r>
              <w:t>Stakeholder suggestions for alternative ways to fund and deliver the program activities, e.g. by consolidating within existing programs</w:t>
            </w:r>
          </w:p>
        </w:tc>
        <w:tc>
          <w:tcPr>
            <w:tcW w:w="0" w:type="auto"/>
          </w:tcPr>
          <w:p w14:paraId="29653A34" w14:textId="77777777" w:rsidR="0091457A" w:rsidRPr="002438EE" w:rsidRDefault="0091457A" w:rsidP="003C12E8">
            <w:pPr>
              <w:pStyle w:val="TableBullets1"/>
              <w:rPr>
                <w:color w:val="auto"/>
              </w:rPr>
            </w:pPr>
            <w:r w:rsidRPr="002438EE">
              <w:lastRenderedPageBreak/>
              <w:t xml:space="preserve">Stakeholder consultations: the Department, </w:t>
            </w:r>
            <w:r>
              <w:t xml:space="preserve">ACQSC, </w:t>
            </w:r>
            <w:r w:rsidRPr="002438EE">
              <w:t xml:space="preserve">funded organisations, palliative care-related peak bodies, aged and primary care peak and professional bodies, major aged care </w:t>
            </w:r>
            <w:r>
              <w:t>providers</w:t>
            </w:r>
            <w:r w:rsidRPr="002438EE">
              <w:t>, health professionals, consumer representative peak bodies, representatives from related initiatives</w:t>
            </w:r>
          </w:p>
          <w:p w14:paraId="2B76A712" w14:textId="77777777" w:rsidR="0091457A" w:rsidRPr="002438EE" w:rsidRDefault="0091457A" w:rsidP="003C12E8">
            <w:pPr>
              <w:pStyle w:val="TableBullets1"/>
              <w:rPr>
                <w:color w:val="auto"/>
              </w:rPr>
            </w:pPr>
            <w:r w:rsidRPr="002438EE">
              <w:t>PEPA Aged Care/PACOP program data</w:t>
            </w:r>
          </w:p>
          <w:p w14:paraId="01F430A3" w14:textId="77777777" w:rsidR="0091457A" w:rsidRPr="002438EE" w:rsidRDefault="0091457A" w:rsidP="003C12E8">
            <w:pPr>
              <w:pStyle w:val="TableBullets1"/>
              <w:rPr>
                <w:color w:val="auto"/>
              </w:rPr>
            </w:pPr>
            <w:r w:rsidRPr="002438EE">
              <w:t xml:space="preserve">Survey of </w:t>
            </w:r>
            <w:r>
              <w:t>entities providing aged care services</w:t>
            </w:r>
          </w:p>
          <w:p w14:paraId="0FFAA18D" w14:textId="77777777" w:rsidR="0091457A" w:rsidRDefault="0091457A" w:rsidP="003C12E8">
            <w:pPr>
              <w:pStyle w:val="TableBullets1"/>
            </w:pPr>
            <w:r w:rsidRPr="002438EE">
              <w:t xml:space="preserve">Case studies of </w:t>
            </w:r>
            <w:r>
              <w:t>entities providing aged care services</w:t>
            </w:r>
          </w:p>
          <w:p w14:paraId="1D146AE1" w14:textId="77777777" w:rsidR="0091457A" w:rsidRPr="002438EE" w:rsidRDefault="0091457A" w:rsidP="003C12E8">
            <w:pPr>
              <w:pStyle w:val="TableBullets1"/>
            </w:pPr>
            <w:r>
              <w:t>Focus groups with consumer representatives</w:t>
            </w:r>
          </w:p>
        </w:tc>
        <w:tc>
          <w:tcPr>
            <w:tcW w:w="0" w:type="auto"/>
          </w:tcPr>
          <w:p w14:paraId="3354FD40" w14:textId="77777777" w:rsidR="0091457A" w:rsidRDefault="0091457A" w:rsidP="003C12E8">
            <w:pPr>
              <w:pStyle w:val="TableBullets1"/>
            </w:pPr>
            <w:r w:rsidRPr="00046DBF">
              <w:t>Descriptive statistics</w:t>
            </w:r>
          </w:p>
          <w:p w14:paraId="5E844CFA" w14:textId="77777777" w:rsidR="0091457A" w:rsidRDefault="0091457A" w:rsidP="003C12E8">
            <w:pPr>
              <w:pStyle w:val="TableBullets1"/>
            </w:pPr>
            <w:r w:rsidRPr="00046DBF">
              <w:t>Thematic analysis</w:t>
            </w:r>
          </w:p>
        </w:tc>
      </w:tr>
      <w:tr w:rsidR="0091457A" w14:paraId="45D80BEC" w14:textId="77777777" w:rsidTr="008F79B7">
        <w:tc>
          <w:tcPr>
            <w:tcW w:w="0" w:type="auto"/>
          </w:tcPr>
          <w:p w14:paraId="0A48E112" w14:textId="77777777" w:rsidR="0091457A" w:rsidRDefault="0091457A" w:rsidP="003C12E8">
            <w:pPr>
              <w:spacing w:before="0" w:after="0"/>
            </w:pPr>
            <w:r>
              <w:t>2.3</w:t>
            </w:r>
          </w:p>
        </w:tc>
        <w:tc>
          <w:tcPr>
            <w:tcW w:w="0" w:type="auto"/>
          </w:tcPr>
          <w:p w14:paraId="28EF2291" w14:textId="77777777" w:rsidR="0091457A" w:rsidRPr="00BA7153" w:rsidRDefault="0091457A" w:rsidP="003C12E8">
            <w:pPr>
              <w:pStyle w:val="TableText"/>
            </w:pPr>
            <w:r w:rsidRPr="00BA7153">
              <w:t>How are the activities under the Measure supporting the delivery of safe and culturally appropriate palliative care?</w:t>
            </w:r>
          </w:p>
        </w:tc>
        <w:tc>
          <w:tcPr>
            <w:tcW w:w="0" w:type="auto"/>
          </w:tcPr>
          <w:p w14:paraId="790DE2E6" w14:textId="77777777" w:rsidR="0091457A" w:rsidRDefault="0091457A" w:rsidP="003C12E8">
            <w:pPr>
              <w:pStyle w:val="TableBullets1"/>
            </w:pPr>
            <w:r>
              <w:t>Description of specific activities or content in the funded programs that explicitly navigate safety and cultural considerations within palliative care delivery</w:t>
            </w:r>
          </w:p>
          <w:p w14:paraId="24C683AC" w14:textId="77777777" w:rsidR="0091457A" w:rsidRDefault="0091457A" w:rsidP="003C12E8">
            <w:pPr>
              <w:pStyle w:val="TableBullets1"/>
            </w:pPr>
            <w:r>
              <w:t>Extent to which the funded activities align with relevant aspects of the National Palliative Care Standards</w:t>
            </w:r>
          </w:p>
          <w:p w14:paraId="6EB62989" w14:textId="77777777" w:rsidR="0091457A" w:rsidRDefault="0091457A" w:rsidP="003C12E8">
            <w:pPr>
              <w:pStyle w:val="TableBullets1"/>
            </w:pPr>
            <w:r>
              <w:t>Evidence of consultation with relevant stakeholders with expertise in safety and cultural considerations in palliative care delivery in the design and delivery of program activities</w:t>
            </w:r>
          </w:p>
          <w:p w14:paraId="5D64549E" w14:textId="77777777" w:rsidR="0091457A" w:rsidRDefault="0091457A" w:rsidP="003C12E8">
            <w:pPr>
              <w:pStyle w:val="TableBullets1"/>
            </w:pPr>
            <w:r>
              <w:t>Evidence of mechanisms to tailor or adapt program activities/content to meet specific safety or cultural needs within providers and target communities</w:t>
            </w:r>
          </w:p>
          <w:p w14:paraId="6D0F284F" w14:textId="77777777" w:rsidR="0091457A" w:rsidRDefault="0091457A" w:rsidP="003C12E8">
            <w:pPr>
              <w:pStyle w:val="TableBullets1"/>
            </w:pPr>
            <w:r>
              <w:t>Stakeholder perceptions and illustrative examples (both positive and negative) of the relevance and applicability of program content/activities in equipping the aged and primary care workforce to navigate safety and cultural considerations within palliative care delivery</w:t>
            </w:r>
          </w:p>
        </w:tc>
        <w:tc>
          <w:tcPr>
            <w:tcW w:w="0" w:type="auto"/>
          </w:tcPr>
          <w:p w14:paraId="798A42A6" w14:textId="77777777" w:rsidR="0091457A" w:rsidRPr="002438EE" w:rsidRDefault="0091457A" w:rsidP="003C12E8">
            <w:pPr>
              <w:pStyle w:val="TableBullets1"/>
            </w:pPr>
            <w:r w:rsidRPr="002438EE">
              <w:t xml:space="preserve">Desktop review (e.g. </w:t>
            </w:r>
            <w:r>
              <w:t>Activity Work Plans</w:t>
            </w:r>
            <w:r w:rsidRPr="002438EE">
              <w:t>, performance reporting, program documentation)</w:t>
            </w:r>
          </w:p>
          <w:p w14:paraId="482BE67F" w14:textId="77777777" w:rsidR="0091457A" w:rsidRPr="002438EE" w:rsidRDefault="0091457A" w:rsidP="003C12E8">
            <w:pPr>
              <w:pStyle w:val="TableBullets1"/>
            </w:pPr>
            <w:r w:rsidRPr="002438EE">
              <w:t>PEPA Aged Care/PACOP program data</w:t>
            </w:r>
          </w:p>
          <w:p w14:paraId="57366A48" w14:textId="77777777" w:rsidR="0091457A" w:rsidRPr="002438EE" w:rsidRDefault="0091457A" w:rsidP="003C12E8">
            <w:pPr>
              <w:pStyle w:val="TableBullets1"/>
            </w:pPr>
            <w:r w:rsidRPr="002438EE">
              <w:t xml:space="preserve">Stakeholder consultations: funded organisations, palliative care-related peak bodies, major aged care </w:t>
            </w:r>
            <w:r>
              <w:t>providers</w:t>
            </w:r>
            <w:r w:rsidRPr="002438EE">
              <w:t>, health professionals, consumer representative peak bodies, representatives from related initiatives</w:t>
            </w:r>
          </w:p>
          <w:p w14:paraId="5D982552" w14:textId="77777777" w:rsidR="0091457A" w:rsidRPr="002438EE" w:rsidRDefault="0091457A" w:rsidP="003C12E8">
            <w:pPr>
              <w:pStyle w:val="TableBullets1"/>
              <w:rPr>
                <w:color w:val="auto"/>
              </w:rPr>
            </w:pPr>
            <w:r w:rsidRPr="002438EE">
              <w:t xml:space="preserve">Survey of </w:t>
            </w:r>
            <w:r>
              <w:t>entities providing aged care services</w:t>
            </w:r>
          </w:p>
          <w:p w14:paraId="30DC9A79" w14:textId="77777777" w:rsidR="0091457A" w:rsidRPr="002438EE" w:rsidRDefault="0091457A" w:rsidP="003C12E8">
            <w:pPr>
              <w:pStyle w:val="TableBullets1"/>
              <w:rPr>
                <w:color w:val="auto"/>
              </w:rPr>
            </w:pPr>
            <w:r w:rsidRPr="002438EE">
              <w:t xml:space="preserve">Case studies of </w:t>
            </w:r>
            <w:r>
              <w:t>entities providing aged care services</w:t>
            </w:r>
          </w:p>
          <w:p w14:paraId="1A1EEC13" w14:textId="77777777" w:rsidR="0091457A" w:rsidRPr="002438EE" w:rsidRDefault="0091457A" w:rsidP="003C12E8">
            <w:pPr>
              <w:pStyle w:val="TableBullets1"/>
            </w:pPr>
            <w:r w:rsidRPr="002438EE">
              <w:t>Analysis of ACQS performance reports</w:t>
            </w:r>
          </w:p>
        </w:tc>
        <w:tc>
          <w:tcPr>
            <w:tcW w:w="0" w:type="auto"/>
          </w:tcPr>
          <w:p w14:paraId="2F535FC2" w14:textId="77777777" w:rsidR="0091457A" w:rsidRDefault="0091457A" w:rsidP="003C12E8">
            <w:pPr>
              <w:pStyle w:val="TableBullets1"/>
            </w:pPr>
            <w:r w:rsidRPr="00046DBF">
              <w:t>Descriptive statistics</w:t>
            </w:r>
          </w:p>
          <w:p w14:paraId="2C8D5A90" w14:textId="77777777" w:rsidR="0091457A" w:rsidRDefault="0091457A" w:rsidP="003C12E8">
            <w:pPr>
              <w:pStyle w:val="TableBullets1"/>
            </w:pPr>
            <w:r w:rsidRPr="00046DBF">
              <w:t>Thematic analysis</w:t>
            </w:r>
          </w:p>
        </w:tc>
      </w:tr>
      <w:tr w:rsidR="0091457A" w14:paraId="01CD1438" w14:textId="77777777" w:rsidTr="008F79B7">
        <w:tc>
          <w:tcPr>
            <w:tcW w:w="0" w:type="auto"/>
          </w:tcPr>
          <w:p w14:paraId="0C4E2CC3" w14:textId="77777777" w:rsidR="0091457A" w:rsidRDefault="0091457A" w:rsidP="003C12E8">
            <w:pPr>
              <w:spacing w:before="0" w:after="0"/>
            </w:pPr>
            <w:r>
              <w:t>2.4</w:t>
            </w:r>
          </w:p>
        </w:tc>
        <w:tc>
          <w:tcPr>
            <w:tcW w:w="0" w:type="auto"/>
          </w:tcPr>
          <w:p w14:paraId="2E17E804" w14:textId="77777777" w:rsidR="0091457A" w:rsidRPr="00BA7153" w:rsidRDefault="0091457A" w:rsidP="003C12E8">
            <w:pPr>
              <w:pStyle w:val="TableText"/>
            </w:pPr>
            <w:r w:rsidRPr="00BA7153">
              <w:t>What gaps or areas of duplication exist in palliative care training for the aged care and primary care sectors?</w:t>
            </w:r>
          </w:p>
        </w:tc>
        <w:tc>
          <w:tcPr>
            <w:tcW w:w="0" w:type="auto"/>
          </w:tcPr>
          <w:p w14:paraId="662CBD9D" w14:textId="77777777" w:rsidR="0091457A" w:rsidRDefault="0091457A" w:rsidP="003C12E8">
            <w:pPr>
              <w:pStyle w:val="TableBullets1"/>
            </w:pPr>
            <w:r>
              <w:t xml:space="preserve">Description of identified gaps or duplication between the funded programs and other existing palliative care training programs, resources, and initiatives </w:t>
            </w:r>
            <w:r w:rsidRPr="00BA7153">
              <w:t>for the aged care and primary care sectors</w:t>
            </w:r>
          </w:p>
          <w:p w14:paraId="5D7319E8" w14:textId="77777777" w:rsidR="0091457A" w:rsidRDefault="0091457A" w:rsidP="003C12E8">
            <w:pPr>
              <w:pStyle w:val="TableBullets1"/>
            </w:pPr>
            <w:r>
              <w:lastRenderedPageBreak/>
              <w:t>Opportunities to address gaps or duplication in palliative care training for the aged and primary care sectors identified by stakeholders</w:t>
            </w:r>
          </w:p>
        </w:tc>
        <w:tc>
          <w:tcPr>
            <w:tcW w:w="0" w:type="auto"/>
          </w:tcPr>
          <w:p w14:paraId="23B5CC60" w14:textId="77777777" w:rsidR="0091457A" w:rsidRPr="0000432D" w:rsidRDefault="0091457A" w:rsidP="003C12E8">
            <w:pPr>
              <w:pStyle w:val="TableBullets1"/>
            </w:pPr>
            <w:r w:rsidRPr="0000432D">
              <w:lastRenderedPageBreak/>
              <w:t>Desktop review (e.g. program documentation, previous evaluations, grey literature)</w:t>
            </w:r>
          </w:p>
          <w:p w14:paraId="106E325B" w14:textId="77777777" w:rsidR="0091457A" w:rsidRPr="0000432D" w:rsidRDefault="0091457A" w:rsidP="003C12E8">
            <w:pPr>
              <w:pStyle w:val="TableBullets1"/>
            </w:pPr>
            <w:r w:rsidRPr="0000432D">
              <w:lastRenderedPageBreak/>
              <w:t xml:space="preserve">Stakeholder consultations: funded organisations, </w:t>
            </w:r>
            <w:r>
              <w:t xml:space="preserve">ACQSC, </w:t>
            </w:r>
            <w:r w:rsidRPr="0000432D">
              <w:t xml:space="preserve">the Department, palliative care-related peak bodies, aged and primary care peak and professional bodies, major aged care </w:t>
            </w:r>
            <w:r>
              <w:t>providers</w:t>
            </w:r>
            <w:r w:rsidRPr="0000432D">
              <w:t>, health professionals, representatives from other related initiatives</w:t>
            </w:r>
          </w:p>
          <w:p w14:paraId="6E8E785D" w14:textId="77777777" w:rsidR="0091457A" w:rsidRPr="0000432D" w:rsidRDefault="0091457A" w:rsidP="003C12E8">
            <w:pPr>
              <w:pStyle w:val="TableBullets1"/>
            </w:pPr>
            <w:r w:rsidRPr="0000432D">
              <w:t xml:space="preserve">Case studies of </w:t>
            </w:r>
            <w:r>
              <w:t xml:space="preserve">entities providing aged care services </w:t>
            </w:r>
          </w:p>
        </w:tc>
        <w:tc>
          <w:tcPr>
            <w:tcW w:w="0" w:type="auto"/>
          </w:tcPr>
          <w:p w14:paraId="6AAC8789" w14:textId="77777777" w:rsidR="0091457A" w:rsidRDefault="0091457A" w:rsidP="003C12E8">
            <w:pPr>
              <w:pStyle w:val="TableBullets1"/>
            </w:pPr>
            <w:r w:rsidRPr="00046DBF">
              <w:lastRenderedPageBreak/>
              <w:t>Descriptive statistics</w:t>
            </w:r>
          </w:p>
          <w:p w14:paraId="77D8876E" w14:textId="77777777" w:rsidR="0091457A" w:rsidRDefault="0091457A" w:rsidP="003C12E8">
            <w:pPr>
              <w:pStyle w:val="TableBullets1"/>
            </w:pPr>
            <w:r w:rsidRPr="00046DBF">
              <w:t>Thematic analysis</w:t>
            </w:r>
          </w:p>
          <w:p w14:paraId="48D0800B" w14:textId="77777777" w:rsidR="0091457A" w:rsidRDefault="0091457A" w:rsidP="003C12E8">
            <w:pPr>
              <w:pStyle w:val="TableBullets1"/>
            </w:pPr>
            <w:r>
              <w:lastRenderedPageBreak/>
              <w:t>Critical analysis</w:t>
            </w:r>
          </w:p>
        </w:tc>
      </w:tr>
      <w:tr w:rsidR="0091457A" w14:paraId="3031D6B9" w14:textId="77777777" w:rsidTr="008F79B7">
        <w:tc>
          <w:tcPr>
            <w:tcW w:w="0" w:type="auto"/>
          </w:tcPr>
          <w:p w14:paraId="338D633D" w14:textId="77777777" w:rsidR="0091457A" w:rsidRDefault="0091457A" w:rsidP="003C12E8">
            <w:pPr>
              <w:spacing w:before="0" w:after="0"/>
            </w:pPr>
            <w:r>
              <w:lastRenderedPageBreak/>
              <w:t>2.5</w:t>
            </w:r>
          </w:p>
        </w:tc>
        <w:tc>
          <w:tcPr>
            <w:tcW w:w="0" w:type="auto"/>
          </w:tcPr>
          <w:p w14:paraId="5224EC29" w14:textId="77777777" w:rsidR="0091457A" w:rsidRPr="00BA7153" w:rsidRDefault="0091457A" w:rsidP="003C12E8">
            <w:pPr>
              <w:pStyle w:val="TableText"/>
            </w:pPr>
            <w:r w:rsidRPr="00BA7153">
              <w:t xml:space="preserve">What are potential barriers and enablers (for aged care workers, clinicians, service providers or the health and aged care system) to </w:t>
            </w:r>
            <w:r>
              <w:t>accessing and completing</w:t>
            </w:r>
            <w:r w:rsidRPr="00BA7153">
              <w:t xml:space="preserve"> palliative care education and training in the aged care and primary care sectors? </w:t>
            </w:r>
          </w:p>
        </w:tc>
        <w:tc>
          <w:tcPr>
            <w:tcW w:w="0" w:type="auto"/>
          </w:tcPr>
          <w:p w14:paraId="6D84B8EF" w14:textId="77777777" w:rsidR="0091457A" w:rsidRDefault="0091457A" w:rsidP="003C12E8">
            <w:pPr>
              <w:pStyle w:val="TableBullets1"/>
            </w:pPr>
            <w:r>
              <w:t>Identified barriers and enablers to participating in the funded programs</w:t>
            </w:r>
          </w:p>
          <w:p w14:paraId="17B79313" w14:textId="77777777" w:rsidR="0091457A" w:rsidRDefault="0091457A" w:rsidP="003C12E8">
            <w:pPr>
              <w:pStyle w:val="TableBullets1"/>
            </w:pPr>
            <w:r>
              <w:t xml:space="preserve">Identified barriers and enablers to accessing and completing </w:t>
            </w:r>
            <w:r w:rsidRPr="00BA7153">
              <w:t>palliative care education and training in the aged care and primary care sectors</w:t>
            </w:r>
            <w:r>
              <w:t xml:space="preserve"> more broadly</w:t>
            </w:r>
          </w:p>
          <w:p w14:paraId="78920941" w14:textId="77777777" w:rsidR="0091457A" w:rsidRDefault="0091457A" w:rsidP="003C12E8">
            <w:pPr>
              <w:pStyle w:val="TableBullets1"/>
            </w:pPr>
            <w:r>
              <w:t>Reported opportunities to mitigate or leverage identified barriers and enablers</w:t>
            </w:r>
          </w:p>
        </w:tc>
        <w:tc>
          <w:tcPr>
            <w:tcW w:w="0" w:type="auto"/>
          </w:tcPr>
          <w:p w14:paraId="1579FC26" w14:textId="77777777" w:rsidR="0091457A" w:rsidRPr="0000432D" w:rsidRDefault="0091457A" w:rsidP="003C12E8">
            <w:pPr>
              <w:pStyle w:val="TableBullets1"/>
            </w:pPr>
            <w:r w:rsidRPr="0000432D">
              <w:t>Desktop review (e.g. performance reporting, previous evaluations)</w:t>
            </w:r>
          </w:p>
          <w:p w14:paraId="03CB0943" w14:textId="77777777" w:rsidR="0091457A" w:rsidRPr="0000432D" w:rsidRDefault="0091457A" w:rsidP="003C12E8">
            <w:pPr>
              <w:pStyle w:val="TableBullets1"/>
            </w:pPr>
            <w:r w:rsidRPr="0000432D">
              <w:t xml:space="preserve">Stakeholder consultations: funded organisations, </w:t>
            </w:r>
            <w:r>
              <w:t xml:space="preserve">ACQSC, </w:t>
            </w:r>
            <w:r w:rsidRPr="0000432D">
              <w:t xml:space="preserve">aged and primary care peak and professional bodies, major aged care </w:t>
            </w:r>
            <w:r>
              <w:t>providers</w:t>
            </w:r>
            <w:r w:rsidRPr="0000432D">
              <w:t>, health professionals, representatives from other related initiatives</w:t>
            </w:r>
          </w:p>
          <w:p w14:paraId="1F2EFF72" w14:textId="77777777" w:rsidR="0091457A" w:rsidRPr="0000432D" w:rsidRDefault="0091457A" w:rsidP="003C12E8">
            <w:pPr>
              <w:pStyle w:val="TableBullets1"/>
              <w:rPr>
                <w:color w:val="auto"/>
              </w:rPr>
            </w:pPr>
            <w:r w:rsidRPr="0000432D">
              <w:t xml:space="preserve">Survey of </w:t>
            </w:r>
            <w:r>
              <w:t>entities providing aged care services</w:t>
            </w:r>
          </w:p>
          <w:p w14:paraId="690A836A" w14:textId="77777777" w:rsidR="0091457A" w:rsidRPr="0000432D" w:rsidRDefault="0091457A" w:rsidP="003C12E8">
            <w:pPr>
              <w:pStyle w:val="TableBullets1"/>
            </w:pPr>
            <w:r w:rsidRPr="0000432D">
              <w:t xml:space="preserve">Case studies of </w:t>
            </w:r>
            <w:r>
              <w:t xml:space="preserve">entities providing aged care services </w:t>
            </w:r>
          </w:p>
        </w:tc>
        <w:tc>
          <w:tcPr>
            <w:tcW w:w="0" w:type="auto"/>
          </w:tcPr>
          <w:p w14:paraId="536072E4" w14:textId="77777777" w:rsidR="0091457A" w:rsidRDefault="0091457A" w:rsidP="003C12E8">
            <w:pPr>
              <w:pStyle w:val="TableBullets1"/>
            </w:pPr>
            <w:r w:rsidRPr="00046DBF">
              <w:t>Thematic analysis</w:t>
            </w:r>
          </w:p>
          <w:p w14:paraId="3624788F" w14:textId="77777777" w:rsidR="0091457A" w:rsidRDefault="0091457A" w:rsidP="003C12E8">
            <w:pPr>
              <w:spacing w:before="0" w:after="0"/>
            </w:pPr>
          </w:p>
        </w:tc>
      </w:tr>
      <w:tr w:rsidR="00035E90" w:rsidRPr="007E7861" w14:paraId="4C4953A1" w14:textId="77777777" w:rsidTr="008F79B7">
        <w:tc>
          <w:tcPr>
            <w:tcW w:w="0" w:type="auto"/>
            <w:shd w:val="clear" w:color="auto" w:fill="DDF2EC" w:themeFill="accent5" w:themeFillTint="33"/>
          </w:tcPr>
          <w:p w14:paraId="030749B5" w14:textId="77777777" w:rsidR="00035E90" w:rsidRPr="007E7861" w:rsidRDefault="00035E90" w:rsidP="003C12E8">
            <w:pPr>
              <w:spacing w:before="0" w:after="0"/>
              <w:rPr>
                <w:rFonts w:asciiTheme="majorHAnsi" w:hAnsiTheme="majorHAnsi"/>
              </w:rPr>
            </w:pPr>
            <w:r w:rsidRPr="007E7861">
              <w:rPr>
                <w:rFonts w:asciiTheme="majorHAnsi" w:hAnsiTheme="majorHAnsi"/>
              </w:rPr>
              <w:t>3</w:t>
            </w:r>
          </w:p>
        </w:tc>
        <w:tc>
          <w:tcPr>
            <w:tcW w:w="0" w:type="auto"/>
            <w:shd w:val="clear" w:color="auto" w:fill="DDF2EC" w:themeFill="accent5" w:themeFillTint="33"/>
          </w:tcPr>
          <w:p w14:paraId="74C3B916" w14:textId="77777777" w:rsidR="00035E90" w:rsidRPr="007E7861" w:rsidRDefault="00035E90" w:rsidP="003C12E8">
            <w:pPr>
              <w:spacing w:before="0" w:after="0"/>
              <w:rPr>
                <w:rFonts w:asciiTheme="majorHAnsi" w:hAnsiTheme="majorHAnsi"/>
              </w:rPr>
            </w:pPr>
            <w:r w:rsidRPr="007E7861">
              <w:rPr>
                <w:rFonts w:asciiTheme="majorHAnsi" w:hAnsiTheme="majorHAnsi"/>
              </w:rPr>
              <w:t>Effectiveness: What difference is the Measure making?</w:t>
            </w:r>
          </w:p>
        </w:tc>
        <w:tc>
          <w:tcPr>
            <w:tcW w:w="0" w:type="auto"/>
            <w:shd w:val="clear" w:color="auto" w:fill="DDF2EC" w:themeFill="accent5" w:themeFillTint="33"/>
          </w:tcPr>
          <w:p w14:paraId="49A357B4" w14:textId="0034347B" w:rsidR="00035E90" w:rsidRPr="007E7861" w:rsidRDefault="00035E90" w:rsidP="003C12E8">
            <w:pPr>
              <w:spacing w:before="0" w:after="0"/>
              <w:rPr>
                <w:rFonts w:asciiTheme="majorHAnsi" w:hAnsiTheme="majorHAnsi"/>
              </w:rPr>
            </w:pPr>
            <w:r w:rsidRPr="007E7861">
              <w:rPr>
                <w:rFonts w:asciiTheme="majorHAnsi" w:hAnsiTheme="majorHAnsi"/>
              </w:rPr>
              <w:t>Effectiveness: What difference is the Measure making?</w:t>
            </w:r>
          </w:p>
        </w:tc>
        <w:tc>
          <w:tcPr>
            <w:tcW w:w="0" w:type="auto"/>
            <w:shd w:val="clear" w:color="auto" w:fill="DDF2EC" w:themeFill="accent5" w:themeFillTint="33"/>
          </w:tcPr>
          <w:p w14:paraId="1A688204" w14:textId="7D3E146F" w:rsidR="00035E90" w:rsidRPr="007E7861" w:rsidRDefault="00035E90" w:rsidP="003C12E8">
            <w:pPr>
              <w:spacing w:before="0" w:after="0"/>
              <w:rPr>
                <w:rFonts w:asciiTheme="majorHAnsi" w:hAnsiTheme="majorHAnsi"/>
              </w:rPr>
            </w:pPr>
            <w:r w:rsidRPr="007E7861">
              <w:rPr>
                <w:rFonts w:asciiTheme="majorHAnsi" w:hAnsiTheme="majorHAnsi"/>
              </w:rPr>
              <w:t>Effectiveness: What difference is the Measure making?</w:t>
            </w:r>
          </w:p>
        </w:tc>
        <w:tc>
          <w:tcPr>
            <w:tcW w:w="0" w:type="auto"/>
            <w:shd w:val="clear" w:color="auto" w:fill="DDF2EC" w:themeFill="accent5" w:themeFillTint="33"/>
          </w:tcPr>
          <w:p w14:paraId="365093F8" w14:textId="4D51EFC1" w:rsidR="00035E90" w:rsidRPr="007E7861" w:rsidRDefault="00035E90" w:rsidP="003C12E8">
            <w:pPr>
              <w:spacing w:before="0" w:after="0"/>
              <w:rPr>
                <w:rFonts w:asciiTheme="majorHAnsi" w:hAnsiTheme="majorHAnsi"/>
              </w:rPr>
            </w:pPr>
            <w:r w:rsidRPr="007E7861">
              <w:rPr>
                <w:rFonts w:asciiTheme="majorHAnsi" w:hAnsiTheme="majorHAnsi"/>
              </w:rPr>
              <w:t>Effectiveness: What difference is the Measure making?</w:t>
            </w:r>
          </w:p>
        </w:tc>
      </w:tr>
      <w:tr w:rsidR="0091457A" w14:paraId="011504AA" w14:textId="77777777" w:rsidTr="008F79B7">
        <w:tc>
          <w:tcPr>
            <w:tcW w:w="0" w:type="auto"/>
          </w:tcPr>
          <w:p w14:paraId="341A2CB8" w14:textId="77777777" w:rsidR="0091457A" w:rsidRDefault="0091457A" w:rsidP="003C12E8">
            <w:pPr>
              <w:spacing w:before="0" w:after="0"/>
            </w:pPr>
            <w:r>
              <w:t>3.1</w:t>
            </w:r>
          </w:p>
        </w:tc>
        <w:tc>
          <w:tcPr>
            <w:tcW w:w="0" w:type="auto"/>
          </w:tcPr>
          <w:p w14:paraId="6B325187" w14:textId="77777777" w:rsidR="0091457A" w:rsidRDefault="0091457A" w:rsidP="003C12E8">
            <w:pPr>
              <w:spacing w:before="0" w:after="0"/>
            </w:pPr>
            <w:r w:rsidRPr="00114FD9">
              <w:rPr>
                <w:lang w:eastAsia="zh-CN" w:bidi="th-TH"/>
              </w:rPr>
              <w:t>To what extent have activities under the Measure improved the knowledge, skills and confidence of the aged care and primary care workforce to deliver high-quality palliative care and advance care planning in the aged care system?</w:t>
            </w:r>
            <w:r w:rsidRPr="00CA14CB">
              <w:rPr>
                <w:lang w:eastAsia="zh-CN" w:bidi="th-TH"/>
              </w:rPr>
              <w:t xml:space="preserve"> </w:t>
            </w:r>
          </w:p>
        </w:tc>
        <w:tc>
          <w:tcPr>
            <w:tcW w:w="0" w:type="auto"/>
          </w:tcPr>
          <w:p w14:paraId="046E9B36" w14:textId="77777777" w:rsidR="0091457A" w:rsidRDefault="0091457A" w:rsidP="003C12E8">
            <w:pPr>
              <w:pStyle w:val="TableBullets1"/>
            </w:pPr>
            <w:r>
              <w:t xml:space="preserve">Change in self-reported knowledge, skills, and confidence in delivering </w:t>
            </w:r>
            <w:r w:rsidRPr="00114FD9">
              <w:rPr>
                <w:lang w:eastAsia="zh-CN" w:bidi="th-TH"/>
              </w:rPr>
              <w:t xml:space="preserve">high-quality </w:t>
            </w:r>
            <w:r>
              <w:t>palliative care and advance care planning among PEPA Aged Care participants</w:t>
            </w:r>
          </w:p>
          <w:p w14:paraId="22452123" w14:textId="77777777" w:rsidR="0091457A" w:rsidRDefault="0091457A" w:rsidP="003C12E8">
            <w:pPr>
              <w:pStyle w:val="TableBullets1"/>
            </w:pPr>
            <w:r>
              <w:t xml:space="preserve">Placement site-reported impact of participation in PEPA Aged Care on workers’ knowledge, skills, and </w:t>
            </w:r>
            <w:r>
              <w:lastRenderedPageBreak/>
              <w:t xml:space="preserve">confidence in delivering </w:t>
            </w:r>
            <w:r w:rsidRPr="00114FD9">
              <w:rPr>
                <w:lang w:eastAsia="zh-CN" w:bidi="th-TH"/>
              </w:rPr>
              <w:t xml:space="preserve">high-quality </w:t>
            </w:r>
            <w:r>
              <w:t>palliative care and advance care planning</w:t>
            </w:r>
          </w:p>
          <w:p w14:paraId="5115103C" w14:textId="77777777" w:rsidR="0091457A" w:rsidRDefault="0091457A" w:rsidP="003C12E8">
            <w:pPr>
              <w:pStyle w:val="TableBullets1"/>
            </w:pPr>
            <w:r>
              <w:t>Self-reported confidence among aged care homes/providers participating in PACOP in using PACOP assessment tools to identify and respond to identified palliative care needs</w:t>
            </w:r>
          </w:p>
          <w:p w14:paraId="301CA371" w14:textId="77777777" w:rsidR="0091457A" w:rsidRDefault="0091457A" w:rsidP="003C12E8">
            <w:pPr>
              <w:pStyle w:val="TableBullets1"/>
            </w:pPr>
            <w:r>
              <w:t xml:space="preserve">Aged care home/provider-reported impact of participation in PACOP on workers’ knowledge, skills, and confidence in delivering </w:t>
            </w:r>
            <w:r w:rsidRPr="00114FD9">
              <w:rPr>
                <w:lang w:eastAsia="zh-CN" w:bidi="th-TH"/>
              </w:rPr>
              <w:t xml:space="preserve">high-quality </w:t>
            </w:r>
            <w:r>
              <w:t>palliative care and advance care planning</w:t>
            </w:r>
          </w:p>
          <w:p w14:paraId="55B6F121" w14:textId="77777777" w:rsidR="0091457A" w:rsidRDefault="0091457A" w:rsidP="003C12E8">
            <w:pPr>
              <w:pStyle w:val="TableBullets1"/>
            </w:pPr>
            <w:r>
              <w:t xml:space="preserve">Perceptions of stakeholders on how the funded programs have impacted the ability of the </w:t>
            </w:r>
            <w:r w:rsidRPr="00114FD9">
              <w:rPr>
                <w:lang w:eastAsia="zh-CN" w:bidi="th-TH"/>
              </w:rPr>
              <w:t xml:space="preserve">aged care and primary care workforce to deliver high-quality palliative care and advance care planning </w:t>
            </w:r>
            <w:r>
              <w:rPr>
                <w:lang w:eastAsia="zh-CN" w:bidi="th-TH"/>
              </w:rPr>
              <w:t>with</w:t>
            </w:r>
            <w:r w:rsidRPr="00114FD9">
              <w:rPr>
                <w:lang w:eastAsia="zh-CN" w:bidi="th-TH"/>
              </w:rPr>
              <w:t>in the aged care system</w:t>
            </w:r>
          </w:p>
          <w:p w14:paraId="664D58FA" w14:textId="77777777" w:rsidR="0091457A" w:rsidRDefault="0091457A" w:rsidP="003C12E8">
            <w:pPr>
              <w:pStyle w:val="TableBullets1"/>
            </w:pPr>
            <w:r w:rsidRPr="00D2197F">
              <w:rPr>
                <w:lang w:eastAsia="zh-CN" w:bidi="th-TH"/>
              </w:rPr>
              <w:t>Evidence of improved quality of care delivery for residents/clients at the end of life</w:t>
            </w:r>
          </w:p>
        </w:tc>
        <w:tc>
          <w:tcPr>
            <w:tcW w:w="0" w:type="auto"/>
          </w:tcPr>
          <w:p w14:paraId="405B4E6E" w14:textId="77777777" w:rsidR="0091457A" w:rsidRPr="004A2B96" w:rsidRDefault="0091457A" w:rsidP="003C12E8">
            <w:pPr>
              <w:pStyle w:val="TableBullets1"/>
            </w:pPr>
            <w:r w:rsidRPr="004A2B96">
              <w:lastRenderedPageBreak/>
              <w:t xml:space="preserve">Stakeholder consultations: funded organisations, </w:t>
            </w:r>
            <w:r>
              <w:t xml:space="preserve">ACQSC, </w:t>
            </w:r>
            <w:r w:rsidRPr="004A2B96">
              <w:t xml:space="preserve">aged and primary care peak and professional bodies, major aged care </w:t>
            </w:r>
            <w:r>
              <w:t>providers</w:t>
            </w:r>
          </w:p>
          <w:p w14:paraId="09DCA31D" w14:textId="77777777" w:rsidR="0091457A" w:rsidRPr="004A2B96" w:rsidRDefault="0091457A" w:rsidP="003C12E8">
            <w:pPr>
              <w:pStyle w:val="TableBullets1"/>
              <w:rPr>
                <w:color w:val="auto"/>
              </w:rPr>
            </w:pPr>
            <w:r w:rsidRPr="004A2B96">
              <w:t>PEPA Aged Care/PACOP program data</w:t>
            </w:r>
          </w:p>
          <w:p w14:paraId="706A3825" w14:textId="77777777" w:rsidR="0091457A" w:rsidRPr="004A2B96" w:rsidRDefault="0091457A" w:rsidP="003C12E8">
            <w:pPr>
              <w:pStyle w:val="TableBullets1"/>
              <w:rPr>
                <w:color w:val="auto"/>
              </w:rPr>
            </w:pPr>
            <w:r w:rsidRPr="004A2B96">
              <w:t xml:space="preserve">Survey of </w:t>
            </w:r>
            <w:r>
              <w:t>entities providing aged care services</w:t>
            </w:r>
          </w:p>
          <w:p w14:paraId="35F8CE84" w14:textId="77777777" w:rsidR="0091457A" w:rsidRPr="004A2B96" w:rsidRDefault="0091457A" w:rsidP="003C12E8">
            <w:pPr>
              <w:pStyle w:val="TableBullets1"/>
            </w:pPr>
            <w:r w:rsidRPr="004A2B96">
              <w:lastRenderedPageBreak/>
              <w:t xml:space="preserve">Case studies of </w:t>
            </w:r>
            <w:r>
              <w:t>entities providing aged care services</w:t>
            </w:r>
          </w:p>
          <w:p w14:paraId="25176729" w14:textId="77777777" w:rsidR="0091457A" w:rsidRPr="001F2D35" w:rsidRDefault="0091457A" w:rsidP="003C12E8">
            <w:pPr>
              <w:pStyle w:val="TableBullets1"/>
            </w:pPr>
            <w:r w:rsidRPr="004A2B96">
              <w:t xml:space="preserve">Analysis of ACQS </w:t>
            </w:r>
            <w:r w:rsidRPr="002438EE">
              <w:t xml:space="preserve">performance </w:t>
            </w:r>
            <w:r w:rsidRPr="004A2B96">
              <w:t>reports</w:t>
            </w:r>
          </w:p>
        </w:tc>
        <w:tc>
          <w:tcPr>
            <w:tcW w:w="0" w:type="auto"/>
          </w:tcPr>
          <w:p w14:paraId="0DDD5522" w14:textId="77777777" w:rsidR="0091457A" w:rsidRDefault="0091457A" w:rsidP="003C12E8">
            <w:pPr>
              <w:pStyle w:val="TableBullets1"/>
            </w:pPr>
            <w:r w:rsidRPr="00046DBF">
              <w:lastRenderedPageBreak/>
              <w:t>Descriptive statistics</w:t>
            </w:r>
          </w:p>
          <w:p w14:paraId="7F17A688" w14:textId="77777777" w:rsidR="0091457A" w:rsidRDefault="0091457A" w:rsidP="003C12E8">
            <w:pPr>
              <w:pStyle w:val="TableBullets1"/>
            </w:pPr>
            <w:r w:rsidRPr="00046DBF">
              <w:t>Thematic analysis</w:t>
            </w:r>
          </w:p>
          <w:p w14:paraId="495C9D8D" w14:textId="77777777" w:rsidR="0091457A" w:rsidRDefault="0091457A" w:rsidP="003C12E8">
            <w:pPr>
              <w:spacing w:before="0" w:after="0"/>
            </w:pPr>
          </w:p>
        </w:tc>
      </w:tr>
      <w:tr w:rsidR="0091457A" w14:paraId="62D7CE44" w14:textId="77777777" w:rsidTr="008F79B7">
        <w:tc>
          <w:tcPr>
            <w:tcW w:w="0" w:type="auto"/>
          </w:tcPr>
          <w:p w14:paraId="1E60AA74" w14:textId="77777777" w:rsidR="0091457A" w:rsidRDefault="0091457A" w:rsidP="003C12E8">
            <w:pPr>
              <w:spacing w:before="0" w:after="0"/>
            </w:pPr>
            <w:r>
              <w:t>3.2</w:t>
            </w:r>
          </w:p>
        </w:tc>
        <w:tc>
          <w:tcPr>
            <w:tcW w:w="0" w:type="auto"/>
          </w:tcPr>
          <w:p w14:paraId="7D77DC8F" w14:textId="77777777" w:rsidR="0091457A" w:rsidRPr="00BA7153" w:rsidRDefault="0091457A" w:rsidP="003C12E8">
            <w:pPr>
              <w:pStyle w:val="TableText"/>
            </w:pPr>
            <w:r w:rsidRPr="00BA7153">
              <w:t>To what extent have the activities under the Measure supported the development of organisational capabilities and confidence to deliver high-quality palliative care?</w:t>
            </w:r>
          </w:p>
        </w:tc>
        <w:tc>
          <w:tcPr>
            <w:tcW w:w="0" w:type="auto"/>
          </w:tcPr>
          <w:p w14:paraId="7A555D08" w14:textId="77777777" w:rsidR="0091457A" w:rsidRDefault="0091457A" w:rsidP="003C12E8">
            <w:pPr>
              <w:pStyle w:val="TableBullets1"/>
            </w:pPr>
            <w:r>
              <w:t>Number of aged care homes participating in PACOP that have progressed to the Outcomes Collection, indicating a higher level of integration and capability</w:t>
            </w:r>
          </w:p>
          <w:p w14:paraId="37DF06E6" w14:textId="77777777" w:rsidR="0091457A" w:rsidRDefault="0091457A" w:rsidP="003C12E8">
            <w:pPr>
              <w:pStyle w:val="TableBullets1"/>
            </w:pPr>
            <w:r>
              <w:t>Change</w:t>
            </w:r>
            <w:r w:rsidRPr="00D2197F">
              <w:t xml:space="preserve"> over time in PACOP outcome measures among participating </w:t>
            </w:r>
            <w:r>
              <w:t>aged care homes</w:t>
            </w:r>
            <w:r w:rsidRPr="00D2197F">
              <w:t xml:space="preserve"> </w:t>
            </w:r>
            <w:r>
              <w:t>relative to national benchmarks</w:t>
            </w:r>
          </w:p>
          <w:p w14:paraId="02187D4D" w14:textId="77777777" w:rsidR="0091457A" w:rsidRPr="00D2197F" w:rsidRDefault="0091457A" w:rsidP="003C12E8">
            <w:pPr>
              <w:pStyle w:val="TableBullets1"/>
            </w:pPr>
            <w:r>
              <w:t>Number of PEPA Aged Care placement sites with a staff member acting as a mentor to continue integration post-placement</w:t>
            </w:r>
          </w:p>
          <w:p w14:paraId="008B9AFD" w14:textId="77777777" w:rsidR="0091457A" w:rsidRDefault="0091457A" w:rsidP="003C12E8">
            <w:pPr>
              <w:pStyle w:val="TableBullets1"/>
            </w:pPr>
            <w:r>
              <w:t xml:space="preserve">Specific changes in policies, processes, procedures, and systems </w:t>
            </w:r>
            <w:proofErr w:type="gramStart"/>
            <w:r>
              <w:t>as a result of</w:t>
            </w:r>
            <w:proofErr w:type="gramEnd"/>
            <w:r>
              <w:t xml:space="preserve"> the funded programs, as reported by aged care homes/providers participating in PACOP and placement sites participating in PEPA Aged Care</w:t>
            </w:r>
          </w:p>
          <w:p w14:paraId="06C58F3E" w14:textId="77777777" w:rsidR="0091457A" w:rsidRDefault="0091457A" w:rsidP="003C12E8">
            <w:pPr>
              <w:pStyle w:val="TableBullets1"/>
            </w:pPr>
            <w:r>
              <w:t xml:space="preserve">Extent to which aged care homes/providers participating in PACOP and placement sites </w:t>
            </w:r>
            <w:r>
              <w:lastRenderedPageBreak/>
              <w:t>participating in PEPA Aged Care report the Measure has supported them to embed the delivery of high-quality palliative care and advance care planning as part of core business</w:t>
            </w:r>
          </w:p>
          <w:p w14:paraId="6414F1E4" w14:textId="77777777" w:rsidR="0091457A" w:rsidRDefault="0091457A" w:rsidP="003C12E8">
            <w:pPr>
              <w:pStyle w:val="TableBullets1"/>
            </w:pPr>
            <w:r>
              <w:t>Stakeholder perceptions of the impact of the funded programs on organisational capacity and confidence in delivering quality palliative care</w:t>
            </w:r>
          </w:p>
          <w:p w14:paraId="1290A3A2" w14:textId="77777777" w:rsidR="0091457A" w:rsidRDefault="0091457A" w:rsidP="003C12E8">
            <w:pPr>
              <w:pStyle w:val="TableBullets1"/>
            </w:pPr>
            <w:r>
              <w:t>Stakeholder perceptions of the impact of the funded programs on access to quality, safe, and culturally appropriate palliative care for older Australians</w:t>
            </w:r>
          </w:p>
          <w:p w14:paraId="51E247CE" w14:textId="77777777" w:rsidR="0091457A" w:rsidRDefault="0091457A" w:rsidP="003C12E8">
            <w:pPr>
              <w:pStyle w:val="TableBullets1"/>
            </w:pPr>
            <w:r>
              <w:t>Evidence of the impact of the funded programs on the quality of:</w:t>
            </w:r>
          </w:p>
          <w:p w14:paraId="70E98E63" w14:textId="77777777" w:rsidR="0091457A" w:rsidRDefault="0091457A" w:rsidP="003C12E8">
            <w:pPr>
              <w:pStyle w:val="TableBullets2"/>
              <w:ind w:left="625" w:hanging="283"/>
            </w:pPr>
            <w:r>
              <w:t>palliative/end-of-life care plans</w:t>
            </w:r>
          </w:p>
          <w:p w14:paraId="4B086307" w14:textId="77777777" w:rsidR="0091457A" w:rsidRDefault="0091457A" w:rsidP="003C12E8">
            <w:pPr>
              <w:pStyle w:val="TableBullets2"/>
              <w:ind w:left="625" w:hanging="283"/>
            </w:pPr>
            <w:r>
              <w:t xml:space="preserve">advance care planning documentation </w:t>
            </w:r>
          </w:p>
        </w:tc>
        <w:tc>
          <w:tcPr>
            <w:tcW w:w="0" w:type="auto"/>
          </w:tcPr>
          <w:p w14:paraId="1BCBCF26" w14:textId="77777777" w:rsidR="0091457A" w:rsidRPr="007213C2" w:rsidRDefault="0091457A" w:rsidP="003C12E8">
            <w:pPr>
              <w:pStyle w:val="TableBullets1"/>
            </w:pPr>
            <w:r w:rsidRPr="007213C2">
              <w:lastRenderedPageBreak/>
              <w:t xml:space="preserve">Stakeholder consultations: funded organisations, </w:t>
            </w:r>
            <w:r>
              <w:t xml:space="preserve">ACQSC, </w:t>
            </w:r>
            <w:r w:rsidRPr="007213C2">
              <w:t xml:space="preserve">aged and primary care peak and professional bodies, major aged care </w:t>
            </w:r>
            <w:r>
              <w:t>providers</w:t>
            </w:r>
          </w:p>
          <w:p w14:paraId="74D6A2D8" w14:textId="77777777" w:rsidR="0091457A" w:rsidRPr="007213C2" w:rsidRDefault="0091457A" w:rsidP="003C12E8">
            <w:pPr>
              <w:pStyle w:val="TableBullets1"/>
            </w:pPr>
            <w:r w:rsidRPr="007213C2">
              <w:t>PEPA Aged Care/PACOP program data</w:t>
            </w:r>
          </w:p>
          <w:p w14:paraId="69322197" w14:textId="77777777" w:rsidR="0091457A" w:rsidRPr="007213C2" w:rsidRDefault="0091457A" w:rsidP="003C12E8">
            <w:pPr>
              <w:pStyle w:val="TableBullets1"/>
              <w:rPr>
                <w:color w:val="auto"/>
              </w:rPr>
            </w:pPr>
            <w:r w:rsidRPr="007213C2">
              <w:t xml:space="preserve">Survey of aged </w:t>
            </w:r>
            <w:r>
              <w:t>entities providing aged care services</w:t>
            </w:r>
          </w:p>
          <w:p w14:paraId="433F9810" w14:textId="77777777" w:rsidR="0091457A" w:rsidRPr="007213C2" w:rsidRDefault="0091457A" w:rsidP="003C12E8">
            <w:pPr>
              <w:pStyle w:val="TableBullets1"/>
            </w:pPr>
            <w:r w:rsidRPr="007213C2">
              <w:t xml:space="preserve">Case studies of </w:t>
            </w:r>
            <w:r>
              <w:t>entities providing aged care services</w:t>
            </w:r>
          </w:p>
          <w:p w14:paraId="79B98177" w14:textId="77777777" w:rsidR="0091457A" w:rsidRPr="007213C2" w:rsidRDefault="0091457A" w:rsidP="003C12E8">
            <w:pPr>
              <w:pStyle w:val="TableBullets1"/>
            </w:pPr>
            <w:r w:rsidRPr="007213C2">
              <w:t xml:space="preserve">Analysis of ACQS </w:t>
            </w:r>
            <w:r w:rsidRPr="002438EE">
              <w:t xml:space="preserve">performance </w:t>
            </w:r>
            <w:r w:rsidRPr="007213C2">
              <w:t>reports</w:t>
            </w:r>
          </w:p>
        </w:tc>
        <w:tc>
          <w:tcPr>
            <w:tcW w:w="0" w:type="auto"/>
          </w:tcPr>
          <w:p w14:paraId="5CA8A266" w14:textId="77777777" w:rsidR="0091457A" w:rsidRDefault="0091457A" w:rsidP="003C12E8">
            <w:pPr>
              <w:pStyle w:val="TableBullets1"/>
            </w:pPr>
            <w:r w:rsidRPr="00046DBF">
              <w:t>Descriptive statistics</w:t>
            </w:r>
          </w:p>
          <w:p w14:paraId="4C6AF9BF" w14:textId="77777777" w:rsidR="0091457A" w:rsidRDefault="0091457A" w:rsidP="003C12E8">
            <w:pPr>
              <w:pStyle w:val="TableBullets1"/>
            </w:pPr>
            <w:r w:rsidRPr="00046DBF">
              <w:t>Thematic analysis</w:t>
            </w:r>
          </w:p>
          <w:p w14:paraId="3EFBF44C" w14:textId="77777777" w:rsidR="0091457A" w:rsidRDefault="0091457A" w:rsidP="003C12E8">
            <w:pPr>
              <w:spacing w:before="0" w:after="0"/>
            </w:pPr>
          </w:p>
        </w:tc>
      </w:tr>
      <w:tr w:rsidR="0091457A" w14:paraId="382C110A" w14:textId="77777777" w:rsidTr="008F79B7">
        <w:tc>
          <w:tcPr>
            <w:tcW w:w="0" w:type="auto"/>
          </w:tcPr>
          <w:p w14:paraId="0C10EB8F" w14:textId="77777777" w:rsidR="0091457A" w:rsidRDefault="0091457A" w:rsidP="003C12E8">
            <w:pPr>
              <w:spacing w:before="0" w:after="0"/>
            </w:pPr>
            <w:r>
              <w:t>3.3</w:t>
            </w:r>
          </w:p>
        </w:tc>
        <w:tc>
          <w:tcPr>
            <w:tcW w:w="0" w:type="auto"/>
          </w:tcPr>
          <w:p w14:paraId="00299329" w14:textId="77777777" w:rsidR="0091457A" w:rsidRPr="00BA7153" w:rsidRDefault="0091457A" w:rsidP="003C12E8">
            <w:pPr>
              <w:pStyle w:val="TableText"/>
            </w:pPr>
            <w:r w:rsidRPr="00BA7153">
              <w:t>To what extent has the Measure supported embedding quality improvement and outcomes (e.g. system improvement)?</w:t>
            </w:r>
          </w:p>
        </w:tc>
        <w:tc>
          <w:tcPr>
            <w:tcW w:w="0" w:type="auto"/>
          </w:tcPr>
          <w:p w14:paraId="55FF46F0" w14:textId="77777777" w:rsidR="0091457A" w:rsidRDefault="0091457A" w:rsidP="003C12E8">
            <w:pPr>
              <w:pStyle w:val="TableBullets1"/>
            </w:pPr>
            <w:r>
              <w:t>Extent to which aged care homes/providers participating in PACOP and placement sites participating in PEPA Aged Care report making changes or implementing quality improvement activities related to palliative care as a result of the funded programs (e.g. developed/improved relevant policies, amended existing or created new resources or processes to support palliative care delivery, conducted further training or education, amended existing or created new clinical protocols, etc.), and perceived sustainability of any changes made</w:t>
            </w:r>
          </w:p>
          <w:p w14:paraId="3D514420" w14:textId="77777777" w:rsidR="0091457A" w:rsidRDefault="0091457A" w:rsidP="003C12E8">
            <w:pPr>
              <w:pStyle w:val="TableBullets1"/>
            </w:pPr>
            <w:r>
              <w:t>Extent to which aged care homes/providers participating in PACOP and placement sites participating in PEPA Aged Care report the Measure has supported them to embed quality improvement and outcomes (e.g. system improvement)</w:t>
            </w:r>
          </w:p>
          <w:p w14:paraId="71AF46CE" w14:textId="77777777" w:rsidR="0091457A" w:rsidRDefault="0091457A" w:rsidP="003C12E8">
            <w:pPr>
              <w:pStyle w:val="TableBullets1"/>
            </w:pPr>
            <w:r>
              <w:t xml:space="preserve">Stakeholder perceptions of the extent to which the Measure has contributed to a culture of quality </w:t>
            </w:r>
            <w:r>
              <w:lastRenderedPageBreak/>
              <w:t>improvement in palliative care within their workplace and/or the aged care sector</w:t>
            </w:r>
          </w:p>
          <w:p w14:paraId="6C3C3C1A" w14:textId="77777777" w:rsidR="0091457A" w:rsidRDefault="0091457A" w:rsidP="003C12E8">
            <w:pPr>
              <w:pStyle w:val="TableBullets1"/>
            </w:pPr>
            <w:r>
              <w:t>Number and percentage of PEPA Aged Care placement sites that developed post-placement service improvement plans</w:t>
            </w:r>
          </w:p>
          <w:p w14:paraId="5DDAA79B" w14:textId="77777777" w:rsidR="0091457A" w:rsidRDefault="0091457A" w:rsidP="003C12E8">
            <w:pPr>
              <w:pStyle w:val="TableBullets1"/>
            </w:pPr>
            <w:r>
              <w:t>Number and percentage of PEPA Aged Care placement sites that implemented/completed post-placement service improvement plans</w:t>
            </w:r>
          </w:p>
          <w:p w14:paraId="285CD062" w14:textId="77777777" w:rsidR="0091457A" w:rsidRDefault="0091457A" w:rsidP="003C12E8">
            <w:pPr>
              <w:pStyle w:val="TableBullets1"/>
            </w:pPr>
            <w:r>
              <w:t>Number and type of post-placement activities undertaken by PEPA Aged Care participants/placement sites</w:t>
            </w:r>
          </w:p>
          <w:p w14:paraId="0BB308BC" w14:textId="77777777" w:rsidR="0091457A" w:rsidRDefault="0091457A" w:rsidP="003C12E8">
            <w:pPr>
              <w:pStyle w:val="TableBullets1"/>
            </w:pPr>
            <w:r>
              <w:t>Number and proportion of participating aged care homes receiving PACOP benchmark reports</w:t>
            </w:r>
          </w:p>
          <w:p w14:paraId="6E62D28F" w14:textId="77777777" w:rsidR="0091457A" w:rsidRDefault="0091457A" w:rsidP="003C12E8">
            <w:pPr>
              <w:pStyle w:val="TableBullets1"/>
            </w:pPr>
            <w:r>
              <w:t xml:space="preserve">Number of aged care homes participating in PACOP that report using PACOP data and/or benchmarking reports to support quality improvement initiatives </w:t>
            </w:r>
          </w:p>
        </w:tc>
        <w:tc>
          <w:tcPr>
            <w:tcW w:w="0" w:type="auto"/>
          </w:tcPr>
          <w:p w14:paraId="6034B5FA" w14:textId="77777777" w:rsidR="0091457A" w:rsidRPr="00BE2B78" w:rsidRDefault="0091457A" w:rsidP="003C12E8">
            <w:pPr>
              <w:pStyle w:val="TableBullets1"/>
            </w:pPr>
            <w:r w:rsidRPr="00BE2B78">
              <w:lastRenderedPageBreak/>
              <w:t xml:space="preserve">Stakeholder consultations: funded organisations, major aged care </w:t>
            </w:r>
            <w:r>
              <w:t>providers</w:t>
            </w:r>
          </w:p>
          <w:p w14:paraId="613625BD" w14:textId="77777777" w:rsidR="0091457A" w:rsidRPr="00BE2B78" w:rsidRDefault="0091457A" w:rsidP="003C12E8">
            <w:pPr>
              <w:pStyle w:val="TableBullets1"/>
            </w:pPr>
            <w:r w:rsidRPr="00BE2B78">
              <w:t>PEPA Aged Care/PACOP program data</w:t>
            </w:r>
          </w:p>
          <w:p w14:paraId="7552AF67" w14:textId="77777777" w:rsidR="0091457A" w:rsidRPr="00BE2B78" w:rsidRDefault="0091457A" w:rsidP="003C12E8">
            <w:pPr>
              <w:pStyle w:val="TableBullets1"/>
              <w:rPr>
                <w:color w:val="auto"/>
              </w:rPr>
            </w:pPr>
            <w:r w:rsidRPr="00BE2B78">
              <w:t xml:space="preserve">Survey of </w:t>
            </w:r>
            <w:r>
              <w:t>entities providing aged care services</w:t>
            </w:r>
          </w:p>
          <w:p w14:paraId="00200A44" w14:textId="77777777" w:rsidR="0091457A" w:rsidRPr="00BE2B78" w:rsidRDefault="0091457A" w:rsidP="003C12E8">
            <w:pPr>
              <w:pStyle w:val="TableBullets1"/>
            </w:pPr>
            <w:r w:rsidRPr="00BE2B78">
              <w:t xml:space="preserve">Case studies of </w:t>
            </w:r>
            <w:r>
              <w:t>entities providing aged care services</w:t>
            </w:r>
          </w:p>
          <w:p w14:paraId="68369251" w14:textId="77777777" w:rsidR="0091457A" w:rsidRPr="00BE2B78" w:rsidRDefault="0091457A" w:rsidP="003C12E8">
            <w:pPr>
              <w:pStyle w:val="TableBullets1"/>
            </w:pPr>
            <w:r w:rsidRPr="00BE2B78">
              <w:t xml:space="preserve">Analysis of ACQS </w:t>
            </w:r>
            <w:r w:rsidRPr="002438EE">
              <w:t xml:space="preserve">performance </w:t>
            </w:r>
            <w:r w:rsidRPr="00BE2B78">
              <w:t>reports</w:t>
            </w:r>
          </w:p>
        </w:tc>
        <w:tc>
          <w:tcPr>
            <w:tcW w:w="0" w:type="auto"/>
          </w:tcPr>
          <w:p w14:paraId="10980F70" w14:textId="77777777" w:rsidR="0091457A" w:rsidRDefault="0091457A" w:rsidP="003C12E8">
            <w:pPr>
              <w:pStyle w:val="TableBullets1"/>
            </w:pPr>
            <w:r w:rsidRPr="00046DBF">
              <w:t>Descriptive statistics</w:t>
            </w:r>
          </w:p>
          <w:p w14:paraId="3494EDAA" w14:textId="77777777" w:rsidR="0091457A" w:rsidRDefault="0091457A" w:rsidP="003C12E8">
            <w:pPr>
              <w:pStyle w:val="TableBullets1"/>
            </w:pPr>
            <w:r w:rsidRPr="00046DBF">
              <w:t>Thematic analysis</w:t>
            </w:r>
          </w:p>
          <w:p w14:paraId="506E7284" w14:textId="77777777" w:rsidR="0091457A" w:rsidRDefault="0091457A" w:rsidP="003C12E8">
            <w:pPr>
              <w:spacing w:before="0" w:after="0"/>
            </w:pPr>
          </w:p>
        </w:tc>
      </w:tr>
      <w:tr w:rsidR="0091457A" w14:paraId="183CB521" w14:textId="77777777" w:rsidTr="008F79B7">
        <w:tc>
          <w:tcPr>
            <w:tcW w:w="0" w:type="auto"/>
          </w:tcPr>
          <w:p w14:paraId="0D96735E" w14:textId="77777777" w:rsidR="0091457A" w:rsidRDefault="0091457A" w:rsidP="003C12E8">
            <w:pPr>
              <w:spacing w:before="0" w:after="0"/>
            </w:pPr>
            <w:r>
              <w:t>3.4</w:t>
            </w:r>
          </w:p>
        </w:tc>
        <w:tc>
          <w:tcPr>
            <w:tcW w:w="0" w:type="auto"/>
          </w:tcPr>
          <w:p w14:paraId="5FD4A29B" w14:textId="77777777" w:rsidR="0091457A" w:rsidRPr="00BA7153" w:rsidRDefault="0091457A" w:rsidP="003C12E8">
            <w:pPr>
              <w:pStyle w:val="TableText"/>
            </w:pPr>
            <w:r w:rsidRPr="00BA7153">
              <w:t xml:space="preserve">To what extent has the Measure supported collaboration and integration between the aged care, primary care and palliative care sectors? </w:t>
            </w:r>
          </w:p>
        </w:tc>
        <w:tc>
          <w:tcPr>
            <w:tcW w:w="0" w:type="auto"/>
          </w:tcPr>
          <w:p w14:paraId="7B6EFCC1" w14:textId="77777777" w:rsidR="0091457A" w:rsidRDefault="0091457A" w:rsidP="003C12E8">
            <w:pPr>
              <w:pStyle w:val="TableBullets1"/>
            </w:pPr>
            <w:r>
              <w:t>Change in self-reported collaboration with other external service providers reported by PEPA Aged Care participants/placement sites</w:t>
            </w:r>
          </w:p>
          <w:p w14:paraId="6BE38041" w14:textId="77777777" w:rsidR="0091457A" w:rsidRDefault="0091457A" w:rsidP="003C12E8">
            <w:pPr>
              <w:pStyle w:val="TableBullets1"/>
            </w:pPr>
            <w:r>
              <w:t>Change in self-reported confidence in collaborating with other external service providers reported by PEPA Aged Care participants/placement sites</w:t>
            </w:r>
          </w:p>
          <w:p w14:paraId="11BC3F78" w14:textId="77777777" w:rsidR="0091457A" w:rsidRDefault="0091457A" w:rsidP="003C12E8">
            <w:pPr>
              <w:pStyle w:val="TableBullets1"/>
            </w:pPr>
            <w:r>
              <w:t xml:space="preserve">Changes in the number and/or nature of linkages with other providers (aged care, primary care or specialist palliative care) reported by aged care homes/providers participating in PACOP and placement sites participating in PEPA Aged Care </w:t>
            </w:r>
            <w:proofErr w:type="gramStart"/>
            <w:r>
              <w:t>as a result of</w:t>
            </w:r>
            <w:proofErr w:type="gramEnd"/>
            <w:r>
              <w:t xml:space="preserve"> participation in the funded programs</w:t>
            </w:r>
          </w:p>
          <w:p w14:paraId="7DDB89D3" w14:textId="77777777" w:rsidR="0091457A" w:rsidRDefault="0091457A" w:rsidP="003C12E8">
            <w:pPr>
              <w:pStyle w:val="TableBullets1"/>
            </w:pPr>
            <w:r>
              <w:t xml:space="preserve">Stakeholder perceptions of the extent to which the Measure has led to demonstrable improvements in collaboration and integration between </w:t>
            </w:r>
            <w:r w:rsidRPr="00BA7153">
              <w:t>the aged care, primary care</w:t>
            </w:r>
            <w:r>
              <w:t>,</w:t>
            </w:r>
            <w:r w:rsidRPr="00BA7153">
              <w:t xml:space="preserve"> and </w:t>
            </w:r>
            <w:r>
              <w:t xml:space="preserve">specialist </w:t>
            </w:r>
            <w:r w:rsidRPr="00BA7153">
              <w:t>palliative care sectors</w:t>
            </w:r>
            <w:r>
              <w:t>, and the perceived impact of this improved collaboration on:</w:t>
            </w:r>
          </w:p>
          <w:p w14:paraId="6A435C6F" w14:textId="77777777" w:rsidR="0091457A" w:rsidRDefault="0091457A" w:rsidP="003C12E8">
            <w:pPr>
              <w:pStyle w:val="TableBullets2"/>
              <w:ind w:left="625" w:hanging="283"/>
            </w:pPr>
            <w:r>
              <w:lastRenderedPageBreak/>
              <w:t>the timeliness and appropriateness of referrals to other providers (e.g. specialist palliative care, primary care)</w:t>
            </w:r>
          </w:p>
          <w:p w14:paraId="353E0709" w14:textId="77777777" w:rsidR="0091457A" w:rsidRDefault="0091457A" w:rsidP="003C12E8">
            <w:pPr>
              <w:pStyle w:val="TableBullets2"/>
              <w:ind w:left="625" w:hanging="283"/>
            </w:pPr>
            <w:r>
              <w:t>end-of-life outcomes (e.g. reduced unplanned hospitalisations, increased likelihood of dying in preferred location)</w:t>
            </w:r>
          </w:p>
        </w:tc>
        <w:tc>
          <w:tcPr>
            <w:tcW w:w="0" w:type="auto"/>
          </w:tcPr>
          <w:p w14:paraId="27A0AFA6" w14:textId="77777777" w:rsidR="0091457A" w:rsidRPr="00BE2062" w:rsidRDefault="0091457A" w:rsidP="003C12E8">
            <w:pPr>
              <w:pStyle w:val="TableBullets1"/>
            </w:pPr>
            <w:r w:rsidRPr="00BE2062">
              <w:lastRenderedPageBreak/>
              <w:t xml:space="preserve">Stakeholder consultations: funded organisations, aged and primary care peak and professional bodies, major aged care </w:t>
            </w:r>
            <w:r>
              <w:t>providers</w:t>
            </w:r>
            <w:r w:rsidRPr="00BE2062">
              <w:t>, health professionals, representatives from related initiatives</w:t>
            </w:r>
          </w:p>
          <w:p w14:paraId="5A7F42CD" w14:textId="77777777" w:rsidR="0091457A" w:rsidRPr="00BE2062" w:rsidRDefault="0091457A" w:rsidP="003C12E8">
            <w:pPr>
              <w:pStyle w:val="TableBullets1"/>
            </w:pPr>
            <w:r w:rsidRPr="00BE2062">
              <w:t>PEPA Aged Care/PACOP program data</w:t>
            </w:r>
          </w:p>
          <w:p w14:paraId="5F32A7F5" w14:textId="77777777" w:rsidR="0091457A" w:rsidRPr="00BE2062" w:rsidRDefault="0091457A" w:rsidP="003C12E8">
            <w:pPr>
              <w:pStyle w:val="TableBullets1"/>
              <w:rPr>
                <w:color w:val="auto"/>
              </w:rPr>
            </w:pPr>
            <w:r w:rsidRPr="00BE2062">
              <w:t xml:space="preserve">Survey of </w:t>
            </w:r>
            <w:r>
              <w:t>entities providing aged care services</w:t>
            </w:r>
          </w:p>
          <w:p w14:paraId="35625B04" w14:textId="77777777" w:rsidR="0091457A" w:rsidRPr="00BE2062" w:rsidRDefault="0091457A" w:rsidP="003C12E8">
            <w:pPr>
              <w:pStyle w:val="TableBullets1"/>
            </w:pPr>
            <w:r w:rsidRPr="00BE2062">
              <w:t xml:space="preserve">Case studies of </w:t>
            </w:r>
            <w:r>
              <w:t>entities providing aged care services</w:t>
            </w:r>
          </w:p>
          <w:p w14:paraId="194A6958" w14:textId="77777777" w:rsidR="0091457A" w:rsidRPr="00BE2062" w:rsidRDefault="0091457A" w:rsidP="003C12E8">
            <w:pPr>
              <w:pStyle w:val="TableBullets1"/>
            </w:pPr>
            <w:r w:rsidRPr="00BE2062">
              <w:t xml:space="preserve">Analysis of ACQS </w:t>
            </w:r>
            <w:r w:rsidRPr="002438EE">
              <w:t xml:space="preserve">performance </w:t>
            </w:r>
            <w:r w:rsidRPr="00BE2062">
              <w:t>reports</w:t>
            </w:r>
          </w:p>
        </w:tc>
        <w:tc>
          <w:tcPr>
            <w:tcW w:w="0" w:type="auto"/>
          </w:tcPr>
          <w:p w14:paraId="56B813FB" w14:textId="77777777" w:rsidR="0091457A" w:rsidRDefault="0091457A" w:rsidP="003C12E8">
            <w:pPr>
              <w:pStyle w:val="TableBullets1"/>
            </w:pPr>
            <w:r w:rsidRPr="00046DBF">
              <w:t>Descriptive statistics</w:t>
            </w:r>
          </w:p>
          <w:p w14:paraId="6EE37B2B" w14:textId="77777777" w:rsidR="0091457A" w:rsidRDefault="0091457A" w:rsidP="003C12E8">
            <w:pPr>
              <w:pStyle w:val="TableBullets1"/>
            </w:pPr>
            <w:r w:rsidRPr="00046DBF">
              <w:t>Thematic analysis</w:t>
            </w:r>
          </w:p>
          <w:p w14:paraId="27F90B8C" w14:textId="77777777" w:rsidR="0091457A" w:rsidRDefault="0091457A" w:rsidP="003C12E8">
            <w:pPr>
              <w:spacing w:before="0" w:after="0"/>
            </w:pPr>
          </w:p>
        </w:tc>
      </w:tr>
      <w:tr w:rsidR="0091457A" w14:paraId="6822ED12" w14:textId="77777777" w:rsidTr="008F79B7">
        <w:tc>
          <w:tcPr>
            <w:tcW w:w="0" w:type="auto"/>
          </w:tcPr>
          <w:p w14:paraId="6BFD8076" w14:textId="77777777" w:rsidR="0091457A" w:rsidRDefault="0091457A" w:rsidP="003C12E8">
            <w:pPr>
              <w:spacing w:before="0" w:after="0"/>
            </w:pPr>
            <w:r>
              <w:t>3.5</w:t>
            </w:r>
          </w:p>
        </w:tc>
        <w:tc>
          <w:tcPr>
            <w:tcW w:w="0" w:type="auto"/>
          </w:tcPr>
          <w:p w14:paraId="77362806" w14:textId="77777777" w:rsidR="0091457A" w:rsidRDefault="0091457A" w:rsidP="003C12E8">
            <w:pPr>
              <w:pStyle w:val="TableText"/>
            </w:pPr>
            <w:r w:rsidRPr="00CA14CB">
              <w:rPr>
                <w:lang w:eastAsia="zh-CN" w:bidi="th-TH"/>
              </w:rPr>
              <w:t xml:space="preserve">How and to what extent do the activities under the Measure improve </w:t>
            </w:r>
            <w:r>
              <w:rPr>
                <w:lang w:eastAsia="zh-CN" w:bidi="th-TH"/>
              </w:rPr>
              <w:t>the health outcomes and quality of life of patients and families involved</w:t>
            </w:r>
            <w:r w:rsidRPr="00CA14CB">
              <w:rPr>
                <w:lang w:eastAsia="zh-CN" w:bidi="th-TH"/>
              </w:rPr>
              <w:t xml:space="preserve">? </w:t>
            </w:r>
          </w:p>
        </w:tc>
        <w:tc>
          <w:tcPr>
            <w:tcW w:w="0" w:type="auto"/>
          </w:tcPr>
          <w:p w14:paraId="73AA6371" w14:textId="77777777" w:rsidR="0091457A" w:rsidRDefault="0091457A" w:rsidP="003C12E8">
            <w:pPr>
              <w:pStyle w:val="TableBullets1"/>
            </w:pPr>
            <w:r>
              <w:t xml:space="preserve">Evidence of improvements against national benchmarks related to </w:t>
            </w:r>
            <w:r>
              <w:rPr>
                <w:lang w:eastAsia="zh-CN" w:bidi="th-TH"/>
              </w:rPr>
              <w:t xml:space="preserve">residents’/clients’ </w:t>
            </w:r>
            <w:r>
              <w:t>and families’ health outcomes and quality of life over time among aged care homes participating in PACOP</w:t>
            </w:r>
          </w:p>
          <w:p w14:paraId="6AB5CA3A" w14:textId="77777777" w:rsidR="0091457A" w:rsidRDefault="0091457A" w:rsidP="003C12E8">
            <w:pPr>
              <w:pStyle w:val="TableBullets1"/>
            </w:pPr>
            <w:r>
              <w:t>Evidence of impacts on end-of-life outcomes attributed to the Measure (e.g. place of death, palliative care needs met, carer/family impacts)</w:t>
            </w:r>
          </w:p>
          <w:p w14:paraId="5B1C0DBA" w14:textId="77777777" w:rsidR="0091457A" w:rsidRDefault="0091457A" w:rsidP="003C12E8">
            <w:pPr>
              <w:pStyle w:val="TableBullets1"/>
            </w:pPr>
            <w:r>
              <w:t>Evidence of impacts on healthcare utilisation attributed to the Measure (e.g. unplanned hospital admissions, emergency department presentations, or length of hospitalisation)</w:t>
            </w:r>
          </w:p>
          <w:p w14:paraId="5E477FAC" w14:textId="77777777" w:rsidR="0091457A" w:rsidRDefault="0091457A" w:rsidP="003C12E8">
            <w:pPr>
              <w:pStyle w:val="TableBullets1"/>
            </w:pPr>
            <w:r>
              <w:t xml:space="preserve">Stakeholder-reported impacts of the Measure on </w:t>
            </w:r>
            <w:r>
              <w:rPr>
                <w:lang w:eastAsia="zh-CN" w:bidi="th-TH"/>
              </w:rPr>
              <w:t xml:space="preserve">residents’/clients’ </w:t>
            </w:r>
            <w:r>
              <w:t>and families’ health outcomes and quality of life</w:t>
            </w:r>
          </w:p>
          <w:p w14:paraId="77F9C0EC" w14:textId="77777777" w:rsidR="0091457A" w:rsidRDefault="0091457A" w:rsidP="003C12E8">
            <w:pPr>
              <w:pStyle w:val="TableBullets1"/>
            </w:pPr>
            <w:r w:rsidRPr="00B93D6E">
              <w:t>Stakeholder-reported unintended (positive or negative) consequences of the Measure</w:t>
            </w:r>
            <w:r>
              <w:t>’</w:t>
            </w:r>
            <w:r w:rsidRPr="00B93D6E">
              <w:t>s activities on patients or their families</w:t>
            </w:r>
          </w:p>
        </w:tc>
        <w:tc>
          <w:tcPr>
            <w:tcW w:w="0" w:type="auto"/>
          </w:tcPr>
          <w:p w14:paraId="436B1CF6" w14:textId="77777777" w:rsidR="0091457A" w:rsidRPr="00BE2062" w:rsidRDefault="0091457A" w:rsidP="003C12E8">
            <w:pPr>
              <w:pStyle w:val="TableBullets1"/>
            </w:pPr>
            <w:r w:rsidRPr="00BE2062">
              <w:t>Stakeholder consultations: major aged care</w:t>
            </w:r>
            <w:r>
              <w:t xml:space="preserve"> providers</w:t>
            </w:r>
            <w:r w:rsidRPr="00BE2062">
              <w:t xml:space="preserve">, </w:t>
            </w:r>
            <w:r>
              <w:t xml:space="preserve">ACQSC, </w:t>
            </w:r>
            <w:r w:rsidRPr="00BE2062">
              <w:t>palliative care-related peak bodies, consumer representative peak bodies</w:t>
            </w:r>
          </w:p>
          <w:p w14:paraId="7F42F3B0" w14:textId="77777777" w:rsidR="0091457A" w:rsidRPr="00BE2062" w:rsidRDefault="0091457A" w:rsidP="003C12E8">
            <w:pPr>
              <w:pStyle w:val="TableBullets1"/>
            </w:pPr>
            <w:r w:rsidRPr="00BE2062">
              <w:t>PEPA Aged Care/PACOP program data</w:t>
            </w:r>
          </w:p>
          <w:p w14:paraId="468B9D79" w14:textId="77777777" w:rsidR="0091457A" w:rsidRPr="00BE2062" w:rsidRDefault="0091457A" w:rsidP="003C12E8">
            <w:pPr>
              <w:pStyle w:val="TableBullets1"/>
            </w:pPr>
            <w:r w:rsidRPr="00BE2062">
              <w:t xml:space="preserve">Survey of </w:t>
            </w:r>
            <w:r>
              <w:t>entities providing aged care services</w:t>
            </w:r>
          </w:p>
          <w:p w14:paraId="75251294" w14:textId="77777777" w:rsidR="0091457A" w:rsidRPr="00BE2062" w:rsidRDefault="0091457A" w:rsidP="003C12E8">
            <w:pPr>
              <w:pStyle w:val="TableBullets1"/>
            </w:pPr>
            <w:r w:rsidRPr="00BE2062">
              <w:t xml:space="preserve">Case studies of </w:t>
            </w:r>
            <w:r>
              <w:t>entities providing aged care services</w:t>
            </w:r>
          </w:p>
          <w:p w14:paraId="2A46BFFD" w14:textId="77777777" w:rsidR="0091457A" w:rsidRPr="00BE2062" w:rsidRDefault="0091457A" w:rsidP="003C12E8">
            <w:pPr>
              <w:pStyle w:val="TableBullets1"/>
            </w:pPr>
            <w:r w:rsidRPr="00BE2062">
              <w:t>Focus groups with consumer representatives</w:t>
            </w:r>
          </w:p>
        </w:tc>
        <w:tc>
          <w:tcPr>
            <w:tcW w:w="0" w:type="auto"/>
          </w:tcPr>
          <w:p w14:paraId="77400913" w14:textId="77777777" w:rsidR="0091457A" w:rsidRDefault="0091457A" w:rsidP="003C12E8">
            <w:pPr>
              <w:pStyle w:val="TableBullets1"/>
            </w:pPr>
            <w:r w:rsidRPr="00046DBF">
              <w:t>Thematic analysis</w:t>
            </w:r>
          </w:p>
          <w:p w14:paraId="6EA918A2" w14:textId="77777777" w:rsidR="0091457A" w:rsidRDefault="0091457A" w:rsidP="003C12E8">
            <w:pPr>
              <w:spacing w:before="0" w:after="0"/>
            </w:pPr>
          </w:p>
        </w:tc>
      </w:tr>
      <w:tr w:rsidR="0091457A" w14:paraId="7A0FDAD9" w14:textId="77777777" w:rsidTr="008F79B7">
        <w:tc>
          <w:tcPr>
            <w:tcW w:w="0" w:type="auto"/>
          </w:tcPr>
          <w:p w14:paraId="1EEDACE0" w14:textId="77777777" w:rsidR="0091457A" w:rsidRDefault="0091457A" w:rsidP="003C12E8">
            <w:pPr>
              <w:spacing w:before="0" w:after="0"/>
            </w:pPr>
            <w:r>
              <w:t>3.6</w:t>
            </w:r>
          </w:p>
        </w:tc>
        <w:tc>
          <w:tcPr>
            <w:tcW w:w="0" w:type="auto"/>
          </w:tcPr>
          <w:p w14:paraId="1F0DBEFB" w14:textId="77777777" w:rsidR="0091457A" w:rsidRPr="00BA7153" w:rsidRDefault="0091457A" w:rsidP="003C12E8">
            <w:pPr>
              <w:pStyle w:val="TableText"/>
            </w:pPr>
            <w:r w:rsidRPr="00BA7153">
              <w:t xml:space="preserve">Are there subgroups for which activities under the Measure provide more benefit (e.g. higher uptake or reinforcement of palliative care training, increased palliative care needs </w:t>
            </w:r>
            <w:r>
              <w:t>being</w:t>
            </w:r>
            <w:r w:rsidRPr="00BA7153">
              <w:t xml:space="preserve"> met, improved health outcomes or quality of life)? </w:t>
            </w:r>
          </w:p>
        </w:tc>
        <w:tc>
          <w:tcPr>
            <w:tcW w:w="0" w:type="auto"/>
          </w:tcPr>
          <w:p w14:paraId="6D646019" w14:textId="77777777" w:rsidR="0091457A" w:rsidRDefault="0091457A" w:rsidP="003C12E8">
            <w:pPr>
              <w:pStyle w:val="TableBullets1"/>
            </w:pPr>
            <w:r>
              <w:t>PEPA Aged Care worker participation rates by discipline, sector, jurisdiction, and geographical location</w:t>
            </w:r>
          </w:p>
          <w:p w14:paraId="3EC792C6" w14:textId="77777777" w:rsidR="0091457A" w:rsidRDefault="0091457A" w:rsidP="003C12E8">
            <w:pPr>
              <w:pStyle w:val="TableBullets1"/>
            </w:pPr>
            <w:r>
              <w:t>Change in self-reported knowledge, skills, and confidence in delivering high-quality palliative care and advance care planning among PEPA Aged Care participants, by worker discipline, sector, jurisdiction, and geographical location</w:t>
            </w:r>
          </w:p>
          <w:p w14:paraId="09567ACB" w14:textId="77777777" w:rsidR="0091457A" w:rsidRDefault="0091457A" w:rsidP="003C12E8">
            <w:pPr>
              <w:pStyle w:val="TableBullets1"/>
            </w:pPr>
            <w:r>
              <w:t xml:space="preserve">Change in reported knowledge, skills, and confidence in delivering high-quality palliative care and advance </w:t>
            </w:r>
            <w:r>
              <w:lastRenderedPageBreak/>
              <w:t>care planning among aged care homes/providers participating in PACOP, by provider size, jurisdiction, and geographical location</w:t>
            </w:r>
          </w:p>
          <w:p w14:paraId="55B16E73" w14:textId="77777777" w:rsidR="0091457A" w:rsidRDefault="0091457A" w:rsidP="003C12E8">
            <w:pPr>
              <w:pStyle w:val="TableBullets1"/>
            </w:pPr>
            <w:r>
              <w:t>PACOP implementation progress and outcomes, by aged care home/provider size, jurisdiction, and geographical location</w:t>
            </w:r>
          </w:p>
          <w:p w14:paraId="12E70E2B" w14:textId="77777777" w:rsidR="0091457A" w:rsidRDefault="0091457A" w:rsidP="003C12E8">
            <w:pPr>
              <w:pStyle w:val="TableBullets1"/>
            </w:pPr>
            <w:r>
              <w:t>PACOP education participation rates by worker type, sector, and geographical location</w:t>
            </w:r>
          </w:p>
          <w:p w14:paraId="451739AC" w14:textId="77777777" w:rsidR="0091457A" w:rsidRDefault="0091457A" w:rsidP="003C12E8">
            <w:pPr>
              <w:pStyle w:val="TableBullets1"/>
            </w:pPr>
            <w:r>
              <w:t xml:space="preserve">Examination of any differential impact on </w:t>
            </w:r>
            <w:r>
              <w:rPr>
                <w:lang w:eastAsia="zh-CN" w:bidi="th-TH"/>
              </w:rPr>
              <w:t>residents’/clients’ outcomes based on resident/client characteristics (e.g. age, primary diagnosis, setting, geographical location, culturally and linguistically diverse status, Aboriginal and Torres Strait Islander status)</w:t>
            </w:r>
          </w:p>
          <w:p w14:paraId="270C6237" w14:textId="77777777" w:rsidR="0091457A" w:rsidRDefault="0091457A" w:rsidP="003C12E8">
            <w:pPr>
              <w:pStyle w:val="TableBullets1"/>
            </w:pPr>
            <w:r>
              <w:t>Stakeholder perceptions of the perceived relevance and benefit of the Measure for specific types of workers and entities delivering aged care services</w:t>
            </w:r>
          </w:p>
        </w:tc>
        <w:tc>
          <w:tcPr>
            <w:tcW w:w="0" w:type="auto"/>
          </w:tcPr>
          <w:p w14:paraId="21208C95" w14:textId="77777777" w:rsidR="0091457A" w:rsidRPr="00C24996" w:rsidRDefault="0091457A" w:rsidP="003C12E8">
            <w:pPr>
              <w:pStyle w:val="TableBullets1"/>
            </w:pPr>
            <w:r w:rsidRPr="00C24996">
              <w:lastRenderedPageBreak/>
              <w:t>PEPA Aged Care/PACOP program data</w:t>
            </w:r>
          </w:p>
          <w:p w14:paraId="78BDF73C" w14:textId="77777777" w:rsidR="0091457A" w:rsidRPr="00C24996" w:rsidRDefault="0091457A" w:rsidP="003C12E8">
            <w:pPr>
              <w:pStyle w:val="TableBullets1"/>
            </w:pPr>
            <w:r w:rsidRPr="00C24996">
              <w:t xml:space="preserve">Stakeholder consultations: funded organisations, </w:t>
            </w:r>
            <w:r>
              <w:t xml:space="preserve">aged and primary care </w:t>
            </w:r>
            <w:r w:rsidRPr="00C24996">
              <w:t xml:space="preserve">peak and professional bodies, major aged care </w:t>
            </w:r>
            <w:r>
              <w:t>providers</w:t>
            </w:r>
            <w:r w:rsidRPr="00C24996">
              <w:t xml:space="preserve">, health professionals, consumer representative </w:t>
            </w:r>
            <w:r>
              <w:t xml:space="preserve">peak </w:t>
            </w:r>
            <w:r w:rsidRPr="00C24996">
              <w:t>bodies</w:t>
            </w:r>
          </w:p>
          <w:p w14:paraId="2AC2A119" w14:textId="77777777" w:rsidR="0091457A" w:rsidRPr="00C24996" w:rsidRDefault="0091457A" w:rsidP="003C12E8">
            <w:pPr>
              <w:pStyle w:val="TableBullets1"/>
              <w:rPr>
                <w:color w:val="auto"/>
              </w:rPr>
            </w:pPr>
            <w:r>
              <w:t>S</w:t>
            </w:r>
            <w:r w:rsidRPr="00C24996">
              <w:t xml:space="preserve">urvey of </w:t>
            </w:r>
            <w:r>
              <w:t>entities providing aged care services</w:t>
            </w:r>
          </w:p>
          <w:p w14:paraId="07AB0FEE" w14:textId="77777777" w:rsidR="0091457A" w:rsidRPr="00C24996" w:rsidRDefault="0091457A" w:rsidP="003C12E8">
            <w:pPr>
              <w:pStyle w:val="TableBullets1"/>
            </w:pPr>
            <w:r>
              <w:lastRenderedPageBreak/>
              <w:t>C</w:t>
            </w:r>
            <w:r w:rsidRPr="00C24996">
              <w:t xml:space="preserve">ase studies of </w:t>
            </w:r>
            <w:r>
              <w:t xml:space="preserve">entities providing aged care services </w:t>
            </w:r>
          </w:p>
        </w:tc>
        <w:tc>
          <w:tcPr>
            <w:tcW w:w="0" w:type="auto"/>
          </w:tcPr>
          <w:p w14:paraId="488EDAC1" w14:textId="77777777" w:rsidR="0091457A" w:rsidRDefault="0091457A" w:rsidP="003C12E8">
            <w:pPr>
              <w:pStyle w:val="TableBullets1"/>
            </w:pPr>
            <w:r w:rsidRPr="00046DBF">
              <w:lastRenderedPageBreak/>
              <w:t>Descriptive statistics</w:t>
            </w:r>
          </w:p>
          <w:p w14:paraId="2B6AE7EB" w14:textId="77777777" w:rsidR="0091457A" w:rsidRDefault="0091457A" w:rsidP="003C12E8">
            <w:pPr>
              <w:pStyle w:val="TableBullets1"/>
            </w:pPr>
            <w:r w:rsidRPr="00046DBF">
              <w:t>Thematic analysis</w:t>
            </w:r>
          </w:p>
          <w:p w14:paraId="3F4FF8FD" w14:textId="77777777" w:rsidR="0091457A" w:rsidRDefault="0091457A" w:rsidP="003C12E8">
            <w:pPr>
              <w:spacing w:before="0" w:after="0"/>
            </w:pPr>
          </w:p>
        </w:tc>
      </w:tr>
      <w:tr w:rsidR="0091457A" w14:paraId="35368614" w14:textId="77777777" w:rsidTr="008F79B7">
        <w:tc>
          <w:tcPr>
            <w:tcW w:w="0" w:type="auto"/>
          </w:tcPr>
          <w:p w14:paraId="4D4BA7F9" w14:textId="77777777" w:rsidR="0091457A" w:rsidRDefault="0091457A" w:rsidP="003C12E8">
            <w:pPr>
              <w:spacing w:before="0" w:after="0"/>
            </w:pPr>
            <w:r>
              <w:t>3.7</w:t>
            </w:r>
          </w:p>
        </w:tc>
        <w:tc>
          <w:tcPr>
            <w:tcW w:w="0" w:type="auto"/>
          </w:tcPr>
          <w:p w14:paraId="6A77E015" w14:textId="77777777" w:rsidR="0091457A" w:rsidRPr="00BA7153" w:rsidRDefault="0091457A" w:rsidP="003C12E8">
            <w:pPr>
              <w:pStyle w:val="TableText"/>
            </w:pPr>
            <w:r w:rsidRPr="00BA7153">
              <w:t>What factors have facilitated or hindered the effectiveness of the Measure?</w:t>
            </w:r>
          </w:p>
        </w:tc>
        <w:tc>
          <w:tcPr>
            <w:tcW w:w="0" w:type="auto"/>
          </w:tcPr>
          <w:p w14:paraId="13DC83A9" w14:textId="77777777" w:rsidR="0091457A" w:rsidRDefault="0091457A" w:rsidP="003C12E8">
            <w:pPr>
              <w:pStyle w:val="TableBullets1"/>
            </w:pPr>
            <w:r>
              <w:t>Description of identified internal and external factors that facilitated or hindered the effectiveness of the Measure</w:t>
            </w:r>
          </w:p>
          <w:p w14:paraId="0DB3B1CE" w14:textId="77777777" w:rsidR="0091457A" w:rsidRDefault="0091457A" w:rsidP="003C12E8">
            <w:pPr>
              <w:pStyle w:val="TableBullets1"/>
            </w:pPr>
            <w:r>
              <w:t>Reported adherence to PACOP protocols among participating aged care homes</w:t>
            </w:r>
          </w:p>
          <w:p w14:paraId="41B8E348" w14:textId="77777777" w:rsidR="0091457A" w:rsidRDefault="0091457A" w:rsidP="003C12E8">
            <w:pPr>
              <w:pStyle w:val="TableBullets1"/>
            </w:pPr>
            <w:r>
              <w:t>Description of potential strategies to leverage enablers and mitigate barriers to the effectiveness of the Measure</w:t>
            </w:r>
          </w:p>
        </w:tc>
        <w:tc>
          <w:tcPr>
            <w:tcW w:w="0" w:type="auto"/>
          </w:tcPr>
          <w:p w14:paraId="6CF42AE1" w14:textId="77777777" w:rsidR="0091457A" w:rsidRPr="00EC2298" w:rsidRDefault="0091457A" w:rsidP="003C12E8">
            <w:pPr>
              <w:pStyle w:val="TableBullets1"/>
            </w:pPr>
            <w:r w:rsidRPr="00EC2298">
              <w:t xml:space="preserve">Desktop review (e.g. </w:t>
            </w:r>
            <w:r>
              <w:t>Activity Work Plans</w:t>
            </w:r>
            <w:r w:rsidRPr="00EC2298">
              <w:t>, performance reporting)</w:t>
            </w:r>
          </w:p>
          <w:p w14:paraId="6E1DDEE4" w14:textId="77777777" w:rsidR="0091457A" w:rsidRPr="00EC2298" w:rsidRDefault="0091457A" w:rsidP="003C12E8">
            <w:pPr>
              <w:pStyle w:val="TableBullets1"/>
            </w:pPr>
            <w:r w:rsidRPr="00EC2298">
              <w:t xml:space="preserve">Stakeholder consultations: funded organisations, </w:t>
            </w:r>
            <w:r>
              <w:t xml:space="preserve">ACQSC, palliative care-related peak bodies, </w:t>
            </w:r>
            <w:r w:rsidRPr="00EC2298">
              <w:t xml:space="preserve">aged and primary care peak and professional bodies, major aged care </w:t>
            </w:r>
            <w:r>
              <w:t>providers</w:t>
            </w:r>
            <w:r w:rsidRPr="00EC2298">
              <w:t xml:space="preserve">, health professionals, consumer representative </w:t>
            </w:r>
            <w:r>
              <w:t xml:space="preserve">peak </w:t>
            </w:r>
            <w:r w:rsidRPr="00EC2298">
              <w:t>bodies</w:t>
            </w:r>
          </w:p>
          <w:p w14:paraId="0AFCB310" w14:textId="77777777" w:rsidR="0091457A" w:rsidRPr="00EC2298" w:rsidRDefault="0091457A" w:rsidP="003C12E8">
            <w:pPr>
              <w:pStyle w:val="TableBullets1"/>
            </w:pPr>
            <w:r>
              <w:t>S</w:t>
            </w:r>
            <w:r w:rsidRPr="00EC2298">
              <w:t xml:space="preserve">urvey of </w:t>
            </w:r>
            <w:r>
              <w:t>entities providing aged care services</w:t>
            </w:r>
          </w:p>
          <w:p w14:paraId="1B6E2563" w14:textId="77777777" w:rsidR="0091457A" w:rsidRDefault="0091457A" w:rsidP="003C12E8">
            <w:pPr>
              <w:pStyle w:val="TableBullets1"/>
            </w:pPr>
            <w:r>
              <w:t>C</w:t>
            </w:r>
            <w:r w:rsidRPr="00EC2298">
              <w:t xml:space="preserve">ase studies of </w:t>
            </w:r>
            <w:r>
              <w:t>entities providing aged care services</w:t>
            </w:r>
          </w:p>
          <w:p w14:paraId="6B9CFFC2" w14:textId="77777777" w:rsidR="0091457A" w:rsidRPr="00EC2298" w:rsidRDefault="0091457A" w:rsidP="003C12E8">
            <w:pPr>
              <w:pStyle w:val="TableBullets1"/>
            </w:pPr>
            <w:r>
              <w:t>Focus groups with consumer representatives</w:t>
            </w:r>
          </w:p>
        </w:tc>
        <w:tc>
          <w:tcPr>
            <w:tcW w:w="0" w:type="auto"/>
          </w:tcPr>
          <w:p w14:paraId="010CA98B" w14:textId="77777777" w:rsidR="0091457A" w:rsidRDefault="0091457A" w:rsidP="003C12E8">
            <w:pPr>
              <w:pStyle w:val="TableBullets1"/>
            </w:pPr>
            <w:r w:rsidRPr="00046DBF">
              <w:t>Thematic analysis</w:t>
            </w:r>
          </w:p>
          <w:p w14:paraId="5DD0FAE8" w14:textId="77777777" w:rsidR="0091457A" w:rsidRDefault="0091457A" w:rsidP="003C12E8">
            <w:pPr>
              <w:spacing w:before="0" w:after="0"/>
            </w:pPr>
          </w:p>
        </w:tc>
      </w:tr>
      <w:tr w:rsidR="00406997" w:rsidRPr="00542710" w14:paraId="0255D0D4" w14:textId="77777777" w:rsidTr="008F79B7">
        <w:tc>
          <w:tcPr>
            <w:tcW w:w="0" w:type="auto"/>
            <w:shd w:val="clear" w:color="auto" w:fill="DDF2EC" w:themeFill="accent5" w:themeFillTint="33"/>
          </w:tcPr>
          <w:p w14:paraId="07C26C82" w14:textId="77777777" w:rsidR="00406997" w:rsidRPr="00542710" w:rsidRDefault="00406997" w:rsidP="003C12E8">
            <w:pPr>
              <w:keepNext/>
              <w:spacing w:before="0" w:after="0"/>
              <w:rPr>
                <w:rFonts w:asciiTheme="majorHAnsi" w:hAnsiTheme="majorHAnsi"/>
              </w:rPr>
            </w:pPr>
            <w:r w:rsidRPr="00542710">
              <w:rPr>
                <w:rFonts w:asciiTheme="majorHAnsi" w:hAnsiTheme="majorHAnsi"/>
              </w:rPr>
              <w:lastRenderedPageBreak/>
              <w:t>4</w:t>
            </w:r>
          </w:p>
        </w:tc>
        <w:tc>
          <w:tcPr>
            <w:tcW w:w="0" w:type="auto"/>
            <w:shd w:val="clear" w:color="auto" w:fill="DDF2EC" w:themeFill="accent5" w:themeFillTint="33"/>
          </w:tcPr>
          <w:p w14:paraId="12228BC5" w14:textId="77777777" w:rsidR="00406997" w:rsidRPr="00542710" w:rsidRDefault="00406997" w:rsidP="003C12E8">
            <w:pPr>
              <w:keepNext/>
              <w:spacing w:before="0" w:after="0"/>
              <w:rPr>
                <w:rFonts w:asciiTheme="majorHAnsi" w:hAnsiTheme="majorHAnsi"/>
              </w:rPr>
            </w:pPr>
            <w:r w:rsidRPr="00542710">
              <w:rPr>
                <w:rFonts w:asciiTheme="majorHAnsi" w:hAnsiTheme="majorHAnsi"/>
              </w:rPr>
              <w:t xml:space="preserve">Efficiency: How well have resources been used? </w:t>
            </w:r>
          </w:p>
        </w:tc>
        <w:tc>
          <w:tcPr>
            <w:tcW w:w="0" w:type="auto"/>
            <w:shd w:val="clear" w:color="auto" w:fill="DDF2EC" w:themeFill="accent5" w:themeFillTint="33"/>
          </w:tcPr>
          <w:p w14:paraId="48C97664" w14:textId="708FBCB6" w:rsidR="00406997" w:rsidRPr="00542710" w:rsidRDefault="00406997" w:rsidP="003C12E8">
            <w:pPr>
              <w:keepNext/>
              <w:spacing w:before="0" w:after="0"/>
              <w:rPr>
                <w:rFonts w:asciiTheme="majorHAnsi" w:hAnsiTheme="majorHAnsi"/>
              </w:rPr>
            </w:pPr>
            <w:r w:rsidRPr="00542710">
              <w:rPr>
                <w:rFonts w:asciiTheme="majorHAnsi" w:hAnsiTheme="majorHAnsi"/>
              </w:rPr>
              <w:t>Efficiency: How well have resources been used?</w:t>
            </w:r>
          </w:p>
        </w:tc>
        <w:tc>
          <w:tcPr>
            <w:tcW w:w="0" w:type="auto"/>
            <w:shd w:val="clear" w:color="auto" w:fill="DDF2EC" w:themeFill="accent5" w:themeFillTint="33"/>
          </w:tcPr>
          <w:p w14:paraId="73CFB8E3" w14:textId="5E12031D" w:rsidR="00406997" w:rsidRPr="00EC2298" w:rsidRDefault="00406997" w:rsidP="003C12E8">
            <w:pPr>
              <w:keepNext/>
              <w:spacing w:before="0" w:after="0"/>
              <w:rPr>
                <w:rFonts w:asciiTheme="majorHAnsi" w:hAnsiTheme="majorHAnsi"/>
              </w:rPr>
            </w:pPr>
            <w:r w:rsidRPr="00542710">
              <w:rPr>
                <w:rFonts w:asciiTheme="majorHAnsi" w:hAnsiTheme="majorHAnsi"/>
              </w:rPr>
              <w:t>Efficiency: How well have resources been used?</w:t>
            </w:r>
          </w:p>
        </w:tc>
        <w:tc>
          <w:tcPr>
            <w:tcW w:w="0" w:type="auto"/>
            <w:shd w:val="clear" w:color="auto" w:fill="DDF2EC" w:themeFill="accent5" w:themeFillTint="33"/>
          </w:tcPr>
          <w:p w14:paraId="02F4BF26" w14:textId="5B4E631A" w:rsidR="00406997" w:rsidRPr="00542710" w:rsidRDefault="00406997" w:rsidP="003C12E8">
            <w:pPr>
              <w:keepNext/>
              <w:spacing w:before="0" w:after="0"/>
              <w:rPr>
                <w:rFonts w:asciiTheme="majorHAnsi" w:hAnsiTheme="majorHAnsi"/>
              </w:rPr>
            </w:pPr>
            <w:r w:rsidRPr="00542710">
              <w:rPr>
                <w:rFonts w:asciiTheme="majorHAnsi" w:hAnsiTheme="majorHAnsi"/>
              </w:rPr>
              <w:t>Efficiency: How well have resources been used?</w:t>
            </w:r>
          </w:p>
        </w:tc>
      </w:tr>
      <w:tr w:rsidR="0091457A" w14:paraId="0D01F591" w14:textId="77777777" w:rsidTr="008F79B7">
        <w:tc>
          <w:tcPr>
            <w:tcW w:w="0" w:type="auto"/>
          </w:tcPr>
          <w:p w14:paraId="3138F517" w14:textId="77777777" w:rsidR="0091457A" w:rsidRDefault="0091457A" w:rsidP="003C12E8">
            <w:pPr>
              <w:spacing w:before="0" w:after="0"/>
            </w:pPr>
            <w:r>
              <w:t>4.1</w:t>
            </w:r>
          </w:p>
        </w:tc>
        <w:tc>
          <w:tcPr>
            <w:tcW w:w="0" w:type="auto"/>
          </w:tcPr>
          <w:p w14:paraId="711F33F0" w14:textId="77777777" w:rsidR="0091457A" w:rsidRPr="00BA7153" w:rsidRDefault="0091457A" w:rsidP="003C12E8">
            <w:pPr>
              <w:pStyle w:val="TableText"/>
            </w:pPr>
            <w:r w:rsidRPr="00BA7153">
              <w:t>What are the broad costs and benefits of activities under the Measure, including short</w:t>
            </w:r>
            <w:r>
              <w:t>-</w:t>
            </w:r>
            <w:r w:rsidRPr="00BA7153">
              <w:t>, medium</w:t>
            </w:r>
            <w:r>
              <w:t>-</w:t>
            </w:r>
            <w:r w:rsidRPr="00BA7153">
              <w:t xml:space="preserve"> and long-term outcomes?</w:t>
            </w:r>
          </w:p>
        </w:tc>
        <w:tc>
          <w:tcPr>
            <w:tcW w:w="0" w:type="auto"/>
          </w:tcPr>
          <w:p w14:paraId="55186669" w14:textId="77777777" w:rsidR="0091457A" w:rsidRDefault="0091457A" w:rsidP="003C12E8">
            <w:pPr>
              <w:pStyle w:val="TableBullets1"/>
            </w:pPr>
            <w:r>
              <w:t>Total expenditure on PEPA Aged Care/PACOP, disaggregated by expense type and financial year</w:t>
            </w:r>
          </w:p>
          <w:p w14:paraId="241DBD76" w14:textId="77777777" w:rsidR="0091457A" w:rsidRDefault="0091457A" w:rsidP="003C12E8">
            <w:pPr>
              <w:pStyle w:val="TableBullets1"/>
            </w:pPr>
            <w:r>
              <w:t>Variance between actual and budgeted costs to deliver PEPA Aged Care/PACOP, by financial year</w:t>
            </w:r>
          </w:p>
          <w:p w14:paraId="23FA2040" w14:textId="77777777" w:rsidR="0091457A" w:rsidRDefault="0091457A" w:rsidP="003C12E8">
            <w:pPr>
              <w:pStyle w:val="TableBullets1"/>
            </w:pPr>
            <w:r>
              <w:t xml:space="preserve">Direct and indirect costs associated with participation reported by aged care homes/providers participating in PACOP and placement sites participating in PEPA Aged Care (e.g. staff backfill costs, </w:t>
            </w:r>
            <w:r w:rsidRPr="00C76A31">
              <w:t>time)</w:t>
            </w:r>
          </w:p>
          <w:p w14:paraId="4DB3FC8F" w14:textId="77777777" w:rsidR="0091457A" w:rsidRDefault="0091457A" w:rsidP="003C12E8">
            <w:pPr>
              <w:pStyle w:val="TableBullets1"/>
            </w:pPr>
            <w:r>
              <w:t>Number of aged care homes/providers participating in PACOP/placement sites participating in PEPA Aged Care relative to the funding invested, by financial year</w:t>
            </w:r>
          </w:p>
          <w:p w14:paraId="0CECD477" w14:textId="77777777" w:rsidR="0091457A" w:rsidRDefault="0091457A" w:rsidP="003C12E8">
            <w:pPr>
              <w:pStyle w:val="TableBullets1"/>
            </w:pPr>
            <w:r>
              <w:t>Number of workers trained through PEPA Aged Care relative to the funding invested, by financial year</w:t>
            </w:r>
          </w:p>
          <w:p w14:paraId="749F9CE3" w14:textId="77777777" w:rsidR="0091457A" w:rsidRDefault="0091457A" w:rsidP="003C12E8">
            <w:pPr>
              <w:pStyle w:val="TableBullets1"/>
            </w:pPr>
            <w:r>
              <w:t>Perceived improvements in workforce knowledge, skills, and confidence in palliative care relative to program costs</w:t>
            </w:r>
          </w:p>
          <w:p w14:paraId="2A52B17E" w14:textId="77777777" w:rsidR="0091457A" w:rsidRDefault="0091457A" w:rsidP="003C12E8">
            <w:pPr>
              <w:pStyle w:val="TableBullets1"/>
            </w:pPr>
            <w:r>
              <w:t xml:space="preserve">Perceived improvements in </w:t>
            </w:r>
            <w:r w:rsidRPr="00BA7153">
              <w:t>organisational capabilities and confidence to deliver high-quality palliative care</w:t>
            </w:r>
            <w:r>
              <w:t xml:space="preserve"> relative to program costs</w:t>
            </w:r>
          </w:p>
          <w:p w14:paraId="41700085" w14:textId="77777777" w:rsidR="0091457A" w:rsidRPr="00C76A31" w:rsidRDefault="0091457A" w:rsidP="003C12E8">
            <w:pPr>
              <w:pStyle w:val="TableBullets1"/>
            </w:pPr>
            <w:r w:rsidRPr="00C76A31">
              <w:t>Perceived</w:t>
            </w:r>
            <w:r>
              <w:t xml:space="preserve"> impacts of the funded programs</w:t>
            </w:r>
            <w:r w:rsidRPr="00C76A31">
              <w:t xml:space="preserve"> reported by stakeholders </w:t>
            </w:r>
            <w:r>
              <w:t>o</w:t>
            </w:r>
            <w:r w:rsidRPr="00C76A31">
              <w:t>n:</w:t>
            </w:r>
          </w:p>
          <w:p w14:paraId="00D0CEAE" w14:textId="77777777" w:rsidR="0091457A" w:rsidRDefault="0091457A" w:rsidP="003C12E8">
            <w:pPr>
              <w:pStyle w:val="TableBullets2"/>
              <w:ind w:left="625" w:hanging="283"/>
            </w:pPr>
            <w:r>
              <w:t>healthcare utilisation costs</w:t>
            </w:r>
          </w:p>
          <w:p w14:paraId="65958CF3" w14:textId="77777777" w:rsidR="0091457A" w:rsidRDefault="0091457A" w:rsidP="003C12E8">
            <w:pPr>
              <w:pStyle w:val="TableBullets2"/>
              <w:ind w:left="625" w:hanging="283"/>
            </w:pPr>
            <w:r>
              <w:t xml:space="preserve">resident/client outcomes at the end of life </w:t>
            </w:r>
          </w:p>
        </w:tc>
        <w:tc>
          <w:tcPr>
            <w:tcW w:w="0" w:type="auto"/>
          </w:tcPr>
          <w:p w14:paraId="354D38C5" w14:textId="77777777" w:rsidR="0091457A" w:rsidRPr="00EC2298" w:rsidRDefault="0091457A" w:rsidP="003C12E8">
            <w:pPr>
              <w:pStyle w:val="TableBullets1"/>
            </w:pPr>
            <w:r w:rsidRPr="00EC2298">
              <w:t>Desktop review (e.g. performance and financial reporting, previous evaluations, published and grey literature)</w:t>
            </w:r>
          </w:p>
          <w:p w14:paraId="6E87B17C" w14:textId="77777777" w:rsidR="0091457A" w:rsidRPr="00EC2298" w:rsidRDefault="0091457A" w:rsidP="003C12E8">
            <w:pPr>
              <w:pStyle w:val="TableBullets1"/>
            </w:pPr>
            <w:r w:rsidRPr="00EC2298">
              <w:t xml:space="preserve">Stakeholder consultations: funded organisations, major aged care </w:t>
            </w:r>
            <w:r>
              <w:t>providers</w:t>
            </w:r>
          </w:p>
          <w:p w14:paraId="66B0CCAB" w14:textId="77777777" w:rsidR="0091457A" w:rsidRPr="00EC2298" w:rsidRDefault="0091457A" w:rsidP="003C12E8">
            <w:pPr>
              <w:pStyle w:val="TableBullets1"/>
            </w:pPr>
            <w:r w:rsidRPr="00EC2298">
              <w:t>PEPA Aged Care/PACOP program data</w:t>
            </w:r>
          </w:p>
          <w:p w14:paraId="27A8A83F" w14:textId="77777777" w:rsidR="0091457A" w:rsidRPr="00EC2298" w:rsidRDefault="0091457A" w:rsidP="003C12E8">
            <w:pPr>
              <w:pStyle w:val="TableBullets1"/>
              <w:rPr>
                <w:color w:val="auto"/>
              </w:rPr>
            </w:pPr>
            <w:r w:rsidRPr="00EC2298">
              <w:t xml:space="preserve">Survey of </w:t>
            </w:r>
            <w:r>
              <w:t>entities providing aged care services</w:t>
            </w:r>
          </w:p>
          <w:p w14:paraId="0C4B307D" w14:textId="77777777" w:rsidR="0091457A" w:rsidRDefault="0091457A" w:rsidP="003C12E8">
            <w:pPr>
              <w:pStyle w:val="TableBullets1"/>
            </w:pPr>
            <w:r w:rsidRPr="00EC2298">
              <w:t xml:space="preserve">Case studies of </w:t>
            </w:r>
            <w:r>
              <w:t>entities providing aged care services</w:t>
            </w:r>
          </w:p>
          <w:p w14:paraId="3B8FD658" w14:textId="77777777" w:rsidR="0091457A" w:rsidRPr="00EC2298" w:rsidRDefault="0091457A" w:rsidP="003C12E8">
            <w:pPr>
              <w:pStyle w:val="TableBullets1"/>
            </w:pPr>
            <w:r>
              <w:t>Evaluation findings (questions 3.1, 3.2, 3.5)</w:t>
            </w:r>
          </w:p>
        </w:tc>
        <w:tc>
          <w:tcPr>
            <w:tcW w:w="0" w:type="auto"/>
          </w:tcPr>
          <w:p w14:paraId="181ECAE2" w14:textId="77777777" w:rsidR="0091457A" w:rsidRDefault="0091457A" w:rsidP="003C12E8">
            <w:pPr>
              <w:pStyle w:val="TableBullets1"/>
            </w:pPr>
            <w:r w:rsidRPr="00046DBF">
              <w:t>Descriptive statistics</w:t>
            </w:r>
          </w:p>
          <w:p w14:paraId="7059FC91" w14:textId="77777777" w:rsidR="0091457A" w:rsidRDefault="0091457A" w:rsidP="003C12E8">
            <w:pPr>
              <w:pStyle w:val="TableBullets1"/>
            </w:pPr>
            <w:r w:rsidRPr="00046DBF">
              <w:t>Thematic analysis</w:t>
            </w:r>
          </w:p>
          <w:p w14:paraId="473B36EB" w14:textId="77777777" w:rsidR="0091457A" w:rsidRDefault="0091457A" w:rsidP="003C12E8">
            <w:pPr>
              <w:pStyle w:val="TableBullets1"/>
            </w:pPr>
            <w:r>
              <w:t>Triangulation of evaluation findings</w:t>
            </w:r>
          </w:p>
          <w:p w14:paraId="45B6B31B" w14:textId="77777777" w:rsidR="0091457A" w:rsidRDefault="0091457A" w:rsidP="003C12E8">
            <w:pPr>
              <w:spacing w:before="0" w:after="0"/>
            </w:pPr>
          </w:p>
        </w:tc>
      </w:tr>
      <w:tr w:rsidR="0091457A" w14:paraId="7128DCE9" w14:textId="77777777" w:rsidTr="008F79B7">
        <w:tc>
          <w:tcPr>
            <w:tcW w:w="0" w:type="auto"/>
          </w:tcPr>
          <w:p w14:paraId="1F367E97" w14:textId="77777777" w:rsidR="0091457A" w:rsidRDefault="0091457A" w:rsidP="003C12E8">
            <w:pPr>
              <w:spacing w:before="0" w:after="0"/>
            </w:pPr>
            <w:r>
              <w:t>4.2</w:t>
            </w:r>
          </w:p>
        </w:tc>
        <w:tc>
          <w:tcPr>
            <w:tcW w:w="0" w:type="auto"/>
          </w:tcPr>
          <w:p w14:paraId="08A32234" w14:textId="77777777" w:rsidR="0091457A" w:rsidRPr="00E52DDC" w:rsidRDefault="0091457A" w:rsidP="003C12E8">
            <w:pPr>
              <w:pStyle w:val="TableText"/>
            </w:pPr>
            <w:r w:rsidRPr="00BA7153">
              <w:t>Where relevant, how efficiently are the activities utilising funding the Australian Government provides?</w:t>
            </w:r>
          </w:p>
        </w:tc>
        <w:tc>
          <w:tcPr>
            <w:tcW w:w="0" w:type="auto"/>
          </w:tcPr>
          <w:p w14:paraId="7563D2F8" w14:textId="77777777" w:rsidR="0091457A" w:rsidRDefault="0091457A" w:rsidP="003C12E8">
            <w:pPr>
              <w:pStyle w:val="TableBullets1"/>
            </w:pPr>
            <w:r>
              <w:t>Average cost per participant trained in PEPA Aged Care, by financial year, controlling for any shared infrastructure or resourcing with the existing PEPA program</w:t>
            </w:r>
          </w:p>
          <w:p w14:paraId="11A16923" w14:textId="77777777" w:rsidR="0091457A" w:rsidRDefault="0091457A" w:rsidP="003C12E8">
            <w:pPr>
              <w:pStyle w:val="TableBullets1"/>
            </w:pPr>
            <w:r>
              <w:t xml:space="preserve">Average cost per aged care home participating in PACOP, by financial year, controlling for any shared </w:t>
            </w:r>
            <w:r>
              <w:lastRenderedPageBreak/>
              <w:t>infrastructure or resourcing with the existing Palliative Care Outcomes Collaboration (PCOC) program</w:t>
            </w:r>
          </w:p>
          <w:p w14:paraId="784B0CB3" w14:textId="77777777" w:rsidR="0091457A" w:rsidRDefault="0091457A" w:rsidP="003C12E8">
            <w:pPr>
              <w:pStyle w:val="TableBullets1"/>
            </w:pPr>
            <w:r>
              <w:t>Ratio of administrative costs to direct program delivery costs for PEPA Aged Care and PACOP, by financial year</w:t>
            </w:r>
          </w:p>
          <w:p w14:paraId="72331693" w14:textId="77777777" w:rsidR="0091457A" w:rsidRDefault="0091457A" w:rsidP="003C12E8">
            <w:pPr>
              <w:pStyle w:val="TableBullets1"/>
            </w:pPr>
            <w:r>
              <w:t>Efficiency of recruitment and retention strategies (e.g. cost per recruited aged care home/placement site, drop-out rates relative to investment in engagement strategies)</w:t>
            </w:r>
          </w:p>
        </w:tc>
        <w:tc>
          <w:tcPr>
            <w:tcW w:w="0" w:type="auto"/>
          </w:tcPr>
          <w:p w14:paraId="2CF606CE" w14:textId="77777777" w:rsidR="0091457A" w:rsidRPr="002E30CA" w:rsidRDefault="0091457A" w:rsidP="003C12E8">
            <w:pPr>
              <w:pStyle w:val="TableBullets1"/>
            </w:pPr>
            <w:r w:rsidRPr="002E30CA">
              <w:lastRenderedPageBreak/>
              <w:t xml:space="preserve">Desktop review (e.g. </w:t>
            </w:r>
            <w:r>
              <w:t>Activity Work Plans</w:t>
            </w:r>
            <w:r w:rsidRPr="002E30CA">
              <w:t>, performance and financial reporting)</w:t>
            </w:r>
          </w:p>
          <w:p w14:paraId="756FDAFC" w14:textId="77777777" w:rsidR="0091457A" w:rsidRPr="002E30CA" w:rsidRDefault="0091457A" w:rsidP="003C12E8">
            <w:pPr>
              <w:pStyle w:val="TableBullets1"/>
            </w:pPr>
            <w:r w:rsidRPr="002E30CA">
              <w:t>PEPA Aged Care/PACOP program data</w:t>
            </w:r>
          </w:p>
        </w:tc>
        <w:tc>
          <w:tcPr>
            <w:tcW w:w="0" w:type="auto"/>
          </w:tcPr>
          <w:p w14:paraId="5F30E0B1" w14:textId="77777777" w:rsidR="0091457A" w:rsidRPr="009C4CC1" w:rsidRDefault="0091457A" w:rsidP="003C12E8">
            <w:pPr>
              <w:pStyle w:val="TableBullets1"/>
            </w:pPr>
            <w:r w:rsidRPr="00046DBF">
              <w:t>Descriptive statistics</w:t>
            </w:r>
          </w:p>
        </w:tc>
      </w:tr>
      <w:tr w:rsidR="0091457A" w14:paraId="59B89756" w14:textId="77777777" w:rsidTr="008F79B7">
        <w:tc>
          <w:tcPr>
            <w:tcW w:w="0" w:type="auto"/>
          </w:tcPr>
          <w:p w14:paraId="47AFC517" w14:textId="77777777" w:rsidR="0091457A" w:rsidRDefault="0091457A" w:rsidP="003C12E8">
            <w:pPr>
              <w:spacing w:before="0" w:after="0"/>
            </w:pPr>
            <w:r>
              <w:t>4.3</w:t>
            </w:r>
          </w:p>
        </w:tc>
        <w:tc>
          <w:tcPr>
            <w:tcW w:w="0" w:type="auto"/>
          </w:tcPr>
          <w:p w14:paraId="3D28D34E" w14:textId="77777777" w:rsidR="0091457A" w:rsidRPr="00BA7153" w:rsidRDefault="0091457A" w:rsidP="003C12E8">
            <w:pPr>
              <w:pStyle w:val="TableText"/>
            </w:pPr>
            <w:r w:rsidRPr="00BA7153">
              <w:t>Where relevant, how can activities better utilise funding provided by the Australian Government?</w:t>
            </w:r>
          </w:p>
        </w:tc>
        <w:tc>
          <w:tcPr>
            <w:tcW w:w="0" w:type="auto"/>
          </w:tcPr>
          <w:p w14:paraId="623F29E8" w14:textId="77777777" w:rsidR="0091457A" w:rsidRDefault="0091457A" w:rsidP="003C12E8">
            <w:pPr>
              <w:pStyle w:val="TableBullets1"/>
            </w:pPr>
            <w:r>
              <w:t>Stakeholder suggestions for potential cost savings or more efficient resource allocation within the funded programs</w:t>
            </w:r>
          </w:p>
          <w:p w14:paraId="2C378991" w14:textId="77777777" w:rsidR="0091457A" w:rsidRDefault="0091457A" w:rsidP="003C12E8">
            <w:pPr>
              <w:pStyle w:val="TableBullets1"/>
            </w:pPr>
            <w:r>
              <w:t>Identification of any redundant or overlapping activities within or between the funded programs where resources could be streamlined</w:t>
            </w:r>
          </w:p>
          <w:p w14:paraId="69A542CF" w14:textId="77777777" w:rsidR="0091457A" w:rsidRDefault="0091457A" w:rsidP="003C12E8">
            <w:pPr>
              <w:pStyle w:val="TableBullets1"/>
            </w:pPr>
            <w:r>
              <w:t>Identification of opportunities to leverage existing resources, partnerships, or technology to enhance program reach and impact without significant additional cost</w:t>
            </w:r>
          </w:p>
        </w:tc>
        <w:tc>
          <w:tcPr>
            <w:tcW w:w="0" w:type="auto"/>
          </w:tcPr>
          <w:p w14:paraId="0400F5D1" w14:textId="77777777" w:rsidR="0091457A" w:rsidRPr="002E30CA" w:rsidRDefault="0091457A" w:rsidP="003C12E8">
            <w:pPr>
              <w:pStyle w:val="TableBullets1"/>
            </w:pPr>
            <w:r w:rsidRPr="002E30CA">
              <w:t xml:space="preserve">Desktop review (e.g. </w:t>
            </w:r>
            <w:r>
              <w:t>Activity Work Plans</w:t>
            </w:r>
            <w:r w:rsidRPr="002E30CA">
              <w:t>, performance and financial reporting)</w:t>
            </w:r>
          </w:p>
          <w:p w14:paraId="33E2F4A5" w14:textId="77777777" w:rsidR="0091457A" w:rsidRPr="002E30CA" w:rsidRDefault="0091457A" w:rsidP="003C12E8">
            <w:pPr>
              <w:pStyle w:val="TableBullets1"/>
            </w:pPr>
            <w:r w:rsidRPr="002E30CA">
              <w:t>Stakeholder consultations: funded organisations, the Department, representatives from related initiatives</w:t>
            </w:r>
          </w:p>
          <w:p w14:paraId="24D02DBE" w14:textId="77777777" w:rsidR="0091457A" w:rsidRPr="002E30CA" w:rsidRDefault="0091457A" w:rsidP="003C12E8">
            <w:pPr>
              <w:pStyle w:val="TableBullets1"/>
            </w:pPr>
            <w:r w:rsidRPr="002E30CA">
              <w:t>PEPA Aged Care/PACOP program data</w:t>
            </w:r>
          </w:p>
        </w:tc>
        <w:tc>
          <w:tcPr>
            <w:tcW w:w="0" w:type="auto"/>
          </w:tcPr>
          <w:p w14:paraId="617796A8" w14:textId="77777777" w:rsidR="0091457A" w:rsidRDefault="0091457A" w:rsidP="003C12E8">
            <w:pPr>
              <w:pStyle w:val="TableBullets1"/>
            </w:pPr>
            <w:r w:rsidRPr="00046DBF">
              <w:t>Thematic analysis</w:t>
            </w:r>
          </w:p>
          <w:p w14:paraId="43DB938E" w14:textId="77777777" w:rsidR="0091457A" w:rsidRDefault="0091457A" w:rsidP="003C12E8">
            <w:pPr>
              <w:spacing w:before="0" w:after="0"/>
            </w:pPr>
          </w:p>
        </w:tc>
      </w:tr>
    </w:tbl>
    <w:p w14:paraId="1553A3D2" w14:textId="77777777" w:rsidR="0063716B" w:rsidRDefault="0063716B" w:rsidP="00C349A1"/>
    <w:p w14:paraId="069DC9D4" w14:textId="77777777" w:rsidR="00731C35" w:rsidRDefault="00731C35" w:rsidP="007B6231">
      <w:pPr>
        <w:pStyle w:val="Heading-Appendix"/>
        <w:sectPr w:rsidR="00731C35" w:rsidSect="005E34A8">
          <w:type w:val="continuous"/>
          <w:pgSz w:w="16838" w:h="11906" w:orient="landscape" w:code="9"/>
          <w:pgMar w:top="851" w:right="851" w:bottom="851" w:left="851" w:header="709" w:footer="567" w:gutter="0"/>
          <w:cols w:space="709"/>
          <w:docGrid w:linePitch="360"/>
        </w:sectPr>
      </w:pPr>
    </w:p>
    <w:p w14:paraId="63128D19" w14:textId="216A1237" w:rsidR="00731C35" w:rsidRDefault="007A202A" w:rsidP="007B6231">
      <w:pPr>
        <w:pStyle w:val="Heading-Appendix"/>
      </w:pPr>
      <w:bookmarkStart w:id="143" w:name="_Ref216962525"/>
      <w:bookmarkStart w:id="144" w:name="_Ref216962536"/>
      <w:bookmarkStart w:id="145" w:name="_Toc232685935"/>
      <w:r>
        <w:lastRenderedPageBreak/>
        <w:t>Stakeholders involved in consultations and case studies</w:t>
      </w:r>
      <w:bookmarkEnd w:id="143"/>
      <w:bookmarkEnd w:id="144"/>
      <w:bookmarkEnd w:id="145"/>
    </w:p>
    <w:p w14:paraId="45A4BECC" w14:textId="4275109B" w:rsidR="00727133" w:rsidRDefault="00727133" w:rsidP="00CB3DAC">
      <w:r>
        <w:t xml:space="preserve">The evaluation </w:t>
      </w:r>
      <w:r w:rsidR="00CB3DAC">
        <w:t>was</w:t>
      </w:r>
      <w:r>
        <w:t xml:space="preserve"> contingent on engagement with a diverse range of stakeholders. Key stakeholder groups were identified to ensure a comprehensive and in-depth assessment of the Measure</w:t>
      </w:r>
      <w:r w:rsidR="003863F5">
        <w:t>’</w:t>
      </w:r>
      <w:r>
        <w:t>s implementation, appropriateness, effectiveness, and efficiency</w:t>
      </w:r>
      <w:r w:rsidR="00E92C6D">
        <w:t>,</w:t>
      </w:r>
      <w:r>
        <w:t xml:space="preserve"> including the perspectives of sector stakeholders, aged care providers, and consumer representatives.</w:t>
      </w:r>
      <w:r w:rsidRPr="00E47D8D">
        <w:t xml:space="preserve"> </w:t>
      </w:r>
      <w:r>
        <w:t xml:space="preserve">Key sector stakeholders involved in consultations are presented in </w:t>
      </w:r>
      <w:r w:rsidR="006E27EE">
        <w:fldChar w:fldCharType="begin"/>
      </w:r>
      <w:r w:rsidR="006E27EE">
        <w:instrText xml:space="preserve"> REF _Ref216162695 \h </w:instrText>
      </w:r>
      <w:r w:rsidR="006E27EE">
        <w:fldChar w:fldCharType="separate"/>
      </w:r>
      <w:r w:rsidR="00167BA0">
        <w:t xml:space="preserve">Table </w:t>
      </w:r>
      <w:r w:rsidR="00167BA0">
        <w:rPr>
          <w:noProof/>
        </w:rPr>
        <w:t>9</w:t>
      </w:r>
      <w:r w:rsidR="00167BA0">
        <w:t>.</w:t>
      </w:r>
      <w:r w:rsidR="00167BA0">
        <w:rPr>
          <w:noProof/>
        </w:rPr>
        <w:t>2</w:t>
      </w:r>
      <w:r w:rsidR="006E27EE">
        <w:fldChar w:fldCharType="end"/>
      </w:r>
      <w:r>
        <w:t xml:space="preserve"> and the characteristics of case study interview participants are shown in </w:t>
      </w:r>
      <w:r w:rsidR="006E27EE">
        <w:fldChar w:fldCharType="begin"/>
      </w:r>
      <w:r w:rsidR="006E27EE">
        <w:instrText xml:space="preserve"> REF _Ref216162715 \h </w:instrText>
      </w:r>
      <w:r w:rsidR="006E27EE">
        <w:fldChar w:fldCharType="separate"/>
      </w:r>
      <w:r w:rsidR="00167BA0">
        <w:t xml:space="preserve">Table </w:t>
      </w:r>
      <w:r w:rsidR="00167BA0">
        <w:rPr>
          <w:noProof/>
        </w:rPr>
        <w:t>9</w:t>
      </w:r>
      <w:r w:rsidR="00167BA0">
        <w:t>.</w:t>
      </w:r>
      <w:r w:rsidR="00167BA0">
        <w:rPr>
          <w:noProof/>
        </w:rPr>
        <w:t>3</w:t>
      </w:r>
      <w:r w:rsidR="006E27EE">
        <w:fldChar w:fldCharType="end"/>
      </w:r>
      <w:r>
        <w:t>.</w:t>
      </w:r>
    </w:p>
    <w:p w14:paraId="287F506E" w14:textId="4634EF92" w:rsidR="001C36D4" w:rsidRDefault="001C36D4" w:rsidP="001C36D4">
      <w:pPr>
        <w:pStyle w:val="Caption"/>
      </w:pPr>
      <w:bookmarkStart w:id="146" w:name="_Ref216162695"/>
      <w:r>
        <w:t xml:space="preserve">Table </w:t>
      </w:r>
      <w:fldSimple w:instr=" STYLEREF 1 \s ">
        <w:r w:rsidR="0091457A">
          <w:rPr>
            <w:noProof/>
          </w:rPr>
          <w:t>9</w:t>
        </w:r>
      </w:fldSimple>
      <w:r w:rsidR="0091457A">
        <w:t>.</w:t>
      </w:r>
      <w:fldSimple w:instr=" SEQ Table \* ARABIC \s 1 ">
        <w:r w:rsidR="0091457A">
          <w:rPr>
            <w:noProof/>
          </w:rPr>
          <w:t>2</w:t>
        </w:r>
      </w:fldSimple>
      <w:bookmarkEnd w:id="146"/>
      <w:r>
        <w:t xml:space="preserve">: </w:t>
      </w:r>
      <w:r w:rsidR="000300A5">
        <w:t>S</w:t>
      </w:r>
      <w:r>
        <w:t>takeholders involved in consultations</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consultation participants"/>
        <w:tblDescription w:val="Table shows consultation participants across government, funded organisations, peak bodies, consumer groups, aged care providers, related initiatives and health professionals."/>
      </w:tblPr>
      <w:tblGrid>
        <w:gridCol w:w="4390"/>
        <w:gridCol w:w="2813"/>
      </w:tblGrid>
      <w:tr w:rsidR="006E27EE" w14:paraId="7B14EA4C" w14:textId="77777777" w:rsidTr="008F79B7">
        <w:trPr>
          <w:cnfStyle w:val="100000000000" w:firstRow="1" w:lastRow="0" w:firstColumn="0" w:lastColumn="0" w:oddVBand="0" w:evenVBand="0" w:oddHBand="0" w:evenHBand="0" w:firstRowFirstColumn="0" w:firstRowLastColumn="0" w:lastRowFirstColumn="0" w:lastRowLastColumn="0"/>
          <w:tblHeader/>
        </w:trPr>
        <w:tc>
          <w:tcPr>
            <w:tcW w:w="4390" w:type="dxa"/>
          </w:tcPr>
          <w:p w14:paraId="373D5D8F" w14:textId="77777777" w:rsidR="006E27EE" w:rsidRDefault="006E27EE">
            <w:pPr>
              <w:spacing w:before="0" w:after="0"/>
            </w:pPr>
            <w:r>
              <w:t>Stakeholder type</w:t>
            </w:r>
          </w:p>
        </w:tc>
        <w:tc>
          <w:tcPr>
            <w:tcW w:w="2813" w:type="dxa"/>
          </w:tcPr>
          <w:p w14:paraId="483B095F" w14:textId="77777777" w:rsidR="006E27EE" w:rsidRDefault="006E27EE">
            <w:pPr>
              <w:spacing w:before="0" w:after="0"/>
            </w:pPr>
            <w:r>
              <w:t>Consultation s</w:t>
            </w:r>
            <w:r w:rsidRPr="007846EF">
              <w:t>tatus</w:t>
            </w:r>
          </w:p>
        </w:tc>
      </w:tr>
      <w:tr w:rsidR="006E27EE" w:rsidRPr="00752140" w14:paraId="3D70C671" w14:textId="77777777" w:rsidTr="008F79B7">
        <w:tc>
          <w:tcPr>
            <w:tcW w:w="4390" w:type="dxa"/>
            <w:shd w:val="clear" w:color="auto" w:fill="57C1A5" w:themeFill="background2"/>
          </w:tcPr>
          <w:p w14:paraId="6C6D5B78" w14:textId="77777777" w:rsidR="006E27EE" w:rsidRPr="00752140" w:rsidRDefault="006E27EE">
            <w:pPr>
              <w:spacing w:before="0" w:after="0"/>
              <w:rPr>
                <w:rFonts w:asciiTheme="majorHAnsi" w:hAnsiTheme="majorHAnsi"/>
              </w:rPr>
            </w:pPr>
            <w:r w:rsidRPr="00752140">
              <w:rPr>
                <w:rFonts w:asciiTheme="majorHAnsi" w:hAnsiTheme="majorHAnsi"/>
              </w:rPr>
              <w:t>Government</w:t>
            </w:r>
          </w:p>
        </w:tc>
        <w:tc>
          <w:tcPr>
            <w:tcW w:w="2813" w:type="dxa"/>
            <w:shd w:val="clear" w:color="auto" w:fill="57C1A5" w:themeFill="background2"/>
          </w:tcPr>
          <w:p w14:paraId="3A5B0028" w14:textId="14E83729" w:rsidR="006E27EE" w:rsidRPr="00752140" w:rsidRDefault="0093376B">
            <w:pPr>
              <w:spacing w:before="0" w:after="0"/>
              <w:rPr>
                <w:rFonts w:asciiTheme="majorHAnsi" w:hAnsiTheme="majorHAnsi"/>
              </w:rPr>
            </w:pPr>
            <w:r w:rsidRPr="00752140">
              <w:rPr>
                <w:rFonts w:asciiTheme="majorHAnsi" w:hAnsiTheme="majorHAnsi"/>
              </w:rPr>
              <w:t>Government</w:t>
            </w:r>
          </w:p>
        </w:tc>
      </w:tr>
      <w:tr w:rsidR="006E27EE" w14:paraId="065C8325" w14:textId="77777777" w:rsidTr="008F79B7">
        <w:tc>
          <w:tcPr>
            <w:tcW w:w="4390" w:type="dxa"/>
            <w:shd w:val="clear" w:color="auto" w:fill="auto"/>
          </w:tcPr>
          <w:p w14:paraId="2A79BEAF" w14:textId="77777777" w:rsidR="006E27EE" w:rsidRPr="00B3176D" w:rsidRDefault="006E27EE">
            <w:pPr>
              <w:pStyle w:val="TableText"/>
            </w:pPr>
            <w:r>
              <w:t>The Department, Palliative Care Section</w:t>
            </w:r>
          </w:p>
        </w:tc>
        <w:tc>
          <w:tcPr>
            <w:tcW w:w="2813" w:type="dxa"/>
            <w:shd w:val="clear" w:color="auto" w:fill="BBE6DA" w:themeFill="background2" w:themeFillTint="66"/>
          </w:tcPr>
          <w:p w14:paraId="1B950D0D" w14:textId="77777777" w:rsidR="006E27EE" w:rsidRDefault="006E27EE">
            <w:pPr>
              <w:spacing w:before="0" w:after="0"/>
            </w:pPr>
            <w:r>
              <w:t>Consulted</w:t>
            </w:r>
          </w:p>
        </w:tc>
      </w:tr>
      <w:tr w:rsidR="006E27EE" w14:paraId="59BACA1C" w14:textId="77777777" w:rsidTr="008F79B7">
        <w:tc>
          <w:tcPr>
            <w:tcW w:w="4390" w:type="dxa"/>
            <w:shd w:val="clear" w:color="auto" w:fill="auto"/>
          </w:tcPr>
          <w:p w14:paraId="261FD937" w14:textId="77777777" w:rsidR="006E27EE" w:rsidRDefault="006E27EE">
            <w:pPr>
              <w:pStyle w:val="TableText"/>
            </w:pPr>
            <w:r>
              <w:t>The Department, Residential Care Division</w:t>
            </w:r>
          </w:p>
        </w:tc>
        <w:tc>
          <w:tcPr>
            <w:tcW w:w="2813" w:type="dxa"/>
            <w:shd w:val="clear" w:color="auto" w:fill="DCDCDF" w:themeFill="text2" w:themeFillTint="33"/>
          </w:tcPr>
          <w:p w14:paraId="2EDCE45B" w14:textId="77777777" w:rsidR="006E27EE" w:rsidRDefault="006E27EE">
            <w:pPr>
              <w:spacing w:before="0" w:after="0"/>
            </w:pPr>
            <w:r>
              <w:t>Invited</w:t>
            </w:r>
          </w:p>
        </w:tc>
      </w:tr>
      <w:tr w:rsidR="006E27EE" w14:paraId="4CC7B70A" w14:textId="77777777" w:rsidTr="008F79B7">
        <w:tc>
          <w:tcPr>
            <w:tcW w:w="4390" w:type="dxa"/>
            <w:shd w:val="clear" w:color="auto" w:fill="auto"/>
          </w:tcPr>
          <w:p w14:paraId="6DE884C9" w14:textId="77777777" w:rsidR="006E27EE" w:rsidRDefault="006E27EE">
            <w:pPr>
              <w:pStyle w:val="TableText"/>
            </w:pPr>
            <w:r>
              <w:t>The Department, Quality and Assurance Section</w:t>
            </w:r>
          </w:p>
        </w:tc>
        <w:tc>
          <w:tcPr>
            <w:tcW w:w="2813" w:type="dxa"/>
            <w:shd w:val="clear" w:color="auto" w:fill="D9D9D9" w:themeFill="background1" w:themeFillShade="D9"/>
          </w:tcPr>
          <w:p w14:paraId="0C3B1373" w14:textId="77777777" w:rsidR="006E27EE" w:rsidRDefault="006E27EE">
            <w:pPr>
              <w:spacing w:before="0" w:after="0"/>
            </w:pPr>
            <w:r w:rsidRPr="00A725DC">
              <w:t>Invited</w:t>
            </w:r>
          </w:p>
        </w:tc>
      </w:tr>
      <w:tr w:rsidR="006E27EE" w14:paraId="47DDFF17" w14:textId="77777777" w:rsidTr="008F79B7">
        <w:tc>
          <w:tcPr>
            <w:tcW w:w="4390" w:type="dxa"/>
            <w:shd w:val="clear" w:color="auto" w:fill="auto"/>
          </w:tcPr>
          <w:p w14:paraId="24C5E81B" w14:textId="77777777" w:rsidR="006E27EE" w:rsidRDefault="006E27EE">
            <w:pPr>
              <w:spacing w:before="0" w:after="0"/>
            </w:pPr>
            <w:r>
              <w:t>The Department, Support at Home Policy and Operations Branch</w:t>
            </w:r>
          </w:p>
        </w:tc>
        <w:tc>
          <w:tcPr>
            <w:tcW w:w="2813" w:type="dxa"/>
            <w:shd w:val="clear" w:color="auto" w:fill="D9D9D9" w:themeFill="background1" w:themeFillShade="D9"/>
          </w:tcPr>
          <w:p w14:paraId="576615BF" w14:textId="77777777" w:rsidR="006E27EE" w:rsidRDefault="006E27EE">
            <w:pPr>
              <w:spacing w:before="0" w:after="0"/>
            </w:pPr>
            <w:r w:rsidRPr="00A725DC">
              <w:t>Invited</w:t>
            </w:r>
          </w:p>
        </w:tc>
      </w:tr>
      <w:tr w:rsidR="006E27EE" w14:paraId="18B7E8C5" w14:textId="77777777" w:rsidTr="008F79B7">
        <w:tc>
          <w:tcPr>
            <w:tcW w:w="4390" w:type="dxa"/>
            <w:shd w:val="clear" w:color="auto" w:fill="auto"/>
          </w:tcPr>
          <w:p w14:paraId="2A8FDF2A" w14:textId="77777777" w:rsidR="006E27EE" w:rsidRDefault="006E27EE">
            <w:pPr>
              <w:spacing w:before="0" w:after="0"/>
            </w:pPr>
            <w:r>
              <w:t>ACQSC</w:t>
            </w:r>
          </w:p>
        </w:tc>
        <w:tc>
          <w:tcPr>
            <w:tcW w:w="2813" w:type="dxa"/>
            <w:shd w:val="clear" w:color="auto" w:fill="BBE6DA" w:themeFill="background2" w:themeFillTint="66"/>
          </w:tcPr>
          <w:p w14:paraId="6C711583" w14:textId="77777777" w:rsidR="006E27EE" w:rsidRDefault="006E27EE">
            <w:pPr>
              <w:spacing w:before="0" w:after="0"/>
            </w:pPr>
            <w:r>
              <w:t>Consulted</w:t>
            </w:r>
          </w:p>
        </w:tc>
      </w:tr>
      <w:tr w:rsidR="006E27EE" w:rsidRPr="00752140" w14:paraId="4598CB1F" w14:textId="77777777" w:rsidTr="008F79B7">
        <w:tc>
          <w:tcPr>
            <w:tcW w:w="4390" w:type="dxa"/>
            <w:shd w:val="clear" w:color="auto" w:fill="57C1A5" w:themeFill="background2"/>
          </w:tcPr>
          <w:p w14:paraId="6269998B" w14:textId="77777777" w:rsidR="006E27EE" w:rsidRPr="00752140" w:rsidRDefault="006E27EE">
            <w:pPr>
              <w:spacing w:before="0" w:after="0"/>
              <w:rPr>
                <w:rFonts w:asciiTheme="majorHAnsi" w:hAnsiTheme="majorHAnsi"/>
              </w:rPr>
            </w:pPr>
            <w:r w:rsidRPr="00752140">
              <w:rPr>
                <w:rFonts w:asciiTheme="majorHAnsi" w:hAnsiTheme="majorHAnsi"/>
              </w:rPr>
              <w:t>Funded organisations</w:t>
            </w:r>
          </w:p>
        </w:tc>
        <w:tc>
          <w:tcPr>
            <w:tcW w:w="2813" w:type="dxa"/>
            <w:shd w:val="clear" w:color="auto" w:fill="57C1A5" w:themeFill="background2"/>
          </w:tcPr>
          <w:p w14:paraId="08344A62" w14:textId="3CA68E9B" w:rsidR="006E27EE" w:rsidRPr="00752140" w:rsidRDefault="0093376B">
            <w:pPr>
              <w:spacing w:before="0" w:after="0"/>
              <w:rPr>
                <w:rFonts w:asciiTheme="majorHAnsi" w:hAnsiTheme="majorHAnsi"/>
              </w:rPr>
            </w:pPr>
            <w:r w:rsidRPr="00752140">
              <w:rPr>
                <w:rFonts w:asciiTheme="majorHAnsi" w:hAnsiTheme="majorHAnsi"/>
              </w:rPr>
              <w:t>Funded organisations</w:t>
            </w:r>
          </w:p>
        </w:tc>
      </w:tr>
      <w:tr w:rsidR="006E27EE" w14:paraId="24F00A2A" w14:textId="77777777" w:rsidTr="008F79B7">
        <w:tc>
          <w:tcPr>
            <w:tcW w:w="4390" w:type="dxa"/>
            <w:shd w:val="clear" w:color="auto" w:fill="auto"/>
          </w:tcPr>
          <w:p w14:paraId="11B52F58" w14:textId="77777777" w:rsidR="006E27EE" w:rsidRDefault="006E27EE">
            <w:pPr>
              <w:spacing w:before="0" w:after="0"/>
            </w:pPr>
            <w:r>
              <w:t>University of Wollongong</w:t>
            </w:r>
          </w:p>
        </w:tc>
        <w:tc>
          <w:tcPr>
            <w:tcW w:w="2813" w:type="dxa"/>
            <w:shd w:val="clear" w:color="auto" w:fill="BBE6DA" w:themeFill="background2" w:themeFillTint="66"/>
          </w:tcPr>
          <w:p w14:paraId="6EE5F698" w14:textId="77777777" w:rsidR="006E27EE" w:rsidRDefault="006E27EE">
            <w:pPr>
              <w:spacing w:before="0" w:after="0"/>
            </w:pPr>
            <w:r>
              <w:t>Consulted</w:t>
            </w:r>
          </w:p>
        </w:tc>
      </w:tr>
      <w:tr w:rsidR="006E27EE" w14:paraId="2FE839B0" w14:textId="77777777" w:rsidTr="008F79B7">
        <w:tc>
          <w:tcPr>
            <w:tcW w:w="4390" w:type="dxa"/>
            <w:shd w:val="clear" w:color="auto" w:fill="auto"/>
          </w:tcPr>
          <w:p w14:paraId="27C2BC3C" w14:textId="40F05576" w:rsidR="006E27EE" w:rsidRDefault="007B1AAC">
            <w:pPr>
              <w:spacing w:before="0" w:after="0"/>
            </w:pPr>
            <w:r>
              <w:t>Queensland University of Technology</w:t>
            </w:r>
          </w:p>
        </w:tc>
        <w:tc>
          <w:tcPr>
            <w:tcW w:w="2813" w:type="dxa"/>
            <w:shd w:val="clear" w:color="auto" w:fill="BBE6DA" w:themeFill="background2" w:themeFillTint="66"/>
          </w:tcPr>
          <w:p w14:paraId="74BC0E81" w14:textId="77777777" w:rsidR="006E27EE" w:rsidRDefault="006E27EE">
            <w:pPr>
              <w:spacing w:before="0" w:after="0"/>
            </w:pPr>
            <w:r>
              <w:t>Consulted</w:t>
            </w:r>
          </w:p>
        </w:tc>
      </w:tr>
      <w:tr w:rsidR="006E27EE" w14:paraId="454C578D" w14:textId="77777777" w:rsidTr="008F79B7">
        <w:tc>
          <w:tcPr>
            <w:tcW w:w="4390" w:type="dxa"/>
            <w:shd w:val="clear" w:color="auto" w:fill="auto"/>
          </w:tcPr>
          <w:p w14:paraId="7AF9ECAD" w14:textId="77777777" w:rsidR="006E27EE" w:rsidRDefault="006E27EE">
            <w:pPr>
              <w:spacing w:before="0" w:after="0"/>
            </w:pPr>
            <w:r>
              <w:t>PACOP Improvement Facilitator team</w:t>
            </w:r>
          </w:p>
        </w:tc>
        <w:tc>
          <w:tcPr>
            <w:tcW w:w="2813" w:type="dxa"/>
            <w:shd w:val="clear" w:color="auto" w:fill="BBE6DA" w:themeFill="background2" w:themeFillTint="66"/>
          </w:tcPr>
          <w:p w14:paraId="60F99D96" w14:textId="77777777" w:rsidR="006E27EE" w:rsidRDefault="006E27EE">
            <w:pPr>
              <w:spacing w:before="0" w:after="0"/>
            </w:pPr>
            <w:r>
              <w:t>Consulted</w:t>
            </w:r>
          </w:p>
        </w:tc>
      </w:tr>
      <w:tr w:rsidR="006E27EE" w14:paraId="2EB5C8B3" w14:textId="77777777" w:rsidTr="008F79B7">
        <w:tc>
          <w:tcPr>
            <w:tcW w:w="4390" w:type="dxa"/>
            <w:shd w:val="clear" w:color="auto" w:fill="auto"/>
          </w:tcPr>
          <w:p w14:paraId="1CC7959D" w14:textId="77777777" w:rsidR="006E27EE" w:rsidRDefault="006E27EE">
            <w:pPr>
              <w:spacing w:before="0" w:after="0"/>
            </w:pPr>
            <w:r>
              <w:t>PEPA Aged Care nurse educator team</w:t>
            </w:r>
          </w:p>
        </w:tc>
        <w:tc>
          <w:tcPr>
            <w:tcW w:w="2813" w:type="dxa"/>
            <w:shd w:val="clear" w:color="auto" w:fill="BBE6DA" w:themeFill="background2" w:themeFillTint="66"/>
          </w:tcPr>
          <w:p w14:paraId="2FC37643" w14:textId="77777777" w:rsidR="006E27EE" w:rsidRDefault="006E27EE">
            <w:pPr>
              <w:spacing w:before="0" w:after="0"/>
            </w:pPr>
            <w:r>
              <w:t>Consulted</w:t>
            </w:r>
          </w:p>
        </w:tc>
      </w:tr>
      <w:tr w:rsidR="006E27EE" w14:paraId="29D8FFA9" w14:textId="77777777" w:rsidTr="008F79B7">
        <w:tc>
          <w:tcPr>
            <w:tcW w:w="4390" w:type="dxa"/>
            <w:shd w:val="clear" w:color="auto" w:fill="57C1A5" w:themeFill="background2"/>
          </w:tcPr>
          <w:p w14:paraId="0EE135B3" w14:textId="77777777" w:rsidR="006E27EE" w:rsidRPr="00752140" w:rsidRDefault="006E27EE">
            <w:pPr>
              <w:spacing w:before="0" w:after="0"/>
              <w:rPr>
                <w:rFonts w:asciiTheme="majorHAnsi" w:hAnsiTheme="majorHAnsi"/>
              </w:rPr>
            </w:pPr>
            <w:r w:rsidRPr="00752140">
              <w:rPr>
                <w:rFonts w:asciiTheme="majorHAnsi" w:hAnsiTheme="majorHAnsi"/>
              </w:rPr>
              <w:t>Palliative care-related peak bodies</w:t>
            </w:r>
          </w:p>
        </w:tc>
        <w:tc>
          <w:tcPr>
            <w:tcW w:w="2813" w:type="dxa"/>
            <w:shd w:val="clear" w:color="auto" w:fill="57C1A5" w:themeFill="background2"/>
          </w:tcPr>
          <w:p w14:paraId="70D5D01E" w14:textId="7A519B95" w:rsidR="006E27EE" w:rsidRDefault="0093376B">
            <w:pPr>
              <w:spacing w:before="0" w:after="0"/>
            </w:pPr>
            <w:r w:rsidRPr="00752140">
              <w:rPr>
                <w:rFonts w:asciiTheme="majorHAnsi" w:hAnsiTheme="majorHAnsi"/>
              </w:rPr>
              <w:t>Palliative care-related peak bodies</w:t>
            </w:r>
          </w:p>
        </w:tc>
      </w:tr>
      <w:tr w:rsidR="006E27EE" w14:paraId="25C47D20" w14:textId="77777777" w:rsidTr="008F79B7">
        <w:tc>
          <w:tcPr>
            <w:tcW w:w="4390" w:type="dxa"/>
            <w:shd w:val="clear" w:color="auto" w:fill="auto"/>
          </w:tcPr>
          <w:p w14:paraId="04D4D050" w14:textId="77777777" w:rsidR="006E27EE" w:rsidRDefault="006E27EE">
            <w:pPr>
              <w:spacing w:before="0" w:after="0"/>
            </w:pPr>
            <w:r>
              <w:t>Palliative Care Australia</w:t>
            </w:r>
          </w:p>
        </w:tc>
        <w:tc>
          <w:tcPr>
            <w:tcW w:w="2813" w:type="dxa"/>
            <w:shd w:val="clear" w:color="auto" w:fill="BBE6DA" w:themeFill="background2" w:themeFillTint="66"/>
          </w:tcPr>
          <w:p w14:paraId="73483F56" w14:textId="77777777" w:rsidR="006E27EE" w:rsidRDefault="006E27EE">
            <w:pPr>
              <w:pStyle w:val="TableText"/>
            </w:pPr>
            <w:r>
              <w:t>Consulted</w:t>
            </w:r>
          </w:p>
        </w:tc>
      </w:tr>
      <w:tr w:rsidR="006E27EE" w14:paraId="7DFC01DB" w14:textId="77777777" w:rsidTr="008F79B7">
        <w:tc>
          <w:tcPr>
            <w:tcW w:w="4390" w:type="dxa"/>
            <w:shd w:val="clear" w:color="auto" w:fill="auto"/>
          </w:tcPr>
          <w:p w14:paraId="7E010ACA" w14:textId="77777777" w:rsidR="006E27EE" w:rsidRDefault="006E27EE">
            <w:pPr>
              <w:spacing w:before="0" w:after="0"/>
            </w:pPr>
            <w:r>
              <w:t>Dementia Australia</w:t>
            </w:r>
          </w:p>
        </w:tc>
        <w:tc>
          <w:tcPr>
            <w:tcW w:w="2813" w:type="dxa"/>
            <w:shd w:val="clear" w:color="auto" w:fill="BBE6DA" w:themeFill="background2" w:themeFillTint="66"/>
          </w:tcPr>
          <w:p w14:paraId="0907E33E" w14:textId="77777777" w:rsidR="006E27EE" w:rsidRDefault="006E27EE">
            <w:pPr>
              <w:pStyle w:val="TableText"/>
            </w:pPr>
            <w:r>
              <w:t>Consulted</w:t>
            </w:r>
          </w:p>
        </w:tc>
      </w:tr>
      <w:tr w:rsidR="0093376B" w:rsidRPr="00752140" w14:paraId="252C118A" w14:textId="77777777" w:rsidTr="008F79B7">
        <w:tc>
          <w:tcPr>
            <w:tcW w:w="4390" w:type="dxa"/>
            <w:shd w:val="clear" w:color="auto" w:fill="57C1A5" w:themeFill="background2"/>
          </w:tcPr>
          <w:p w14:paraId="0D6804E0" w14:textId="77777777" w:rsidR="0093376B" w:rsidRPr="00752140" w:rsidRDefault="0093376B">
            <w:pPr>
              <w:pStyle w:val="TableText"/>
              <w:rPr>
                <w:rFonts w:asciiTheme="majorHAnsi" w:hAnsiTheme="majorHAnsi"/>
              </w:rPr>
            </w:pPr>
            <w:r w:rsidRPr="00752140">
              <w:rPr>
                <w:rFonts w:asciiTheme="majorHAnsi" w:hAnsiTheme="majorHAnsi"/>
              </w:rPr>
              <w:t>Aged and primary care peak and professional bodies</w:t>
            </w:r>
          </w:p>
        </w:tc>
        <w:tc>
          <w:tcPr>
            <w:tcW w:w="2813" w:type="dxa"/>
            <w:shd w:val="clear" w:color="auto" w:fill="57C1A5" w:themeFill="background2"/>
          </w:tcPr>
          <w:p w14:paraId="47E02FA9" w14:textId="08D320D1" w:rsidR="0093376B" w:rsidRPr="00752140" w:rsidRDefault="0093376B">
            <w:pPr>
              <w:pStyle w:val="TableText"/>
              <w:rPr>
                <w:rFonts w:asciiTheme="majorHAnsi" w:hAnsiTheme="majorHAnsi"/>
              </w:rPr>
            </w:pPr>
            <w:r w:rsidRPr="00752140">
              <w:rPr>
                <w:rFonts w:asciiTheme="majorHAnsi" w:hAnsiTheme="majorHAnsi"/>
              </w:rPr>
              <w:t>Aged and primary care peak and professional bodies</w:t>
            </w:r>
          </w:p>
        </w:tc>
      </w:tr>
      <w:tr w:rsidR="006E27EE" w:rsidRPr="00752140" w14:paraId="19FCEE75" w14:textId="77777777" w:rsidTr="008F79B7">
        <w:tc>
          <w:tcPr>
            <w:tcW w:w="4390" w:type="dxa"/>
            <w:shd w:val="clear" w:color="auto" w:fill="auto"/>
          </w:tcPr>
          <w:p w14:paraId="26A9A9E2" w14:textId="77777777" w:rsidR="006E27EE" w:rsidRPr="00752140" w:rsidRDefault="006E27EE">
            <w:pPr>
              <w:spacing w:before="0" w:after="0"/>
              <w:rPr>
                <w:rFonts w:asciiTheme="majorHAnsi" w:hAnsiTheme="majorHAnsi"/>
              </w:rPr>
            </w:pPr>
            <w:r>
              <w:t>National Aged Care Alliance</w:t>
            </w:r>
          </w:p>
        </w:tc>
        <w:tc>
          <w:tcPr>
            <w:tcW w:w="2813" w:type="dxa"/>
            <w:shd w:val="clear" w:color="auto" w:fill="D9D9D9" w:themeFill="background1" w:themeFillShade="D9"/>
          </w:tcPr>
          <w:p w14:paraId="55E71945" w14:textId="77777777" w:rsidR="006E27EE" w:rsidRPr="00752140" w:rsidRDefault="006E27EE">
            <w:pPr>
              <w:pStyle w:val="TableText"/>
              <w:rPr>
                <w:rFonts w:asciiTheme="majorHAnsi" w:hAnsiTheme="majorHAnsi"/>
              </w:rPr>
            </w:pPr>
            <w:r>
              <w:t>Invited</w:t>
            </w:r>
          </w:p>
        </w:tc>
      </w:tr>
      <w:tr w:rsidR="006E27EE" w:rsidRPr="00752140" w14:paraId="5D24E436" w14:textId="77777777" w:rsidTr="008F79B7">
        <w:tc>
          <w:tcPr>
            <w:tcW w:w="4390" w:type="dxa"/>
            <w:shd w:val="clear" w:color="auto" w:fill="auto"/>
          </w:tcPr>
          <w:p w14:paraId="1754BA60" w14:textId="77777777" w:rsidR="006E27EE" w:rsidRPr="00752140" w:rsidRDefault="006E27EE">
            <w:pPr>
              <w:spacing w:before="0" w:after="0"/>
              <w:rPr>
                <w:rFonts w:asciiTheme="majorHAnsi" w:hAnsiTheme="majorHAnsi"/>
              </w:rPr>
            </w:pPr>
            <w:r>
              <w:t>Ageing Australia</w:t>
            </w:r>
          </w:p>
        </w:tc>
        <w:tc>
          <w:tcPr>
            <w:tcW w:w="2813" w:type="dxa"/>
            <w:shd w:val="clear" w:color="auto" w:fill="BBE6DA" w:themeFill="background2" w:themeFillTint="66"/>
          </w:tcPr>
          <w:p w14:paraId="287EAD5F" w14:textId="77777777" w:rsidR="006E27EE" w:rsidRPr="00752140" w:rsidRDefault="006E27EE">
            <w:pPr>
              <w:pStyle w:val="TableText"/>
              <w:rPr>
                <w:rFonts w:asciiTheme="majorHAnsi" w:hAnsiTheme="majorHAnsi"/>
              </w:rPr>
            </w:pPr>
            <w:r w:rsidRPr="00393527">
              <w:t>Consulted</w:t>
            </w:r>
          </w:p>
        </w:tc>
      </w:tr>
      <w:tr w:rsidR="006E27EE" w:rsidRPr="00752140" w14:paraId="6E30A31F" w14:textId="77777777" w:rsidTr="008F79B7">
        <w:tc>
          <w:tcPr>
            <w:tcW w:w="4390" w:type="dxa"/>
            <w:shd w:val="clear" w:color="auto" w:fill="auto"/>
          </w:tcPr>
          <w:p w14:paraId="6B53D2F1" w14:textId="77777777" w:rsidR="006E27EE" w:rsidRDefault="006E27EE">
            <w:pPr>
              <w:spacing w:before="0" w:after="0"/>
            </w:pPr>
            <w:r>
              <w:t>Catholic Health Australia</w:t>
            </w:r>
          </w:p>
        </w:tc>
        <w:tc>
          <w:tcPr>
            <w:tcW w:w="2813" w:type="dxa"/>
            <w:shd w:val="clear" w:color="auto" w:fill="BBE6DA" w:themeFill="background2" w:themeFillTint="66"/>
          </w:tcPr>
          <w:p w14:paraId="09D053E7" w14:textId="77777777" w:rsidR="006E27EE" w:rsidRPr="00393527" w:rsidRDefault="006E27EE">
            <w:pPr>
              <w:pStyle w:val="TableText"/>
            </w:pPr>
            <w:r w:rsidRPr="00393527">
              <w:t>Consulted</w:t>
            </w:r>
          </w:p>
        </w:tc>
      </w:tr>
      <w:tr w:rsidR="006E27EE" w:rsidRPr="00752140" w14:paraId="3F5700DE" w14:textId="77777777" w:rsidTr="008F79B7">
        <w:tc>
          <w:tcPr>
            <w:tcW w:w="4390" w:type="dxa"/>
            <w:shd w:val="clear" w:color="auto" w:fill="auto"/>
          </w:tcPr>
          <w:p w14:paraId="5AEED86B" w14:textId="77777777" w:rsidR="006E27EE" w:rsidRPr="00752140" w:rsidRDefault="006E27EE">
            <w:pPr>
              <w:spacing w:before="0" w:after="0"/>
              <w:rPr>
                <w:rFonts w:asciiTheme="majorHAnsi" w:hAnsiTheme="majorHAnsi"/>
              </w:rPr>
            </w:pPr>
            <w:r>
              <w:t>Palliative Care Nurses Australia</w:t>
            </w:r>
          </w:p>
        </w:tc>
        <w:tc>
          <w:tcPr>
            <w:tcW w:w="2813" w:type="dxa"/>
            <w:shd w:val="clear" w:color="auto" w:fill="BBE6DA" w:themeFill="background2" w:themeFillTint="66"/>
          </w:tcPr>
          <w:p w14:paraId="17F159F7" w14:textId="77777777" w:rsidR="006E27EE" w:rsidRPr="00752140" w:rsidRDefault="006E27EE">
            <w:pPr>
              <w:pStyle w:val="TableText"/>
              <w:rPr>
                <w:rFonts w:asciiTheme="majorHAnsi" w:hAnsiTheme="majorHAnsi"/>
              </w:rPr>
            </w:pPr>
            <w:r w:rsidRPr="00393527">
              <w:t>Consulted</w:t>
            </w:r>
          </w:p>
        </w:tc>
      </w:tr>
      <w:tr w:rsidR="006E27EE" w:rsidRPr="00752140" w14:paraId="75D74279" w14:textId="77777777" w:rsidTr="008F79B7">
        <w:tc>
          <w:tcPr>
            <w:tcW w:w="4390" w:type="dxa"/>
            <w:shd w:val="clear" w:color="auto" w:fill="auto"/>
          </w:tcPr>
          <w:p w14:paraId="07C90F22" w14:textId="77777777" w:rsidR="006E27EE" w:rsidRPr="00752140" w:rsidRDefault="006E27EE">
            <w:pPr>
              <w:spacing w:before="0" w:after="0"/>
              <w:rPr>
                <w:rFonts w:asciiTheme="majorHAnsi" w:hAnsiTheme="majorHAnsi"/>
              </w:rPr>
            </w:pPr>
            <w:r>
              <w:t>Australian Primary Health Care Nurses Association</w:t>
            </w:r>
          </w:p>
        </w:tc>
        <w:tc>
          <w:tcPr>
            <w:tcW w:w="2813" w:type="dxa"/>
            <w:shd w:val="clear" w:color="auto" w:fill="BBE6DA" w:themeFill="background2" w:themeFillTint="66"/>
          </w:tcPr>
          <w:p w14:paraId="47562D98" w14:textId="77777777" w:rsidR="006E27EE" w:rsidRPr="00752140" w:rsidRDefault="006E27EE">
            <w:pPr>
              <w:pStyle w:val="TableText"/>
              <w:rPr>
                <w:rFonts w:asciiTheme="majorHAnsi" w:hAnsiTheme="majorHAnsi"/>
              </w:rPr>
            </w:pPr>
            <w:r w:rsidRPr="00393527">
              <w:t>Consulted</w:t>
            </w:r>
          </w:p>
        </w:tc>
      </w:tr>
      <w:tr w:rsidR="006E27EE" w:rsidRPr="00752140" w14:paraId="12579B35" w14:textId="77777777" w:rsidTr="008F79B7">
        <w:tc>
          <w:tcPr>
            <w:tcW w:w="4390" w:type="dxa"/>
            <w:shd w:val="clear" w:color="auto" w:fill="auto"/>
          </w:tcPr>
          <w:p w14:paraId="5E1E071A" w14:textId="77777777" w:rsidR="006E27EE" w:rsidRDefault="006E27EE">
            <w:pPr>
              <w:spacing w:before="0" w:after="0"/>
            </w:pPr>
            <w:r>
              <w:t>Australian Nursing and Midwifery Foundation</w:t>
            </w:r>
          </w:p>
        </w:tc>
        <w:tc>
          <w:tcPr>
            <w:tcW w:w="2813" w:type="dxa"/>
            <w:shd w:val="clear" w:color="auto" w:fill="BBE6DA" w:themeFill="background2" w:themeFillTint="66"/>
          </w:tcPr>
          <w:p w14:paraId="4103670F" w14:textId="77777777" w:rsidR="006E27EE" w:rsidRPr="00752140" w:rsidRDefault="006E27EE">
            <w:pPr>
              <w:pStyle w:val="TableText"/>
              <w:rPr>
                <w:rFonts w:asciiTheme="majorHAnsi" w:hAnsiTheme="majorHAnsi"/>
              </w:rPr>
            </w:pPr>
            <w:r>
              <w:t>Consulted</w:t>
            </w:r>
          </w:p>
        </w:tc>
      </w:tr>
      <w:tr w:rsidR="006E27EE" w:rsidRPr="00752140" w14:paraId="148DD4B0" w14:textId="77777777" w:rsidTr="008F79B7">
        <w:tc>
          <w:tcPr>
            <w:tcW w:w="4390" w:type="dxa"/>
            <w:shd w:val="clear" w:color="auto" w:fill="auto"/>
          </w:tcPr>
          <w:p w14:paraId="45EA04E3" w14:textId="77777777" w:rsidR="006E27EE" w:rsidRDefault="006E27EE">
            <w:pPr>
              <w:spacing w:before="0" w:after="0"/>
            </w:pPr>
            <w:r>
              <w:t>Australian Medical Association</w:t>
            </w:r>
          </w:p>
        </w:tc>
        <w:tc>
          <w:tcPr>
            <w:tcW w:w="2813" w:type="dxa"/>
            <w:shd w:val="clear" w:color="auto" w:fill="BBE6DA" w:themeFill="background2" w:themeFillTint="66"/>
          </w:tcPr>
          <w:p w14:paraId="3DCA60FE" w14:textId="77777777" w:rsidR="006E27EE" w:rsidRPr="00752140" w:rsidRDefault="006E27EE">
            <w:pPr>
              <w:pStyle w:val="TableText"/>
              <w:rPr>
                <w:rFonts w:asciiTheme="majorHAnsi" w:hAnsiTheme="majorHAnsi"/>
              </w:rPr>
            </w:pPr>
            <w:r w:rsidRPr="00AF3705">
              <w:t>Consulted</w:t>
            </w:r>
          </w:p>
        </w:tc>
      </w:tr>
      <w:tr w:rsidR="006E27EE" w:rsidRPr="00752140" w14:paraId="3DDD9023" w14:textId="77777777" w:rsidTr="008F79B7">
        <w:tc>
          <w:tcPr>
            <w:tcW w:w="4390" w:type="dxa"/>
            <w:shd w:val="clear" w:color="auto" w:fill="auto"/>
          </w:tcPr>
          <w:p w14:paraId="20252EDE" w14:textId="77777777" w:rsidR="006E27EE" w:rsidRDefault="006E27EE">
            <w:pPr>
              <w:spacing w:before="0" w:after="0"/>
            </w:pPr>
            <w:r>
              <w:t>Royal Australian College of General Practitioners</w:t>
            </w:r>
          </w:p>
        </w:tc>
        <w:tc>
          <w:tcPr>
            <w:tcW w:w="2813" w:type="dxa"/>
            <w:shd w:val="clear" w:color="auto" w:fill="BBE6DA" w:themeFill="background2" w:themeFillTint="66"/>
          </w:tcPr>
          <w:p w14:paraId="4D83C6B3" w14:textId="77777777" w:rsidR="006E27EE" w:rsidRPr="00752140" w:rsidRDefault="006E27EE">
            <w:pPr>
              <w:pStyle w:val="TableText"/>
              <w:rPr>
                <w:rFonts w:asciiTheme="majorHAnsi" w:hAnsiTheme="majorHAnsi"/>
              </w:rPr>
            </w:pPr>
            <w:r w:rsidRPr="00AF3705">
              <w:t>Consulted</w:t>
            </w:r>
          </w:p>
        </w:tc>
      </w:tr>
      <w:tr w:rsidR="006E27EE" w:rsidRPr="00752140" w14:paraId="64621BE7" w14:textId="77777777" w:rsidTr="008F79B7">
        <w:tc>
          <w:tcPr>
            <w:tcW w:w="4390" w:type="dxa"/>
            <w:shd w:val="clear" w:color="auto" w:fill="auto"/>
          </w:tcPr>
          <w:p w14:paraId="77EF64BB" w14:textId="77777777" w:rsidR="006E27EE" w:rsidRDefault="006E27EE">
            <w:pPr>
              <w:spacing w:before="0" w:after="0"/>
            </w:pPr>
            <w:r>
              <w:t>Australian College of Rural and Remote Medicine</w:t>
            </w:r>
          </w:p>
        </w:tc>
        <w:tc>
          <w:tcPr>
            <w:tcW w:w="2813" w:type="dxa"/>
            <w:shd w:val="clear" w:color="auto" w:fill="BBE6DA" w:themeFill="background2" w:themeFillTint="66"/>
          </w:tcPr>
          <w:p w14:paraId="35F847DB" w14:textId="77777777" w:rsidR="006E27EE" w:rsidRPr="00752140" w:rsidRDefault="006E27EE">
            <w:pPr>
              <w:pStyle w:val="TableText"/>
              <w:rPr>
                <w:rFonts w:asciiTheme="majorHAnsi" w:hAnsiTheme="majorHAnsi"/>
              </w:rPr>
            </w:pPr>
            <w:r w:rsidRPr="00AF3705">
              <w:t>Consulted</w:t>
            </w:r>
          </w:p>
        </w:tc>
      </w:tr>
      <w:tr w:rsidR="006E27EE" w:rsidRPr="00752140" w14:paraId="6B1E62F4" w14:textId="77777777" w:rsidTr="008F79B7">
        <w:tc>
          <w:tcPr>
            <w:tcW w:w="4390" w:type="dxa"/>
            <w:shd w:val="clear" w:color="auto" w:fill="auto"/>
          </w:tcPr>
          <w:p w14:paraId="22D54EB4" w14:textId="77777777" w:rsidR="006E27EE" w:rsidRDefault="006E27EE">
            <w:pPr>
              <w:spacing w:before="0" w:after="0"/>
            </w:pPr>
            <w:r>
              <w:t>Allied Health Professionals Australia</w:t>
            </w:r>
          </w:p>
        </w:tc>
        <w:tc>
          <w:tcPr>
            <w:tcW w:w="2813" w:type="dxa"/>
            <w:shd w:val="clear" w:color="auto" w:fill="BBE6DA" w:themeFill="background2" w:themeFillTint="66"/>
          </w:tcPr>
          <w:p w14:paraId="6C390470" w14:textId="77777777" w:rsidR="006E27EE" w:rsidRPr="00752140" w:rsidRDefault="006E27EE">
            <w:pPr>
              <w:pStyle w:val="TableText"/>
              <w:rPr>
                <w:rFonts w:asciiTheme="majorHAnsi" w:hAnsiTheme="majorHAnsi"/>
              </w:rPr>
            </w:pPr>
            <w:r w:rsidRPr="00AF3705">
              <w:t>Consulted</w:t>
            </w:r>
          </w:p>
        </w:tc>
      </w:tr>
      <w:tr w:rsidR="006E27EE" w:rsidRPr="00752140" w14:paraId="70F01E77" w14:textId="77777777" w:rsidTr="008F79B7">
        <w:tc>
          <w:tcPr>
            <w:tcW w:w="4390" w:type="dxa"/>
            <w:shd w:val="clear" w:color="auto" w:fill="auto"/>
          </w:tcPr>
          <w:p w14:paraId="07C72E12" w14:textId="77777777" w:rsidR="006E27EE" w:rsidRDefault="006E27EE">
            <w:pPr>
              <w:spacing w:before="0" w:after="0"/>
            </w:pPr>
            <w:r>
              <w:t>Australian Association of Gerontology</w:t>
            </w:r>
          </w:p>
        </w:tc>
        <w:tc>
          <w:tcPr>
            <w:tcW w:w="2813" w:type="dxa"/>
            <w:shd w:val="clear" w:color="auto" w:fill="BBE6DA" w:themeFill="background2" w:themeFillTint="66"/>
          </w:tcPr>
          <w:p w14:paraId="7F3F0CBA" w14:textId="77777777" w:rsidR="006E27EE" w:rsidRPr="00752140" w:rsidRDefault="006E27EE">
            <w:pPr>
              <w:pStyle w:val="TableText"/>
              <w:rPr>
                <w:rFonts w:asciiTheme="majorHAnsi" w:hAnsiTheme="majorHAnsi"/>
              </w:rPr>
            </w:pPr>
            <w:r w:rsidRPr="00592E75">
              <w:t>Consulted</w:t>
            </w:r>
          </w:p>
        </w:tc>
      </w:tr>
      <w:tr w:rsidR="006E27EE" w:rsidRPr="00752140" w14:paraId="731967A5" w14:textId="77777777" w:rsidTr="008F79B7">
        <w:tc>
          <w:tcPr>
            <w:tcW w:w="4390" w:type="dxa"/>
            <w:shd w:val="clear" w:color="auto" w:fill="auto"/>
          </w:tcPr>
          <w:p w14:paraId="46CDBE0E" w14:textId="77777777" w:rsidR="006E27EE" w:rsidRDefault="006E27EE">
            <w:pPr>
              <w:spacing w:before="0" w:after="0"/>
            </w:pPr>
            <w:r>
              <w:t>National Aboriginal and Torres Strait Islander Ageing and Aged Care Council</w:t>
            </w:r>
          </w:p>
        </w:tc>
        <w:tc>
          <w:tcPr>
            <w:tcW w:w="2813" w:type="dxa"/>
            <w:shd w:val="clear" w:color="auto" w:fill="BBE6DA" w:themeFill="background2" w:themeFillTint="66"/>
          </w:tcPr>
          <w:p w14:paraId="5E00FE9E" w14:textId="77777777" w:rsidR="006E27EE" w:rsidRPr="00752140" w:rsidRDefault="006E27EE">
            <w:pPr>
              <w:pStyle w:val="TableText"/>
              <w:rPr>
                <w:rFonts w:asciiTheme="majorHAnsi" w:hAnsiTheme="majorHAnsi"/>
              </w:rPr>
            </w:pPr>
            <w:r w:rsidRPr="00592E75">
              <w:t>Consulted</w:t>
            </w:r>
          </w:p>
        </w:tc>
      </w:tr>
      <w:tr w:rsidR="00B221BE" w:rsidRPr="00752140" w14:paraId="7782514D" w14:textId="77777777" w:rsidTr="008F79B7">
        <w:tc>
          <w:tcPr>
            <w:tcW w:w="4390" w:type="dxa"/>
            <w:shd w:val="clear" w:color="auto" w:fill="57C1A5" w:themeFill="background2"/>
          </w:tcPr>
          <w:p w14:paraId="10AC84FF" w14:textId="77777777" w:rsidR="00B221BE" w:rsidRPr="00752140" w:rsidRDefault="00B221BE">
            <w:pPr>
              <w:pStyle w:val="TableText"/>
              <w:rPr>
                <w:rFonts w:asciiTheme="majorHAnsi" w:hAnsiTheme="majorHAnsi"/>
              </w:rPr>
            </w:pPr>
            <w:r w:rsidRPr="00752140">
              <w:rPr>
                <w:rFonts w:asciiTheme="majorHAnsi" w:hAnsiTheme="majorHAnsi"/>
              </w:rPr>
              <w:t>Consumer representative peak bodies</w:t>
            </w:r>
          </w:p>
        </w:tc>
        <w:tc>
          <w:tcPr>
            <w:tcW w:w="2813" w:type="dxa"/>
            <w:shd w:val="clear" w:color="auto" w:fill="57C1A5" w:themeFill="background2"/>
          </w:tcPr>
          <w:p w14:paraId="30AA0FA4" w14:textId="461C3832" w:rsidR="00B221BE" w:rsidRPr="00752140" w:rsidRDefault="00B221BE">
            <w:pPr>
              <w:pStyle w:val="TableText"/>
              <w:rPr>
                <w:rFonts w:asciiTheme="majorHAnsi" w:hAnsiTheme="majorHAnsi"/>
              </w:rPr>
            </w:pPr>
            <w:r w:rsidRPr="00752140">
              <w:rPr>
                <w:rFonts w:asciiTheme="majorHAnsi" w:hAnsiTheme="majorHAnsi"/>
              </w:rPr>
              <w:t>Consumer representative peak bodies</w:t>
            </w:r>
          </w:p>
        </w:tc>
      </w:tr>
      <w:tr w:rsidR="006E27EE" w14:paraId="64DAB66B" w14:textId="77777777" w:rsidTr="008F79B7">
        <w:tc>
          <w:tcPr>
            <w:tcW w:w="4390" w:type="dxa"/>
            <w:shd w:val="clear" w:color="auto" w:fill="auto"/>
          </w:tcPr>
          <w:p w14:paraId="5D75F321" w14:textId="77777777" w:rsidR="006E27EE" w:rsidRDefault="006E27EE">
            <w:pPr>
              <w:spacing w:before="0" w:after="0"/>
            </w:pPr>
            <w:r>
              <w:t>Council on the Ageing</w:t>
            </w:r>
          </w:p>
        </w:tc>
        <w:tc>
          <w:tcPr>
            <w:tcW w:w="2813" w:type="dxa"/>
            <w:shd w:val="clear" w:color="auto" w:fill="BBE6DA" w:themeFill="background2" w:themeFillTint="66"/>
          </w:tcPr>
          <w:p w14:paraId="10FD1215" w14:textId="77777777" w:rsidR="006E27EE" w:rsidRDefault="006E27EE">
            <w:pPr>
              <w:pStyle w:val="TableText"/>
            </w:pPr>
            <w:r w:rsidRPr="00393527">
              <w:t>Consulted</w:t>
            </w:r>
          </w:p>
        </w:tc>
      </w:tr>
      <w:tr w:rsidR="006E27EE" w14:paraId="5D2A9D67" w14:textId="77777777" w:rsidTr="008F79B7">
        <w:tc>
          <w:tcPr>
            <w:tcW w:w="4390" w:type="dxa"/>
            <w:shd w:val="clear" w:color="auto" w:fill="auto"/>
          </w:tcPr>
          <w:p w14:paraId="359517B7" w14:textId="77777777" w:rsidR="006E27EE" w:rsidRDefault="006E27EE">
            <w:pPr>
              <w:spacing w:before="0" w:after="0"/>
            </w:pPr>
            <w:r>
              <w:t>LGBTIQ+ Health Australia</w:t>
            </w:r>
          </w:p>
        </w:tc>
        <w:tc>
          <w:tcPr>
            <w:tcW w:w="2813" w:type="dxa"/>
            <w:shd w:val="clear" w:color="auto" w:fill="BBE6DA" w:themeFill="background2" w:themeFillTint="66"/>
          </w:tcPr>
          <w:p w14:paraId="33BB9016" w14:textId="77777777" w:rsidR="006E27EE" w:rsidRPr="00393527" w:rsidRDefault="006E27EE">
            <w:pPr>
              <w:pStyle w:val="TableText"/>
            </w:pPr>
            <w:r>
              <w:t>Consulted</w:t>
            </w:r>
          </w:p>
        </w:tc>
      </w:tr>
      <w:tr w:rsidR="006E27EE" w14:paraId="3F2DC5BB" w14:textId="77777777" w:rsidTr="008F79B7">
        <w:tc>
          <w:tcPr>
            <w:tcW w:w="4390" w:type="dxa"/>
            <w:shd w:val="clear" w:color="auto" w:fill="auto"/>
          </w:tcPr>
          <w:p w14:paraId="46E56391" w14:textId="57BDEED0" w:rsidR="006E27EE" w:rsidRDefault="006E27EE">
            <w:pPr>
              <w:spacing w:before="0" w:after="0"/>
            </w:pPr>
            <w:r>
              <w:lastRenderedPageBreak/>
              <w:t>Older Person</w:t>
            </w:r>
            <w:r w:rsidR="003863F5">
              <w:t>’</w:t>
            </w:r>
            <w:r>
              <w:t>s Advocacy Network</w:t>
            </w:r>
          </w:p>
        </w:tc>
        <w:tc>
          <w:tcPr>
            <w:tcW w:w="2813" w:type="dxa"/>
            <w:shd w:val="clear" w:color="auto" w:fill="D9D9D9" w:themeFill="background1" w:themeFillShade="D9"/>
          </w:tcPr>
          <w:p w14:paraId="692981C6" w14:textId="77777777" w:rsidR="006E27EE" w:rsidRDefault="006E27EE">
            <w:pPr>
              <w:pStyle w:val="TableText"/>
            </w:pPr>
            <w:r>
              <w:t>Declined</w:t>
            </w:r>
          </w:p>
        </w:tc>
      </w:tr>
      <w:tr w:rsidR="006E27EE" w14:paraId="6093A442" w14:textId="77777777" w:rsidTr="008F79B7">
        <w:tc>
          <w:tcPr>
            <w:tcW w:w="4390" w:type="dxa"/>
            <w:shd w:val="clear" w:color="auto" w:fill="auto"/>
          </w:tcPr>
          <w:p w14:paraId="5A075AE4" w14:textId="77777777" w:rsidR="006E27EE" w:rsidRDefault="006E27EE">
            <w:pPr>
              <w:spacing w:before="0" w:after="0"/>
            </w:pPr>
            <w:r>
              <w:t>Seniors Australia</w:t>
            </w:r>
          </w:p>
        </w:tc>
        <w:tc>
          <w:tcPr>
            <w:tcW w:w="2813" w:type="dxa"/>
            <w:shd w:val="clear" w:color="auto" w:fill="D9D9D9" w:themeFill="background1" w:themeFillShade="D9"/>
          </w:tcPr>
          <w:p w14:paraId="6736D35D" w14:textId="77777777" w:rsidR="006E27EE" w:rsidRDefault="006E27EE">
            <w:pPr>
              <w:pStyle w:val="TableText"/>
            </w:pPr>
            <w:r>
              <w:t>Declined</w:t>
            </w:r>
          </w:p>
        </w:tc>
      </w:tr>
      <w:tr w:rsidR="006E27EE" w14:paraId="03784A1B" w14:textId="77777777" w:rsidTr="008F79B7">
        <w:tc>
          <w:tcPr>
            <w:tcW w:w="4390" w:type="dxa"/>
            <w:shd w:val="clear" w:color="auto" w:fill="auto"/>
          </w:tcPr>
          <w:p w14:paraId="1B11629A" w14:textId="77777777" w:rsidR="006E27EE" w:rsidRDefault="006E27EE">
            <w:pPr>
              <w:spacing w:before="0" w:after="0"/>
            </w:pPr>
            <w:r>
              <w:t>Federation of Ethnic Communities Councils of Australia</w:t>
            </w:r>
          </w:p>
        </w:tc>
        <w:tc>
          <w:tcPr>
            <w:tcW w:w="2813" w:type="dxa"/>
            <w:shd w:val="clear" w:color="auto" w:fill="D9D9D9" w:themeFill="background1" w:themeFillShade="D9"/>
          </w:tcPr>
          <w:p w14:paraId="050073A2" w14:textId="77777777" w:rsidR="006E27EE" w:rsidRDefault="006E27EE">
            <w:pPr>
              <w:pStyle w:val="TableText"/>
            </w:pPr>
            <w:r>
              <w:t>Invited</w:t>
            </w:r>
          </w:p>
        </w:tc>
      </w:tr>
      <w:tr w:rsidR="006E27EE" w14:paraId="79D2B153" w14:textId="77777777" w:rsidTr="008F79B7">
        <w:tc>
          <w:tcPr>
            <w:tcW w:w="4390" w:type="dxa"/>
            <w:shd w:val="clear" w:color="auto" w:fill="auto"/>
          </w:tcPr>
          <w:p w14:paraId="38BFA3FC" w14:textId="77777777" w:rsidR="006E27EE" w:rsidRDefault="006E27EE">
            <w:pPr>
              <w:spacing w:before="0" w:after="0"/>
            </w:pPr>
            <w:r>
              <w:t>Partners in Culturally Appropriate Care</w:t>
            </w:r>
          </w:p>
        </w:tc>
        <w:tc>
          <w:tcPr>
            <w:tcW w:w="2813" w:type="dxa"/>
            <w:shd w:val="clear" w:color="auto" w:fill="BBE6DA" w:themeFill="background2" w:themeFillTint="66"/>
          </w:tcPr>
          <w:p w14:paraId="2B02BA8A" w14:textId="77777777" w:rsidR="006E27EE" w:rsidRDefault="006E27EE">
            <w:pPr>
              <w:pStyle w:val="TableText"/>
            </w:pPr>
            <w:r w:rsidRPr="00912975">
              <w:t>Consulted</w:t>
            </w:r>
          </w:p>
        </w:tc>
      </w:tr>
      <w:tr w:rsidR="006E27EE" w:rsidRPr="00752140" w14:paraId="7668AAAA" w14:textId="77777777" w:rsidTr="008F79B7">
        <w:tc>
          <w:tcPr>
            <w:tcW w:w="4390" w:type="dxa"/>
            <w:shd w:val="clear" w:color="auto" w:fill="57C1A5" w:themeFill="background2"/>
          </w:tcPr>
          <w:p w14:paraId="22E9A395" w14:textId="77777777" w:rsidR="006E27EE" w:rsidRPr="00752140" w:rsidRDefault="006E27EE">
            <w:pPr>
              <w:spacing w:before="0" w:after="0"/>
              <w:rPr>
                <w:rFonts w:asciiTheme="majorHAnsi" w:hAnsiTheme="majorHAnsi"/>
              </w:rPr>
            </w:pPr>
            <w:r w:rsidRPr="00752140">
              <w:rPr>
                <w:rFonts w:asciiTheme="majorHAnsi" w:hAnsiTheme="majorHAnsi"/>
              </w:rPr>
              <w:t>Selected major aged care providers</w:t>
            </w:r>
          </w:p>
        </w:tc>
        <w:tc>
          <w:tcPr>
            <w:tcW w:w="2813" w:type="dxa"/>
            <w:shd w:val="clear" w:color="auto" w:fill="57C1A5" w:themeFill="background2"/>
          </w:tcPr>
          <w:p w14:paraId="78354A4A" w14:textId="2C924759" w:rsidR="006E27EE" w:rsidRPr="00752140" w:rsidRDefault="00B221BE">
            <w:pPr>
              <w:pStyle w:val="TableText"/>
              <w:rPr>
                <w:rFonts w:asciiTheme="majorHAnsi" w:hAnsiTheme="majorHAnsi"/>
              </w:rPr>
            </w:pPr>
            <w:r w:rsidRPr="00752140">
              <w:rPr>
                <w:rFonts w:asciiTheme="majorHAnsi" w:hAnsiTheme="majorHAnsi"/>
              </w:rPr>
              <w:t>Selected major aged care providers</w:t>
            </w:r>
          </w:p>
        </w:tc>
      </w:tr>
      <w:tr w:rsidR="006E27EE" w14:paraId="20DEB000" w14:textId="77777777" w:rsidTr="008F79B7">
        <w:tc>
          <w:tcPr>
            <w:tcW w:w="4390" w:type="dxa"/>
            <w:shd w:val="clear" w:color="auto" w:fill="auto"/>
          </w:tcPr>
          <w:p w14:paraId="28682C01" w14:textId="77777777" w:rsidR="006E27EE" w:rsidRDefault="006E27EE">
            <w:pPr>
              <w:spacing w:before="0" w:after="0"/>
            </w:pPr>
            <w:r>
              <w:t>Opal HealthCare</w:t>
            </w:r>
          </w:p>
        </w:tc>
        <w:tc>
          <w:tcPr>
            <w:tcW w:w="2813" w:type="dxa"/>
            <w:shd w:val="clear" w:color="auto" w:fill="D9D9D9" w:themeFill="background1" w:themeFillShade="D9"/>
          </w:tcPr>
          <w:p w14:paraId="3F6CD9BC" w14:textId="77777777" w:rsidR="006E27EE" w:rsidRDefault="006E27EE">
            <w:pPr>
              <w:pStyle w:val="TableText"/>
            </w:pPr>
            <w:r>
              <w:t>Invited</w:t>
            </w:r>
          </w:p>
        </w:tc>
      </w:tr>
      <w:tr w:rsidR="006E27EE" w14:paraId="381CA246" w14:textId="77777777" w:rsidTr="008F79B7">
        <w:tc>
          <w:tcPr>
            <w:tcW w:w="4390" w:type="dxa"/>
            <w:shd w:val="clear" w:color="auto" w:fill="auto"/>
          </w:tcPr>
          <w:p w14:paraId="1A12AB59" w14:textId="77777777" w:rsidR="006E27EE" w:rsidRDefault="006E27EE">
            <w:pPr>
              <w:spacing w:before="0" w:after="0"/>
            </w:pPr>
            <w:r>
              <w:t>HammondCare</w:t>
            </w:r>
          </w:p>
        </w:tc>
        <w:tc>
          <w:tcPr>
            <w:tcW w:w="2813" w:type="dxa"/>
            <w:shd w:val="clear" w:color="auto" w:fill="BBE6DA" w:themeFill="background2" w:themeFillTint="66"/>
          </w:tcPr>
          <w:p w14:paraId="59442369" w14:textId="77777777" w:rsidR="006E27EE" w:rsidRDefault="006E27EE">
            <w:pPr>
              <w:pStyle w:val="TableText"/>
            </w:pPr>
            <w:r w:rsidRPr="00393527">
              <w:t>Consulted</w:t>
            </w:r>
          </w:p>
        </w:tc>
      </w:tr>
      <w:tr w:rsidR="006E27EE" w14:paraId="4E58297D" w14:textId="77777777" w:rsidTr="008F79B7">
        <w:tc>
          <w:tcPr>
            <w:tcW w:w="4390" w:type="dxa"/>
            <w:shd w:val="clear" w:color="auto" w:fill="auto"/>
          </w:tcPr>
          <w:p w14:paraId="3D8A310B" w14:textId="77777777" w:rsidR="006E27EE" w:rsidRDefault="006E27EE">
            <w:pPr>
              <w:spacing w:before="0" w:after="0"/>
            </w:pPr>
            <w:r>
              <w:t>Regis</w:t>
            </w:r>
          </w:p>
        </w:tc>
        <w:tc>
          <w:tcPr>
            <w:tcW w:w="2813" w:type="dxa"/>
            <w:shd w:val="clear" w:color="auto" w:fill="BBE6DA" w:themeFill="background2" w:themeFillTint="66"/>
          </w:tcPr>
          <w:p w14:paraId="7988561F" w14:textId="77777777" w:rsidR="006E27EE" w:rsidRDefault="006E27EE">
            <w:pPr>
              <w:pStyle w:val="TableText"/>
            </w:pPr>
            <w:r>
              <w:t>Consulted</w:t>
            </w:r>
          </w:p>
        </w:tc>
      </w:tr>
      <w:tr w:rsidR="006E27EE" w14:paraId="6A597B3C" w14:textId="77777777" w:rsidTr="008F79B7">
        <w:tc>
          <w:tcPr>
            <w:tcW w:w="4390" w:type="dxa"/>
            <w:shd w:val="clear" w:color="auto" w:fill="auto"/>
          </w:tcPr>
          <w:p w14:paraId="273C84BE" w14:textId="77777777" w:rsidR="006E27EE" w:rsidRDefault="006E27EE">
            <w:pPr>
              <w:spacing w:before="0" w:after="0"/>
            </w:pPr>
            <w:r>
              <w:t>Estia Health Aged Care</w:t>
            </w:r>
          </w:p>
        </w:tc>
        <w:tc>
          <w:tcPr>
            <w:tcW w:w="2813" w:type="dxa"/>
            <w:shd w:val="clear" w:color="auto" w:fill="BBE6DA" w:themeFill="background2" w:themeFillTint="66"/>
          </w:tcPr>
          <w:p w14:paraId="57BD28D1" w14:textId="77777777" w:rsidR="006E27EE" w:rsidRDefault="006E27EE">
            <w:pPr>
              <w:pStyle w:val="TableText"/>
            </w:pPr>
            <w:r>
              <w:t>Consulted</w:t>
            </w:r>
          </w:p>
        </w:tc>
      </w:tr>
      <w:tr w:rsidR="006E27EE" w14:paraId="283285E4" w14:textId="77777777" w:rsidTr="008F79B7">
        <w:tc>
          <w:tcPr>
            <w:tcW w:w="4390" w:type="dxa"/>
            <w:shd w:val="clear" w:color="auto" w:fill="auto"/>
          </w:tcPr>
          <w:p w14:paraId="05D9A49C" w14:textId="77777777" w:rsidR="006E27EE" w:rsidRDefault="006E27EE">
            <w:pPr>
              <w:spacing w:before="0" w:after="0"/>
            </w:pPr>
            <w:r>
              <w:t>Bolton Clarke</w:t>
            </w:r>
          </w:p>
        </w:tc>
        <w:tc>
          <w:tcPr>
            <w:tcW w:w="2813" w:type="dxa"/>
            <w:shd w:val="clear" w:color="auto" w:fill="BBE6DA" w:themeFill="background2" w:themeFillTint="66"/>
          </w:tcPr>
          <w:p w14:paraId="098CB929" w14:textId="77777777" w:rsidR="006E27EE" w:rsidRDefault="006E27EE">
            <w:pPr>
              <w:pStyle w:val="TableText"/>
            </w:pPr>
            <w:r>
              <w:t>Consulted</w:t>
            </w:r>
          </w:p>
        </w:tc>
      </w:tr>
      <w:tr w:rsidR="006E27EE" w14:paraId="2A52B705" w14:textId="77777777" w:rsidTr="008F79B7">
        <w:tc>
          <w:tcPr>
            <w:tcW w:w="4390" w:type="dxa"/>
            <w:shd w:val="clear" w:color="auto" w:fill="auto"/>
          </w:tcPr>
          <w:p w14:paraId="3547525F" w14:textId="77777777" w:rsidR="006E27EE" w:rsidRDefault="006E27EE">
            <w:pPr>
              <w:spacing w:before="0" w:after="0"/>
            </w:pPr>
            <w:r>
              <w:t>Bupa Aged Care</w:t>
            </w:r>
          </w:p>
        </w:tc>
        <w:tc>
          <w:tcPr>
            <w:tcW w:w="2813" w:type="dxa"/>
            <w:shd w:val="clear" w:color="auto" w:fill="D9D9D9" w:themeFill="background1" w:themeFillShade="D9"/>
          </w:tcPr>
          <w:p w14:paraId="0C2FD87D" w14:textId="77777777" w:rsidR="006E27EE" w:rsidRDefault="006E27EE">
            <w:pPr>
              <w:pStyle w:val="TableText"/>
            </w:pPr>
            <w:r>
              <w:t>Invited</w:t>
            </w:r>
          </w:p>
        </w:tc>
      </w:tr>
      <w:tr w:rsidR="006E27EE" w14:paraId="0E0840D2" w14:textId="77777777" w:rsidTr="008F79B7">
        <w:tc>
          <w:tcPr>
            <w:tcW w:w="4390" w:type="dxa"/>
            <w:shd w:val="clear" w:color="auto" w:fill="auto"/>
          </w:tcPr>
          <w:p w14:paraId="42440811" w14:textId="77777777" w:rsidR="006E27EE" w:rsidRDefault="006E27EE">
            <w:pPr>
              <w:spacing w:before="0" w:after="0"/>
            </w:pPr>
            <w:r>
              <w:t>Uniting</w:t>
            </w:r>
          </w:p>
        </w:tc>
        <w:tc>
          <w:tcPr>
            <w:tcW w:w="2813" w:type="dxa"/>
            <w:shd w:val="clear" w:color="auto" w:fill="BBE6DA" w:themeFill="background2" w:themeFillTint="66"/>
          </w:tcPr>
          <w:p w14:paraId="46F6586E" w14:textId="77777777" w:rsidR="006E27EE" w:rsidRDefault="006E27EE">
            <w:pPr>
              <w:pStyle w:val="TableText"/>
            </w:pPr>
            <w:r>
              <w:t>Consulted</w:t>
            </w:r>
          </w:p>
        </w:tc>
      </w:tr>
      <w:tr w:rsidR="006E27EE" w14:paraId="45A1FBD9" w14:textId="77777777" w:rsidTr="008F79B7">
        <w:tc>
          <w:tcPr>
            <w:tcW w:w="4390" w:type="dxa"/>
            <w:shd w:val="clear" w:color="auto" w:fill="auto"/>
          </w:tcPr>
          <w:p w14:paraId="6DAB6DDC" w14:textId="77777777" w:rsidR="006E27EE" w:rsidRDefault="006E27EE">
            <w:pPr>
              <w:spacing w:before="0" w:after="0"/>
            </w:pPr>
            <w:r>
              <w:t>Anglicare</w:t>
            </w:r>
          </w:p>
        </w:tc>
        <w:tc>
          <w:tcPr>
            <w:tcW w:w="2813" w:type="dxa"/>
            <w:shd w:val="clear" w:color="auto" w:fill="D9D9D9" w:themeFill="background1" w:themeFillShade="D9"/>
          </w:tcPr>
          <w:p w14:paraId="64A28C40" w14:textId="77777777" w:rsidR="006E27EE" w:rsidRDefault="006E27EE">
            <w:pPr>
              <w:pStyle w:val="TableText"/>
            </w:pPr>
            <w:r w:rsidRPr="00BD1D42">
              <w:t>Invited</w:t>
            </w:r>
          </w:p>
        </w:tc>
      </w:tr>
      <w:tr w:rsidR="006E27EE" w14:paraId="4BC4F025" w14:textId="77777777" w:rsidTr="008F79B7">
        <w:tc>
          <w:tcPr>
            <w:tcW w:w="4390" w:type="dxa"/>
            <w:shd w:val="clear" w:color="auto" w:fill="auto"/>
          </w:tcPr>
          <w:p w14:paraId="724787D3" w14:textId="77777777" w:rsidR="006E27EE" w:rsidRDefault="006E27EE">
            <w:pPr>
              <w:spacing w:before="0" w:after="0"/>
            </w:pPr>
            <w:r>
              <w:t>Illawarra Retirement Trust</w:t>
            </w:r>
          </w:p>
        </w:tc>
        <w:tc>
          <w:tcPr>
            <w:tcW w:w="2813" w:type="dxa"/>
            <w:shd w:val="clear" w:color="auto" w:fill="D9D9D9" w:themeFill="background1" w:themeFillShade="D9"/>
          </w:tcPr>
          <w:p w14:paraId="3D329B3E" w14:textId="77777777" w:rsidR="006E27EE" w:rsidRDefault="006E27EE">
            <w:pPr>
              <w:pStyle w:val="TableText"/>
            </w:pPr>
            <w:r w:rsidRPr="00BD1D42">
              <w:t>Invited</w:t>
            </w:r>
          </w:p>
        </w:tc>
      </w:tr>
      <w:tr w:rsidR="006E27EE" w14:paraId="51C03083" w14:textId="77777777" w:rsidTr="008F79B7">
        <w:tc>
          <w:tcPr>
            <w:tcW w:w="4390" w:type="dxa"/>
            <w:shd w:val="clear" w:color="auto" w:fill="auto"/>
          </w:tcPr>
          <w:p w14:paraId="5D3D8D56" w14:textId="77777777" w:rsidR="006E27EE" w:rsidRDefault="006E27EE">
            <w:pPr>
              <w:spacing w:before="0" w:after="0"/>
            </w:pPr>
            <w:r>
              <w:t>Goodwin</w:t>
            </w:r>
          </w:p>
        </w:tc>
        <w:tc>
          <w:tcPr>
            <w:tcW w:w="2813" w:type="dxa"/>
            <w:shd w:val="clear" w:color="auto" w:fill="D9D9D9" w:themeFill="background1" w:themeFillShade="D9"/>
          </w:tcPr>
          <w:p w14:paraId="1D640A8A" w14:textId="77777777" w:rsidR="006E27EE" w:rsidRDefault="006E27EE">
            <w:pPr>
              <w:pStyle w:val="TableText"/>
            </w:pPr>
            <w:r w:rsidRPr="00BD1D42">
              <w:t>Invited</w:t>
            </w:r>
          </w:p>
        </w:tc>
      </w:tr>
      <w:tr w:rsidR="006E27EE" w14:paraId="18910A77" w14:textId="77777777" w:rsidTr="008F79B7">
        <w:tc>
          <w:tcPr>
            <w:tcW w:w="4390" w:type="dxa"/>
            <w:shd w:val="clear" w:color="auto" w:fill="auto"/>
          </w:tcPr>
          <w:p w14:paraId="5511F95D" w14:textId="77777777" w:rsidR="006E27EE" w:rsidRDefault="006E27EE">
            <w:pPr>
              <w:spacing w:before="0" w:after="0"/>
            </w:pPr>
            <w:r>
              <w:t>Warrigal</w:t>
            </w:r>
          </w:p>
        </w:tc>
        <w:tc>
          <w:tcPr>
            <w:tcW w:w="2813" w:type="dxa"/>
            <w:shd w:val="clear" w:color="auto" w:fill="BBE6DA" w:themeFill="background2" w:themeFillTint="66"/>
          </w:tcPr>
          <w:p w14:paraId="2D985494" w14:textId="77777777" w:rsidR="006E27EE" w:rsidRDefault="006E27EE">
            <w:pPr>
              <w:pStyle w:val="TableText"/>
            </w:pPr>
            <w:r>
              <w:t>Consulted</w:t>
            </w:r>
          </w:p>
        </w:tc>
      </w:tr>
      <w:tr w:rsidR="006E27EE" w14:paraId="3A731321" w14:textId="77777777" w:rsidTr="008F79B7">
        <w:tc>
          <w:tcPr>
            <w:tcW w:w="4390" w:type="dxa"/>
            <w:shd w:val="clear" w:color="auto" w:fill="auto"/>
          </w:tcPr>
          <w:p w14:paraId="0F4B4024" w14:textId="77777777" w:rsidR="006E27EE" w:rsidRDefault="006E27EE">
            <w:pPr>
              <w:spacing w:before="0" w:after="0"/>
            </w:pPr>
            <w:r>
              <w:t>RSL Lifecare</w:t>
            </w:r>
          </w:p>
        </w:tc>
        <w:tc>
          <w:tcPr>
            <w:tcW w:w="2813" w:type="dxa"/>
            <w:shd w:val="clear" w:color="auto" w:fill="D9D9D9" w:themeFill="background1" w:themeFillShade="D9"/>
          </w:tcPr>
          <w:p w14:paraId="54E84E70" w14:textId="77777777" w:rsidR="006E27EE" w:rsidRDefault="006E27EE">
            <w:pPr>
              <w:pStyle w:val="TableText"/>
            </w:pPr>
            <w:r>
              <w:t>Invited</w:t>
            </w:r>
          </w:p>
        </w:tc>
      </w:tr>
      <w:tr w:rsidR="006E27EE" w14:paraId="06EA1969" w14:textId="77777777" w:rsidTr="008F79B7">
        <w:tc>
          <w:tcPr>
            <w:tcW w:w="4390" w:type="dxa"/>
            <w:shd w:val="clear" w:color="auto" w:fill="auto"/>
          </w:tcPr>
          <w:p w14:paraId="6BB19B26" w14:textId="77777777" w:rsidR="006E27EE" w:rsidRPr="00C00334" w:rsidRDefault="006E27EE">
            <w:pPr>
              <w:pStyle w:val="TableText"/>
            </w:pPr>
            <w:proofErr w:type="spellStart"/>
            <w:r>
              <w:t>Benetas</w:t>
            </w:r>
            <w:proofErr w:type="spellEnd"/>
          </w:p>
        </w:tc>
        <w:tc>
          <w:tcPr>
            <w:tcW w:w="2813" w:type="dxa"/>
            <w:shd w:val="clear" w:color="auto" w:fill="BBE6DA" w:themeFill="background2" w:themeFillTint="66"/>
          </w:tcPr>
          <w:p w14:paraId="1799E98F" w14:textId="77777777" w:rsidR="006E27EE" w:rsidRPr="00CC31A8" w:rsidRDefault="006E27EE">
            <w:pPr>
              <w:pStyle w:val="TableText"/>
            </w:pPr>
            <w:r>
              <w:t>Consulted</w:t>
            </w:r>
          </w:p>
        </w:tc>
      </w:tr>
      <w:tr w:rsidR="006E27EE" w14:paraId="4D2656E9" w14:textId="77777777" w:rsidTr="008F79B7">
        <w:tc>
          <w:tcPr>
            <w:tcW w:w="4390" w:type="dxa"/>
            <w:shd w:val="clear" w:color="auto" w:fill="auto"/>
          </w:tcPr>
          <w:p w14:paraId="5DDD94F4" w14:textId="77777777" w:rsidR="006E27EE" w:rsidRPr="00C00334" w:rsidRDefault="006E27EE">
            <w:pPr>
              <w:pStyle w:val="TableText"/>
            </w:pPr>
            <w:r>
              <w:t>Bethanie</w:t>
            </w:r>
          </w:p>
        </w:tc>
        <w:tc>
          <w:tcPr>
            <w:tcW w:w="2813" w:type="dxa"/>
            <w:shd w:val="clear" w:color="auto" w:fill="BBE6DA" w:themeFill="background2" w:themeFillTint="66"/>
          </w:tcPr>
          <w:p w14:paraId="18A83D3E" w14:textId="77777777" w:rsidR="006E27EE" w:rsidRPr="00CC31A8" w:rsidRDefault="006E27EE">
            <w:pPr>
              <w:pStyle w:val="TableText"/>
            </w:pPr>
            <w:r w:rsidRPr="006B1CE4">
              <w:t>Consulted</w:t>
            </w:r>
          </w:p>
        </w:tc>
      </w:tr>
      <w:tr w:rsidR="006E27EE" w14:paraId="1AE260B0" w14:textId="77777777" w:rsidTr="008F79B7">
        <w:tc>
          <w:tcPr>
            <w:tcW w:w="4390" w:type="dxa"/>
            <w:shd w:val="clear" w:color="auto" w:fill="auto"/>
          </w:tcPr>
          <w:p w14:paraId="52E0F3F2" w14:textId="77777777" w:rsidR="006E27EE" w:rsidRPr="00C00334" w:rsidRDefault="006E27EE">
            <w:pPr>
              <w:pStyle w:val="TableText"/>
            </w:pPr>
            <w:r>
              <w:t>Eldercare</w:t>
            </w:r>
          </w:p>
        </w:tc>
        <w:tc>
          <w:tcPr>
            <w:tcW w:w="2813" w:type="dxa"/>
            <w:shd w:val="clear" w:color="auto" w:fill="BBE6DA" w:themeFill="background2" w:themeFillTint="66"/>
          </w:tcPr>
          <w:p w14:paraId="1AFB79CF" w14:textId="77777777" w:rsidR="006E27EE" w:rsidRPr="00CC31A8" w:rsidRDefault="006E27EE">
            <w:pPr>
              <w:pStyle w:val="TableText"/>
            </w:pPr>
            <w:r w:rsidRPr="006B1CE4">
              <w:t>Consulted</w:t>
            </w:r>
          </w:p>
        </w:tc>
      </w:tr>
      <w:tr w:rsidR="006E27EE" w14:paraId="4E489A7F" w14:textId="77777777" w:rsidTr="008F79B7">
        <w:tc>
          <w:tcPr>
            <w:tcW w:w="4390" w:type="dxa"/>
            <w:shd w:val="clear" w:color="auto" w:fill="auto"/>
          </w:tcPr>
          <w:p w14:paraId="79A40458" w14:textId="77777777" w:rsidR="006E27EE" w:rsidRPr="00C00334" w:rsidRDefault="006E27EE">
            <w:pPr>
              <w:pStyle w:val="TableText"/>
            </w:pPr>
            <w:r>
              <w:t>Catholic Healthcare</w:t>
            </w:r>
          </w:p>
        </w:tc>
        <w:tc>
          <w:tcPr>
            <w:tcW w:w="2813" w:type="dxa"/>
            <w:shd w:val="clear" w:color="auto" w:fill="BBE6DA" w:themeFill="background2" w:themeFillTint="66"/>
          </w:tcPr>
          <w:p w14:paraId="24479DF4" w14:textId="77777777" w:rsidR="006E27EE" w:rsidRPr="00CC31A8" w:rsidRDefault="006E27EE">
            <w:pPr>
              <w:pStyle w:val="TableText"/>
            </w:pPr>
            <w:r w:rsidRPr="006B1CE4">
              <w:t>Consulted</w:t>
            </w:r>
          </w:p>
        </w:tc>
      </w:tr>
      <w:tr w:rsidR="006E27EE" w14:paraId="5F5783B9" w14:textId="77777777" w:rsidTr="008F79B7">
        <w:tc>
          <w:tcPr>
            <w:tcW w:w="4390" w:type="dxa"/>
            <w:shd w:val="clear" w:color="auto" w:fill="auto"/>
          </w:tcPr>
          <w:p w14:paraId="525BCFA1" w14:textId="77777777" w:rsidR="006E27EE" w:rsidRDefault="006E27EE">
            <w:pPr>
              <w:spacing w:before="0" w:after="0"/>
            </w:pPr>
            <w:r>
              <w:t>Juniper</w:t>
            </w:r>
          </w:p>
        </w:tc>
        <w:tc>
          <w:tcPr>
            <w:tcW w:w="2813" w:type="dxa"/>
            <w:shd w:val="clear" w:color="auto" w:fill="BBE6DA" w:themeFill="background2" w:themeFillTint="66"/>
          </w:tcPr>
          <w:p w14:paraId="273936FF" w14:textId="77777777" w:rsidR="006E27EE" w:rsidRPr="00CC31A8" w:rsidRDefault="006E27EE">
            <w:pPr>
              <w:pStyle w:val="TableText"/>
            </w:pPr>
            <w:r w:rsidRPr="006B1CE4">
              <w:t>Consulted</w:t>
            </w:r>
          </w:p>
        </w:tc>
      </w:tr>
      <w:tr w:rsidR="00B221BE" w:rsidRPr="00752140" w14:paraId="493452B3" w14:textId="77777777" w:rsidTr="008F79B7">
        <w:tc>
          <w:tcPr>
            <w:tcW w:w="4390" w:type="dxa"/>
            <w:shd w:val="clear" w:color="auto" w:fill="57C1A5" w:themeFill="background2"/>
          </w:tcPr>
          <w:p w14:paraId="4B9B419B" w14:textId="77777777" w:rsidR="00B221BE" w:rsidRPr="00752140" w:rsidRDefault="00B221BE">
            <w:pPr>
              <w:spacing w:before="0" w:after="0"/>
              <w:rPr>
                <w:rFonts w:asciiTheme="majorHAnsi" w:hAnsiTheme="majorHAnsi"/>
              </w:rPr>
            </w:pPr>
            <w:r w:rsidRPr="00752140">
              <w:rPr>
                <w:rFonts w:asciiTheme="majorHAnsi" w:hAnsiTheme="majorHAnsi"/>
              </w:rPr>
              <w:t>Representatives from related national initiatives</w:t>
            </w:r>
          </w:p>
        </w:tc>
        <w:tc>
          <w:tcPr>
            <w:tcW w:w="2813" w:type="dxa"/>
            <w:shd w:val="clear" w:color="auto" w:fill="57C1A5" w:themeFill="background2"/>
          </w:tcPr>
          <w:p w14:paraId="3B652866" w14:textId="2E5F11F0" w:rsidR="00B221BE" w:rsidRPr="00752140" w:rsidRDefault="00B221BE">
            <w:pPr>
              <w:spacing w:before="0" w:after="0"/>
              <w:rPr>
                <w:rFonts w:asciiTheme="majorHAnsi" w:hAnsiTheme="majorHAnsi"/>
              </w:rPr>
            </w:pPr>
            <w:r w:rsidRPr="00752140">
              <w:rPr>
                <w:rFonts w:asciiTheme="majorHAnsi" w:hAnsiTheme="majorHAnsi"/>
              </w:rPr>
              <w:t>Representatives from related national initiatives</w:t>
            </w:r>
          </w:p>
        </w:tc>
      </w:tr>
      <w:tr w:rsidR="006E27EE" w14:paraId="7F543FE3" w14:textId="77777777" w:rsidTr="008F79B7">
        <w:tc>
          <w:tcPr>
            <w:tcW w:w="4390" w:type="dxa"/>
            <w:shd w:val="clear" w:color="auto" w:fill="auto"/>
          </w:tcPr>
          <w:p w14:paraId="7755895F" w14:textId="77777777" w:rsidR="006E27EE" w:rsidRDefault="006E27EE">
            <w:pPr>
              <w:spacing w:before="0" w:after="0"/>
            </w:pPr>
            <w:r>
              <w:t>ELDAC</w:t>
            </w:r>
          </w:p>
        </w:tc>
        <w:tc>
          <w:tcPr>
            <w:tcW w:w="2813" w:type="dxa"/>
            <w:shd w:val="clear" w:color="auto" w:fill="BBE6DA" w:themeFill="background2" w:themeFillTint="66"/>
          </w:tcPr>
          <w:p w14:paraId="2783F461" w14:textId="77777777" w:rsidR="006E27EE" w:rsidRDefault="006E27EE">
            <w:pPr>
              <w:pStyle w:val="TableText"/>
            </w:pPr>
            <w:r w:rsidRPr="00CA01AB">
              <w:t>Consulted</w:t>
            </w:r>
          </w:p>
        </w:tc>
      </w:tr>
      <w:tr w:rsidR="006E27EE" w14:paraId="236DF46C" w14:textId="77777777" w:rsidTr="008F79B7">
        <w:tc>
          <w:tcPr>
            <w:tcW w:w="4390" w:type="dxa"/>
            <w:shd w:val="clear" w:color="auto" w:fill="auto"/>
          </w:tcPr>
          <w:p w14:paraId="5E23E1F9" w14:textId="77777777" w:rsidR="006E27EE" w:rsidRDefault="006E27EE">
            <w:pPr>
              <w:spacing w:before="0" w:after="0"/>
            </w:pPr>
            <w:r>
              <w:t>PCOC</w:t>
            </w:r>
          </w:p>
        </w:tc>
        <w:tc>
          <w:tcPr>
            <w:tcW w:w="2813" w:type="dxa"/>
            <w:shd w:val="clear" w:color="auto" w:fill="BBE6DA" w:themeFill="background2" w:themeFillTint="66"/>
          </w:tcPr>
          <w:p w14:paraId="21A0E6B3" w14:textId="77777777" w:rsidR="006E27EE" w:rsidRDefault="006E27EE">
            <w:pPr>
              <w:pStyle w:val="TableText"/>
            </w:pPr>
            <w:r w:rsidRPr="00CA01AB">
              <w:t>Consulted</w:t>
            </w:r>
          </w:p>
        </w:tc>
      </w:tr>
      <w:tr w:rsidR="006E27EE" w14:paraId="124D5D6F" w14:textId="77777777" w:rsidTr="008F79B7">
        <w:tc>
          <w:tcPr>
            <w:tcW w:w="4390" w:type="dxa"/>
            <w:shd w:val="clear" w:color="auto" w:fill="auto"/>
          </w:tcPr>
          <w:p w14:paraId="4C469E76" w14:textId="77777777" w:rsidR="006E27EE" w:rsidRDefault="006E27EE">
            <w:pPr>
              <w:spacing w:before="0" w:after="0"/>
            </w:pPr>
            <w:proofErr w:type="spellStart"/>
            <w:r>
              <w:t>CareSearch</w:t>
            </w:r>
            <w:proofErr w:type="spellEnd"/>
            <w:r>
              <w:t>/</w:t>
            </w:r>
            <w:proofErr w:type="spellStart"/>
            <w:r>
              <w:t>palliAged</w:t>
            </w:r>
            <w:proofErr w:type="spellEnd"/>
          </w:p>
        </w:tc>
        <w:tc>
          <w:tcPr>
            <w:tcW w:w="2813" w:type="dxa"/>
            <w:shd w:val="clear" w:color="auto" w:fill="BBE6DA" w:themeFill="background2" w:themeFillTint="66"/>
          </w:tcPr>
          <w:p w14:paraId="4C39FCCB" w14:textId="77777777" w:rsidR="006E27EE" w:rsidRDefault="006E27EE">
            <w:pPr>
              <w:pStyle w:val="TableText"/>
            </w:pPr>
            <w:r w:rsidRPr="00CA01AB">
              <w:t>Consulted</w:t>
            </w:r>
          </w:p>
        </w:tc>
      </w:tr>
      <w:tr w:rsidR="006E27EE" w:rsidRPr="00752140" w14:paraId="52B484F5" w14:textId="77777777" w:rsidTr="008F79B7">
        <w:tc>
          <w:tcPr>
            <w:tcW w:w="4390" w:type="dxa"/>
            <w:shd w:val="clear" w:color="auto" w:fill="57C1A5" w:themeFill="background2"/>
          </w:tcPr>
          <w:p w14:paraId="3D063342" w14:textId="77777777" w:rsidR="006E27EE" w:rsidRPr="00752140" w:rsidRDefault="006E27EE">
            <w:pPr>
              <w:spacing w:before="0" w:after="0"/>
              <w:rPr>
                <w:rFonts w:asciiTheme="majorHAnsi" w:hAnsiTheme="majorHAnsi"/>
              </w:rPr>
            </w:pPr>
            <w:r w:rsidRPr="00752140">
              <w:rPr>
                <w:rFonts w:asciiTheme="majorHAnsi" w:hAnsiTheme="majorHAnsi"/>
              </w:rPr>
              <w:t>Health professionals</w:t>
            </w:r>
          </w:p>
        </w:tc>
        <w:tc>
          <w:tcPr>
            <w:tcW w:w="2813" w:type="dxa"/>
            <w:shd w:val="clear" w:color="auto" w:fill="57C1A5" w:themeFill="background2"/>
          </w:tcPr>
          <w:p w14:paraId="31E92CD7" w14:textId="2BCD265B" w:rsidR="006E27EE" w:rsidRPr="00752140" w:rsidRDefault="00B221BE">
            <w:pPr>
              <w:pStyle w:val="TableText"/>
              <w:rPr>
                <w:rFonts w:asciiTheme="majorHAnsi" w:hAnsiTheme="majorHAnsi"/>
              </w:rPr>
            </w:pPr>
            <w:r w:rsidRPr="00752140">
              <w:rPr>
                <w:rFonts w:asciiTheme="majorHAnsi" w:hAnsiTheme="majorHAnsi"/>
              </w:rPr>
              <w:t>Health professionals</w:t>
            </w:r>
          </w:p>
        </w:tc>
      </w:tr>
      <w:tr w:rsidR="006E27EE" w14:paraId="3FD79041" w14:textId="77777777" w:rsidTr="008F79B7">
        <w:tc>
          <w:tcPr>
            <w:tcW w:w="4390" w:type="dxa"/>
            <w:shd w:val="clear" w:color="auto" w:fill="auto"/>
          </w:tcPr>
          <w:p w14:paraId="725D9ACB" w14:textId="77777777" w:rsidR="006E27EE" w:rsidRDefault="006E27EE">
            <w:pPr>
              <w:spacing w:before="0" w:after="0"/>
            </w:pPr>
            <w:r>
              <w:t>15 health professionals, including:</w:t>
            </w:r>
          </w:p>
          <w:p w14:paraId="0C085E40" w14:textId="77777777" w:rsidR="006E27EE" w:rsidRDefault="006E27EE">
            <w:pPr>
              <w:pStyle w:val="TableBullets1"/>
            </w:pPr>
            <w:r>
              <w:t>Geriatrician (n=2)</w:t>
            </w:r>
          </w:p>
          <w:p w14:paraId="38148482" w14:textId="77777777" w:rsidR="006E27EE" w:rsidRDefault="006E27EE">
            <w:pPr>
              <w:pStyle w:val="TableBullets1"/>
            </w:pPr>
            <w:r>
              <w:t>GP (aged care special interest; n=2)</w:t>
            </w:r>
          </w:p>
          <w:p w14:paraId="062C3F1B" w14:textId="77777777" w:rsidR="006E27EE" w:rsidRDefault="006E27EE">
            <w:pPr>
              <w:pStyle w:val="TableBullets1"/>
            </w:pPr>
            <w:r>
              <w:t>Palliative care nurse practitioner (n=2)</w:t>
            </w:r>
          </w:p>
          <w:p w14:paraId="6A7D940C" w14:textId="77777777" w:rsidR="006E27EE" w:rsidRDefault="006E27EE">
            <w:pPr>
              <w:pStyle w:val="TableBullets1"/>
            </w:pPr>
            <w:r>
              <w:t>Registered nurse</w:t>
            </w:r>
          </w:p>
          <w:p w14:paraId="6EA574C3" w14:textId="77777777" w:rsidR="006E27EE" w:rsidRDefault="006E27EE">
            <w:pPr>
              <w:pStyle w:val="TableBullets1"/>
            </w:pPr>
            <w:r>
              <w:t>Personal care worker (n=2)</w:t>
            </w:r>
          </w:p>
          <w:p w14:paraId="5C7D45F6" w14:textId="77777777" w:rsidR="006E27EE" w:rsidRDefault="006E27EE">
            <w:pPr>
              <w:pStyle w:val="TableBullets1"/>
            </w:pPr>
            <w:r>
              <w:t>Representatives of a regional specialist palliative care service, including allied health professionals (n=6)</w:t>
            </w:r>
          </w:p>
        </w:tc>
        <w:tc>
          <w:tcPr>
            <w:tcW w:w="2813" w:type="dxa"/>
            <w:shd w:val="clear" w:color="auto" w:fill="BBE6DA" w:themeFill="background2" w:themeFillTint="66"/>
          </w:tcPr>
          <w:p w14:paraId="4CF1E893" w14:textId="77777777" w:rsidR="006E27EE" w:rsidRDefault="006E27EE">
            <w:pPr>
              <w:pStyle w:val="TableText"/>
            </w:pPr>
            <w:r w:rsidRPr="00B47779">
              <w:t>Consulted</w:t>
            </w:r>
          </w:p>
        </w:tc>
      </w:tr>
    </w:tbl>
    <w:p w14:paraId="2DB28F8D" w14:textId="33EFAC2A" w:rsidR="000300A5" w:rsidRDefault="000300A5" w:rsidP="000300A5">
      <w:pPr>
        <w:pStyle w:val="Caption"/>
      </w:pPr>
      <w:bookmarkStart w:id="147" w:name="_Ref216162715"/>
      <w:r>
        <w:t xml:space="preserve">Table </w:t>
      </w:r>
      <w:fldSimple w:instr=" STYLEREF 1 \s ">
        <w:r w:rsidR="0091457A">
          <w:rPr>
            <w:noProof/>
          </w:rPr>
          <w:t>9</w:t>
        </w:r>
      </w:fldSimple>
      <w:r w:rsidR="0091457A">
        <w:t>.</w:t>
      </w:r>
      <w:fldSimple w:instr=" SEQ Table \* ARABIC \s 1 ">
        <w:r w:rsidR="0091457A">
          <w:rPr>
            <w:noProof/>
          </w:rPr>
          <w:t>3</w:t>
        </w:r>
      </w:fldSimple>
      <w:bookmarkEnd w:id="147"/>
      <w:r>
        <w:t>: Characteristics of case study participants</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case study participant characteristics"/>
        <w:tblDescription w:val="Table describes 12 case study participants, including four PEPA Aged Care participants, four PACOP participants and four non-participating organisations."/>
      </w:tblPr>
      <w:tblGrid>
        <w:gridCol w:w="405"/>
        <w:gridCol w:w="1577"/>
        <w:gridCol w:w="1432"/>
        <w:gridCol w:w="1679"/>
        <w:gridCol w:w="2110"/>
      </w:tblGrid>
      <w:tr w:rsidR="000300A5" w14:paraId="3867432B" w14:textId="77777777" w:rsidTr="00954BD4">
        <w:trPr>
          <w:cnfStyle w:val="100000000000" w:firstRow="1" w:lastRow="0" w:firstColumn="0" w:lastColumn="0" w:oddVBand="0" w:evenVBand="0" w:oddHBand="0" w:evenHBand="0" w:firstRowFirstColumn="0" w:firstRowLastColumn="0" w:lastRowFirstColumn="0" w:lastRowLastColumn="0"/>
          <w:tblHeader/>
        </w:trPr>
        <w:tc>
          <w:tcPr>
            <w:tcW w:w="0" w:type="auto"/>
          </w:tcPr>
          <w:p w14:paraId="3639DEA1" w14:textId="77777777" w:rsidR="000300A5" w:rsidRDefault="000300A5" w:rsidP="000300A5">
            <w:pPr>
              <w:spacing w:before="0" w:after="0"/>
            </w:pPr>
            <w:r>
              <w:t>#</w:t>
            </w:r>
          </w:p>
        </w:tc>
        <w:tc>
          <w:tcPr>
            <w:tcW w:w="0" w:type="auto"/>
          </w:tcPr>
          <w:p w14:paraId="651E8820" w14:textId="77777777" w:rsidR="000300A5" w:rsidRDefault="000300A5" w:rsidP="000300A5">
            <w:pPr>
              <w:spacing w:before="0" w:after="0"/>
            </w:pPr>
            <w:r>
              <w:t>Cohort</w:t>
            </w:r>
          </w:p>
        </w:tc>
        <w:tc>
          <w:tcPr>
            <w:tcW w:w="1432" w:type="dxa"/>
          </w:tcPr>
          <w:p w14:paraId="5F5911F5" w14:textId="77777777" w:rsidR="000300A5" w:rsidRPr="007846EF" w:rsidRDefault="000300A5" w:rsidP="000300A5">
            <w:pPr>
              <w:spacing w:before="0" w:after="0"/>
            </w:pPr>
            <w:r>
              <w:t>Jurisdiction</w:t>
            </w:r>
          </w:p>
        </w:tc>
        <w:tc>
          <w:tcPr>
            <w:tcW w:w="1679" w:type="dxa"/>
          </w:tcPr>
          <w:p w14:paraId="7712D824" w14:textId="77777777" w:rsidR="000300A5" w:rsidRPr="007846EF" w:rsidRDefault="000300A5" w:rsidP="000300A5">
            <w:pPr>
              <w:spacing w:before="0" w:after="0"/>
            </w:pPr>
            <w:r>
              <w:t>Remoteness</w:t>
            </w:r>
          </w:p>
        </w:tc>
        <w:tc>
          <w:tcPr>
            <w:tcW w:w="2110" w:type="dxa"/>
          </w:tcPr>
          <w:p w14:paraId="28FACBC0" w14:textId="77777777" w:rsidR="000300A5" w:rsidRDefault="000300A5" w:rsidP="000300A5">
            <w:pPr>
              <w:spacing w:before="0" w:after="0"/>
            </w:pPr>
            <w:r>
              <w:t>Care type</w:t>
            </w:r>
          </w:p>
        </w:tc>
      </w:tr>
      <w:tr w:rsidR="000300A5" w14:paraId="2EDA8CAA"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6C8887DC" w14:textId="77777777" w:rsidR="000300A5" w:rsidRDefault="000300A5" w:rsidP="000300A5">
            <w:pPr>
              <w:pStyle w:val="TableText"/>
            </w:pPr>
            <w:r>
              <w:t>1</w:t>
            </w:r>
          </w:p>
        </w:tc>
        <w:tc>
          <w:tcPr>
            <w:tcW w:w="0" w:type="auto"/>
          </w:tcPr>
          <w:p w14:paraId="4CD0E873" w14:textId="77777777" w:rsidR="000300A5" w:rsidRPr="00B3176D" w:rsidRDefault="000300A5" w:rsidP="000300A5">
            <w:pPr>
              <w:pStyle w:val="TableText"/>
            </w:pPr>
            <w:r>
              <w:t xml:space="preserve">PEPA Aged Care participant </w:t>
            </w:r>
          </w:p>
        </w:tc>
        <w:tc>
          <w:tcPr>
            <w:tcW w:w="1432" w:type="dxa"/>
          </w:tcPr>
          <w:p w14:paraId="0572626A" w14:textId="77777777" w:rsidR="000300A5" w:rsidRDefault="000300A5" w:rsidP="000300A5">
            <w:pPr>
              <w:spacing w:before="0" w:after="0"/>
            </w:pPr>
            <w:r>
              <w:t>NT</w:t>
            </w:r>
          </w:p>
        </w:tc>
        <w:tc>
          <w:tcPr>
            <w:tcW w:w="1679" w:type="dxa"/>
          </w:tcPr>
          <w:p w14:paraId="10363FCC" w14:textId="77777777" w:rsidR="000300A5" w:rsidRDefault="000300A5" w:rsidP="000300A5">
            <w:pPr>
              <w:spacing w:before="0" w:after="0"/>
            </w:pPr>
            <w:r>
              <w:t>MM6</w:t>
            </w:r>
          </w:p>
        </w:tc>
        <w:tc>
          <w:tcPr>
            <w:tcW w:w="2110" w:type="dxa"/>
          </w:tcPr>
          <w:p w14:paraId="0C3A2CEF" w14:textId="77777777" w:rsidR="000300A5" w:rsidRDefault="000300A5" w:rsidP="000300A5">
            <w:pPr>
              <w:spacing w:before="0" w:after="0"/>
            </w:pPr>
            <w:r>
              <w:t>Residential aged care, respite, disability, transition care</w:t>
            </w:r>
          </w:p>
        </w:tc>
      </w:tr>
      <w:tr w:rsidR="000300A5" w14:paraId="1FC8F954"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1153264F" w14:textId="77777777" w:rsidR="000300A5" w:rsidRPr="00761309" w:rsidRDefault="000300A5" w:rsidP="000300A5">
            <w:pPr>
              <w:pStyle w:val="TableText"/>
            </w:pPr>
            <w:r>
              <w:t>2</w:t>
            </w:r>
          </w:p>
        </w:tc>
        <w:tc>
          <w:tcPr>
            <w:tcW w:w="0" w:type="auto"/>
          </w:tcPr>
          <w:p w14:paraId="3DF1624A" w14:textId="77777777" w:rsidR="000300A5" w:rsidRDefault="000300A5" w:rsidP="000300A5">
            <w:pPr>
              <w:pStyle w:val="TableText"/>
            </w:pPr>
            <w:r w:rsidRPr="00761309">
              <w:t>PEPA Aged Care</w:t>
            </w:r>
            <w:r>
              <w:t xml:space="preserve"> participant </w:t>
            </w:r>
          </w:p>
        </w:tc>
        <w:tc>
          <w:tcPr>
            <w:tcW w:w="1432" w:type="dxa"/>
          </w:tcPr>
          <w:p w14:paraId="7054968F" w14:textId="77777777" w:rsidR="000300A5" w:rsidRDefault="000300A5" w:rsidP="000300A5">
            <w:pPr>
              <w:spacing w:before="0" w:after="0"/>
            </w:pPr>
            <w:r>
              <w:t>New South Wales</w:t>
            </w:r>
          </w:p>
        </w:tc>
        <w:tc>
          <w:tcPr>
            <w:tcW w:w="1679" w:type="dxa"/>
          </w:tcPr>
          <w:p w14:paraId="7820D871" w14:textId="77777777" w:rsidR="000300A5" w:rsidRDefault="000300A5" w:rsidP="000300A5">
            <w:pPr>
              <w:spacing w:before="0" w:after="0"/>
            </w:pPr>
            <w:r>
              <w:t>MM5</w:t>
            </w:r>
          </w:p>
        </w:tc>
        <w:tc>
          <w:tcPr>
            <w:tcW w:w="2110" w:type="dxa"/>
          </w:tcPr>
          <w:p w14:paraId="1F1C67DB" w14:textId="77777777" w:rsidR="000300A5" w:rsidRDefault="000300A5" w:rsidP="000300A5">
            <w:pPr>
              <w:spacing w:before="0" w:after="0"/>
            </w:pPr>
            <w:r>
              <w:t>Residential aged care</w:t>
            </w:r>
          </w:p>
        </w:tc>
      </w:tr>
      <w:tr w:rsidR="000300A5" w14:paraId="0B802C8F"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7C11CAE7" w14:textId="77777777" w:rsidR="000300A5" w:rsidRPr="00761309" w:rsidRDefault="000300A5" w:rsidP="000300A5">
            <w:pPr>
              <w:pStyle w:val="TableText"/>
            </w:pPr>
            <w:r>
              <w:t>3</w:t>
            </w:r>
          </w:p>
        </w:tc>
        <w:tc>
          <w:tcPr>
            <w:tcW w:w="0" w:type="auto"/>
          </w:tcPr>
          <w:p w14:paraId="51A1F362" w14:textId="77777777" w:rsidR="000300A5" w:rsidRDefault="000300A5" w:rsidP="000300A5">
            <w:pPr>
              <w:pStyle w:val="TableText"/>
            </w:pPr>
            <w:r w:rsidRPr="00761309">
              <w:t>PEPA Aged Care</w:t>
            </w:r>
            <w:r>
              <w:t xml:space="preserve"> participant </w:t>
            </w:r>
          </w:p>
        </w:tc>
        <w:tc>
          <w:tcPr>
            <w:tcW w:w="1432" w:type="dxa"/>
          </w:tcPr>
          <w:p w14:paraId="4D02CCFE" w14:textId="77777777" w:rsidR="000300A5" w:rsidRDefault="000300A5" w:rsidP="000300A5">
            <w:pPr>
              <w:spacing w:before="0" w:after="0"/>
            </w:pPr>
            <w:r>
              <w:t>Australian Capital Territory</w:t>
            </w:r>
          </w:p>
        </w:tc>
        <w:tc>
          <w:tcPr>
            <w:tcW w:w="1679" w:type="dxa"/>
          </w:tcPr>
          <w:p w14:paraId="7F7F16AB" w14:textId="77777777" w:rsidR="000300A5" w:rsidRDefault="000300A5" w:rsidP="000300A5">
            <w:pPr>
              <w:spacing w:before="0" w:after="0"/>
            </w:pPr>
            <w:r>
              <w:t>MM1</w:t>
            </w:r>
          </w:p>
        </w:tc>
        <w:tc>
          <w:tcPr>
            <w:tcW w:w="2110" w:type="dxa"/>
          </w:tcPr>
          <w:p w14:paraId="49959BA0" w14:textId="77777777" w:rsidR="000300A5" w:rsidRDefault="000300A5" w:rsidP="000300A5">
            <w:pPr>
              <w:spacing w:before="0" w:after="0"/>
            </w:pPr>
            <w:r>
              <w:t>Home care, transition care</w:t>
            </w:r>
          </w:p>
        </w:tc>
      </w:tr>
      <w:tr w:rsidR="000300A5" w14:paraId="70723622"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4F3A1ED9" w14:textId="77777777" w:rsidR="000300A5" w:rsidRPr="00761309" w:rsidRDefault="000300A5" w:rsidP="000300A5">
            <w:pPr>
              <w:spacing w:before="0" w:after="0"/>
            </w:pPr>
            <w:r>
              <w:lastRenderedPageBreak/>
              <w:t>4</w:t>
            </w:r>
          </w:p>
        </w:tc>
        <w:tc>
          <w:tcPr>
            <w:tcW w:w="0" w:type="auto"/>
          </w:tcPr>
          <w:p w14:paraId="03BE4DD1" w14:textId="77777777" w:rsidR="000300A5" w:rsidRDefault="000300A5" w:rsidP="000300A5">
            <w:pPr>
              <w:spacing w:before="0" w:after="0"/>
            </w:pPr>
            <w:r w:rsidRPr="00761309">
              <w:t>PEPA Aged Care</w:t>
            </w:r>
            <w:r>
              <w:t xml:space="preserve"> participant </w:t>
            </w:r>
          </w:p>
        </w:tc>
        <w:tc>
          <w:tcPr>
            <w:tcW w:w="1432" w:type="dxa"/>
          </w:tcPr>
          <w:p w14:paraId="36BBFC61" w14:textId="77777777" w:rsidR="000300A5" w:rsidRDefault="000300A5" w:rsidP="000300A5">
            <w:pPr>
              <w:spacing w:before="0" w:after="0"/>
            </w:pPr>
            <w:r>
              <w:t>South Australia</w:t>
            </w:r>
          </w:p>
        </w:tc>
        <w:tc>
          <w:tcPr>
            <w:tcW w:w="1679" w:type="dxa"/>
          </w:tcPr>
          <w:p w14:paraId="64CDEA94" w14:textId="77777777" w:rsidR="000300A5" w:rsidRDefault="000300A5" w:rsidP="000300A5">
            <w:pPr>
              <w:spacing w:before="0" w:after="0"/>
            </w:pPr>
            <w:r>
              <w:t>MM4</w:t>
            </w:r>
          </w:p>
        </w:tc>
        <w:tc>
          <w:tcPr>
            <w:tcW w:w="2110" w:type="dxa"/>
          </w:tcPr>
          <w:p w14:paraId="4AAD2BB2" w14:textId="77777777" w:rsidR="000300A5" w:rsidRDefault="000300A5" w:rsidP="000300A5">
            <w:pPr>
              <w:spacing w:before="0" w:after="0"/>
            </w:pPr>
            <w:r>
              <w:t>Residential aged care</w:t>
            </w:r>
          </w:p>
        </w:tc>
      </w:tr>
      <w:tr w:rsidR="000300A5" w14:paraId="69752421"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6893BAD3" w14:textId="77777777" w:rsidR="000300A5" w:rsidRDefault="000300A5" w:rsidP="000300A5">
            <w:pPr>
              <w:spacing w:before="0" w:after="0"/>
            </w:pPr>
            <w:r>
              <w:t>5</w:t>
            </w:r>
          </w:p>
        </w:tc>
        <w:tc>
          <w:tcPr>
            <w:tcW w:w="0" w:type="auto"/>
          </w:tcPr>
          <w:p w14:paraId="06730FE4" w14:textId="77777777" w:rsidR="000300A5" w:rsidRDefault="000300A5" w:rsidP="000300A5">
            <w:pPr>
              <w:spacing w:before="0" w:after="0"/>
            </w:pPr>
            <w:r>
              <w:t xml:space="preserve">PACOP participant </w:t>
            </w:r>
          </w:p>
        </w:tc>
        <w:tc>
          <w:tcPr>
            <w:tcW w:w="1432" w:type="dxa"/>
          </w:tcPr>
          <w:p w14:paraId="07354C23" w14:textId="77777777" w:rsidR="000300A5" w:rsidRDefault="000300A5" w:rsidP="000300A5">
            <w:pPr>
              <w:spacing w:before="0" w:after="0"/>
            </w:pPr>
            <w:r>
              <w:t>Various</w:t>
            </w:r>
          </w:p>
        </w:tc>
        <w:tc>
          <w:tcPr>
            <w:tcW w:w="1679" w:type="dxa"/>
          </w:tcPr>
          <w:p w14:paraId="22B697EF" w14:textId="77777777" w:rsidR="000300A5" w:rsidRDefault="000300A5" w:rsidP="000300A5">
            <w:pPr>
              <w:spacing w:before="0" w:after="0"/>
            </w:pPr>
            <w:r>
              <w:t>Various, including metropolitan and regional/rural</w:t>
            </w:r>
          </w:p>
        </w:tc>
        <w:tc>
          <w:tcPr>
            <w:tcW w:w="2110" w:type="dxa"/>
          </w:tcPr>
          <w:p w14:paraId="51EF6EA9" w14:textId="77777777" w:rsidR="000300A5" w:rsidRDefault="000300A5" w:rsidP="000300A5">
            <w:pPr>
              <w:spacing w:before="0" w:after="0"/>
            </w:pPr>
            <w:r>
              <w:t>Residential aged care</w:t>
            </w:r>
          </w:p>
        </w:tc>
      </w:tr>
      <w:tr w:rsidR="000300A5" w14:paraId="080C1AD5"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4DF804EB" w14:textId="77777777" w:rsidR="000300A5" w:rsidRPr="008703A2" w:rsidRDefault="000300A5" w:rsidP="000300A5">
            <w:pPr>
              <w:spacing w:before="0" w:after="0"/>
            </w:pPr>
            <w:r>
              <w:t>6</w:t>
            </w:r>
          </w:p>
        </w:tc>
        <w:tc>
          <w:tcPr>
            <w:tcW w:w="0" w:type="auto"/>
          </w:tcPr>
          <w:p w14:paraId="3EE179AC" w14:textId="77777777" w:rsidR="000300A5" w:rsidRDefault="000300A5" w:rsidP="000300A5">
            <w:pPr>
              <w:spacing w:before="0" w:after="0"/>
            </w:pPr>
            <w:r w:rsidRPr="008703A2">
              <w:t xml:space="preserve">PACOP </w:t>
            </w:r>
            <w:r>
              <w:t xml:space="preserve">participant </w:t>
            </w:r>
          </w:p>
        </w:tc>
        <w:tc>
          <w:tcPr>
            <w:tcW w:w="1432" w:type="dxa"/>
          </w:tcPr>
          <w:p w14:paraId="6B058E34" w14:textId="77777777" w:rsidR="000300A5" w:rsidRDefault="000300A5" w:rsidP="000300A5">
            <w:pPr>
              <w:pStyle w:val="TableText"/>
            </w:pPr>
            <w:r>
              <w:t>Queensland</w:t>
            </w:r>
          </w:p>
        </w:tc>
        <w:tc>
          <w:tcPr>
            <w:tcW w:w="1679" w:type="dxa"/>
          </w:tcPr>
          <w:p w14:paraId="4F2D4F1C" w14:textId="77777777" w:rsidR="000300A5" w:rsidRDefault="000300A5" w:rsidP="000300A5">
            <w:pPr>
              <w:pStyle w:val="TableText"/>
            </w:pPr>
            <w:r>
              <w:t>MM4</w:t>
            </w:r>
          </w:p>
        </w:tc>
        <w:tc>
          <w:tcPr>
            <w:tcW w:w="2110" w:type="dxa"/>
          </w:tcPr>
          <w:p w14:paraId="1840C682" w14:textId="77777777" w:rsidR="000300A5" w:rsidRDefault="000300A5" w:rsidP="000300A5">
            <w:pPr>
              <w:pStyle w:val="TableText"/>
            </w:pPr>
            <w:r>
              <w:t>Residential aged care</w:t>
            </w:r>
          </w:p>
        </w:tc>
      </w:tr>
      <w:tr w:rsidR="000300A5" w14:paraId="20D151F7"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536E1A4B" w14:textId="77777777" w:rsidR="000300A5" w:rsidRPr="008703A2" w:rsidRDefault="000300A5" w:rsidP="000300A5">
            <w:pPr>
              <w:spacing w:before="0" w:after="0"/>
            </w:pPr>
            <w:r>
              <w:t>7</w:t>
            </w:r>
          </w:p>
        </w:tc>
        <w:tc>
          <w:tcPr>
            <w:tcW w:w="0" w:type="auto"/>
          </w:tcPr>
          <w:p w14:paraId="41F3A2F0" w14:textId="77777777" w:rsidR="000300A5" w:rsidRDefault="000300A5" w:rsidP="000300A5">
            <w:pPr>
              <w:spacing w:before="0" w:after="0"/>
            </w:pPr>
            <w:r w:rsidRPr="008703A2">
              <w:t xml:space="preserve">PACOP </w:t>
            </w:r>
            <w:r>
              <w:t xml:space="preserve">participant </w:t>
            </w:r>
          </w:p>
        </w:tc>
        <w:tc>
          <w:tcPr>
            <w:tcW w:w="1432" w:type="dxa"/>
          </w:tcPr>
          <w:p w14:paraId="3ABE960C" w14:textId="77777777" w:rsidR="000300A5" w:rsidRDefault="000300A5" w:rsidP="000300A5">
            <w:pPr>
              <w:pStyle w:val="TableText"/>
            </w:pPr>
            <w:r>
              <w:t>Various</w:t>
            </w:r>
          </w:p>
        </w:tc>
        <w:tc>
          <w:tcPr>
            <w:tcW w:w="1679" w:type="dxa"/>
          </w:tcPr>
          <w:p w14:paraId="3C8F216D" w14:textId="77777777" w:rsidR="000300A5" w:rsidRDefault="000300A5" w:rsidP="000300A5">
            <w:pPr>
              <w:pStyle w:val="TableText"/>
            </w:pPr>
            <w:r>
              <w:t>Various, including metropolitan and regional/rural</w:t>
            </w:r>
          </w:p>
        </w:tc>
        <w:tc>
          <w:tcPr>
            <w:tcW w:w="2110" w:type="dxa"/>
          </w:tcPr>
          <w:p w14:paraId="5A022EFC" w14:textId="77777777" w:rsidR="000300A5" w:rsidRDefault="000300A5" w:rsidP="000300A5">
            <w:pPr>
              <w:pStyle w:val="TableText"/>
            </w:pPr>
            <w:r>
              <w:t>Residential aged care</w:t>
            </w:r>
          </w:p>
        </w:tc>
      </w:tr>
      <w:tr w:rsidR="000300A5" w14:paraId="07E959FC"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19423119" w14:textId="77777777" w:rsidR="000300A5" w:rsidRPr="008703A2" w:rsidRDefault="000300A5" w:rsidP="000300A5">
            <w:pPr>
              <w:spacing w:before="0" w:after="0"/>
            </w:pPr>
            <w:r>
              <w:t>8</w:t>
            </w:r>
          </w:p>
        </w:tc>
        <w:tc>
          <w:tcPr>
            <w:tcW w:w="0" w:type="auto"/>
          </w:tcPr>
          <w:p w14:paraId="1B6240AF" w14:textId="77777777" w:rsidR="000300A5" w:rsidRDefault="000300A5" w:rsidP="000300A5">
            <w:pPr>
              <w:spacing w:before="0" w:after="0"/>
            </w:pPr>
            <w:r w:rsidRPr="008703A2">
              <w:t xml:space="preserve">PACOP </w:t>
            </w:r>
            <w:r>
              <w:t xml:space="preserve">participant </w:t>
            </w:r>
          </w:p>
        </w:tc>
        <w:tc>
          <w:tcPr>
            <w:tcW w:w="1432" w:type="dxa"/>
          </w:tcPr>
          <w:p w14:paraId="235840AF" w14:textId="77777777" w:rsidR="000300A5" w:rsidRDefault="000300A5" w:rsidP="000300A5">
            <w:pPr>
              <w:pStyle w:val="TableText"/>
            </w:pPr>
            <w:r>
              <w:t>New South Wales</w:t>
            </w:r>
          </w:p>
        </w:tc>
        <w:tc>
          <w:tcPr>
            <w:tcW w:w="1679" w:type="dxa"/>
          </w:tcPr>
          <w:p w14:paraId="0BB63B84" w14:textId="77777777" w:rsidR="000300A5" w:rsidRDefault="000300A5" w:rsidP="000300A5">
            <w:pPr>
              <w:pStyle w:val="TableText"/>
            </w:pPr>
            <w:r>
              <w:t>MM5</w:t>
            </w:r>
          </w:p>
        </w:tc>
        <w:tc>
          <w:tcPr>
            <w:tcW w:w="2110" w:type="dxa"/>
          </w:tcPr>
          <w:p w14:paraId="6915E46F" w14:textId="77777777" w:rsidR="000300A5" w:rsidRDefault="000300A5" w:rsidP="000300A5">
            <w:pPr>
              <w:pStyle w:val="TableText"/>
            </w:pPr>
            <w:r>
              <w:t>Residential aged care</w:t>
            </w:r>
          </w:p>
        </w:tc>
      </w:tr>
      <w:tr w:rsidR="000300A5" w14:paraId="1C341053"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1E2DBBFE" w14:textId="77777777" w:rsidR="000300A5" w:rsidRDefault="000300A5" w:rsidP="000300A5">
            <w:pPr>
              <w:spacing w:before="0" w:after="0"/>
            </w:pPr>
            <w:r>
              <w:t>9</w:t>
            </w:r>
          </w:p>
        </w:tc>
        <w:tc>
          <w:tcPr>
            <w:tcW w:w="0" w:type="auto"/>
          </w:tcPr>
          <w:p w14:paraId="5B91AF87" w14:textId="77777777" w:rsidR="000300A5" w:rsidRDefault="000300A5" w:rsidP="000300A5">
            <w:pPr>
              <w:spacing w:before="0" w:after="0"/>
            </w:pPr>
            <w:r>
              <w:t>Non-participating organisation</w:t>
            </w:r>
          </w:p>
        </w:tc>
        <w:tc>
          <w:tcPr>
            <w:tcW w:w="1432" w:type="dxa"/>
          </w:tcPr>
          <w:p w14:paraId="7F07A6FB" w14:textId="77777777" w:rsidR="000300A5" w:rsidRDefault="000300A5" w:rsidP="000300A5">
            <w:pPr>
              <w:pStyle w:val="TableText"/>
            </w:pPr>
            <w:r>
              <w:t>Various</w:t>
            </w:r>
          </w:p>
        </w:tc>
        <w:tc>
          <w:tcPr>
            <w:tcW w:w="1679" w:type="dxa"/>
          </w:tcPr>
          <w:p w14:paraId="639DDC53" w14:textId="77777777" w:rsidR="000300A5" w:rsidRDefault="000300A5" w:rsidP="000300A5">
            <w:pPr>
              <w:pStyle w:val="TableText"/>
            </w:pPr>
            <w:r>
              <w:t>Various, regional and rural</w:t>
            </w:r>
          </w:p>
        </w:tc>
        <w:tc>
          <w:tcPr>
            <w:tcW w:w="2110" w:type="dxa"/>
          </w:tcPr>
          <w:p w14:paraId="3A1A40C8" w14:textId="77777777" w:rsidR="000300A5" w:rsidRDefault="000300A5" w:rsidP="000300A5">
            <w:pPr>
              <w:pStyle w:val="TableText"/>
            </w:pPr>
            <w:r>
              <w:t>Residential aged care</w:t>
            </w:r>
          </w:p>
        </w:tc>
      </w:tr>
      <w:tr w:rsidR="000300A5" w14:paraId="1A91422C"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14630790" w14:textId="77777777" w:rsidR="000300A5" w:rsidRPr="00D723C6" w:rsidRDefault="000300A5" w:rsidP="000300A5">
            <w:pPr>
              <w:spacing w:before="0" w:after="0"/>
            </w:pPr>
            <w:r>
              <w:t>10</w:t>
            </w:r>
          </w:p>
        </w:tc>
        <w:tc>
          <w:tcPr>
            <w:tcW w:w="0" w:type="auto"/>
          </w:tcPr>
          <w:p w14:paraId="3625D6C3" w14:textId="77777777" w:rsidR="000300A5" w:rsidRDefault="000300A5" w:rsidP="000300A5">
            <w:pPr>
              <w:spacing w:before="0" w:after="0"/>
            </w:pPr>
            <w:r w:rsidRPr="00D723C6">
              <w:t>Non-</w:t>
            </w:r>
            <w:r>
              <w:t>participating organisation</w:t>
            </w:r>
          </w:p>
        </w:tc>
        <w:tc>
          <w:tcPr>
            <w:tcW w:w="1432" w:type="dxa"/>
          </w:tcPr>
          <w:p w14:paraId="64ACBA33" w14:textId="77777777" w:rsidR="000300A5" w:rsidRDefault="000300A5" w:rsidP="000300A5">
            <w:pPr>
              <w:pStyle w:val="TableText"/>
            </w:pPr>
            <w:r>
              <w:t>Various</w:t>
            </w:r>
          </w:p>
        </w:tc>
        <w:tc>
          <w:tcPr>
            <w:tcW w:w="1679" w:type="dxa"/>
          </w:tcPr>
          <w:p w14:paraId="51701BAE" w14:textId="77777777" w:rsidR="000300A5" w:rsidRDefault="000300A5" w:rsidP="000300A5">
            <w:pPr>
              <w:pStyle w:val="TableText"/>
            </w:pPr>
            <w:r>
              <w:t>Various, including metropolitan and regional/rural</w:t>
            </w:r>
          </w:p>
        </w:tc>
        <w:tc>
          <w:tcPr>
            <w:tcW w:w="2110" w:type="dxa"/>
          </w:tcPr>
          <w:p w14:paraId="54E2C44B" w14:textId="77777777" w:rsidR="000300A5" w:rsidRDefault="000300A5" w:rsidP="000300A5">
            <w:pPr>
              <w:pStyle w:val="TableText"/>
            </w:pPr>
            <w:r>
              <w:t xml:space="preserve">Home care </w:t>
            </w:r>
          </w:p>
        </w:tc>
      </w:tr>
      <w:tr w:rsidR="000300A5" w14:paraId="24CDEB04"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51A44C0E" w14:textId="77777777" w:rsidR="000300A5" w:rsidRPr="00D723C6" w:rsidRDefault="000300A5" w:rsidP="000300A5">
            <w:pPr>
              <w:spacing w:before="0" w:after="0"/>
            </w:pPr>
            <w:r>
              <w:t>11</w:t>
            </w:r>
          </w:p>
        </w:tc>
        <w:tc>
          <w:tcPr>
            <w:tcW w:w="0" w:type="auto"/>
          </w:tcPr>
          <w:p w14:paraId="27068629" w14:textId="77777777" w:rsidR="000300A5" w:rsidRDefault="000300A5" w:rsidP="000300A5">
            <w:pPr>
              <w:spacing w:before="0" w:after="0"/>
            </w:pPr>
            <w:r w:rsidRPr="00D723C6">
              <w:t>Non-</w:t>
            </w:r>
            <w:r>
              <w:t>participating organisation</w:t>
            </w:r>
          </w:p>
        </w:tc>
        <w:tc>
          <w:tcPr>
            <w:tcW w:w="1432" w:type="dxa"/>
          </w:tcPr>
          <w:p w14:paraId="40559AE7" w14:textId="77777777" w:rsidR="000300A5" w:rsidRDefault="000300A5" w:rsidP="000300A5">
            <w:pPr>
              <w:pStyle w:val="TableText"/>
            </w:pPr>
            <w:r>
              <w:t>South Australia</w:t>
            </w:r>
          </w:p>
        </w:tc>
        <w:tc>
          <w:tcPr>
            <w:tcW w:w="1679" w:type="dxa"/>
          </w:tcPr>
          <w:p w14:paraId="2F2458C0" w14:textId="77777777" w:rsidR="000300A5" w:rsidRDefault="000300A5" w:rsidP="000300A5">
            <w:pPr>
              <w:pStyle w:val="TableText"/>
            </w:pPr>
            <w:r>
              <w:t>Various, including metropolitan and regional/rural</w:t>
            </w:r>
          </w:p>
        </w:tc>
        <w:tc>
          <w:tcPr>
            <w:tcW w:w="2110" w:type="dxa"/>
          </w:tcPr>
          <w:p w14:paraId="206D8682" w14:textId="77777777" w:rsidR="000300A5" w:rsidRDefault="000300A5" w:rsidP="000300A5">
            <w:pPr>
              <w:pStyle w:val="TableText"/>
            </w:pPr>
            <w:r>
              <w:t>Residential aged care</w:t>
            </w:r>
          </w:p>
        </w:tc>
      </w:tr>
      <w:tr w:rsidR="000300A5" w14:paraId="753F3352"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0ABDBE5D" w14:textId="77777777" w:rsidR="000300A5" w:rsidRPr="00D723C6" w:rsidRDefault="000300A5" w:rsidP="000300A5">
            <w:pPr>
              <w:spacing w:before="0" w:after="0"/>
            </w:pPr>
            <w:r>
              <w:t>12</w:t>
            </w:r>
          </w:p>
        </w:tc>
        <w:tc>
          <w:tcPr>
            <w:tcW w:w="0" w:type="auto"/>
          </w:tcPr>
          <w:p w14:paraId="2C3CBB52" w14:textId="77777777" w:rsidR="000300A5" w:rsidRDefault="000300A5" w:rsidP="000300A5">
            <w:pPr>
              <w:spacing w:before="0" w:after="0"/>
            </w:pPr>
            <w:r w:rsidRPr="00D723C6">
              <w:t>Non-</w:t>
            </w:r>
            <w:r>
              <w:t>participating organisation</w:t>
            </w:r>
          </w:p>
        </w:tc>
        <w:tc>
          <w:tcPr>
            <w:tcW w:w="1432" w:type="dxa"/>
          </w:tcPr>
          <w:p w14:paraId="30EB01D8" w14:textId="77777777" w:rsidR="000300A5" w:rsidRDefault="000300A5" w:rsidP="000300A5">
            <w:pPr>
              <w:pStyle w:val="TableText"/>
            </w:pPr>
            <w:r>
              <w:t>Victoria</w:t>
            </w:r>
          </w:p>
        </w:tc>
        <w:tc>
          <w:tcPr>
            <w:tcW w:w="1679" w:type="dxa"/>
          </w:tcPr>
          <w:p w14:paraId="42B29921" w14:textId="77777777" w:rsidR="000300A5" w:rsidRDefault="000300A5" w:rsidP="000300A5">
            <w:pPr>
              <w:pStyle w:val="TableText"/>
            </w:pPr>
            <w:r>
              <w:t>MM1</w:t>
            </w:r>
          </w:p>
        </w:tc>
        <w:tc>
          <w:tcPr>
            <w:tcW w:w="2110" w:type="dxa"/>
          </w:tcPr>
          <w:p w14:paraId="58A962C6" w14:textId="77777777" w:rsidR="000300A5" w:rsidRDefault="000300A5" w:rsidP="000300A5">
            <w:pPr>
              <w:pStyle w:val="TableText"/>
            </w:pPr>
            <w:r>
              <w:t>Residential aged care</w:t>
            </w:r>
          </w:p>
        </w:tc>
      </w:tr>
    </w:tbl>
    <w:p w14:paraId="79D320D1" w14:textId="77777777" w:rsidR="005876F0" w:rsidRPr="003658F2" w:rsidRDefault="005876F0" w:rsidP="003658F2"/>
    <w:p w14:paraId="463B6960" w14:textId="4E90DEAD" w:rsidR="00731C35" w:rsidRPr="00731C35" w:rsidRDefault="00731C35" w:rsidP="00731C35">
      <w:pPr>
        <w:sectPr w:rsidR="00731C35" w:rsidRPr="00731C35" w:rsidSect="005E34A8">
          <w:pgSz w:w="16838" w:h="11906" w:orient="landscape" w:code="9"/>
          <w:pgMar w:top="851" w:right="851" w:bottom="851" w:left="851" w:header="709" w:footer="567" w:gutter="0"/>
          <w:cols w:num="2" w:space="709"/>
          <w:docGrid w:linePitch="360"/>
        </w:sectPr>
      </w:pPr>
    </w:p>
    <w:p w14:paraId="23033E6C" w14:textId="07C7AA52" w:rsidR="0034597A" w:rsidRDefault="0034597A" w:rsidP="0034597A">
      <w:pPr>
        <w:pStyle w:val="Heading-Appendix"/>
      </w:pPr>
      <w:bookmarkStart w:id="148" w:name="_Ref214614002"/>
      <w:bookmarkStart w:id="149" w:name="_Ref216944254"/>
      <w:bookmarkStart w:id="150" w:name="_Ref216948390"/>
      <w:bookmarkStart w:id="151" w:name="_Toc232685936"/>
      <w:bookmarkStart w:id="152" w:name="_Ref214528200"/>
      <w:bookmarkStart w:id="153" w:name="_Ref213344719"/>
      <w:bookmarkStart w:id="154" w:name="_Ref213345471"/>
      <w:bookmarkStart w:id="155" w:name="_Ref213345573"/>
      <w:bookmarkStart w:id="156" w:name="_Ref213345690"/>
      <w:bookmarkStart w:id="157" w:name="_Ref213345739"/>
      <w:bookmarkStart w:id="158" w:name="_Ref213345877"/>
      <w:bookmarkStart w:id="159" w:name="_Ref213345918"/>
      <w:bookmarkStart w:id="160" w:name="_Ref213346240"/>
      <w:bookmarkStart w:id="161" w:name="_Ref213346250"/>
      <w:bookmarkStart w:id="162" w:name="_Ref213346390"/>
      <w:bookmarkStart w:id="163" w:name="_Ref213346994"/>
      <w:bookmarkStart w:id="164" w:name="_Ref213347135"/>
      <w:bookmarkStart w:id="165" w:name="_Ref213347168"/>
      <w:bookmarkStart w:id="166" w:name="_Ref213347182"/>
      <w:bookmarkStart w:id="167" w:name="_Ref213347222"/>
      <w:bookmarkStart w:id="168" w:name="_Ref213347239"/>
      <w:bookmarkStart w:id="169" w:name="_Ref213347245"/>
      <w:bookmarkStart w:id="170" w:name="_Ref213347304"/>
      <w:bookmarkStart w:id="171" w:name="_Ref213347312"/>
      <w:bookmarkStart w:id="172" w:name="_Ref213347321"/>
      <w:bookmarkStart w:id="173" w:name="_Ref213347333"/>
      <w:bookmarkStart w:id="174" w:name="_Ref213347339"/>
      <w:bookmarkStart w:id="175" w:name="_Ref213347347"/>
      <w:bookmarkStart w:id="176" w:name="_Ref213347360"/>
      <w:bookmarkStart w:id="177" w:name="_Ref213347368"/>
      <w:bookmarkStart w:id="178" w:name="_Ref213347375"/>
      <w:bookmarkStart w:id="179" w:name="_Ref213347381"/>
      <w:bookmarkStart w:id="180" w:name="_Ref213347387"/>
      <w:bookmarkStart w:id="181" w:name="_Toc213763221"/>
      <w:r>
        <w:lastRenderedPageBreak/>
        <w:t>PEPA Aged Care</w:t>
      </w:r>
      <w:r w:rsidR="00622922">
        <w:t xml:space="preserve"> program</w:t>
      </w:r>
      <w:r>
        <w:t xml:space="preserve"> data</w:t>
      </w:r>
      <w:bookmarkEnd w:id="148"/>
      <w:bookmarkEnd w:id="149"/>
      <w:bookmarkEnd w:id="150"/>
      <w:bookmarkEnd w:id="151"/>
    </w:p>
    <w:p w14:paraId="4E7E6DBB" w14:textId="4ABCA2B5" w:rsidR="0034597A" w:rsidRDefault="0034597A" w:rsidP="0034597A">
      <w:r>
        <w:t>This appendix</w:t>
      </w:r>
      <w:r w:rsidR="00AB0D38">
        <w:t xml:space="preserve"> provides additional PEPA Aged Care program data</w:t>
      </w:r>
      <w:r w:rsidR="001E0ADF">
        <w:t xml:space="preserve"> referenced through the report</w:t>
      </w:r>
      <w:r w:rsidR="00AB0D38">
        <w:t xml:space="preserve">, including </w:t>
      </w:r>
      <w:r w:rsidR="00A74B61">
        <w:t xml:space="preserve">data on </w:t>
      </w:r>
      <w:r w:rsidR="00B12539">
        <w:t xml:space="preserve">performance, </w:t>
      </w:r>
      <w:r w:rsidR="00A74B61">
        <w:t xml:space="preserve">promotional activities, uptake, </w:t>
      </w:r>
      <w:r w:rsidR="001E0ADF">
        <w:t>PEPA Aged Care evaluation surveys, and financial data.</w:t>
      </w:r>
    </w:p>
    <w:p w14:paraId="3881E7D5" w14:textId="487A7F31" w:rsidR="0034597A" w:rsidRDefault="008A5C93" w:rsidP="0034597A">
      <w:pPr>
        <w:pStyle w:val="Heading3-nonumber"/>
      </w:pPr>
      <w:r>
        <w:t>PEPA Aged Care</w:t>
      </w:r>
      <w:r w:rsidR="00E866A9">
        <w:t xml:space="preserve"> p</w:t>
      </w:r>
      <w:r w:rsidR="0034597A">
        <w:t>rogram performance</w:t>
      </w:r>
    </w:p>
    <w:p w14:paraId="6AA7B755" w14:textId="14111B44" w:rsidR="0034597A" w:rsidRPr="00DB1A33" w:rsidRDefault="0034597A" w:rsidP="0034597A">
      <w:r>
        <w:fldChar w:fldCharType="begin"/>
      </w:r>
      <w:r>
        <w:instrText xml:space="preserve"> REF _Ref214953648 \h </w:instrText>
      </w:r>
      <w:r>
        <w:fldChar w:fldCharType="separate"/>
      </w:r>
      <w:r w:rsidR="00167BA0">
        <w:t xml:space="preserve">Table </w:t>
      </w:r>
      <w:r w:rsidR="00167BA0">
        <w:rPr>
          <w:noProof/>
        </w:rPr>
        <w:t>9</w:t>
      </w:r>
      <w:r w:rsidR="00167BA0">
        <w:t>.</w:t>
      </w:r>
      <w:r w:rsidR="00167BA0">
        <w:rPr>
          <w:noProof/>
        </w:rPr>
        <w:t>4</w:t>
      </w:r>
      <w:r>
        <w:fldChar w:fldCharType="end"/>
      </w:r>
      <w:r>
        <w:t xml:space="preserve"> summarises performance against PEPA Aged Care</w:t>
      </w:r>
      <w:r w:rsidR="003863F5">
        <w:t>’</w:t>
      </w:r>
      <w:r>
        <w:t>s five performance indicators and targets by six-monthly reporting period (1 January 2022 to 30 June 2025).</w:t>
      </w:r>
    </w:p>
    <w:p w14:paraId="3F3139BB" w14:textId="0FF38906" w:rsidR="0034597A" w:rsidRDefault="0034597A" w:rsidP="0034597A">
      <w:pPr>
        <w:pStyle w:val="Caption"/>
      </w:pPr>
      <w:bookmarkStart w:id="182" w:name="_Ref214953648"/>
      <w:r>
        <w:t xml:space="preserve">Table </w:t>
      </w:r>
      <w:fldSimple w:instr=" STYLEREF 1 \s ">
        <w:r w:rsidR="0091457A">
          <w:rPr>
            <w:noProof/>
          </w:rPr>
          <w:t>9</w:t>
        </w:r>
      </w:fldSimple>
      <w:r w:rsidR="0091457A">
        <w:t>.</w:t>
      </w:r>
      <w:fldSimple w:instr=" SEQ Table \* ARABIC \s 1 ">
        <w:r w:rsidR="0091457A">
          <w:rPr>
            <w:noProof/>
          </w:rPr>
          <w:t>4</w:t>
        </w:r>
      </w:fldSimple>
      <w:bookmarkEnd w:id="182"/>
      <w:r>
        <w:t xml:space="preserve">: </w:t>
      </w:r>
      <w:r w:rsidRPr="004C5BDE">
        <w:t xml:space="preserve">PEPA Aged Care performance against </w:t>
      </w:r>
      <w:r>
        <w:t>six-monthly</w:t>
      </w:r>
      <w:r w:rsidRPr="004C5BDE">
        <w:t xml:space="preserve"> targets (1 January 2022 to </w:t>
      </w:r>
      <w:r>
        <w:t>30 June 2025</w:t>
      </w:r>
      <w:r w:rsidRPr="004C5BDE">
        <w:t>)</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performance against targets"/>
        <w:tblDescription w:val="Table summarises performance against PEPA Aged Care’s five performance indicators and targets by six-monthly reporting period (1 January 2022 to 30 June 2025)."/>
      </w:tblPr>
      <w:tblGrid>
        <w:gridCol w:w="1562"/>
        <w:gridCol w:w="1542"/>
        <w:gridCol w:w="1908"/>
        <w:gridCol w:w="2041"/>
        <w:gridCol w:w="1784"/>
        <w:gridCol w:w="2131"/>
        <w:gridCol w:w="2043"/>
        <w:gridCol w:w="2115"/>
      </w:tblGrid>
      <w:tr w:rsidR="0065039A" w14:paraId="26A54B0C" w14:textId="77777777" w:rsidTr="0054117F">
        <w:trPr>
          <w:cnfStyle w:val="100000000000" w:firstRow="1" w:lastRow="0" w:firstColumn="0" w:lastColumn="0" w:oddVBand="0" w:evenVBand="0" w:oddHBand="0" w:evenHBand="0" w:firstRowFirstColumn="0" w:firstRowLastColumn="0" w:lastRowFirstColumn="0" w:lastRowLastColumn="0"/>
          <w:tblHeader/>
        </w:trPr>
        <w:tc>
          <w:tcPr>
            <w:tcW w:w="1562" w:type="dxa"/>
          </w:tcPr>
          <w:p w14:paraId="2F2C0C64" w14:textId="293E438E" w:rsidR="0065039A" w:rsidRDefault="0054117F">
            <w:pPr>
              <w:spacing w:before="0" w:after="0"/>
            </w:pPr>
            <w:r>
              <w:t>Reporting period</w:t>
            </w:r>
          </w:p>
        </w:tc>
        <w:tc>
          <w:tcPr>
            <w:tcW w:w="1542" w:type="dxa"/>
          </w:tcPr>
          <w:p w14:paraId="47E415B2" w14:textId="51CA658F" w:rsidR="0065039A" w:rsidRPr="00054D2A" w:rsidRDefault="006D1D32">
            <w:pPr>
              <w:spacing w:before="0" w:after="0"/>
            </w:pPr>
            <w:r>
              <w:t>Measure</w:t>
            </w:r>
            <w:r w:rsidR="00197BD6">
              <w:t xml:space="preserve"> type</w:t>
            </w:r>
          </w:p>
        </w:tc>
        <w:tc>
          <w:tcPr>
            <w:tcW w:w="1908" w:type="dxa"/>
          </w:tcPr>
          <w:p w14:paraId="14211E71" w14:textId="77777777" w:rsidR="0065039A" w:rsidRDefault="0065039A" w:rsidP="00E859C5">
            <w:pPr>
              <w:spacing w:before="0" w:after="0"/>
              <w:jc w:val="right"/>
            </w:pPr>
            <w:r w:rsidRPr="00054D2A">
              <w:t>Number of sites participating in reverse placements</w:t>
            </w:r>
          </w:p>
        </w:tc>
        <w:tc>
          <w:tcPr>
            <w:tcW w:w="0" w:type="auto"/>
          </w:tcPr>
          <w:p w14:paraId="5599812F" w14:textId="77777777" w:rsidR="0065039A" w:rsidRDefault="0065039A" w:rsidP="00E859C5">
            <w:pPr>
              <w:spacing w:before="0" w:after="0"/>
              <w:jc w:val="right"/>
            </w:pPr>
            <w:r w:rsidRPr="00054D2A">
              <w:t>Number of education days facilitated by PEPA nurse educators at placement sites</w:t>
            </w:r>
          </w:p>
        </w:tc>
        <w:tc>
          <w:tcPr>
            <w:tcW w:w="0" w:type="auto"/>
          </w:tcPr>
          <w:p w14:paraId="7CFDC163" w14:textId="77777777" w:rsidR="0065039A" w:rsidRDefault="0065039A" w:rsidP="00E859C5">
            <w:pPr>
              <w:spacing w:before="0" w:after="0"/>
              <w:jc w:val="right"/>
            </w:pPr>
            <w:r w:rsidRPr="00054D2A">
              <w:t>Number of reverse placement participants</w:t>
            </w:r>
          </w:p>
        </w:tc>
        <w:tc>
          <w:tcPr>
            <w:tcW w:w="0" w:type="auto"/>
          </w:tcPr>
          <w:p w14:paraId="2DF0E096" w14:textId="77777777" w:rsidR="0065039A" w:rsidRDefault="0065039A" w:rsidP="00E859C5">
            <w:pPr>
              <w:spacing w:before="0" w:after="0"/>
              <w:jc w:val="right"/>
            </w:pPr>
            <w:r w:rsidRPr="00054D2A">
              <w:t>Number of registered nurses at participating sites acting as mentors</w:t>
            </w:r>
          </w:p>
        </w:tc>
        <w:tc>
          <w:tcPr>
            <w:tcW w:w="0" w:type="auto"/>
          </w:tcPr>
          <w:p w14:paraId="0CE4AA72" w14:textId="77777777" w:rsidR="0065039A" w:rsidRDefault="0065039A" w:rsidP="00E859C5">
            <w:pPr>
              <w:spacing w:before="0" w:after="0"/>
              <w:jc w:val="right"/>
            </w:pPr>
            <w:r w:rsidRPr="00054D2A">
              <w:t xml:space="preserve">Number of post-placement service improvement plans developed </w:t>
            </w:r>
          </w:p>
        </w:tc>
        <w:tc>
          <w:tcPr>
            <w:tcW w:w="0" w:type="auto"/>
          </w:tcPr>
          <w:p w14:paraId="3B6B839F" w14:textId="77777777" w:rsidR="0065039A" w:rsidRDefault="0065039A" w:rsidP="00E859C5">
            <w:pPr>
              <w:spacing w:before="0" w:after="0"/>
              <w:jc w:val="right"/>
            </w:pPr>
            <w:r>
              <w:t>% of key performance indicators achieved during reporting period</w:t>
            </w:r>
          </w:p>
        </w:tc>
      </w:tr>
      <w:tr w:rsidR="0065039A" w14:paraId="7A4D7A91" w14:textId="77777777" w:rsidTr="0054117F">
        <w:tc>
          <w:tcPr>
            <w:tcW w:w="1562" w:type="dxa"/>
            <w:shd w:val="clear" w:color="auto" w:fill="DDF2EC" w:themeFill="background2" w:themeFillTint="33"/>
          </w:tcPr>
          <w:p w14:paraId="2E3CCE7F" w14:textId="77777777" w:rsidR="0065039A" w:rsidRDefault="0065039A">
            <w:pPr>
              <w:spacing w:before="0" w:after="0"/>
            </w:pPr>
            <w:r>
              <w:t>Jan–Jun 2022</w:t>
            </w:r>
          </w:p>
        </w:tc>
        <w:tc>
          <w:tcPr>
            <w:tcW w:w="1542" w:type="dxa"/>
            <w:shd w:val="clear" w:color="auto" w:fill="DDF2EC" w:themeFill="background2" w:themeFillTint="33"/>
          </w:tcPr>
          <w:p w14:paraId="6DCAAE62" w14:textId="77777777" w:rsidR="0065039A" w:rsidRDefault="0065039A">
            <w:pPr>
              <w:spacing w:before="0" w:after="0"/>
            </w:pPr>
            <w:r>
              <w:t>Target</w:t>
            </w:r>
          </w:p>
        </w:tc>
        <w:tc>
          <w:tcPr>
            <w:tcW w:w="1908" w:type="dxa"/>
          </w:tcPr>
          <w:p w14:paraId="1390D40D" w14:textId="77777777" w:rsidR="0065039A" w:rsidRDefault="0065039A" w:rsidP="00E859C5">
            <w:pPr>
              <w:spacing w:before="0" w:after="0"/>
              <w:jc w:val="right"/>
            </w:pPr>
            <w:r>
              <w:t>30</w:t>
            </w:r>
          </w:p>
        </w:tc>
        <w:tc>
          <w:tcPr>
            <w:tcW w:w="0" w:type="auto"/>
          </w:tcPr>
          <w:p w14:paraId="3623A04F" w14:textId="77777777" w:rsidR="0065039A" w:rsidRDefault="0065039A" w:rsidP="00E859C5">
            <w:pPr>
              <w:spacing w:before="0" w:after="0"/>
              <w:jc w:val="right"/>
            </w:pPr>
            <w:r>
              <w:t>90</w:t>
            </w:r>
          </w:p>
        </w:tc>
        <w:tc>
          <w:tcPr>
            <w:tcW w:w="0" w:type="auto"/>
          </w:tcPr>
          <w:p w14:paraId="0FC9C946" w14:textId="77777777" w:rsidR="0065039A" w:rsidRDefault="0065039A" w:rsidP="00E859C5">
            <w:pPr>
              <w:spacing w:before="0" w:after="0"/>
              <w:jc w:val="right"/>
            </w:pPr>
            <w:r>
              <w:t>300</w:t>
            </w:r>
          </w:p>
        </w:tc>
        <w:tc>
          <w:tcPr>
            <w:tcW w:w="0" w:type="auto"/>
          </w:tcPr>
          <w:p w14:paraId="4B3B3C59" w14:textId="77777777" w:rsidR="0065039A" w:rsidRDefault="0065039A" w:rsidP="00E859C5">
            <w:pPr>
              <w:spacing w:before="0" w:after="0"/>
              <w:jc w:val="right"/>
            </w:pPr>
            <w:r>
              <w:t>30</w:t>
            </w:r>
          </w:p>
        </w:tc>
        <w:tc>
          <w:tcPr>
            <w:tcW w:w="0" w:type="auto"/>
          </w:tcPr>
          <w:p w14:paraId="3A870BD5" w14:textId="77777777" w:rsidR="0065039A" w:rsidRDefault="0065039A" w:rsidP="00E859C5">
            <w:pPr>
              <w:spacing w:before="0" w:after="0"/>
              <w:jc w:val="right"/>
            </w:pPr>
            <w:r>
              <w:t>30</w:t>
            </w:r>
          </w:p>
        </w:tc>
        <w:tc>
          <w:tcPr>
            <w:tcW w:w="0" w:type="auto"/>
          </w:tcPr>
          <w:p w14:paraId="69DDBAA0" w14:textId="6ABB746E" w:rsidR="0065039A" w:rsidRDefault="00D56300" w:rsidP="00E859C5">
            <w:pPr>
              <w:spacing w:before="0" w:after="0"/>
              <w:jc w:val="right"/>
            </w:pPr>
            <w:r>
              <w:t>-</w:t>
            </w:r>
          </w:p>
        </w:tc>
      </w:tr>
      <w:tr w:rsidR="0065039A" w14:paraId="047D19F2" w14:textId="77777777" w:rsidTr="0054117F">
        <w:tc>
          <w:tcPr>
            <w:tcW w:w="1562" w:type="dxa"/>
            <w:shd w:val="clear" w:color="auto" w:fill="DDF2EC" w:themeFill="background2" w:themeFillTint="33"/>
          </w:tcPr>
          <w:p w14:paraId="096402D7" w14:textId="7059918E" w:rsidR="0065039A" w:rsidRDefault="005C6E76">
            <w:pPr>
              <w:spacing w:before="0" w:after="0"/>
            </w:pPr>
            <w:r>
              <w:t>Jan–Jun 2022</w:t>
            </w:r>
          </w:p>
        </w:tc>
        <w:tc>
          <w:tcPr>
            <w:tcW w:w="1542" w:type="dxa"/>
            <w:shd w:val="clear" w:color="auto" w:fill="DDF2EC" w:themeFill="background2" w:themeFillTint="33"/>
          </w:tcPr>
          <w:p w14:paraId="5CCDB6D0" w14:textId="77777777" w:rsidR="0065039A" w:rsidRDefault="0065039A">
            <w:pPr>
              <w:spacing w:before="0" w:after="0"/>
            </w:pPr>
            <w:r>
              <w:t>Actual</w:t>
            </w:r>
          </w:p>
        </w:tc>
        <w:tc>
          <w:tcPr>
            <w:tcW w:w="1908" w:type="dxa"/>
          </w:tcPr>
          <w:p w14:paraId="5AEB390E" w14:textId="77777777" w:rsidR="0065039A" w:rsidRDefault="0065039A" w:rsidP="00E859C5">
            <w:pPr>
              <w:spacing w:before="0" w:after="0"/>
              <w:jc w:val="right"/>
            </w:pPr>
            <w:r>
              <w:t>20</w:t>
            </w:r>
          </w:p>
        </w:tc>
        <w:tc>
          <w:tcPr>
            <w:tcW w:w="0" w:type="auto"/>
          </w:tcPr>
          <w:p w14:paraId="0CF8B2B8" w14:textId="77777777" w:rsidR="0065039A" w:rsidRDefault="0065039A" w:rsidP="00E859C5">
            <w:pPr>
              <w:spacing w:before="0" w:after="0"/>
              <w:jc w:val="right"/>
            </w:pPr>
            <w:r>
              <w:t>52</w:t>
            </w:r>
          </w:p>
        </w:tc>
        <w:tc>
          <w:tcPr>
            <w:tcW w:w="0" w:type="auto"/>
          </w:tcPr>
          <w:p w14:paraId="3BECEE26" w14:textId="77777777" w:rsidR="0065039A" w:rsidRDefault="0065039A" w:rsidP="00E859C5">
            <w:pPr>
              <w:spacing w:before="0" w:after="0"/>
              <w:jc w:val="right"/>
            </w:pPr>
            <w:r>
              <w:t>156</w:t>
            </w:r>
          </w:p>
        </w:tc>
        <w:tc>
          <w:tcPr>
            <w:tcW w:w="0" w:type="auto"/>
          </w:tcPr>
          <w:p w14:paraId="0B78EF37" w14:textId="77777777" w:rsidR="0065039A" w:rsidRDefault="0065039A" w:rsidP="00E859C5">
            <w:pPr>
              <w:spacing w:before="0" w:after="0"/>
              <w:jc w:val="right"/>
            </w:pPr>
            <w:r>
              <w:t>80</w:t>
            </w:r>
          </w:p>
        </w:tc>
        <w:tc>
          <w:tcPr>
            <w:tcW w:w="0" w:type="auto"/>
          </w:tcPr>
          <w:p w14:paraId="397DC86E" w14:textId="77777777" w:rsidR="0065039A" w:rsidRDefault="0065039A" w:rsidP="00E859C5">
            <w:pPr>
              <w:spacing w:before="0" w:after="0"/>
              <w:jc w:val="right"/>
            </w:pPr>
            <w:r>
              <w:t>16</w:t>
            </w:r>
          </w:p>
        </w:tc>
        <w:tc>
          <w:tcPr>
            <w:tcW w:w="0" w:type="auto"/>
          </w:tcPr>
          <w:p w14:paraId="297EE753" w14:textId="20B9E63F" w:rsidR="0065039A" w:rsidRDefault="00D56300" w:rsidP="00E859C5">
            <w:pPr>
              <w:spacing w:before="0" w:after="0"/>
              <w:jc w:val="right"/>
            </w:pPr>
            <w:r>
              <w:t>-</w:t>
            </w:r>
          </w:p>
        </w:tc>
      </w:tr>
      <w:tr w:rsidR="0034597A" w14:paraId="392EAD14" w14:textId="77777777" w:rsidTr="0054117F">
        <w:tc>
          <w:tcPr>
            <w:tcW w:w="1562" w:type="dxa"/>
            <w:shd w:val="clear" w:color="auto" w:fill="DDF2EC" w:themeFill="background2" w:themeFillTint="33"/>
          </w:tcPr>
          <w:p w14:paraId="4E5914A2" w14:textId="0B655249" w:rsidR="0034597A" w:rsidRDefault="005C6E76">
            <w:pPr>
              <w:spacing w:before="0" w:after="0"/>
            </w:pPr>
            <w:r>
              <w:t>Jan–Jun 2022</w:t>
            </w:r>
          </w:p>
        </w:tc>
        <w:tc>
          <w:tcPr>
            <w:tcW w:w="1542" w:type="dxa"/>
            <w:shd w:val="clear" w:color="auto" w:fill="DDF2EC" w:themeFill="background2" w:themeFillTint="33"/>
          </w:tcPr>
          <w:p w14:paraId="4A795BC6" w14:textId="77777777" w:rsidR="0034597A" w:rsidRDefault="0034597A">
            <w:pPr>
              <w:spacing w:before="0" w:after="0"/>
            </w:pPr>
            <w:r>
              <w:t>Performance</w:t>
            </w:r>
          </w:p>
        </w:tc>
        <w:tc>
          <w:tcPr>
            <w:tcW w:w="1908" w:type="dxa"/>
            <w:shd w:val="clear" w:color="auto" w:fill="FBDC00" w:themeFill="accent1"/>
            <w:vAlign w:val="center"/>
          </w:tcPr>
          <w:p w14:paraId="2CC29B5D" w14:textId="77777777" w:rsidR="0034597A" w:rsidRDefault="0034597A" w:rsidP="00E859C5">
            <w:pPr>
              <w:spacing w:before="0" w:after="0"/>
              <w:jc w:val="right"/>
            </w:pPr>
            <w:r>
              <w:rPr>
                <w:rFonts w:cs="Arial"/>
                <w:szCs w:val="20"/>
              </w:rPr>
              <w:t>67%</w:t>
            </w:r>
          </w:p>
        </w:tc>
        <w:tc>
          <w:tcPr>
            <w:tcW w:w="0" w:type="auto"/>
            <w:shd w:val="clear" w:color="auto" w:fill="FBDC00" w:themeFill="accent1"/>
            <w:vAlign w:val="center"/>
          </w:tcPr>
          <w:p w14:paraId="40CF0FDC" w14:textId="77777777" w:rsidR="0034597A" w:rsidRDefault="0034597A" w:rsidP="00E859C5">
            <w:pPr>
              <w:spacing w:before="0" w:after="0"/>
              <w:jc w:val="right"/>
            </w:pPr>
            <w:r>
              <w:rPr>
                <w:rFonts w:cs="Arial"/>
                <w:szCs w:val="20"/>
              </w:rPr>
              <w:t>58%</w:t>
            </w:r>
          </w:p>
        </w:tc>
        <w:tc>
          <w:tcPr>
            <w:tcW w:w="0" w:type="auto"/>
            <w:shd w:val="clear" w:color="auto" w:fill="FBDC00" w:themeFill="accent1"/>
            <w:vAlign w:val="center"/>
          </w:tcPr>
          <w:p w14:paraId="62A032ED" w14:textId="77777777" w:rsidR="0034597A" w:rsidRDefault="0034597A" w:rsidP="00E859C5">
            <w:pPr>
              <w:spacing w:before="0" w:after="0"/>
              <w:jc w:val="right"/>
            </w:pPr>
            <w:r>
              <w:rPr>
                <w:rFonts w:cs="Arial"/>
                <w:szCs w:val="20"/>
              </w:rPr>
              <w:t>52%</w:t>
            </w:r>
          </w:p>
        </w:tc>
        <w:tc>
          <w:tcPr>
            <w:tcW w:w="0" w:type="auto"/>
            <w:shd w:val="clear" w:color="auto" w:fill="92D050"/>
            <w:vAlign w:val="center"/>
          </w:tcPr>
          <w:p w14:paraId="36CE9D4B" w14:textId="77777777" w:rsidR="0034597A" w:rsidRDefault="0034597A" w:rsidP="00E859C5">
            <w:pPr>
              <w:spacing w:before="0" w:after="0"/>
              <w:jc w:val="right"/>
            </w:pPr>
            <w:r>
              <w:rPr>
                <w:rFonts w:cs="Arial"/>
                <w:szCs w:val="20"/>
              </w:rPr>
              <w:t>267%</w:t>
            </w:r>
          </w:p>
        </w:tc>
        <w:tc>
          <w:tcPr>
            <w:tcW w:w="0" w:type="auto"/>
            <w:shd w:val="clear" w:color="auto" w:fill="FBDC00" w:themeFill="accent1"/>
            <w:vAlign w:val="center"/>
          </w:tcPr>
          <w:p w14:paraId="2F750F01" w14:textId="77777777" w:rsidR="0034597A" w:rsidRDefault="0034597A" w:rsidP="00E859C5">
            <w:pPr>
              <w:spacing w:before="0" w:after="0"/>
              <w:jc w:val="right"/>
            </w:pPr>
            <w:r>
              <w:rPr>
                <w:rFonts w:cs="Arial"/>
                <w:szCs w:val="20"/>
              </w:rPr>
              <w:t>53%</w:t>
            </w:r>
          </w:p>
        </w:tc>
        <w:tc>
          <w:tcPr>
            <w:tcW w:w="0" w:type="auto"/>
          </w:tcPr>
          <w:p w14:paraId="38CD5B27" w14:textId="5DF5AC28" w:rsidR="0034597A" w:rsidRDefault="00D56300" w:rsidP="00E859C5">
            <w:pPr>
              <w:spacing w:before="0" w:after="0"/>
              <w:jc w:val="right"/>
            </w:pPr>
            <w:r>
              <w:t>20%</w:t>
            </w:r>
          </w:p>
        </w:tc>
      </w:tr>
      <w:tr w:rsidR="0034597A" w14:paraId="18BF4C32" w14:textId="77777777" w:rsidTr="0054117F">
        <w:tc>
          <w:tcPr>
            <w:tcW w:w="1562" w:type="dxa"/>
            <w:shd w:val="clear" w:color="auto" w:fill="DDF2EC" w:themeFill="background2" w:themeFillTint="33"/>
          </w:tcPr>
          <w:p w14:paraId="4EB29DCC" w14:textId="77777777" w:rsidR="0034597A" w:rsidRDefault="0034597A">
            <w:pPr>
              <w:spacing w:before="0" w:after="0"/>
            </w:pPr>
            <w:r>
              <w:t>Jul–Dec 2022</w:t>
            </w:r>
          </w:p>
        </w:tc>
        <w:tc>
          <w:tcPr>
            <w:tcW w:w="1542" w:type="dxa"/>
            <w:shd w:val="clear" w:color="auto" w:fill="DDF2EC" w:themeFill="background2" w:themeFillTint="33"/>
          </w:tcPr>
          <w:p w14:paraId="355C8A87" w14:textId="77777777" w:rsidR="0034597A" w:rsidRDefault="0034597A">
            <w:pPr>
              <w:spacing w:before="0" w:after="0"/>
            </w:pPr>
            <w:r>
              <w:t>Target</w:t>
            </w:r>
          </w:p>
        </w:tc>
        <w:tc>
          <w:tcPr>
            <w:tcW w:w="1908" w:type="dxa"/>
          </w:tcPr>
          <w:p w14:paraId="3A3B3AB4" w14:textId="77777777" w:rsidR="0034597A" w:rsidRDefault="0034597A" w:rsidP="00E859C5">
            <w:pPr>
              <w:spacing w:before="0" w:after="0"/>
              <w:jc w:val="right"/>
            </w:pPr>
            <w:r>
              <w:t>50</w:t>
            </w:r>
          </w:p>
        </w:tc>
        <w:tc>
          <w:tcPr>
            <w:tcW w:w="0" w:type="auto"/>
          </w:tcPr>
          <w:p w14:paraId="0D47E72E" w14:textId="77777777" w:rsidR="0034597A" w:rsidRDefault="0034597A" w:rsidP="00E859C5">
            <w:pPr>
              <w:spacing w:before="0" w:after="0"/>
              <w:jc w:val="right"/>
            </w:pPr>
            <w:r>
              <w:t>150</w:t>
            </w:r>
          </w:p>
        </w:tc>
        <w:tc>
          <w:tcPr>
            <w:tcW w:w="0" w:type="auto"/>
          </w:tcPr>
          <w:p w14:paraId="1A7C96BF" w14:textId="77777777" w:rsidR="0034597A" w:rsidRDefault="0034597A" w:rsidP="00E859C5">
            <w:pPr>
              <w:spacing w:before="0" w:after="0"/>
              <w:jc w:val="right"/>
            </w:pPr>
            <w:r>
              <w:t>500</w:t>
            </w:r>
          </w:p>
        </w:tc>
        <w:tc>
          <w:tcPr>
            <w:tcW w:w="0" w:type="auto"/>
          </w:tcPr>
          <w:p w14:paraId="38AFD85B" w14:textId="77777777" w:rsidR="0034597A" w:rsidRDefault="0034597A" w:rsidP="00E859C5">
            <w:pPr>
              <w:spacing w:before="0" w:after="0"/>
              <w:jc w:val="right"/>
            </w:pPr>
            <w:r>
              <w:t>50</w:t>
            </w:r>
          </w:p>
        </w:tc>
        <w:tc>
          <w:tcPr>
            <w:tcW w:w="0" w:type="auto"/>
          </w:tcPr>
          <w:p w14:paraId="4D0BF306" w14:textId="77777777" w:rsidR="0034597A" w:rsidRDefault="0034597A" w:rsidP="00E859C5">
            <w:pPr>
              <w:spacing w:before="0" w:after="0"/>
              <w:jc w:val="right"/>
            </w:pPr>
            <w:r>
              <w:t>50</w:t>
            </w:r>
          </w:p>
        </w:tc>
        <w:tc>
          <w:tcPr>
            <w:tcW w:w="0" w:type="auto"/>
          </w:tcPr>
          <w:p w14:paraId="5E771075" w14:textId="5034DBC5" w:rsidR="0034597A" w:rsidRDefault="00D56300" w:rsidP="00E859C5">
            <w:pPr>
              <w:spacing w:before="0" w:after="0"/>
              <w:jc w:val="right"/>
            </w:pPr>
            <w:r>
              <w:t>-</w:t>
            </w:r>
          </w:p>
        </w:tc>
      </w:tr>
      <w:tr w:rsidR="0034597A" w14:paraId="168639F9" w14:textId="77777777" w:rsidTr="0054117F">
        <w:tc>
          <w:tcPr>
            <w:tcW w:w="1562" w:type="dxa"/>
            <w:shd w:val="clear" w:color="auto" w:fill="DDF2EC" w:themeFill="background2" w:themeFillTint="33"/>
          </w:tcPr>
          <w:p w14:paraId="7DDADF05" w14:textId="3575BD89" w:rsidR="0034597A" w:rsidRDefault="005C6E76">
            <w:pPr>
              <w:spacing w:before="0" w:after="0"/>
            </w:pPr>
            <w:r>
              <w:t>Jul–Dec 2022</w:t>
            </w:r>
          </w:p>
        </w:tc>
        <w:tc>
          <w:tcPr>
            <w:tcW w:w="1542" w:type="dxa"/>
            <w:shd w:val="clear" w:color="auto" w:fill="DDF2EC" w:themeFill="background2" w:themeFillTint="33"/>
          </w:tcPr>
          <w:p w14:paraId="50AAC03F" w14:textId="77777777" w:rsidR="0034597A" w:rsidRDefault="0034597A">
            <w:pPr>
              <w:spacing w:before="0" w:after="0"/>
            </w:pPr>
            <w:r>
              <w:t>Actual</w:t>
            </w:r>
          </w:p>
        </w:tc>
        <w:tc>
          <w:tcPr>
            <w:tcW w:w="1908" w:type="dxa"/>
          </w:tcPr>
          <w:p w14:paraId="419E0D6C" w14:textId="77777777" w:rsidR="0034597A" w:rsidRDefault="0034597A" w:rsidP="00E859C5">
            <w:pPr>
              <w:spacing w:before="0" w:after="0"/>
              <w:jc w:val="right"/>
            </w:pPr>
            <w:r>
              <w:t>53</w:t>
            </w:r>
          </w:p>
        </w:tc>
        <w:tc>
          <w:tcPr>
            <w:tcW w:w="0" w:type="auto"/>
          </w:tcPr>
          <w:p w14:paraId="6775CE96" w14:textId="77777777" w:rsidR="0034597A" w:rsidRDefault="0034597A" w:rsidP="00E859C5">
            <w:pPr>
              <w:spacing w:before="0" w:after="0"/>
              <w:jc w:val="right"/>
            </w:pPr>
            <w:r>
              <w:t>143</w:t>
            </w:r>
          </w:p>
        </w:tc>
        <w:tc>
          <w:tcPr>
            <w:tcW w:w="0" w:type="auto"/>
          </w:tcPr>
          <w:p w14:paraId="2D832EFA" w14:textId="77777777" w:rsidR="0034597A" w:rsidRDefault="0034597A" w:rsidP="00E859C5">
            <w:pPr>
              <w:spacing w:before="0" w:after="0"/>
              <w:jc w:val="right"/>
            </w:pPr>
            <w:r>
              <w:t>386</w:t>
            </w:r>
          </w:p>
        </w:tc>
        <w:tc>
          <w:tcPr>
            <w:tcW w:w="0" w:type="auto"/>
          </w:tcPr>
          <w:p w14:paraId="1CAE0889" w14:textId="77777777" w:rsidR="0034597A" w:rsidRDefault="0034597A" w:rsidP="00E859C5">
            <w:pPr>
              <w:spacing w:before="0" w:after="0"/>
              <w:jc w:val="right"/>
            </w:pPr>
            <w:r>
              <w:t>141</w:t>
            </w:r>
          </w:p>
        </w:tc>
        <w:tc>
          <w:tcPr>
            <w:tcW w:w="0" w:type="auto"/>
          </w:tcPr>
          <w:p w14:paraId="5B8A2FD5" w14:textId="77777777" w:rsidR="0034597A" w:rsidRDefault="0034597A" w:rsidP="00E859C5">
            <w:pPr>
              <w:spacing w:before="0" w:after="0"/>
              <w:jc w:val="right"/>
            </w:pPr>
            <w:r>
              <w:t>68</w:t>
            </w:r>
          </w:p>
        </w:tc>
        <w:tc>
          <w:tcPr>
            <w:tcW w:w="0" w:type="auto"/>
          </w:tcPr>
          <w:p w14:paraId="5F59E3D5" w14:textId="63964D3F" w:rsidR="0034597A" w:rsidRDefault="00D56300" w:rsidP="00E859C5">
            <w:pPr>
              <w:spacing w:before="0" w:after="0"/>
              <w:jc w:val="right"/>
            </w:pPr>
            <w:r>
              <w:t>-</w:t>
            </w:r>
          </w:p>
        </w:tc>
      </w:tr>
      <w:tr w:rsidR="0034597A" w14:paraId="545A4F85" w14:textId="77777777" w:rsidTr="0054117F">
        <w:tc>
          <w:tcPr>
            <w:tcW w:w="1562" w:type="dxa"/>
            <w:shd w:val="clear" w:color="auto" w:fill="DDF2EC" w:themeFill="background2" w:themeFillTint="33"/>
          </w:tcPr>
          <w:p w14:paraId="366AC5E5" w14:textId="000D34F2" w:rsidR="0034597A" w:rsidRDefault="005C6E76">
            <w:pPr>
              <w:spacing w:before="0" w:after="0"/>
            </w:pPr>
            <w:r>
              <w:t>Jul–Dec 2022</w:t>
            </w:r>
          </w:p>
        </w:tc>
        <w:tc>
          <w:tcPr>
            <w:tcW w:w="1542" w:type="dxa"/>
            <w:shd w:val="clear" w:color="auto" w:fill="DDF2EC" w:themeFill="background2" w:themeFillTint="33"/>
          </w:tcPr>
          <w:p w14:paraId="3936C420" w14:textId="77777777" w:rsidR="0034597A" w:rsidRDefault="0034597A">
            <w:pPr>
              <w:spacing w:before="0" w:after="0"/>
            </w:pPr>
            <w:r>
              <w:t>Performance</w:t>
            </w:r>
          </w:p>
        </w:tc>
        <w:tc>
          <w:tcPr>
            <w:tcW w:w="1908" w:type="dxa"/>
            <w:shd w:val="clear" w:color="auto" w:fill="92D050"/>
            <w:vAlign w:val="center"/>
          </w:tcPr>
          <w:p w14:paraId="050EC29D" w14:textId="77777777" w:rsidR="0034597A" w:rsidRDefault="0034597A" w:rsidP="00E859C5">
            <w:pPr>
              <w:spacing w:before="0" w:after="0"/>
              <w:jc w:val="right"/>
            </w:pPr>
            <w:r>
              <w:rPr>
                <w:rFonts w:cs="Arial"/>
                <w:szCs w:val="20"/>
              </w:rPr>
              <w:t>106%</w:t>
            </w:r>
          </w:p>
        </w:tc>
        <w:tc>
          <w:tcPr>
            <w:tcW w:w="0" w:type="auto"/>
            <w:shd w:val="clear" w:color="auto" w:fill="FBDC00" w:themeFill="accent1"/>
            <w:vAlign w:val="center"/>
          </w:tcPr>
          <w:p w14:paraId="224CC359" w14:textId="77777777" w:rsidR="0034597A" w:rsidRDefault="0034597A" w:rsidP="00E859C5">
            <w:pPr>
              <w:spacing w:before="0" w:after="0"/>
              <w:jc w:val="right"/>
            </w:pPr>
            <w:r>
              <w:rPr>
                <w:rFonts w:cs="Arial"/>
                <w:szCs w:val="20"/>
              </w:rPr>
              <w:t>95%</w:t>
            </w:r>
          </w:p>
        </w:tc>
        <w:tc>
          <w:tcPr>
            <w:tcW w:w="0" w:type="auto"/>
            <w:shd w:val="clear" w:color="auto" w:fill="FBDC00" w:themeFill="accent1"/>
            <w:vAlign w:val="center"/>
          </w:tcPr>
          <w:p w14:paraId="75EEFDA7" w14:textId="77777777" w:rsidR="0034597A" w:rsidRDefault="0034597A" w:rsidP="00E859C5">
            <w:pPr>
              <w:spacing w:before="0" w:after="0"/>
              <w:jc w:val="right"/>
            </w:pPr>
            <w:r>
              <w:rPr>
                <w:rFonts w:cs="Arial"/>
                <w:szCs w:val="20"/>
              </w:rPr>
              <w:t>77%</w:t>
            </w:r>
          </w:p>
        </w:tc>
        <w:tc>
          <w:tcPr>
            <w:tcW w:w="0" w:type="auto"/>
            <w:shd w:val="clear" w:color="auto" w:fill="92D050"/>
            <w:vAlign w:val="center"/>
          </w:tcPr>
          <w:p w14:paraId="6C85E514" w14:textId="77777777" w:rsidR="0034597A" w:rsidRDefault="0034597A" w:rsidP="00E859C5">
            <w:pPr>
              <w:spacing w:before="0" w:after="0"/>
              <w:jc w:val="right"/>
            </w:pPr>
            <w:r>
              <w:rPr>
                <w:rFonts w:cs="Arial"/>
                <w:szCs w:val="20"/>
              </w:rPr>
              <w:t>282%</w:t>
            </w:r>
          </w:p>
        </w:tc>
        <w:tc>
          <w:tcPr>
            <w:tcW w:w="0" w:type="auto"/>
            <w:shd w:val="clear" w:color="auto" w:fill="92D050"/>
            <w:vAlign w:val="center"/>
          </w:tcPr>
          <w:p w14:paraId="67B22261" w14:textId="77777777" w:rsidR="0034597A" w:rsidRDefault="0034597A" w:rsidP="00E859C5">
            <w:pPr>
              <w:spacing w:before="0" w:after="0"/>
              <w:jc w:val="right"/>
            </w:pPr>
            <w:r>
              <w:rPr>
                <w:rFonts w:cs="Arial"/>
                <w:szCs w:val="20"/>
              </w:rPr>
              <w:t>136%</w:t>
            </w:r>
          </w:p>
        </w:tc>
        <w:tc>
          <w:tcPr>
            <w:tcW w:w="0" w:type="auto"/>
          </w:tcPr>
          <w:p w14:paraId="37DDD5A8" w14:textId="1C660B65" w:rsidR="0034597A" w:rsidRDefault="00D56300" w:rsidP="00E859C5">
            <w:pPr>
              <w:spacing w:before="0" w:after="0"/>
              <w:jc w:val="right"/>
            </w:pPr>
            <w:r>
              <w:t>60%</w:t>
            </w:r>
          </w:p>
        </w:tc>
      </w:tr>
      <w:tr w:rsidR="00AD6DE5" w14:paraId="17FB8CCB" w14:textId="77777777" w:rsidTr="0054117F">
        <w:tc>
          <w:tcPr>
            <w:tcW w:w="1562" w:type="dxa"/>
            <w:shd w:val="clear" w:color="auto" w:fill="DDF2EC" w:themeFill="background2" w:themeFillTint="33"/>
          </w:tcPr>
          <w:p w14:paraId="27A971B7" w14:textId="77777777" w:rsidR="00AD6DE5" w:rsidRDefault="00AD6DE5">
            <w:pPr>
              <w:spacing w:before="0" w:after="0"/>
            </w:pPr>
            <w:r>
              <w:t>Jan–Jun 2023</w:t>
            </w:r>
          </w:p>
        </w:tc>
        <w:tc>
          <w:tcPr>
            <w:tcW w:w="1542" w:type="dxa"/>
            <w:shd w:val="clear" w:color="auto" w:fill="DDF2EC" w:themeFill="background2" w:themeFillTint="33"/>
          </w:tcPr>
          <w:p w14:paraId="2A7C4F80" w14:textId="77777777" w:rsidR="00AD6DE5" w:rsidRDefault="00AD6DE5">
            <w:pPr>
              <w:spacing w:before="0" w:after="0"/>
            </w:pPr>
            <w:r>
              <w:t>Target</w:t>
            </w:r>
          </w:p>
        </w:tc>
        <w:tc>
          <w:tcPr>
            <w:tcW w:w="1908" w:type="dxa"/>
          </w:tcPr>
          <w:p w14:paraId="7E02A90E" w14:textId="77777777" w:rsidR="00AD6DE5" w:rsidRDefault="00AD6DE5" w:rsidP="00E859C5">
            <w:pPr>
              <w:spacing w:before="0" w:after="0"/>
              <w:jc w:val="right"/>
            </w:pPr>
            <w:r>
              <w:t>60</w:t>
            </w:r>
          </w:p>
        </w:tc>
        <w:tc>
          <w:tcPr>
            <w:tcW w:w="0" w:type="auto"/>
          </w:tcPr>
          <w:p w14:paraId="471C69D5" w14:textId="77777777" w:rsidR="00AD6DE5" w:rsidRDefault="00AD6DE5" w:rsidP="00E859C5">
            <w:pPr>
              <w:spacing w:before="0" w:after="0"/>
              <w:jc w:val="right"/>
            </w:pPr>
            <w:r>
              <w:t>180</w:t>
            </w:r>
          </w:p>
        </w:tc>
        <w:tc>
          <w:tcPr>
            <w:tcW w:w="0" w:type="auto"/>
          </w:tcPr>
          <w:p w14:paraId="2814F203" w14:textId="77777777" w:rsidR="00AD6DE5" w:rsidRDefault="00AD6DE5" w:rsidP="00E859C5">
            <w:pPr>
              <w:spacing w:before="0" w:after="0"/>
              <w:jc w:val="right"/>
            </w:pPr>
            <w:r>
              <w:t>600</w:t>
            </w:r>
          </w:p>
        </w:tc>
        <w:tc>
          <w:tcPr>
            <w:tcW w:w="0" w:type="auto"/>
          </w:tcPr>
          <w:p w14:paraId="46952A91" w14:textId="77777777" w:rsidR="00AD6DE5" w:rsidRDefault="00AD6DE5" w:rsidP="00E859C5">
            <w:pPr>
              <w:spacing w:before="0" w:after="0"/>
              <w:jc w:val="right"/>
            </w:pPr>
            <w:r>
              <w:t>60</w:t>
            </w:r>
          </w:p>
        </w:tc>
        <w:tc>
          <w:tcPr>
            <w:tcW w:w="0" w:type="auto"/>
          </w:tcPr>
          <w:p w14:paraId="638ECF78" w14:textId="77777777" w:rsidR="00AD6DE5" w:rsidRDefault="00AD6DE5" w:rsidP="00E859C5">
            <w:pPr>
              <w:spacing w:before="0" w:after="0"/>
              <w:jc w:val="right"/>
            </w:pPr>
            <w:r>
              <w:t>60</w:t>
            </w:r>
          </w:p>
        </w:tc>
        <w:tc>
          <w:tcPr>
            <w:tcW w:w="0" w:type="auto"/>
          </w:tcPr>
          <w:p w14:paraId="78BA23C7" w14:textId="2090D0AB" w:rsidR="00AD6DE5" w:rsidRDefault="00954BD4" w:rsidP="00E859C5">
            <w:pPr>
              <w:spacing w:before="0" w:after="0"/>
              <w:jc w:val="right"/>
            </w:pPr>
            <w:r>
              <w:t>-</w:t>
            </w:r>
          </w:p>
        </w:tc>
      </w:tr>
      <w:tr w:rsidR="00AD6DE5" w14:paraId="2AFC9E0F" w14:textId="77777777" w:rsidTr="0054117F">
        <w:tc>
          <w:tcPr>
            <w:tcW w:w="1562" w:type="dxa"/>
            <w:shd w:val="clear" w:color="auto" w:fill="DDF2EC" w:themeFill="background2" w:themeFillTint="33"/>
          </w:tcPr>
          <w:p w14:paraId="28551932" w14:textId="15F2B5D4" w:rsidR="00AD6DE5" w:rsidRDefault="005C6E76">
            <w:pPr>
              <w:spacing w:before="0" w:after="0"/>
            </w:pPr>
            <w:r>
              <w:t>Jan–Jun 2023</w:t>
            </w:r>
          </w:p>
        </w:tc>
        <w:tc>
          <w:tcPr>
            <w:tcW w:w="1542" w:type="dxa"/>
            <w:shd w:val="clear" w:color="auto" w:fill="DDF2EC" w:themeFill="background2" w:themeFillTint="33"/>
          </w:tcPr>
          <w:p w14:paraId="63B457A6" w14:textId="77777777" w:rsidR="00AD6DE5" w:rsidRDefault="00AD6DE5">
            <w:pPr>
              <w:spacing w:before="0" w:after="0"/>
            </w:pPr>
            <w:r>
              <w:t>Actual</w:t>
            </w:r>
          </w:p>
        </w:tc>
        <w:tc>
          <w:tcPr>
            <w:tcW w:w="1908" w:type="dxa"/>
          </w:tcPr>
          <w:p w14:paraId="189355E5" w14:textId="77777777" w:rsidR="00AD6DE5" w:rsidRDefault="00AD6DE5" w:rsidP="00E859C5">
            <w:pPr>
              <w:spacing w:before="0" w:after="0"/>
              <w:jc w:val="right"/>
            </w:pPr>
            <w:r>
              <w:t>77</w:t>
            </w:r>
          </w:p>
        </w:tc>
        <w:tc>
          <w:tcPr>
            <w:tcW w:w="0" w:type="auto"/>
          </w:tcPr>
          <w:p w14:paraId="6752FCD1" w14:textId="77777777" w:rsidR="00AD6DE5" w:rsidRDefault="00AD6DE5" w:rsidP="00E859C5">
            <w:pPr>
              <w:spacing w:before="0" w:after="0"/>
              <w:jc w:val="right"/>
            </w:pPr>
            <w:r>
              <w:t>191</w:t>
            </w:r>
          </w:p>
        </w:tc>
        <w:tc>
          <w:tcPr>
            <w:tcW w:w="0" w:type="auto"/>
          </w:tcPr>
          <w:p w14:paraId="75B9DAD4" w14:textId="77777777" w:rsidR="00AD6DE5" w:rsidRDefault="00AD6DE5" w:rsidP="00E859C5">
            <w:pPr>
              <w:spacing w:before="0" w:after="0"/>
              <w:jc w:val="right"/>
            </w:pPr>
            <w:r>
              <w:t>691</w:t>
            </w:r>
          </w:p>
        </w:tc>
        <w:tc>
          <w:tcPr>
            <w:tcW w:w="0" w:type="auto"/>
          </w:tcPr>
          <w:p w14:paraId="760CEF59" w14:textId="77777777" w:rsidR="00AD6DE5" w:rsidRDefault="00AD6DE5" w:rsidP="00E859C5">
            <w:pPr>
              <w:spacing w:before="0" w:after="0"/>
              <w:jc w:val="right"/>
            </w:pPr>
            <w:r>
              <w:t>246</w:t>
            </w:r>
          </w:p>
        </w:tc>
        <w:tc>
          <w:tcPr>
            <w:tcW w:w="0" w:type="auto"/>
          </w:tcPr>
          <w:p w14:paraId="69471EBE" w14:textId="77777777" w:rsidR="00AD6DE5" w:rsidRDefault="00AD6DE5" w:rsidP="00E859C5">
            <w:pPr>
              <w:spacing w:before="0" w:after="0"/>
              <w:jc w:val="right"/>
            </w:pPr>
            <w:r>
              <w:t>49</w:t>
            </w:r>
          </w:p>
        </w:tc>
        <w:tc>
          <w:tcPr>
            <w:tcW w:w="0" w:type="auto"/>
          </w:tcPr>
          <w:p w14:paraId="68735123" w14:textId="443E1B03" w:rsidR="00AD6DE5" w:rsidRDefault="00954BD4" w:rsidP="00E859C5">
            <w:pPr>
              <w:spacing w:before="0" w:after="0"/>
              <w:jc w:val="right"/>
            </w:pPr>
            <w:r>
              <w:t>-</w:t>
            </w:r>
          </w:p>
        </w:tc>
      </w:tr>
      <w:tr w:rsidR="0034597A" w14:paraId="6E140A78" w14:textId="77777777" w:rsidTr="0054117F">
        <w:tc>
          <w:tcPr>
            <w:tcW w:w="1562" w:type="dxa"/>
            <w:shd w:val="clear" w:color="auto" w:fill="DDF2EC" w:themeFill="background2" w:themeFillTint="33"/>
          </w:tcPr>
          <w:p w14:paraId="38485FF8" w14:textId="33E9A808" w:rsidR="0034597A" w:rsidRDefault="005C6E76">
            <w:pPr>
              <w:spacing w:before="0" w:after="0"/>
            </w:pPr>
            <w:r>
              <w:t>Jan–Jun 2023</w:t>
            </w:r>
          </w:p>
        </w:tc>
        <w:tc>
          <w:tcPr>
            <w:tcW w:w="1542" w:type="dxa"/>
            <w:shd w:val="clear" w:color="auto" w:fill="DDF2EC" w:themeFill="background2" w:themeFillTint="33"/>
          </w:tcPr>
          <w:p w14:paraId="4B96819D" w14:textId="77777777" w:rsidR="0034597A" w:rsidRDefault="0034597A">
            <w:pPr>
              <w:spacing w:before="0" w:after="0"/>
            </w:pPr>
            <w:r>
              <w:t>Performance</w:t>
            </w:r>
          </w:p>
        </w:tc>
        <w:tc>
          <w:tcPr>
            <w:tcW w:w="1908" w:type="dxa"/>
            <w:shd w:val="clear" w:color="auto" w:fill="92D050"/>
            <w:vAlign w:val="center"/>
          </w:tcPr>
          <w:p w14:paraId="67F739AD" w14:textId="77777777" w:rsidR="0034597A" w:rsidRDefault="0034597A" w:rsidP="00E859C5">
            <w:pPr>
              <w:spacing w:before="0" w:after="0"/>
              <w:jc w:val="right"/>
            </w:pPr>
            <w:r>
              <w:rPr>
                <w:rFonts w:cs="Arial"/>
                <w:szCs w:val="20"/>
              </w:rPr>
              <w:t>128%</w:t>
            </w:r>
          </w:p>
        </w:tc>
        <w:tc>
          <w:tcPr>
            <w:tcW w:w="0" w:type="auto"/>
            <w:shd w:val="clear" w:color="auto" w:fill="92D050"/>
            <w:vAlign w:val="center"/>
          </w:tcPr>
          <w:p w14:paraId="126C934B" w14:textId="77777777" w:rsidR="0034597A" w:rsidRDefault="0034597A" w:rsidP="00E859C5">
            <w:pPr>
              <w:spacing w:before="0" w:after="0"/>
              <w:jc w:val="right"/>
            </w:pPr>
            <w:r>
              <w:rPr>
                <w:rFonts w:cs="Arial"/>
                <w:szCs w:val="20"/>
              </w:rPr>
              <w:t>106%</w:t>
            </w:r>
          </w:p>
        </w:tc>
        <w:tc>
          <w:tcPr>
            <w:tcW w:w="0" w:type="auto"/>
            <w:shd w:val="clear" w:color="auto" w:fill="92D050"/>
            <w:vAlign w:val="center"/>
          </w:tcPr>
          <w:p w14:paraId="6A5B57DF" w14:textId="77777777" w:rsidR="0034597A" w:rsidRDefault="0034597A" w:rsidP="00E859C5">
            <w:pPr>
              <w:spacing w:before="0" w:after="0"/>
              <w:jc w:val="right"/>
            </w:pPr>
            <w:r>
              <w:rPr>
                <w:rFonts w:cs="Arial"/>
                <w:szCs w:val="20"/>
              </w:rPr>
              <w:t>115%</w:t>
            </w:r>
          </w:p>
        </w:tc>
        <w:tc>
          <w:tcPr>
            <w:tcW w:w="0" w:type="auto"/>
            <w:shd w:val="clear" w:color="auto" w:fill="92D050"/>
            <w:vAlign w:val="center"/>
          </w:tcPr>
          <w:p w14:paraId="4D46E59F" w14:textId="77777777" w:rsidR="0034597A" w:rsidRDefault="0034597A" w:rsidP="00E859C5">
            <w:pPr>
              <w:spacing w:before="0" w:after="0"/>
              <w:jc w:val="right"/>
            </w:pPr>
            <w:r>
              <w:rPr>
                <w:rFonts w:cs="Arial"/>
                <w:szCs w:val="20"/>
              </w:rPr>
              <w:t>410%</w:t>
            </w:r>
          </w:p>
        </w:tc>
        <w:tc>
          <w:tcPr>
            <w:tcW w:w="0" w:type="auto"/>
            <w:shd w:val="clear" w:color="auto" w:fill="FBDC00" w:themeFill="accent1"/>
            <w:vAlign w:val="center"/>
          </w:tcPr>
          <w:p w14:paraId="33E3D5E9" w14:textId="77777777" w:rsidR="0034597A" w:rsidRDefault="0034597A" w:rsidP="00E859C5">
            <w:pPr>
              <w:spacing w:before="0" w:after="0"/>
              <w:jc w:val="right"/>
            </w:pPr>
            <w:r>
              <w:rPr>
                <w:rFonts w:cs="Arial"/>
                <w:szCs w:val="20"/>
              </w:rPr>
              <w:t>82%</w:t>
            </w:r>
          </w:p>
        </w:tc>
        <w:tc>
          <w:tcPr>
            <w:tcW w:w="0" w:type="auto"/>
          </w:tcPr>
          <w:p w14:paraId="46921A9E" w14:textId="72D9AA17" w:rsidR="0034597A" w:rsidRDefault="00954BD4" w:rsidP="00E859C5">
            <w:pPr>
              <w:spacing w:before="0" w:after="0"/>
              <w:jc w:val="right"/>
            </w:pPr>
            <w:r>
              <w:t>80%</w:t>
            </w:r>
          </w:p>
        </w:tc>
      </w:tr>
      <w:tr w:rsidR="0034597A" w14:paraId="39B3F4CE" w14:textId="77777777" w:rsidTr="0054117F">
        <w:tc>
          <w:tcPr>
            <w:tcW w:w="1562" w:type="dxa"/>
            <w:shd w:val="clear" w:color="auto" w:fill="DDF2EC" w:themeFill="background2" w:themeFillTint="33"/>
          </w:tcPr>
          <w:p w14:paraId="11E28D17" w14:textId="77777777" w:rsidR="0034597A" w:rsidRDefault="0034597A">
            <w:pPr>
              <w:spacing w:before="0" w:after="0"/>
            </w:pPr>
            <w:r>
              <w:t>Jul–Dec 2023</w:t>
            </w:r>
          </w:p>
        </w:tc>
        <w:tc>
          <w:tcPr>
            <w:tcW w:w="1542" w:type="dxa"/>
            <w:shd w:val="clear" w:color="auto" w:fill="DDF2EC" w:themeFill="background2" w:themeFillTint="33"/>
          </w:tcPr>
          <w:p w14:paraId="3B4B699F" w14:textId="77777777" w:rsidR="0034597A" w:rsidRDefault="0034597A">
            <w:pPr>
              <w:spacing w:before="0" w:after="0"/>
            </w:pPr>
            <w:r>
              <w:t>Target</w:t>
            </w:r>
          </w:p>
        </w:tc>
        <w:tc>
          <w:tcPr>
            <w:tcW w:w="1908" w:type="dxa"/>
          </w:tcPr>
          <w:p w14:paraId="571FD06D" w14:textId="77777777" w:rsidR="0034597A" w:rsidRDefault="0034597A" w:rsidP="00E859C5">
            <w:pPr>
              <w:spacing w:before="0" w:after="0"/>
              <w:jc w:val="right"/>
            </w:pPr>
            <w:r>
              <w:t>60</w:t>
            </w:r>
          </w:p>
        </w:tc>
        <w:tc>
          <w:tcPr>
            <w:tcW w:w="0" w:type="auto"/>
          </w:tcPr>
          <w:p w14:paraId="7A8BD35D" w14:textId="77777777" w:rsidR="0034597A" w:rsidRDefault="0034597A" w:rsidP="00E859C5">
            <w:pPr>
              <w:spacing w:before="0" w:after="0"/>
              <w:jc w:val="right"/>
            </w:pPr>
            <w:r>
              <w:t>180</w:t>
            </w:r>
          </w:p>
        </w:tc>
        <w:tc>
          <w:tcPr>
            <w:tcW w:w="0" w:type="auto"/>
          </w:tcPr>
          <w:p w14:paraId="61389AF5" w14:textId="77777777" w:rsidR="0034597A" w:rsidRDefault="0034597A" w:rsidP="00E859C5">
            <w:pPr>
              <w:spacing w:before="0" w:after="0"/>
              <w:jc w:val="right"/>
            </w:pPr>
            <w:r>
              <w:t>600</w:t>
            </w:r>
          </w:p>
        </w:tc>
        <w:tc>
          <w:tcPr>
            <w:tcW w:w="0" w:type="auto"/>
          </w:tcPr>
          <w:p w14:paraId="539D92BA" w14:textId="77777777" w:rsidR="0034597A" w:rsidRDefault="0034597A" w:rsidP="00E859C5">
            <w:pPr>
              <w:spacing w:before="0" w:after="0"/>
              <w:jc w:val="right"/>
            </w:pPr>
            <w:r>
              <w:t>60</w:t>
            </w:r>
          </w:p>
        </w:tc>
        <w:tc>
          <w:tcPr>
            <w:tcW w:w="0" w:type="auto"/>
          </w:tcPr>
          <w:p w14:paraId="5F12CEB9" w14:textId="77777777" w:rsidR="0034597A" w:rsidRDefault="0034597A" w:rsidP="00E859C5">
            <w:pPr>
              <w:spacing w:before="0" w:after="0"/>
              <w:jc w:val="right"/>
            </w:pPr>
            <w:r>
              <w:t>60</w:t>
            </w:r>
          </w:p>
        </w:tc>
        <w:tc>
          <w:tcPr>
            <w:tcW w:w="0" w:type="auto"/>
          </w:tcPr>
          <w:p w14:paraId="6F917149" w14:textId="05AEA3FF" w:rsidR="0034597A" w:rsidRDefault="00954BD4" w:rsidP="00E859C5">
            <w:pPr>
              <w:spacing w:before="0" w:after="0"/>
              <w:jc w:val="right"/>
            </w:pPr>
            <w:r>
              <w:t>-</w:t>
            </w:r>
          </w:p>
        </w:tc>
      </w:tr>
      <w:tr w:rsidR="0034597A" w14:paraId="747A53A2" w14:textId="77777777" w:rsidTr="00B65239">
        <w:tc>
          <w:tcPr>
            <w:tcW w:w="1562" w:type="dxa"/>
            <w:shd w:val="clear" w:color="auto" w:fill="DDF2EC" w:themeFill="background2" w:themeFillTint="33"/>
          </w:tcPr>
          <w:p w14:paraId="47C36345" w14:textId="776CF256" w:rsidR="0034597A" w:rsidRDefault="005C6E76">
            <w:pPr>
              <w:spacing w:before="0" w:after="0"/>
            </w:pPr>
            <w:r>
              <w:lastRenderedPageBreak/>
              <w:t>Jul–Dec 2023</w:t>
            </w:r>
          </w:p>
        </w:tc>
        <w:tc>
          <w:tcPr>
            <w:tcW w:w="1542" w:type="dxa"/>
            <w:shd w:val="clear" w:color="auto" w:fill="DDF2EC" w:themeFill="background2" w:themeFillTint="33"/>
          </w:tcPr>
          <w:p w14:paraId="2DC41F24" w14:textId="77777777" w:rsidR="0034597A" w:rsidRDefault="0034597A">
            <w:pPr>
              <w:spacing w:before="0" w:after="0"/>
            </w:pPr>
            <w:r>
              <w:t>Actual</w:t>
            </w:r>
          </w:p>
        </w:tc>
        <w:tc>
          <w:tcPr>
            <w:tcW w:w="1908" w:type="dxa"/>
            <w:vAlign w:val="center"/>
          </w:tcPr>
          <w:p w14:paraId="57EB7015" w14:textId="77777777" w:rsidR="0034597A" w:rsidRDefault="0034597A" w:rsidP="00B65239">
            <w:pPr>
              <w:spacing w:before="0" w:after="0"/>
              <w:jc w:val="right"/>
            </w:pPr>
            <w:r>
              <w:t>53</w:t>
            </w:r>
          </w:p>
        </w:tc>
        <w:tc>
          <w:tcPr>
            <w:tcW w:w="0" w:type="auto"/>
            <w:vAlign w:val="center"/>
          </w:tcPr>
          <w:p w14:paraId="7E37C4D2" w14:textId="77777777" w:rsidR="0034597A" w:rsidRDefault="0034597A" w:rsidP="00B65239">
            <w:pPr>
              <w:spacing w:before="0" w:after="0"/>
              <w:jc w:val="right"/>
            </w:pPr>
            <w:r>
              <w:t>157</w:t>
            </w:r>
          </w:p>
        </w:tc>
        <w:tc>
          <w:tcPr>
            <w:tcW w:w="0" w:type="auto"/>
            <w:vAlign w:val="center"/>
          </w:tcPr>
          <w:p w14:paraId="3C869B69" w14:textId="77777777" w:rsidR="0034597A" w:rsidRDefault="0034597A" w:rsidP="00B65239">
            <w:pPr>
              <w:spacing w:before="0" w:after="0"/>
              <w:jc w:val="right"/>
            </w:pPr>
            <w:r>
              <w:t>664</w:t>
            </w:r>
          </w:p>
        </w:tc>
        <w:tc>
          <w:tcPr>
            <w:tcW w:w="0" w:type="auto"/>
            <w:vAlign w:val="center"/>
          </w:tcPr>
          <w:p w14:paraId="1304CD02" w14:textId="77777777" w:rsidR="0034597A" w:rsidRDefault="0034597A" w:rsidP="00B65239">
            <w:pPr>
              <w:spacing w:before="0" w:after="0"/>
              <w:jc w:val="right"/>
            </w:pPr>
            <w:r>
              <w:t>196</w:t>
            </w:r>
          </w:p>
        </w:tc>
        <w:tc>
          <w:tcPr>
            <w:tcW w:w="0" w:type="auto"/>
            <w:vAlign w:val="center"/>
          </w:tcPr>
          <w:p w14:paraId="3A39929B" w14:textId="77777777" w:rsidR="0034597A" w:rsidRDefault="0034597A" w:rsidP="00B65239">
            <w:pPr>
              <w:spacing w:before="0" w:after="0"/>
              <w:jc w:val="right"/>
            </w:pPr>
            <w:r>
              <w:t>45</w:t>
            </w:r>
          </w:p>
        </w:tc>
        <w:tc>
          <w:tcPr>
            <w:tcW w:w="0" w:type="auto"/>
            <w:vAlign w:val="center"/>
          </w:tcPr>
          <w:p w14:paraId="4DBA05B8" w14:textId="0D2F73CF" w:rsidR="0034597A" w:rsidRDefault="005C6E76" w:rsidP="00B65239">
            <w:pPr>
              <w:spacing w:before="0" w:after="0"/>
              <w:jc w:val="right"/>
            </w:pPr>
            <w:r>
              <w:t>-</w:t>
            </w:r>
          </w:p>
        </w:tc>
      </w:tr>
      <w:tr w:rsidR="0034597A" w14:paraId="5F74E6B6" w14:textId="77777777" w:rsidTr="00B65239">
        <w:tc>
          <w:tcPr>
            <w:tcW w:w="1562" w:type="dxa"/>
            <w:shd w:val="clear" w:color="auto" w:fill="DDF2EC" w:themeFill="background2" w:themeFillTint="33"/>
          </w:tcPr>
          <w:p w14:paraId="13E76E5B" w14:textId="61C3B7BB" w:rsidR="0034597A" w:rsidRDefault="005C6E76">
            <w:pPr>
              <w:spacing w:before="0" w:after="0"/>
            </w:pPr>
            <w:r>
              <w:t>Jul–Dec 2023</w:t>
            </w:r>
          </w:p>
        </w:tc>
        <w:tc>
          <w:tcPr>
            <w:tcW w:w="1542" w:type="dxa"/>
            <w:shd w:val="clear" w:color="auto" w:fill="DDF2EC" w:themeFill="background2" w:themeFillTint="33"/>
          </w:tcPr>
          <w:p w14:paraId="30816051" w14:textId="77777777" w:rsidR="0034597A" w:rsidRDefault="0034597A">
            <w:pPr>
              <w:spacing w:before="0" w:after="0"/>
            </w:pPr>
            <w:r>
              <w:t>Performance</w:t>
            </w:r>
          </w:p>
        </w:tc>
        <w:tc>
          <w:tcPr>
            <w:tcW w:w="1908" w:type="dxa"/>
            <w:shd w:val="clear" w:color="auto" w:fill="FBDC00" w:themeFill="accent1"/>
            <w:vAlign w:val="center"/>
          </w:tcPr>
          <w:p w14:paraId="6E58D34C" w14:textId="77777777" w:rsidR="0034597A" w:rsidRDefault="0034597A" w:rsidP="00B65239">
            <w:pPr>
              <w:spacing w:before="0" w:after="0"/>
              <w:jc w:val="right"/>
            </w:pPr>
            <w:r>
              <w:rPr>
                <w:rFonts w:cs="Arial"/>
                <w:szCs w:val="20"/>
              </w:rPr>
              <w:t>88%</w:t>
            </w:r>
          </w:p>
        </w:tc>
        <w:tc>
          <w:tcPr>
            <w:tcW w:w="0" w:type="auto"/>
            <w:shd w:val="clear" w:color="auto" w:fill="FBDC00" w:themeFill="accent1"/>
            <w:vAlign w:val="center"/>
          </w:tcPr>
          <w:p w14:paraId="60AEFC93" w14:textId="77777777" w:rsidR="0034597A" w:rsidRDefault="0034597A" w:rsidP="00B65239">
            <w:pPr>
              <w:spacing w:before="0" w:after="0"/>
              <w:jc w:val="right"/>
            </w:pPr>
            <w:r>
              <w:rPr>
                <w:rFonts w:cs="Arial"/>
                <w:szCs w:val="20"/>
              </w:rPr>
              <w:t>87%</w:t>
            </w:r>
          </w:p>
        </w:tc>
        <w:tc>
          <w:tcPr>
            <w:tcW w:w="0" w:type="auto"/>
            <w:shd w:val="clear" w:color="auto" w:fill="92D050"/>
            <w:vAlign w:val="center"/>
          </w:tcPr>
          <w:p w14:paraId="341C77E2" w14:textId="77777777" w:rsidR="0034597A" w:rsidRDefault="0034597A" w:rsidP="00B65239">
            <w:pPr>
              <w:spacing w:before="0" w:after="0"/>
              <w:jc w:val="right"/>
            </w:pPr>
            <w:r>
              <w:rPr>
                <w:rFonts w:cs="Arial"/>
                <w:szCs w:val="20"/>
              </w:rPr>
              <w:t>111%</w:t>
            </w:r>
          </w:p>
        </w:tc>
        <w:tc>
          <w:tcPr>
            <w:tcW w:w="0" w:type="auto"/>
            <w:shd w:val="clear" w:color="auto" w:fill="92D050"/>
            <w:vAlign w:val="center"/>
          </w:tcPr>
          <w:p w14:paraId="432FE2D5" w14:textId="77777777" w:rsidR="0034597A" w:rsidRDefault="0034597A" w:rsidP="00B65239">
            <w:pPr>
              <w:spacing w:before="0" w:after="0"/>
              <w:jc w:val="right"/>
            </w:pPr>
            <w:r>
              <w:rPr>
                <w:rFonts w:cs="Arial"/>
                <w:szCs w:val="20"/>
              </w:rPr>
              <w:t>327%</w:t>
            </w:r>
          </w:p>
        </w:tc>
        <w:tc>
          <w:tcPr>
            <w:tcW w:w="0" w:type="auto"/>
            <w:shd w:val="clear" w:color="auto" w:fill="FBDC00" w:themeFill="accent1"/>
            <w:vAlign w:val="center"/>
          </w:tcPr>
          <w:p w14:paraId="1F1DD508" w14:textId="77777777" w:rsidR="0034597A" w:rsidRDefault="0034597A" w:rsidP="00B65239">
            <w:pPr>
              <w:spacing w:before="0" w:after="0"/>
              <w:jc w:val="right"/>
            </w:pPr>
            <w:r>
              <w:rPr>
                <w:rFonts w:cs="Arial"/>
                <w:szCs w:val="20"/>
              </w:rPr>
              <w:t>75%</w:t>
            </w:r>
          </w:p>
        </w:tc>
        <w:tc>
          <w:tcPr>
            <w:tcW w:w="0" w:type="auto"/>
            <w:vAlign w:val="center"/>
          </w:tcPr>
          <w:p w14:paraId="56824A9A" w14:textId="6487ED41" w:rsidR="0034597A" w:rsidRDefault="00954BD4" w:rsidP="00B65239">
            <w:pPr>
              <w:spacing w:before="0" w:after="0"/>
              <w:jc w:val="right"/>
            </w:pPr>
            <w:r>
              <w:t>40%</w:t>
            </w:r>
          </w:p>
        </w:tc>
      </w:tr>
      <w:tr w:rsidR="00AD6DE5" w14:paraId="07A48B4D" w14:textId="77777777" w:rsidTr="00B65239">
        <w:tc>
          <w:tcPr>
            <w:tcW w:w="1562" w:type="dxa"/>
            <w:shd w:val="clear" w:color="auto" w:fill="DDF2EC" w:themeFill="background2" w:themeFillTint="33"/>
          </w:tcPr>
          <w:p w14:paraId="22C3BC1F" w14:textId="77777777" w:rsidR="00AD6DE5" w:rsidRDefault="00AD6DE5">
            <w:pPr>
              <w:spacing w:before="0" w:after="0"/>
            </w:pPr>
            <w:r>
              <w:t>Jan–Jun 2024</w:t>
            </w:r>
          </w:p>
        </w:tc>
        <w:tc>
          <w:tcPr>
            <w:tcW w:w="1542" w:type="dxa"/>
            <w:shd w:val="clear" w:color="auto" w:fill="DDF2EC" w:themeFill="background2" w:themeFillTint="33"/>
          </w:tcPr>
          <w:p w14:paraId="4A14A93C" w14:textId="77777777" w:rsidR="00AD6DE5" w:rsidRDefault="00AD6DE5">
            <w:pPr>
              <w:spacing w:before="0" w:after="0"/>
            </w:pPr>
            <w:r>
              <w:t>Target</w:t>
            </w:r>
          </w:p>
        </w:tc>
        <w:tc>
          <w:tcPr>
            <w:tcW w:w="1908" w:type="dxa"/>
            <w:vAlign w:val="center"/>
          </w:tcPr>
          <w:p w14:paraId="15AD3093" w14:textId="77777777" w:rsidR="00AD6DE5" w:rsidRDefault="00AD6DE5" w:rsidP="00B65239">
            <w:pPr>
              <w:spacing w:before="0" w:after="0"/>
              <w:jc w:val="right"/>
            </w:pPr>
            <w:r>
              <w:t>75</w:t>
            </w:r>
          </w:p>
        </w:tc>
        <w:tc>
          <w:tcPr>
            <w:tcW w:w="0" w:type="auto"/>
            <w:vAlign w:val="center"/>
          </w:tcPr>
          <w:p w14:paraId="302D3FB6" w14:textId="77777777" w:rsidR="00AD6DE5" w:rsidRDefault="00AD6DE5" w:rsidP="00B65239">
            <w:pPr>
              <w:spacing w:before="0" w:after="0"/>
              <w:jc w:val="right"/>
            </w:pPr>
            <w:r>
              <w:t>225</w:t>
            </w:r>
          </w:p>
        </w:tc>
        <w:tc>
          <w:tcPr>
            <w:tcW w:w="0" w:type="auto"/>
            <w:vAlign w:val="center"/>
          </w:tcPr>
          <w:p w14:paraId="52F1E775" w14:textId="77777777" w:rsidR="00AD6DE5" w:rsidRDefault="00AD6DE5" w:rsidP="00B65239">
            <w:pPr>
              <w:spacing w:before="0" w:after="0"/>
              <w:jc w:val="right"/>
            </w:pPr>
            <w:r>
              <w:t>750</w:t>
            </w:r>
          </w:p>
        </w:tc>
        <w:tc>
          <w:tcPr>
            <w:tcW w:w="0" w:type="auto"/>
            <w:vAlign w:val="center"/>
          </w:tcPr>
          <w:p w14:paraId="25495224" w14:textId="77777777" w:rsidR="00AD6DE5" w:rsidRDefault="00AD6DE5" w:rsidP="00B65239">
            <w:pPr>
              <w:spacing w:before="0" w:after="0"/>
              <w:jc w:val="right"/>
            </w:pPr>
            <w:r>
              <w:t>75</w:t>
            </w:r>
          </w:p>
        </w:tc>
        <w:tc>
          <w:tcPr>
            <w:tcW w:w="0" w:type="auto"/>
            <w:vAlign w:val="center"/>
          </w:tcPr>
          <w:p w14:paraId="08E0F25E" w14:textId="77777777" w:rsidR="00AD6DE5" w:rsidRDefault="00AD6DE5" w:rsidP="00B65239">
            <w:pPr>
              <w:spacing w:before="0" w:after="0"/>
              <w:jc w:val="right"/>
            </w:pPr>
            <w:r>
              <w:t>75</w:t>
            </w:r>
          </w:p>
        </w:tc>
        <w:tc>
          <w:tcPr>
            <w:tcW w:w="0" w:type="auto"/>
            <w:vAlign w:val="center"/>
          </w:tcPr>
          <w:p w14:paraId="38BEB7F9" w14:textId="70B7BCF9" w:rsidR="00AD6DE5" w:rsidRDefault="005C6E76" w:rsidP="00B65239">
            <w:pPr>
              <w:spacing w:before="0" w:after="0"/>
              <w:jc w:val="right"/>
            </w:pPr>
            <w:r>
              <w:t>-</w:t>
            </w:r>
          </w:p>
        </w:tc>
      </w:tr>
      <w:tr w:rsidR="00AD6DE5" w14:paraId="0FFE01D2" w14:textId="77777777" w:rsidTr="00B65239">
        <w:tc>
          <w:tcPr>
            <w:tcW w:w="1562" w:type="dxa"/>
            <w:shd w:val="clear" w:color="auto" w:fill="DDF2EC" w:themeFill="background2" w:themeFillTint="33"/>
          </w:tcPr>
          <w:p w14:paraId="4E80B328" w14:textId="4BD4D58E" w:rsidR="00AD6DE5" w:rsidRDefault="005C6E76">
            <w:pPr>
              <w:spacing w:before="0" w:after="0"/>
            </w:pPr>
            <w:r>
              <w:t>Jan–Jun 2024</w:t>
            </w:r>
          </w:p>
        </w:tc>
        <w:tc>
          <w:tcPr>
            <w:tcW w:w="1542" w:type="dxa"/>
            <w:shd w:val="clear" w:color="auto" w:fill="DDF2EC" w:themeFill="background2" w:themeFillTint="33"/>
          </w:tcPr>
          <w:p w14:paraId="3A65E97C" w14:textId="77777777" w:rsidR="00AD6DE5" w:rsidRDefault="00AD6DE5">
            <w:pPr>
              <w:spacing w:before="0" w:after="0"/>
            </w:pPr>
            <w:r>
              <w:t>Actual</w:t>
            </w:r>
          </w:p>
        </w:tc>
        <w:tc>
          <w:tcPr>
            <w:tcW w:w="1908" w:type="dxa"/>
            <w:vAlign w:val="center"/>
          </w:tcPr>
          <w:p w14:paraId="72BB1FB9" w14:textId="77777777" w:rsidR="00AD6DE5" w:rsidRDefault="00AD6DE5" w:rsidP="00B65239">
            <w:pPr>
              <w:spacing w:before="0" w:after="0"/>
              <w:jc w:val="right"/>
            </w:pPr>
            <w:r>
              <w:t>96</w:t>
            </w:r>
          </w:p>
        </w:tc>
        <w:tc>
          <w:tcPr>
            <w:tcW w:w="0" w:type="auto"/>
            <w:vAlign w:val="center"/>
          </w:tcPr>
          <w:p w14:paraId="0FBCE8B5" w14:textId="77777777" w:rsidR="00AD6DE5" w:rsidRDefault="00AD6DE5" w:rsidP="00B65239">
            <w:pPr>
              <w:spacing w:before="0" w:after="0"/>
              <w:jc w:val="right"/>
            </w:pPr>
            <w:r>
              <w:t>319</w:t>
            </w:r>
          </w:p>
        </w:tc>
        <w:tc>
          <w:tcPr>
            <w:tcW w:w="0" w:type="auto"/>
            <w:vAlign w:val="center"/>
          </w:tcPr>
          <w:p w14:paraId="5D381BD4" w14:textId="77777777" w:rsidR="00AD6DE5" w:rsidRDefault="00AD6DE5" w:rsidP="00B65239">
            <w:pPr>
              <w:spacing w:before="0" w:after="0"/>
              <w:jc w:val="right"/>
            </w:pPr>
            <w:r>
              <w:t>1,469</w:t>
            </w:r>
          </w:p>
        </w:tc>
        <w:tc>
          <w:tcPr>
            <w:tcW w:w="0" w:type="auto"/>
            <w:vAlign w:val="center"/>
          </w:tcPr>
          <w:p w14:paraId="4C907712" w14:textId="77777777" w:rsidR="00AD6DE5" w:rsidRDefault="00AD6DE5" w:rsidP="00B65239">
            <w:pPr>
              <w:spacing w:before="0" w:after="0"/>
              <w:jc w:val="right"/>
            </w:pPr>
            <w:r>
              <w:t>395</w:t>
            </w:r>
          </w:p>
        </w:tc>
        <w:tc>
          <w:tcPr>
            <w:tcW w:w="0" w:type="auto"/>
            <w:vAlign w:val="center"/>
          </w:tcPr>
          <w:p w14:paraId="5D34CC52" w14:textId="77777777" w:rsidR="00AD6DE5" w:rsidRDefault="00AD6DE5" w:rsidP="00B65239">
            <w:pPr>
              <w:spacing w:before="0" w:after="0"/>
              <w:jc w:val="right"/>
            </w:pPr>
            <w:r>
              <w:t>63</w:t>
            </w:r>
          </w:p>
        </w:tc>
        <w:tc>
          <w:tcPr>
            <w:tcW w:w="0" w:type="auto"/>
            <w:vAlign w:val="center"/>
          </w:tcPr>
          <w:p w14:paraId="4D8F5D60" w14:textId="344A8E78" w:rsidR="00AD6DE5" w:rsidRDefault="005C6E76" w:rsidP="00B65239">
            <w:pPr>
              <w:spacing w:before="0" w:after="0"/>
              <w:jc w:val="right"/>
            </w:pPr>
            <w:r>
              <w:t>-</w:t>
            </w:r>
          </w:p>
        </w:tc>
      </w:tr>
      <w:tr w:rsidR="00AD6DE5" w14:paraId="4F033E62" w14:textId="77777777" w:rsidTr="00B65239">
        <w:tc>
          <w:tcPr>
            <w:tcW w:w="1562" w:type="dxa"/>
            <w:shd w:val="clear" w:color="auto" w:fill="DDF2EC" w:themeFill="background2" w:themeFillTint="33"/>
          </w:tcPr>
          <w:p w14:paraId="1E9895E1" w14:textId="6735532B" w:rsidR="00AD6DE5" w:rsidRDefault="005C6E76">
            <w:pPr>
              <w:spacing w:before="0" w:after="0"/>
            </w:pPr>
            <w:r>
              <w:t>Jan–Jun 2024</w:t>
            </w:r>
          </w:p>
        </w:tc>
        <w:tc>
          <w:tcPr>
            <w:tcW w:w="1542" w:type="dxa"/>
            <w:shd w:val="clear" w:color="auto" w:fill="DDF2EC" w:themeFill="background2" w:themeFillTint="33"/>
          </w:tcPr>
          <w:p w14:paraId="5EBAA23E" w14:textId="77777777" w:rsidR="00AD6DE5" w:rsidRDefault="00AD6DE5">
            <w:pPr>
              <w:spacing w:before="0" w:after="0"/>
            </w:pPr>
            <w:r>
              <w:t>Performance</w:t>
            </w:r>
          </w:p>
        </w:tc>
        <w:tc>
          <w:tcPr>
            <w:tcW w:w="1908" w:type="dxa"/>
            <w:shd w:val="clear" w:color="auto" w:fill="92D050"/>
            <w:vAlign w:val="center"/>
          </w:tcPr>
          <w:p w14:paraId="38EF05A2" w14:textId="77777777" w:rsidR="00AD6DE5" w:rsidRDefault="00AD6DE5" w:rsidP="00B65239">
            <w:pPr>
              <w:spacing w:before="0" w:after="0"/>
              <w:jc w:val="right"/>
            </w:pPr>
            <w:r>
              <w:rPr>
                <w:rFonts w:cs="Arial"/>
                <w:szCs w:val="20"/>
              </w:rPr>
              <w:t>128%</w:t>
            </w:r>
          </w:p>
        </w:tc>
        <w:tc>
          <w:tcPr>
            <w:tcW w:w="0" w:type="auto"/>
            <w:shd w:val="clear" w:color="auto" w:fill="92D050"/>
            <w:vAlign w:val="center"/>
          </w:tcPr>
          <w:p w14:paraId="44B7DAEA" w14:textId="77777777" w:rsidR="00AD6DE5" w:rsidRDefault="00AD6DE5" w:rsidP="00B65239">
            <w:pPr>
              <w:spacing w:before="0" w:after="0"/>
              <w:jc w:val="right"/>
            </w:pPr>
            <w:r>
              <w:rPr>
                <w:rFonts w:cs="Arial"/>
                <w:szCs w:val="20"/>
              </w:rPr>
              <w:t>142%</w:t>
            </w:r>
          </w:p>
        </w:tc>
        <w:tc>
          <w:tcPr>
            <w:tcW w:w="0" w:type="auto"/>
            <w:shd w:val="clear" w:color="auto" w:fill="92D050"/>
            <w:vAlign w:val="center"/>
          </w:tcPr>
          <w:p w14:paraId="5C560C49" w14:textId="77777777" w:rsidR="00AD6DE5" w:rsidRDefault="00AD6DE5" w:rsidP="00B65239">
            <w:pPr>
              <w:spacing w:before="0" w:after="0"/>
              <w:jc w:val="right"/>
            </w:pPr>
            <w:r>
              <w:rPr>
                <w:rFonts w:cs="Arial"/>
                <w:szCs w:val="20"/>
              </w:rPr>
              <w:t>196%</w:t>
            </w:r>
          </w:p>
        </w:tc>
        <w:tc>
          <w:tcPr>
            <w:tcW w:w="0" w:type="auto"/>
            <w:shd w:val="clear" w:color="auto" w:fill="92D050"/>
            <w:vAlign w:val="center"/>
          </w:tcPr>
          <w:p w14:paraId="6C223F15" w14:textId="77777777" w:rsidR="00AD6DE5" w:rsidRDefault="00AD6DE5" w:rsidP="00B65239">
            <w:pPr>
              <w:spacing w:before="0" w:after="0"/>
              <w:jc w:val="right"/>
            </w:pPr>
            <w:r>
              <w:rPr>
                <w:rFonts w:cs="Arial"/>
                <w:szCs w:val="20"/>
              </w:rPr>
              <w:t>527%</w:t>
            </w:r>
          </w:p>
        </w:tc>
        <w:tc>
          <w:tcPr>
            <w:tcW w:w="0" w:type="auto"/>
            <w:shd w:val="clear" w:color="auto" w:fill="FBDC00" w:themeFill="accent1"/>
            <w:vAlign w:val="center"/>
          </w:tcPr>
          <w:p w14:paraId="78DAFE6A" w14:textId="77777777" w:rsidR="00AD6DE5" w:rsidRDefault="00AD6DE5" w:rsidP="00B65239">
            <w:pPr>
              <w:spacing w:before="0" w:after="0"/>
              <w:jc w:val="right"/>
            </w:pPr>
            <w:r>
              <w:rPr>
                <w:rFonts w:cs="Arial"/>
                <w:szCs w:val="20"/>
              </w:rPr>
              <w:t>84%</w:t>
            </w:r>
          </w:p>
        </w:tc>
        <w:tc>
          <w:tcPr>
            <w:tcW w:w="0" w:type="auto"/>
            <w:vAlign w:val="center"/>
          </w:tcPr>
          <w:p w14:paraId="045F1708" w14:textId="241FB0A1" w:rsidR="00AD6DE5" w:rsidRDefault="00954BD4" w:rsidP="00B65239">
            <w:pPr>
              <w:spacing w:before="0" w:after="0"/>
              <w:jc w:val="right"/>
            </w:pPr>
            <w:r>
              <w:t>80%</w:t>
            </w:r>
          </w:p>
        </w:tc>
      </w:tr>
      <w:tr w:rsidR="0034597A" w14:paraId="487E1EFE" w14:textId="77777777" w:rsidTr="00B65239">
        <w:tc>
          <w:tcPr>
            <w:tcW w:w="1562" w:type="dxa"/>
            <w:shd w:val="clear" w:color="auto" w:fill="DDF2EC" w:themeFill="background2" w:themeFillTint="33"/>
          </w:tcPr>
          <w:p w14:paraId="4A7D2372" w14:textId="77777777" w:rsidR="0034597A" w:rsidRDefault="0034597A">
            <w:pPr>
              <w:spacing w:before="0" w:after="0"/>
            </w:pPr>
            <w:r>
              <w:t>Jul–Dec 2024</w:t>
            </w:r>
          </w:p>
        </w:tc>
        <w:tc>
          <w:tcPr>
            <w:tcW w:w="1542" w:type="dxa"/>
            <w:shd w:val="clear" w:color="auto" w:fill="DDF2EC" w:themeFill="background2" w:themeFillTint="33"/>
          </w:tcPr>
          <w:p w14:paraId="3DC5B131" w14:textId="77777777" w:rsidR="0034597A" w:rsidRDefault="0034597A">
            <w:pPr>
              <w:spacing w:before="0" w:after="0"/>
            </w:pPr>
            <w:r>
              <w:t>Target</w:t>
            </w:r>
          </w:p>
        </w:tc>
        <w:tc>
          <w:tcPr>
            <w:tcW w:w="1908" w:type="dxa"/>
            <w:vAlign w:val="center"/>
          </w:tcPr>
          <w:p w14:paraId="642B8A67" w14:textId="77777777" w:rsidR="0034597A" w:rsidRDefault="0034597A" w:rsidP="00B65239">
            <w:pPr>
              <w:spacing w:before="0" w:after="0"/>
              <w:jc w:val="right"/>
            </w:pPr>
            <w:r>
              <w:t>60</w:t>
            </w:r>
          </w:p>
        </w:tc>
        <w:tc>
          <w:tcPr>
            <w:tcW w:w="0" w:type="auto"/>
            <w:vAlign w:val="center"/>
          </w:tcPr>
          <w:p w14:paraId="756976F1" w14:textId="77777777" w:rsidR="0034597A" w:rsidRDefault="0034597A" w:rsidP="00B65239">
            <w:pPr>
              <w:spacing w:before="0" w:after="0"/>
              <w:jc w:val="right"/>
            </w:pPr>
            <w:r>
              <w:t>180</w:t>
            </w:r>
          </w:p>
        </w:tc>
        <w:tc>
          <w:tcPr>
            <w:tcW w:w="0" w:type="auto"/>
            <w:vAlign w:val="center"/>
          </w:tcPr>
          <w:p w14:paraId="6A050079" w14:textId="77777777" w:rsidR="0034597A" w:rsidRDefault="0034597A" w:rsidP="00B65239">
            <w:pPr>
              <w:spacing w:before="0" w:after="0"/>
              <w:jc w:val="right"/>
            </w:pPr>
            <w:r>
              <w:t>600</w:t>
            </w:r>
          </w:p>
        </w:tc>
        <w:tc>
          <w:tcPr>
            <w:tcW w:w="0" w:type="auto"/>
            <w:vAlign w:val="center"/>
          </w:tcPr>
          <w:p w14:paraId="5CF004C9" w14:textId="77777777" w:rsidR="0034597A" w:rsidRDefault="0034597A" w:rsidP="00B65239">
            <w:pPr>
              <w:spacing w:before="0" w:after="0"/>
              <w:jc w:val="right"/>
            </w:pPr>
            <w:r>
              <w:t>60</w:t>
            </w:r>
          </w:p>
        </w:tc>
        <w:tc>
          <w:tcPr>
            <w:tcW w:w="0" w:type="auto"/>
            <w:vAlign w:val="center"/>
          </w:tcPr>
          <w:p w14:paraId="7EF48342" w14:textId="77777777" w:rsidR="0034597A" w:rsidRDefault="0034597A" w:rsidP="00B65239">
            <w:pPr>
              <w:spacing w:before="0" w:after="0"/>
              <w:jc w:val="right"/>
            </w:pPr>
            <w:r>
              <w:t>60</w:t>
            </w:r>
          </w:p>
        </w:tc>
        <w:tc>
          <w:tcPr>
            <w:tcW w:w="0" w:type="auto"/>
            <w:vAlign w:val="center"/>
          </w:tcPr>
          <w:p w14:paraId="055C7EEE" w14:textId="4D1FD32B" w:rsidR="0034597A" w:rsidRDefault="005C6E76" w:rsidP="00B65239">
            <w:pPr>
              <w:spacing w:before="0" w:after="0"/>
              <w:jc w:val="right"/>
            </w:pPr>
            <w:r>
              <w:t>-</w:t>
            </w:r>
          </w:p>
        </w:tc>
      </w:tr>
      <w:tr w:rsidR="0034597A" w14:paraId="3A7E2F4D" w14:textId="77777777" w:rsidTr="00B65239">
        <w:tc>
          <w:tcPr>
            <w:tcW w:w="1562" w:type="dxa"/>
            <w:shd w:val="clear" w:color="auto" w:fill="DDF2EC" w:themeFill="background2" w:themeFillTint="33"/>
          </w:tcPr>
          <w:p w14:paraId="2977C866" w14:textId="4FE09256" w:rsidR="0034597A" w:rsidRDefault="005C6E76">
            <w:pPr>
              <w:spacing w:before="0" w:after="0"/>
            </w:pPr>
            <w:r>
              <w:t>Jul–Dec 2024</w:t>
            </w:r>
          </w:p>
        </w:tc>
        <w:tc>
          <w:tcPr>
            <w:tcW w:w="1542" w:type="dxa"/>
            <w:shd w:val="clear" w:color="auto" w:fill="DDF2EC" w:themeFill="background2" w:themeFillTint="33"/>
          </w:tcPr>
          <w:p w14:paraId="734FA786" w14:textId="77777777" w:rsidR="0034597A" w:rsidRDefault="0034597A">
            <w:pPr>
              <w:spacing w:before="0" w:after="0"/>
            </w:pPr>
            <w:r>
              <w:t>Actual</w:t>
            </w:r>
          </w:p>
        </w:tc>
        <w:tc>
          <w:tcPr>
            <w:tcW w:w="1908" w:type="dxa"/>
            <w:vAlign w:val="center"/>
          </w:tcPr>
          <w:p w14:paraId="51DAC1E8" w14:textId="77777777" w:rsidR="0034597A" w:rsidRDefault="0034597A" w:rsidP="00B65239">
            <w:pPr>
              <w:spacing w:before="0" w:after="0"/>
              <w:jc w:val="right"/>
            </w:pPr>
            <w:r>
              <w:t>55</w:t>
            </w:r>
          </w:p>
        </w:tc>
        <w:tc>
          <w:tcPr>
            <w:tcW w:w="0" w:type="auto"/>
            <w:vAlign w:val="center"/>
          </w:tcPr>
          <w:p w14:paraId="504DAF6E" w14:textId="77777777" w:rsidR="0034597A" w:rsidRDefault="0034597A" w:rsidP="00B65239">
            <w:pPr>
              <w:spacing w:before="0" w:after="0"/>
              <w:jc w:val="right"/>
            </w:pPr>
            <w:r>
              <w:t>197</w:t>
            </w:r>
          </w:p>
        </w:tc>
        <w:tc>
          <w:tcPr>
            <w:tcW w:w="0" w:type="auto"/>
            <w:vAlign w:val="center"/>
          </w:tcPr>
          <w:p w14:paraId="4F4FFA1C" w14:textId="77777777" w:rsidR="0034597A" w:rsidRDefault="0034597A" w:rsidP="00B65239">
            <w:pPr>
              <w:spacing w:before="0" w:after="0"/>
              <w:jc w:val="right"/>
            </w:pPr>
            <w:r>
              <w:t>879</w:t>
            </w:r>
          </w:p>
        </w:tc>
        <w:tc>
          <w:tcPr>
            <w:tcW w:w="0" w:type="auto"/>
            <w:vAlign w:val="center"/>
          </w:tcPr>
          <w:p w14:paraId="4A3AD445" w14:textId="77777777" w:rsidR="0034597A" w:rsidRDefault="0034597A" w:rsidP="00B65239">
            <w:pPr>
              <w:spacing w:before="0" w:after="0"/>
              <w:jc w:val="right"/>
            </w:pPr>
            <w:r>
              <w:t>285</w:t>
            </w:r>
          </w:p>
        </w:tc>
        <w:tc>
          <w:tcPr>
            <w:tcW w:w="0" w:type="auto"/>
            <w:vAlign w:val="center"/>
          </w:tcPr>
          <w:p w14:paraId="4DEE3B93" w14:textId="77777777" w:rsidR="0034597A" w:rsidRDefault="0034597A" w:rsidP="00B65239">
            <w:pPr>
              <w:spacing w:before="0" w:after="0"/>
              <w:jc w:val="right"/>
            </w:pPr>
            <w:r>
              <w:t>69</w:t>
            </w:r>
          </w:p>
        </w:tc>
        <w:tc>
          <w:tcPr>
            <w:tcW w:w="0" w:type="auto"/>
            <w:vAlign w:val="center"/>
          </w:tcPr>
          <w:p w14:paraId="47704E71" w14:textId="27A52AA3" w:rsidR="0034597A" w:rsidRDefault="005C6E76" w:rsidP="00B65239">
            <w:pPr>
              <w:spacing w:before="0" w:after="0"/>
              <w:jc w:val="right"/>
            </w:pPr>
            <w:r>
              <w:t>-</w:t>
            </w:r>
          </w:p>
        </w:tc>
      </w:tr>
      <w:tr w:rsidR="0034597A" w14:paraId="0EB31EF4" w14:textId="77777777" w:rsidTr="00B65239">
        <w:tc>
          <w:tcPr>
            <w:tcW w:w="1562" w:type="dxa"/>
            <w:shd w:val="clear" w:color="auto" w:fill="DDF2EC" w:themeFill="background2" w:themeFillTint="33"/>
          </w:tcPr>
          <w:p w14:paraId="15E9662E" w14:textId="56012AAE" w:rsidR="0034597A" w:rsidRDefault="005C6E76">
            <w:pPr>
              <w:spacing w:before="0" w:after="0"/>
            </w:pPr>
            <w:r>
              <w:t>Jul–Dec 2024</w:t>
            </w:r>
          </w:p>
        </w:tc>
        <w:tc>
          <w:tcPr>
            <w:tcW w:w="1542" w:type="dxa"/>
            <w:shd w:val="clear" w:color="auto" w:fill="DDF2EC" w:themeFill="background2" w:themeFillTint="33"/>
          </w:tcPr>
          <w:p w14:paraId="3601B7F2" w14:textId="77777777" w:rsidR="0034597A" w:rsidRDefault="0034597A">
            <w:pPr>
              <w:spacing w:before="0" w:after="0"/>
            </w:pPr>
            <w:r>
              <w:t>Performance</w:t>
            </w:r>
          </w:p>
        </w:tc>
        <w:tc>
          <w:tcPr>
            <w:tcW w:w="1908" w:type="dxa"/>
            <w:shd w:val="clear" w:color="auto" w:fill="FBDC00" w:themeFill="accent1"/>
            <w:vAlign w:val="center"/>
          </w:tcPr>
          <w:p w14:paraId="7AFA9275" w14:textId="77777777" w:rsidR="0034597A" w:rsidRDefault="0034597A" w:rsidP="00B65239">
            <w:pPr>
              <w:spacing w:before="0" w:after="0"/>
              <w:jc w:val="right"/>
            </w:pPr>
            <w:r>
              <w:rPr>
                <w:rFonts w:cs="Arial"/>
                <w:szCs w:val="20"/>
              </w:rPr>
              <w:t>92%</w:t>
            </w:r>
          </w:p>
        </w:tc>
        <w:tc>
          <w:tcPr>
            <w:tcW w:w="0" w:type="auto"/>
            <w:shd w:val="clear" w:color="auto" w:fill="92D050"/>
            <w:vAlign w:val="center"/>
          </w:tcPr>
          <w:p w14:paraId="79D180A5" w14:textId="77777777" w:rsidR="0034597A" w:rsidRDefault="0034597A" w:rsidP="00B65239">
            <w:pPr>
              <w:spacing w:before="0" w:after="0"/>
              <w:jc w:val="right"/>
            </w:pPr>
            <w:r>
              <w:rPr>
                <w:rFonts w:cs="Arial"/>
                <w:szCs w:val="20"/>
              </w:rPr>
              <w:t>109%</w:t>
            </w:r>
          </w:p>
        </w:tc>
        <w:tc>
          <w:tcPr>
            <w:tcW w:w="0" w:type="auto"/>
            <w:shd w:val="clear" w:color="auto" w:fill="92D050"/>
            <w:vAlign w:val="center"/>
          </w:tcPr>
          <w:p w14:paraId="75413ABD" w14:textId="77777777" w:rsidR="0034597A" w:rsidRDefault="0034597A" w:rsidP="00B65239">
            <w:pPr>
              <w:spacing w:before="0" w:after="0"/>
              <w:jc w:val="right"/>
            </w:pPr>
            <w:r>
              <w:rPr>
                <w:rFonts w:cs="Arial"/>
                <w:szCs w:val="20"/>
              </w:rPr>
              <w:t>147%</w:t>
            </w:r>
          </w:p>
        </w:tc>
        <w:tc>
          <w:tcPr>
            <w:tcW w:w="0" w:type="auto"/>
            <w:shd w:val="clear" w:color="auto" w:fill="92D050"/>
            <w:vAlign w:val="center"/>
          </w:tcPr>
          <w:p w14:paraId="62776E27" w14:textId="77777777" w:rsidR="0034597A" w:rsidRDefault="0034597A" w:rsidP="00B65239">
            <w:pPr>
              <w:spacing w:before="0" w:after="0"/>
              <w:jc w:val="right"/>
            </w:pPr>
            <w:r>
              <w:rPr>
                <w:rFonts w:cs="Arial"/>
                <w:szCs w:val="20"/>
              </w:rPr>
              <w:t>475%</w:t>
            </w:r>
          </w:p>
        </w:tc>
        <w:tc>
          <w:tcPr>
            <w:tcW w:w="0" w:type="auto"/>
            <w:shd w:val="clear" w:color="auto" w:fill="92D050"/>
            <w:vAlign w:val="center"/>
          </w:tcPr>
          <w:p w14:paraId="1AC9B400" w14:textId="77777777" w:rsidR="0034597A" w:rsidRDefault="0034597A" w:rsidP="00B65239">
            <w:pPr>
              <w:spacing w:before="0" w:after="0"/>
              <w:jc w:val="right"/>
            </w:pPr>
            <w:r>
              <w:rPr>
                <w:rFonts w:cs="Arial"/>
                <w:szCs w:val="20"/>
              </w:rPr>
              <w:t>115%</w:t>
            </w:r>
          </w:p>
        </w:tc>
        <w:tc>
          <w:tcPr>
            <w:tcW w:w="0" w:type="auto"/>
            <w:vAlign w:val="center"/>
          </w:tcPr>
          <w:p w14:paraId="470B11B5" w14:textId="3D847432" w:rsidR="0034597A" w:rsidRDefault="00954BD4" w:rsidP="00B65239">
            <w:pPr>
              <w:spacing w:before="0" w:after="0"/>
              <w:jc w:val="right"/>
            </w:pPr>
            <w:r>
              <w:t>80%</w:t>
            </w:r>
          </w:p>
        </w:tc>
      </w:tr>
      <w:tr w:rsidR="00AD6DE5" w14:paraId="7ADC1A9E" w14:textId="77777777" w:rsidTr="00B65239">
        <w:tc>
          <w:tcPr>
            <w:tcW w:w="1562" w:type="dxa"/>
            <w:shd w:val="clear" w:color="auto" w:fill="DDF2EC" w:themeFill="background2" w:themeFillTint="33"/>
          </w:tcPr>
          <w:p w14:paraId="08B73416" w14:textId="77777777" w:rsidR="00AD6DE5" w:rsidRDefault="00AD6DE5">
            <w:pPr>
              <w:spacing w:before="0" w:after="0"/>
            </w:pPr>
            <w:r>
              <w:t>Jan–Jun 2025</w:t>
            </w:r>
          </w:p>
        </w:tc>
        <w:tc>
          <w:tcPr>
            <w:tcW w:w="1542" w:type="dxa"/>
            <w:shd w:val="clear" w:color="auto" w:fill="DDF2EC" w:themeFill="background2" w:themeFillTint="33"/>
          </w:tcPr>
          <w:p w14:paraId="7755E15E" w14:textId="77777777" w:rsidR="00AD6DE5" w:rsidRDefault="00AD6DE5">
            <w:pPr>
              <w:spacing w:before="0" w:after="0"/>
            </w:pPr>
            <w:r>
              <w:t>Target</w:t>
            </w:r>
          </w:p>
        </w:tc>
        <w:tc>
          <w:tcPr>
            <w:tcW w:w="1908" w:type="dxa"/>
            <w:vAlign w:val="center"/>
          </w:tcPr>
          <w:p w14:paraId="34B3C7E3" w14:textId="77777777" w:rsidR="00AD6DE5" w:rsidRDefault="00AD6DE5" w:rsidP="00B65239">
            <w:pPr>
              <w:spacing w:before="0" w:after="0"/>
              <w:jc w:val="right"/>
            </w:pPr>
            <w:r>
              <w:rPr>
                <w:rFonts w:cs="Arial"/>
                <w:szCs w:val="20"/>
              </w:rPr>
              <w:t>84</w:t>
            </w:r>
          </w:p>
        </w:tc>
        <w:tc>
          <w:tcPr>
            <w:tcW w:w="0" w:type="auto"/>
            <w:vAlign w:val="center"/>
          </w:tcPr>
          <w:p w14:paraId="7008294D" w14:textId="77777777" w:rsidR="00AD6DE5" w:rsidRDefault="00AD6DE5" w:rsidP="00B65239">
            <w:pPr>
              <w:spacing w:before="0" w:after="0"/>
              <w:jc w:val="right"/>
            </w:pPr>
            <w:r>
              <w:rPr>
                <w:rFonts w:cs="Arial"/>
                <w:szCs w:val="20"/>
              </w:rPr>
              <w:t>252</w:t>
            </w:r>
          </w:p>
        </w:tc>
        <w:tc>
          <w:tcPr>
            <w:tcW w:w="0" w:type="auto"/>
            <w:vAlign w:val="center"/>
          </w:tcPr>
          <w:p w14:paraId="04256703" w14:textId="77777777" w:rsidR="00AD6DE5" w:rsidRDefault="00AD6DE5" w:rsidP="00B65239">
            <w:pPr>
              <w:spacing w:before="0" w:after="0"/>
              <w:jc w:val="right"/>
            </w:pPr>
            <w:r>
              <w:rPr>
                <w:rFonts w:cs="Arial"/>
                <w:szCs w:val="20"/>
              </w:rPr>
              <w:t>840</w:t>
            </w:r>
          </w:p>
        </w:tc>
        <w:tc>
          <w:tcPr>
            <w:tcW w:w="0" w:type="auto"/>
            <w:vAlign w:val="center"/>
          </w:tcPr>
          <w:p w14:paraId="29ED9144" w14:textId="77777777" w:rsidR="00AD6DE5" w:rsidRDefault="00AD6DE5" w:rsidP="00B65239">
            <w:pPr>
              <w:spacing w:before="0" w:after="0"/>
              <w:jc w:val="right"/>
            </w:pPr>
            <w:r>
              <w:rPr>
                <w:rFonts w:cs="Arial"/>
                <w:szCs w:val="20"/>
              </w:rPr>
              <w:t>84</w:t>
            </w:r>
          </w:p>
        </w:tc>
        <w:tc>
          <w:tcPr>
            <w:tcW w:w="0" w:type="auto"/>
            <w:vAlign w:val="center"/>
          </w:tcPr>
          <w:p w14:paraId="19EAB9DE" w14:textId="77777777" w:rsidR="00AD6DE5" w:rsidRDefault="00AD6DE5" w:rsidP="00B65239">
            <w:pPr>
              <w:spacing w:before="0" w:after="0"/>
              <w:jc w:val="right"/>
            </w:pPr>
            <w:r>
              <w:rPr>
                <w:rFonts w:cs="Arial"/>
                <w:szCs w:val="20"/>
              </w:rPr>
              <w:t>84</w:t>
            </w:r>
          </w:p>
        </w:tc>
        <w:tc>
          <w:tcPr>
            <w:tcW w:w="0" w:type="auto"/>
            <w:vAlign w:val="center"/>
          </w:tcPr>
          <w:p w14:paraId="5CE93D28" w14:textId="132AC569" w:rsidR="00AD6DE5" w:rsidRDefault="005C6E76" w:rsidP="00B65239">
            <w:pPr>
              <w:spacing w:before="0" w:after="0"/>
              <w:jc w:val="right"/>
            </w:pPr>
            <w:r>
              <w:t>-</w:t>
            </w:r>
          </w:p>
        </w:tc>
      </w:tr>
      <w:tr w:rsidR="00AD6DE5" w14:paraId="09184134" w14:textId="77777777" w:rsidTr="00B65239">
        <w:tc>
          <w:tcPr>
            <w:tcW w:w="1562" w:type="dxa"/>
            <w:shd w:val="clear" w:color="auto" w:fill="DDF2EC" w:themeFill="background2" w:themeFillTint="33"/>
          </w:tcPr>
          <w:p w14:paraId="68F61F99" w14:textId="4EE8EB99" w:rsidR="00AD6DE5" w:rsidRDefault="005C6E76">
            <w:pPr>
              <w:spacing w:before="0" w:after="0"/>
            </w:pPr>
            <w:r>
              <w:t>Jan–Jun 2025</w:t>
            </w:r>
          </w:p>
        </w:tc>
        <w:tc>
          <w:tcPr>
            <w:tcW w:w="1542" w:type="dxa"/>
            <w:shd w:val="clear" w:color="auto" w:fill="DDF2EC" w:themeFill="background2" w:themeFillTint="33"/>
          </w:tcPr>
          <w:p w14:paraId="452728B1" w14:textId="77777777" w:rsidR="00AD6DE5" w:rsidRDefault="00AD6DE5">
            <w:pPr>
              <w:spacing w:before="0" w:after="0"/>
            </w:pPr>
            <w:r>
              <w:t>Actual</w:t>
            </w:r>
          </w:p>
        </w:tc>
        <w:tc>
          <w:tcPr>
            <w:tcW w:w="1908" w:type="dxa"/>
            <w:vAlign w:val="center"/>
          </w:tcPr>
          <w:p w14:paraId="0A50EEAA" w14:textId="77777777" w:rsidR="00AD6DE5" w:rsidRDefault="00AD6DE5" w:rsidP="00B65239">
            <w:pPr>
              <w:spacing w:before="0" w:after="0"/>
              <w:jc w:val="right"/>
            </w:pPr>
            <w:r>
              <w:rPr>
                <w:rFonts w:cs="Arial"/>
                <w:szCs w:val="20"/>
              </w:rPr>
              <w:t>71</w:t>
            </w:r>
          </w:p>
        </w:tc>
        <w:tc>
          <w:tcPr>
            <w:tcW w:w="0" w:type="auto"/>
            <w:vAlign w:val="center"/>
          </w:tcPr>
          <w:p w14:paraId="5DE0937F" w14:textId="77777777" w:rsidR="00AD6DE5" w:rsidRDefault="00AD6DE5" w:rsidP="00B65239">
            <w:pPr>
              <w:spacing w:before="0" w:after="0"/>
              <w:jc w:val="right"/>
            </w:pPr>
            <w:r>
              <w:rPr>
                <w:rFonts w:cs="Arial"/>
                <w:szCs w:val="20"/>
              </w:rPr>
              <w:t>240</w:t>
            </w:r>
          </w:p>
        </w:tc>
        <w:tc>
          <w:tcPr>
            <w:tcW w:w="0" w:type="auto"/>
            <w:vAlign w:val="center"/>
          </w:tcPr>
          <w:p w14:paraId="0B8761A1" w14:textId="77777777" w:rsidR="00AD6DE5" w:rsidRDefault="00AD6DE5" w:rsidP="00B65239">
            <w:pPr>
              <w:spacing w:before="0" w:after="0"/>
              <w:jc w:val="right"/>
            </w:pPr>
            <w:r>
              <w:rPr>
                <w:rFonts w:cs="Arial"/>
                <w:szCs w:val="20"/>
              </w:rPr>
              <w:t>1,005</w:t>
            </w:r>
          </w:p>
        </w:tc>
        <w:tc>
          <w:tcPr>
            <w:tcW w:w="0" w:type="auto"/>
            <w:vAlign w:val="center"/>
          </w:tcPr>
          <w:p w14:paraId="63B925F1" w14:textId="77777777" w:rsidR="00AD6DE5" w:rsidRDefault="00AD6DE5" w:rsidP="00B65239">
            <w:pPr>
              <w:spacing w:before="0" w:after="0"/>
              <w:jc w:val="right"/>
            </w:pPr>
            <w:r>
              <w:rPr>
                <w:rFonts w:cs="Arial"/>
                <w:szCs w:val="20"/>
              </w:rPr>
              <w:t>312</w:t>
            </w:r>
          </w:p>
        </w:tc>
        <w:tc>
          <w:tcPr>
            <w:tcW w:w="0" w:type="auto"/>
            <w:vAlign w:val="center"/>
          </w:tcPr>
          <w:p w14:paraId="50F18131" w14:textId="2BCB96A7" w:rsidR="00AD6DE5" w:rsidRDefault="00AD6DE5" w:rsidP="00B65239">
            <w:pPr>
              <w:spacing w:before="0" w:after="0"/>
              <w:jc w:val="right"/>
            </w:pPr>
            <w:r>
              <w:rPr>
                <w:rFonts w:cs="Arial"/>
                <w:szCs w:val="20"/>
              </w:rPr>
              <w:t>41*</w:t>
            </w:r>
          </w:p>
        </w:tc>
        <w:tc>
          <w:tcPr>
            <w:tcW w:w="0" w:type="auto"/>
            <w:vAlign w:val="center"/>
          </w:tcPr>
          <w:p w14:paraId="5BF60B31" w14:textId="6F8DDB16" w:rsidR="00AD6DE5" w:rsidRDefault="005C6E76" w:rsidP="00B65239">
            <w:pPr>
              <w:spacing w:before="0" w:after="0"/>
              <w:jc w:val="right"/>
            </w:pPr>
            <w:r>
              <w:t>-</w:t>
            </w:r>
          </w:p>
        </w:tc>
      </w:tr>
      <w:tr w:rsidR="00AD6DE5" w14:paraId="0099F7C3" w14:textId="77777777" w:rsidTr="00B65239">
        <w:tc>
          <w:tcPr>
            <w:tcW w:w="1562" w:type="dxa"/>
            <w:shd w:val="clear" w:color="auto" w:fill="DDF2EC" w:themeFill="background2" w:themeFillTint="33"/>
          </w:tcPr>
          <w:p w14:paraId="028A18AC" w14:textId="0A967DD5" w:rsidR="00AD6DE5" w:rsidRDefault="005C6E76">
            <w:pPr>
              <w:spacing w:before="0" w:after="0"/>
            </w:pPr>
            <w:r>
              <w:t>Jan–Jun 2025</w:t>
            </w:r>
          </w:p>
        </w:tc>
        <w:tc>
          <w:tcPr>
            <w:tcW w:w="1542" w:type="dxa"/>
            <w:shd w:val="clear" w:color="auto" w:fill="DDF2EC" w:themeFill="background2" w:themeFillTint="33"/>
          </w:tcPr>
          <w:p w14:paraId="06E13B7B" w14:textId="77777777" w:rsidR="00AD6DE5" w:rsidRDefault="00AD6DE5">
            <w:pPr>
              <w:spacing w:before="0" w:after="0"/>
            </w:pPr>
            <w:r>
              <w:t>Performance</w:t>
            </w:r>
          </w:p>
        </w:tc>
        <w:tc>
          <w:tcPr>
            <w:tcW w:w="1908" w:type="dxa"/>
            <w:shd w:val="clear" w:color="auto" w:fill="FBDC00" w:themeFill="accent1"/>
            <w:vAlign w:val="center"/>
          </w:tcPr>
          <w:p w14:paraId="09B38B9F" w14:textId="77777777" w:rsidR="00AD6DE5" w:rsidRDefault="00AD6DE5" w:rsidP="00B65239">
            <w:pPr>
              <w:spacing w:before="0" w:after="0"/>
              <w:jc w:val="right"/>
            </w:pPr>
            <w:r>
              <w:rPr>
                <w:rFonts w:cs="Arial"/>
                <w:szCs w:val="20"/>
              </w:rPr>
              <w:t>85%</w:t>
            </w:r>
          </w:p>
        </w:tc>
        <w:tc>
          <w:tcPr>
            <w:tcW w:w="0" w:type="auto"/>
            <w:shd w:val="clear" w:color="auto" w:fill="FBDC00" w:themeFill="accent1"/>
            <w:vAlign w:val="center"/>
          </w:tcPr>
          <w:p w14:paraId="48000421" w14:textId="77777777" w:rsidR="00AD6DE5" w:rsidRDefault="00AD6DE5" w:rsidP="00B65239">
            <w:pPr>
              <w:spacing w:before="0" w:after="0"/>
              <w:jc w:val="right"/>
            </w:pPr>
            <w:r>
              <w:rPr>
                <w:rFonts w:cs="Arial"/>
                <w:szCs w:val="20"/>
              </w:rPr>
              <w:t>95%</w:t>
            </w:r>
          </w:p>
        </w:tc>
        <w:tc>
          <w:tcPr>
            <w:tcW w:w="0" w:type="auto"/>
            <w:shd w:val="clear" w:color="auto" w:fill="92D050"/>
            <w:vAlign w:val="center"/>
          </w:tcPr>
          <w:p w14:paraId="43AB4B78" w14:textId="77777777" w:rsidR="00AD6DE5" w:rsidRDefault="00AD6DE5" w:rsidP="00B65239">
            <w:pPr>
              <w:spacing w:before="0" w:after="0"/>
              <w:jc w:val="right"/>
            </w:pPr>
            <w:r>
              <w:rPr>
                <w:rFonts w:cs="Arial"/>
                <w:szCs w:val="20"/>
              </w:rPr>
              <w:t>120%</w:t>
            </w:r>
          </w:p>
        </w:tc>
        <w:tc>
          <w:tcPr>
            <w:tcW w:w="0" w:type="auto"/>
            <w:shd w:val="clear" w:color="auto" w:fill="92D050"/>
            <w:vAlign w:val="center"/>
          </w:tcPr>
          <w:p w14:paraId="1D7B199B" w14:textId="77777777" w:rsidR="00AD6DE5" w:rsidRDefault="00AD6DE5" w:rsidP="00B65239">
            <w:pPr>
              <w:spacing w:before="0" w:after="0"/>
              <w:jc w:val="right"/>
            </w:pPr>
            <w:r>
              <w:rPr>
                <w:rFonts w:cs="Arial"/>
                <w:szCs w:val="20"/>
              </w:rPr>
              <w:t>371%</w:t>
            </w:r>
          </w:p>
        </w:tc>
        <w:tc>
          <w:tcPr>
            <w:tcW w:w="0" w:type="auto"/>
            <w:shd w:val="clear" w:color="auto" w:fill="FBDC00" w:themeFill="accent1"/>
            <w:vAlign w:val="center"/>
          </w:tcPr>
          <w:p w14:paraId="16920F13" w14:textId="77777777" w:rsidR="00AD6DE5" w:rsidRDefault="00AD6DE5" w:rsidP="00B65239">
            <w:pPr>
              <w:spacing w:before="0" w:after="0"/>
              <w:jc w:val="right"/>
            </w:pPr>
            <w:r>
              <w:rPr>
                <w:rFonts w:cs="Arial"/>
                <w:szCs w:val="20"/>
              </w:rPr>
              <w:t>49%</w:t>
            </w:r>
          </w:p>
        </w:tc>
        <w:tc>
          <w:tcPr>
            <w:tcW w:w="0" w:type="auto"/>
            <w:vAlign w:val="center"/>
          </w:tcPr>
          <w:p w14:paraId="7C59157B" w14:textId="55D1F192" w:rsidR="00AD6DE5" w:rsidRDefault="00954BD4" w:rsidP="00B65239">
            <w:pPr>
              <w:spacing w:before="0" w:after="0"/>
              <w:jc w:val="right"/>
            </w:pPr>
            <w:r>
              <w:t>40%</w:t>
            </w:r>
          </w:p>
        </w:tc>
      </w:tr>
      <w:tr w:rsidR="00AD6DE5" w:rsidRPr="00E232F8" w14:paraId="0CEADD6D" w14:textId="77777777" w:rsidTr="00B65239">
        <w:tc>
          <w:tcPr>
            <w:tcW w:w="1562" w:type="dxa"/>
            <w:shd w:val="clear" w:color="auto" w:fill="DCDCDF" w:themeFill="text2" w:themeFillTint="33"/>
          </w:tcPr>
          <w:p w14:paraId="21544C2F" w14:textId="5C7873F6" w:rsidR="00AD6DE5" w:rsidRPr="00E232F8" w:rsidRDefault="00AD6DE5" w:rsidP="00D56300">
            <w:pPr>
              <w:spacing w:before="0" w:after="0"/>
              <w:rPr>
                <w:rFonts w:asciiTheme="majorHAnsi" w:hAnsiTheme="majorHAnsi"/>
              </w:rPr>
            </w:pPr>
            <w:r w:rsidRPr="00E232F8">
              <w:rPr>
                <w:rFonts w:asciiTheme="majorHAnsi" w:hAnsiTheme="majorHAnsi"/>
              </w:rPr>
              <w:t>Total</w:t>
            </w:r>
            <w:r w:rsidR="00D56300">
              <w:rPr>
                <w:rFonts w:asciiTheme="majorHAnsi" w:hAnsiTheme="majorHAnsi"/>
              </w:rPr>
              <w:t xml:space="preserve"> </w:t>
            </w:r>
            <w:r w:rsidRPr="00E232F8">
              <w:rPr>
                <w:rFonts w:asciiTheme="majorHAnsi" w:hAnsiTheme="majorHAnsi"/>
              </w:rPr>
              <w:t>(Jan 2022 to Jun 2025)</w:t>
            </w:r>
          </w:p>
        </w:tc>
        <w:tc>
          <w:tcPr>
            <w:tcW w:w="1542" w:type="dxa"/>
            <w:shd w:val="clear" w:color="auto" w:fill="DCDCDF" w:themeFill="text2" w:themeFillTint="33"/>
          </w:tcPr>
          <w:p w14:paraId="39FB7723" w14:textId="77777777" w:rsidR="00AD6DE5" w:rsidRPr="00E232F8" w:rsidRDefault="00AD6DE5">
            <w:pPr>
              <w:spacing w:before="0" w:after="0"/>
              <w:rPr>
                <w:rFonts w:asciiTheme="majorHAnsi" w:hAnsiTheme="majorHAnsi"/>
              </w:rPr>
            </w:pPr>
            <w:r w:rsidRPr="00E232F8">
              <w:rPr>
                <w:rFonts w:asciiTheme="majorHAnsi" w:hAnsiTheme="majorHAnsi"/>
              </w:rPr>
              <w:t>Target</w:t>
            </w:r>
          </w:p>
        </w:tc>
        <w:tc>
          <w:tcPr>
            <w:tcW w:w="1908" w:type="dxa"/>
            <w:shd w:val="clear" w:color="auto" w:fill="DCDCDF" w:themeFill="text2" w:themeFillTint="33"/>
            <w:vAlign w:val="center"/>
          </w:tcPr>
          <w:p w14:paraId="7F16438E"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419</w:t>
            </w:r>
          </w:p>
        </w:tc>
        <w:tc>
          <w:tcPr>
            <w:tcW w:w="0" w:type="auto"/>
            <w:shd w:val="clear" w:color="auto" w:fill="DCDCDF" w:themeFill="text2" w:themeFillTint="33"/>
            <w:vAlign w:val="center"/>
          </w:tcPr>
          <w:p w14:paraId="142A8BD6"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w:t>
            </w:r>
            <w:r>
              <w:rPr>
                <w:rFonts w:asciiTheme="majorHAnsi" w:hAnsiTheme="majorHAnsi"/>
              </w:rPr>
              <w:t>,</w:t>
            </w:r>
            <w:r w:rsidRPr="000700D1">
              <w:rPr>
                <w:rFonts w:asciiTheme="majorHAnsi" w:hAnsiTheme="majorHAnsi"/>
              </w:rPr>
              <w:t>257</w:t>
            </w:r>
          </w:p>
        </w:tc>
        <w:tc>
          <w:tcPr>
            <w:tcW w:w="0" w:type="auto"/>
            <w:shd w:val="clear" w:color="auto" w:fill="DCDCDF" w:themeFill="text2" w:themeFillTint="33"/>
            <w:vAlign w:val="center"/>
          </w:tcPr>
          <w:p w14:paraId="3F433DED"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w:t>
            </w:r>
            <w:r>
              <w:rPr>
                <w:rFonts w:asciiTheme="majorHAnsi" w:hAnsiTheme="majorHAnsi"/>
              </w:rPr>
              <w:t>,</w:t>
            </w:r>
            <w:r w:rsidRPr="000700D1">
              <w:rPr>
                <w:rFonts w:asciiTheme="majorHAnsi" w:hAnsiTheme="majorHAnsi"/>
              </w:rPr>
              <w:t>190</w:t>
            </w:r>
          </w:p>
        </w:tc>
        <w:tc>
          <w:tcPr>
            <w:tcW w:w="0" w:type="auto"/>
            <w:shd w:val="clear" w:color="auto" w:fill="DCDCDF" w:themeFill="text2" w:themeFillTint="33"/>
            <w:vAlign w:val="center"/>
          </w:tcPr>
          <w:p w14:paraId="11AB74E2"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419</w:t>
            </w:r>
          </w:p>
        </w:tc>
        <w:tc>
          <w:tcPr>
            <w:tcW w:w="0" w:type="auto"/>
            <w:shd w:val="clear" w:color="auto" w:fill="DCDCDF" w:themeFill="text2" w:themeFillTint="33"/>
            <w:vAlign w:val="center"/>
          </w:tcPr>
          <w:p w14:paraId="79AFB606"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419</w:t>
            </w:r>
          </w:p>
        </w:tc>
        <w:tc>
          <w:tcPr>
            <w:tcW w:w="0" w:type="auto"/>
            <w:shd w:val="clear" w:color="auto" w:fill="DCDCDF" w:themeFill="text2" w:themeFillTint="33"/>
            <w:vAlign w:val="center"/>
          </w:tcPr>
          <w:p w14:paraId="64E6FFA9" w14:textId="3089A2F9" w:rsidR="00AD6DE5" w:rsidRPr="00E232F8" w:rsidRDefault="00D56300" w:rsidP="00B65239">
            <w:pPr>
              <w:spacing w:before="0" w:after="0"/>
              <w:jc w:val="right"/>
              <w:rPr>
                <w:rFonts w:asciiTheme="majorHAnsi" w:hAnsiTheme="majorHAnsi"/>
              </w:rPr>
            </w:pPr>
            <w:r>
              <w:rPr>
                <w:rFonts w:asciiTheme="majorHAnsi" w:hAnsiTheme="majorHAnsi"/>
              </w:rPr>
              <w:t>-</w:t>
            </w:r>
          </w:p>
        </w:tc>
      </w:tr>
      <w:tr w:rsidR="00AD6DE5" w:rsidRPr="00E232F8" w14:paraId="11B2D60E" w14:textId="77777777" w:rsidTr="00B65239">
        <w:tc>
          <w:tcPr>
            <w:tcW w:w="1562" w:type="dxa"/>
            <w:shd w:val="clear" w:color="auto" w:fill="DCDCDF" w:themeFill="text2" w:themeFillTint="33"/>
          </w:tcPr>
          <w:p w14:paraId="293D48B6" w14:textId="10B980F2" w:rsidR="00AD6DE5" w:rsidRPr="00E232F8" w:rsidRDefault="00380CE0">
            <w:pPr>
              <w:spacing w:before="0" w:after="0"/>
              <w:rPr>
                <w:rFonts w:asciiTheme="majorHAnsi" w:hAnsiTheme="majorHAnsi"/>
              </w:rPr>
            </w:pPr>
            <w:r w:rsidRPr="00E232F8">
              <w:rPr>
                <w:rFonts w:asciiTheme="majorHAnsi" w:hAnsiTheme="majorHAnsi"/>
              </w:rPr>
              <w:t>Total</w:t>
            </w:r>
            <w:r>
              <w:rPr>
                <w:rFonts w:asciiTheme="majorHAnsi" w:hAnsiTheme="majorHAnsi"/>
              </w:rPr>
              <w:t xml:space="preserve"> </w:t>
            </w:r>
            <w:r w:rsidRPr="00E232F8">
              <w:rPr>
                <w:rFonts w:asciiTheme="majorHAnsi" w:hAnsiTheme="majorHAnsi"/>
              </w:rPr>
              <w:t>(Jan 2022 to Jun 2025)</w:t>
            </w:r>
          </w:p>
        </w:tc>
        <w:tc>
          <w:tcPr>
            <w:tcW w:w="1542" w:type="dxa"/>
            <w:shd w:val="clear" w:color="auto" w:fill="DCDCDF" w:themeFill="text2" w:themeFillTint="33"/>
          </w:tcPr>
          <w:p w14:paraId="2F1B24BE" w14:textId="77777777" w:rsidR="00AD6DE5" w:rsidRPr="00E232F8" w:rsidRDefault="00AD6DE5">
            <w:pPr>
              <w:spacing w:before="0" w:after="0"/>
              <w:rPr>
                <w:rFonts w:asciiTheme="majorHAnsi" w:hAnsiTheme="majorHAnsi"/>
              </w:rPr>
            </w:pPr>
            <w:r w:rsidRPr="00E232F8">
              <w:rPr>
                <w:rFonts w:asciiTheme="majorHAnsi" w:hAnsiTheme="majorHAnsi"/>
              </w:rPr>
              <w:t>Actual</w:t>
            </w:r>
          </w:p>
        </w:tc>
        <w:tc>
          <w:tcPr>
            <w:tcW w:w="1908" w:type="dxa"/>
            <w:shd w:val="clear" w:color="auto" w:fill="DCDCDF" w:themeFill="text2" w:themeFillTint="33"/>
            <w:vAlign w:val="center"/>
          </w:tcPr>
          <w:p w14:paraId="3F5D5076"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425</w:t>
            </w:r>
          </w:p>
        </w:tc>
        <w:tc>
          <w:tcPr>
            <w:tcW w:w="0" w:type="auto"/>
            <w:shd w:val="clear" w:color="auto" w:fill="DCDCDF" w:themeFill="text2" w:themeFillTint="33"/>
            <w:vAlign w:val="center"/>
          </w:tcPr>
          <w:p w14:paraId="79E4849F"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w:t>
            </w:r>
            <w:r>
              <w:rPr>
                <w:rFonts w:asciiTheme="majorHAnsi" w:hAnsiTheme="majorHAnsi"/>
              </w:rPr>
              <w:t>,</w:t>
            </w:r>
            <w:r w:rsidRPr="000700D1">
              <w:rPr>
                <w:rFonts w:asciiTheme="majorHAnsi" w:hAnsiTheme="majorHAnsi"/>
              </w:rPr>
              <w:t>299</w:t>
            </w:r>
          </w:p>
        </w:tc>
        <w:tc>
          <w:tcPr>
            <w:tcW w:w="0" w:type="auto"/>
            <w:shd w:val="clear" w:color="auto" w:fill="DCDCDF" w:themeFill="text2" w:themeFillTint="33"/>
            <w:vAlign w:val="center"/>
          </w:tcPr>
          <w:p w14:paraId="4EC0CC16"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5</w:t>
            </w:r>
            <w:r>
              <w:rPr>
                <w:rFonts w:asciiTheme="majorHAnsi" w:hAnsiTheme="majorHAnsi"/>
              </w:rPr>
              <w:t>,</w:t>
            </w:r>
            <w:r w:rsidRPr="000700D1">
              <w:rPr>
                <w:rFonts w:asciiTheme="majorHAnsi" w:hAnsiTheme="majorHAnsi"/>
              </w:rPr>
              <w:t>2</w:t>
            </w:r>
            <w:r>
              <w:rPr>
                <w:rFonts w:asciiTheme="majorHAnsi" w:hAnsiTheme="majorHAnsi"/>
              </w:rPr>
              <w:t>50</w:t>
            </w:r>
          </w:p>
        </w:tc>
        <w:tc>
          <w:tcPr>
            <w:tcW w:w="0" w:type="auto"/>
            <w:shd w:val="clear" w:color="auto" w:fill="DCDCDF" w:themeFill="text2" w:themeFillTint="33"/>
            <w:vAlign w:val="center"/>
          </w:tcPr>
          <w:p w14:paraId="55623970"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w:t>
            </w:r>
            <w:r>
              <w:rPr>
                <w:rFonts w:asciiTheme="majorHAnsi" w:hAnsiTheme="majorHAnsi"/>
              </w:rPr>
              <w:t>,</w:t>
            </w:r>
            <w:r w:rsidRPr="000700D1">
              <w:rPr>
                <w:rFonts w:asciiTheme="majorHAnsi" w:hAnsiTheme="majorHAnsi"/>
              </w:rPr>
              <w:t>655</w:t>
            </w:r>
          </w:p>
        </w:tc>
        <w:tc>
          <w:tcPr>
            <w:tcW w:w="0" w:type="auto"/>
            <w:shd w:val="clear" w:color="auto" w:fill="DCDCDF" w:themeFill="text2" w:themeFillTint="33"/>
            <w:vAlign w:val="center"/>
          </w:tcPr>
          <w:p w14:paraId="34426889"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351</w:t>
            </w:r>
          </w:p>
        </w:tc>
        <w:tc>
          <w:tcPr>
            <w:tcW w:w="0" w:type="auto"/>
            <w:shd w:val="clear" w:color="auto" w:fill="DCDCDF" w:themeFill="text2" w:themeFillTint="33"/>
            <w:vAlign w:val="center"/>
          </w:tcPr>
          <w:p w14:paraId="72B12A5B" w14:textId="28241FD8" w:rsidR="00AD6DE5" w:rsidRPr="00E232F8" w:rsidRDefault="00D56300" w:rsidP="00B65239">
            <w:pPr>
              <w:spacing w:before="0" w:after="0"/>
              <w:jc w:val="right"/>
              <w:rPr>
                <w:rFonts w:asciiTheme="majorHAnsi" w:hAnsiTheme="majorHAnsi"/>
              </w:rPr>
            </w:pPr>
            <w:r>
              <w:rPr>
                <w:rFonts w:asciiTheme="majorHAnsi" w:hAnsiTheme="majorHAnsi"/>
              </w:rPr>
              <w:t>-</w:t>
            </w:r>
          </w:p>
        </w:tc>
      </w:tr>
      <w:tr w:rsidR="00AD6DE5" w:rsidRPr="00E232F8" w14:paraId="526DE9E2" w14:textId="77777777" w:rsidTr="00B65239">
        <w:tc>
          <w:tcPr>
            <w:tcW w:w="1562" w:type="dxa"/>
            <w:shd w:val="clear" w:color="auto" w:fill="DCDCDF" w:themeFill="text2" w:themeFillTint="33"/>
          </w:tcPr>
          <w:p w14:paraId="14CA8745" w14:textId="16EA143D" w:rsidR="00AD6DE5" w:rsidRPr="00E232F8" w:rsidRDefault="00380CE0">
            <w:pPr>
              <w:spacing w:before="0" w:after="0"/>
              <w:rPr>
                <w:rFonts w:asciiTheme="majorHAnsi" w:hAnsiTheme="majorHAnsi"/>
              </w:rPr>
            </w:pPr>
            <w:r w:rsidRPr="00E232F8">
              <w:rPr>
                <w:rFonts w:asciiTheme="majorHAnsi" w:hAnsiTheme="majorHAnsi"/>
              </w:rPr>
              <w:t>Total</w:t>
            </w:r>
            <w:r>
              <w:rPr>
                <w:rFonts w:asciiTheme="majorHAnsi" w:hAnsiTheme="majorHAnsi"/>
              </w:rPr>
              <w:t xml:space="preserve"> </w:t>
            </w:r>
            <w:r w:rsidRPr="00E232F8">
              <w:rPr>
                <w:rFonts w:asciiTheme="majorHAnsi" w:hAnsiTheme="majorHAnsi"/>
              </w:rPr>
              <w:t>(Jan 2022 to Jun 2025)</w:t>
            </w:r>
          </w:p>
        </w:tc>
        <w:tc>
          <w:tcPr>
            <w:tcW w:w="1542" w:type="dxa"/>
            <w:shd w:val="clear" w:color="auto" w:fill="DCDCDF" w:themeFill="text2" w:themeFillTint="33"/>
          </w:tcPr>
          <w:p w14:paraId="38B40DAD" w14:textId="77777777" w:rsidR="00AD6DE5" w:rsidRPr="00E232F8" w:rsidRDefault="00AD6DE5">
            <w:pPr>
              <w:spacing w:before="0" w:after="0"/>
              <w:rPr>
                <w:rFonts w:asciiTheme="majorHAnsi" w:hAnsiTheme="majorHAnsi"/>
              </w:rPr>
            </w:pPr>
            <w:r w:rsidRPr="00E232F8">
              <w:rPr>
                <w:rFonts w:asciiTheme="majorHAnsi" w:hAnsiTheme="majorHAnsi"/>
              </w:rPr>
              <w:t>Performance</w:t>
            </w:r>
          </w:p>
        </w:tc>
        <w:tc>
          <w:tcPr>
            <w:tcW w:w="1908" w:type="dxa"/>
            <w:shd w:val="clear" w:color="auto" w:fill="92D050"/>
            <w:vAlign w:val="center"/>
          </w:tcPr>
          <w:p w14:paraId="6E7D74BF"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101%</w:t>
            </w:r>
          </w:p>
        </w:tc>
        <w:tc>
          <w:tcPr>
            <w:tcW w:w="0" w:type="auto"/>
            <w:shd w:val="clear" w:color="auto" w:fill="92D050"/>
            <w:vAlign w:val="center"/>
          </w:tcPr>
          <w:p w14:paraId="5DF4A77D"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103%</w:t>
            </w:r>
          </w:p>
        </w:tc>
        <w:tc>
          <w:tcPr>
            <w:tcW w:w="0" w:type="auto"/>
            <w:shd w:val="clear" w:color="auto" w:fill="92D050"/>
            <w:vAlign w:val="center"/>
          </w:tcPr>
          <w:p w14:paraId="0DCA5A07"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125%</w:t>
            </w:r>
          </w:p>
        </w:tc>
        <w:tc>
          <w:tcPr>
            <w:tcW w:w="0" w:type="auto"/>
            <w:shd w:val="clear" w:color="auto" w:fill="92D050"/>
            <w:vAlign w:val="center"/>
          </w:tcPr>
          <w:p w14:paraId="26EC7C70"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395%</w:t>
            </w:r>
          </w:p>
        </w:tc>
        <w:tc>
          <w:tcPr>
            <w:tcW w:w="0" w:type="auto"/>
            <w:shd w:val="clear" w:color="auto" w:fill="FBDC00" w:themeFill="accent1"/>
            <w:vAlign w:val="center"/>
          </w:tcPr>
          <w:p w14:paraId="596E8983"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84%</w:t>
            </w:r>
          </w:p>
        </w:tc>
        <w:tc>
          <w:tcPr>
            <w:tcW w:w="0" w:type="auto"/>
            <w:shd w:val="clear" w:color="auto" w:fill="DCDCDF" w:themeFill="text2" w:themeFillTint="33"/>
            <w:vAlign w:val="center"/>
          </w:tcPr>
          <w:p w14:paraId="009E429B" w14:textId="52E9AFCF" w:rsidR="00AD6DE5" w:rsidRPr="00E232F8" w:rsidRDefault="00D56300" w:rsidP="00B65239">
            <w:pPr>
              <w:spacing w:before="0" w:after="0"/>
              <w:jc w:val="right"/>
              <w:rPr>
                <w:rFonts w:asciiTheme="majorHAnsi" w:hAnsiTheme="majorHAnsi"/>
              </w:rPr>
            </w:pPr>
            <w:r>
              <w:rPr>
                <w:rFonts w:asciiTheme="majorHAnsi" w:hAnsiTheme="majorHAnsi"/>
              </w:rPr>
              <w:t>80%</w:t>
            </w:r>
          </w:p>
        </w:tc>
      </w:tr>
    </w:tbl>
    <w:p w14:paraId="674B733B" w14:textId="7ED7F8E4" w:rsidR="00074A1D" w:rsidRDefault="00074A1D" w:rsidP="00074A1D">
      <w:pPr>
        <w:pStyle w:val="Tablenotes"/>
        <w:spacing w:after="0"/>
      </w:pPr>
      <w:r>
        <w:t xml:space="preserve">Notes: *Participants are provided with three months to complete post-placement </w:t>
      </w:r>
      <w:r w:rsidR="0020490F">
        <w:t>service improvement plans. Therefore, the actual number of plans completed was expected to increase.</w:t>
      </w:r>
    </w:p>
    <w:p w14:paraId="5DB25812" w14:textId="1ED2A78E" w:rsidR="0034597A" w:rsidRDefault="0034597A" w:rsidP="00074A1D">
      <w:pPr>
        <w:pStyle w:val="Tablenotes"/>
        <w:spacing w:before="0"/>
      </w:pPr>
      <w:r>
        <w:t xml:space="preserve">Source: PEPA Aged Care Final </w:t>
      </w:r>
      <w:r w:rsidRPr="006D1D3D">
        <w:t>Report 2021–2024</w:t>
      </w:r>
      <w:r>
        <w:t xml:space="preserve"> </w:t>
      </w:r>
      <w:sdt>
        <w:sdtPr>
          <w:id w:val="1064306846"/>
          <w:citation/>
        </w:sdtPr>
        <w:sdtContent>
          <w:r>
            <w:fldChar w:fldCharType="begin"/>
          </w:r>
          <w:r>
            <w:rPr>
              <w:lang w:val="en-US"/>
            </w:rPr>
            <w:instrText xml:space="preserve"> CITATION Que256 \l 1033 </w:instrText>
          </w:r>
          <w:r>
            <w:fldChar w:fldCharType="separate"/>
          </w:r>
          <w:r w:rsidR="001302EC" w:rsidRPr="001302EC">
            <w:rPr>
              <w:noProof/>
              <w:lang w:val="en-US"/>
            </w:rPr>
            <w:t>[26]</w:t>
          </w:r>
          <w:r>
            <w:fldChar w:fldCharType="end"/>
          </w:r>
        </w:sdtContent>
      </w:sdt>
      <w:r>
        <w:t xml:space="preserve">, PEPA Aged Care performance report, 31 July 2025 </w:t>
      </w:r>
      <w:sdt>
        <w:sdtPr>
          <w:id w:val="1685554163"/>
          <w:citation/>
        </w:sdtPr>
        <w:sdtContent>
          <w:r>
            <w:fldChar w:fldCharType="begin"/>
          </w:r>
          <w:r>
            <w:rPr>
              <w:lang w:val="en-US"/>
            </w:rPr>
            <w:instrText xml:space="preserve"> CITATION Que257 \l 1033 </w:instrText>
          </w:r>
          <w:r>
            <w:fldChar w:fldCharType="separate"/>
          </w:r>
          <w:r w:rsidR="001302EC" w:rsidRPr="001302EC">
            <w:rPr>
              <w:noProof/>
              <w:lang w:val="en-US"/>
            </w:rPr>
            <w:t>[27]</w:t>
          </w:r>
          <w:r>
            <w:fldChar w:fldCharType="end"/>
          </w:r>
        </w:sdtContent>
      </w:sdt>
      <w:r>
        <w:t>, supplementary PEPA Aged Care program data provided by QUT, September 2025.</w:t>
      </w:r>
    </w:p>
    <w:p w14:paraId="5ABC667D" w14:textId="5B689C23" w:rsidR="0034597A" w:rsidRDefault="003F3224" w:rsidP="0034597A">
      <w:pPr>
        <w:pStyle w:val="Heading3-nonumber"/>
      </w:pPr>
      <w:r>
        <w:lastRenderedPageBreak/>
        <w:t>PEPA Aged Care p</w:t>
      </w:r>
      <w:r w:rsidR="007E4E38">
        <w:t>romotional</w:t>
      </w:r>
      <w:r w:rsidR="00E866A9">
        <w:t xml:space="preserve"> activities</w:t>
      </w:r>
    </w:p>
    <w:p w14:paraId="08B4B6BC" w14:textId="0AF074AF" w:rsidR="0034597A" w:rsidRDefault="0034597A" w:rsidP="0034597A">
      <w:r>
        <w:fldChar w:fldCharType="begin"/>
      </w:r>
      <w:r>
        <w:instrText xml:space="preserve"> REF _Ref214979965 \h </w:instrText>
      </w:r>
      <w:r>
        <w:fldChar w:fldCharType="separate"/>
      </w:r>
      <w:r w:rsidR="00167BA0">
        <w:t xml:space="preserve">Table </w:t>
      </w:r>
      <w:r w:rsidR="00167BA0">
        <w:rPr>
          <w:noProof/>
        </w:rPr>
        <w:t>9</w:t>
      </w:r>
      <w:r w:rsidR="00167BA0">
        <w:t>.</w:t>
      </w:r>
      <w:r w:rsidR="00167BA0">
        <w:rPr>
          <w:noProof/>
        </w:rPr>
        <w:t>5</w:t>
      </w:r>
      <w:r>
        <w:fldChar w:fldCharType="end"/>
      </w:r>
      <w:r>
        <w:t xml:space="preserve"> provides a high-level summary of PEPA Aged Care</w:t>
      </w:r>
      <w:r w:rsidR="003863F5">
        <w:t>’</w:t>
      </w:r>
      <w:r>
        <w:t xml:space="preserve">s </w:t>
      </w:r>
      <w:r w:rsidR="007E4E38">
        <w:t>promotional</w:t>
      </w:r>
      <w:r>
        <w:t xml:space="preserve"> activities across four financial years.</w:t>
      </w:r>
    </w:p>
    <w:p w14:paraId="17D2FE4D" w14:textId="694AAFC7" w:rsidR="0034597A" w:rsidRDefault="0034597A" w:rsidP="0034597A">
      <w:pPr>
        <w:pStyle w:val="Caption"/>
      </w:pPr>
      <w:bookmarkStart w:id="183" w:name="_Ref214979965"/>
      <w:r>
        <w:t xml:space="preserve">Table </w:t>
      </w:r>
      <w:fldSimple w:instr=" STYLEREF 1 \s ">
        <w:r w:rsidR="0091457A">
          <w:rPr>
            <w:noProof/>
          </w:rPr>
          <w:t>9</w:t>
        </w:r>
      </w:fldSimple>
      <w:r w:rsidR="0091457A">
        <w:t>.</w:t>
      </w:r>
      <w:fldSimple w:instr=" SEQ Table \* ARABIC \s 1 ">
        <w:r w:rsidR="0091457A">
          <w:rPr>
            <w:noProof/>
          </w:rPr>
          <w:t>5</w:t>
        </w:r>
      </w:fldSimple>
      <w:bookmarkEnd w:id="183"/>
      <w:r>
        <w:t xml:space="preserve">: Summary of PEPA Aged Care </w:t>
      </w:r>
      <w:r w:rsidR="007E4E38">
        <w:t>promotional</w:t>
      </w:r>
      <w:r>
        <w:t xml:space="preserve"> activities (2021–22 to 2024–25)</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promotional activities"/>
        <w:tblDescription w:val="Table provides a high-level summary of PEPA Aged Care’s promotional activities across four financial years."/>
      </w:tblPr>
      <w:tblGrid>
        <w:gridCol w:w="3713"/>
        <w:gridCol w:w="4835"/>
        <w:gridCol w:w="1370"/>
        <w:gridCol w:w="1370"/>
        <w:gridCol w:w="1370"/>
        <w:gridCol w:w="1370"/>
        <w:gridCol w:w="1098"/>
      </w:tblGrid>
      <w:tr w:rsidR="0034597A" w14:paraId="4E3BB69B" w14:textId="77777777" w:rsidTr="008C4A83">
        <w:trPr>
          <w:cnfStyle w:val="100000000000" w:firstRow="1" w:lastRow="0" w:firstColumn="0" w:lastColumn="0" w:oddVBand="0" w:evenVBand="0" w:oddHBand="0" w:evenHBand="0" w:firstRowFirstColumn="0" w:firstRowLastColumn="0" w:lastRowFirstColumn="0" w:lastRowLastColumn="0"/>
          <w:tblHeader/>
        </w:trPr>
        <w:tc>
          <w:tcPr>
            <w:tcW w:w="1227" w:type="pct"/>
          </w:tcPr>
          <w:p w14:paraId="147285B3" w14:textId="77777777" w:rsidR="0034597A" w:rsidRDefault="0034597A">
            <w:pPr>
              <w:spacing w:before="0" w:after="0"/>
            </w:pPr>
            <w:r>
              <w:t>Channel</w:t>
            </w:r>
          </w:p>
        </w:tc>
        <w:tc>
          <w:tcPr>
            <w:tcW w:w="1598" w:type="pct"/>
          </w:tcPr>
          <w:p w14:paraId="087FE093" w14:textId="77777777" w:rsidR="0034597A" w:rsidRDefault="0034597A">
            <w:pPr>
              <w:spacing w:before="0" w:after="0"/>
            </w:pPr>
            <w:r>
              <w:t>Metric</w:t>
            </w:r>
          </w:p>
        </w:tc>
        <w:tc>
          <w:tcPr>
            <w:tcW w:w="453" w:type="pct"/>
          </w:tcPr>
          <w:p w14:paraId="2CD711E3" w14:textId="77777777" w:rsidR="0034597A" w:rsidRDefault="0034597A" w:rsidP="00ED3F0D">
            <w:pPr>
              <w:spacing w:before="0" w:after="0"/>
              <w:jc w:val="right"/>
            </w:pPr>
            <w:r>
              <w:t>2021–22</w:t>
            </w:r>
          </w:p>
        </w:tc>
        <w:tc>
          <w:tcPr>
            <w:tcW w:w="453" w:type="pct"/>
          </w:tcPr>
          <w:p w14:paraId="51D60AEE" w14:textId="77777777" w:rsidR="0034597A" w:rsidRDefault="0034597A" w:rsidP="00ED3F0D">
            <w:pPr>
              <w:spacing w:before="0" w:after="0"/>
              <w:jc w:val="right"/>
            </w:pPr>
            <w:r>
              <w:t>2022–23</w:t>
            </w:r>
          </w:p>
        </w:tc>
        <w:tc>
          <w:tcPr>
            <w:tcW w:w="453" w:type="pct"/>
          </w:tcPr>
          <w:p w14:paraId="1B6E21A8" w14:textId="77777777" w:rsidR="0034597A" w:rsidRDefault="0034597A" w:rsidP="00ED3F0D">
            <w:pPr>
              <w:spacing w:before="0" w:after="0"/>
              <w:jc w:val="right"/>
            </w:pPr>
            <w:r>
              <w:t>2023–24</w:t>
            </w:r>
          </w:p>
        </w:tc>
        <w:tc>
          <w:tcPr>
            <w:tcW w:w="453" w:type="pct"/>
          </w:tcPr>
          <w:p w14:paraId="6B0DF1A9" w14:textId="77777777" w:rsidR="0034597A" w:rsidRDefault="0034597A" w:rsidP="00ED3F0D">
            <w:pPr>
              <w:spacing w:before="0" w:after="0"/>
              <w:jc w:val="right"/>
            </w:pPr>
            <w:r>
              <w:t>2024–25</w:t>
            </w:r>
          </w:p>
        </w:tc>
        <w:tc>
          <w:tcPr>
            <w:tcW w:w="365" w:type="pct"/>
          </w:tcPr>
          <w:p w14:paraId="10FCD31D" w14:textId="77777777" w:rsidR="0034597A" w:rsidRDefault="0034597A" w:rsidP="00ED3F0D">
            <w:pPr>
              <w:spacing w:before="0" w:after="0"/>
              <w:jc w:val="right"/>
            </w:pPr>
            <w:r>
              <w:t>Total</w:t>
            </w:r>
          </w:p>
        </w:tc>
      </w:tr>
      <w:tr w:rsidR="0034597A" w14:paraId="07A3CB64" w14:textId="77777777" w:rsidTr="008C4A83">
        <w:tc>
          <w:tcPr>
            <w:tcW w:w="1227" w:type="pct"/>
            <w:shd w:val="clear" w:color="auto" w:fill="DDF2EC" w:themeFill="background2" w:themeFillTint="33"/>
          </w:tcPr>
          <w:p w14:paraId="63D9458D" w14:textId="77777777" w:rsidR="0034597A" w:rsidRDefault="0034597A">
            <w:pPr>
              <w:spacing w:before="0" w:after="0"/>
            </w:pPr>
            <w:r>
              <w:t>Marketing activities</w:t>
            </w:r>
          </w:p>
        </w:tc>
        <w:tc>
          <w:tcPr>
            <w:tcW w:w="1598" w:type="pct"/>
          </w:tcPr>
          <w:p w14:paraId="214E2BFC" w14:textId="77777777" w:rsidR="0034597A" w:rsidRDefault="0034597A">
            <w:pPr>
              <w:spacing w:before="0" w:after="0"/>
            </w:pPr>
            <w:r>
              <w:t>Total number of activities</w:t>
            </w:r>
          </w:p>
        </w:tc>
        <w:tc>
          <w:tcPr>
            <w:tcW w:w="453" w:type="pct"/>
          </w:tcPr>
          <w:p w14:paraId="4EFA1C64" w14:textId="77777777" w:rsidR="0034597A" w:rsidRDefault="0034597A" w:rsidP="00ED3F0D">
            <w:pPr>
              <w:spacing w:before="0" w:after="0"/>
              <w:jc w:val="right"/>
            </w:pPr>
            <w:r>
              <w:t>12</w:t>
            </w:r>
          </w:p>
        </w:tc>
        <w:tc>
          <w:tcPr>
            <w:tcW w:w="453" w:type="pct"/>
          </w:tcPr>
          <w:p w14:paraId="6C200ADB" w14:textId="77777777" w:rsidR="0034597A" w:rsidRDefault="0034597A" w:rsidP="00ED3F0D">
            <w:pPr>
              <w:spacing w:before="0" w:after="0"/>
              <w:jc w:val="right"/>
            </w:pPr>
            <w:r>
              <w:t>6</w:t>
            </w:r>
          </w:p>
        </w:tc>
        <w:tc>
          <w:tcPr>
            <w:tcW w:w="453" w:type="pct"/>
          </w:tcPr>
          <w:p w14:paraId="244D6E4B" w14:textId="77777777" w:rsidR="0034597A" w:rsidRDefault="0034597A" w:rsidP="00ED3F0D">
            <w:pPr>
              <w:spacing w:before="0" w:after="0"/>
              <w:jc w:val="right"/>
            </w:pPr>
            <w:r>
              <w:t>14</w:t>
            </w:r>
          </w:p>
        </w:tc>
        <w:tc>
          <w:tcPr>
            <w:tcW w:w="453" w:type="pct"/>
          </w:tcPr>
          <w:p w14:paraId="498CFB1A" w14:textId="77777777" w:rsidR="0034597A" w:rsidRDefault="0034597A" w:rsidP="00ED3F0D">
            <w:pPr>
              <w:spacing w:before="0" w:after="0"/>
              <w:jc w:val="right"/>
            </w:pPr>
            <w:r>
              <w:t>21</w:t>
            </w:r>
          </w:p>
        </w:tc>
        <w:tc>
          <w:tcPr>
            <w:tcW w:w="365" w:type="pct"/>
          </w:tcPr>
          <w:p w14:paraId="4089F5B4" w14:textId="77777777" w:rsidR="0034597A" w:rsidRDefault="0034597A" w:rsidP="00ED3F0D">
            <w:pPr>
              <w:spacing w:before="0" w:after="0"/>
              <w:jc w:val="right"/>
            </w:pPr>
            <w:r>
              <w:t>53</w:t>
            </w:r>
          </w:p>
        </w:tc>
      </w:tr>
      <w:tr w:rsidR="0034597A" w14:paraId="3717C820" w14:textId="77777777" w:rsidTr="008C4A83">
        <w:tc>
          <w:tcPr>
            <w:tcW w:w="1227" w:type="pct"/>
            <w:shd w:val="clear" w:color="auto" w:fill="DDF2EC" w:themeFill="background2" w:themeFillTint="33"/>
          </w:tcPr>
          <w:p w14:paraId="31BE7C5E" w14:textId="77777777" w:rsidR="0034597A" w:rsidRDefault="0034597A">
            <w:pPr>
              <w:spacing w:before="0" w:after="0"/>
            </w:pPr>
            <w:r>
              <w:t>PEPA Aged Care website</w:t>
            </w:r>
          </w:p>
        </w:tc>
        <w:tc>
          <w:tcPr>
            <w:tcW w:w="1598" w:type="pct"/>
          </w:tcPr>
          <w:p w14:paraId="73B5EF19" w14:textId="77777777" w:rsidR="0034597A" w:rsidRDefault="0034597A">
            <w:pPr>
              <w:spacing w:before="0" w:after="0"/>
            </w:pPr>
            <w:r>
              <w:t>Page views</w:t>
            </w:r>
          </w:p>
        </w:tc>
        <w:tc>
          <w:tcPr>
            <w:tcW w:w="453" w:type="pct"/>
            <w:vAlign w:val="center"/>
          </w:tcPr>
          <w:p w14:paraId="25A280D4" w14:textId="77777777" w:rsidR="0034597A" w:rsidRDefault="0034597A" w:rsidP="00ED3F0D">
            <w:pPr>
              <w:pStyle w:val="TableText"/>
              <w:jc w:val="right"/>
            </w:pPr>
            <w:r>
              <w:t>585</w:t>
            </w:r>
          </w:p>
        </w:tc>
        <w:tc>
          <w:tcPr>
            <w:tcW w:w="453" w:type="pct"/>
            <w:vAlign w:val="center"/>
          </w:tcPr>
          <w:p w14:paraId="66350A79" w14:textId="77777777" w:rsidR="0034597A" w:rsidRDefault="0034597A" w:rsidP="00ED3F0D">
            <w:pPr>
              <w:pStyle w:val="TableText"/>
              <w:jc w:val="right"/>
            </w:pPr>
            <w:r>
              <w:t>1,001</w:t>
            </w:r>
          </w:p>
        </w:tc>
        <w:tc>
          <w:tcPr>
            <w:tcW w:w="453" w:type="pct"/>
            <w:vAlign w:val="center"/>
          </w:tcPr>
          <w:p w14:paraId="1BDFAC69" w14:textId="77777777" w:rsidR="0034597A" w:rsidRDefault="0034597A" w:rsidP="00ED3F0D">
            <w:pPr>
              <w:pStyle w:val="TableText"/>
              <w:jc w:val="right"/>
            </w:pPr>
            <w:r>
              <w:t>3,290</w:t>
            </w:r>
          </w:p>
        </w:tc>
        <w:tc>
          <w:tcPr>
            <w:tcW w:w="453" w:type="pct"/>
            <w:vAlign w:val="center"/>
          </w:tcPr>
          <w:p w14:paraId="6EE5F38F" w14:textId="77777777" w:rsidR="0034597A" w:rsidRDefault="0034597A" w:rsidP="00ED3F0D">
            <w:pPr>
              <w:pStyle w:val="TableText"/>
              <w:jc w:val="right"/>
            </w:pPr>
            <w:r>
              <w:t>10,562</w:t>
            </w:r>
          </w:p>
        </w:tc>
        <w:tc>
          <w:tcPr>
            <w:tcW w:w="365" w:type="pct"/>
            <w:vAlign w:val="center"/>
          </w:tcPr>
          <w:p w14:paraId="06BDB6BB" w14:textId="77777777" w:rsidR="0034597A" w:rsidRDefault="0034597A" w:rsidP="00ED3F0D">
            <w:pPr>
              <w:pStyle w:val="TableText"/>
              <w:jc w:val="right"/>
            </w:pPr>
            <w:r>
              <w:t>15,438</w:t>
            </w:r>
          </w:p>
        </w:tc>
      </w:tr>
      <w:tr w:rsidR="0034597A" w14:paraId="6243B6B3" w14:textId="77777777" w:rsidTr="008C4A83">
        <w:tc>
          <w:tcPr>
            <w:tcW w:w="1227" w:type="pct"/>
            <w:shd w:val="clear" w:color="auto" w:fill="DDF2EC" w:themeFill="background2" w:themeFillTint="33"/>
          </w:tcPr>
          <w:p w14:paraId="26654333" w14:textId="77777777" w:rsidR="0034597A" w:rsidRDefault="0034597A">
            <w:pPr>
              <w:spacing w:before="0" w:after="0"/>
            </w:pPr>
            <w:r>
              <w:t>Facebook</w:t>
            </w:r>
          </w:p>
        </w:tc>
        <w:tc>
          <w:tcPr>
            <w:tcW w:w="1598" w:type="pct"/>
          </w:tcPr>
          <w:p w14:paraId="15CFD19F" w14:textId="77777777" w:rsidR="0034597A" w:rsidRDefault="0034597A">
            <w:pPr>
              <w:spacing w:before="0" w:after="0"/>
            </w:pPr>
            <w:r>
              <w:t>PEPA/IPEPA page followers (cumulative)</w:t>
            </w:r>
          </w:p>
        </w:tc>
        <w:tc>
          <w:tcPr>
            <w:tcW w:w="453" w:type="pct"/>
            <w:vAlign w:val="center"/>
          </w:tcPr>
          <w:p w14:paraId="60A98F49" w14:textId="77777777" w:rsidR="0034597A" w:rsidRPr="00DE7130" w:rsidRDefault="0034597A" w:rsidP="00ED3F0D">
            <w:pPr>
              <w:pStyle w:val="TableText"/>
              <w:jc w:val="right"/>
            </w:pPr>
            <w:r w:rsidRPr="00DE7130">
              <w:t>1</w:t>
            </w:r>
            <w:r>
              <w:t>,</w:t>
            </w:r>
            <w:r w:rsidRPr="00DE7130">
              <w:t>000</w:t>
            </w:r>
          </w:p>
        </w:tc>
        <w:tc>
          <w:tcPr>
            <w:tcW w:w="453" w:type="pct"/>
            <w:vAlign w:val="center"/>
          </w:tcPr>
          <w:p w14:paraId="63EACB25" w14:textId="77777777" w:rsidR="0034597A" w:rsidRPr="00DE7130" w:rsidRDefault="0034597A" w:rsidP="00ED3F0D">
            <w:pPr>
              <w:pStyle w:val="TableText"/>
              <w:jc w:val="right"/>
            </w:pPr>
            <w:r w:rsidRPr="00DE7130">
              <w:t>1</w:t>
            </w:r>
            <w:r>
              <w:t>,</w:t>
            </w:r>
            <w:r w:rsidRPr="00DE7130">
              <w:t>449</w:t>
            </w:r>
          </w:p>
        </w:tc>
        <w:tc>
          <w:tcPr>
            <w:tcW w:w="453" w:type="pct"/>
            <w:vAlign w:val="center"/>
          </w:tcPr>
          <w:p w14:paraId="41802C4C" w14:textId="77777777" w:rsidR="0034597A" w:rsidRPr="00DE7130" w:rsidRDefault="0034597A" w:rsidP="00ED3F0D">
            <w:pPr>
              <w:pStyle w:val="TableText"/>
              <w:jc w:val="right"/>
            </w:pPr>
            <w:r w:rsidRPr="00DE7130">
              <w:t>1</w:t>
            </w:r>
            <w:r>
              <w:t>,</w:t>
            </w:r>
            <w:r w:rsidRPr="00DE7130">
              <w:t>644</w:t>
            </w:r>
          </w:p>
        </w:tc>
        <w:tc>
          <w:tcPr>
            <w:tcW w:w="453" w:type="pct"/>
            <w:vAlign w:val="center"/>
          </w:tcPr>
          <w:p w14:paraId="6D3041FD" w14:textId="77777777" w:rsidR="0034597A" w:rsidRPr="00DE7130" w:rsidRDefault="0034597A" w:rsidP="00ED3F0D">
            <w:pPr>
              <w:pStyle w:val="TableText"/>
              <w:jc w:val="right"/>
            </w:pPr>
            <w:r w:rsidRPr="00DE7130">
              <w:t>1</w:t>
            </w:r>
            <w:r>
              <w:t>,</w:t>
            </w:r>
            <w:r w:rsidRPr="00DE7130">
              <w:t>845</w:t>
            </w:r>
          </w:p>
        </w:tc>
        <w:tc>
          <w:tcPr>
            <w:tcW w:w="365" w:type="pct"/>
            <w:vAlign w:val="center"/>
          </w:tcPr>
          <w:p w14:paraId="6F6073B4" w14:textId="77777777" w:rsidR="0034597A" w:rsidRPr="00DE7130" w:rsidRDefault="0034597A" w:rsidP="00ED3F0D">
            <w:pPr>
              <w:pStyle w:val="TableText"/>
              <w:jc w:val="right"/>
            </w:pPr>
            <w:r w:rsidRPr="00DE7130">
              <w:t> 1</w:t>
            </w:r>
            <w:r>
              <w:t>,</w:t>
            </w:r>
            <w:r w:rsidRPr="00DE7130">
              <w:t>845</w:t>
            </w:r>
          </w:p>
        </w:tc>
      </w:tr>
      <w:tr w:rsidR="0034597A" w14:paraId="7D2853A0" w14:textId="77777777" w:rsidTr="008C4A83">
        <w:tc>
          <w:tcPr>
            <w:tcW w:w="1227" w:type="pct"/>
            <w:shd w:val="clear" w:color="auto" w:fill="DDF2EC" w:themeFill="background2" w:themeFillTint="33"/>
          </w:tcPr>
          <w:p w14:paraId="5AC4EA09" w14:textId="420C7E70" w:rsidR="0034597A" w:rsidRDefault="008C4A83">
            <w:pPr>
              <w:spacing w:before="0" w:after="0"/>
            </w:pPr>
            <w:r>
              <w:t>Facebook</w:t>
            </w:r>
          </w:p>
        </w:tc>
        <w:tc>
          <w:tcPr>
            <w:tcW w:w="1598" w:type="pct"/>
          </w:tcPr>
          <w:p w14:paraId="4F534285" w14:textId="77777777" w:rsidR="0034597A" w:rsidRDefault="0034597A">
            <w:pPr>
              <w:spacing w:before="0" w:after="0"/>
            </w:pPr>
            <w:r>
              <w:t>PEPA Aged Care posts</w:t>
            </w:r>
          </w:p>
        </w:tc>
        <w:tc>
          <w:tcPr>
            <w:tcW w:w="453" w:type="pct"/>
            <w:vAlign w:val="center"/>
          </w:tcPr>
          <w:p w14:paraId="482BCDB2" w14:textId="77777777" w:rsidR="0034597A" w:rsidRPr="00DE7130" w:rsidRDefault="0034597A" w:rsidP="00ED3F0D">
            <w:pPr>
              <w:pStyle w:val="TableText"/>
              <w:jc w:val="right"/>
            </w:pPr>
            <w:r w:rsidRPr="00DE7130">
              <w:t>0</w:t>
            </w:r>
          </w:p>
        </w:tc>
        <w:tc>
          <w:tcPr>
            <w:tcW w:w="453" w:type="pct"/>
            <w:vAlign w:val="center"/>
          </w:tcPr>
          <w:p w14:paraId="537EF649" w14:textId="77777777" w:rsidR="0034597A" w:rsidRPr="00DE7130" w:rsidRDefault="0034597A" w:rsidP="00ED3F0D">
            <w:pPr>
              <w:pStyle w:val="TableText"/>
              <w:jc w:val="right"/>
            </w:pPr>
            <w:r w:rsidRPr="00DE7130">
              <w:t>1</w:t>
            </w:r>
          </w:p>
        </w:tc>
        <w:tc>
          <w:tcPr>
            <w:tcW w:w="453" w:type="pct"/>
            <w:vAlign w:val="center"/>
          </w:tcPr>
          <w:p w14:paraId="48BB3971" w14:textId="77777777" w:rsidR="0034597A" w:rsidRPr="00DE7130" w:rsidRDefault="0034597A" w:rsidP="00ED3F0D">
            <w:pPr>
              <w:pStyle w:val="TableText"/>
              <w:jc w:val="right"/>
            </w:pPr>
            <w:r w:rsidRPr="00DE7130">
              <w:t>1</w:t>
            </w:r>
          </w:p>
        </w:tc>
        <w:tc>
          <w:tcPr>
            <w:tcW w:w="453" w:type="pct"/>
            <w:vAlign w:val="center"/>
          </w:tcPr>
          <w:p w14:paraId="5197859B" w14:textId="77777777" w:rsidR="0034597A" w:rsidRPr="00DE7130" w:rsidRDefault="0034597A" w:rsidP="00ED3F0D">
            <w:pPr>
              <w:pStyle w:val="TableText"/>
              <w:jc w:val="right"/>
            </w:pPr>
            <w:r w:rsidRPr="00DE7130">
              <w:t>9</w:t>
            </w:r>
          </w:p>
        </w:tc>
        <w:tc>
          <w:tcPr>
            <w:tcW w:w="365" w:type="pct"/>
            <w:vAlign w:val="center"/>
          </w:tcPr>
          <w:p w14:paraId="3CED782E" w14:textId="77777777" w:rsidR="0034597A" w:rsidRPr="00DE7130" w:rsidRDefault="0034597A" w:rsidP="00ED3F0D">
            <w:pPr>
              <w:pStyle w:val="TableText"/>
              <w:jc w:val="right"/>
            </w:pPr>
            <w:r w:rsidRPr="00DE7130">
              <w:t>11</w:t>
            </w:r>
          </w:p>
        </w:tc>
      </w:tr>
      <w:tr w:rsidR="0034597A" w14:paraId="1C65C903" w14:textId="77777777" w:rsidTr="008C4A83">
        <w:tc>
          <w:tcPr>
            <w:tcW w:w="1227" w:type="pct"/>
            <w:shd w:val="clear" w:color="auto" w:fill="DDF2EC" w:themeFill="background2" w:themeFillTint="33"/>
          </w:tcPr>
          <w:p w14:paraId="0F1D15F1" w14:textId="77777777" w:rsidR="0034597A" w:rsidRDefault="0034597A">
            <w:pPr>
              <w:spacing w:before="0" w:after="0"/>
            </w:pPr>
            <w:r>
              <w:t>PEPA newsletter</w:t>
            </w:r>
          </w:p>
        </w:tc>
        <w:tc>
          <w:tcPr>
            <w:tcW w:w="1598" w:type="pct"/>
          </w:tcPr>
          <w:p w14:paraId="69DF78EB" w14:textId="77777777" w:rsidR="0034597A" w:rsidRDefault="0034597A">
            <w:pPr>
              <w:spacing w:before="0" w:after="0"/>
            </w:pPr>
            <w:r>
              <w:t>Number of newsletters sent</w:t>
            </w:r>
          </w:p>
        </w:tc>
        <w:tc>
          <w:tcPr>
            <w:tcW w:w="453" w:type="pct"/>
            <w:vAlign w:val="center"/>
          </w:tcPr>
          <w:p w14:paraId="3D2EBC51" w14:textId="77777777" w:rsidR="0034597A" w:rsidRPr="00047757" w:rsidRDefault="0034597A" w:rsidP="00ED3F0D">
            <w:pPr>
              <w:pStyle w:val="TableText"/>
              <w:jc w:val="right"/>
            </w:pPr>
            <w:r w:rsidRPr="00047757">
              <w:t>10</w:t>
            </w:r>
          </w:p>
        </w:tc>
        <w:tc>
          <w:tcPr>
            <w:tcW w:w="453" w:type="pct"/>
            <w:vAlign w:val="center"/>
          </w:tcPr>
          <w:p w14:paraId="44FB4D50" w14:textId="77777777" w:rsidR="0034597A" w:rsidRPr="00047757" w:rsidRDefault="0034597A" w:rsidP="00ED3F0D">
            <w:pPr>
              <w:pStyle w:val="TableText"/>
              <w:jc w:val="right"/>
            </w:pPr>
            <w:r w:rsidRPr="00047757">
              <w:t>3</w:t>
            </w:r>
          </w:p>
        </w:tc>
        <w:tc>
          <w:tcPr>
            <w:tcW w:w="453" w:type="pct"/>
            <w:vAlign w:val="center"/>
          </w:tcPr>
          <w:p w14:paraId="77D1C063" w14:textId="77777777" w:rsidR="0034597A" w:rsidRPr="00047757" w:rsidRDefault="0034597A" w:rsidP="00ED3F0D">
            <w:pPr>
              <w:pStyle w:val="TableText"/>
              <w:jc w:val="right"/>
            </w:pPr>
            <w:r w:rsidRPr="00047757">
              <w:t>3</w:t>
            </w:r>
          </w:p>
        </w:tc>
        <w:tc>
          <w:tcPr>
            <w:tcW w:w="453" w:type="pct"/>
            <w:vAlign w:val="center"/>
          </w:tcPr>
          <w:p w14:paraId="44CE9D5C" w14:textId="77777777" w:rsidR="0034597A" w:rsidRPr="00047757" w:rsidRDefault="0034597A" w:rsidP="00ED3F0D">
            <w:pPr>
              <w:pStyle w:val="TableText"/>
              <w:jc w:val="right"/>
            </w:pPr>
            <w:r w:rsidRPr="00047757">
              <w:t>4</w:t>
            </w:r>
          </w:p>
        </w:tc>
        <w:tc>
          <w:tcPr>
            <w:tcW w:w="365" w:type="pct"/>
            <w:vAlign w:val="center"/>
          </w:tcPr>
          <w:p w14:paraId="4577B4F4" w14:textId="77777777" w:rsidR="0034597A" w:rsidRPr="00047757" w:rsidRDefault="0034597A" w:rsidP="00ED3F0D">
            <w:pPr>
              <w:pStyle w:val="TableText"/>
              <w:jc w:val="right"/>
            </w:pPr>
            <w:r w:rsidRPr="00047757">
              <w:t>20</w:t>
            </w:r>
          </w:p>
        </w:tc>
      </w:tr>
      <w:tr w:rsidR="0034597A" w14:paraId="606DEAD5" w14:textId="77777777" w:rsidTr="008C4A83">
        <w:tc>
          <w:tcPr>
            <w:tcW w:w="1227" w:type="pct"/>
            <w:shd w:val="clear" w:color="auto" w:fill="DDF2EC" w:themeFill="background2" w:themeFillTint="33"/>
          </w:tcPr>
          <w:p w14:paraId="07DD3FCD" w14:textId="6CB44957" w:rsidR="0034597A" w:rsidRDefault="008C4A83">
            <w:pPr>
              <w:spacing w:before="0" w:after="0"/>
            </w:pPr>
            <w:r>
              <w:t>PEPA newsletter</w:t>
            </w:r>
          </w:p>
        </w:tc>
        <w:tc>
          <w:tcPr>
            <w:tcW w:w="1598" w:type="pct"/>
          </w:tcPr>
          <w:p w14:paraId="4DE5486E" w14:textId="77777777" w:rsidR="0034597A" w:rsidRDefault="0034597A">
            <w:pPr>
              <w:spacing w:before="0" w:after="0"/>
            </w:pPr>
            <w:r>
              <w:t xml:space="preserve">Recipients </w:t>
            </w:r>
          </w:p>
        </w:tc>
        <w:tc>
          <w:tcPr>
            <w:tcW w:w="453" w:type="pct"/>
            <w:vAlign w:val="center"/>
          </w:tcPr>
          <w:p w14:paraId="70187D33" w14:textId="77777777" w:rsidR="0034597A" w:rsidRPr="00047757" w:rsidRDefault="0034597A" w:rsidP="00ED3F0D">
            <w:pPr>
              <w:pStyle w:val="TableText"/>
              <w:jc w:val="right"/>
            </w:pPr>
            <w:r w:rsidRPr="00047757">
              <w:t>2</w:t>
            </w:r>
            <w:r>
              <w:t>,</w:t>
            </w:r>
            <w:r w:rsidRPr="00047757">
              <w:t>750</w:t>
            </w:r>
          </w:p>
        </w:tc>
        <w:tc>
          <w:tcPr>
            <w:tcW w:w="453" w:type="pct"/>
            <w:vAlign w:val="center"/>
          </w:tcPr>
          <w:p w14:paraId="7687F42D" w14:textId="77777777" w:rsidR="0034597A" w:rsidRPr="00047757" w:rsidRDefault="0034597A" w:rsidP="00ED3F0D">
            <w:pPr>
              <w:pStyle w:val="TableText"/>
              <w:jc w:val="right"/>
            </w:pPr>
            <w:r w:rsidRPr="00047757">
              <w:t>3</w:t>
            </w:r>
            <w:r>
              <w:t>,</w:t>
            </w:r>
            <w:r w:rsidRPr="00047757">
              <w:t>184</w:t>
            </w:r>
          </w:p>
        </w:tc>
        <w:tc>
          <w:tcPr>
            <w:tcW w:w="453" w:type="pct"/>
            <w:vAlign w:val="center"/>
          </w:tcPr>
          <w:p w14:paraId="58AF5CDB" w14:textId="77777777" w:rsidR="0034597A" w:rsidRPr="00047757" w:rsidRDefault="0034597A" w:rsidP="00ED3F0D">
            <w:pPr>
              <w:pStyle w:val="TableText"/>
              <w:jc w:val="right"/>
            </w:pPr>
            <w:r w:rsidRPr="00047757">
              <w:t>3</w:t>
            </w:r>
            <w:r>
              <w:t>,</w:t>
            </w:r>
            <w:r w:rsidRPr="00047757">
              <w:t>477</w:t>
            </w:r>
          </w:p>
        </w:tc>
        <w:tc>
          <w:tcPr>
            <w:tcW w:w="453" w:type="pct"/>
            <w:vAlign w:val="center"/>
          </w:tcPr>
          <w:p w14:paraId="5A8A16CC" w14:textId="77777777" w:rsidR="0034597A" w:rsidRPr="00047757" w:rsidRDefault="0034597A" w:rsidP="00ED3F0D">
            <w:pPr>
              <w:pStyle w:val="TableText"/>
              <w:jc w:val="right"/>
            </w:pPr>
            <w:r w:rsidRPr="00047757">
              <w:t>3</w:t>
            </w:r>
            <w:r>
              <w:t>,</w:t>
            </w:r>
            <w:r w:rsidRPr="00047757">
              <w:t>369</w:t>
            </w:r>
          </w:p>
        </w:tc>
        <w:tc>
          <w:tcPr>
            <w:tcW w:w="365" w:type="pct"/>
            <w:vAlign w:val="center"/>
          </w:tcPr>
          <w:p w14:paraId="7E9976C2" w14:textId="77777777" w:rsidR="0034597A" w:rsidRPr="00047757" w:rsidRDefault="0034597A" w:rsidP="00ED3F0D">
            <w:pPr>
              <w:pStyle w:val="TableText"/>
              <w:jc w:val="right"/>
            </w:pPr>
            <w:r w:rsidRPr="00047757">
              <w:t> </w:t>
            </w:r>
            <w:r>
              <w:t>-</w:t>
            </w:r>
          </w:p>
        </w:tc>
      </w:tr>
      <w:tr w:rsidR="0034597A" w14:paraId="73819A8B" w14:textId="77777777" w:rsidTr="008C4A83">
        <w:tc>
          <w:tcPr>
            <w:tcW w:w="1227" w:type="pct"/>
            <w:shd w:val="clear" w:color="auto" w:fill="DDF2EC" w:themeFill="background2" w:themeFillTint="33"/>
          </w:tcPr>
          <w:p w14:paraId="73D6DF0B" w14:textId="77777777" w:rsidR="0034597A" w:rsidRDefault="0034597A">
            <w:pPr>
              <w:spacing w:before="0" w:after="0"/>
            </w:pPr>
            <w:r>
              <w:t>Advertising (</w:t>
            </w:r>
            <w:r w:rsidRPr="00E859C5">
              <w:rPr>
                <w:i/>
                <w:iCs/>
              </w:rPr>
              <w:t>Australian Ageing</w:t>
            </w:r>
            <w:r>
              <w:t>)</w:t>
            </w:r>
          </w:p>
        </w:tc>
        <w:tc>
          <w:tcPr>
            <w:tcW w:w="1598" w:type="pct"/>
          </w:tcPr>
          <w:p w14:paraId="153797E5" w14:textId="77777777" w:rsidR="0034597A" w:rsidRDefault="0034597A">
            <w:pPr>
              <w:spacing w:before="0" w:after="0"/>
            </w:pPr>
            <w:r>
              <w:t xml:space="preserve">Paid print/electronic campaigns </w:t>
            </w:r>
          </w:p>
        </w:tc>
        <w:tc>
          <w:tcPr>
            <w:tcW w:w="453" w:type="pct"/>
          </w:tcPr>
          <w:p w14:paraId="10CAD914" w14:textId="77777777" w:rsidR="0034597A" w:rsidRDefault="0034597A" w:rsidP="00ED3F0D">
            <w:pPr>
              <w:spacing w:before="0" w:after="0"/>
              <w:jc w:val="right"/>
            </w:pPr>
            <w:r>
              <w:t>0</w:t>
            </w:r>
          </w:p>
        </w:tc>
        <w:tc>
          <w:tcPr>
            <w:tcW w:w="453" w:type="pct"/>
          </w:tcPr>
          <w:p w14:paraId="50F6802C" w14:textId="77777777" w:rsidR="0034597A" w:rsidRDefault="0034597A" w:rsidP="00ED3F0D">
            <w:pPr>
              <w:spacing w:before="0" w:after="0"/>
              <w:jc w:val="right"/>
            </w:pPr>
            <w:r>
              <w:t>0</w:t>
            </w:r>
          </w:p>
        </w:tc>
        <w:tc>
          <w:tcPr>
            <w:tcW w:w="453" w:type="pct"/>
          </w:tcPr>
          <w:p w14:paraId="1BA002C2" w14:textId="77777777" w:rsidR="0034597A" w:rsidRDefault="0034597A" w:rsidP="00ED3F0D">
            <w:pPr>
              <w:spacing w:before="0" w:after="0"/>
              <w:jc w:val="right"/>
            </w:pPr>
            <w:r>
              <w:t>3</w:t>
            </w:r>
          </w:p>
        </w:tc>
        <w:tc>
          <w:tcPr>
            <w:tcW w:w="453" w:type="pct"/>
          </w:tcPr>
          <w:p w14:paraId="6496A018" w14:textId="77777777" w:rsidR="0034597A" w:rsidRDefault="0034597A" w:rsidP="00ED3F0D">
            <w:pPr>
              <w:spacing w:before="0" w:after="0"/>
              <w:jc w:val="right"/>
            </w:pPr>
            <w:r>
              <w:t>0</w:t>
            </w:r>
          </w:p>
        </w:tc>
        <w:tc>
          <w:tcPr>
            <w:tcW w:w="365" w:type="pct"/>
          </w:tcPr>
          <w:p w14:paraId="0188ADD6" w14:textId="77777777" w:rsidR="0034597A" w:rsidRDefault="0034597A" w:rsidP="00ED3F0D">
            <w:pPr>
              <w:spacing w:before="0" w:after="0"/>
              <w:jc w:val="right"/>
            </w:pPr>
            <w:r>
              <w:t>3</w:t>
            </w:r>
          </w:p>
        </w:tc>
      </w:tr>
      <w:tr w:rsidR="0034597A" w14:paraId="154EE17E" w14:textId="77777777" w:rsidTr="008C4A83">
        <w:tc>
          <w:tcPr>
            <w:tcW w:w="1227" w:type="pct"/>
            <w:shd w:val="clear" w:color="auto" w:fill="DDF2EC" w:themeFill="background2" w:themeFillTint="33"/>
          </w:tcPr>
          <w:p w14:paraId="4E12C25A" w14:textId="77777777" w:rsidR="0034597A" w:rsidRDefault="0034597A">
            <w:pPr>
              <w:spacing w:before="0" w:after="0"/>
            </w:pPr>
            <w:r>
              <w:t>Conferences/events</w:t>
            </w:r>
          </w:p>
        </w:tc>
        <w:tc>
          <w:tcPr>
            <w:tcW w:w="1598" w:type="pct"/>
          </w:tcPr>
          <w:p w14:paraId="40B6E5D0" w14:textId="77777777" w:rsidR="0034597A" w:rsidRDefault="0034597A">
            <w:pPr>
              <w:spacing w:before="0" w:after="0"/>
            </w:pPr>
            <w:r>
              <w:t>Number attended/presented</w:t>
            </w:r>
          </w:p>
        </w:tc>
        <w:tc>
          <w:tcPr>
            <w:tcW w:w="453" w:type="pct"/>
          </w:tcPr>
          <w:p w14:paraId="439B44B7" w14:textId="77777777" w:rsidR="0034597A" w:rsidRDefault="0034597A" w:rsidP="00ED3F0D">
            <w:pPr>
              <w:spacing w:before="0" w:after="0"/>
              <w:jc w:val="right"/>
            </w:pPr>
            <w:r>
              <w:t>0</w:t>
            </w:r>
          </w:p>
        </w:tc>
        <w:tc>
          <w:tcPr>
            <w:tcW w:w="453" w:type="pct"/>
          </w:tcPr>
          <w:p w14:paraId="36A7E664" w14:textId="77777777" w:rsidR="0034597A" w:rsidRDefault="0034597A" w:rsidP="00ED3F0D">
            <w:pPr>
              <w:spacing w:before="0" w:after="0"/>
              <w:jc w:val="right"/>
            </w:pPr>
            <w:r>
              <w:t>0</w:t>
            </w:r>
          </w:p>
        </w:tc>
        <w:tc>
          <w:tcPr>
            <w:tcW w:w="453" w:type="pct"/>
          </w:tcPr>
          <w:p w14:paraId="623E4FDC" w14:textId="77777777" w:rsidR="0034597A" w:rsidRDefault="0034597A" w:rsidP="00ED3F0D">
            <w:pPr>
              <w:spacing w:before="0" w:after="0"/>
              <w:jc w:val="right"/>
            </w:pPr>
            <w:r>
              <w:t>6</w:t>
            </w:r>
          </w:p>
        </w:tc>
        <w:tc>
          <w:tcPr>
            <w:tcW w:w="453" w:type="pct"/>
          </w:tcPr>
          <w:p w14:paraId="0B8A9A58" w14:textId="77777777" w:rsidR="0034597A" w:rsidRDefault="0034597A" w:rsidP="00ED3F0D">
            <w:pPr>
              <w:spacing w:before="0" w:after="0"/>
              <w:jc w:val="right"/>
            </w:pPr>
            <w:r>
              <w:t>5</w:t>
            </w:r>
          </w:p>
        </w:tc>
        <w:tc>
          <w:tcPr>
            <w:tcW w:w="365" w:type="pct"/>
          </w:tcPr>
          <w:p w14:paraId="5F4FD944" w14:textId="77777777" w:rsidR="0034597A" w:rsidRDefault="0034597A" w:rsidP="00ED3F0D">
            <w:pPr>
              <w:spacing w:before="0" w:after="0"/>
              <w:jc w:val="right"/>
            </w:pPr>
            <w:r>
              <w:t>11</w:t>
            </w:r>
          </w:p>
        </w:tc>
      </w:tr>
    </w:tbl>
    <w:p w14:paraId="78AD5695" w14:textId="0B13E5CC" w:rsidR="001E0ADF" w:rsidRDefault="0034597A" w:rsidP="0034597A">
      <w:pPr>
        <w:pStyle w:val="Tablenotes"/>
        <w:sectPr w:rsidR="001E0ADF" w:rsidSect="001E0ADF">
          <w:pgSz w:w="16838" w:h="11906" w:orient="landscape" w:code="9"/>
          <w:pgMar w:top="851" w:right="851" w:bottom="851" w:left="851" w:header="709" w:footer="567" w:gutter="0"/>
          <w:cols w:space="709"/>
          <w:docGrid w:linePitch="360"/>
        </w:sectPr>
      </w:pPr>
      <w:r w:rsidRPr="00362F97">
        <w:t>Source: PEPA Aged Care program data provided by QUT, September 2025.</w:t>
      </w:r>
    </w:p>
    <w:p w14:paraId="2CDF9BEC" w14:textId="7D4F81A6" w:rsidR="0034597A" w:rsidRDefault="0034597A" w:rsidP="0034597A">
      <w:pPr>
        <w:pStyle w:val="Heading3-nonumber"/>
      </w:pPr>
      <w:r>
        <w:t xml:space="preserve">PEPA Aged Care </w:t>
      </w:r>
      <w:r w:rsidR="00D65EE0">
        <w:t>uptake and engagement data</w:t>
      </w:r>
    </w:p>
    <w:p w14:paraId="17C497D4" w14:textId="508DAF4C" w:rsidR="00181C45" w:rsidRDefault="00181C45" w:rsidP="00181C45">
      <w:r>
        <w:t xml:space="preserve">This section presents program data </w:t>
      </w:r>
      <w:r w:rsidR="00030433">
        <w:t>on PEPA Aged Care placements</w:t>
      </w:r>
      <w:r w:rsidR="00E948FD">
        <w:t xml:space="preserve"> and participants</w:t>
      </w:r>
      <w:r w:rsidR="00030433">
        <w:t>.</w:t>
      </w:r>
    </w:p>
    <w:p w14:paraId="5C5FDEFD" w14:textId="7EEF44BB" w:rsidR="00030433" w:rsidRPr="00181C45" w:rsidRDefault="00030433" w:rsidP="00030433">
      <w:pPr>
        <w:pStyle w:val="Heading4"/>
      </w:pPr>
      <w:r>
        <w:t>Average wait time</w:t>
      </w:r>
      <w:r w:rsidR="00D65EE0">
        <w:t xml:space="preserve"> for rev</w:t>
      </w:r>
      <w:r w:rsidR="00F17431">
        <w:t>erse placements</w:t>
      </w:r>
    </w:p>
    <w:p w14:paraId="3CDD22FB" w14:textId="4B835678" w:rsidR="00A2497B" w:rsidRDefault="00D71036" w:rsidP="00E93223">
      <w:r>
        <w:fldChar w:fldCharType="begin"/>
      </w:r>
      <w:r>
        <w:instrText xml:space="preserve"> REF _Ref215039678 \h </w:instrText>
      </w:r>
      <w:r>
        <w:fldChar w:fldCharType="separate"/>
      </w:r>
      <w:r w:rsidR="00167BA0">
        <w:t xml:space="preserve">Figure </w:t>
      </w:r>
      <w:r w:rsidR="00167BA0">
        <w:rPr>
          <w:noProof/>
        </w:rPr>
        <w:t>9</w:t>
      </w:r>
      <w:r w:rsidR="00167BA0">
        <w:t>.</w:t>
      </w:r>
      <w:r w:rsidR="00167BA0">
        <w:rPr>
          <w:noProof/>
        </w:rPr>
        <w:t>1</w:t>
      </w:r>
      <w:r>
        <w:fldChar w:fldCharType="end"/>
      </w:r>
      <w:r w:rsidR="00D14167">
        <w:t xml:space="preserve"> presents the average number of weeks sites spent on the waiting list for PEPA Aged Care</w:t>
      </w:r>
      <w:r w:rsidR="00332669">
        <w:t>, by financial year</w:t>
      </w:r>
      <w:r w:rsidR="00D14167">
        <w:t>.</w:t>
      </w:r>
    </w:p>
    <w:p w14:paraId="5A3363CD" w14:textId="3B14F82E" w:rsidR="00491AC7" w:rsidRDefault="00491AC7" w:rsidP="00491AC7">
      <w:pPr>
        <w:pStyle w:val="Caption"/>
      </w:pPr>
      <w:bookmarkStart w:id="184" w:name="_Ref215039678"/>
      <w:r>
        <w:lastRenderedPageBreak/>
        <w:t xml:space="preserve">Figure </w:t>
      </w:r>
      <w:fldSimple w:instr=" STYLEREF 1 \s ">
        <w:r w:rsidR="00167BA0">
          <w:rPr>
            <w:noProof/>
          </w:rPr>
          <w:t>9</w:t>
        </w:r>
      </w:fldSimple>
      <w:r w:rsidR="00DD3EB1">
        <w:t>.</w:t>
      </w:r>
      <w:fldSimple w:instr=" SEQ Figure \* ARABIC \s 1 ">
        <w:r w:rsidR="00167BA0">
          <w:rPr>
            <w:noProof/>
          </w:rPr>
          <w:t>1</w:t>
        </w:r>
      </w:fldSimple>
      <w:bookmarkEnd w:id="184"/>
      <w:r>
        <w:t>: Average number of weeks spent on the waiting list for PEPA Aged Care</w:t>
      </w:r>
    </w:p>
    <w:p w14:paraId="5331E258" w14:textId="3E185F7C" w:rsidR="00A2497B" w:rsidRDefault="00491AC7" w:rsidP="00E93223">
      <w:r>
        <w:rPr>
          <w:noProof/>
        </w:rPr>
        <w:drawing>
          <wp:inline distT="0" distB="0" distL="0" distR="0" wp14:anchorId="53642A65" wp14:editId="5C56CB21">
            <wp:extent cx="4505325" cy="2701870"/>
            <wp:effectExtent l="0" t="0" r="0" b="3810"/>
            <wp:docPr id="2029363136" name="Picture 5" descr="Figure 9.1 is a line graph showing: Average number of weeks spent on the waiting list for PEPA Age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63136" name="Picture 5" descr="Figure 9.1 is a line graph showing: Average number of weeks spent on the waiting list for PEPA Aged Car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517939" cy="2709435"/>
                    </a:xfrm>
                    <a:prstGeom prst="rect">
                      <a:avLst/>
                    </a:prstGeom>
                    <a:noFill/>
                  </pic:spPr>
                </pic:pic>
              </a:graphicData>
            </a:graphic>
          </wp:inline>
        </w:drawing>
      </w:r>
    </w:p>
    <w:p w14:paraId="4E49A6D1" w14:textId="023E8377" w:rsidR="00267406" w:rsidRDefault="00267406" w:rsidP="00267406">
      <w:pPr>
        <w:pStyle w:val="Tablenotes"/>
        <w:spacing w:before="0" w:after="0"/>
      </w:pPr>
      <w:r>
        <w:t xml:space="preserve">Notes: Some </w:t>
      </w:r>
      <w:r w:rsidR="00181C45" w:rsidRPr="00181C45">
        <w:t>records lacked complete or accurate data on the time from application to first placement. In these cases, an estimated 8-week timeframe was applied, based on observed averages. Actual timelines may vary due to factors such as site readiness, staffing availability, cancellations/rescheduling, and PEPA Aged Care team capacity.</w:t>
      </w:r>
    </w:p>
    <w:p w14:paraId="48E06330" w14:textId="7C94417F" w:rsidR="00491AC7" w:rsidRDefault="00491AC7" w:rsidP="00491AC7">
      <w:pPr>
        <w:pStyle w:val="Tablenotes"/>
        <w:spacing w:before="0"/>
      </w:pPr>
      <w:r>
        <w:t>Source: PEPA Aged Care program data provided by QUT, September 2025.</w:t>
      </w:r>
    </w:p>
    <w:p w14:paraId="31FFDE4A" w14:textId="77777777" w:rsidR="00F03D9B" w:rsidRDefault="00F03D9B" w:rsidP="00F03D9B">
      <w:pPr>
        <w:pStyle w:val="Heading4"/>
      </w:pPr>
      <w:r>
        <w:t>Withdrawals</w:t>
      </w:r>
    </w:p>
    <w:p w14:paraId="3FFF7D3F" w14:textId="767FB67F" w:rsidR="00F03D9B" w:rsidRDefault="00F03D9B" w:rsidP="00F03D9B">
      <w:r>
        <w:t xml:space="preserve">The number of completions and withdrawals from PEPA Aged Care by financial year are presented in </w:t>
      </w:r>
      <w:r>
        <w:fldChar w:fldCharType="begin"/>
      </w:r>
      <w:r>
        <w:instrText xml:space="preserve"> REF _Ref215045710 \h </w:instrText>
      </w:r>
      <w:r>
        <w:fldChar w:fldCharType="separate"/>
      </w:r>
      <w:r w:rsidR="00167BA0">
        <w:t xml:space="preserve">Table </w:t>
      </w:r>
      <w:r w:rsidR="00167BA0">
        <w:rPr>
          <w:noProof/>
        </w:rPr>
        <w:t>9</w:t>
      </w:r>
      <w:r w:rsidR="00167BA0">
        <w:t>.</w:t>
      </w:r>
      <w:r w:rsidR="00167BA0">
        <w:rPr>
          <w:noProof/>
        </w:rPr>
        <w:t>6</w:t>
      </w:r>
      <w:r>
        <w:fldChar w:fldCharType="end"/>
      </w:r>
      <w:r>
        <w:t>.</w:t>
      </w:r>
    </w:p>
    <w:p w14:paraId="4774B4D9" w14:textId="69C79041" w:rsidR="00F03D9B" w:rsidRDefault="00F03D9B" w:rsidP="00F03D9B">
      <w:pPr>
        <w:pStyle w:val="Caption"/>
      </w:pPr>
      <w:bookmarkStart w:id="185" w:name="_Ref215045710"/>
      <w:r>
        <w:t xml:space="preserve">Table </w:t>
      </w:r>
      <w:fldSimple w:instr=" STYLEREF 1 \s ">
        <w:r w:rsidR="0091457A">
          <w:rPr>
            <w:noProof/>
          </w:rPr>
          <w:t>9</w:t>
        </w:r>
      </w:fldSimple>
      <w:r w:rsidR="0091457A">
        <w:t>.</w:t>
      </w:r>
      <w:fldSimple w:instr=" SEQ Table \* ARABIC \s 1 ">
        <w:r w:rsidR="0091457A">
          <w:rPr>
            <w:noProof/>
          </w:rPr>
          <w:t>6</w:t>
        </w:r>
      </w:fldSimple>
      <w:bookmarkEnd w:id="185"/>
      <w:r>
        <w:t>: PEPA Aged Care withdrawals by financial year</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completions"/>
        <w:tblDescription w:val="Table shows the number of completions and withdrawals from PEPA Aged Care across four financial years from 2021-22 to 2024-25."/>
      </w:tblPr>
      <w:tblGrid>
        <w:gridCol w:w="2123"/>
        <w:gridCol w:w="849"/>
        <w:gridCol w:w="850"/>
        <w:gridCol w:w="849"/>
        <w:gridCol w:w="850"/>
        <w:gridCol w:w="707"/>
        <w:gridCol w:w="975"/>
      </w:tblGrid>
      <w:tr w:rsidR="00F03D9B" w:rsidRPr="00712EDF" w14:paraId="4BC8D3C6" w14:textId="77777777" w:rsidTr="00AF34A0">
        <w:trPr>
          <w:cnfStyle w:val="100000000000" w:firstRow="1" w:lastRow="0" w:firstColumn="0" w:lastColumn="0" w:oddVBand="0" w:evenVBand="0" w:oddHBand="0" w:evenHBand="0" w:firstRowFirstColumn="0" w:firstRowLastColumn="0" w:lastRowFirstColumn="0" w:lastRowLastColumn="0"/>
          <w:trHeight w:val="255"/>
          <w:tblHeader/>
        </w:trPr>
        <w:tc>
          <w:tcPr>
            <w:tcW w:w="2127" w:type="dxa"/>
            <w:noWrap/>
            <w:hideMark/>
          </w:tcPr>
          <w:p w14:paraId="634AD64D" w14:textId="77777777" w:rsidR="00F03D9B" w:rsidRPr="00712EDF" w:rsidRDefault="00F03D9B">
            <w:pPr>
              <w:pStyle w:val="TableHeading"/>
            </w:pPr>
            <w:r>
              <w:t>Placement outcome</w:t>
            </w:r>
          </w:p>
        </w:tc>
        <w:tc>
          <w:tcPr>
            <w:tcW w:w="850" w:type="dxa"/>
            <w:noWrap/>
            <w:hideMark/>
          </w:tcPr>
          <w:p w14:paraId="490C3046" w14:textId="77777777" w:rsidR="00F03D9B" w:rsidRPr="00712EDF" w:rsidRDefault="00F03D9B" w:rsidP="00841C65">
            <w:pPr>
              <w:pStyle w:val="TableHeading"/>
              <w:jc w:val="center"/>
            </w:pPr>
            <w:r w:rsidRPr="004D646B">
              <w:t>2021</w:t>
            </w:r>
            <w:r>
              <w:rPr>
                <w:caps w:val="0"/>
              </w:rPr>
              <w:t>–</w:t>
            </w:r>
            <w:r w:rsidRPr="004D646B">
              <w:t>22</w:t>
            </w:r>
          </w:p>
        </w:tc>
        <w:tc>
          <w:tcPr>
            <w:tcW w:w="851" w:type="dxa"/>
            <w:noWrap/>
            <w:hideMark/>
          </w:tcPr>
          <w:p w14:paraId="73A4C146" w14:textId="77777777" w:rsidR="00F03D9B" w:rsidRPr="00712EDF" w:rsidRDefault="00F03D9B" w:rsidP="00841C65">
            <w:pPr>
              <w:pStyle w:val="TableHeading"/>
              <w:jc w:val="center"/>
            </w:pPr>
            <w:r w:rsidRPr="004D646B">
              <w:t>2022</w:t>
            </w:r>
            <w:r>
              <w:rPr>
                <w:caps w:val="0"/>
              </w:rPr>
              <w:t>–</w:t>
            </w:r>
            <w:r w:rsidRPr="004D646B">
              <w:t>23</w:t>
            </w:r>
          </w:p>
        </w:tc>
        <w:tc>
          <w:tcPr>
            <w:tcW w:w="850" w:type="dxa"/>
            <w:noWrap/>
            <w:hideMark/>
          </w:tcPr>
          <w:p w14:paraId="12977E16" w14:textId="77777777" w:rsidR="00F03D9B" w:rsidRPr="00712EDF" w:rsidRDefault="00F03D9B" w:rsidP="00841C65">
            <w:pPr>
              <w:pStyle w:val="TableHeading"/>
              <w:jc w:val="center"/>
            </w:pPr>
            <w:r w:rsidRPr="004D646B">
              <w:t>2023</w:t>
            </w:r>
            <w:r>
              <w:rPr>
                <w:caps w:val="0"/>
              </w:rPr>
              <w:t>–</w:t>
            </w:r>
            <w:r w:rsidRPr="004D646B">
              <w:t>24</w:t>
            </w:r>
          </w:p>
        </w:tc>
        <w:tc>
          <w:tcPr>
            <w:tcW w:w="851" w:type="dxa"/>
            <w:noWrap/>
            <w:hideMark/>
          </w:tcPr>
          <w:p w14:paraId="58CCDBF2" w14:textId="77777777" w:rsidR="00F03D9B" w:rsidRPr="00712EDF" w:rsidRDefault="00F03D9B" w:rsidP="00841C65">
            <w:pPr>
              <w:pStyle w:val="TableHeading"/>
              <w:jc w:val="center"/>
            </w:pPr>
            <w:r w:rsidRPr="004D646B">
              <w:t>2024</w:t>
            </w:r>
            <w:r>
              <w:rPr>
                <w:caps w:val="0"/>
              </w:rPr>
              <w:t>–</w:t>
            </w:r>
            <w:r w:rsidRPr="004D646B">
              <w:t>25</w:t>
            </w:r>
          </w:p>
        </w:tc>
        <w:tc>
          <w:tcPr>
            <w:tcW w:w="708" w:type="dxa"/>
            <w:noWrap/>
            <w:hideMark/>
          </w:tcPr>
          <w:p w14:paraId="461EB778" w14:textId="77777777" w:rsidR="00F03D9B" w:rsidRPr="00712EDF" w:rsidRDefault="00F03D9B" w:rsidP="00841C65">
            <w:pPr>
              <w:pStyle w:val="TableHeading"/>
              <w:jc w:val="center"/>
            </w:pPr>
            <w:r>
              <w:t>Total</w:t>
            </w:r>
          </w:p>
        </w:tc>
        <w:tc>
          <w:tcPr>
            <w:tcW w:w="976" w:type="dxa"/>
            <w:noWrap/>
            <w:hideMark/>
          </w:tcPr>
          <w:p w14:paraId="2371474B" w14:textId="77777777" w:rsidR="00F03D9B" w:rsidRPr="00712EDF" w:rsidRDefault="00F03D9B" w:rsidP="00841C65">
            <w:pPr>
              <w:pStyle w:val="TableHeading"/>
              <w:jc w:val="center"/>
            </w:pPr>
            <w:r w:rsidRPr="00712EDF">
              <w:t>%</w:t>
            </w:r>
          </w:p>
        </w:tc>
      </w:tr>
      <w:tr w:rsidR="00F03D9B" w:rsidRPr="00712EDF" w14:paraId="43E76E0F"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tcW w:w="2127" w:type="dxa"/>
            <w:noWrap/>
          </w:tcPr>
          <w:p w14:paraId="7271305D" w14:textId="77777777" w:rsidR="00F03D9B" w:rsidRDefault="00F03D9B">
            <w:pPr>
              <w:pStyle w:val="TableText"/>
            </w:pPr>
            <w:r>
              <w:t>Complete</w:t>
            </w:r>
          </w:p>
        </w:tc>
        <w:tc>
          <w:tcPr>
            <w:tcW w:w="850" w:type="dxa"/>
            <w:noWrap/>
          </w:tcPr>
          <w:p w14:paraId="7B594D07" w14:textId="77777777" w:rsidR="00F03D9B" w:rsidRPr="005D5F71" w:rsidRDefault="00F03D9B" w:rsidP="00841C65">
            <w:pPr>
              <w:pStyle w:val="TableText"/>
              <w:jc w:val="center"/>
            </w:pPr>
            <w:r w:rsidRPr="005D5F71">
              <w:t>20</w:t>
            </w:r>
          </w:p>
        </w:tc>
        <w:tc>
          <w:tcPr>
            <w:tcW w:w="851" w:type="dxa"/>
            <w:noWrap/>
          </w:tcPr>
          <w:p w14:paraId="2BECFF74" w14:textId="77777777" w:rsidR="00F03D9B" w:rsidRPr="005D5F71" w:rsidRDefault="00F03D9B" w:rsidP="00841C65">
            <w:pPr>
              <w:pStyle w:val="TableText"/>
              <w:jc w:val="center"/>
            </w:pPr>
            <w:r w:rsidRPr="005D5F71">
              <w:t>130</w:t>
            </w:r>
          </w:p>
        </w:tc>
        <w:tc>
          <w:tcPr>
            <w:tcW w:w="850" w:type="dxa"/>
            <w:noWrap/>
          </w:tcPr>
          <w:p w14:paraId="3E10CCFF" w14:textId="77777777" w:rsidR="00F03D9B" w:rsidRPr="005D5F71" w:rsidRDefault="00F03D9B" w:rsidP="00841C65">
            <w:pPr>
              <w:pStyle w:val="TableText"/>
              <w:jc w:val="center"/>
            </w:pPr>
            <w:r w:rsidRPr="005D5F71">
              <w:t>163</w:t>
            </w:r>
          </w:p>
        </w:tc>
        <w:tc>
          <w:tcPr>
            <w:tcW w:w="851" w:type="dxa"/>
            <w:noWrap/>
          </w:tcPr>
          <w:p w14:paraId="259533E5" w14:textId="77777777" w:rsidR="00F03D9B" w:rsidRPr="005D5F71" w:rsidRDefault="00F03D9B" w:rsidP="00841C65">
            <w:pPr>
              <w:pStyle w:val="TableText"/>
              <w:jc w:val="center"/>
            </w:pPr>
            <w:r w:rsidRPr="005D5F71">
              <w:t>158</w:t>
            </w:r>
          </w:p>
        </w:tc>
        <w:tc>
          <w:tcPr>
            <w:tcW w:w="708" w:type="dxa"/>
            <w:noWrap/>
          </w:tcPr>
          <w:p w14:paraId="67F4A930" w14:textId="77777777" w:rsidR="00F03D9B" w:rsidRPr="005D5F71" w:rsidRDefault="00F03D9B" w:rsidP="00841C65">
            <w:pPr>
              <w:pStyle w:val="TableText"/>
              <w:jc w:val="center"/>
            </w:pPr>
            <w:r w:rsidRPr="005D5F71">
              <w:t>471</w:t>
            </w:r>
          </w:p>
        </w:tc>
        <w:tc>
          <w:tcPr>
            <w:tcW w:w="976" w:type="dxa"/>
            <w:noWrap/>
          </w:tcPr>
          <w:p w14:paraId="300B7DD7" w14:textId="77777777" w:rsidR="00F03D9B" w:rsidRPr="005D5F71" w:rsidRDefault="00F03D9B" w:rsidP="00841C65">
            <w:pPr>
              <w:pStyle w:val="TableText"/>
              <w:jc w:val="center"/>
            </w:pPr>
            <w:r w:rsidRPr="005D5F71">
              <w:t>89.7%</w:t>
            </w:r>
          </w:p>
        </w:tc>
      </w:tr>
      <w:tr w:rsidR="00F03D9B" w:rsidRPr="00712EDF" w14:paraId="235F3199"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tcW w:w="2127" w:type="dxa"/>
            <w:noWrap/>
          </w:tcPr>
          <w:p w14:paraId="2075FDD5" w14:textId="77777777" w:rsidR="00F03D9B" w:rsidRPr="00712EDF" w:rsidRDefault="00F03D9B">
            <w:pPr>
              <w:pStyle w:val="TableText"/>
            </w:pPr>
            <w:r>
              <w:t>Withdrawn</w:t>
            </w:r>
          </w:p>
        </w:tc>
        <w:tc>
          <w:tcPr>
            <w:tcW w:w="850" w:type="dxa"/>
            <w:noWrap/>
          </w:tcPr>
          <w:p w14:paraId="699799AF" w14:textId="77777777" w:rsidR="00F03D9B" w:rsidRPr="005D5F71" w:rsidRDefault="00F03D9B" w:rsidP="00841C65">
            <w:pPr>
              <w:pStyle w:val="TableText"/>
              <w:jc w:val="center"/>
            </w:pPr>
            <w:r w:rsidRPr="005D5F71">
              <w:t>20</w:t>
            </w:r>
          </w:p>
        </w:tc>
        <w:tc>
          <w:tcPr>
            <w:tcW w:w="851" w:type="dxa"/>
            <w:noWrap/>
          </w:tcPr>
          <w:p w14:paraId="77EFCF73" w14:textId="77777777" w:rsidR="00F03D9B" w:rsidRPr="005D5F71" w:rsidRDefault="00F03D9B" w:rsidP="00841C65">
            <w:pPr>
              <w:pStyle w:val="TableText"/>
              <w:jc w:val="center"/>
            </w:pPr>
            <w:r w:rsidRPr="005D5F71">
              <w:t>14</w:t>
            </w:r>
          </w:p>
        </w:tc>
        <w:tc>
          <w:tcPr>
            <w:tcW w:w="850" w:type="dxa"/>
            <w:noWrap/>
          </w:tcPr>
          <w:p w14:paraId="45F658CD" w14:textId="77777777" w:rsidR="00F03D9B" w:rsidRPr="005D5F71" w:rsidRDefault="00F03D9B" w:rsidP="00841C65">
            <w:pPr>
              <w:pStyle w:val="TableText"/>
              <w:jc w:val="center"/>
            </w:pPr>
            <w:r w:rsidRPr="005D5F71">
              <w:t>9</w:t>
            </w:r>
          </w:p>
        </w:tc>
        <w:tc>
          <w:tcPr>
            <w:tcW w:w="851" w:type="dxa"/>
            <w:noWrap/>
          </w:tcPr>
          <w:p w14:paraId="16B98B37" w14:textId="77777777" w:rsidR="00F03D9B" w:rsidRPr="005D5F71" w:rsidRDefault="00F03D9B" w:rsidP="00841C65">
            <w:pPr>
              <w:pStyle w:val="TableText"/>
              <w:jc w:val="center"/>
            </w:pPr>
            <w:r w:rsidRPr="005D5F71">
              <w:t>11</w:t>
            </w:r>
          </w:p>
        </w:tc>
        <w:tc>
          <w:tcPr>
            <w:tcW w:w="708" w:type="dxa"/>
            <w:noWrap/>
          </w:tcPr>
          <w:p w14:paraId="671E6F2E" w14:textId="77777777" w:rsidR="00F03D9B" w:rsidRPr="005D5F71" w:rsidRDefault="00F03D9B" w:rsidP="00841C65">
            <w:pPr>
              <w:pStyle w:val="TableText"/>
              <w:jc w:val="center"/>
            </w:pPr>
            <w:r w:rsidRPr="005D5F71">
              <w:t>54</w:t>
            </w:r>
          </w:p>
        </w:tc>
        <w:tc>
          <w:tcPr>
            <w:tcW w:w="976" w:type="dxa"/>
            <w:noWrap/>
          </w:tcPr>
          <w:p w14:paraId="159C2C61" w14:textId="77777777" w:rsidR="00F03D9B" w:rsidRPr="005D5F71" w:rsidRDefault="00F03D9B" w:rsidP="00841C65">
            <w:pPr>
              <w:pStyle w:val="TableText"/>
              <w:jc w:val="center"/>
            </w:pPr>
            <w:r w:rsidRPr="005D5F71">
              <w:t>10.3%</w:t>
            </w:r>
          </w:p>
        </w:tc>
      </w:tr>
      <w:tr w:rsidR="00F03D9B" w:rsidRPr="005D5F71" w14:paraId="4933FA9C"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tcW w:w="2127" w:type="dxa"/>
            <w:shd w:val="clear" w:color="auto" w:fill="DCDCDF" w:themeFill="text2" w:themeFillTint="33"/>
            <w:noWrap/>
          </w:tcPr>
          <w:p w14:paraId="15FE8271" w14:textId="77777777" w:rsidR="00F03D9B" w:rsidRPr="005D5F71" w:rsidRDefault="00F03D9B">
            <w:pPr>
              <w:pStyle w:val="TableText"/>
              <w:rPr>
                <w:rFonts w:asciiTheme="majorHAnsi" w:hAnsiTheme="majorHAnsi"/>
              </w:rPr>
            </w:pPr>
            <w:r w:rsidRPr="005D5F71">
              <w:rPr>
                <w:rFonts w:asciiTheme="majorHAnsi" w:hAnsiTheme="majorHAnsi"/>
              </w:rPr>
              <w:t>Total</w:t>
            </w:r>
          </w:p>
        </w:tc>
        <w:tc>
          <w:tcPr>
            <w:tcW w:w="850" w:type="dxa"/>
            <w:shd w:val="clear" w:color="auto" w:fill="DCDCDF" w:themeFill="text2" w:themeFillTint="33"/>
            <w:noWrap/>
          </w:tcPr>
          <w:p w14:paraId="5FDEE3F1"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40</w:t>
            </w:r>
          </w:p>
        </w:tc>
        <w:tc>
          <w:tcPr>
            <w:tcW w:w="851" w:type="dxa"/>
            <w:shd w:val="clear" w:color="auto" w:fill="DCDCDF" w:themeFill="text2" w:themeFillTint="33"/>
            <w:noWrap/>
          </w:tcPr>
          <w:p w14:paraId="04DB8BEA"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144</w:t>
            </w:r>
          </w:p>
        </w:tc>
        <w:tc>
          <w:tcPr>
            <w:tcW w:w="850" w:type="dxa"/>
            <w:shd w:val="clear" w:color="auto" w:fill="DCDCDF" w:themeFill="text2" w:themeFillTint="33"/>
            <w:noWrap/>
          </w:tcPr>
          <w:p w14:paraId="7593510B"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172</w:t>
            </w:r>
          </w:p>
        </w:tc>
        <w:tc>
          <w:tcPr>
            <w:tcW w:w="851" w:type="dxa"/>
            <w:shd w:val="clear" w:color="auto" w:fill="DCDCDF" w:themeFill="text2" w:themeFillTint="33"/>
            <w:noWrap/>
          </w:tcPr>
          <w:p w14:paraId="2F990650"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169</w:t>
            </w:r>
          </w:p>
        </w:tc>
        <w:tc>
          <w:tcPr>
            <w:tcW w:w="708" w:type="dxa"/>
            <w:shd w:val="clear" w:color="auto" w:fill="DCDCDF" w:themeFill="text2" w:themeFillTint="33"/>
            <w:noWrap/>
          </w:tcPr>
          <w:p w14:paraId="1C93F385"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525</w:t>
            </w:r>
          </w:p>
        </w:tc>
        <w:tc>
          <w:tcPr>
            <w:tcW w:w="976" w:type="dxa"/>
            <w:shd w:val="clear" w:color="auto" w:fill="DCDCDF" w:themeFill="text2" w:themeFillTint="33"/>
            <w:noWrap/>
          </w:tcPr>
          <w:p w14:paraId="72F20197"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100%</w:t>
            </w:r>
          </w:p>
        </w:tc>
      </w:tr>
    </w:tbl>
    <w:p w14:paraId="6A221D25" w14:textId="18F25912" w:rsidR="00F03D9B" w:rsidRDefault="00F03D9B" w:rsidP="00F03D9B">
      <w:pPr>
        <w:pStyle w:val="Tablenotes"/>
      </w:pPr>
      <w:r>
        <w:t>Source: PEPA Aged Care program data provided by QUT, September 2025.</w:t>
      </w:r>
    </w:p>
    <w:p w14:paraId="1F9A2627" w14:textId="37216E9D" w:rsidR="00DF7B7C" w:rsidRDefault="00F03D9B" w:rsidP="00DF7B7C">
      <w:r>
        <w:fldChar w:fldCharType="begin"/>
      </w:r>
      <w:r>
        <w:instrText xml:space="preserve"> REF _Ref215045718 \h </w:instrText>
      </w:r>
      <w:r>
        <w:fldChar w:fldCharType="separate"/>
      </w:r>
      <w:r w:rsidR="00167BA0">
        <w:t xml:space="preserve">Figure </w:t>
      </w:r>
      <w:r w:rsidR="00167BA0">
        <w:rPr>
          <w:noProof/>
        </w:rPr>
        <w:t>9</w:t>
      </w:r>
      <w:r w:rsidR="00167BA0">
        <w:t>.</w:t>
      </w:r>
      <w:r w:rsidR="00167BA0">
        <w:rPr>
          <w:noProof/>
        </w:rPr>
        <w:t>2</w:t>
      </w:r>
      <w:r>
        <w:fldChar w:fldCharType="end"/>
      </w:r>
      <w:r>
        <w:t xml:space="preserve"> shows the proportion of PEPA Aged Care withdrawals by setting.</w:t>
      </w:r>
    </w:p>
    <w:p w14:paraId="77B6707E" w14:textId="29A785E3" w:rsidR="00DF7B7C" w:rsidRDefault="00DF7B7C" w:rsidP="00DF7B7C">
      <w:pPr>
        <w:pStyle w:val="Caption"/>
      </w:pPr>
      <w:bookmarkStart w:id="186" w:name="_Ref215045718"/>
      <w:r>
        <w:t xml:space="preserve">Figure </w:t>
      </w:r>
      <w:fldSimple w:instr=" STYLEREF 1 \s ">
        <w:r w:rsidR="00167BA0">
          <w:rPr>
            <w:noProof/>
          </w:rPr>
          <w:t>9</w:t>
        </w:r>
      </w:fldSimple>
      <w:r w:rsidR="00DD3EB1">
        <w:t>.</w:t>
      </w:r>
      <w:fldSimple w:instr=" SEQ Figure \* ARABIC \s 1 ">
        <w:r w:rsidR="00167BA0">
          <w:rPr>
            <w:noProof/>
          </w:rPr>
          <w:t>2</w:t>
        </w:r>
      </w:fldSimple>
      <w:bookmarkEnd w:id="186"/>
      <w:r>
        <w:t>: PEPA Aged Care withdrawals by setting</w:t>
      </w:r>
    </w:p>
    <w:p w14:paraId="2D06992C" w14:textId="77777777" w:rsidR="00DF7B7C" w:rsidRDefault="00DF7B7C" w:rsidP="00DF7B7C">
      <w:r>
        <w:rPr>
          <w:noProof/>
        </w:rPr>
        <w:drawing>
          <wp:inline distT="0" distB="0" distL="0" distR="0" wp14:anchorId="1B775D2A" wp14:editId="48BFC3E7">
            <wp:extent cx="4534733" cy="2628900"/>
            <wp:effectExtent l="0" t="0" r="0" b="0"/>
            <wp:docPr id="21679936" name="Picture 8" descr="Figure 9.2 is a bar graph showing PEPA Aged Care withdrawals by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9936" name="Picture 8" descr="Figure 9.2 is a bar graph showing PEPA Aged Care withdrawals by setti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37573" cy="2630546"/>
                    </a:xfrm>
                    <a:prstGeom prst="rect">
                      <a:avLst/>
                    </a:prstGeom>
                    <a:noFill/>
                  </pic:spPr>
                </pic:pic>
              </a:graphicData>
            </a:graphic>
          </wp:inline>
        </w:drawing>
      </w:r>
    </w:p>
    <w:p w14:paraId="712EE926" w14:textId="77D2F8B4" w:rsidR="00DF7B7C" w:rsidRDefault="00DF7B7C" w:rsidP="00DF7B7C">
      <w:pPr>
        <w:pStyle w:val="Tablenotes"/>
      </w:pPr>
      <w:r>
        <w:t>Source: PEPA Aged Care program data provided by QUT, September 2025.</w:t>
      </w:r>
    </w:p>
    <w:p w14:paraId="2FB3518A" w14:textId="5B786703" w:rsidR="00DF7B7C" w:rsidRPr="006C78A7" w:rsidRDefault="00DF7B7C" w:rsidP="00DF7B7C">
      <w:r>
        <w:fldChar w:fldCharType="begin"/>
      </w:r>
      <w:r>
        <w:instrText xml:space="preserve"> REF _Ref214888733 \h </w:instrText>
      </w:r>
      <w:r>
        <w:fldChar w:fldCharType="separate"/>
      </w:r>
      <w:r w:rsidR="00167BA0">
        <w:t xml:space="preserve">Table </w:t>
      </w:r>
      <w:r w:rsidR="00167BA0">
        <w:rPr>
          <w:noProof/>
        </w:rPr>
        <w:t>9</w:t>
      </w:r>
      <w:r w:rsidR="00167BA0">
        <w:t>.</w:t>
      </w:r>
      <w:r w:rsidR="00167BA0">
        <w:rPr>
          <w:noProof/>
        </w:rPr>
        <w:t>7</w:t>
      </w:r>
      <w:r>
        <w:fldChar w:fldCharType="end"/>
      </w:r>
      <w:r>
        <w:t xml:space="preserve"> outlines the reported reasons for withdrawal from PEPA Aged Care.</w:t>
      </w:r>
    </w:p>
    <w:p w14:paraId="0D4BE2FE" w14:textId="1089215B" w:rsidR="00DF7B7C" w:rsidRDefault="00DF7B7C" w:rsidP="00DF7B7C">
      <w:pPr>
        <w:pStyle w:val="Caption"/>
      </w:pPr>
      <w:bookmarkStart w:id="187" w:name="_Ref214888733"/>
      <w:r>
        <w:lastRenderedPageBreak/>
        <w:t xml:space="preserve">Table </w:t>
      </w:r>
      <w:fldSimple w:instr=" STYLEREF 1 \s ">
        <w:r w:rsidR="0091457A">
          <w:rPr>
            <w:noProof/>
          </w:rPr>
          <w:t>9</w:t>
        </w:r>
      </w:fldSimple>
      <w:r w:rsidR="0091457A">
        <w:t>.</w:t>
      </w:r>
      <w:fldSimple w:instr=" SEQ Table \* ARABIC \s 1 ">
        <w:r w:rsidR="0091457A">
          <w:rPr>
            <w:noProof/>
          </w:rPr>
          <w:t>7</w:t>
        </w:r>
      </w:fldSimple>
      <w:bookmarkEnd w:id="187"/>
      <w:r>
        <w:t>: Reasons for withdrawal from PEPA Aged Care</w:t>
      </w:r>
    </w:p>
    <w:tbl>
      <w:tblPr>
        <w:tblStyle w:val="HMAdefaulttable"/>
        <w:tblW w:w="0" w:type="auto"/>
        <w:tblBorders>
          <w:left w:val="single" w:sz="4" w:space="0" w:color="auto"/>
          <w:right w:val="single" w:sz="4" w:space="0" w:color="auto"/>
          <w:insideV w:val="single" w:sz="4" w:space="0" w:color="auto"/>
        </w:tblBorders>
        <w:tblLook w:val="04A0" w:firstRow="1" w:lastRow="0" w:firstColumn="1" w:lastColumn="0" w:noHBand="0" w:noVBand="1"/>
        <w:tblCaption w:val="Summary of reasons for withdrawal from PEPA Aged Care"/>
        <w:tblDescription w:val="Tables shows reasons for withdrawal from PEPA Aged Care across four financial years from 2021-22 to 2024-25."/>
      </w:tblPr>
      <w:tblGrid>
        <w:gridCol w:w="1696"/>
        <w:gridCol w:w="850"/>
        <w:gridCol w:w="851"/>
        <w:gridCol w:w="850"/>
        <w:gridCol w:w="849"/>
        <w:gridCol w:w="1132"/>
        <w:gridCol w:w="975"/>
      </w:tblGrid>
      <w:tr w:rsidR="00DF7B7C" w:rsidRPr="00712EDF" w14:paraId="5F47CDD2" w14:textId="77777777" w:rsidTr="00AF34A0">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1699" w:type="dxa"/>
            <w:noWrap/>
            <w:hideMark/>
          </w:tcPr>
          <w:p w14:paraId="334FE52B" w14:textId="77777777" w:rsidR="00DF7B7C" w:rsidRPr="00712EDF" w:rsidRDefault="00DF7B7C">
            <w:pPr>
              <w:pStyle w:val="TableHeading"/>
            </w:pPr>
            <w:r>
              <w:t>Reason</w:t>
            </w:r>
          </w:p>
        </w:tc>
        <w:tc>
          <w:tcPr>
            <w:tcW w:w="851" w:type="dxa"/>
            <w:noWrap/>
            <w:hideMark/>
          </w:tcPr>
          <w:p w14:paraId="1B17739F"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2021</w:t>
            </w:r>
            <w:r>
              <w:rPr>
                <w:caps w:val="0"/>
              </w:rPr>
              <w:t>–</w:t>
            </w:r>
            <w:r w:rsidRPr="004D646B">
              <w:t>22</w:t>
            </w:r>
          </w:p>
        </w:tc>
        <w:tc>
          <w:tcPr>
            <w:tcW w:w="852" w:type="dxa"/>
            <w:noWrap/>
            <w:hideMark/>
          </w:tcPr>
          <w:p w14:paraId="6DBB5BCC"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2022</w:t>
            </w:r>
            <w:r>
              <w:rPr>
                <w:caps w:val="0"/>
              </w:rPr>
              <w:t>–</w:t>
            </w:r>
            <w:r w:rsidRPr="004D646B">
              <w:t>23</w:t>
            </w:r>
          </w:p>
        </w:tc>
        <w:tc>
          <w:tcPr>
            <w:tcW w:w="851" w:type="dxa"/>
            <w:noWrap/>
            <w:hideMark/>
          </w:tcPr>
          <w:p w14:paraId="47BD946D"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2023</w:t>
            </w:r>
            <w:r>
              <w:rPr>
                <w:caps w:val="0"/>
              </w:rPr>
              <w:t>–</w:t>
            </w:r>
            <w:r w:rsidRPr="004D646B">
              <w:t>24</w:t>
            </w:r>
          </w:p>
        </w:tc>
        <w:tc>
          <w:tcPr>
            <w:tcW w:w="850" w:type="dxa"/>
            <w:noWrap/>
            <w:hideMark/>
          </w:tcPr>
          <w:p w14:paraId="4EF3E20D"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2024</w:t>
            </w:r>
            <w:r>
              <w:rPr>
                <w:caps w:val="0"/>
              </w:rPr>
              <w:t>–</w:t>
            </w:r>
            <w:r w:rsidRPr="004D646B">
              <w:t>25</w:t>
            </w:r>
          </w:p>
        </w:tc>
        <w:tc>
          <w:tcPr>
            <w:tcW w:w="1134" w:type="dxa"/>
            <w:noWrap/>
            <w:hideMark/>
          </w:tcPr>
          <w:p w14:paraId="7D33FF5C"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t>Total</w:t>
            </w:r>
          </w:p>
        </w:tc>
        <w:tc>
          <w:tcPr>
            <w:tcW w:w="976" w:type="dxa"/>
            <w:noWrap/>
            <w:hideMark/>
          </w:tcPr>
          <w:p w14:paraId="4ED8692D"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712EDF">
              <w:t>%</w:t>
            </w:r>
          </w:p>
        </w:tc>
      </w:tr>
      <w:tr w:rsidR="00DF7B7C" w:rsidRPr="00712EDF" w14:paraId="180886BC"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60AFCF66" w14:textId="77777777" w:rsidR="00DF7B7C" w:rsidRPr="00712EDF" w:rsidRDefault="00DF7B7C">
            <w:pPr>
              <w:pStyle w:val="TableText"/>
            </w:pPr>
            <w:r w:rsidRPr="00712EDF">
              <w:t>Site not responding</w:t>
            </w:r>
          </w:p>
        </w:tc>
        <w:tc>
          <w:tcPr>
            <w:tcW w:w="851" w:type="dxa"/>
            <w:noWrap/>
            <w:hideMark/>
          </w:tcPr>
          <w:p w14:paraId="53B45B4A"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16</w:t>
            </w:r>
          </w:p>
        </w:tc>
        <w:tc>
          <w:tcPr>
            <w:tcW w:w="852" w:type="dxa"/>
            <w:noWrap/>
            <w:hideMark/>
          </w:tcPr>
          <w:p w14:paraId="491EFA8D"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9</w:t>
            </w:r>
          </w:p>
        </w:tc>
        <w:tc>
          <w:tcPr>
            <w:tcW w:w="851" w:type="dxa"/>
            <w:noWrap/>
            <w:hideMark/>
          </w:tcPr>
          <w:p w14:paraId="447ED6CD"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3</w:t>
            </w:r>
          </w:p>
        </w:tc>
        <w:tc>
          <w:tcPr>
            <w:tcW w:w="850" w:type="dxa"/>
            <w:noWrap/>
            <w:hideMark/>
          </w:tcPr>
          <w:p w14:paraId="51035FAC"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4</w:t>
            </w:r>
          </w:p>
        </w:tc>
        <w:tc>
          <w:tcPr>
            <w:tcW w:w="1134" w:type="dxa"/>
            <w:noWrap/>
            <w:hideMark/>
          </w:tcPr>
          <w:p w14:paraId="097A243A"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32</w:t>
            </w:r>
          </w:p>
        </w:tc>
        <w:tc>
          <w:tcPr>
            <w:tcW w:w="976" w:type="dxa"/>
            <w:noWrap/>
            <w:hideMark/>
          </w:tcPr>
          <w:p w14:paraId="2DCC7746"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59.3%</w:t>
            </w:r>
          </w:p>
        </w:tc>
      </w:tr>
      <w:tr w:rsidR="00DF7B7C" w:rsidRPr="00712EDF" w14:paraId="53F3BD1A"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1A2586A8" w14:textId="77777777" w:rsidR="00DF7B7C" w:rsidRPr="00712EDF" w:rsidRDefault="00DF7B7C">
            <w:pPr>
              <w:pStyle w:val="TableText"/>
            </w:pPr>
            <w:r w:rsidRPr="00712EDF">
              <w:t>Staffing issues</w:t>
            </w:r>
          </w:p>
        </w:tc>
        <w:tc>
          <w:tcPr>
            <w:tcW w:w="851" w:type="dxa"/>
            <w:noWrap/>
            <w:hideMark/>
          </w:tcPr>
          <w:p w14:paraId="2CABA2E4"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w:t>
            </w:r>
          </w:p>
        </w:tc>
        <w:tc>
          <w:tcPr>
            <w:tcW w:w="852" w:type="dxa"/>
            <w:noWrap/>
            <w:hideMark/>
          </w:tcPr>
          <w:p w14:paraId="4F94BFB9"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5</w:t>
            </w:r>
          </w:p>
        </w:tc>
        <w:tc>
          <w:tcPr>
            <w:tcW w:w="851" w:type="dxa"/>
            <w:noWrap/>
            <w:hideMark/>
          </w:tcPr>
          <w:p w14:paraId="188BED35"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2</w:t>
            </w:r>
          </w:p>
        </w:tc>
        <w:tc>
          <w:tcPr>
            <w:tcW w:w="850" w:type="dxa"/>
            <w:noWrap/>
            <w:hideMark/>
          </w:tcPr>
          <w:p w14:paraId="4B17CB4B"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2</w:t>
            </w:r>
          </w:p>
        </w:tc>
        <w:tc>
          <w:tcPr>
            <w:tcW w:w="1134" w:type="dxa"/>
            <w:noWrap/>
            <w:hideMark/>
          </w:tcPr>
          <w:p w14:paraId="6ADEC932"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10</w:t>
            </w:r>
          </w:p>
        </w:tc>
        <w:tc>
          <w:tcPr>
            <w:tcW w:w="976" w:type="dxa"/>
            <w:noWrap/>
            <w:hideMark/>
          </w:tcPr>
          <w:p w14:paraId="7FD971E8"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18.5%</w:t>
            </w:r>
          </w:p>
        </w:tc>
      </w:tr>
      <w:tr w:rsidR="00DF7B7C" w:rsidRPr="00712EDF" w14:paraId="3399A753"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48AA76F8" w14:textId="77777777" w:rsidR="00DF7B7C" w:rsidRPr="00712EDF" w:rsidRDefault="00DF7B7C">
            <w:pPr>
              <w:pStyle w:val="TableText"/>
            </w:pPr>
            <w:r w:rsidRPr="00712EDF">
              <w:t>COVID-19 outbreak</w:t>
            </w:r>
          </w:p>
        </w:tc>
        <w:tc>
          <w:tcPr>
            <w:tcW w:w="851" w:type="dxa"/>
            <w:noWrap/>
            <w:hideMark/>
          </w:tcPr>
          <w:p w14:paraId="4EA2F0D8"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852" w:type="dxa"/>
            <w:noWrap/>
            <w:hideMark/>
          </w:tcPr>
          <w:p w14:paraId="5BFE65C2"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0</w:t>
            </w:r>
          </w:p>
        </w:tc>
        <w:tc>
          <w:tcPr>
            <w:tcW w:w="851" w:type="dxa"/>
            <w:noWrap/>
            <w:hideMark/>
          </w:tcPr>
          <w:p w14:paraId="4992B4C5"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0</w:t>
            </w:r>
          </w:p>
        </w:tc>
        <w:tc>
          <w:tcPr>
            <w:tcW w:w="850" w:type="dxa"/>
            <w:noWrap/>
            <w:hideMark/>
          </w:tcPr>
          <w:p w14:paraId="1C2DB59F"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0</w:t>
            </w:r>
          </w:p>
        </w:tc>
        <w:tc>
          <w:tcPr>
            <w:tcW w:w="1134" w:type="dxa"/>
            <w:noWrap/>
            <w:hideMark/>
          </w:tcPr>
          <w:p w14:paraId="209D5640"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976" w:type="dxa"/>
            <w:noWrap/>
            <w:hideMark/>
          </w:tcPr>
          <w:p w14:paraId="4F02A5A6"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1.9%</w:t>
            </w:r>
          </w:p>
        </w:tc>
      </w:tr>
      <w:tr w:rsidR="00DF7B7C" w:rsidRPr="00712EDF" w14:paraId="2A71D715"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28B4E2B6" w14:textId="77777777" w:rsidR="00DF7B7C" w:rsidRPr="00712EDF" w:rsidRDefault="00DF7B7C">
            <w:pPr>
              <w:pStyle w:val="TableText"/>
            </w:pPr>
            <w:r w:rsidRPr="00712EDF">
              <w:t>Site not ready</w:t>
            </w:r>
          </w:p>
        </w:tc>
        <w:tc>
          <w:tcPr>
            <w:tcW w:w="851" w:type="dxa"/>
            <w:noWrap/>
            <w:hideMark/>
          </w:tcPr>
          <w:p w14:paraId="3E6A2580"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w:t>
            </w:r>
          </w:p>
        </w:tc>
        <w:tc>
          <w:tcPr>
            <w:tcW w:w="852" w:type="dxa"/>
            <w:noWrap/>
            <w:hideMark/>
          </w:tcPr>
          <w:p w14:paraId="092D80FC"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0</w:t>
            </w:r>
          </w:p>
        </w:tc>
        <w:tc>
          <w:tcPr>
            <w:tcW w:w="851" w:type="dxa"/>
            <w:noWrap/>
            <w:hideMark/>
          </w:tcPr>
          <w:p w14:paraId="31BA0316"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3</w:t>
            </w:r>
          </w:p>
        </w:tc>
        <w:tc>
          <w:tcPr>
            <w:tcW w:w="850" w:type="dxa"/>
            <w:noWrap/>
            <w:hideMark/>
          </w:tcPr>
          <w:p w14:paraId="48153E08"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4</w:t>
            </w:r>
          </w:p>
        </w:tc>
        <w:tc>
          <w:tcPr>
            <w:tcW w:w="1134" w:type="dxa"/>
            <w:noWrap/>
            <w:hideMark/>
          </w:tcPr>
          <w:p w14:paraId="71F986FB"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8</w:t>
            </w:r>
          </w:p>
        </w:tc>
        <w:tc>
          <w:tcPr>
            <w:tcW w:w="976" w:type="dxa"/>
            <w:noWrap/>
            <w:hideMark/>
          </w:tcPr>
          <w:p w14:paraId="0CBC2F5E"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14.8%</w:t>
            </w:r>
          </w:p>
        </w:tc>
      </w:tr>
      <w:tr w:rsidR="00DF7B7C" w:rsidRPr="00712EDF" w14:paraId="416A575A"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6C55015D" w14:textId="77777777" w:rsidR="00DF7B7C" w:rsidRPr="00712EDF" w:rsidRDefault="00DF7B7C">
            <w:pPr>
              <w:pStyle w:val="TableText"/>
            </w:pPr>
            <w:r w:rsidRPr="00712EDF">
              <w:t>No reason provided</w:t>
            </w:r>
          </w:p>
        </w:tc>
        <w:tc>
          <w:tcPr>
            <w:tcW w:w="851" w:type="dxa"/>
            <w:noWrap/>
            <w:hideMark/>
          </w:tcPr>
          <w:p w14:paraId="14224A98"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852" w:type="dxa"/>
            <w:noWrap/>
            <w:hideMark/>
          </w:tcPr>
          <w:p w14:paraId="02945BCD"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0</w:t>
            </w:r>
          </w:p>
        </w:tc>
        <w:tc>
          <w:tcPr>
            <w:tcW w:w="851" w:type="dxa"/>
            <w:noWrap/>
            <w:hideMark/>
          </w:tcPr>
          <w:p w14:paraId="10926BE4"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850" w:type="dxa"/>
            <w:noWrap/>
            <w:hideMark/>
          </w:tcPr>
          <w:p w14:paraId="5C41C7F2"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1134" w:type="dxa"/>
            <w:noWrap/>
            <w:hideMark/>
          </w:tcPr>
          <w:p w14:paraId="62A06FA5"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3</w:t>
            </w:r>
          </w:p>
        </w:tc>
        <w:tc>
          <w:tcPr>
            <w:tcW w:w="976" w:type="dxa"/>
            <w:noWrap/>
            <w:hideMark/>
          </w:tcPr>
          <w:p w14:paraId="3FE7F9E3"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5.6%</w:t>
            </w:r>
          </w:p>
        </w:tc>
      </w:tr>
      <w:tr w:rsidR="00DF7B7C" w:rsidRPr="00712EDF" w14:paraId="53E97190"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shd w:val="clear" w:color="auto" w:fill="DCDCDF" w:themeFill="text2" w:themeFillTint="33"/>
            <w:noWrap/>
            <w:hideMark/>
          </w:tcPr>
          <w:p w14:paraId="27A5E207" w14:textId="77777777" w:rsidR="00DF7B7C" w:rsidRPr="00712EDF" w:rsidRDefault="00DF7B7C">
            <w:pPr>
              <w:pStyle w:val="TableText"/>
              <w:rPr>
                <w:rFonts w:asciiTheme="majorHAnsi" w:hAnsiTheme="majorHAnsi"/>
              </w:rPr>
            </w:pPr>
            <w:r w:rsidRPr="00712EDF">
              <w:rPr>
                <w:rFonts w:asciiTheme="majorHAnsi" w:hAnsiTheme="majorHAnsi"/>
              </w:rPr>
              <w:t> Total</w:t>
            </w:r>
          </w:p>
        </w:tc>
        <w:tc>
          <w:tcPr>
            <w:tcW w:w="851" w:type="dxa"/>
            <w:shd w:val="clear" w:color="auto" w:fill="DCDCDF" w:themeFill="text2" w:themeFillTint="33"/>
            <w:noWrap/>
            <w:hideMark/>
          </w:tcPr>
          <w:p w14:paraId="21DCE137"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20</w:t>
            </w:r>
          </w:p>
        </w:tc>
        <w:tc>
          <w:tcPr>
            <w:tcW w:w="852" w:type="dxa"/>
            <w:shd w:val="clear" w:color="auto" w:fill="DCDCDF" w:themeFill="text2" w:themeFillTint="33"/>
            <w:noWrap/>
            <w:hideMark/>
          </w:tcPr>
          <w:p w14:paraId="31B8B713"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14</w:t>
            </w:r>
          </w:p>
        </w:tc>
        <w:tc>
          <w:tcPr>
            <w:tcW w:w="851" w:type="dxa"/>
            <w:shd w:val="clear" w:color="auto" w:fill="DCDCDF" w:themeFill="text2" w:themeFillTint="33"/>
            <w:noWrap/>
            <w:hideMark/>
          </w:tcPr>
          <w:p w14:paraId="1654214E"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9</w:t>
            </w:r>
          </w:p>
        </w:tc>
        <w:tc>
          <w:tcPr>
            <w:tcW w:w="850" w:type="dxa"/>
            <w:shd w:val="clear" w:color="auto" w:fill="DCDCDF" w:themeFill="text2" w:themeFillTint="33"/>
            <w:noWrap/>
            <w:hideMark/>
          </w:tcPr>
          <w:p w14:paraId="348E792A"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11</w:t>
            </w:r>
          </w:p>
        </w:tc>
        <w:tc>
          <w:tcPr>
            <w:tcW w:w="1134" w:type="dxa"/>
            <w:shd w:val="clear" w:color="auto" w:fill="DCDCDF" w:themeFill="text2" w:themeFillTint="33"/>
            <w:noWrap/>
            <w:hideMark/>
          </w:tcPr>
          <w:p w14:paraId="58CB1334"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54</w:t>
            </w:r>
          </w:p>
        </w:tc>
        <w:tc>
          <w:tcPr>
            <w:tcW w:w="976" w:type="dxa"/>
            <w:shd w:val="clear" w:color="auto" w:fill="DCDCDF" w:themeFill="text2" w:themeFillTint="33"/>
            <w:noWrap/>
            <w:hideMark/>
          </w:tcPr>
          <w:p w14:paraId="01AC8EA8"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100.0%</w:t>
            </w:r>
          </w:p>
        </w:tc>
      </w:tr>
    </w:tbl>
    <w:p w14:paraId="3DB67370" w14:textId="6EFA2235" w:rsidR="00DF7B7C" w:rsidRDefault="00DF7B7C" w:rsidP="00DF7B7C">
      <w:pPr>
        <w:pStyle w:val="Tablenotes"/>
      </w:pPr>
      <w:r>
        <w:t>Source: PEPA Aged Care program data provided by QUT, September 2025.</w:t>
      </w:r>
    </w:p>
    <w:p w14:paraId="3BB11BD6" w14:textId="34299C4A" w:rsidR="00A2497B" w:rsidRDefault="006E3A96" w:rsidP="006E3A96">
      <w:pPr>
        <w:pStyle w:val="Heading4"/>
      </w:pPr>
      <w:r>
        <w:t>Average number of participants per placement</w:t>
      </w:r>
      <w:r w:rsidR="00C15A11">
        <w:t xml:space="preserve"> site</w:t>
      </w:r>
    </w:p>
    <w:p w14:paraId="7B110740" w14:textId="2D8CFB87" w:rsidR="006E3A96" w:rsidRDefault="00332669" w:rsidP="00E93223">
      <w:r>
        <w:fldChar w:fldCharType="begin"/>
      </w:r>
      <w:r>
        <w:instrText xml:space="preserve"> REF _Ref215041732 \h </w:instrText>
      </w:r>
      <w:r>
        <w:fldChar w:fldCharType="separate"/>
      </w:r>
      <w:r w:rsidR="00167BA0">
        <w:t xml:space="preserve">Figure </w:t>
      </w:r>
      <w:r w:rsidR="00167BA0">
        <w:rPr>
          <w:noProof/>
        </w:rPr>
        <w:t>9</w:t>
      </w:r>
      <w:r w:rsidR="00167BA0">
        <w:t>.</w:t>
      </w:r>
      <w:r w:rsidR="00167BA0">
        <w:rPr>
          <w:noProof/>
        </w:rPr>
        <w:t>3</w:t>
      </w:r>
      <w:r>
        <w:fldChar w:fldCharType="end"/>
      </w:r>
      <w:r>
        <w:t xml:space="preserve"> shows the average number of participants per placement</w:t>
      </w:r>
      <w:r w:rsidR="00C15A11">
        <w:t xml:space="preserve"> site</w:t>
      </w:r>
      <w:r>
        <w:t>, by financial year.</w:t>
      </w:r>
    </w:p>
    <w:p w14:paraId="5AA460C0" w14:textId="729487BB" w:rsidR="00332669" w:rsidRDefault="00332669" w:rsidP="00332669">
      <w:pPr>
        <w:pStyle w:val="Caption"/>
      </w:pPr>
      <w:bookmarkStart w:id="188" w:name="_Ref215041732"/>
      <w:r>
        <w:t xml:space="preserve">Figure </w:t>
      </w:r>
      <w:fldSimple w:instr=" STYLEREF 1 \s ">
        <w:r w:rsidR="00167BA0">
          <w:rPr>
            <w:noProof/>
          </w:rPr>
          <w:t>9</w:t>
        </w:r>
      </w:fldSimple>
      <w:r w:rsidR="00DD3EB1">
        <w:t>.</w:t>
      </w:r>
      <w:fldSimple w:instr=" SEQ Figure \* ARABIC \s 1 ">
        <w:r w:rsidR="00167BA0">
          <w:rPr>
            <w:noProof/>
          </w:rPr>
          <w:t>3</w:t>
        </w:r>
      </w:fldSimple>
      <w:bookmarkEnd w:id="188"/>
      <w:r>
        <w:t>: Average number of participants per reverse PEPA Aged Care placement</w:t>
      </w:r>
      <w:r w:rsidR="00C15A11">
        <w:t xml:space="preserve"> site</w:t>
      </w:r>
    </w:p>
    <w:p w14:paraId="7E4ABC0F" w14:textId="4A2E4DD7" w:rsidR="006E3A96" w:rsidRDefault="00332669" w:rsidP="00E93223">
      <w:r>
        <w:rPr>
          <w:noProof/>
        </w:rPr>
        <w:drawing>
          <wp:inline distT="0" distB="0" distL="0" distR="0" wp14:anchorId="0E4DD2E1" wp14:editId="5EAEB849">
            <wp:extent cx="4519744" cy="2762250"/>
            <wp:effectExtent l="0" t="0" r="0" b="0"/>
            <wp:docPr id="82299426" name="Picture 6" descr="Figure 9.3 is a line graph showing average number of participants per reverse PEPA Aged Care placemen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99426" name="Picture 6" descr="Figure 9.3 is a line graph showing average number of participants per reverse PEPA Aged Care placement sit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34511" cy="2771275"/>
                    </a:xfrm>
                    <a:prstGeom prst="rect">
                      <a:avLst/>
                    </a:prstGeom>
                    <a:noFill/>
                  </pic:spPr>
                </pic:pic>
              </a:graphicData>
            </a:graphic>
          </wp:inline>
        </w:drawing>
      </w:r>
    </w:p>
    <w:p w14:paraId="25C10B58" w14:textId="27E478BF" w:rsidR="00332669" w:rsidRDefault="00332669" w:rsidP="00332669">
      <w:pPr>
        <w:pStyle w:val="Tablenotes"/>
      </w:pPr>
      <w:r>
        <w:t xml:space="preserve">Source: PEPA Aged Care Final </w:t>
      </w:r>
      <w:r w:rsidRPr="006D1D3D">
        <w:t>Report 2021–2024</w:t>
      </w:r>
      <w:r>
        <w:t xml:space="preserve"> </w:t>
      </w:r>
      <w:sdt>
        <w:sdtPr>
          <w:id w:val="-821809768"/>
          <w:citation/>
        </w:sdtPr>
        <w:sdtContent>
          <w:r>
            <w:fldChar w:fldCharType="begin"/>
          </w:r>
          <w:r>
            <w:rPr>
              <w:lang w:val="en-US"/>
            </w:rPr>
            <w:instrText xml:space="preserve"> CITATION Que256 \l 1033 </w:instrText>
          </w:r>
          <w:r>
            <w:fldChar w:fldCharType="separate"/>
          </w:r>
          <w:r w:rsidR="001302EC" w:rsidRPr="001302EC">
            <w:rPr>
              <w:noProof/>
              <w:lang w:val="en-US"/>
            </w:rPr>
            <w:t>[26]</w:t>
          </w:r>
          <w:r>
            <w:fldChar w:fldCharType="end"/>
          </w:r>
        </w:sdtContent>
      </w:sdt>
      <w:r>
        <w:t xml:space="preserve">, PEPA Aged Care performance report, 31 July 2025 </w:t>
      </w:r>
      <w:sdt>
        <w:sdtPr>
          <w:id w:val="1565906093"/>
          <w:citation/>
        </w:sdtPr>
        <w:sdtContent>
          <w:r>
            <w:fldChar w:fldCharType="begin"/>
          </w:r>
          <w:r>
            <w:rPr>
              <w:lang w:val="en-US"/>
            </w:rPr>
            <w:instrText xml:space="preserve"> CITATION Que257 \l 1033 </w:instrText>
          </w:r>
          <w:r>
            <w:fldChar w:fldCharType="separate"/>
          </w:r>
          <w:r w:rsidR="001302EC" w:rsidRPr="001302EC">
            <w:rPr>
              <w:noProof/>
              <w:lang w:val="en-US"/>
            </w:rPr>
            <w:t>[27]</w:t>
          </w:r>
          <w:r>
            <w:fldChar w:fldCharType="end"/>
          </w:r>
        </w:sdtContent>
      </w:sdt>
      <w:r>
        <w:t>.</w:t>
      </w:r>
    </w:p>
    <w:p w14:paraId="0D5B031C" w14:textId="4BE5E20E" w:rsidR="0034597A" w:rsidRDefault="006F4B3E" w:rsidP="0034597A">
      <w:pPr>
        <w:pStyle w:val="Heading4"/>
      </w:pPr>
      <w:r>
        <w:t>Placement s</w:t>
      </w:r>
      <w:r w:rsidR="0034597A">
        <w:t>etting</w:t>
      </w:r>
    </w:p>
    <w:p w14:paraId="5C552517" w14:textId="3D476BA6" w:rsidR="0034597A" w:rsidRDefault="00D71036" w:rsidP="0034597A">
      <w:r>
        <w:fldChar w:fldCharType="begin"/>
      </w:r>
      <w:r>
        <w:instrText xml:space="preserve"> REF _Ref214889794 \h </w:instrText>
      </w:r>
      <w:r>
        <w:fldChar w:fldCharType="separate"/>
      </w:r>
      <w:r w:rsidR="00167BA0">
        <w:t xml:space="preserve">Table </w:t>
      </w:r>
      <w:r w:rsidR="00167BA0">
        <w:rPr>
          <w:noProof/>
        </w:rPr>
        <w:t>9</w:t>
      </w:r>
      <w:r w:rsidR="00167BA0">
        <w:t>.</w:t>
      </w:r>
      <w:r w:rsidR="00167BA0">
        <w:rPr>
          <w:noProof/>
        </w:rPr>
        <w:t>8</w:t>
      </w:r>
      <w:r>
        <w:fldChar w:fldCharType="end"/>
      </w:r>
      <w:r w:rsidR="00025025">
        <w:t xml:space="preserve"> present</w:t>
      </w:r>
      <w:r w:rsidR="0028756E">
        <w:t>s the number of reverse placements by financial year and setting.</w:t>
      </w:r>
    </w:p>
    <w:p w14:paraId="497CB94C" w14:textId="711D5BDC" w:rsidR="0034597A" w:rsidRDefault="0034597A" w:rsidP="0034597A">
      <w:pPr>
        <w:pStyle w:val="Caption"/>
      </w:pPr>
      <w:bookmarkStart w:id="189" w:name="_Ref214889794"/>
      <w:r>
        <w:t xml:space="preserve">Table </w:t>
      </w:r>
      <w:fldSimple w:instr=" STYLEREF 1 \s ">
        <w:r w:rsidR="0091457A">
          <w:rPr>
            <w:noProof/>
          </w:rPr>
          <w:t>9</w:t>
        </w:r>
      </w:fldSimple>
      <w:r w:rsidR="0091457A">
        <w:t>.</w:t>
      </w:r>
      <w:fldSimple w:instr=" SEQ Table \* ARABIC \s 1 ">
        <w:r w:rsidR="0091457A">
          <w:rPr>
            <w:noProof/>
          </w:rPr>
          <w:t>8</w:t>
        </w:r>
      </w:fldSimple>
      <w:bookmarkEnd w:id="189"/>
      <w:r>
        <w:t xml:space="preserve">: </w:t>
      </w:r>
      <w:r w:rsidRPr="00B1668C">
        <w:t xml:space="preserve">Number of </w:t>
      </w:r>
      <w:r>
        <w:t xml:space="preserve">reverse </w:t>
      </w:r>
      <w:r w:rsidRPr="00B1668C">
        <w:t>PEPA Aged Care placements by financial year and setting</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reverse PEPA placements"/>
        <w:tblDescription w:val="Table presents the number of reverse PEPA Aged Care plancements across four financial years from 2021-22 to 2024-25 by setting."/>
      </w:tblPr>
      <w:tblGrid>
        <w:gridCol w:w="1768"/>
        <w:gridCol w:w="921"/>
        <w:gridCol w:w="921"/>
        <w:gridCol w:w="921"/>
        <w:gridCol w:w="921"/>
        <w:gridCol w:w="845"/>
        <w:gridCol w:w="906"/>
      </w:tblGrid>
      <w:tr w:rsidR="00AF34A0" w14:paraId="3B5F0082" w14:textId="77777777" w:rsidTr="00AF34A0">
        <w:trPr>
          <w:cnfStyle w:val="100000000000" w:firstRow="1" w:lastRow="0" w:firstColumn="0" w:lastColumn="0" w:oddVBand="0" w:evenVBand="0" w:oddHBand="0" w:evenHBand="0" w:firstRowFirstColumn="0" w:firstRowLastColumn="0" w:lastRowFirstColumn="0" w:lastRowLastColumn="0"/>
          <w:tblHeader/>
        </w:trPr>
        <w:tc>
          <w:tcPr>
            <w:tcW w:w="0" w:type="auto"/>
          </w:tcPr>
          <w:p w14:paraId="50DD7F8F" w14:textId="5F38CCC6" w:rsidR="00AF34A0" w:rsidRDefault="00197BD6">
            <w:pPr>
              <w:spacing w:before="0" w:after="0"/>
            </w:pPr>
            <w:r>
              <w:t>Setting</w:t>
            </w:r>
          </w:p>
        </w:tc>
        <w:tc>
          <w:tcPr>
            <w:tcW w:w="0" w:type="auto"/>
          </w:tcPr>
          <w:p w14:paraId="5B2F47A8" w14:textId="77777777" w:rsidR="00AF34A0" w:rsidRDefault="00AF34A0" w:rsidP="00841C65">
            <w:pPr>
              <w:spacing w:before="0" w:after="0"/>
              <w:jc w:val="center"/>
              <w:rPr>
                <w:caps w:val="0"/>
              </w:rPr>
            </w:pPr>
            <w:r>
              <w:t>2021–22</w:t>
            </w:r>
          </w:p>
          <w:p w14:paraId="5C7380D1" w14:textId="66173F72" w:rsidR="00197BD6" w:rsidRDefault="00197BD6" w:rsidP="00841C65">
            <w:pPr>
              <w:spacing w:before="0" w:after="0"/>
              <w:jc w:val="center"/>
            </w:pPr>
            <w:r>
              <w:t>N</w:t>
            </w:r>
          </w:p>
        </w:tc>
        <w:tc>
          <w:tcPr>
            <w:tcW w:w="0" w:type="auto"/>
          </w:tcPr>
          <w:p w14:paraId="7FF6B458" w14:textId="77777777" w:rsidR="00AF34A0" w:rsidRDefault="00AF34A0" w:rsidP="00841C65">
            <w:pPr>
              <w:spacing w:before="0" w:after="0"/>
              <w:jc w:val="center"/>
              <w:rPr>
                <w:caps w:val="0"/>
              </w:rPr>
            </w:pPr>
            <w:r>
              <w:t>2022–23</w:t>
            </w:r>
          </w:p>
          <w:p w14:paraId="5621B308" w14:textId="2DBDA223" w:rsidR="00197BD6" w:rsidRDefault="00197BD6" w:rsidP="00841C65">
            <w:pPr>
              <w:spacing w:before="0" w:after="0"/>
              <w:jc w:val="center"/>
            </w:pPr>
            <w:r>
              <w:t>N</w:t>
            </w:r>
          </w:p>
        </w:tc>
        <w:tc>
          <w:tcPr>
            <w:tcW w:w="0" w:type="auto"/>
          </w:tcPr>
          <w:p w14:paraId="091C10C7" w14:textId="77777777" w:rsidR="00AF34A0" w:rsidRDefault="00AF34A0" w:rsidP="00841C65">
            <w:pPr>
              <w:spacing w:before="0" w:after="0"/>
              <w:jc w:val="center"/>
              <w:rPr>
                <w:caps w:val="0"/>
              </w:rPr>
            </w:pPr>
            <w:r>
              <w:t>2023–24</w:t>
            </w:r>
          </w:p>
          <w:p w14:paraId="65DE2354" w14:textId="65951116" w:rsidR="00197BD6" w:rsidRDefault="00197BD6" w:rsidP="00841C65">
            <w:pPr>
              <w:spacing w:before="0" w:after="0"/>
              <w:jc w:val="center"/>
            </w:pPr>
            <w:r>
              <w:t>N</w:t>
            </w:r>
          </w:p>
        </w:tc>
        <w:tc>
          <w:tcPr>
            <w:tcW w:w="0" w:type="auto"/>
          </w:tcPr>
          <w:p w14:paraId="5357D285" w14:textId="77777777" w:rsidR="00AF34A0" w:rsidRDefault="00AF34A0" w:rsidP="00841C65">
            <w:pPr>
              <w:spacing w:before="0" w:after="0"/>
              <w:jc w:val="center"/>
              <w:rPr>
                <w:caps w:val="0"/>
              </w:rPr>
            </w:pPr>
            <w:r>
              <w:t>2024–25</w:t>
            </w:r>
          </w:p>
          <w:p w14:paraId="15FE3D29" w14:textId="4F71312D" w:rsidR="00197BD6" w:rsidRDefault="00197BD6" w:rsidP="00841C65">
            <w:pPr>
              <w:spacing w:before="0" w:after="0"/>
              <w:jc w:val="center"/>
            </w:pPr>
            <w:r>
              <w:t>N</w:t>
            </w:r>
          </w:p>
        </w:tc>
        <w:tc>
          <w:tcPr>
            <w:tcW w:w="0" w:type="auto"/>
          </w:tcPr>
          <w:p w14:paraId="203402CA" w14:textId="4ECB8D19" w:rsidR="00AF34A0" w:rsidRDefault="00AF34A0" w:rsidP="00841C65">
            <w:pPr>
              <w:spacing w:before="0" w:after="0"/>
              <w:jc w:val="center"/>
              <w:rPr>
                <w:caps w:val="0"/>
              </w:rPr>
            </w:pPr>
            <w:r>
              <w:t>Total N</w:t>
            </w:r>
          </w:p>
        </w:tc>
        <w:tc>
          <w:tcPr>
            <w:tcW w:w="0" w:type="auto"/>
          </w:tcPr>
          <w:p w14:paraId="557D1A18" w14:textId="5FAFECC2" w:rsidR="00AF34A0" w:rsidRDefault="00AF34A0" w:rsidP="00841C65">
            <w:pPr>
              <w:spacing w:before="0" w:after="0"/>
              <w:jc w:val="center"/>
            </w:pPr>
            <w:r>
              <w:t>Total %</w:t>
            </w:r>
          </w:p>
        </w:tc>
      </w:tr>
      <w:tr w:rsidR="0034597A" w14:paraId="057C6DE1" w14:textId="77777777" w:rsidTr="00AF34A0">
        <w:tc>
          <w:tcPr>
            <w:tcW w:w="0" w:type="auto"/>
          </w:tcPr>
          <w:p w14:paraId="55FD5D48" w14:textId="77777777" w:rsidR="0034597A" w:rsidRDefault="0034597A">
            <w:pPr>
              <w:spacing w:before="0" w:after="0"/>
            </w:pPr>
            <w:r>
              <w:t>Residential aged care</w:t>
            </w:r>
          </w:p>
        </w:tc>
        <w:tc>
          <w:tcPr>
            <w:tcW w:w="0" w:type="auto"/>
            <w:vAlign w:val="center"/>
          </w:tcPr>
          <w:p w14:paraId="73F069C5" w14:textId="77777777" w:rsidR="0034597A" w:rsidRDefault="0034597A" w:rsidP="00841C65">
            <w:pPr>
              <w:pStyle w:val="TableText"/>
              <w:jc w:val="center"/>
            </w:pPr>
            <w:r>
              <w:t>19</w:t>
            </w:r>
          </w:p>
        </w:tc>
        <w:tc>
          <w:tcPr>
            <w:tcW w:w="0" w:type="auto"/>
            <w:vAlign w:val="center"/>
          </w:tcPr>
          <w:p w14:paraId="6916A9DE" w14:textId="77777777" w:rsidR="0034597A" w:rsidRDefault="0034597A" w:rsidP="00841C65">
            <w:pPr>
              <w:pStyle w:val="TableText"/>
              <w:jc w:val="center"/>
            </w:pPr>
            <w:r>
              <w:t>118</w:t>
            </w:r>
          </w:p>
        </w:tc>
        <w:tc>
          <w:tcPr>
            <w:tcW w:w="0" w:type="auto"/>
            <w:vAlign w:val="center"/>
          </w:tcPr>
          <w:p w14:paraId="257F9ADE" w14:textId="77777777" w:rsidR="0034597A" w:rsidRDefault="0034597A" w:rsidP="00841C65">
            <w:pPr>
              <w:pStyle w:val="TableText"/>
              <w:jc w:val="center"/>
            </w:pPr>
            <w:r>
              <w:t>131</w:t>
            </w:r>
          </w:p>
        </w:tc>
        <w:tc>
          <w:tcPr>
            <w:tcW w:w="0" w:type="auto"/>
            <w:vAlign w:val="center"/>
          </w:tcPr>
          <w:p w14:paraId="2B64FBBC" w14:textId="77777777" w:rsidR="0034597A" w:rsidRDefault="0034597A" w:rsidP="00841C65">
            <w:pPr>
              <w:pStyle w:val="TableText"/>
              <w:jc w:val="center"/>
            </w:pPr>
            <w:r>
              <w:t>136</w:t>
            </w:r>
          </w:p>
        </w:tc>
        <w:tc>
          <w:tcPr>
            <w:tcW w:w="0" w:type="auto"/>
            <w:vAlign w:val="center"/>
          </w:tcPr>
          <w:p w14:paraId="5C1A20E7" w14:textId="77777777" w:rsidR="0034597A" w:rsidRDefault="0034597A" w:rsidP="00841C65">
            <w:pPr>
              <w:pStyle w:val="TableText"/>
              <w:jc w:val="center"/>
            </w:pPr>
            <w:r>
              <w:t>404</w:t>
            </w:r>
          </w:p>
        </w:tc>
        <w:tc>
          <w:tcPr>
            <w:tcW w:w="0" w:type="auto"/>
            <w:vAlign w:val="center"/>
          </w:tcPr>
          <w:p w14:paraId="716D344D" w14:textId="77777777" w:rsidR="0034597A" w:rsidRDefault="0034597A" w:rsidP="00841C65">
            <w:pPr>
              <w:pStyle w:val="TableText"/>
              <w:jc w:val="center"/>
            </w:pPr>
            <w:r>
              <w:t>85.8%</w:t>
            </w:r>
          </w:p>
        </w:tc>
      </w:tr>
      <w:tr w:rsidR="0034597A" w14:paraId="08831C76" w14:textId="77777777" w:rsidTr="00AF34A0">
        <w:tc>
          <w:tcPr>
            <w:tcW w:w="0" w:type="auto"/>
            <w:shd w:val="clear" w:color="auto" w:fill="DDF2EC" w:themeFill="background2" w:themeFillTint="33"/>
          </w:tcPr>
          <w:p w14:paraId="1190069D" w14:textId="77777777" w:rsidR="0034597A" w:rsidRDefault="0034597A">
            <w:pPr>
              <w:spacing w:before="0" w:after="0"/>
            </w:pPr>
            <w:r>
              <w:lastRenderedPageBreak/>
              <w:t>Community aged care</w:t>
            </w:r>
          </w:p>
        </w:tc>
        <w:tc>
          <w:tcPr>
            <w:tcW w:w="0" w:type="auto"/>
            <w:shd w:val="clear" w:color="auto" w:fill="DDF2EC" w:themeFill="background2" w:themeFillTint="33"/>
            <w:vAlign w:val="center"/>
          </w:tcPr>
          <w:p w14:paraId="5D5A7F83" w14:textId="77777777" w:rsidR="0034597A" w:rsidRDefault="0034597A" w:rsidP="00841C65">
            <w:pPr>
              <w:pStyle w:val="TableText"/>
              <w:jc w:val="center"/>
            </w:pPr>
            <w:r>
              <w:t>0</w:t>
            </w:r>
          </w:p>
        </w:tc>
        <w:tc>
          <w:tcPr>
            <w:tcW w:w="0" w:type="auto"/>
            <w:shd w:val="clear" w:color="auto" w:fill="DDF2EC" w:themeFill="background2" w:themeFillTint="33"/>
            <w:vAlign w:val="center"/>
          </w:tcPr>
          <w:p w14:paraId="73DAB38E" w14:textId="77777777" w:rsidR="0034597A" w:rsidRDefault="0034597A" w:rsidP="00841C65">
            <w:pPr>
              <w:pStyle w:val="TableText"/>
              <w:jc w:val="center"/>
            </w:pPr>
            <w:r>
              <w:t>1</w:t>
            </w:r>
          </w:p>
        </w:tc>
        <w:tc>
          <w:tcPr>
            <w:tcW w:w="0" w:type="auto"/>
            <w:shd w:val="clear" w:color="auto" w:fill="DDF2EC" w:themeFill="background2" w:themeFillTint="33"/>
            <w:vAlign w:val="center"/>
          </w:tcPr>
          <w:p w14:paraId="28274F2A" w14:textId="77777777" w:rsidR="0034597A" w:rsidRDefault="0034597A" w:rsidP="00841C65">
            <w:pPr>
              <w:pStyle w:val="TableText"/>
              <w:jc w:val="center"/>
            </w:pPr>
            <w:r>
              <w:t>25</w:t>
            </w:r>
          </w:p>
        </w:tc>
        <w:tc>
          <w:tcPr>
            <w:tcW w:w="0" w:type="auto"/>
            <w:shd w:val="clear" w:color="auto" w:fill="DDF2EC" w:themeFill="background2" w:themeFillTint="33"/>
            <w:vAlign w:val="center"/>
          </w:tcPr>
          <w:p w14:paraId="0714CC69" w14:textId="77777777" w:rsidR="0034597A" w:rsidRDefault="0034597A" w:rsidP="00841C65">
            <w:pPr>
              <w:pStyle w:val="TableText"/>
              <w:jc w:val="center"/>
            </w:pPr>
            <w:r>
              <w:t>16</w:t>
            </w:r>
          </w:p>
        </w:tc>
        <w:tc>
          <w:tcPr>
            <w:tcW w:w="0" w:type="auto"/>
            <w:shd w:val="clear" w:color="auto" w:fill="DDF2EC" w:themeFill="background2" w:themeFillTint="33"/>
            <w:vAlign w:val="center"/>
          </w:tcPr>
          <w:p w14:paraId="43F29CEE" w14:textId="77777777" w:rsidR="0034597A" w:rsidRDefault="0034597A" w:rsidP="00841C65">
            <w:pPr>
              <w:pStyle w:val="TableText"/>
              <w:jc w:val="center"/>
            </w:pPr>
            <w:r>
              <w:t>42</w:t>
            </w:r>
          </w:p>
        </w:tc>
        <w:tc>
          <w:tcPr>
            <w:tcW w:w="0" w:type="auto"/>
            <w:shd w:val="clear" w:color="auto" w:fill="DDF2EC" w:themeFill="background2" w:themeFillTint="33"/>
            <w:vAlign w:val="center"/>
          </w:tcPr>
          <w:p w14:paraId="4D7B268F" w14:textId="77777777" w:rsidR="0034597A" w:rsidRDefault="0034597A" w:rsidP="00841C65">
            <w:pPr>
              <w:pStyle w:val="TableText"/>
              <w:jc w:val="center"/>
            </w:pPr>
            <w:r>
              <w:t>8.9%</w:t>
            </w:r>
          </w:p>
        </w:tc>
      </w:tr>
      <w:tr w:rsidR="0034597A" w14:paraId="6463CC78" w14:textId="77777777" w:rsidTr="00AF34A0">
        <w:tc>
          <w:tcPr>
            <w:tcW w:w="0" w:type="auto"/>
          </w:tcPr>
          <w:p w14:paraId="28E78C8C" w14:textId="77777777" w:rsidR="0034597A" w:rsidRDefault="0034597A">
            <w:pPr>
              <w:spacing w:before="0" w:after="0"/>
            </w:pPr>
            <w:r>
              <w:t>Other community care*</w:t>
            </w:r>
          </w:p>
        </w:tc>
        <w:tc>
          <w:tcPr>
            <w:tcW w:w="0" w:type="auto"/>
            <w:vAlign w:val="center"/>
          </w:tcPr>
          <w:p w14:paraId="56079ABE" w14:textId="77777777" w:rsidR="0034597A" w:rsidRDefault="0034597A" w:rsidP="00841C65">
            <w:pPr>
              <w:pStyle w:val="TableText"/>
              <w:jc w:val="center"/>
            </w:pPr>
            <w:r>
              <w:t>1</w:t>
            </w:r>
          </w:p>
        </w:tc>
        <w:tc>
          <w:tcPr>
            <w:tcW w:w="0" w:type="auto"/>
            <w:vAlign w:val="center"/>
          </w:tcPr>
          <w:p w14:paraId="7CC85A97" w14:textId="77777777" w:rsidR="0034597A" w:rsidRDefault="0034597A" w:rsidP="00841C65">
            <w:pPr>
              <w:pStyle w:val="TableText"/>
              <w:jc w:val="center"/>
            </w:pPr>
            <w:r>
              <w:t>10</w:t>
            </w:r>
          </w:p>
        </w:tc>
        <w:tc>
          <w:tcPr>
            <w:tcW w:w="0" w:type="auto"/>
            <w:vAlign w:val="center"/>
          </w:tcPr>
          <w:p w14:paraId="2D483E74" w14:textId="77777777" w:rsidR="0034597A" w:rsidRDefault="0034597A" w:rsidP="00841C65">
            <w:pPr>
              <w:pStyle w:val="TableText"/>
              <w:jc w:val="center"/>
            </w:pPr>
            <w:r>
              <w:t>7</w:t>
            </w:r>
          </w:p>
        </w:tc>
        <w:tc>
          <w:tcPr>
            <w:tcW w:w="0" w:type="auto"/>
            <w:vAlign w:val="center"/>
          </w:tcPr>
          <w:p w14:paraId="4790BBAF" w14:textId="77777777" w:rsidR="0034597A" w:rsidRDefault="0034597A" w:rsidP="00841C65">
            <w:pPr>
              <w:pStyle w:val="TableText"/>
              <w:jc w:val="center"/>
            </w:pPr>
            <w:r>
              <w:t>5</w:t>
            </w:r>
          </w:p>
        </w:tc>
        <w:tc>
          <w:tcPr>
            <w:tcW w:w="0" w:type="auto"/>
            <w:vAlign w:val="center"/>
          </w:tcPr>
          <w:p w14:paraId="167D16B9" w14:textId="77777777" w:rsidR="0034597A" w:rsidRDefault="0034597A" w:rsidP="00841C65">
            <w:pPr>
              <w:pStyle w:val="TableText"/>
              <w:jc w:val="center"/>
            </w:pPr>
            <w:r>
              <w:t>23</w:t>
            </w:r>
          </w:p>
        </w:tc>
        <w:tc>
          <w:tcPr>
            <w:tcW w:w="0" w:type="auto"/>
            <w:vAlign w:val="center"/>
          </w:tcPr>
          <w:p w14:paraId="57DD6B22" w14:textId="77777777" w:rsidR="0034597A" w:rsidRDefault="0034597A" w:rsidP="00841C65">
            <w:pPr>
              <w:pStyle w:val="TableText"/>
              <w:jc w:val="center"/>
            </w:pPr>
            <w:r>
              <w:t>4.9%</w:t>
            </w:r>
          </w:p>
        </w:tc>
      </w:tr>
      <w:tr w:rsidR="0034597A" w14:paraId="61C588DE" w14:textId="77777777" w:rsidTr="00AF34A0">
        <w:tc>
          <w:tcPr>
            <w:tcW w:w="0" w:type="auto"/>
            <w:shd w:val="clear" w:color="auto" w:fill="DDF2EC" w:themeFill="background2" w:themeFillTint="33"/>
          </w:tcPr>
          <w:p w14:paraId="63A7FE9E" w14:textId="77777777" w:rsidR="0034597A" w:rsidRDefault="0034597A">
            <w:pPr>
              <w:spacing w:before="0" w:after="0"/>
            </w:pPr>
            <w:r>
              <w:t>Hospital</w:t>
            </w:r>
          </w:p>
        </w:tc>
        <w:tc>
          <w:tcPr>
            <w:tcW w:w="0" w:type="auto"/>
            <w:shd w:val="clear" w:color="auto" w:fill="DDF2EC" w:themeFill="background2" w:themeFillTint="33"/>
            <w:vAlign w:val="center"/>
          </w:tcPr>
          <w:p w14:paraId="3EDFEA3C" w14:textId="77777777" w:rsidR="0034597A" w:rsidRDefault="0034597A" w:rsidP="00841C65">
            <w:pPr>
              <w:pStyle w:val="TableText"/>
              <w:jc w:val="center"/>
            </w:pPr>
            <w:r>
              <w:t>0</w:t>
            </w:r>
          </w:p>
        </w:tc>
        <w:tc>
          <w:tcPr>
            <w:tcW w:w="0" w:type="auto"/>
            <w:shd w:val="clear" w:color="auto" w:fill="DDF2EC" w:themeFill="background2" w:themeFillTint="33"/>
            <w:vAlign w:val="center"/>
          </w:tcPr>
          <w:p w14:paraId="2F29DCC9" w14:textId="77777777" w:rsidR="0034597A" w:rsidRDefault="0034597A" w:rsidP="00841C65">
            <w:pPr>
              <w:pStyle w:val="TableText"/>
              <w:jc w:val="center"/>
            </w:pPr>
            <w:r>
              <w:t>1</w:t>
            </w:r>
          </w:p>
        </w:tc>
        <w:tc>
          <w:tcPr>
            <w:tcW w:w="0" w:type="auto"/>
            <w:shd w:val="clear" w:color="auto" w:fill="DDF2EC" w:themeFill="background2" w:themeFillTint="33"/>
            <w:vAlign w:val="center"/>
          </w:tcPr>
          <w:p w14:paraId="7407CE74" w14:textId="77777777" w:rsidR="0034597A" w:rsidRDefault="0034597A" w:rsidP="00841C65">
            <w:pPr>
              <w:pStyle w:val="TableText"/>
              <w:jc w:val="center"/>
            </w:pPr>
            <w:r>
              <w:t>0</w:t>
            </w:r>
          </w:p>
        </w:tc>
        <w:tc>
          <w:tcPr>
            <w:tcW w:w="0" w:type="auto"/>
            <w:shd w:val="clear" w:color="auto" w:fill="DDF2EC" w:themeFill="background2" w:themeFillTint="33"/>
            <w:vAlign w:val="center"/>
          </w:tcPr>
          <w:p w14:paraId="6A882443" w14:textId="77777777" w:rsidR="0034597A" w:rsidRDefault="0034597A" w:rsidP="00841C65">
            <w:pPr>
              <w:pStyle w:val="TableText"/>
              <w:jc w:val="center"/>
            </w:pPr>
            <w:r>
              <w:t>1</w:t>
            </w:r>
          </w:p>
        </w:tc>
        <w:tc>
          <w:tcPr>
            <w:tcW w:w="0" w:type="auto"/>
            <w:shd w:val="clear" w:color="auto" w:fill="DDF2EC" w:themeFill="background2" w:themeFillTint="33"/>
            <w:vAlign w:val="center"/>
          </w:tcPr>
          <w:p w14:paraId="03E3FC61" w14:textId="77777777" w:rsidR="0034597A" w:rsidRDefault="0034597A" w:rsidP="00841C65">
            <w:pPr>
              <w:pStyle w:val="TableText"/>
              <w:jc w:val="center"/>
            </w:pPr>
            <w:r>
              <w:t>2</w:t>
            </w:r>
          </w:p>
        </w:tc>
        <w:tc>
          <w:tcPr>
            <w:tcW w:w="0" w:type="auto"/>
            <w:shd w:val="clear" w:color="auto" w:fill="DDF2EC" w:themeFill="background2" w:themeFillTint="33"/>
            <w:vAlign w:val="center"/>
          </w:tcPr>
          <w:p w14:paraId="5C55C724" w14:textId="77777777" w:rsidR="0034597A" w:rsidRDefault="0034597A" w:rsidP="00841C65">
            <w:pPr>
              <w:pStyle w:val="TableText"/>
              <w:jc w:val="center"/>
            </w:pPr>
            <w:r>
              <w:t>0.4%</w:t>
            </w:r>
          </w:p>
        </w:tc>
      </w:tr>
      <w:tr w:rsidR="0034597A" w:rsidRPr="00283AC6" w14:paraId="72A97B07" w14:textId="77777777" w:rsidTr="00AF34A0">
        <w:tc>
          <w:tcPr>
            <w:tcW w:w="0" w:type="auto"/>
            <w:shd w:val="clear" w:color="auto" w:fill="DCDCDF" w:themeFill="text2" w:themeFillTint="33"/>
          </w:tcPr>
          <w:p w14:paraId="72208FDA" w14:textId="77777777" w:rsidR="0034597A" w:rsidRPr="00283AC6" w:rsidRDefault="0034597A">
            <w:pPr>
              <w:spacing w:before="0" w:after="0"/>
              <w:rPr>
                <w:rFonts w:asciiTheme="majorHAnsi" w:hAnsiTheme="majorHAnsi"/>
              </w:rPr>
            </w:pPr>
            <w:r w:rsidRPr="00283AC6">
              <w:rPr>
                <w:rFonts w:asciiTheme="majorHAnsi" w:hAnsiTheme="majorHAnsi"/>
              </w:rPr>
              <w:t>Total</w:t>
            </w:r>
          </w:p>
        </w:tc>
        <w:tc>
          <w:tcPr>
            <w:tcW w:w="0" w:type="auto"/>
            <w:shd w:val="clear" w:color="auto" w:fill="DCDCDF" w:themeFill="text2" w:themeFillTint="33"/>
            <w:vAlign w:val="center"/>
          </w:tcPr>
          <w:p w14:paraId="663B8AEA"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20</w:t>
            </w:r>
          </w:p>
        </w:tc>
        <w:tc>
          <w:tcPr>
            <w:tcW w:w="0" w:type="auto"/>
            <w:shd w:val="clear" w:color="auto" w:fill="DCDCDF" w:themeFill="text2" w:themeFillTint="33"/>
            <w:vAlign w:val="center"/>
          </w:tcPr>
          <w:p w14:paraId="154D226E"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130</w:t>
            </w:r>
          </w:p>
        </w:tc>
        <w:tc>
          <w:tcPr>
            <w:tcW w:w="0" w:type="auto"/>
            <w:shd w:val="clear" w:color="auto" w:fill="DCDCDF" w:themeFill="text2" w:themeFillTint="33"/>
            <w:vAlign w:val="center"/>
          </w:tcPr>
          <w:p w14:paraId="4B2E8D42"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163</w:t>
            </w:r>
          </w:p>
        </w:tc>
        <w:tc>
          <w:tcPr>
            <w:tcW w:w="0" w:type="auto"/>
            <w:shd w:val="clear" w:color="auto" w:fill="DCDCDF" w:themeFill="text2" w:themeFillTint="33"/>
            <w:vAlign w:val="center"/>
          </w:tcPr>
          <w:p w14:paraId="53EDF8C3"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158</w:t>
            </w:r>
          </w:p>
        </w:tc>
        <w:tc>
          <w:tcPr>
            <w:tcW w:w="0" w:type="auto"/>
            <w:shd w:val="clear" w:color="auto" w:fill="DCDCDF" w:themeFill="text2" w:themeFillTint="33"/>
            <w:vAlign w:val="center"/>
          </w:tcPr>
          <w:p w14:paraId="6B6D3E3C"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471</w:t>
            </w:r>
          </w:p>
        </w:tc>
        <w:tc>
          <w:tcPr>
            <w:tcW w:w="0" w:type="auto"/>
            <w:shd w:val="clear" w:color="auto" w:fill="DCDCDF" w:themeFill="text2" w:themeFillTint="33"/>
            <w:vAlign w:val="center"/>
          </w:tcPr>
          <w:p w14:paraId="58F96521"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100.0%</w:t>
            </w:r>
          </w:p>
        </w:tc>
      </w:tr>
    </w:tbl>
    <w:p w14:paraId="6AE1A5CA" w14:textId="712D6E03" w:rsidR="0034597A" w:rsidRDefault="0034597A" w:rsidP="0034597A">
      <w:pPr>
        <w:pStyle w:val="Tablenotes"/>
        <w:spacing w:after="0"/>
      </w:pPr>
      <w:r>
        <w:t xml:space="preserve">Notes: *Other settings include home care, domiciliary nursing, hotel services, maintenance, administration, and group home settings. </w:t>
      </w:r>
      <w:r w:rsidR="00DA31A1">
        <w:t>Th</w:t>
      </w:r>
      <w:r w:rsidR="00E859C5">
        <w:t>ese</w:t>
      </w:r>
      <w:r w:rsidR="00DA31A1">
        <w:t xml:space="preserve"> data </w:t>
      </w:r>
      <w:r w:rsidR="006473E7">
        <w:t>captur</w:t>
      </w:r>
      <w:r w:rsidR="00E859C5">
        <w:t>e</w:t>
      </w:r>
      <w:r w:rsidR="006473E7">
        <w:t xml:space="preserve"> the number of placements delivered (n=471) rather than placement sites (n=425).</w:t>
      </w:r>
    </w:p>
    <w:p w14:paraId="6DA22619" w14:textId="3A0DF872" w:rsidR="0034597A" w:rsidRDefault="0034597A" w:rsidP="0034597A">
      <w:pPr>
        <w:pStyle w:val="Tablenotes"/>
        <w:spacing w:before="0"/>
      </w:pPr>
      <w:r>
        <w:t>Source: PEPA Aged Care program data provided by QUT, September 2025.</w:t>
      </w:r>
    </w:p>
    <w:p w14:paraId="3F3BF408" w14:textId="21B05985" w:rsidR="004367DD" w:rsidRDefault="00CC6C2C" w:rsidP="004367DD">
      <w:pPr>
        <w:pStyle w:val="Heading4"/>
      </w:pPr>
      <w:r>
        <w:t>P</w:t>
      </w:r>
      <w:r w:rsidR="004367DD">
        <w:t>rofessional role</w:t>
      </w:r>
      <w:r>
        <w:t xml:space="preserve"> of PEPA Aged Care participants</w:t>
      </w:r>
    </w:p>
    <w:p w14:paraId="5B86537F" w14:textId="7CA4910E" w:rsidR="004367DD" w:rsidRDefault="00BD1C24" w:rsidP="004367DD">
      <w:r>
        <w:t>The professional roles of PEPA Aged Care participa</w:t>
      </w:r>
      <w:r w:rsidR="00D903F2">
        <w:t xml:space="preserve">nts by financial year are shown in </w:t>
      </w:r>
      <w:r w:rsidR="004367DD">
        <w:fldChar w:fldCharType="begin"/>
      </w:r>
      <w:r w:rsidR="004367DD">
        <w:instrText xml:space="preserve"> REF _Ref214900672 \h </w:instrText>
      </w:r>
      <w:r w:rsidR="004367DD">
        <w:fldChar w:fldCharType="separate"/>
      </w:r>
      <w:r w:rsidR="00167BA0">
        <w:t xml:space="preserve">Table </w:t>
      </w:r>
      <w:r w:rsidR="00167BA0">
        <w:rPr>
          <w:noProof/>
        </w:rPr>
        <w:t>9</w:t>
      </w:r>
      <w:r w:rsidR="00167BA0">
        <w:t>.</w:t>
      </w:r>
      <w:r w:rsidR="00167BA0">
        <w:rPr>
          <w:noProof/>
        </w:rPr>
        <w:t>9</w:t>
      </w:r>
      <w:r w:rsidR="004367DD">
        <w:fldChar w:fldCharType="end"/>
      </w:r>
      <w:r w:rsidR="00D903F2">
        <w:t>.</w:t>
      </w:r>
    </w:p>
    <w:p w14:paraId="4B3E132A" w14:textId="7F4236F1" w:rsidR="004367DD" w:rsidRDefault="004367DD" w:rsidP="004367DD">
      <w:pPr>
        <w:pStyle w:val="Caption"/>
      </w:pPr>
      <w:bookmarkStart w:id="190" w:name="_Ref214900672"/>
      <w:r>
        <w:t xml:space="preserve">Table </w:t>
      </w:r>
      <w:fldSimple w:instr=" STYLEREF 1 \s ">
        <w:r w:rsidR="0091457A">
          <w:rPr>
            <w:noProof/>
          </w:rPr>
          <w:t>9</w:t>
        </w:r>
      </w:fldSimple>
      <w:r w:rsidR="0091457A">
        <w:t>.</w:t>
      </w:r>
      <w:fldSimple w:instr=" SEQ Table \* ARABIC \s 1 ">
        <w:r w:rsidR="0091457A">
          <w:rPr>
            <w:noProof/>
          </w:rPr>
          <w:t>9</w:t>
        </w:r>
      </w:fldSimple>
      <w:bookmarkEnd w:id="190"/>
      <w:r>
        <w:t>: PEPA Aged Care participants by financial year and professional role</w:t>
      </w:r>
    </w:p>
    <w:tbl>
      <w:tblPr>
        <w:tblStyle w:val="HMAdefaulttable"/>
        <w:tblW w:w="0" w:type="auto"/>
        <w:tblBorders>
          <w:left w:val="single" w:sz="4" w:space="0" w:color="auto"/>
          <w:right w:val="single" w:sz="4" w:space="0" w:color="auto"/>
          <w:insideV w:val="single" w:sz="4" w:space="0" w:color="auto"/>
        </w:tblBorders>
        <w:tblLook w:val="04A0" w:firstRow="1" w:lastRow="0" w:firstColumn="1" w:lastColumn="0" w:noHBand="0" w:noVBand="1"/>
        <w:tblCaption w:val="Summary of PEPA Aged Care participants by professional role"/>
        <w:tblDescription w:val="Table shows PEPA Aged Care participants by professional role across four financial years from 2021-22 to 2024-25."/>
      </w:tblPr>
      <w:tblGrid>
        <w:gridCol w:w="1778"/>
        <w:gridCol w:w="956"/>
        <w:gridCol w:w="955"/>
        <w:gridCol w:w="955"/>
        <w:gridCol w:w="955"/>
        <w:gridCol w:w="792"/>
        <w:gridCol w:w="812"/>
      </w:tblGrid>
      <w:tr w:rsidR="004367DD" w:rsidRPr="004D646B" w14:paraId="6DE56E27" w14:textId="77777777" w:rsidTr="00AF34A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7721EE8" w14:textId="77777777" w:rsidR="004367DD" w:rsidRPr="004D646B" w:rsidRDefault="004367DD">
            <w:pPr>
              <w:pStyle w:val="TableHeading"/>
            </w:pPr>
            <w:r>
              <w:t>Role</w:t>
            </w:r>
          </w:p>
        </w:tc>
        <w:tc>
          <w:tcPr>
            <w:tcW w:w="0" w:type="auto"/>
            <w:noWrap/>
            <w:hideMark/>
          </w:tcPr>
          <w:p w14:paraId="60186C4B"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2021</w:t>
            </w:r>
            <w:r>
              <w:rPr>
                <w:caps w:val="0"/>
              </w:rPr>
              <w:t>–</w:t>
            </w:r>
            <w:r w:rsidRPr="004D646B">
              <w:t>22</w:t>
            </w:r>
          </w:p>
        </w:tc>
        <w:tc>
          <w:tcPr>
            <w:tcW w:w="0" w:type="auto"/>
            <w:noWrap/>
            <w:hideMark/>
          </w:tcPr>
          <w:p w14:paraId="23FF5410"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2022</w:t>
            </w:r>
            <w:r>
              <w:rPr>
                <w:caps w:val="0"/>
              </w:rPr>
              <w:t>–</w:t>
            </w:r>
            <w:r w:rsidRPr="004D646B">
              <w:t>23</w:t>
            </w:r>
          </w:p>
        </w:tc>
        <w:tc>
          <w:tcPr>
            <w:tcW w:w="0" w:type="auto"/>
            <w:noWrap/>
            <w:hideMark/>
          </w:tcPr>
          <w:p w14:paraId="1548A2FC"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2023</w:t>
            </w:r>
            <w:r>
              <w:rPr>
                <w:caps w:val="0"/>
              </w:rPr>
              <w:t>–</w:t>
            </w:r>
            <w:r w:rsidRPr="004D646B">
              <w:t>24</w:t>
            </w:r>
          </w:p>
        </w:tc>
        <w:tc>
          <w:tcPr>
            <w:tcW w:w="0" w:type="auto"/>
            <w:noWrap/>
            <w:hideMark/>
          </w:tcPr>
          <w:p w14:paraId="1EA167BA"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2024</w:t>
            </w:r>
            <w:r>
              <w:rPr>
                <w:caps w:val="0"/>
              </w:rPr>
              <w:t>–</w:t>
            </w:r>
            <w:r w:rsidRPr="004D646B">
              <w:t>25</w:t>
            </w:r>
          </w:p>
        </w:tc>
        <w:tc>
          <w:tcPr>
            <w:tcW w:w="809" w:type="dxa"/>
            <w:noWrap/>
            <w:hideMark/>
          </w:tcPr>
          <w:p w14:paraId="31151DAB"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Total</w:t>
            </w:r>
          </w:p>
        </w:tc>
        <w:tc>
          <w:tcPr>
            <w:tcW w:w="692" w:type="dxa"/>
            <w:noWrap/>
            <w:hideMark/>
          </w:tcPr>
          <w:p w14:paraId="121FED75"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w:t>
            </w:r>
          </w:p>
        </w:tc>
      </w:tr>
      <w:tr w:rsidR="004367DD" w:rsidRPr="004D646B" w14:paraId="7894C965" w14:textId="77777777" w:rsidTr="00AF34A0">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15BFC768" w14:textId="77777777" w:rsidR="004367DD" w:rsidRPr="004D646B" w:rsidRDefault="004367DD">
            <w:pPr>
              <w:pStyle w:val="TableText"/>
              <w:rPr>
                <w:lang w:eastAsia="en-AU"/>
              </w:rPr>
            </w:pPr>
            <w:r w:rsidRPr="004D646B">
              <w:rPr>
                <w:lang w:eastAsia="en-AU"/>
              </w:rPr>
              <w:t xml:space="preserve">Aboriginal </w:t>
            </w:r>
            <w:r>
              <w:rPr>
                <w:lang w:eastAsia="en-AU"/>
              </w:rPr>
              <w:t>and</w:t>
            </w:r>
            <w:r w:rsidRPr="004D646B">
              <w:rPr>
                <w:lang w:eastAsia="en-AU"/>
              </w:rPr>
              <w:t xml:space="preserve"> Torres Strait Islander </w:t>
            </w:r>
            <w:r>
              <w:rPr>
                <w:lang w:eastAsia="en-AU"/>
              </w:rPr>
              <w:t>h</w:t>
            </w:r>
            <w:r w:rsidRPr="004D646B">
              <w:rPr>
                <w:lang w:eastAsia="en-AU"/>
              </w:rPr>
              <w:t xml:space="preserve">ealth </w:t>
            </w:r>
            <w:r>
              <w:rPr>
                <w:lang w:eastAsia="en-AU"/>
              </w:rPr>
              <w:t>w</w:t>
            </w:r>
            <w:r w:rsidRPr="004D646B">
              <w:rPr>
                <w:lang w:eastAsia="en-AU"/>
              </w:rPr>
              <w:t>orker</w:t>
            </w:r>
          </w:p>
        </w:tc>
        <w:tc>
          <w:tcPr>
            <w:tcW w:w="0" w:type="auto"/>
            <w:noWrap/>
            <w:hideMark/>
          </w:tcPr>
          <w:p w14:paraId="7951905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491C006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6</w:t>
            </w:r>
          </w:p>
        </w:tc>
        <w:tc>
          <w:tcPr>
            <w:tcW w:w="0" w:type="auto"/>
            <w:noWrap/>
            <w:hideMark/>
          </w:tcPr>
          <w:p w14:paraId="52472C87"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F842617"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809" w:type="dxa"/>
            <w:noWrap/>
            <w:hideMark/>
          </w:tcPr>
          <w:p w14:paraId="5BB5FB2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6</w:t>
            </w:r>
          </w:p>
        </w:tc>
        <w:tc>
          <w:tcPr>
            <w:tcW w:w="692" w:type="dxa"/>
            <w:noWrap/>
            <w:hideMark/>
          </w:tcPr>
          <w:p w14:paraId="6F71B76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0.1%</w:t>
            </w:r>
          </w:p>
        </w:tc>
      </w:tr>
      <w:tr w:rsidR="004367DD" w:rsidRPr="004D646B" w14:paraId="38A8A8AD" w14:textId="77777777" w:rsidTr="00AF34A0">
        <w:trPr>
          <w:cnfStyle w:val="000000010000" w:firstRow="0" w:lastRow="0" w:firstColumn="0" w:lastColumn="0" w:oddVBand="0" w:evenVBand="0" w:oddHBand="0" w:evenHBand="1"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0" w:type="auto"/>
            <w:hideMark/>
          </w:tcPr>
          <w:p w14:paraId="7EFF1AB4" w14:textId="0425DC52" w:rsidR="004367DD" w:rsidRPr="004D646B" w:rsidRDefault="004367DD">
            <w:pPr>
              <w:pStyle w:val="TableText"/>
              <w:rPr>
                <w:lang w:eastAsia="en-AU"/>
              </w:rPr>
            </w:pPr>
            <w:r w:rsidRPr="004D646B">
              <w:rPr>
                <w:lang w:eastAsia="en-AU"/>
              </w:rPr>
              <w:t xml:space="preserve">Assistant in </w:t>
            </w:r>
            <w:r>
              <w:rPr>
                <w:lang w:eastAsia="en-AU"/>
              </w:rPr>
              <w:t>n</w:t>
            </w:r>
            <w:r w:rsidRPr="004D646B">
              <w:rPr>
                <w:lang w:eastAsia="en-AU"/>
              </w:rPr>
              <w:t>ursing/</w:t>
            </w:r>
            <w:r>
              <w:rPr>
                <w:lang w:eastAsia="en-AU"/>
              </w:rPr>
              <w:t>p</w:t>
            </w:r>
            <w:r w:rsidRPr="004D646B">
              <w:rPr>
                <w:lang w:eastAsia="en-AU"/>
              </w:rPr>
              <w:t xml:space="preserve">ersonal </w:t>
            </w:r>
            <w:r>
              <w:rPr>
                <w:lang w:eastAsia="en-AU"/>
              </w:rPr>
              <w:t>c</w:t>
            </w:r>
            <w:r w:rsidRPr="004D646B">
              <w:rPr>
                <w:lang w:eastAsia="en-AU"/>
              </w:rPr>
              <w:t xml:space="preserve">are </w:t>
            </w:r>
            <w:r>
              <w:rPr>
                <w:lang w:eastAsia="en-AU"/>
              </w:rPr>
              <w:t>w</w:t>
            </w:r>
            <w:r w:rsidRPr="004D646B">
              <w:rPr>
                <w:lang w:eastAsia="en-AU"/>
              </w:rPr>
              <w:t>orker/</w:t>
            </w:r>
            <w:r w:rsidR="00C86F29">
              <w:rPr>
                <w:lang w:eastAsia="en-AU"/>
              </w:rPr>
              <w:t xml:space="preserve"> </w:t>
            </w:r>
            <w:r>
              <w:rPr>
                <w:lang w:eastAsia="en-AU"/>
              </w:rPr>
              <w:t>p</w:t>
            </w:r>
            <w:r w:rsidRPr="004D646B">
              <w:rPr>
                <w:lang w:eastAsia="en-AU"/>
              </w:rPr>
              <w:t xml:space="preserve">ersonal </w:t>
            </w:r>
            <w:r>
              <w:rPr>
                <w:lang w:eastAsia="en-AU"/>
              </w:rPr>
              <w:t>c</w:t>
            </w:r>
            <w:r w:rsidRPr="004D646B">
              <w:rPr>
                <w:lang w:eastAsia="en-AU"/>
              </w:rPr>
              <w:t xml:space="preserve">are </w:t>
            </w:r>
            <w:r>
              <w:rPr>
                <w:lang w:eastAsia="en-AU"/>
              </w:rPr>
              <w:t>a</w:t>
            </w:r>
            <w:r w:rsidRPr="004D646B">
              <w:rPr>
                <w:lang w:eastAsia="en-AU"/>
              </w:rPr>
              <w:t>ssistant</w:t>
            </w:r>
          </w:p>
        </w:tc>
        <w:tc>
          <w:tcPr>
            <w:tcW w:w="0" w:type="auto"/>
            <w:noWrap/>
            <w:hideMark/>
          </w:tcPr>
          <w:p w14:paraId="1BB064B4"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41</w:t>
            </w:r>
          </w:p>
        </w:tc>
        <w:tc>
          <w:tcPr>
            <w:tcW w:w="0" w:type="auto"/>
            <w:noWrap/>
            <w:hideMark/>
          </w:tcPr>
          <w:p w14:paraId="591403DD"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457</w:t>
            </w:r>
          </w:p>
        </w:tc>
        <w:tc>
          <w:tcPr>
            <w:tcW w:w="0" w:type="auto"/>
            <w:noWrap/>
            <w:hideMark/>
          </w:tcPr>
          <w:p w14:paraId="6FE5112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796</w:t>
            </w:r>
          </w:p>
        </w:tc>
        <w:tc>
          <w:tcPr>
            <w:tcW w:w="0" w:type="auto"/>
            <w:noWrap/>
            <w:hideMark/>
          </w:tcPr>
          <w:p w14:paraId="41CFACCE"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700</w:t>
            </w:r>
          </w:p>
        </w:tc>
        <w:tc>
          <w:tcPr>
            <w:tcW w:w="809" w:type="dxa"/>
            <w:noWrap/>
            <w:hideMark/>
          </w:tcPr>
          <w:p w14:paraId="5725381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r>
              <w:t>,</w:t>
            </w:r>
            <w:r w:rsidRPr="0018015C">
              <w:t>994</w:t>
            </w:r>
          </w:p>
        </w:tc>
        <w:tc>
          <w:tcPr>
            <w:tcW w:w="692" w:type="dxa"/>
            <w:noWrap/>
            <w:hideMark/>
          </w:tcPr>
          <w:p w14:paraId="49E6DC92"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38.0%</w:t>
            </w:r>
          </w:p>
        </w:tc>
      </w:tr>
      <w:tr w:rsidR="004367DD" w:rsidRPr="004D646B" w14:paraId="68D81B13"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noWrap/>
            <w:hideMark/>
          </w:tcPr>
          <w:p w14:paraId="395BD44F" w14:textId="77777777" w:rsidR="004367DD" w:rsidRPr="004D646B" w:rsidRDefault="004367DD">
            <w:pPr>
              <w:pStyle w:val="TableText"/>
              <w:rPr>
                <w:lang w:eastAsia="en-AU"/>
              </w:rPr>
            </w:pPr>
            <w:r w:rsidRPr="004D646B">
              <w:rPr>
                <w:lang w:eastAsia="en-AU"/>
              </w:rPr>
              <w:t xml:space="preserve">Clinical </w:t>
            </w:r>
            <w:r>
              <w:rPr>
                <w:lang w:eastAsia="en-AU"/>
              </w:rPr>
              <w:t>p</w:t>
            </w:r>
            <w:r w:rsidRPr="004D646B">
              <w:rPr>
                <w:lang w:eastAsia="en-AU"/>
              </w:rPr>
              <w:t>sychologist</w:t>
            </w:r>
          </w:p>
        </w:tc>
        <w:tc>
          <w:tcPr>
            <w:tcW w:w="0" w:type="auto"/>
            <w:noWrap/>
            <w:hideMark/>
          </w:tcPr>
          <w:p w14:paraId="12EC9DE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1A72CAD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40DD443F"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38FF51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809" w:type="dxa"/>
            <w:noWrap/>
            <w:hideMark/>
          </w:tcPr>
          <w:p w14:paraId="44B927E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692" w:type="dxa"/>
            <w:noWrap/>
            <w:hideMark/>
          </w:tcPr>
          <w:p w14:paraId="0E3D8305"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20F7782E"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459393F3" w14:textId="77777777" w:rsidR="004367DD" w:rsidRPr="004D646B" w:rsidRDefault="004367DD">
            <w:pPr>
              <w:pStyle w:val="TableText"/>
              <w:rPr>
                <w:lang w:eastAsia="en-AU"/>
              </w:rPr>
            </w:pPr>
            <w:r w:rsidRPr="004D646B">
              <w:rPr>
                <w:lang w:eastAsia="en-AU"/>
              </w:rPr>
              <w:t>Counsellor</w:t>
            </w:r>
          </w:p>
        </w:tc>
        <w:tc>
          <w:tcPr>
            <w:tcW w:w="0" w:type="auto"/>
            <w:noWrap/>
            <w:hideMark/>
          </w:tcPr>
          <w:p w14:paraId="499FA84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0D07347D"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6875559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78611B7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2</w:t>
            </w:r>
          </w:p>
        </w:tc>
        <w:tc>
          <w:tcPr>
            <w:tcW w:w="809" w:type="dxa"/>
            <w:noWrap/>
            <w:hideMark/>
          </w:tcPr>
          <w:p w14:paraId="40681C2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2</w:t>
            </w:r>
          </w:p>
        </w:tc>
        <w:tc>
          <w:tcPr>
            <w:tcW w:w="692" w:type="dxa"/>
            <w:noWrap/>
            <w:hideMark/>
          </w:tcPr>
          <w:p w14:paraId="750D796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0.0%</w:t>
            </w:r>
          </w:p>
        </w:tc>
      </w:tr>
      <w:tr w:rsidR="004367DD" w:rsidRPr="004D646B" w14:paraId="1F5DD334"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50CA37AE" w14:textId="77777777" w:rsidR="004367DD" w:rsidRPr="004D646B" w:rsidRDefault="004367DD">
            <w:pPr>
              <w:pStyle w:val="TableText"/>
              <w:rPr>
                <w:lang w:eastAsia="en-AU"/>
              </w:rPr>
            </w:pPr>
            <w:r w:rsidRPr="004D646B">
              <w:rPr>
                <w:lang w:eastAsia="en-AU"/>
              </w:rPr>
              <w:t>Dieti</w:t>
            </w:r>
            <w:r>
              <w:rPr>
                <w:lang w:eastAsia="en-AU"/>
              </w:rPr>
              <w:t>t</w:t>
            </w:r>
            <w:r w:rsidRPr="004D646B">
              <w:rPr>
                <w:lang w:eastAsia="en-AU"/>
              </w:rPr>
              <w:t>ian</w:t>
            </w:r>
            <w:r>
              <w:rPr>
                <w:lang w:eastAsia="en-AU"/>
              </w:rPr>
              <w:t>/ n</w:t>
            </w:r>
            <w:r w:rsidRPr="004D646B">
              <w:rPr>
                <w:lang w:eastAsia="en-AU"/>
              </w:rPr>
              <w:t>utritionist</w:t>
            </w:r>
          </w:p>
        </w:tc>
        <w:tc>
          <w:tcPr>
            <w:tcW w:w="0" w:type="auto"/>
            <w:noWrap/>
            <w:hideMark/>
          </w:tcPr>
          <w:p w14:paraId="78C6E62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1792FA2"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212500E4"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239FF6A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809" w:type="dxa"/>
            <w:noWrap/>
            <w:hideMark/>
          </w:tcPr>
          <w:p w14:paraId="4AC6697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692" w:type="dxa"/>
            <w:noWrap/>
            <w:hideMark/>
          </w:tcPr>
          <w:p w14:paraId="38C958B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05D1C649"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D7C407D" w14:textId="77777777" w:rsidR="004367DD" w:rsidRPr="004D646B" w:rsidRDefault="004367DD">
            <w:pPr>
              <w:pStyle w:val="TableText"/>
              <w:rPr>
                <w:lang w:eastAsia="en-AU"/>
              </w:rPr>
            </w:pPr>
            <w:r w:rsidRPr="004D646B">
              <w:rPr>
                <w:lang w:eastAsia="en-AU"/>
              </w:rPr>
              <w:t xml:space="preserve">Diversional </w:t>
            </w:r>
            <w:r>
              <w:rPr>
                <w:lang w:eastAsia="en-AU"/>
              </w:rPr>
              <w:t>t</w:t>
            </w:r>
            <w:r w:rsidRPr="004D646B">
              <w:rPr>
                <w:lang w:eastAsia="en-AU"/>
              </w:rPr>
              <w:t>herapist</w:t>
            </w:r>
          </w:p>
        </w:tc>
        <w:tc>
          <w:tcPr>
            <w:tcW w:w="0" w:type="auto"/>
            <w:noWrap/>
            <w:hideMark/>
          </w:tcPr>
          <w:p w14:paraId="52C2EA01"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w:t>
            </w:r>
          </w:p>
        </w:tc>
        <w:tc>
          <w:tcPr>
            <w:tcW w:w="0" w:type="auto"/>
            <w:noWrap/>
            <w:hideMark/>
          </w:tcPr>
          <w:p w14:paraId="1A98061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30</w:t>
            </w:r>
          </w:p>
        </w:tc>
        <w:tc>
          <w:tcPr>
            <w:tcW w:w="0" w:type="auto"/>
            <w:noWrap/>
            <w:hideMark/>
          </w:tcPr>
          <w:p w14:paraId="552ECFD6"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46</w:t>
            </w:r>
          </w:p>
        </w:tc>
        <w:tc>
          <w:tcPr>
            <w:tcW w:w="0" w:type="auto"/>
            <w:noWrap/>
            <w:hideMark/>
          </w:tcPr>
          <w:p w14:paraId="7FE82E0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42</w:t>
            </w:r>
          </w:p>
        </w:tc>
        <w:tc>
          <w:tcPr>
            <w:tcW w:w="809" w:type="dxa"/>
            <w:noWrap/>
            <w:hideMark/>
          </w:tcPr>
          <w:p w14:paraId="093A312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121</w:t>
            </w:r>
          </w:p>
        </w:tc>
        <w:tc>
          <w:tcPr>
            <w:tcW w:w="692" w:type="dxa"/>
            <w:noWrap/>
            <w:hideMark/>
          </w:tcPr>
          <w:p w14:paraId="187CC657"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2.3%</w:t>
            </w:r>
          </w:p>
        </w:tc>
      </w:tr>
      <w:tr w:rsidR="004367DD" w:rsidRPr="004D646B" w14:paraId="16E09C0A"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5BB0875B" w14:textId="77777777" w:rsidR="004367DD" w:rsidRPr="004D646B" w:rsidRDefault="004367DD">
            <w:pPr>
              <w:pStyle w:val="TableText"/>
              <w:rPr>
                <w:lang w:eastAsia="en-AU"/>
              </w:rPr>
            </w:pPr>
            <w:r w:rsidRPr="004D646B">
              <w:rPr>
                <w:lang w:eastAsia="en-AU"/>
              </w:rPr>
              <w:t xml:space="preserve">Enrolled </w:t>
            </w:r>
            <w:r>
              <w:rPr>
                <w:lang w:eastAsia="en-AU"/>
              </w:rPr>
              <w:t>n</w:t>
            </w:r>
            <w:r w:rsidRPr="004D646B">
              <w:rPr>
                <w:lang w:eastAsia="en-AU"/>
              </w:rPr>
              <w:t>urse</w:t>
            </w:r>
          </w:p>
        </w:tc>
        <w:tc>
          <w:tcPr>
            <w:tcW w:w="0" w:type="auto"/>
            <w:noWrap/>
            <w:hideMark/>
          </w:tcPr>
          <w:p w14:paraId="1E4587A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24</w:t>
            </w:r>
          </w:p>
        </w:tc>
        <w:tc>
          <w:tcPr>
            <w:tcW w:w="0" w:type="auto"/>
            <w:noWrap/>
            <w:hideMark/>
          </w:tcPr>
          <w:p w14:paraId="6C72B49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99</w:t>
            </w:r>
          </w:p>
        </w:tc>
        <w:tc>
          <w:tcPr>
            <w:tcW w:w="0" w:type="auto"/>
            <w:noWrap/>
            <w:hideMark/>
          </w:tcPr>
          <w:p w14:paraId="0787D0C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149</w:t>
            </w:r>
          </w:p>
        </w:tc>
        <w:tc>
          <w:tcPr>
            <w:tcW w:w="0" w:type="auto"/>
            <w:noWrap/>
            <w:hideMark/>
          </w:tcPr>
          <w:p w14:paraId="0061A2A3"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134</w:t>
            </w:r>
          </w:p>
        </w:tc>
        <w:tc>
          <w:tcPr>
            <w:tcW w:w="809" w:type="dxa"/>
            <w:noWrap/>
            <w:hideMark/>
          </w:tcPr>
          <w:p w14:paraId="3CA9051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406</w:t>
            </w:r>
          </w:p>
        </w:tc>
        <w:tc>
          <w:tcPr>
            <w:tcW w:w="692" w:type="dxa"/>
            <w:noWrap/>
            <w:hideMark/>
          </w:tcPr>
          <w:p w14:paraId="3B35B80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7.7%</w:t>
            </w:r>
          </w:p>
        </w:tc>
      </w:tr>
      <w:tr w:rsidR="004367DD" w:rsidRPr="004D646B" w14:paraId="00D4375E" w14:textId="77777777" w:rsidTr="00AF34A0">
        <w:trPr>
          <w:cnfStyle w:val="000000010000" w:firstRow="0" w:lastRow="0" w:firstColumn="0" w:lastColumn="0" w:oddVBand="0" w:evenVBand="0" w:oddHBand="0" w:evenHBand="1"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0" w:type="auto"/>
            <w:hideMark/>
          </w:tcPr>
          <w:p w14:paraId="41CEDC69" w14:textId="65476178" w:rsidR="004367DD" w:rsidRPr="004D646B" w:rsidRDefault="00622922">
            <w:pPr>
              <w:pStyle w:val="TableText"/>
              <w:rPr>
                <w:lang w:eastAsia="en-AU"/>
              </w:rPr>
            </w:pPr>
            <w:r>
              <w:rPr>
                <w:lang w:eastAsia="en-AU"/>
              </w:rPr>
              <w:t>GP</w:t>
            </w:r>
          </w:p>
        </w:tc>
        <w:tc>
          <w:tcPr>
            <w:tcW w:w="0" w:type="auto"/>
            <w:noWrap/>
            <w:hideMark/>
          </w:tcPr>
          <w:p w14:paraId="37EA8B80"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3BF681C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7ADE2FD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38DE6F46"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809" w:type="dxa"/>
            <w:noWrap/>
            <w:hideMark/>
          </w:tcPr>
          <w:p w14:paraId="485FA95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w:t>
            </w:r>
          </w:p>
        </w:tc>
        <w:tc>
          <w:tcPr>
            <w:tcW w:w="692" w:type="dxa"/>
            <w:noWrap/>
            <w:hideMark/>
          </w:tcPr>
          <w:p w14:paraId="18F16C4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0.1%</w:t>
            </w:r>
          </w:p>
        </w:tc>
      </w:tr>
      <w:tr w:rsidR="004367DD" w:rsidRPr="004D646B" w14:paraId="3BC61128"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85CB483" w14:textId="3FA84C1E" w:rsidR="004367DD" w:rsidRPr="004D646B" w:rsidRDefault="004367DD">
            <w:pPr>
              <w:pStyle w:val="TableText"/>
              <w:rPr>
                <w:lang w:eastAsia="en-AU"/>
              </w:rPr>
            </w:pPr>
            <w:r w:rsidRPr="004D646B">
              <w:rPr>
                <w:lang w:eastAsia="en-AU"/>
              </w:rPr>
              <w:t xml:space="preserve">Medical </w:t>
            </w:r>
            <w:r>
              <w:rPr>
                <w:lang w:eastAsia="en-AU"/>
              </w:rPr>
              <w:t>s</w:t>
            </w:r>
            <w:r w:rsidRPr="004D646B">
              <w:rPr>
                <w:lang w:eastAsia="en-AU"/>
              </w:rPr>
              <w:t>pecialist</w:t>
            </w:r>
          </w:p>
        </w:tc>
        <w:tc>
          <w:tcPr>
            <w:tcW w:w="0" w:type="auto"/>
            <w:noWrap/>
            <w:hideMark/>
          </w:tcPr>
          <w:p w14:paraId="4785FB9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7A122B7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261A835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622D9E6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809" w:type="dxa"/>
            <w:noWrap/>
            <w:hideMark/>
          </w:tcPr>
          <w:p w14:paraId="0B22FB03"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692" w:type="dxa"/>
            <w:noWrap/>
            <w:hideMark/>
          </w:tcPr>
          <w:p w14:paraId="580465E6"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6731541D"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388CF4E3" w14:textId="77777777" w:rsidR="004367DD" w:rsidRPr="004D646B" w:rsidRDefault="004367DD">
            <w:pPr>
              <w:pStyle w:val="TableText"/>
              <w:rPr>
                <w:lang w:eastAsia="en-AU"/>
              </w:rPr>
            </w:pPr>
            <w:r w:rsidRPr="004D646B">
              <w:rPr>
                <w:lang w:eastAsia="en-AU"/>
              </w:rPr>
              <w:t xml:space="preserve">Mental </w:t>
            </w:r>
            <w:r>
              <w:rPr>
                <w:lang w:eastAsia="en-AU"/>
              </w:rPr>
              <w:t>h</w:t>
            </w:r>
            <w:r w:rsidRPr="004D646B">
              <w:rPr>
                <w:lang w:eastAsia="en-AU"/>
              </w:rPr>
              <w:t xml:space="preserve">ealth </w:t>
            </w:r>
            <w:r>
              <w:rPr>
                <w:lang w:eastAsia="en-AU"/>
              </w:rPr>
              <w:t>w</w:t>
            </w:r>
            <w:r w:rsidRPr="004D646B">
              <w:rPr>
                <w:lang w:eastAsia="en-AU"/>
              </w:rPr>
              <w:t>orker</w:t>
            </w:r>
          </w:p>
        </w:tc>
        <w:tc>
          <w:tcPr>
            <w:tcW w:w="0" w:type="auto"/>
            <w:noWrap/>
            <w:hideMark/>
          </w:tcPr>
          <w:p w14:paraId="129B7BA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71E2E784"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28D8A1D9"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19C5D514"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2</w:t>
            </w:r>
          </w:p>
        </w:tc>
        <w:tc>
          <w:tcPr>
            <w:tcW w:w="809" w:type="dxa"/>
            <w:noWrap/>
            <w:hideMark/>
          </w:tcPr>
          <w:p w14:paraId="558C3289"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w:t>
            </w:r>
          </w:p>
        </w:tc>
        <w:tc>
          <w:tcPr>
            <w:tcW w:w="692" w:type="dxa"/>
            <w:noWrap/>
            <w:hideMark/>
          </w:tcPr>
          <w:p w14:paraId="7E7B9C8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0.1%</w:t>
            </w:r>
          </w:p>
        </w:tc>
      </w:tr>
      <w:tr w:rsidR="004367DD" w:rsidRPr="004D646B" w14:paraId="6414A34A"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A74D1A5" w14:textId="77777777" w:rsidR="004367DD" w:rsidRPr="004D646B" w:rsidRDefault="004367DD">
            <w:pPr>
              <w:pStyle w:val="TableText"/>
              <w:rPr>
                <w:lang w:eastAsia="en-AU"/>
              </w:rPr>
            </w:pPr>
            <w:r w:rsidRPr="004D646B">
              <w:rPr>
                <w:lang w:eastAsia="en-AU"/>
              </w:rPr>
              <w:t xml:space="preserve">Music </w:t>
            </w:r>
            <w:r>
              <w:rPr>
                <w:lang w:eastAsia="en-AU"/>
              </w:rPr>
              <w:t>t</w:t>
            </w:r>
            <w:r w:rsidRPr="004D646B">
              <w:rPr>
                <w:lang w:eastAsia="en-AU"/>
              </w:rPr>
              <w:t>herapist</w:t>
            </w:r>
          </w:p>
        </w:tc>
        <w:tc>
          <w:tcPr>
            <w:tcW w:w="0" w:type="auto"/>
            <w:noWrap/>
            <w:hideMark/>
          </w:tcPr>
          <w:p w14:paraId="1E9BA37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53DB2E73"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1A91D54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0" w:type="auto"/>
            <w:noWrap/>
            <w:hideMark/>
          </w:tcPr>
          <w:p w14:paraId="67B00D63"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809" w:type="dxa"/>
            <w:noWrap/>
            <w:hideMark/>
          </w:tcPr>
          <w:p w14:paraId="67FE6DD2"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3</w:t>
            </w:r>
          </w:p>
        </w:tc>
        <w:tc>
          <w:tcPr>
            <w:tcW w:w="692" w:type="dxa"/>
            <w:noWrap/>
            <w:hideMark/>
          </w:tcPr>
          <w:p w14:paraId="26C80FD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0.1%</w:t>
            </w:r>
          </w:p>
        </w:tc>
      </w:tr>
      <w:tr w:rsidR="004367DD" w:rsidRPr="004D646B" w14:paraId="4A254450"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06C93536" w14:textId="77777777" w:rsidR="004367DD" w:rsidRPr="004D646B" w:rsidRDefault="004367DD">
            <w:pPr>
              <w:pStyle w:val="TableText"/>
              <w:rPr>
                <w:lang w:eastAsia="en-AU"/>
              </w:rPr>
            </w:pPr>
            <w:r w:rsidRPr="004D646B">
              <w:rPr>
                <w:lang w:eastAsia="en-AU"/>
              </w:rPr>
              <w:t>Nurse Practitioner</w:t>
            </w:r>
          </w:p>
        </w:tc>
        <w:tc>
          <w:tcPr>
            <w:tcW w:w="0" w:type="auto"/>
            <w:noWrap/>
            <w:hideMark/>
          </w:tcPr>
          <w:p w14:paraId="700B1E99"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75A1C672"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5A46EEC9"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w:t>
            </w:r>
          </w:p>
        </w:tc>
        <w:tc>
          <w:tcPr>
            <w:tcW w:w="0" w:type="auto"/>
            <w:noWrap/>
            <w:hideMark/>
          </w:tcPr>
          <w:p w14:paraId="6E437A1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5</w:t>
            </w:r>
          </w:p>
        </w:tc>
        <w:tc>
          <w:tcPr>
            <w:tcW w:w="809" w:type="dxa"/>
            <w:noWrap/>
            <w:hideMark/>
          </w:tcPr>
          <w:p w14:paraId="2DAFEC32"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9</w:t>
            </w:r>
          </w:p>
        </w:tc>
        <w:tc>
          <w:tcPr>
            <w:tcW w:w="692" w:type="dxa"/>
            <w:noWrap/>
            <w:hideMark/>
          </w:tcPr>
          <w:p w14:paraId="51050F3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0.2%</w:t>
            </w:r>
          </w:p>
        </w:tc>
      </w:tr>
      <w:tr w:rsidR="004367DD" w:rsidRPr="004D646B" w14:paraId="605192D0"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2BA85A9" w14:textId="77777777" w:rsidR="004367DD" w:rsidRPr="004D646B" w:rsidRDefault="004367DD">
            <w:pPr>
              <w:pStyle w:val="TableText"/>
              <w:rPr>
                <w:lang w:eastAsia="en-AU"/>
              </w:rPr>
            </w:pPr>
            <w:r w:rsidRPr="004D646B">
              <w:rPr>
                <w:lang w:eastAsia="en-AU"/>
              </w:rPr>
              <w:t xml:space="preserve">Occupational </w:t>
            </w:r>
            <w:r>
              <w:rPr>
                <w:lang w:eastAsia="en-AU"/>
              </w:rPr>
              <w:t>t</w:t>
            </w:r>
            <w:r w:rsidRPr="004D646B">
              <w:rPr>
                <w:lang w:eastAsia="en-AU"/>
              </w:rPr>
              <w:t>herapist</w:t>
            </w:r>
          </w:p>
        </w:tc>
        <w:tc>
          <w:tcPr>
            <w:tcW w:w="0" w:type="auto"/>
            <w:noWrap/>
            <w:hideMark/>
          </w:tcPr>
          <w:p w14:paraId="18A65AA5"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40F032E6"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4</w:t>
            </w:r>
          </w:p>
        </w:tc>
        <w:tc>
          <w:tcPr>
            <w:tcW w:w="0" w:type="auto"/>
            <w:noWrap/>
            <w:hideMark/>
          </w:tcPr>
          <w:p w14:paraId="59DD7BE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9</w:t>
            </w:r>
          </w:p>
        </w:tc>
        <w:tc>
          <w:tcPr>
            <w:tcW w:w="0" w:type="auto"/>
            <w:noWrap/>
            <w:hideMark/>
          </w:tcPr>
          <w:p w14:paraId="20E7C276"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5</w:t>
            </w:r>
          </w:p>
        </w:tc>
        <w:tc>
          <w:tcPr>
            <w:tcW w:w="809" w:type="dxa"/>
            <w:noWrap/>
            <w:hideMark/>
          </w:tcPr>
          <w:p w14:paraId="761BE56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19</w:t>
            </w:r>
          </w:p>
        </w:tc>
        <w:tc>
          <w:tcPr>
            <w:tcW w:w="692" w:type="dxa"/>
            <w:noWrap/>
            <w:hideMark/>
          </w:tcPr>
          <w:p w14:paraId="273CBDFE"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0.4%</w:t>
            </w:r>
          </w:p>
        </w:tc>
      </w:tr>
      <w:tr w:rsidR="004367DD" w:rsidRPr="004D646B" w14:paraId="5A8B26FA"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347A11BA" w14:textId="77777777" w:rsidR="004367DD" w:rsidRPr="004D646B" w:rsidRDefault="004367DD">
            <w:pPr>
              <w:pStyle w:val="TableText"/>
              <w:rPr>
                <w:lang w:eastAsia="en-AU"/>
              </w:rPr>
            </w:pPr>
            <w:r w:rsidRPr="004D646B">
              <w:rPr>
                <w:lang w:eastAsia="en-AU"/>
              </w:rPr>
              <w:t xml:space="preserve">Pastoral </w:t>
            </w:r>
            <w:r>
              <w:rPr>
                <w:lang w:eastAsia="en-AU"/>
              </w:rPr>
              <w:t>c</w:t>
            </w:r>
            <w:r w:rsidRPr="004D646B">
              <w:rPr>
                <w:lang w:eastAsia="en-AU"/>
              </w:rPr>
              <w:t>arer</w:t>
            </w:r>
          </w:p>
        </w:tc>
        <w:tc>
          <w:tcPr>
            <w:tcW w:w="0" w:type="auto"/>
            <w:noWrap/>
            <w:hideMark/>
          </w:tcPr>
          <w:p w14:paraId="4A06D01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0269825C"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9</w:t>
            </w:r>
          </w:p>
        </w:tc>
        <w:tc>
          <w:tcPr>
            <w:tcW w:w="0" w:type="auto"/>
            <w:noWrap/>
            <w:hideMark/>
          </w:tcPr>
          <w:p w14:paraId="24BAB6E6"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19</w:t>
            </w:r>
          </w:p>
        </w:tc>
        <w:tc>
          <w:tcPr>
            <w:tcW w:w="0" w:type="auto"/>
            <w:noWrap/>
            <w:hideMark/>
          </w:tcPr>
          <w:p w14:paraId="2A07673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18</w:t>
            </w:r>
          </w:p>
        </w:tc>
        <w:tc>
          <w:tcPr>
            <w:tcW w:w="809" w:type="dxa"/>
            <w:noWrap/>
            <w:hideMark/>
          </w:tcPr>
          <w:p w14:paraId="79100C76"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47</w:t>
            </w:r>
          </w:p>
        </w:tc>
        <w:tc>
          <w:tcPr>
            <w:tcW w:w="692" w:type="dxa"/>
            <w:noWrap/>
            <w:hideMark/>
          </w:tcPr>
          <w:p w14:paraId="77BAF66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0.9%</w:t>
            </w:r>
          </w:p>
        </w:tc>
      </w:tr>
      <w:tr w:rsidR="004367DD" w:rsidRPr="004D646B" w14:paraId="36BF8BF9"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27633E22" w14:textId="380070B1" w:rsidR="004367DD" w:rsidRPr="004D646B" w:rsidRDefault="004367DD">
            <w:pPr>
              <w:pStyle w:val="TableText"/>
              <w:rPr>
                <w:lang w:eastAsia="en-AU"/>
              </w:rPr>
            </w:pPr>
            <w:r w:rsidRPr="004D646B">
              <w:rPr>
                <w:lang w:eastAsia="en-AU"/>
              </w:rPr>
              <w:t>Pharmacist</w:t>
            </w:r>
          </w:p>
        </w:tc>
        <w:tc>
          <w:tcPr>
            <w:tcW w:w="0" w:type="auto"/>
            <w:noWrap/>
            <w:hideMark/>
          </w:tcPr>
          <w:p w14:paraId="255354C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8E71EA6"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258F7211"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B17ACA7"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809" w:type="dxa"/>
            <w:noWrap/>
            <w:hideMark/>
          </w:tcPr>
          <w:p w14:paraId="2647382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692" w:type="dxa"/>
            <w:noWrap/>
            <w:hideMark/>
          </w:tcPr>
          <w:p w14:paraId="154297A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7B052878"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D69A7CC" w14:textId="77777777" w:rsidR="004367DD" w:rsidRPr="004D646B" w:rsidRDefault="004367DD">
            <w:pPr>
              <w:pStyle w:val="TableText"/>
              <w:rPr>
                <w:lang w:eastAsia="en-AU"/>
              </w:rPr>
            </w:pPr>
            <w:r w:rsidRPr="004D646B">
              <w:rPr>
                <w:lang w:eastAsia="en-AU"/>
              </w:rPr>
              <w:t>Physiotherapist</w:t>
            </w:r>
          </w:p>
        </w:tc>
        <w:tc>
          <w:tcPr>
            <w:tcW w:w="0" w:type="auto"/>
            <w:noWrap/>
            <w:hideMark/>
          </w:tcPr>
          <w:p w14:paraId="09571CD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6DFB4FE1"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13</w:t>
            </w:r>
          </w:p>
        </w:tc>
        <w:tc>
          <w:tcPr>
            <w:tcW w:w="0" w:type="auto"/>
            <w:noWrap/>
            <w:hideMark/>
          </w:tcPr>
          <w:p w14:paraId="5D3465C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9</w:t>
            </w:r>
          </w:p>
        </w:tc>
        <w:tc>
          <w:tcPr>
            <w:tcW w:w="0" w:type="auto"/>
            <w:noWrap/>
            <w:hideMark/>
          </w:tcPr>
          <w:p w14:paraId="3E311A4C"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8</w:t>
            </w:r>
          </w:p>
        </w:tc>
        <w:tc>
          <w:tcPr>
            <w:tcW w:w="809" w:type="dxa"/>
            <w:noWrap/>
            <w:hideMark/>
          </w:tcPr>
          <w:p w14:paraId="7CCAA661"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31</w:t>
            </w:r>
          </w:p>
        </w:tc>
        <w:tc>
          <w:tcPr>
            <w:tcW w:w="692" w:type="dxa"/>
            <w:noWrap/>
            <w:hideMark/>
          </w:tcPr>
          <w:p w14:paraId="055DD01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0.6%</w:t>
            </w:r>
          </w:p>
        </w:tc>
      </w:tr>
      <w:tr w:rsidR="004367DD" w:rsidRPr="004D646B" w14:paraId="65FB8E43"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noWrap/>
            <w:hideMark/>
          </w:tcPr>
          <w:p w14:paraId="0FEE782F" w14:textId="77777777" w:rsidR="004367DD" w:rsidRPr="004D646B" w:rsidRDefault="004367DD">
            <w:pPr>
              <w:pStyle w:val="TableText"/>
              <w:rPr>
                <w:lang w:eastAsia="en-AU"/>
              </w:rPr>
            </w:pPr>
            <w:r w:rsidRPr="004D646B">
              <w:rPr>
                <w:lang w:eastAsia="en-AU"/>
              </w:rPr>
              <w:t>Podiatrist</w:t>
            </w:r>
          </w:p>
        </w:tc>
        <w:tc>
          <w:tcPr>
            <w:tcW w:w="0" w:type="auto"/>
            <w:noWrap/>
            <w:hideMark/>
          </w:tcPr>
          <w:p w14:paraId="4A856ED4"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7BF986F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2EBC9F2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15329621"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809" w:type="dxa"/>
            <w:noWrap/>
            <w:hideMark/>
          </w:tcPr>
          <w:p w14:paraId="50B6263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692" w:type="dxa"/>
            <w:noWrap/>
            <w:hideMark/>
          </w:tcPr>
          <w:p w14:paraId="76E5B91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529A28F0"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7E8D7C93" w14:textId="77777777" w:rsidR="004367DD" w:rsidRPr="004D646B" w:rsidRDefault="004367DD">
            <w:pPr>
              <w:pStyle w:val="TableText"/>
              <w:rPr>
                <w:lang w:eastAsia="en-AU"/>
              </w:rPr>
            </w:pPr>
            <w:r w:rsidRPr="004D646B">
              <w:rPr>
                <w:lang w:eastAsia="en-AU"/>
              </w:rPr>
              <w:t xml:space="preserve">Registered </w:t>
            </w:r>
            <w:r>
              <w:rPr>
                <w:lang w:eastAsia="en-AU"/>
              </w:rPr>
              <w:t>n</w:t>
            </w:r>
            <w:r w:rsidRPr="004D646B">
              <w:rPr>
                <w:lang w:eastAsia="en-AU"/>
              </w:rPr>
              <w:t>urse</w:t>
            </w:r>
          </w:p>
        </w:tc>
        <w:tc>
          <w:tcPr>
            <w:tcW w:w="0" w:type="auto"/>
            <w:noWrap/>
            <w:hideMark/>
          </w:tcPr>
          <w:p w14:paraId="14F1043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85</w:t>
            </w:r>
          </w:p>
        </w:tc>
        <w:tc>
          <w:tcPr>
            <w:tcW w:w="0" w:type="auto"/>
            <w:noWrap/>
            <w:hideMark/>
          </w:tcPr>
          <w:p w14:paraId="7D3CADA4"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387</w:t>
            </w:r>
          </w:p>
        </w:tc>
        <w:tc>
          <w:tcPr>
            <w:tcW w:w="0" w:type="auto"/>
            <w:noWrap/>
            <w:hideMark/>
          </w:tcPr>
          <w:p w14:paraId="1BDE54B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591</w:t>
            </w:r>
          </w:p>
        </w:tc>
        <w:tc>
          <w:tcPr>
            <w:tcW w:w="0" w:type="auto"/>
            <w:noWrap/>
            <w:hideMark/>
          </w:tcPr>
          <w:p w14:paraId="3B654FFE"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596</w:t>
            </w:r>
          </w:p>
        </w:tc>
        <w:tc>
          <w:tcPr>
            <w:tcW w:w="809" w:type="dxa"/>
            <w:noWrap/>
            <w:hideMark/>
          </w:tcPr>
          <w:p w14:paraId="38BA96B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r>
              <w:t>,</w:t>
            </w:r>
            <w:r w:rsidRPr="0018015C">
              <w:t>659</w:t>
            </w:r>
          </w:p>
        </w:tc>
        <w:tc>
          <w:tcPr>
            <w:tcW w:w="692" w:type="dxa"/>
            <w:noWrap/>
            <w:hideMark/>
          </w:tcPr>
          <w:p w14:paraId="6935DE3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31.6%</w:t>
            </w:r>
          </w:p>
        </w:tc>
      </w:tr>
      <w:tr w:rsidR="004367DD" w:rsidRPr="004D646B" w14:paraId="55483B05"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7F2153EE" w14:textId="77777777" w:rsidR="004367DD" w:rsidRPr="004D646B" w:rsidRDefault="004367DD">
            <w:pPr>
              <w:pStyle w:val="TableText"/>
              <w:rPr>
                <w:lang w:eastAsia="en-AU"/>
              </w:rPr>
            </w:pPr>
            <w:r w:rsidRPr="004D646B">
              <w:rPr>
                <w:lang w:eastAsia="en-AU"/>
              </w:rPr>
              <w:t xml:space="preserve">Social </w:t>
            </w:r>
            <w:r>
              <w:rPr>
                <w:lang w:eastAsia="en-AU"/>
              </w:rPr>
              <w:t>w</w:t>
            </w:r>
            <w:r w:rsidRPr="004D646B">
              <w:rPr>
                <w:lang w:eastAsia="en-AU"/>
              </w:rPr>
              <w:t>orker</w:t>
            </w:r>
          </w:p>
        </w:tc>
        <w:tc>
          <w:tcPr>
            <w:tcW w:w="0" w:type="auto"/>
            <w:noWrap/>
            <w:hideMark/>
          </w:tcPr>
          <w:p w14:paraId="3C9DBC02"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A427DF5"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3</w:t>
            </w:r>
          </w:p>
        </w:tc>
        <w:tc>
          <w:tcPr>
            <w:tcW w:w="0" w:type="auto"/>
            <w:noWrap/>
            <w:hideMark/>
          </w:tcPr>
          <w:p w14:paraId="33E6E2B1"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21</w:t>
            </w:r>
          </w:p>
        </w:tc>
        <w:tc>
          <w:tcPr>
            <w:tcW w:w="0" w:type="auto"/>
            <w:noWrap/>
            <w:hideMark/>
          </w:tcPr>
          <w:p w14:paraId="3B936D1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18</w:t>
            </w:r>
          </w:p>
        </w:tc>
        <w:tc>
          <w:tcPr>
            <w:tcW w:w="809" w:type="dxa"/>
            <w:noWrap/>
            <w:hideMark/>
          </w:tcPr>
          <w:p w14:paraId="21CD5F41"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42</w:t>
            </w:r>
          </w:p>
        </w:tc>
        <w:tc>
          <w:tcPr>
            <w:tcW w:w="692" w:type="dxa"/>
            <w:noWrap/>
            <w:hideMark/>
          </w:tcPr>
          <w:p w14:paraId="5ECC0E2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0.8%</w:t>
            </w:r>
          </w:p>
        </w:tc>
      </w:tr>
      <w:tr w:rsidR="004367DD" w:rsidRPr="004D646B" w14:paraId="7CA92159"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4F0D1FE2" w14:textId="77777777" w:rsidR="004367DD" w:rsidRPr="004D646B" w:rsidRDefault="004367DD">
            <w:pPr>
              <w:pStyle w:val="TableText"/>
              <w:rPr>
                <w:lang w:eastAsia="en-AU"/>
              </w:rPr>
            </w:pPr>
            <w:r w:rsidRPr="004D646B">
              <w:rPr>
                <w:lang w:eastAsia="en-AU"/>
              </w:rPr>
              <w:lastRenderedPageBreak/>
              <w:t xml:space="preserve">Welfare </w:t>
            </w:r>
            <w:r>
              <w:rPr>
                <w:lang w:eastAsia="en-AU"/>
              </w:rPr>
              <w:t>o</w:t>
            </w:r>
            <w:r w:rsidRPr="004D646B">
              <w:rPr>
                <w:lang w:eastAsia="en-AU"/>
              </w:rPr>
              <w:t>fficer</w:t>
            </w:r>
          </w:p>
        </w:tc>
        <w:tc>
          <w:tcPr>
            <w:tcW w:w="0" w:type="auto"/>
            <w:noWrap/>
            <w:hideMark/>
          </w:tcPr>
          <w:p w14:paraId="458CFE9D"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4D109AE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w:t>
            </w:r>
          </w:p>
        </w:tc>
        <w:tc>
          <w:tcPr>
            <w:tcW w:w="0" w:type="auto"/>
            <w:noWrap/>
            <w:hideMark/>
          </w:tcPr>
          <w:p w14:paraId="1112C5BE"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5</w:t>
            </w:r>
          </w:p>
        </w:tc>
        <w:tc>
          <w:tcPr>
            <w:tcW w:w="0" w:type="auto"/>
            <w:noWrap/>
            <w:hideMark/>
          </w:tcPr>
          <w:p w14:paraId="1838C43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w:t>
            </w:r>
          </w:p>
        </w:tc>
        <w:tc>
          <w:tcPr>
            <w:tcW w:w="809" w:type="dxa"/>
            <w:noWrap/>
            <w:hideMark/>
          </w:tcPr>
          <w:p w14:paraId="54CD5D8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12</w:t>
            </w:r>
          </w:p>
        </w:tc>
        <w:tc>
          <w:tcPr>
            <w:tcW w:w="692" w:type="dxa"/>
            <w:noWrap/>
            <w:hideMark/>
          </w:tcPr>
          <w:p w14:paraId="658A108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0.2%</w:t>
            </w:r>
          </w:p>
        </w:tc>
      </w:tr>
      <w:tr w:rsidR="004367DD" w:rsidRPr="004D646B" w14:paraId="44901A3A"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7F713B67" w14:textId="77777777" w:rsidR="004367DD" w:rsidRPr="004D646B" w:rsidRDefault="004367DD">
            <w:pPr>
              <w:pStyle w:val="TableText"/>
              <w:rPr>
                <w:lang w:eastAsia="en-AU"/>
              </w:rPr>
            </w:pPr>
            <w:r w:rsidRPr="004D646B">
              <w:rPr>
                <w:lang w:eastAsia="en-AU"/>
              </w:rPr>
              <w:t>Other*</w:t>
            </w:r>
          </w:p>
        </w:tc>
        <w:tc>
          <w:tcPr>
            <w:tcW w:w="0" w:type="auto"/>
            <w:noWrap/>
            <w:hideMark/>
          </w:tcPr>
          <w:p w14:paraId="3600EA2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5</w:t>
            </w:r>
          </w:p>
        </w:tc>
        <w:tc>
          <w:tcPr>
            <w:tcW w:w="0" w:type="auto"/>
            <w:noWrap/>
            <w:hideMark/>
          </w:tcPr>
          <w:p w14:paraId="5C23F797"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63</w:t>
            </w:r>
          </w:p>
        </w:tc>
        <w:tc>
          <w:tcPr>
            <w:tcW w:w="0" w:type="auto"/>
            <w:noWrap/>
            <w:hideMark/>
          </w:tcPr>
          <w:p w14:paraId="6ADE4DBF"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480</w:t>
            </w:r>
          </w:p>
        </w:tc>
        <w:tc>
          <w:tcPr>
            <w:tcW w:w="0" w:type="auto"/>
            <w:noWrap/>
            <w:hideMark/>
          </w:tcPr>
          <w:p w14:paraId="6D5975D2"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337</w:t>
            </w:r>
          </w:p>
        </w:tc>
        <w:tc>
          <w:tcPr>
            <w:tcW w:w="809" w:type="dxa"/>
            <w:noWrap/>
            <w:hideMark/>
          </w:tcPr>
          <w:p w14:paraId="1C09E69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885</w:t>
            </w:r>
          </w:p>
        </w:tc>
        <w:tc>
          <w:tcPr>
            <w:tcW w:w="692" w:type="dxa"/>
            <w:noWrap/>
            <w:hideMark/>
          </w:tcPr>
          <w:p w14:paraId="42E0C91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16.9%</w:t>
            </w:r>
          </w:p>
        </w:tc>
      </w:tr>
      <w:tr w:rsidR="004367DD" w:rsidRPr="004D646B" w14:paraId="1D4608DA"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DCDCDF" w:themeFill="text2" w:themeFillTint="33"/>
            <w:hideMark/>
          </w:tcPr>
          <w:p w14:paraId="674B01DA" w14:textId="77777777" w:rsidR="004367DD" w:rsidRPr="004D646B" w:rsidRDefault="004367DD">
            <w:pPr>
              <w:pStyle w:val="TableText"/>
              <w:rPr>
                <w:rFonts w:asciiTheme="majorHAnsi" w:hAnsiTheme="majorHAnsi" w:cs="Arial"/>
                <w:color w:val="000000"/>
                <w:lang w:eastAsia="en-AU"/>
              </w:rPr>
            </w:pPr>
            <w:r w:rsidRPr="004D646B">
              <w:rPr>
                <w:rFonts w:asciiTheme="majorHAnsi" w:hAnsiTheme="majorHAnsi" w:cs="Arial"/>
                <w:color w:val="000000"/>
                <w:lang w:eastAsia="en-AU"/>
              </w:rPr>
              <w:t>Total</w:t>
            </w:r>
          </w:p>
        </w:tc>
        <w:tc>
          <w:tcPr>
            <w:tcW w:w="0" w:type="auto"/>
            <w:shd w:val="clear" w:color="auto" w:fill="DCDCDF" w:themeFill="text2" w:themeFillTint="33"/>
            <w:noWrap/>
            <w:hideMark/>
          </w:tcPr>
          <w:p w14:paraId="4392FFC8"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164</w:t>
            </w:r>
          </w:p>
        </w:tc>
        <w:tc>
          <w:tcPr>
            <w:tcW w:w="0" w:type="auto"/>
            <w:shd w:val="clear" w:color="auto" w:fill="DCDCDF" w:themeFill="text2" w:themeFillTint="33"/>
            <w:noWrap/>
            <w:hideMark/>
          </w:tcPr>
          <w:p w14:paraId="796B7199"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1</w:t>
            </w:r>
            <w:r>
              <w:rPr>
                <w:rFonts w:asciiTheme="majorHAnsi" w:hAnsiTheme="majorHAnsi" w:cs="Arial"/>
                <w:lang w:eastAsia="en-AU"/>
              </w:rPr>
              <w:t>,</w:t>
            </w:r>
            <w:r w:rsidRPr="004D646B">
              <w:rPr>
                <w:rFonts w:asciiTheme="majorHAnsi" w:hAnsiTheme="majorHAnsi" w:cs="Arial"/>
                <w:lang w:eastAsia="en-AU"/>
              </w:rPr>
              <w:t>077</w:t>
            </w:r>
          </w:p>
        </w:tc>
        <w:tc>
          <w:tcPr>
            <w:tcW w:w="0" w:type="auto"/>
            <w:shd w:val="clear" w:color="auto" w:fill="DCDCDF" w:themeFill="text2" w:themeFillTint="33"/>
            <w:noWrap/>
            <w:hideMark/>
          </w:tcPr>
          <w:p w14:paraId="29F1E189"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2</w:t>
            </w:r>
            <w:r>
              <w:rPr>
                <w:rFonts w:asciiTheme="majorHAnsi" w:hAnsiTheme="majorHAnsi" w:cs="Arial"/>
                <w:lang w:eastAsia="en-AU"/>
              </w:rPr>
              <w:t>,</w:t>
            </w:r>
            <w:r w:rsidRPr="004D646B">
              <w:rPr>
                <w:rFonts w:asciiTheme="majorHAnsi" w:hAnsiTheme="majorHAnsi" w:cs="Arial"/>
                <w:lang w:eastAsia="en-AU"/>
              </w:rPr>
              <w:t>133</w:t>
            </w:r>
          </w:p>
        </w:tc>
        <w:tc>
          <w:tcPr>
            <w:tcW w:w="0" w:type="auto"/>
            <w:shd w:val="clear" w:color="auto" w:fill="DCDCDF" w:themeFill="text2" w:themeFillTint="33"/>
            <w:noWrap/>
            <w:hideMark/>
          </w:tcPr>
          <w:p w14:paraId="3F660E6D"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1</w:t>
            </w:r>
            <w:r>
              <w:rPr>
                <w:rFonts w:asciiTheme="majorHAnsi" w:hAnsiTheme="majorHAnsi" w:cs="Arial"/>
                <w:lang w:eastAsia="en-AU"/>
              </w:rPr>
              <w:t>,</w:t>
            </w:r>
            <w:r w:rsidRPr="004D646B">
              <w:rPr>
                <w:rFonts w:asciiTheme="majorHAnsi" w:hAnsiTheme="majorHAnsi" w:cs="Arial"/>
                <w:lang w:eastAsia="en-AU"/>
              </w:rPr>
              <w:t>876</w:t>
            </w:r>
          </w:p>
        </w:tc>
        <w:tc>
          <w:tcPr>
            <w:tcW w:w="809" w:type="dxa"/>
            <w:shd w:val="clear" w:color="auto" w:fill="DCDCDF" w:themeFill="text2" w:themeFillTint="33"/>
            <w:noWrap/>
            <w:hideMark/>
          </w:tcPr>
          <w:p w14:paraId="49443447"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5</w:t>
            </w:r>
            <w:r>
              <w:rPr>
                <w:rFonts w:asciiTheme="majorHAnsi" w:hAnsiTheme="majorHAnsi" w:cs="Arial"/>
                <w:lang w:eastAsia="en-AU"/>
              </w:rPr>
              <w:t>,</w:t>
            </w:r>
            <w:r w:rsidRPr="004D646B">
              <w:rPr>
                <w:rFonts w:asciiTheme="majorHAnsi" w:hAnsiTheme="majorHAnsi" w:cs="Arial"/>
                <w:lang w:eastAsia="en-AU"/>
              </w:rPr>
              <w:t>250</w:t>
            </w:r>
          </w:p>
        </w:tc>
        <w:tc>
          <w:tcPr>
            <w:tcW w:w="692" w:type="dxa"/>
            <w:shd w:val="clear" w:color="auto" w:fill="DCDCDF" w:themeFill="text2" w:themeFillTint="33"/>
            <w:noWrap/>
            <w:hideMark/>
          </w:tcPr>
          <w:p w14:paraId="589668F9"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100.0%</w:t>
            </w:r>
          </w:p>
        </w:tc>
      </w:tr>
    </w:tbl>
    <w:p w14:paraId="22CE585B" w14:textId="2FA50361" w:rsidR="004367DD" w:rsidRDefault="004367DD" w:rsidP="004367DD">
      <w:pPr>
        <w:pStyle w:val="Tablenotes"/>
        <w:spacing w:after="0"/>
      </w:pPr>
      <w:r>
        <w:t>Notes: *Other includes l</w:t>
      </w:r>
      <w:r w:rsidRPr="00E957B7">
        <w:t xml:space="preserve">ifestyle and wellbeing (e.g. lifestyle coordinator); </w:t>
      </w:r>
      <w:r>
        <w:t>c</w:t>
      </w:r>
      <w:r w:rsidRPr="00E957B7">
        <w:t xml:space="preserve">ase management and coordination (e.g. home care package care manager); </w:t>
      </w:r>
      <w:r>
        <w:t>c</w:t>
      </w:r>
      <w:r w:rsidRPr="00E957B7">
        <w:t xml:space="preserve">ommunity and support roles (e.g. </w:t>
      </w:r>
      <w:r>
        <w:t>c</w:t>
      </w:r>
      <w:r w:rsidRPr="00E957B7">
        <w:t xml:space="preserve">ommunity aged care coordinator and volunteer social support); and </w:t>
      </w:r>
      <w:r>
        <w:t>h</w:t>
      </w:r>
      <w:r w:rsidRPr="00E957B7">
        <w:t>ospitality and domestic services (e.g. hospitality services coordinator, cleaner, and kitchen staff)</w:t>
      </w:r>
      <w:r>
        <w:t>.</w:t>
      </w:r>
    </w:p>
    <w:p w14:paraId="612067A2" w14:textId="3AA2BAD1" w:rsidR="004367DD" w:rsidRDefault="004367DD" w:rsidP="004367DD">
      <w:pPr>
        <w:pStyle w:val="Tablenotes"/>
        <w:spacing w:before="0"/>
      </w:pPr>
      <w:r>
        <w:t>Source: PEPA Aged Care program data provided by QUT, September 2025.</w:t>
      </w:r>
    </w:p>
    <w:p w14:paraId="5353D9AF" w14:textId="172EB494" w:rsidR="0034597A" w:rsidRDefault="00D903F2" w:rsidP="0034597A">
      <w:pPr>
        <w:pStyle w:val="Heading4"/>
      </w:pPr>
      <w:r>
        <w:t>Reverse p</w:t>
      </w:r>
      <w:r w:rsidR="006F4B3E">
        <w:t>lacement l</w:t>
      </w:r>
      <w:r w:rsidR="0034597A">
        <w:t>ocation</w:t>
      </w:r>
    </w:p>
    <w:p w14:paraId="00578A37" w14:textId="79DCD7A1" w:rsidR="0034597A" w:rsidRDefault="00D71036" w:rsidP="0034597A">
      <w:r>
        <w:fldChar w:fldCharType="begin"/>
      </w:r>
      <w:r>
        <w:instrText xml:space="preserve"> REF _Ref215039693 \h </w:instrText>
      </w:r>
      <w:r>
        <w:fldChar w:fldCharType="separate"/>
      </w:r>
      <w:r w:rsidR="00167BA0">
        <w:t xml:space="preserve">Table </w:t>
      </w:r>
      <w:r w:rsidR="00167BA0">
        <w:rPr>
          <w:noProof/>
        </w:rPr>
        <w:t>9</w:t>
      </w:r>
      <w:r w:rsidR="00167BA0">
        <w:t>.</w:t>
      </w:r>
      <w:r w:rsidR="00167BA0">
        <w:rPr>
          <w:noProof/>
        </w:rPr>
        <w:t>10</w:t>
      </w:r>
      <w:r>
        <w:fldChar w:fldCharType="end"/>
      </w:r>
      <w:r w:rsidR="00D903F2">
        <w:t xml:space="preserve"> </w:t>
      </w:r>
      <w:r w:rsidR="00564F69">
        <w:t xml:space="preserve">presents PEPA Aged Care placements by </w:t>
      </w:r>
      <w:r w:rsidR="00D22F95">
        <w:t xml:space="preserve">jurisdiction and </w:t>
      </w:r>
      <w:r w:rsidR="00564F69">
        <w:t>financial year.</w:t>
      </w:r>
    </w:p>
    <w:p w14:paraId="395E2357" w14:textId="1260631E" w:rsidR="0034597A" w:rsidRDefault="0034597A" w:rsidP="0034597A">
      <w:pPr>
        <w:pStyle w:val="Caption"/>
      </w:pPr>
      <w:bookmarkStart w:id="191" w:name="_Ref215039693"/>
      <w:r>
        <w:t xml:space="preserve">Table </w:t>
      </w:r>
      <w:fldSimple w:instr=" STYLEREF 1 \s ">
        <w:r w:rsidR="0091457A">
          <w:rPr>
            <w:noProof/>
          </w:rPr>
          <w:t>9</w:t>
        </w:r>
      </w:fldSimple>
      <w:r w:rsidR="0091457A">
        <w:t>.</w:t>
      </w:r>
      <w:fldSimple w:instr=" SEQ Table \* ARABIC \s 1 ">
        <w:r w:rsidR="0091457A">
          <w:rPr>
            <w:noProof/>
          </w:rPr>
          <w:t>10</w:t>
        </w:r>
      </w:fldSimple>
      <w:bookmarkEnd w:id="191"/>
      <w:r>
        <w:t xml:space="preserve">: </w:t>
      </w:r>
      <w:r w:rsidRPr="001F61AF">
        <w:t xml:space="preserve">PEPA Aged Care </w:t>
      </w:r>
      <w:r>
        <w:t>placements</w:t>
      </w:r>
      <w:r w:rsidRPr="001F61AF">
        <w:t xml:space="preserve"> by financial year and </w:t>
      </w:r>
      <w:r>
        <w:t>jurisdiction</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placements"/>
        <w:tblDescription w:val="Table shows PEPA Aged Care placements by financial year and jurisdiction across four financial years from 2021-22 to 2024-25."/>
      </w:tblPr>
      <w:tblGrid>
        <w:gridCol w:w="1451"/>
        <w:gridCol w:w="776"/>
        <w:gridCol w:w="776"/>
        <w:gridCol w:w="776"/>
        <w:gridCol w:w="776"/>
        <w:gridCol w:w="713"/>
        <w:gridCol w:w="842"/>
        <w:gridCol w:w="1093"/>
      </w:tblGrid>
      <w:tr w:rsidR="0034597A" w14:paraId="48A455E3" w14:textId="77777777" w:rsidTr="00AF34A0">
        <w:trPr>
          <w:cnfStyle w:val="100000000000" w:firstRow="1" w:lastRow="0" w:firstColumn="0" w:lastColumn="0" w:oddVBand="0" w:evenVBand="0" w:oddHBand="0" w:evenHBand="0" w:firstRowFirstColumn="0" w:firstRowLastColumn="0" w:lastRowFirstColumn="0" w:lastRowLastColumn="0"/>
          <w:tblHeader/>
        </w:trPr>
        <w:tc>
          <w:tcPr>
            <w:tcW w:w="0" w:type="auto"/>
          </w:tcPr>
          <w:p w14:paraId="6B7EA5C2" w14:textId="77777777" w:rsidR="0034597A" w:rsidRDefault="0034597A">
            <w:pPr>
              <w:spacing w:before="0" w:after="0"/>
            </w:pPr>
            <w:r>
              <w:t>Jurisdiction</w:t>
            </w:r>
          </w:p>
        </w:tc>
        <w:tc>
          <w:tcPr>
            <w:tcW w:w="0" w:type="auto"/>
          </w:tcPr>
          <w:p w14:paraId="74A9F3F1" w14:textId="77777777" w:rsidR="0034597A" w:rsidRDefault="0034597A">
            <w:pPr>
              <w:spacing w:before="0" w:after="0"/>
              <w:jc w:val="center"/>
            </w:pPr>
            <w:r w:rsidRPr="004D646B">
              <w:t>2021</w:t>
            </w:r>
            <w:r>
              <w:rPr>
                <w:caps w:val="0"/>
              </w:rPr>
              <w:t>–</w:t>
            </w:r>
            <w:r w:rsidRPr="004D646B">
              <w:t>22</w:t>
            </w:r>
          </w:p>
        </w:tc>
        <w:tc>
          <w:tcPr>
            <w:tcW w:w="0" w:type="auto"/>
          </w:tcPr>
          <w:p w14:paraId="3700571E" w14:textId="77777777" w:rsidR="0034597A" w:rsidRDefault="0034597A">
            <w:pPr>
              <w:spacing w:before="0" w:after="0"/>
              <w:jc w:val="center"/>
            </w:pPr>
            <w:r w:rsidRPr="004D646B">
              <w:t>2022</w:t>
            </w:r>
            <w:r>
              <w:rPr>
                <w:caps w:val="0"/>
              </w:rPr>
              <w:t>–</w:t>
            </w:r>
            <w:r w:rsidRPr="004D646B">
              <w:t>23</w:t>
            </w:r>
          </w:p>
        </w:tc>
        <w:tc>
          <w:tcPr>
            <w:tcW w:w="0" w:type="auto"/>
          </w:tcPr>
          <w:p w14:paraId="231AE966" w14:textId="77777777" w:rsidR="0034597A" w:rsidRDefault="0034597A">
            <w:pPr>
              <w:spacing w:before="0" w:after="0"/>
              <w:jc w:val="center"/>
            </w:pPr>
            <w:r w:rsidRPr="004D646B">
              <w:t>2023</w:t>
            </w:r>
            <w:r>
              <w:rPr>
                <w:caps w:val="0"/>
              </w:rPr>
              <w:t>–</w:t>
            </w:r>
            <w:r w:rsidRPr="004D646B">
              <w:t>24</w:t>
            </w:r>
          </w:p>
        </w:tc>
        <w:tc>
          <w:tcPr>
            <w:tcW w:w="0" w:type="auto"/>
          </w:tcPr>
          <w:p w14:paraId="5A78BD2D" w14:textId="77777777" w:rsidR="0034597A" w:rsidRDefault="0034597A">
            <w:pPr>
              <w:spacing w:before="0" w:after="0"/>
              <w:jc w:val="center"/>
            </w:pPr>
            <w:r w:rsidRPr="004D646B">
              <w:t>2024</w:t>
            </w:r>
            <w:r>
              <w:rPr>
                <w:caps w:val="0"/>
              </w:rPr>
              <w:t>–</w:t>
            </w:r>
            <w:r w:rsidRPr="004D646B">
              <w:t>25</w:t>
            </w:r>
          </w:p>
        </w:tc>
        <w:tc>
          <w:tcPr>
            <w:tcW w:w="0" w:type="auto"/>
          </w:tcPr>
          <w:p w14:paraId="64FE605B" w14:textId="77777777" w:rsidR="0034597A" w:rsidRDefault="0034597A">
            <w:pPr>
              <w:spacing w:before="0" w:after="0"/>
              <w:jc w:val="center"/>
            </w:pPr>
            <w:r w:rsidRPr="004D646B">
              <w:t>Total</w:t>
            </w:r>
          </w:p>
        </w:tc>
        <w:tc>
          <w:tcPr>
            <w:tcW w:w="0" w:type="auto"/>
          </w:tcPr>
          <w:p w14:paraId="0DC36A50" w14:textId="77777777" w:rsidR="0034597A" w:rsidRDefault="0034597A">
            <w:pPr>
              <w:spacing w:before="0" w:after="0"/>
              <w:jc w:val="center"/>
            </w:pPr>
            <w:r w:rsidRPr="004D646B">
              <w:t>%</w:t>
            </w:r>
          </w:p>
        </w:tc>
        <w:tc>
          <w:tcPr>
            <w:tcW w:w="0" w:type="auto"/>
          </w:tcPr>
          <w:p w14:paraId="1CD23E14" w14:textId="77777777" w:rsidR="0034597A" w:rsidRPr="004D646B" w:rsidRDefault="0034597A">
            <w:pPr>
              <w:spacing w:before="0" w:after="0"/>
              <w:jc w:val="center"/>
            </w:pPr>
            <w:r>
              <w:t xml:space="preserve">National data </w:t>
            </w:r>
          </w:p>
        </w:tc>
      </w:tr>
      <w:tr w:rsidR="0034597A" w14:paraId="71A68E62"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637FD063" w14:textId="77777777" w:rsidR="0034597A" w:rsidRDefault="0034597A">
            <w:pPr>
              <w:pStyle w:val="TableText"/>
            </w:pPr>
            <w:r>
              <w:t>Victoria</w:t>
            </w:r>
          </w:p>
        </w:tc>
        <w:tc>
          <w:tcPr>
            <w:tcW w:w="0" w:type="auto"/>
          </w:tcPr>
          <w:p w14:paraId="396A4786" w14:textId="77777777" w:rsidR="0034597A" w:rsidRPr="008C6866" w:rsidRDefault="0034597A">
            <w:pPr>
              <w:pStyle w:val="TableText"/>
              <w:jc w:val="center"/>
            </w:pPr>
            <w:r w:rsidRPr="008C6866">
              <w:t>1</w:t>
            </w:r>
          </w:p>
        </w:tc>
        <w:tc>
          <w:tcPr>
            <w:tcW w:w="0" w:type="auto"/>
          </w:tcPr>
          <w:p w14:paraId="3D46A630" w14:textId="77777777" w:rsidR="0034597A" w:rsidRPr="008C6866" w:rsidRDefault="0034597A">
            <w:pPr>
              <w:pStyle w:val="TableText"/>
              <w:jc w:val="center"/>
            </w:pPr>
            <w:r w:rsidRPr="008C6866">
              <w:t>35</w:t>
            </w:r>
          </w:p>
        </w:tc>
        <w:tc>
          <w:tcPr>
            <w:tcW w:w="0" w:type="auto"/>
          </w:tcPr>
          <w:p w14:paraId="5A62565A" w14:textId="77777777" w:rsidR="0034597A" w:rsidRPr="008C6866" w:rsidRDefault="0034597A">
            <w:pPr>
              <w:pStyle w:val="TableText"/>
              <w:jc w:val="center"/>
            </w:pPr>
            <w:r w:rsidRPr="008C6866">
              <w:t>49</w:t>
            </w:r>
          </w:p>
        </w:tc>
        <w:tc>
          <w:tcPr>
            <w:tcW w:w="0" w:type="auto"/>
          </w:tcPr>
          <w:p w14:paraId="0997AF83" w14:textId="77777777" w:rsidR="0034597A" w:rsidRPr="008C6866" w:rsidRDefault="0034597A">
            <w:pPr>
              <w:pStyle w:val="TableText"/>
              <w:jc w:val="center"/>
            </w:pPr>
            <w:r w:rsidRPr="008C6866">
              <w:t>60</w:t>
            </w:r>
          </w:p>
        </w:tc>
        <w:tc>
          <w:tcPr>
            <w:tcW w:w="0" w:type="auto"/>
          </w:tcPr>
          <w:p w14:paraId="1B34EEE3" w14:textId="77777777" w:rsidR="0034597A" w:rsidRPr="008C6866" w:rsidRDefault="0034597A">
            <w:pPr>
              <w:pStyle w:val="TableText"/>
              <w:jc w:val="center"/>
            </w:pPr>
            <w:r w:rsidRPr="008C6866">
              <w:t>145</w:t>
            </w:r>
          </w:p>
        </w:tc>
        <w:tc>
          <w:tcPr>
            <w:tcW w:w="0" w:type="auto"/>
          </w:tcPr>
          <w:p w14:paraId="58BD3A14" w14:textId="77777777" w:rsidR="0034597A" w:rsidRPr="008C6866" w:rsidRDefault="0034597A">
            <w:pPr>
              <w:pStyle w:val="TableText"/>
              <w:jc w:val="center"/>
            </w:pPr>
            <w:r w:rsidRPr="008C6866">
              <w:t>30.8%</w:t>
            </w:r>
          </w:p>
        </w:tc>
        <w:tc>
          <w:tcPr>
            <w:tcW w:w="0" w:type="auto"/>
          </w:tcPr>
          <w:p w14:paraId="6E69F345" w14:textId="77777777" w:rsidR="0034597A" w:rsidRPr="008C6866" w:rsidRDefault="0034597A">
            <w:pPr>
              <w:pStyle w:val="TableText"/>
              <w:jc w:val="center"/>
            </w:pPr>
            <w:r>
              <w:t>24.5%</w:t>
            </w:r>
          </w:p>
        </w:tc>
      </w:tr>
      <w:tr w:rsidR="0034597A" w14:paraId="2990D24E"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tcPr>
          <w:p w14:paraId="1DB12A3C" w14:textId="77777777" w:rsidR="0034597A" w:rsidRDefault="0034597A">
            <w:pPr>
              <w:pStyle w:val="TableText"/>
            </w:pPr>
            <w:r>
              <w:t>New South Wales</w:t>
            </w:r>
          </w:p>
        </w:tc>
        <w:tc>
          <w:tcPr>
            <w:tcW w:w="0" w:type="auto"/>
          </w:tcPr>
          <w:p w14:paraId="30ADF12D" w14:textId="77777777" w:rsidR="0034597A" w:rsidRPr="008C6866" w:rsidRDefault="0034597A">
            <w:pPr>
              <w:pStyle w:val="TableText"/>
              <w:jc w:val="center"/>
            </w:pPr>
            <w:r w:rsidRPr="008C6866">
              <w:t>1</w:t>
            </w:r>
          </w:p>
        </w:tc>
        <w:tc>
          <w:tcPr>
            <w:tcW w:w="0" w:type="auto"/>
          </w:tcPr>
          <w:p w14:paraId="1C0A19BA" w14:textId="77777777" w:rsidR="0034597A" w:rsidRPr="008C6866" w:rsidRDefault="0034597A">
            <w:pPr>
              <w:pStyle w:val="TableText"/>
              <w:jc w:val="center"/>
            </w:pPr>
            <w:r w:rsidRPr="008C6866">
              <w:t>15</w:t>
            </w:r>
          </w:p>
        </w:tc>
        <w:tc>
          <w:tcPr>
            <w:tcW w:w="0" w:type="auto"/>
          </w:tcPr>
          <w:p w14:paraId="4A89A7E5" w14:textId="77777777" w:rsidR="0034597A" w:rsidRPr="008C6866" w:rsidRDefault="0034597A">
            <w:pPr>
              <w:pStyle w:val="TableText"/>
              <w:jc w:val="center"/>
            </w:pPr>
            <w:r w:rsidRPr="008C6866">
              <w:t>50</w:t>
            </w:r>
          </w:p>
        </w:tc>
        <w:tc>
          <w:tcPr>
            <w:tcW w:w="0" w:type="auto"/>
          </w:tcPr>
          <w:p w14:paraId="1DFAE64B" w14:textId="77777777" w:rsidR="0034597A" w:rsidRPr="008C6866" w:rsidRDefault="0034597A">
            <w:pPr>
              <w:pStyle w:val="TableText"/>
              <w:jc w:val="center"/>
            </w:pPr>
            <w:r w:rsidRPr="008C6866">
              <w:t>40</w:t>
            </w:r>
          </w:p>
        </w:tc>
        <w:tc>
          <w:tcPr>
            <w:tcW w:w="0" w:type="auto"/>
          </w:tcPr>
          <w:p w14:paraId="3D618684" w14:textId="77777777" w:rsidR="0034597A" w:rsidRPr="008C6866" w:rsidRDefault="0034597A">
            <w:pPr>
              <w:pStyle w:val="TableText"/>
              <w:jc w:val="center"/>
            </w:pPr>
            <w:r w:rsidRPr="008C6866">
              <w:t>106</w:t>
            </w:r>
          </w:p>
        </w:tc>
        <w:tc>
          <w:tcPr>
            <w:tcW w:w="0" w:type="auto"/>
          </w:tcPr>
          <w:p w14:paraId="6172436D" w14:textId="77777777" w:rsidR="0034597A" w:rsidRPr="008C6866" w:rsidRDefault="0034597A">
            <w:pPr>
              <w:pStyle w:val="TableText"/>
              <w:jc w:val="center"/>
            </w:pPr>
            <w:r w:rsidRPr="008C6866">
              <w:t>22.5%</w:t>
            </w:r>
          </w:p>
        </w:tc>
        <w:tc>
          <w:tcPr>
            <w:tcW w:w="0" w:type="auto"/>
          </w:tcPr>
          <w:p w14:paraId="7791A5C1" w14:textId="77777777" w:rsidR="0034597A" w:rsidRPr="008C6866" w:rsidRDefault="0034597A">
            <w:pPr>
              <w:pStyle w:val="TableText"/>
              <w:jc w:val="center"/>
            </w:pPr>
            <w:r>
              <w:t>32.0%</w:t>
            </w:r>
          </w:p>
        </w:tc>
      </w:tr>
      <w:tr w:rsidR="0034597A" w14:paraId="7193639E"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33E0B11C" w14:textId="77777777" w:rsidR="0034597A" w:rsidRDefault="0034597A">
            <w:pPr>
              <w:pStyle w:val="TableText"/>
            </w:pPr>
            <w:r>
              <w:t>Queensland</w:t>
            </w:r>
          </w:p>
        </w:tc>
        <w:tc>
          <w:tcPr>
            <w:tcW w:w="0" w:type="auto"/>
          </w:tcPr>
          <w:p w14:paraId="4DF7508B" w14:textId="77777777" w:rsidR="0034597A" w:rsidRPr="008C6866" w:rsidRDefault="0034597A">
            <w:pPr>
              <w:pStyle w:val="TableText"/>
              <w:jc w:val="center"/>
            </w:pPr>
            <w:r w:rsidRPr="008C6866">
              <w:t>15</w:t>
            </w:r>
          </w:p>
        </w:tc>
        <w:tc>
          <w:tcPr>
            <w:tcW w:w="0" w:type="auto"/>
          </w:tcPr>
          <w:p w14:paraId="23D9C861" w14:textId="77777777" w:rsidR="0034597A" w:rsidRPr="008C6866" w:rsidRDefault="0034597A">
            <w:pPr>
              <w:pStyle w:val="TableText"/>
              <w:jc w:val="center"/>
            </w:pPr>
            <w:r w:rsidRPr="008C6866">
              <w:t>53</w:t>
            </w:r>
          </w:p>
        </w:tc>
        <w:tc>
          <w:tcPr>
            <w:tcW w:w="0" w:type="auto"/>
          </w:tcPr>
          <w:p w14:paraId="74E8E995" w14:textId="77777777" w:rsidR="0034597A" w:rsidRPr="008C6866" w:rsidRDefault="0034597A">
            <w:pPr>
              <w:pStyle w:val="TableText"/>
              <w:jc w:val="center"/>
            </w:pPr>
            <w:r w:rsidRPr="008C6866">
              <w:t>26</w:t>
            </w:r>
          </w:p>
        </w:tc>
        <w:tc>
          <w:tcPr>
            <w:tcW w:w="0" w:type="auto"/>
          </w:tcPr>
          <w:p w14:paraId="2655E9BF" w14:textId="77777777" w:rsidR="0034597A" w:rsidRPr="008C6866" w:rsidRDefault="0034597A">
            <w:pPr>
              <w:pStyle w:val="TableText"/>
              <w:jc w:val="center"/>
            </w:pPr>
            <w:r w:rsidRPr="008C6866">
              <w:t>24</w:t>
            </w:r>
          </w:p>
        </w:tc>
        <w:tc>
          <w:tcPr>
            <w:tcW w:w="0" w:type="auto"/>
          </w:tcPr>
          <w:p w14:paraId="48F51E86" w14:textId="77777777" w:rsidR="0034597A" w:rsidRPr="008C6866" w:rsidRDefault="0034597A">
            <w:pPr>
              <w:pStyle w:val="TableText"/>
              <w:jc w:val="center"/>
            </w:pPr>
            <w:r w:rsidRPr="008C6866">
              <w:t>118</w:t>
            </w:r>
          </w:p>
        </w:tc>
        <w:tc>
          <w:tcPr>
            <w:tcW w:w="0" w:type="auto"/>
          </w:tcPr>
          <w:p w14:paraId="7EA0E839" w14:textId="77777777" w:rsidR="0034597A" w:rsidRPr="008C6866" w:rsidRDefault="0034597A">
            <w:pPr>
              <w:pStyle w:val="TableText"/>
              <w:jc w:val="center"/>
            </w:pPr>
            <w:r w:rsidRPr="008C6866">
              <w:t>25.1%</w:t>
            </w:r>
          </w:p>
        </w:tc>
        <w:tc>
          <w:tcPr>
            <w:tcW w:w="0" w:type="auto"/>
          </w:tcPr>
          <w:p w14:paraId="7DF9C1F9" w14:textId="77777777" w:rsidR="0034597A" w:rsidRPr="008C6866" w:rsidRDefault="0034597A">
            <w:pPr>
              <w:pStyle w:val="TableText"/>
              <w:jc w:val="center"/>
            </w:pPr>
            <w:r>
              <w:t>20.0%</w:t>
            </w:r>
          </w:p>
        </w:tc>
      </w:tr>
      <w:tr w:rsidR="0034597A" w14:paraId="6099C336"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tcPr>
          <w:p w14:paraId="3E618F79" w14:textId="77777777" w:rsidR="0034597A" w:rsidRDefault="0034597A">
            <w:pPr>
              <w:pStyle w:val="TableText"/>
            </w:pPr>
            <w:r>
              <w:t>Western Australia</w:t>
            </w:r>
          </w:p>
        </w:tc>
        <w:tc>
          <w:tcPr>
            <w:tcW w:w="0" w:type="auto"/>
          </w:tcPr>
          <w:p w14:paraId="3FC9DE2A" w14:textId="77777777" w:rsidR="0034597A" w:rsidRPr="008C6866" w:rsidRDefault="0034597A">
            <w:pPr>
              <w:pStyle w:val="TableText"/>
              <w:jc w:val="center"/>
            </w:pPr>
            <w:r w:rsidRPr="008C6866">
              <w:t>0</w:t>
            </w:r>
          </w:p>
        </w:tc>
        <w:tc>
          <w:tcPr>
            <w:tcW w:w="0" w:type="auto"/>
          </w:tcPr>
          <w:p w14:paraId="3E5CB67E" w14:textId="77777777" w:rsidR="0034597A" w:rsidRPr="008C6866" w:rsidRDefault="0034597A">
            <w:pPr>
              <w:pStyle w:val="TableText"/>
              <w:jc w:val="center"/>
            </w:pPr>
            <w:r w:rsidRPr="008C6866">
              <w:t>8</w:t>
            </w:r>
          </w:p>
        </w:tc>
        <w:tc>
          <w:tcPr>
            <w:tcW w:w="0" w:type="auto"/>
          </w:tcPr>
          <w:p w14:paraId="05D1D353" w14:textId="77777777" w:rsidR="0034597A" w:rsidRPr="008C6866" w:rsidRDefault="0034597A">
            <w:pPr>
              <w:pStyle w:val="TableText"/>
              <w:jc w:val="center"/>
            </w:pPr>
            <w:r w:rsidRPr="008C6866">
              <w:t>26</w:t>
            </w:r>
          </w:p>
        </w:tc>
        <w:tc>
          <w:tcPr>
            <w:tcW w:w="0" w:type="auto"/>
          </w:tcPr>
          <w:p w14:paraId="5DA4B892" w14:textId="77777777" w:rsidR="0034597A" w:rsidRPr="008C6866" w:rsidRDefault="0034597A">
            <w:pPr>
              <w:pStyle w:val="TableText"/>
              <w:jc w:val="center"/>
            </w:pPr>
            <w:r w:rsidRPr="008C6866">
              <w:t>14</w:t>
            </w:r>
          </w:p>
        </w:tc>
        <w:tc>
          <w:tcPr>
            <w:tcW w:w="0" w:type="auto"/>
          </w:tcPr>
          <w:p w14:paraId="13499355" w14:textId="77777777" w:rsidR="0034597A" w:rsidRPr="008C6866" w:rsidRDefault="0034597A">
            <w:pPr>
              <w:pStyle w:val="TableText"/>
              <w:jc w:val="center"/>
            </w:pPr>
            <w:r w:rsidRPr="008C6866">
              <w:t>48</w:t>
            </w:r>
          </w:p>
        </w:tc>
        <w:tc>
          <w:tcPr>
            <w:tcW w:w="0" w:type="auto"/>
          </w:tcPr>
          <w:p w14:paraId="08A5D2A3" w14:textId="77777777" w:rsidR="0034597A" w:rsidRPr="008C6866" w:rsidRDefault="0034597A">
            <w:pPr>
              <w:pStyle w:val="TableText"/>
              <w:jc w:val="center"/>
            </w:pPr>
            <w:r w:rsidRPr="008C6866">
              <w:t>10.2%</w:t>
            </w:r>
          </w:p>
        </w:tc>
        <w:tc>
          <w:tcPr>
            <w:tcW w:w="0" w:type="auto"/>
          </w:tcPr>
          <w:p w14:paraId="5C8E77E0" w14:textId="77777777" w:rsidR="0034597A" w:rsidRPr="008C6866" w:rsidRDefault="0034597A">
            <w:pPr>
              <w:pStyle w:val="TableText"/>
              <w:jc w:val="center"/>
            </w:pPr>
            <w:r>
              <w:t>8.5%</w:t>
            </w:r>
          </w:p>
        </w:tc>
      </w:tr>
      <w:tr w:rsidR="0034597A" w14:paraId="55B84184"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05E2CB9B" w14:textId="77777777" w:rsidR="0034597A" w:rsidRDefault="0034597A">
            <w:pPr>
              <w:pStyle w:val="TableText"/>
            </w:pPr>
            <w:r>
              <w:t>South Australia</w:t>
            </w:r>
          </w:p>
        </w:tc>
        <w:tc>
          <w:tcPr>
            <w:tcW w:w="0" w:type="auto"/>
          </w:tcPr>
          <w:p w14:paraId="68A9BCBE" w14:textId="77777777" w:rsidR="0034597A" w:rsidRPr="008C6866" w:rsidRDefault="0034597A">
            <w:pPr>
              <w:pStyle w:val="TableText"/>
              <w:jc w:val="center"/>
            </w:pPr>
            <w:r w:rsidRPr="008C6866">
              <w:t>1</w:t>
            </w:r>
          </w:p>
        </w:tc>
        <w:tc>
          <w:tcPr>
            <w:tcW w:w="0" w:type="auto"/>
          </w:tcPr>
          <w:p w14:paraId="52BAB125" w14:textId="77777777" w:rsidR="0034597A" w:rsidRPr="008C6866" w:rsidRDefault="0034597A">
            <w:pPr>
              <w:pStyle w:val="TableText"/>
              <w:jc w:val="center"/>
            </w:pPr>
            <w:r w:rsidRPr="008C6866">
              <w:t>3</w:t>
            </w:r>
          </w:p>
        </w:tc>
        <w:tc>
          <w:tcPr>
            <w:tcW w:w="0" w:type="auto"/>
          </w:tcPr>
          <w:p w14:paraId="5F2AB666" w14:textId="77777777" w:rsidR="0034597A" w:rsidRPr="008C6866" w:rsidRDefault="0034597A">
            <w:pPr>
              <w:pStyle w:val="TableText"/>
              <w:jc w:val="center"/>
            </w:pPr>
            <w:r w:rsidRPr="008C6866">
              <w:t>5</w:t>
            </w:r>
          </w:p>
        </w:tc>
        <w:tc>
          <w:tcPr>
            <w:tcW w:w="0" w:type="auto"/>
          </w:tcPr>
          <w:p w14:paraId="04A45EB8" w14:textId="77777777" w:rsidR="0034597A" w:rsidRPr="008C6866" w:rsidRDefault="0034597A">
            <w:pPr>
              <w:pStyle w:val="TableText"/>
              <w:jc w:val="center"/>
            </w:pPr>
            <w:r w:rsidRPr="008C6866">
              <w:t>9</w:t>
            </w:r>
          </w:p>
        </w:tc>
        <w:tc>
          <w:tcPr>
            <w:tcW w:w="0" w:type="auto"/>
          </w:tcPr>
          <w:p w14:paraId="30D26F65" w14:textId="77777777" w:rsidR="0034597A" w:rsidRPr="008C6866" w:rsidRDefault="0034597A">
            <w:pPr>
              <w:pStyle w:val="TableText"/>
              <w:jc w:val="center"/>
            </w:pPr>
            <w:r w:rsidRPr="008C6866">
              <w:t>18</w:t>
            </w:r>
          </w:p>
        </w:tc>
        <w:tc>
          <w:tcPr>
            <w:tcW w:w="0" w:type="auto"/>
          </w:tcPr>
          <w:p w14:paraId="14083229" w14:textId="77777777" w:rsidR="0034597A" w:rsidRPr="008C6866" w:rsidRDefault="0034597A">
            <w:pPr>
              <w:pStyle w:val="TableText"/>
              <w:jc w:val="center"/>
            </w:pPr>
            <w:r w:rsidRPr="008C6866">
              <w:t>3.8%</w:t>
            </w:r>
          </w:p>
        </w:tc>
        <w:tc>
          <w:tcPr>
            <w:tcW w:w="0" w:type="auto"/>
          </w:tcPr>
          <w:p w14:paraId="197918C7" w14:textId="77777777" w:rsidR="0034597A" w:rsidRPr="008C6866" w:rsidRDefault="0034597A">
            <w:pPr>
              <w:pStyle w:val="TableText"/>
              <w:jc w:val="center"/>
            </w:pPr>
            <w:r>
              <w:t>8.7%</w:t>
            </w:r>
          </w:p>
        </w:tc>
      </w:tr>
      <w:tr w:rsidR="0034597A" w14:paraId="46E665A3"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tcPr>
          <w:p w14:paraId="18B639C6" w14:textId="77777777" w:rsidR="0034597A" w:rsidRDefault="0034597A">
            <w:pPr>
              <w:pStyle w:val="TableText"/>
            </w:pPr>
            <w:r>
              <w:t>Australian Capital Territory</w:t>
            </w:r>
          </w:p>
        </w:tc>
        <w:tc>
          <w:tcPr>
            <w:tcW w:w="0" w:type="auto"/>
          </w:tcPr>
          <w:p w14:paraId="21D32C16" w14:textId="77777777" w:rsidR="0034597A" w:rsidRPr="008C6866" w:rsidRDefault="0034597A">
            <w:pPr>
              <w:pStyle w:val="TableText"/>
              <w:jc w:val="center"/>
            </w:pPr>
            <w:r w:rsidRPr="008C6866">
              <w:t>0</w:t>
            </w:r>
          </w:p>
        </w:tc>
        <w:tc>
          <w:tcPr>
            <w:tcW w:w="0" w:type="auto"/>
          </w:tcPr>
          <w:p w14:paraId="3D4F0296" w14:textId="77777777" w:rsidR="0034597A" w:rsidRPr="008C6866" w:rsidRDefault="0034597A">
            <w:pPr>
              <w:pStyle w:val="TableText"/>
              <w:jc w:val="center"/>
            </w:pPr>
            <w:r w:rsidRPr="008C6866">
              <w:t>4</w:t>
            </w:r>
          </w:p>
        </w:tc>
        <w:tc>
          <w:tcPr>
            <w:tcW w:w="0" w:type="auto"/>
          </w:tcPr>
          <w:p w14:paraId="1B230FFB" w14:textId="77777777" w:rsidR="0034597A" w:rsidRPr="008C6866" w:rsidRDefault="0034597A">
            <w:pPr>
              <w:pStyle w:val="TableText"/>
              <w:jc w:val="center"/>
            </w:pPr>
            <w:r w:rsidRPr="008C6866">
              <w:t>5</w:t>
            </w:r>
          </w:p>
        </w:tc>
        <w:tc>
          <w:tcPr>
            <w:tcW w:w="0" w:type="auto"/>
          </w:tcPr>
          <w:p w14:paraId="2B28E1B5" w14:textId="77777777" w:rsidR="0034597A" w:rsidRPr="008C6866" w:rsidRDefault="0034597A">
            <w:pPr>
              <w:pStyle w:val="TableText"/>
              <w:jc w:val="center"/>
            </w:pPr>
            <w:r w:rsidRPr="008C6866">
              <w:t>3</w:t>
            </w:r>
          </w:p>
        </w:tc>
        <w:tc>
          <w:tcPr>
            <w:tcW w:w="0" w:type="auto"/>
          </w:tcPr>
          <w:p w14:paraId="5A67A835" w14:textId="77777777" w:rsidR="0034597A" w:rsidRPr="008C6866" w:rsidRDefault="0034597A">
            <w:pPr>
              <w:pStyle w:val="TableText"/>
              <w:jc w:val="center"/>
            </w:pPr>
            <w:r w:rsidRPr="008C6866">
              <w:t>12</w:t>
            </w:r>
          </w:p>
        </w:tc>
        <w:tc>
          <w:tcPr>
            <w:tcW w:w="0" w:type="auto"/>
          </w:tcPr>
          <w:p w14:paraId="55ACCFB8" w14:textId="77777777" w:rsidR="0034597A" w:rsidRPr="008C6866" w:rsidRDefault="0034597A">
            <w:pPr>
              <w:pStyle w:val="TableText"/>
              <w:jc w:val="center"/>
            </w:pPr>
            <w:r w:rsidRPr="008C6866">
              <w:t>2.5%</w:t>
            </w:r>
          </w:p>
        </w:tc>
        <w:tc>
          <w:tcPr>
            <w:tcW w:w="0" w:type="auto"/>
          </w:tcPr>
          <w:p w14:paraId="61A9B735" w14:textId="77777777" w:rsidR="0034597A" w:rsidRPr="008C6866" w:rsidRDefault="0034597A">
            <w:pPr>
              <w:pStyle w:val="TableText"/>
              <w:jc w:val="center"/>
            </w:pPr>
            <w:r>
              <w:t>1.3%</w:t>
            </w:r>
          </w:p>
        </w:tc>
      </w:tr>
      <w:tr w:rsidR="0034597A" w14:paraId="6BAC128A"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0FD601F3" w14:textId="77777777" w:rsidR="0034597A" w:rsidRDefault="0034597A">
            <w:pPr>
              <w:pStyle w:val="TableText"/>
            </w:pPr>
            <w:r>
              <w:t>Northern Territory</w:t>
            </w:r>
          </w:p>
        </w:tc>
        <w:tc>
          <w:tcPr>
            <w:tcW w:w="0" w:type="auto"/>
          </w:tcPr>
          <w:p w14:paraId="201571B0" w14:textId="77777777" w:rsidR="0034597A" w:rsidRPr="008C6866" w:rsidRDefault="0034597A">
            <w:pPr>
              <w:pStyle w:val="TableText"/>
              <w:jc w:val="center"/>
            </w:pPr>
            <w:r w:rsidRPr="008C6866">
              <w:t>2</w:t>
            </w:r>
          </w:p>
        </w:tc>
        <w:tc>
          <w:tcPr>
            <w:tcW w:w="0" w:type="auto"/>
          </w:tcPr>
          <w:p w14:paraId="71B73F6E" w14:textId="77777777" w:rsidR="0034597A" w:rsidRPr="008C6866" w:rsidRDefault="0034597A">
            <w:pPr>
              <w:pStyle w:val="TableText"/>
              <w:jc w:val="center"/>
            </w:pPr>
            <w:r w:rsidRPr="008C6866">
              <w:t>5</w:t>
            </w:r>
          </w:p>
        </w:tc>
        <w:tc>
          <w:tcPr>
            <w:tcW w:w="0" w:type="auto"/>
          </w:tcPr>
          <w:p w14:paraId="1E095EA4" w14:textId="77777777" w:rsidR="0034597A" w:rsidRPr="008C6866" w:rsidRDefault="0034597A">
            <w:pPr>
              <w:pStyle w:val="TableText"/>
              <w:jc w:val="center"/>
            </w:pPr>
            <w:r w:rsidRPr="008C6866">
              <w:t>1</w:t>
            </w:r>
          </w:p>
        </w:tc>
        <w:tc>
          <w:tcPr>
            <w:tcW w:w="0" w:type="auto"/>
          </w:tcPr>
          <w:p w14:paraId="688080D5" w14:textId="77777777" w:rsidR="0034597A" w:rsidRPr="008C6866" w:rsidRDefault="0034597A">
            <w:pPr>
              <w:pStyle w:val="TableText"/>
              <w:jc w:val="center"/>
            </w:pPr>
            <w:r w:rsidRPr="008C6866">
              <w:t>8</w:t>
            </w:r>
          </w:p>
        </w:tc>
        <w:tc>
          <w:tcPr>
            <w:tcW w:w="0" w:type="auto"/>
          </w:tcPr>
          <w:p w14:paraId="24DB619E" w14:textId="77777777" w:rsidR="0034597A" w:rsidRPr="008C6866" w:rsidRDefault="0034597A">
            <w:pPr>
              <w:pStyle w:val="TableText"/>
              <w:jc w:val="center"/>
            </w:pPr>
            <w:r w:rsidRPr="008C6866">
              <w:t>16</w:t>
            </w:r>
          </w:p>
        </w:tc>
        <w:tc>
          <w:tcPr>
            <w:tcW w:w="0" w:type="auto"/>
          </w:tcPr>
          <w:p w14:paraId="0F3CB601" w14:textId="77777777" w:rsidR="0034597A" w:rsidRPr="008C6866" w:rsidRDefault="0034597A">
            <w:pPr>
              <w:pStyle w:val="TableText"/>
              <w:jc w:val="center"/>
            </w:pPr>
            <w:r w:rsidRPr="008C6866">
              <w:t>3.4%</w:t>
            </w:r>
          </w:p>
        </w:tc>
        <w:tc>
          <w:tcPr>
            <w:tcW w:w="0" w:type="auto"/>
          </w:tcPr>
          <w:p w14:paraId="271F0268" w14:textId="77777777" w:rsidR="0034597A" w:rsidRPr="008C6866" w:rsidRDefault="0034597A">
            <w:pPr>
              <w:pStyle w:val="TableText"/>
              <w:jc w:val="center"/>
            </w:pPr>
            <w:r>
              <w:t>2.0%</w:t>
            </w:r>
          </w:p>
        </w:tc>
      </w:tr>
      <w:tr w:rsidR="0034597A" w14:paraId="6473EC8B"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tcPr>
          <w:p w14:paraId="43503244" w14:textId="77777777" w:rsidR="0034597A" w:rsidRDefault="0034597A">
            <w:pPr>
              <w:pStyle w:val="TableText"/>
            </w:pPr>
            <w:r>
              <w:t>Tasmania</w:t>
            </w:r>
          </w:p>
        </w:tc>
        <w:tc>
          <w:tcPr>
            <w:tcW w:w="0" w:type="auto"/>
          </w:tcPr>
          <w:p w14:paraId="76A53789" w14:textId="77777777" w:rsidR="0034597A" w:rsidRPr="008C6866" w:rsidRDefault="0034597A">
            <w:pPr>
              <w:pStyle w:val="TableText"/>
              <w:jc w:val="center"/>
            </w:pPr>
            <w:r w:rsidRPr="008C6866">
              <w:t>0</w:t>
            </w:r>
          </w:p>
        </w:tc>
        <w:tc>
          <w:tcPr>
            <w:tcW w:w="0" w:type="auto"/>
          </w:tcPr>
          <w:p w14:paraId="3B5084FF" w14:textId="77777777" w:rsidR="0034597A" w:rsidRPr="008C6866" w:rsidRDefault="0034597A">
            <w:pPr>
              <w:pStyle w:val="TableText"/>
              <w:jc w:val="center"/>
            </w:pPr>
            <w:r w:rsidRPr="008C6866">
              <w:t>7</w:t>
            </w:r>
          </w:p>
        </w:tc>
        <w:tc>
          <w:tcPr>
            <w:tcW w:w="0" w:type="auto"/>
          </w:tcPr>
          <w:p w14:paraId="1B0AF8CA" w14:textId="77777777" w:rsidR="0034597A" w:rsidRPr="008C6866" w:rsidRDefault="0034597A">
            <w:pPr>
              <w:pStyle w:val="TableText"/>
              <w:jc w:val="center"/>
            </w:pPr>
            <w:r w:rsidRPr="008C6866">
              <w:t>1</w:t>
            </w:r>
          </w:p>
        </w:tc>
        <w:tc>
          <w:tcPr>
            <w:tcW w:w="0" w:type="auto"/>
          </w:tcPr>
          <w:p w14:paraId="0EF7222C" w14:textId="77777777" w:rsidR="0034597A" w:rsidRPr="008C6866" w:rsidRDefault="0034597A">
            <w:pPr>
              <w:pStyle w:val="TableText"/>
              <w:jc w:val="center"/>
            </w:pPr>
            <w:r w:rsidRPr="008C6866">
              <w:t>0</w:t>
            </w:r>
          </w:p>
        </w:tc>
        <w:tc>
          <w:tcPr>
            <w:tcW w:w="0" w:type="auto"/>
          </w:tcPr>
          <w:p w14:paraId="39E69BB8" w14:textId="77777777" w:rsidR="0034597A" w:rsidRPr="008C6866" w:rsidRDefault="0034597A">
            <w:pPr>
              <w:pStyle w:val="TableText"/>
              <w:jc w:val="center"/>
            </w:pPr>
            <w:r w:rsidRPr="008C6866">
              <w:t>8</w:t>
            </w:r>
          </w:p>
        </w:tc>
        <w:tc>
          <w:tcPr>
            <w:tcW w:w="0" w:type="auto"/>
          </w:tcPr>
          <w:p w14:paraId="5EF0C25A" w14:textId="77777777" w:rsidR="0034597A" w:rsidRPr="008C6866" w:rsidRDefault="0034597A">
            <w:pPr>
              <w:pStyle w:val="TableText"/>
              <w:jc w:val="center"/>
            </w:pPr>
            <w:r w:rsidRPr="008C6866">
              <w:t>1.7%</w:t>
            </w:r>
          </w:p>
        </w:tc>
        <w:tc>
          <w:tcPr>
            <w:tcW w:w="0" w:type="auto"/>
          </w:tcPr>
          <w:p w14:paraId="555CCEBC" w14:textId="77777777" w:rsidR="0034597A" w:rsidRPr="008C6866" w:rsidRDefault="0034597A">
            <w:pPr>
              <w:pStyle w:val="TableText"/>
              <w:jc w:val="center"/>
            </w:pPr>
            <w:r>
              <w:t>2.9%</w:t>
            </w:r>
          </w:p>
        </w:tc>
      </w:tr>
      <w:tr w:rsidR="0034597A" w:rsidRPr="00867C35" w14:paraId="0010CC3E"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shd w:val="clear" w:color="auto" w:fill="DCDCDF" w:themeFill="text2" w:themeFillTint="33"/>
          </w:tcPr>
          <w:p w14:paraId="4E468010" w14:textId="77777777" w:rsidR="0034597A" w:rsidRPr="00867C35" w:rsidRDefault="0034597A">
            <w:pPr>
              <w:spacing w:before="0" w:after="0"/>
              <w:rPr>
                <w:rFonts w:asciiTheme="majorHAnsi" w:hAnsiTheme="majorHAnsi"/>
              </w:rPr>
            </w:pPr>
            <w:r w:rsidRPr="00867C35">
              <w:rPr>
                <w:rFonts w:asciiTheme="majorHAnsi" w:hAnsiTheme="majorHAnsi" w:cs="Arial"/>
                <w:color w:val="000000"/>
                <w:szCs w:val="20"/>
                <w:lang w:eastAsia="en-AU"/>
              </w:rPr>
              <w:t>Total</w:t>
            </w:r>
          </w:p>
        </w:tc>
        <w:tc>
          <w:tcPr>
            <w:tcW w:w="0" w:type="auto"/>
            <w:shd w:val="clear" w:color="auto" w:fill="DCDCDF" w:themeFill="text2" w:themeFillTint="33"/>
          </w:tcPr>
          <w:p w14:paraId="01ABD16A" w14:textId="77777777" w:rsidR="0034597A" w:rsidRPr="00867C35" w:rsidRDefault="0034597A">
            <w:pPr>
              <w:pStyle w:val="TableText"/>
              <w:jc w:val="center"/>
              <w:rPr>
                <w:rFonts w:asciiTheme="majorHAnsi" w:hAnsiTheme="majorHAnsi"/>
              </w:rPr>
            </w:pPr>
            <w:r w:rsidRPr="00867C35">
              <w:rPr>
                <w:rFonts w:asciiTheme="majorHAnsi" w:hAnsiTheme="majorHAnsi"/>
              </w:rPr>
              <w:t>20</w:t>
            </w:r>
          </w:p>
        </w:tc>
        <w:tc>
          <w:tcPr>
            <w:tcW w:w="0" w:type="auto"/>
            <w:shd w:val="clear" w:color="auto" w:fill="DCDCDF" w:themeFill="text2" w:themeFillTint="33"/>
          </w:tcPr>
          <w:p w14:paraId="378D7CB1" w14:textId="77777777" w:rsidR="0034597A" w:rsidRPr="00867C35" w:rsidRDefault="0034597A">
            <w:pPr>
              <w:pStyle w:val="TableText"/>
              <w:jc w:val="center"/>
              <w:rPr>
                <w:rFonts w:asciiTheme="majorHAnsi" w:hAnsiTheme="majorHAnsi"/>
              </w:rPr>
            </w:pPr>
            <w:r w:rsidRPr="00867C35">
              <w:rPr>
                <w:rFonts w:asciiTheme="majorHAnsi" w:hAnsiTheme="majorHAnsi"/>
              </w:rPr>
              <w:t>130</w:t>
            </w:r>
          </w:p>
        </w:tc>
        <w:tc>
          <w:tcPr>
            <w:tcW w:w="0" w:type="auto"/>
            <w:shd w:val="clear" w:color="auto" w:fill="DCDCDF" w:themeFill="text2" w:themeFillTint="33"/>
          </w:tcPr>
          <w:p w14:paraId="49F55A16" w14:textId="77777777" w:rsidR="0034597A" w:rsidRPr="00867C35" w:rsidRDefault="0034597A">
            <w:pPr>
              <w:pStyle w:val="TableText"/>
              <w:jc w:val="center"/>
              <w:rPr>
                <w:rFonts w:asciiTheme="majorHAnsi" w:hAnsiTheme="majorHAnsi"/>
              </w:rPr>
            </w:pPr>
            <w:r w:rsidRPr="00867C35">
              <w:rPr>
                <w:rFonts w:asciiTheme="majorHAnsi" w:hAnsiTheme="majorHAnsi"/>
              </w:rPr>
              <w:t>163</w:t>
            </w:r>
          </w:p>
        </w:tc>
        <w:tc>
          <w:tcPr>
            <w:tcW w:w="0" w:type="auto"/>
            <w:shd w:val="clear" w:color="auto" w:fill="DCDCDF" w:themeFill="text2" w:themeFillTint="33"/>
          </w:tcPr>
          <w:p w14:paraId="648DC8EB" w14:textId="77777777" w:rsidR="0034597A" w:rsidRPr="00867C35" w:rsidRDefault="0034597A">
            <w:pPr>
              <w:pStyle w:val="TableText"/>
              <w:jc w:val="center"/>
              <w:rPr>
                <w:rFonts w:asciiTheme="majorHAnsi" w:hAnsiTheme="majorHAnsi"/>
              </w:rPr>
            </w:pPr>
            <w:r w:rsidRPr="00867C35">
              <w:rPr>
                <w:rFonts w:asciiTheme="majorHAnsi" w:hAnsiTheme="majorHAnsi"/>
              </w:rPr>
              <w:t>158</w:t>
            </w:r>
          </w:p>
        </w:tc>
        <w:tc>
          <w:tcPr>
            <w:tcW w:w="0" w:type="auto"/>
            <w:shd w:val="clear" w:color="auto" w:fill="DCDCDF" w:themeFill="text2" w:themeFillTint="33"/>
          </w:tcPr>
          <w:p w14:paraId="2E61D1CA" w14:textId="77777777" w:rsidR="0034597A" w:rsidRPr="00867C35" w:rsidRDefault="0034597A">
            <w:pPr>
              <w:pStyle w:val="TableText"/>
              <w:jc w:val="center"/>
              <w:rPr>
                <w:rFonts w:asciiTheme="majorHAnsi" w:hAnsiTheme="majorHAnsi"/>
              </w:rPr>
            </w:pPr>
            <w:r w:rsidRPr="00867C35">
              <w:rPr>
                <w:rFonts w:asciiTheme="majorHAnsi" w:hAnsiTheme="majorHAnsi"/>
              </w:rPr>
              <w:t>471</w:t>
            </w:r>
          </w:p>
        </w:tc>
        <w:tc>
          <w:tcPr>
            <w:tcW w:w="0" w:type="auto"/>
            <w:shd w:val="clear" w:color="auto" w:fill="DCDCDF" w:themeFill="text2" w:themeFillTint="33"/>
          </w:tcPr>
          <w:p w14:paraId="79B9F3DE" w14:textId="77777777" w:rsidR="0034597A" w:rsidRPr="00867C35" w:rsidRDefault="0034597A">
            <w:pPr>
              <w:spacing w:before="0" w:after="0"/>
              <w:jc w:val="center"/>
              <w:rPr>
                <w:rFonts w:asciiTheme="majorHAnsi" w:hAnsiTheme="majorHAnsi"/>
              </w:rPr>
            </w:pPr>
            <w:r w:rsidRPr="00867C35">
              <w:rPr>
                <w:rFonts w:asciiTheme="majorHAnsi" w:hAnsiTheme="majorHAnsi" w:cs="Arial"/>
                <w:szCs w:val="20"/>
                <w:lang w:eastAsia="en-AU"/>
              </w:rPr>
              <w:t>100.0%</w:t>
            </w:r>
          </w:p>
        </w:tc>
        <w:tc>
          <w:tcPr>
            <w:tcW w:w="0" w:type="auto"/>
            <w:shd w:val="clear" w:color="auto" w:fill="DCDCDF" w:themeFill="text2" w:themeFillTint="33"/>
          </w:tcPr>
          <w:p w14:paraId="6DCD8268" w14:textId="77777777" w:rsidR="0034597A" w:rsidRPr="00867C35" w:rsidRDefault="0034597A">
            <w:pPr>
              <w:spacing w:before="0" w:after="0"/>
              <w:jc w:val="center"/>
              <w:rPr>
                <w:rFonts w:asciiTheme="majorHAnsi" w:hAnsiTheme="majorHAnsi" w:cs="Arial"/>
                <w:szCs w:val="20"/>
                <w:lang w:eastAsia="en-AU"/>
              </w:rPr>
            </w:pPr>
            <w:r>
              <w:rPr>
                <w:rFonts w:asciiTheme="majorHAnsi" w:hAnsiTheme="majorHAnsi" w:cs="Arial"/>
                <w:szCs w:val="20"/>
                <w:lang w:eastAsia="en-AU"/>
              </w:rPr>
              <w:t>100.0%</w:t>
            </w:r>
          </w:p>
        </w:tc>
      </w:tr>
    </w:tbl>
    <w:p w14:paraId="0C0DDA30" w14:textId="2F4838C4" w:rsidR="006473E7" w:rsidRDefault="006473E7" w:rsidP="006473E7">
      <w:pPr>
        <w:pStyle w:val="Tablenotes"/>
        <w:spacing w:after="0"/>
      </w:pPr>
      <w:r>
        <w:t>Notes: Th</w:t>
      </w:r>
      <w:r w:rsidR="00841C65">
        <w:t>ese data</w:t>
      </w:r>
      <w:r>
        <w:t xml:space="preserve"> capture the number of placements delivered (n=471) rather than placement sites (n=425).</w:t>
      </w:r>
    </w:p>
    <w:p w14:paraId="1F780EC3" w14:textId="14C94C5D" w:rsidR="0034597A" w:rsidRPr="00362F97" w:rsidRDefault="0034597A" w:rsidP="006473E7">
      <w:pPr>
        <w:pStyle w:val="Tablenotes"/>
        <w:spacing w:before="0"/>
      </w:pPr>
      <w:r w:rsidRPr="00362F97">
        <w:t>Source: PEPA Aged Care program data provided by QUT, September 2025, GEN Aged Care data 202</w:t>
      </w:r>
      <w:r>
        <w:t>5</w:t>
      </w:r>
      <w:r w:rsidRPr="00362F97">
        <w:t>.</w:t>
      </w:r>
    </w:p>
    <w:p w14:paraId="4929E7A6" w14:textId="5B0AD5FA" w:rsidR="0034597A" w:rsidRDefault="00D71036" w:rsidP="0034597A">
      <w:r>
        <w:fldChar w:fldCharType="begin"/>
      </w:r>
      <w:r>
        <w:instrText xml:space="preserve"> REF _Ref215039697 \h </w:instrText>
      </w:r>
      <w:r>
        <w:fldChar w:fldCharType="separate"/>
      </w:r>
      <w:r w:rsidR="00167BA0">
        <w:t xml:space="preserve">Table </w:t>
      </w:r>
      <w:r w:rsidR="00167BA0">
        <w:rPr>
          <w:noProof/>
        </w:rPr>
        <w:t>9</w:t>
      </w:r>
      <w:r w:rsidR="00167BA0">
        <w:t>.</w:t>
      </w:r>
      <w:r w:rsidR="00167BA0">
        <w:rPr>
          <w:noProof/>
        </w:rPr>
        <w:t>11</w:t>
      </w:r>
      <w:r>
        <w:fldChar w:fldCharType="end"/>
      </w:r>
      <w:r w:rsidR="00D434A4">
        <w:t xml:space="preserve"> shows the distribution of PEPA Aged Care placements by remoteness and financial year.</w:t>
      </w:r>
    </w:p>
    <w:p w14:paraId="4AF9D7F1" w14:textId="06E2DE9B" w:rsidR="0034597A" w:rsidRDefault="0034597A" w:rsidP="0034597A">
      <w:pPr>
        <w:pStyle w:val="Caption"/>
      </w:pPr>
      <w:bookmarkStart w:id="192" w:name="_Ref215039697"/>
      <w:r>
        <w:t xml:space="preserve">Table </w:t>
      </w:r>
      <w:fldSimple w:instr=" STYLEREF 1 \s ">
        <w:r w:rsidR="0091457A">
          <w:rPr>
            <w:noProof/>
          </w:rPr>
          <w:t>9</w:t>
        </w:r>
      </w:fldSimple>
      <w:r w:rsidR="0091457A">
        <w:t>.</w:t>
      </w:r>
      <w:fldSimple w:instr=" SEQ Table \* ARABIC \s 1 ">
        <w:r w:rsidR="0091457A">
          <w:rPr>
            <w:noProof/>
          </w:rPr>
          <w:t>11</w:t>
        </w:r>
      </w:fldSimple>
      <w:bookmarkEnd w:id="192"/>
      <w:r>
        <w:t xml:space="preserve">: </w:t>
      </w:r>
      <w:r w:rsidRPr="007C5ECB">
        <w:t xml:space="preserve">PEPA Aged Care </w:t>
      </w:r>
      <w:r>
        <w:t>placements</w:t>
      </w:r>
      <w:r w:rsidRPr="007C5ECB">
        <w:t xml:space="preserve"> by financial year and </w:t>
      </w:r>
      <w:r>
        <w:t>remoteness</w:t>
      </w:r>
    </w:p>
    <w:tbl>
      <w:tblPr>
        <w:tblStyle w:val="HMAdefaulttable"/>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distribution"/>
        <w:tblDescription w:val="Table shows PEPA Aged Care placements by remoteness and financial year across four financial years from 2021-22 to 2024-25."/>
      </w:tblPr>
      <w:tblGrid>
        <w:gridCol w:w="631"/>
        <w:gridCol w:w="972"/>
        <w:gridCol w:w="971"/>
        <w:gridCol w:w="972"/>
        <w:gridCol w:w="972"/>
        <w:gridCol w:w="748"/>
        <w:gridCol w:w="887"/>
        <w:gridCol w:w="1050"/>
      </w:tblGrid>
      <w:tr w:rsidR="0034597A" w14:paraId="1BB0FC74" w14:textId="77777777" w:rsidTr="00AF34A0">
        <w:trPr>
          <w:cnfStyle w:val="100000000000" w:firstRow="1" w:lastRow="0" w:firstColumn="0" w:lastColumn="0" w:oddVBand="0" w:evenVBand="0" w:oddHBand="0" w:evenHBand="0" w:firstRowFirstColumn="0" w:firstRowLastColumn="0" w:lastRowFirstColumn="0" w:lastRowLastColumn="0"/>
          <w:tblHeader/>
        </w:trPr>
        <w:tc>
          <w:tcPr>
            <w:tcW w:w="437" w:type="pct"/>
          </w:tcPr>
          <w:p w14:paraId="6DDE183B" w14:textId="77777777" w:rsidR="0034597A" w:rsidRDefault="0034597A">
            <w:pPr>
              <w:spacing w:before="0" w:after="0"/>
            </w:pPr>
            <w:r>
              <w:t>MM</w:t>
            </w:r>
          </w:p>
        </w:tc>
        <w:tc>
          <w:tcPr>
            <w:tcW w:w="674" w:type="pct"/>
          </w:tcPr>
          <w:p w14:paraId="7C548DE9" w14:textId="77777777" w:rsidR="0034597A" w:rsidRDefault="0034597A">
            <w:pPr>
              <w:spacing w:before="0" w:after="0"/>
              <w:jc w:val="center"/>
            </w:pPr>
            <w:r w:rsidRPr="004D646B">
              <w:t>2021</w:t>
            </w:r>
            <w:r>
              <w:rPr>
                <w:caps w:val="0"/>
              </w:rPr>
              <w:t>–</w:t>
            </w:r>
            <w:r w:rsidRPr="004D646B">
              <w:t>22</w:t>
            </w:r>
          </w:p>
        </w:tc>
        <w:tc>
          <w:tcPr>
            <w:tcW w:w="674" w:type="pct"/>
          </w:tcPr>
          <w:p w14:paraId="52D514DC" w14:textId="77777777" w:rsidR="0034597A" w:rsidRDefault="0034597A">
            <w:pPr>
              <w:spacing w:before="0" w:after="0"/>
              <w:jc w:val="center"/>
            </w:pPr>
            <w:r w:rsidRPr="004D646B">
              <w:t>2022</w:t>
            </w:r>
            <w:r>
              <w:rPr>
                <w:caps w:val="0"/>
              </w:rPr>
              <w:t>–</w:t>
            </w:r>
            <w:r w:rsidRPr="004D646B">
              <w:t>23</w:t>
            </w:r>
          </w:p>
        </w:tc>
        <w:tc>
          <w:tcPr>
            <w:tcW w:w="675" w:type="pct"/>
          </w:tcPr>
          <w:p w14:paraId="538E2771" w14:textId="77777777" w:rsidR="0034597A" w:rsidRDefault="0034597A">
            <w:pPr>
              <w:spacing w:before="0" w:after="0"/>
              <w:jc w:val="center"/>
            </w:pPr>
            <w:r w:rsidRPr="004D646B">
              <w:t>2023</w:t>
            </w:r>
            <w:r>
              <w:rPr>
                <w:caps w:val="0"/>
              </w:rPr>
              <w:t>–</w:t>
            </w:r>
            <w:r w:rsidRPr="004D646B">
              <w:t>24</w:t>
            </w:r>
          </w:p>
        </w:tc>
        <w:tc>
          <w:tcPr>
            <w:tcW w:w="675" w:type="pct"/>
          </w:tcPr>
          <w:p w14:paraId="0F8C0CFE" w14:textId="77777777" w:rsidR="0034597A" w:rsidRDefault="0034597A">
            <w:pPr>
              <w:spacing w:before="0" w:after="0"/>
              <w:jc w:val="center"/>
            </w:pPr>
            <w:r w:rsidRPr="004D646B">
              <w:t>2024</w:t>
            </w:r>
            <w:r>
              <w:rPr>
                <w:caps w:val="0"/>
              </w:rPr>
              <w:t>–</w:t>
            </w:r>
            <w:r w:rsidRPr="004D646B">
              <w:t>25</w:t>
            </w:r>
          </w:p>
        </w:tc>
        <w:tc>
          <w:tcPr>
            <w:tcW w:w="519" w:type="pct"/>
          </w:tcPr>
          <w:p w14:paraId="0ADB382E" w14:textId="77777777" w:rsidR="0034597A" w:rsidRDefault="0034597A">
            <w:pPr>
              <w:spacing w:before="0" w:after="0"/>
              <w:jc w:val="center"/>
            </w:pPr>
            <w:r w:rsidRPr="004D646B">
              <w:t>Total</w:t>
            </w:r>
          </w:p>
        </w:tc>
        <w:tc>
          <w:tcPr>
            <w:tcW w:w="616" w:type="pct"/>
          </w:tcPr>
          <w:p w14:paraId="1706F044" w14:textId="77777777" w:rsidR="0034597A" w:rsidRDefault="0034597A">
            <w:pPr>
              <w:spacing w:before="0" w:after="0"/>
              <w:jc w:val="center"/>
            </w:pPr>
            <w:r w:rsidRPr="004D646B">
              <w:t>%</w:t>
            </w:r>
          </w:p>
        </w:tc>
        <w:tc>
          <w:tcPr>
            <w:tcW w:w="728" w:type="pct"/>
          </w:tcPr>
          <w:p w14:paraId="003C12FC" w14:textId="77777777" w:rsidR="0034597A" w:rsidRPr="004D646B" w:rsidRDefault="0034597A">
            <w:pPr>
              <w:spacing w:before="0" w:after="0"/>
              <w:jc w:val="center"/>
            </w:pPr>
            <w:r>
              <w:t>National data</w:t>
            </w:r>
          </w:p>
        </w:tc>
      </w:tr>
      <w:tr w:rsidR="0034597A" w14:paraId="1515F4FC" w14:textId="77777777" w:rsidTr="00AF34A0">
        <w:trPr>
          <w:cnfStyle w:val="000000100000" w:firstRow="0" w:lastRow="0" w:firstColumn="0" w:lastColumn="0" w:oddVBand="0" w:evenVBand="0" w:oddHBand="1" w:evenHBand="0" w:firstRowFirstColumn="0" w:firstRowLastColumn="0" w:lastRowFirstColumn="0" w:lastRowLastColumn="0"/>
        </w:trPr>
        <w:tc>
          <w:tcPr>
            <w:tcW w:w="437" w:type="pct"/>
          </w:tcPr>
          <w:p w14:paraId="6FD1BCBD" w14:textId="77777777" w:rsidR="0034597A" w:rsidRPr="00703468" w:rsidRDefault="0034597A">
            <w:pPr>
              <w:pStyle w:val="TableText"/>
            </w:pPr>
            <w:r w:rsidRPr="00703468">
              <w:t>MM1</w:t>
            </w:r>
          </w:p>
        </w:tc>
        <w:tc>
          <w:tcPr>
            <w:tcW w:w="674" w:type="pct"/>
          </w:tcPr>
          <w:p w14:paraId="5C429BA4" w14:textId="77777777" w:rsidR="0034597A" w:rsidRPr="009A62BC" w:rsidRDefault="0034597A">
            <w:pPr>
              <w:pStyle w:val="TableText"/>
              <w:jc w:val="center"/>
            </w:pPr>
            <w:r w:rsidRPr="009A62BC">
              <w:t>14</w:t>
            </w:r>
          </w:p>
        </w:tc>
        <w:tc>
          <w:tcPr>
            <w:tcW w:w="674" w:type="pct"/>
          </w:tcPr>
          <w:p w14:paraId="0259BB86" w14:textId="77777777" w:rsidR="0034597A" w:rsidRPr="009A62BC" w:rsidRDefault="0034597A">
            <w:pPr>
              <w:pStyle w:val="TableText"/>
              <w:jc w:val="center"/>
            </w:pPr>
            <w:r w:rsidRPr="009A62BC">
              <w:t>76</w:t>
            </w:r>
          </w:p>
        </w:tc>
        <w:tc>
          <w:tcPr>
            <w:tcW w:w="675" w:type="pct"/>
          </w:tcPr>
          <w:p w14:paraId="477BA818" w14:textId="77777777" w:rsidR="0034597A" w:rsidRPr="009A62BC" w:rsidRDefault="0034597A">
            <w:pPr>
              <w:pStyle w:val="TableText"/>
              <w:jc w:val="center"/>
            </w:pPr>
            <w:r w:rsidRPr="009A62BC">
              <w:t>106</w:t>
            </w:r>
          </w:p>
        </w:tc>
        <w:tc>
          <w:tcPr>
            <w:tcW w:w="675" w:type="pct"/>
          </w:tcPr>
          <w:p w14:paraId="6DEC8533" w14:textId="77777777" w:rsidR="0034597A" w:rsidRPr="009A62BC" w:rsidRDefault="0034597A">
            <w:pPr>
              <w:pStyle w:val="TableText"/>
              <w:jc w:val="center"/>
            </w:pPr>
            <w:r w:rsidRPr="009A62BC">
              <w:t>106</w:t>
            </w:r>
          </w:p>
        </w:tc>
        <w:tc>
          <w:tcPr>
            <w:tcW w:w="519" w:type="pct"/>
          </w:tcPr>
          <w:p w14:paraId="25BED643" w14:textId="77777777" w:rsidR="0034597A" w:rsidRPr="009A62BC" w:rsidRDefault="0034597A">
            <w:pPr>
              <w:pStyle w:val="TableText"/>
              <w:jc w:val="center"/>
            </w:pPr>
            <w:r w:rsidRPr="009A62BC">
              <w:t>302</w:t>
            </w:r>
          </w:p>
        </w:tc>
        <w:tc>
          <w:tcPr>
            <w:tcW w:w="616" w:type="pct"/>
          </w:tcPr>
          <w:p w14:paraId="252E8F00" w14:textId="77777777" w:rsidR="0034597A" w:rsidRPr="009A62BC" w:rsidRDefault="0034597A">
            <w:pPr>
              <w:pStyle w:val="TableText"/>
              <w:jc w:val="center"/>
            </w:pPr>
            <w:r w:rsidRPr="009A62BC">
              <w:t>64.1%</w:t>
            </w:r>
          </w:p>
        </w:tc>
        <w:tc>
          <w:tcPr>
            <w:tcW w:w="728" w:type="pct"/>
          </w:tcPr>
          <w:p w14:paraId="0630B17E" w14:textId="77777777" w:rsidR="0034597A" w:rsidRPr="009A62BC" w:rsidRDefault="0034597A">
            <w:pPr>
              <w:pStyle w:val="TableText"/>
              <w:jc w:val="center"/>
            </w:pPr>
            <w:r>
              <w:t>58.6%</w:t>
            </w:r>
          </w:p>
        </w:tc>
      </w:tr>
      <w:tr w:rsidR="0034597A" w14:paraId="25897CC8" w14:textId="77777777" w:rsidTr="00AF34A0">
        <w:trPr>
          <w:cnfStyle w:val="000000010000" w:firstRow="0" w:lastRow="0" w:firstColumn="0" w:lastColumn="0" w:oddVBand="0" w:evenVBand="0" w:oddHBand="0" w:evenHBand="1" w:firstRowFirstColumn="0" w:firstRowLastColumn="0" w:lastRowFirstColumn="0" w:lastRowLastColumn="0"/>
        </w:trPr>
        <w:tc>
          <w:tcPr>
            <w:tcW w:w="437" w:type="pct"/>
          </w:tcPr>
          <w:p w14:paraId="06642298" w14:textId="77777777" w:rsidR="0034597A" w:rsidRPr="00703468" w:rsidRDefault="0034597A">
            <w:pPr>
              <w:pStyle w:val="TableText"/>
            </w:pPr>
            <w:r w:rsidRPr="00703468">
              <w:t>MM2</w:t>
            </w:r>
          </w:p>
        </w:tc>
        <w:tc>
          <w:tcPr>
            <w:tcW w:w="674" w:type="pct"/>
          </w:tcPr>
          <w:p w14:paraId="4A8FD9CA" w14:textId="77777777" w:rsidR="0034597A" w:rsidRPr="009A62BC" w:rsidRDefault="0034597A">
            <w:pPr>
              <w:pStyle w:val="TableText"/>
              <w:jc w:val="center"/>
            </w:pPr>
            <w:r w:rsidRPr="009A62BC">
              <w:t>3</w:t>
            </w:r>
          </w:p>
        </w:tc>
        <w:tc>
          <w:tcPr>
            <w:tcW w:w="674" w:type="pct"/>
          </w:tcPr>
          <w:p w14:paraId="0BA2F98C" w14:textId="77777777" w:rsidR="0034597A" w:rsidRPr="009A62BC" w:rsidRDefault="0034597A">
            <w:pPr>
              <w:pStyle w:val="TableText"/>
              <w:jc w:val="center"/>
            </w:pPr>
            <w:r w:rsidRPr="009A62BC">
              <w:t>12</w:t>
            </w:r>
          </w:p>
        </w:tc>
        <w:tc>
          <w:tcPr>
            <w:tcW w:w="675" w:type="pct"/>
          </w:tcPr>
          <w:p w14:paraId="064C1733" w14:textId="77777777" w:rsidR="0034597A" w:rsidRPr="009A62BC" w:rsidRDefault="0034597A">
            <w:pPr>
              <w:pStyle w:val="TableText"/>
              <w:jc w:val="center"/>
            </w:pPr>
            <w:r w:rsidRPr="009A62BC">
              <w:t>13</w:t>
            </w:r>
          </w:p>
        </w:tc>
        <w:tc>
          <w:tcPr>
            <w:tcW w:w="675" w:type="pct"/>
          </w:tcPr>
          <w:p w14:paraId="3022C0DE" w14:textId="77777777" w:rsidR="0034597A" w:rsidRPr="009A62BC" w:rsidRDefault="0034597A">
            <w:pPr>
              <w:pStyle w:val="TableText"/>
              <w:jc w:val="center"/>
            </w:pPr>
            <w:r w:rsidRPr="009A62BC">
              <w:t>9</w:t>
            </w:r>
          </w:p>
        </w:tc>
        <w:tc>
          <w:tcPr>
            <w:tcW w:w="519" w:type="pct"/>
          </w:tcPr>
          <w:p w14:paraId="404DC71C" w14:textId="77777777" w:rsidR="0034597A" w:rsidRPr="009A62BC" w:rsidRDefault="0034597A">
            <w:pPr>
              <w:pStyle w:val="TableText"/>
              <w:jc w:val="center"/>
            </w:pPr>
            <w:r w:rsidRPr="009A62BC">
              <w:t>37</w:t>
            </w:r>
          </w:p>
        </w:tc>
        <w:tc>
          <w:tcPr>
            <w:tcW w:w="616" w:type="pct"/>
          </w:tcPr>
          <w:p w14:paraId="02DC5B70" w14:textId="77777777" w:rsidR="0034597A" w:rsidRPr="009A62BC" w:rsidRDefault="0034597A">
            <w:pPr>
              <w:pStyle w:val="TableText"/>
              <w:jc w:val="center"/>
            </w:pPr>
            <w:r w:rsidRPr="009A62BC">
              <w:t>7.9%</w:t>
            </w:r>
          </w:p>
        </w:tc>
        <w:tc>
          <w:tcPr>
            <w:tcW w:w="728" w:type="pct"/>
          </w:tcPr>
          <w:p w14:paraId="5AAC7821" w14:textId="77777777" w:rsidR="0034597A" w:rsidRPr="009A62BC" w:rsidRDefault="0034597A">
            <w:pPr>
              <w:pStyle w:val="TableText"/>
              <w:jc w:val="center"/>
            </w:pPr>
            <w:r>
              <w:t>9.1%</w:t>
            </w:r>
          </w:p>
        </w:tc>
      </w:tr>
      <w:tr w:rsidR="0034597A" w14:paraId="4EE68183" w14:textId="77777777" w:rsidTr="00AF34A0">
        <w:trPr>
          <w:cnfStyle w:val="000000100000" w:firstRow="0" w:lastRow="0" w:firstColumn="0" w:lastColumn="0" w:oddVBand="0" w:evenVBand="0" w:oddHBand="1" w:evenHBand="0" w:firstRowFirstColumn="0" w:firstRowLastColumn="0" w:lastRowFirstColumn="0" w:lastRowLastColumn="0"/>
        </w:trPr>
        <w:tc>
          <w:tcPr>
            <w:tcW w:w="437" w:type="pct"/>
          </w:tcPr>
          <w:p w14:paraId="2684D9A0" w14:textId="77777777" w:rsidR="0034597A" w:rsidRPr="00703468" w:rsidRDefault="0034597A">
            <w:pPr>
              <w:pStyle w:val="TableText"/>
            </w:pPr>
            <w:r w:rsidRPr="00703468">
              <w:t>MM3</w:t>
            </w:r>
          </w:p>
        </w:tc>
        <w:tc>
          <w:tcPr>
            <w:tcW w:w="674" w:type="pct"/>
          </w:tcPr>
          <w:p w14:paraId="519DA837" w14:textId="77777777" w:rsidR="0034597A" w:rsidRPr="009A62BC" w:rsidRDefault="0034597A">
            <w:pPr>
              <w:pStyle w:val="TableText"/>
              <w:jc w:val="center"/>
            </w:pPr>
            <w:r w:rsidRPr="009A62BC">
              <w:t>0</w:t>
            </w:r>
          </w:p>
        </w:tc>
        <w:tc>
          <w:tcPr>
            <w:tcW w:w="674" w:type="pct"/>
          </w:tcPr>
          <w:p w14:paraId="284B1EB3" w14:textId="77777777" w:rsidR="0034597A" w:rsidRPr="009A62BC" w:rsidRDefault="0034597A">
            <w:pPr>
              <w:pStyle w:val="TableText"/>
              <w:jc w:val="center"/>
            </w:pPr>
            <w:r w:rsidRPr="009A62BC">
              <w:t>14</w:t>
            </w:r>
          </w:p>
        </w:tc>
        <w:tc>
          <w:tcPr>
            <w:tcW w:w="675" w:type="pct"/>
          </w:tcPr>
          <w:p w14:paraId="64E56EE6" w14:textId="77777777" w:rsidR="0034597A" w:rsidRPr="009A62BC" w:rsidRDefault="0034597A">
            <w:pPr>
              <w:pStyle w:val="TableText"/>
              <w:jc w:val="center"/>
            </w:pPr>
            <w:r w:rsidRPr="009A62BC">
              <w:t>13</w:t>
            </w:r>
          </w:p>
        </w:tc>
        <w:tc>
          <w:tcPr>
            <w:tcW w:w="675" w:type="pct"/>
          </w:tcPr>
          <w:p w14:paraId="50DC5E65" w14:textId="77777777" w:rsidR="0034597A" w:rsidRPr="009A62BC" w:rsidRDefault="0034597A">
            <w:pPr>
              <w:pStyle w:val="TableText"/>
              <w:jc w:val="center"/>
            </w:pPr>
            <w:r w:rsidRPr="009A62BC">
              <w:t>16</w:t>
            </w:r>
          </w:p>
        </w:tc>
        <w:tc>
          <w:tcPr>
            <w:tcW w:w="519" w:type="pct"/>
          </w:tcPr>
          <w:p w14:paraId="311E37A9" w14:textId="77777777" w:rsidR="0034597A" w:rsidRPr="009A62BC" w:rsidRDefault="0034597A">
            <w:pPr>
              <w:pStyle w:val="TableText"/>
              <w:jc w:val="center"/>
            </w:pPr>
            <w:r w:rsidRPr="009A62BC">
              <w:t>43</w:t>
            </w:r>
          </w:p>
        </w:tc>
        <w:tc>
          <w:tcPr>
            <w:tcW w:w="616" w:type="pct"/>
          </w:tcPr>
          <w:p w14:paraId="6F4A289B" w14:textId="77777777" w:rsidR="0034597A" w:rsidRPr="009A62BC" w:rsidRDefault="0034597A">
            <w:pPr>
              <w:pStyle w:val="TableText"/>
              <w:jc w:val="center"/>
            </w:pPr>
            <w:r w:rsidRPr="009A62BC">
              <w:t>9.1%</w:t>
            </w:r>
          </w:p>
        </w:tc>
        <w:tc>
          <w:tcPr>
            <w:tcW w:w="728" w:type="pct"/>
          </w:tcPr>
          <w:p w14:paraId="0B04B6D3" w14:textId="77777777" w:rsidR="0034597A" w:rsidRPr="009A62BC" w:rsidRDefault="0034597A">
            <w:pPr>
              <w:pStyle w:val="TableText"/>
              <w:jc w:val="center"/>
            </w:pPr>
            <w:r>
              <w:t>10.0%</w:t>
            </w:r>
          </w:p>
        </w:tc>
      </w:tr>
      <w:tr w:rsidR="0034597A" w14:paraId="47F40B71" w14:textId="77777777" w:rsidTr="00AF34A0">
        <w:trPr>
          <w:cnfStyle w:val="000000010000" w:firstRow="0" w:lastRow="0" w:firstColumn="0" w:lastColumn="0" w:oddVBand="0" w:evenVBand="0" w:oddHBand="0" w:evenHBand="1" w:firstRowFirstColumn="0" w:firstRowLastColumn="0" w:lastRowFirstColumn="0" w:lastRowLastColumn="0"/>
        </w:trPr>
        <w:tc>
          <w:tcPr>
            <w:tcW w:w="437" w:type="pct"/>
          </w:tcPr>
          <w:p w14:paraId="7C0355A7" w14:textId="77777777" w:rsidR="0034597A" w:rsidRPr="00703468" w:rsidRDefault="0034597A">
            <w:pPr>
              <w:pStyle w:val="TableText"/>
            </w:pPr>
            <w:r w:rsidRPr="00703468">
              <w:t>MM4</w:t>
            </w:r>
          </w:p>
        </w:tc>
        <w:tc>
          <w:tcPr>
            <w:tcW w:w="674" w:type="pct"/>
          </w:tcPr>
          <w:p w14:paraId="26F9EA6B" w14:textId="77777777" w:rsidR="0034597A" w:rsidRPr="009A62BC" w:rsidRDefault="0034597A">
            <w:pPr>
              <w:pStyle w:val="TableText"/>
              <w:jc w:val="center"/>
            </w:pPr>
            <w:r w:rsidRPr="009A62BC">
              <w:t>0</w:t>
            </w:r>
          </w:p>
        </w:tc>
        <w:tc>
          <w:tcPr>
            <w:tcW w:w="674" w:type="pct"/>
          </w:tcPr>
          <w:p w14:paraId="5CA2E35C" w14:textId="77777777" w:rsidR="0034597A" w:rsidRPr="009A62BC" w:rsidRDefault="0034597A">
            <w:pPr>
              <w:pStyle w:val="TableText"/>
              <w:jc w:val="center"/>
            </w:pPr>
            <w:r w:rsidRPr="009A62BC">
              <w:t>6</w:t>
            </w:r>
          </w:p>
        </w:tc>
        <w:tc>
          <w:tcPr>
            <w:tcW w:w="675" w:type="pct"/>
          </w:tcPr>
          <w:p w14:paraId="6FF92E1D" w14:textId="77777777" w:rsidR="0034597A" w:rsidRPr="009A62BC" w:rsidRDefault="0034597A">
            <w:pPr>
              <w:pStyle w:val="TableText"/>
              <w:jc w:val="center"/>
            </w:pPr>
            <w:r w:rsidRPr="009A62BC">
              <w:t>17</w:t>
            </w:r>
          </w:p>
        </w:tc>
        <w:tc>
          <w:tcPr>
            <w:tcW w:w="675" w:type="pct"/>
          </w:tcPr>
          <w:p w14:paraId="456B0BBE" w14:textId="77777777" w:rsidR="0034597A" w:rsidRPr="009A62BC" w:rsidRDefault="0034597A">
            <w:pPr>
              <w:pStyle w:val="TableText"/>
              <w:jc w:val="center"/>
            </w:pPr>
            <w:r w:rsidRPr="009A62BC">
              <w:t>11</w:t>
            </w:r>
          </w:p>
        </w:tc>
        <w:tc>
          <w:tcPr>
            <w:tcW w:w="519" w:type="pct"/>
          </w:tcPr>
          <w:p w14:paraId="36AE3F95" w14:textId="77777777" w:rsidR="0034597A" w:rsidRPr="009A62BC" w:rsidRDefault="0034597A">
            <w:pPr>
              <w:pStyle w:val="TableText"/>
              <w:jc w:val="center"/>
            </w:pPr>
            <w:r w:rsidRPr="009A62BC">
              <w:t>34</w:t>
            </w:r>
          </w:p>
        </w:tc>
        <w:tc>
          <w:tcPr>
            <w:tcW w:w="616" w:type="pct"/>
          </w:tcPr>
          <w:p w14:paraId="55C9FC83" w14:textId="77777777" w:rsidR="0034597A" w:rsidRPr="009A62BC" w:rsidRDefault="0034597A">
            <w:pPr>
              <w:pStyle w:val="TableText"/>
              <w:jc w:val="center"/>
            </w:pPr>
            <w:r w:rsidRPr="009A62BC">
              <w:t>7.2%</w:t>
            </w:r>
          </w:p>
        </w:tc>
        <w:tc>
          <w:tcPr>
            <w:tcW w:w="728" w:type="pct"/>
          </w:tcPr>
          <w:p w14:paraId="40E90F12" w14:textId="77777777" w:rsidR="0034597A" w:rsidRPr="009A62BC" w:rsidRDefault="0034597A">
            <w:pPr>
              <w:pStyle w:val="TableText"/>
              <w:jc w:val="center"/>
            </w:pPr>
            <w:r>
              <w:t>6.7%</w:t>
            </w:r>
          </w:p>
        </w:tc>
      </w:tr>
      <w:tr w:rsidR="0034597A" w14:paraId="5B7566A0" w14:textId="77777777" w:rsidTr="00AF34A0">
        <w:trPr>
          <w:cnfStyle w:val="000000100000" w:firstRow="0" w:lastRow="0" w:firstColumn="0" w:lastColumn="0" w:oddVBand="0" w:evenVBand="0" w:oddHBand="1" w:evenHBand="0" w:firstRowFirstColumn="0" w:firstRowLastColumn="0" w:lastRowFirstColumn="0" w:lastRowLastColumn="0"/>
        </w:trPr>
        <w:tc>
          <w:tcPr>
            <w:tcW w:w="437" w:type="pct"/>
          </w:tcPr>
          <w:p w14:paraId="7867C916" w14:textId="77777777" w:rsidR="0034597A" w:rsidRPr="00703468" w:rsidRDefault="0034597A">
            <w:pPr>
              <w:pStyle w:val="TableText"/>
            </w:pPr>
            <w:r w:rsidRPr="00703468">
              <w:t>MM5</w:t>
            </w:r>
          </w:p>
        </w:tc>
        <w:tc>
          <w:tcPr>
            <w:tcW w:w="674" w:type="pct"/>
          </w:tcPr>
          <w:p w14:paraId="409A456E" w14:textId="77777777" w:rsidR="0034597A" w:rsidRPr="009A62BC" w:rsidRDefault="0034597A">
            <w:pPr>
              <w:pStyle w:val="TableText"/>
              <w:jc w:val="center"/>
            </w:pPr>
            <w:r w:rsidRPr="009A62BC">
              <w:t>1</w:t>
            </w:r>
          </w:p>
        </w:tc>
        <w:tc>
          <w:tcPr>
            <w:tcW w:w="674" w:type="pct"/>
          </w:tcPr>
          <w:p w14:paraId="79667149" w14:textId="77777777" w:rsidR="0034597A" w:rsidRPr="009A62BC" w:rsidRDefault="0034597A">
            <w:pPr>
              <w:pStyle w:val="TableText"/>
              <w:jc w:val="center"/>
            </w:pPr>
            <w:r w:rsidRPr="009A62BC">
              <w:t>14</w:t>
            </w:r>
          </w:p>
        </w:tc>
        <w:tc>
          <w:tcPr>
            <w:tcW w:w="675" w:type="pct"/>
          </w:tcPr>
          <w:p w14:paraId="6A150609" w14:textId="77777777" w:rsidR="0034597A" w:rsidRPr="009A62BC" w:rsidRDefault="0034597A">
            <w:pPr>
              <w:pStyle w:val="TableText"/>
              <w:jc w:val="center"/>
            </w:pPr>
            <w:r w:rsidRPr="009A62BC">
              <w:t>12</w:t>
            </w:r>
          </w:p>
        </w:tc>
        <w:tc>
          <w:tcPr>
            <w:tcW w:w="675" w:type="pct"/>
          </w:tcPr>
          <w:p w14:paraId="439585AC" w14:textId="77777777" w:rsidR="0034597A" w:rsidRPr="009A62BC" w:rsidRDefault="0034597A">
            <w:pPr>
              <w:pStyle w:val="TableText"/>
              <w:jc w:val="center"/>
            </w:pPr>
            <w:r w:rsidRPr="009A62BC">
              <w:t>8</w:t>
            </w:r>
          </w:p>
        </w:tc>
        <w:tc>
          <w:tcPr>
            <w:tcW w:w="519" w:type="pct"/>
          </w:tcPr>
          <w:p w14:paraId="5A3601BB" w14:textId="77777777" w:rsidR="0034597A" w:rsidRPr="009A62BC" w:rsidRDefault="0034597A">
            <w:pPr>
              <w:pStyle w:val="TableText"/>
              <w:jc w:val="center"/>
            </w:pPr>
            <w:r w:rsidRPr="009A62BC">
              <w:t>35</w:t>
            </w:r>
          </w:p>
        </w:tc>
        <w:tc>
          <w:tcPr>
            <w:tcW w:w="616" w:type="pct"/>
          </w:tcPr>
          <w:p w14:paraId="64ED5280" w14:textId="77777777" w:rsidR="0034597A" w:rsidRPr="009A62BC" w:rsidRDefault="0034597A">
            <w:pPr>
              <w:pStyle w:val="TableText"/>
              <w:jc w:val="center"/>
            </w:pPr>
            <w:r w:rsidRPr="009A62BC">
              <w:t>7.4%</w:t>
            </w:r>
          </w:p>
        </w:tc>
        <w:tc>
          <w:tcPr>
            <w:tcW w:w="728" w:type="pct"/>
          </w:tcPr>
          <w:p w14:paraId="7F82E418" w14:textId="77777777" w:rsidR="0034597A" w:rsidRPr="009A62BC" w:rsidRDefault="0034597A">
            <w:pPr>
              <w:pStyle w:val="TableText"/>
              <w:jc w:val="center"/>
            </w:pPr>
            <w:r>
              <w:t>10.5%</w:t>
            </w:r>
          </w:p>
        </w:tc>
      </w:tr>
      <w:tr w:rsidR="0034597A" w14:paraId="2B0F458E" w14:textId="77777777" w:rsidTr="00AF34A0">
        <w:trPr>
          <w:cnfStyle w:val="000000010000" w:firstRow="0" w:lastRow="0" w:firstColumn="0" w:lastColumn="0" w:oddVBand="0" w:evenVBand="0" w:oddHBand="0" w:evenHBand="1" w:firstRowFirstColumn="0" w:firstRowLastColumn="0" w:lastRowFirstColumn="0" w:lastRowLastColumn="0"/>
        </w:trPr>
        <w:tc>
          <w:tcPr>
            <w:tcW w:w="437" w:type="pct"/>
          </w:tcPr>
          <w:p w14:paraId="41EEF658" w14:textId="77777777" w:rsidR="0034597A" w:rsidRPr="00703468" w:rsidRDefault="0034597A">
            <w:pPr>
              <w:pStyle w:val="TableText"/>
            </w:pPr>
            <w:r w:rsidRPr="00703468">
              <w:t>MM6</w:t>
            </w:r>
          </w:p>
        </w:tc>
        <w:tc>
          <w:tcPr>
            <w:tcW w:w="674" w:type="pct"/>
          </w:tcPr>
          <w:p w14:paraId="076D6F3B" w14:textId="77777777" w:rsidR="0034597A" w:rsidRPr="009A62BC" w:rsidRDefault="0034597A">
            <w:pPr>
              <w:pStyle w:val="TableText"/>
              <w:jc w:val="center"/>
            </w:pPr>
            <w:r w:rsidRPr="009A62BC">
              <w:t>0</w:t>
            </w:r>
          </w:p>
        </w:tc>
        <w:tc>
          <w:tcPr>
            <w:tcW w:w="674" w:type="pct"/>
          </w:tcPr>
          <w:p w14:paraId="0C50D512" w14:textId="77777777" w:rsidR="0034597A" w:rsidRPr="009A62BC" w:rsidRDefault="0034597A">
            <w:pPr>
              <w:pStyle w:val="TableText"/>
              <w:jc w:val="center"/>
            </w:pPr>
            <w:r w:rsidRPr="009A62BC">
              <w:t>7</w:t>
            </w:r>
          </w:p>
        </w:tc>
        <w:tc>
          <w:tcPr>
            <w:tcW w:w="675" w:type="pct"/>
          </w:tcPr>
          <w:p w14:paraId="140AD494" w14:textId="77777777" w:rsidR="0034597A" w:rsidRPr="009A62BC" w:rsidRDefault="0034597A">
            <w:pPr>
              <w:pStyle w:val="TableText"/>
              <w:jc w:val="center"/>
            </w:pPr>
            <w:r w:rsidRPr="009A62BC">
              <w:t>2</w:t>
            </w:r>
          </w:p>
        </w:tc>
        <w:tc>
          <w:tcPr>
            <w:tcW w:w="675" w:type="pct"/>
          </w:tcPr>
          <w:p w14:paraId="7E89FEB7" w14:textId="77777777" w:rsidR="0034597A" w:rsidRPr="009A62BC" w:rsidRDefault="0034597A">
            <w:pPr>
              <w:pStyle w:val="TableText"/>
              <w:jc w:val="center"/>
            </w:pPr>
            <w:r w:rsidRPr="009A62BC">
              <w:t>6</w:t>
            </w:r>
          </w:p>
        </w:tc>
        <w:tc>
          <w:tcPr>
            <w:tcW w:w="519" w:type="pct"/>
          </w:tcPr>
          <w:p w14:paraId="0EFDA13A" w14:textId="77777777" w:rsidR="0034597A" w:rsidRPr="009A62BC" w:rsidRDefault="0034597A">
            <w:pPr>
              <w:pStyle w:val="TableText"/>
              <w:jc w:val="center"/>
            </w:pPr>
            <w:r w:rsidRPr="009A62BC">
              <w:t>15</w:t>
            </w:r>
          </w:p>
        </w:tc>
        <w:tc>
          <w:tcPr>
            <w:tcW w:w="616" w:type="pct"/>
          </w:tcPr>
          <w:p w14:paraId="331EF388" w14:textId="77777777" w:rsidR="0034597A" w:rsidRPr="009A62BC" w:rsidRDefault="0034597A">
            <w:pPr>
              <w:pStyle w:val="TableText"/>
              <w:jc w:val="center"/>
            </w:pPr>
            <w:r w:rsidRPr="009A62BC">
              <w:t>3.2%</w:t>
            </w:r>
          </w:p>
        </w:tc>
        <w:tc>
          <w:tcPr>
            <w:tcW w:w="728" w:type="pct"/>
          </w:tcPr>
          <w:p w14:paraId="45716A7E" w14:textId="77777777" w:rsidR="0034597A" w:rsidRPr="009A62BC" w:rsidRDefault="0034597A">
            <w:pPr>
              <w:pStyle w:val="TableText"/>
              <w:jc w:val="center"/>
            </w:pPr>
            <w:r>
              <w:t>2.5%</w:t>
            </w:r>
          </w:p>
        </w:tc>
      </w:tr>
      <w:tr w:rsidR="0034597A" w14:paraId="6AA64CBA" w14:textId="77777777" w:rsidTr="00AF34A0">
        <w:trPr>
          <w:cnfStyle w:val="000000100000" w:firstRow="0" w:lastRow="0" w:firstColumn="0" w:lastColumn="0" w:oddVBand="0" w:evenVBand="0" w:oddHBand="1" w:evenHBand="0" w:firstRowFirstColumn="0" w:firstRowLastColumn="0" w:lastRowFirstColumn="0" w:lastRowLastColumn="0"/>
        </w:trPr>
        <w:tc>
          <w:tcPr>
            <w:tcW w:w="437" w:type="pct"/>
          </w:tcPr>
          <w:p w14:paraId="03EC3401" w14:textId="77777777" w:rsidR="0034597A" w:rsidRPr="00703468" w:rsidRDefault="0034597A">
            <w:pPr>
              <w:pStyle w:val="TableText"/>
            </w:pPr>
            <w:r w:rsidRPr="00703468">
              <w:t>MM7</w:t>
            </w:r>
          </w:p>
        </w:tc>
        <w:tc>
          <w:tcPr>
            <w:tcW w:w="674" w:type="pct"/>
          </w:tcPr>
          <w:p w14:paraId="1793AE8E" w14:textId="77777777" w:rsidR="0034597A" w:rsidRPr="009A62BC" w:rsidRDefault="0034597A">
            <w:pPr>
              <w:pStyle w:val="TableText"/>
              <w:jc w:val="center"/>
            </w:pPr>
            <w:r w:rsidRPr="009A62BC">
              <w:t>2</w:t>
            </w:r>
          </w:p>
        </w:tc>
        <w:tc>
          <w:tcPr>
            <w:tcW w:w="674" w:type="pct"/>
          </w:tcPr>
          <w:p w14:paraId="179C4D2A" w14:textId="77777777" w:rsidR="0034597A" w:rsidRPr="009A62BC" w:rsidRDefault="0034597A">
            <w:pPr>
              <w:pStyle w:val="TableText"/>
              <w:jc w:val="center"/>
            </w:pPr>
            <w:r w:rsidRPr="009A62BC">
              <w:t>1</w:t>
            </w:r>
          </w:p>
        </w:tc>
        <w:tc>
          <w:tcPr>
            <w:tcW w:w="675" w:type="pct"/>
          </w:tcPr>
          <w:p w14:paraId="6248F3FC" w14:textId="77777777" w:rsidR="0034597A" w:rsidRPr="009A62BC" w:rsidRDefault="0034597A">
            <w:pPr>
              <w:pStyle w:val="TableText"/>
              <w:jc w:val="center"/>
            </w:pPr>
            <w:r w:rsidRPr="009A62BC">
              <w:t>0</w:t>
            </w:r>
          </w:p>
        </w:tc>
        <w:tc>
          <w:tcPr>
            <w:tcW w:w="675" w:type="pct"/>
          </w:tcPr>
          <w:p w14:paraId="23C4FF70" w14:textId="77777777" w:rsidR="0034597A" w:rsidRPr="009A62BC" w:rsidRDefault="0034597A">
            <w:pPr>
              <w:pStyle w:val="TableText"/>
              <w:jc w:val="center"/>
            </w:pPr>
            <w:r w:rsidRPr="009A62BC">
              <w:t>2</w:t>
            </w:r>
          </w:p>
        </w:tc>
        <w:tc>
          <w:tcPr>
            <w:tcW w:w="519" w:type="pct"/>
          </w:tcPr>
          <w:p w14:paraId="57882CF3" w14:textId="77777777" w:rsidR="0034597A" w:rsidRPr="009A62BC" w:rsidRDefault="0034597A">
            <w:pPr>
              <w:pStyle w:val="TableText"/>
              <w:jc w:val="center"/>
            </w:pPr>
            <w:r w:rsidRPr="009A62BC">
              <w:t>5</w:t>
            </w:r>
          </w:p>
        </w:tc>
        <w:tc>
          <w:tcPr>
            <w:tcW w:w="616" w:type="pct"/>
          </w:tcPr>
          <w:p w14:paraId="1E314823" w14:textId="77777777" w:rsidR="0034597A" w:rsidRPr="009A62BC" w:rsidRDefault="0034597A">
            <w:pPr>
              <w:pStyle w:val="TableText"/>
              <w:jc w:val="center"/>
            </w:pPr>
            <w:r w:rsidRPr="009A62BC">
              <w:t>1.1%</w:t>
            </w:r>
          </w:p>
        </w:tc>
        <w:tc>
          <w:tcPr>
            <w:tcW w:w="728" w:type="pct"/>
          </w:tcPr>
          <w:p w14:paraId="63A922BB" w14:textId="77777777" w:rsidR="0034597A" w:rsidRPr="009A62BC" w:rsidRDefault="0034597A">
            <w:pPr>
              <w:pStyle w:val="TableText"/>
              <w:jc w:val="center"/>
            </w:pPr>
            <w:r>
              <w:t>2.6%</w:t>
            </w:r>
          </w:p>
        </w:tc>
      </w:tr>
      <w:tr w:rsidR="0034597A" w14:paraId="49D12EA2" w14:textId="77777777" w:rsidTr="00AF34A0">
        <w:trPr>
          <w:cnfStyle w:val="000000010000" w:firstRow="0" w:lastRow="0" w:firstColumn="0" w:lastColumn="0" w:oddVBand="0" w:evenVBand="0" w:oddHBand="0" w:evenHBand="1" w:firstRowFirstColumn="0" w:firstRowLastColumn="0" w:lastRowFirstColumn="0" w:lastRowLastColumn="0"/>
        </w:trPr>
        <w:tc>
          <w:tcPr>
            <w:tcW w:w="437" w:type="pct"/>
            <w:shd w:val="clear" w:color="auto" w:fill="DCDCDF" w:themeFill="text2" w:themeFillTint="33"/>
          </w:tcPr>
          <w:p w14:paraId="08DA71E3" w14:textId="77777777" w:rsidR="0034597A" w:rsidRDefault="0034597A">
            <w:pPr>
              <w:spacing w:before="0" w:after="0"/>
            </w:pPr>
            <w:r w:rsidRPr="00867C35">
              <w:rPr>
                <w:rFonts w:asciiTheme="majorHAnsi" w:hAnsiTheme="majorHAnsi" w:cs="Arial"/>
                <w:color w:val="000000"/>
                <w:szCs w:val="20"/>
                <w:lang w:eastAsia="en-AU"/>
              </w:rPr>
              <w:t>Total</w:t>
            </w:r>
          </w:p>
        </w:tc>
        <w:tc>
          <w:tcPr>
            <w:tcW w:w="674" w:type="pct"/>
            <w:shd w:val="clear" w:color="auto" w:fill="DCDCDF" w:themeFill="text2" w:themeFillTint="33"/>
          </w:tcPr>
          <w:p w14:paraId="3F4FBDAC" w14:textId="77777777" w:rsidR="0034597A" w:rsidRDefault="0034597A">
            <w:pPr>
              <w:spacing w:before="0" w:after="0"/>
              <w:jc w:val="center"/>
            </w:pPr>
            <w:r w:rsidRPr="00867C35">
              <w:rPr>
                <w:rFonts w:asciiTheme="majorHAnsi" w:hAnsiTheme="majorHAnsi"/>
              </w:rPr>
              <w:t>20</w:t>
            </w:r>
          </w:p>
        </w:tc>
        <w:tc>
          <w:tcPr>
            <w:tcW w:w="674" w:type="pct"/>
            <w:shd w:val="clear" w:color="auto" w:fill="DCDCDF" w:themeFill="text2" w:themeFillTint="33"/>
          </w:tcPr>
          <w:p w14:paraId="712C4FC4" w14:textId="77777777" w:rsidR="0034597A" w:rsidRDefault="0034597A">
            <w:pPr>
              <w:spacing w:before="0" w:after="0"/>
              <w:jc w:val="center"/>
            </w:pPr>
            <w:r w:rsidRPr="00867C35">
              <w:rPr>
                <w:rFonts w:asciiTheme="majorHAnsi" w:hAnsiTheme="majorHAnsi"/>
              </w:rPr>
              <w:t>130</w:t>
            </w:r>
          </w:p>
        </w:tc>
        <w:tc>
          <w:tcPr>
            <w:tcW w:w="675" w:type="pct"/>
            <w:shd w:val="clear" w:color="auto" w:fill="DCDCDF" w:themeFill="text2" w:themeFillTint="33"/>
          </w:tcPr>
          <w:p w14:paraId="4BFCFBB4" w14:textId="77777777" w:rsidR="0034597A" w:rsidRDefault="0034597A">
            <w:pPr>
              <w:spacing w:before="0" w:after="0"/>
              <w:jc w:val="center"/>
            </w:pPr>
            <w:r w:rsidRPr="00867C35">
              <w:rPr>
                <w:rFonts w:asciiTheme="majorHAnsi" w:hAnsiTheme="majorHAnsi"/>
              </w:rPr>
              <w:t>163</w:t>
            </w:r>
          </w:p>
        </w:tc>
        <w:tc>
          <w:tcPr>
            <w:tcW w:w="675" w:type="pct"/>
            <w:shd w:val="clear" w:color="auto" w:fill="DCDCDF" w:themeFill="text2" w:themeFillTint="33"/>
          </w:tcPr>
          <w:p w14:paraId="4350F8A4" w14:textId="77777777" w:rsidR="0034597A" w:rsidRDefault="0034597A">
            <w:pPr>
              <w:spacing w:before="0" w:after="0"/>
              <w:jc w:val="center"/>
            </w:pPr>
            <w:r w:rsidRPr="00867C35">
              <w:rPr>
                <w:rFonts w:asciiTheme="majorHAnsi" w:hAnsiTheme="majorHAnsi"/>
              </w:rPr>
              <w:t>158</w:t>
            </w:r>
          </w:p>
        </w:tc>
        <w:tc>
          <w:tcPr>
            <w:tcW w:w="519" w:type="pct"/>
            <w:shd w:val="clear" w:color="auto" w:fill="DCDCDF" w:themeFill="text2" w:themeFillTint="33"/>
          </w:tcPr>
          <w:p w14:paraId="145F73AA" w14:textId="77777777" w:rsidR="0034597A" w:rsidRDefault="0034597A">
            <w:pPr>
              <w:spacing w:before="0" w:after="0"/>
              <w:jc w:val="center"/>
            </w:pPr>
            <w:r w:rsidRPr="00867C35">
              <w:rPr>
                <w:rFonts w:asciiTheme="majorHAnsi" w:hAnsiTheme="majorHAnsi"/>
              </w:rPr>
              <w:t>471</w:t>
            </w:r>
          </w:p>
        </w:tc>
        <w:tc>
          <w:tcPr>
            <w:tcW w:w="616" w:type="pct"/>
            <w:shd w:val="clear" w:color="auto" w:fill="DCDCDF" w:themeFill="text2" w:themeFillTint="33"/>
          </w:tcPr>
          <w:p w14:paraId="2CE4EA32" w14:textId="77777777" w:rsidR="0034597A" w:rsidRDefault="0034597A">
            <w:pPr>
              <w:spacing w:before="0" w:after="0"/>
              <w:jc w:val="center"/>
            </w:pPr>
            <w:r w:rsidRPr="00867C35">
              <w:rPr>
                <w:rFonts w:asciiTheme="majorHAnsi" w:hAnsiTheme="majorHAnsi" w:cs="Arial"/>
                <w:szCs w:val="20"/>
                <w:lang w:eastAsia="en-AU"/>
              </w:rPr>
              <w:t>100.0%</w:t>
            </w:r>
          </w:p>
        </w:tc>
        <w:tc>
          <w:tcPr>
            <w:tcW w:w="728" w:type="pct"/>
            <w:shd w:val="clear" w:color="auto" w:fill="DCDCDF" w:themeFill="text2" w:themeFillTint="33"/>
          </w:tcPr>
          <w:p w14:paraId="64F944CC" w14:textId="77777777" w:rsidR="0034597A" w:rsidRPr="00867C35" w:rsidRDefault="0034597A">
            <w:pPr>
              <w:spacing w:before="0" w:after="0"/>
              <w:jc w:val="center"/>
              <w:rPr>
                <w:rFonts w:asciiTheme="majorHAnsi" w:hAnsiTheme="majorHAnsi" w:cs="Arial"/>
                <w:szCs w:val="20"/>
                <w:lang w:eastAsia="en-AU"/>
              </w:rPr>
            </w:pPr>
            <w:r>
              <w:rPr>
                <w:rFonts w:asciiTheme="majorHAnsi" w:hAnsiTheme="majorHAnsi" w:cs="Arial"/>
                <w:szCs w:val="20"/>
                <w:lang w:eastAsia="en-AU"/>
              </w:rPr>
              <w:t>100.0%</w:t>
            </w:r>
          </w:p>
        </w:tc>
      </w:tr>
    </w:tbl>
    <w:p w14:paraId="4AF3E62F" w14:textId="5043271D" w:rsidR="008E7EA0" w:rsidRDefault="008E7EA0" w:rsidP="008E7EA0">
      <w:pPr>
        <w:pStyle w:val="Tablenotes"/>
        <w:spacing w:after="0"/>
      </w:pPr>
      <w:r>
        <w:t>Notes: Th</w:t>
      </w:r>
      <w:r w:rsidR="00841C65">
        <w:t>ese</w:t>
      </w:r>
      <w:r>
        <w:t xml:space="preserve"> data capture the number of placements delivered (n=471) rather than placement sites (n=425).</w:t>
      </w:r>
    </w:p>
    <w:p w14:paraId="78F6E599" w14:textId="30B0AF61" w:rsidR="0034597A" w:rsidRDefault="0034597A" w:rsidP="008E7EA0">
      <w:pPr>
        <w:pStyle w:val="Tablenotes"/>
        <w:spacing w:before="0"/>
      </w:pPr>
      <w:r>
        <w:t xml:space="preserve">Source: PEPA Aged Care program data provided by QUT, September 2025, </w:t>
      </w:r>
      <w:r w:rsidRPr="00362F97">
        <w:t>GEN Aged Care data 202</w:t>
      </w:r>
      <w:r>
        <w:t>5.</w:t>
      </w:r>
    </w:p>
    <w:p w14:paraId="148A5D2A" w14:textId="690EE3BB" w:rsidR="00BF3C17" w:rsidRPr="00BF3C17" w:rsidRDefault="00BF3C17" w:rsidP="00BF3C17">
      <w:r>
        <w:fldChar w:fldCharType="begin"/>
      </w:r>
      <w:r>
        <w:instrText xml:space="preserve"> REF _Ref214356299 \h </w:instrText>
      </w:r>
      <w:r>
        <w:fldChar w:fldCharType="separate"/>
      </w:r>
      <w:r w:rsidR="00167BA0">
        <w:t xml:space="preserve">Table </w:t>
      </w:r>
      <w:r w:rsidR="00167BA0">
        <w:rPr>
          <w:noProof/>
        </w:rPr>
        <w:t>9</w:t>
      </w:r>
      <w:r w:rsidR="00167BA0">
        <w:t>.</w:t>
      </w:r>
      <w:r w:rsidR="00167BA0">
        <w:rPr>
          <w:noProof/>
        </w:rPr>
        <w:t>12</w:t>
      </w:r>
      <w:r>
        <w:fldChar w:fldCharType="end"/>
      </w:r>
      <w:r>
        <w:t xml:space="preserve"> presents the number and proportion of PEPA Aged Care </w:t>
      </w:r>
      <w:r w:rsidR="007564B2">
        <w:t>participants by number of placement days and financial year.</w:t>
      </w:r>
    </w:p>
    <w:p w14:paraId="71C591AD" w14:textId="6D5864A6" w:rsidR="007C3727" w:rsidRDefault="007C3727" w:rsidP="007C3727">
      <w:pPr>
        <w:pStyle w:val="Caption"/>
      </w:pPr>
      <w:bookmarkStart w:id="193" w:name="_Ref214356299"/>
      <w:r>
        <w:lastRenderedPageBreak/>
        <w:t xml:space="preserve">Table </w:t>
      </w:r>
      <w:fldSimple w:instr=" STYLEREF 1 \s ">
        <w:r w:rsidR="0091457A">
          <w:rPr>
            <w:noProof/>
          </w:rPr>
          <w:t>9</w:t>
        </w:r>
      </w:fldSimple>
      <w:r w:rsidR="0091457A">
        <w:t>.</w:t>
      </w:r>
      <w:fldSimple w:instr=" SEQ Table \* ARABIC \s 1 ">
        <w:r w:rsidR="0091457A">
          <w:rPr>
            <w:noProof/>
          </w:rPr>
          <w:t>12</w:t>
        </w:r>
      </w:fldSimple>
      <w:bookmarkEnd w:id="193"/>
      <w:r>
        <w:t xml:space="preserve">: </w:t>
      </w:r>
      <w:r w:rsidR="00733D99">
        <w:t>N</w:t>
      </w:r>
      <w:r>
        <w:t xml:space="preserve">umber and proportion of PEPA Aged Care participants by </w:t>
      </w:r>
      <w:r w:rsidR="007564B2">
        <w:br/>
      </w:r>
      <w:r>
        <w:t xml:space="preserve">number of </w:t>
      </w:r>
      <w:r w:rsidR="007564B2">
        <w:t>placement</w:t>
      </w:r>
      <w:r>
        <w:t xml:space="preserve"> days and financial year</w:t>
      </w:r>
    </w:p>
    <w:tbl>
      <w:tblPr>
        <w:tblStyle w:val="HMAdefaulttable"/>
        <w:tblW w:w="0" w:type="auto"/>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number and proportion of PEPA Aged Care participants"/>
        <w:tblDescription w:val="Table shows the number and propotion of PEPA Aged care participants by number of placement days across four financial years from 2021-22 to 2024-25."/>
      </w:tblPr>
      <w:tblGrid>
        <w:gridCol w:w="1985"/>
        <w:gridCol w:w="1276"/>
        <w:gridCol w:w="1275"/>
        <w:gridCol w:w="1418"/>
        <w:gridCol w:w="1259"/>
      </w:tblGrid>
      <w:tr w:rsidR="007C3727" w:rsidRPr="00D36EC9" w14:paraId="5CCFC7AC" w14:textId="77777777" w:rsidTr="00AF34A0">
        <w:trPr>
          <w:cnfStyle w:val="100000000000" w:firstRow="1" w:lastRow="0" w:firstColumn="0" w:lastColumn="0" w:oddVBand="0" w:evenVBand="0" w:oddHBand="0"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729F72" w14:textId="77777777" w:rsidR="007C3727" w:rsidRPr="00D36EC9" w:rsidRDefault="007C3727" w:rsidP="00120E73">
            <w:pPr>
              <w:pStyle w:val="TableHeading"/>
              <w:rPr>
                <w:lang w:eastAsia="en-AU"/>
              </w:rPr>
            </w:pPr>
            <w:r>
              <w:rPr>
                <w:lang w:eastAsia="en-AU"/>
              </w:rPr>
              <w:t>days</w:t>
            </w:r>
          </w:p>
        </w:tc>
        <w:tc>
          <w:tcPr>
            <w:tcW w:w="1276" w:type="dxa"/>
            <w:noWrap/>
            <w:hideMark/>
          </w:tcPr>
          <w:p w14:paraId="1F5BAD29" w14:textId="77777777" w:rsidR="007C3727" w:rsidRPr="00D36EC9" w:rsidRDefault="007C3727" w:rsidP="00120E73">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290DBE">
              <w:t>2021–22</w:t>
            </w:r>
          </w:p>
        </w:tc>
        <w:tc>
          <w:tcPr>
            <w:tcW w:w="1275" w:type="dxa"/>
            <w:noWrap/>
            <w:hideMark/>
          </w:tcPr>
          <w:p w14:paraId="1B0EC215" w14:textId="77777777" w:rsidR="007C3727" w:rsidRPr="00D36EC9" w:rsidRDefault="007C3727" w:rsidP="00120E73">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290DBE">
              <w:t>2022–23</w:t>
            </w:r>
          </w:p>
        </w:tc>
        <w:tc>
          <w:tcPr>
            <w:tcW w:w="1418" w:type="dxa"/>
            <w:noWrap/>
            <w:hideMark/>
          </w:tcPr>
          <w:p w14:paraId="20385E59" w14:textId="77777777" w:rsidR="007C3727" w:rsidRPr="00D36EC9" w:rsidRDefault="007C3727" w:rsidP="00120E73">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290DBE">
              <w:t>2023–24</w:t>
            </w:r>
          </w:p>
        </w:tc>
        <w:tc>
          <w:tcPr>
            <w:tcW w:w="1259" w:type="dxa"/>
            <w:noWrap/>
            <w:hideMark/>
          </w:tcPr>
          <w:p w14:paraId="2D883115" w14:textId="77777777" w:rsidR="007C3727" w:rsidRPr="00D36EC9" w:rsidRDefault="007C3727" w:rsidP="00120E73">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290DBE">
              <w:t>2024–25</w:t>
            </w:r>
          </w:p>
        </w:tc>
      </w:tr>
      <w:tr w:rsidR="007C3727" w:rsidRPr="00D36EC9" w14:paraId="27677615" w14:textId="77777777" w:rsidTr="00AF34A0">
        <w:trPr>
          <w:cnfStyle w:val="000000100000" w:firstRow="0" w:lastRow="0" w:firstColumn="0" w:lastColumn="0" w:oddVBand="0" w:evenVBand="0" w:oddHBand="1"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A2BF18B" w14:textId="77777777" w:rsidR="007C3727" w:rsidRPr="0098705B" w:rsidRDefault="007C3727" w:rsidP="00120E73">
            <w:pPr>
              <w:pStyle w:val="TableText"/>
            </w:pPr>
            <w:r w:rsidRPr="0098705B">
              <w:t>1</w:t>
            </w:r>
          </w:p>
        </w:tc>
        <w:tc>
          <w:tcPr>
            <w:tcW w:w="1276" w:type="dxa"/>
            <w:noWrap/>
            <w:hideMark/>
          </w:tcPr>
          <w:p w14:paraId="72DE3616"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45 (27%)</w:t>
            </w:r>
          </w:p>
        </w:tc>
        <w:tc>
          <w:tcPr>
            <w:tcW w:w="1275" w:type="dxa"/>
            <w:noWrap/>
            <w:hideMark/>
          </w:tcPr>
          <w:p w14:paraId="51CDECF7"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256 (24%)</w:t>
            </w:r>
          </w:p>
        </w:tc>
        <w:tc>
          <w:tcPr>
            <w:tcW w:w="1418" w:type="dxa"/>
            <w:noWrap/>
            <w:hideMark/>
          </w:tcPr>
          <w:p w14:paraId="6408AD0D"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102 (5%)</w:t>
            </w:r>
          </w:p>
        </w:tc>
        <w:tc>
          <w:tcPr>
            <w:tcW w:w="1259" w:type="dxa"/>
            <w:noWrap/>
            <w:hideMark/>
          </w:tcPr>
          <w:p w14:paraId="3BE3A616"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86 (5%)</w:t>
            </w:r>
          </w:p>
        </w:tc>
      </w:tr>
      <w:tr w:rsidR="007C3727" w:rsidRPr="00D36EC9" w14:paraId="6921ECAE" w14:textId="77777777" w:rsidTr="00AF34A0">
        <w:trPr>
          <w:cnfStyle w:val="000000010000" w:firstRow="0" w:lastRow="0" w:firstColumn="0" w:lastColumn="0" w:oddVBand="0" w:evenVBand="0" w:oddHBand="0" w:evenHBand="1"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29C02C" w14:textId="77777777" w:rsidR="007C3727" w:rsidRPr="0098705B" w:rsidRDefault="007C3727" w:rsidP="00120E73">
            <w:pPr>
              <w:pStyle w:val="TableText"/>
            </w:pPr>
            <w:r w:rsidRPr="0098705B">
              <w:t>2</w:t>
            </w:r>
          </w:p>
        </w:tc>
        <w:tc>
          <w:tcPr>
            <w:tcW w:w="1276" w:type="dxa"/>
            <w:noWrap/>
            <w:hideMark/>
          </w:tcPr>
          <w:p w14:paraId="27BE28D5"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87 (53%)</w:t>
            </w:r>
          </w:p>
        </w:tc>
        <w:tc>
          <w:tcPr>
            <w:tcW w:w="1275" w:type="dxa"/>
            <w:noWrap/>
            <w:hideMark/>
          </w:tcPr>
          <w:p w14:paraId="45314CD8"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559 (52%)</w:t>
            </w:r>
          </w:p>
        </w:tc>
        <w:tc>
          <w:tcPr>
            <w:tcW w:w="1418" w:type="dxa"/>
            <w:noWrap/>
            <w:hideMark/>
          </w:tcPr>
          <w:p w14:paraId="0F5DCFAA"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691 (32%)</w:t>
            </w:r>
          </w:p>
        </w:tc>
        <w:tc>
          <w:tcPr>
            <w:tcW w:w="1259" w:type="dxa"/>
            <w:noWrap/>
            <w:hideMark/>
          </w:tcPr>
          <w:p w14:paraId="1CF47464"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595 (32%)</w:t>
            </w:r>
          </w:p>
        </w:tc>
      </w:tr>
      <w:tr w:rsidR="007C3727" w:rsidRPr="00D36EC9" w14:paraId="3D274AA5" w14:textId="77777777" w:rsidTr="00AF34A0">
        <w:trPr>
          <w:cnfStyle w:val="000000100000" w:firstRow="0" w:lastRow="0" w:firstColumn="0" w:lastColumn="0" w:oddVBand="0" w:evenVBand="0" w:oddHBand="1"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581AC92" w14:textId="77777777" w:rsidR="007C3727" w:rsidRPr="0098705B" w:rsidRDefault="007C3727" w:rsidP="00120E73">
            <w:pPr>
              <w:pStyle w:val="TableText"/>
            </w:pPr>
            <w:r w:rsidRPr="0098705B">
              <w:t>3</w:t>
            </w:r>
          </w:p>
        </w:tc>
        <w:tc>
          <w:tcPr>
            <w:tcW w:w="1276" w:type="dxa"/>
            <w:noWrap/>
            <w:hideMark/>
          </w:tcPr>
          <w:p w14:paraId="6AC64350"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13 (8%)</w:t>
            </w:r>
          </w:p>
        </w:tc>
        <w:tc>
          <w:tcPr>
            <w:tcW w:w="1275" w:type="dxa"/>
            <w:noWrap/>
            <w:hideMark/>
          </w:tcPr>
          <w:p w14:paraId="531151F1"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119 (11%)</w:t>
            </w:r>
          </w:p>
        </w:tc>
        <w:tc>
          <w:tcPr>
            <w:tcW w:w="1418" w:type="dxa"/>
            <w:noWrap/>
            <w:hideMark/>
          </w:tcPr>
          <w:p w14:paraId="5A816A62"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682 (32%)</w:t>
            </w:r>
          </w:p>
        </w:tc>
        <w:tc>
          <w:tcPr>
            <w:tcW w:w="1259" w:type="dxa"/>
            <w:noWrap/>
            <w:hideMark/>
          </w:tcPr>
          <w:p w14:paraId="31DB17A8"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920 (49%)</w:t>
            </w:r>
          </w:p>
        </w:tc>
      </w:tr>
      <w:tr w:rsidR="007C3727" w:rsidRPr="00D36EC9" w14:paraId="25EDF717" w14:textId="77777777" w:rsidTr="00AF34A0">
        <w:trPr>
          <w:cnfStyle w:val="000000010000" w:firstRow="0" w:lastRow="0" w:firstColumn="0" w:lastColumn="0" w:oddVBand="0" w:evenVBand="0" w:oddHBand="0" w:evenHBand="1"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76761C7" w14:textId="77777777" w:rsidR="007C3727" w:rsidRPr="0098705B" w:rsidRDefault="007C3727" w:rsidP="00120E73">
            <w:pPr>
              <w:pStyle w:val="TableText"/>
            </w:pPr>
            <w:r w:rsidRPr="0098705B">
              <w:t>4</w:t>
            </w:r>
          </w:p>
        </w:tc>
        <w:tc>
          <w:tcPr>
            <w:tcW w:w="1276" w:type="dxa"/>
            <w:noWrap/>
            <w:hideMark/>
          </w:tcPr>
          <w:p w14:paraId="441ECDDC"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19 (12%)</w:t>
            </w:r>
          </w:p>
        </w:tc>
        <w:tc>
          <w:tcPr>
            <w:tcW w:w="1275" w:type="dxa"/>
            <w:noWrap/>
            <w:hideMark/>
          </w:tcPr>
          <w:p w14:paraId="6CCC3E18"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143 (13%)</w:t>
            </w:r>
          </w:p>
        </w:tc>
        <w:tc>
          <w:tcPr>
            <w:tcW w:w="1418" w:type="dxa"/>
            <w:noWrap/>
            <w:hideMark/>
          </w:tcPr>
          <w:p w14:paraId="7277225D"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658 (31%)</w:t>
            </w:r>
          </w:p>
        </w:tc>
        <w:tc>
          <w:tcPr>
            <w:tcW w:w="1259" w:type="dxa"/>
            <w:noWrap/>
            <w:hideMark/>
          </w:tcPr>
          <w:p w14:paraId="5F6E4F88"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275 (15%)</w:t>
            </w:r>
          </w:p>
        </w:tc>
      </w:tr>
      <w:tr w:rsidR="007C3727" w:rsidRPr="00733D99" w14:paraId="67EE0E9F" w14:textId="77777777" w:rsidTr="00AF3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DCDCDF" w:themeFill="text2" w:themeFillTint="33"/>
            <w:noWrap/>
          </w:tcPr>
          <w:p w14:paraId="352CE94D" w14:textId="1644EE75" w:rsidR="007C3727" w:rsidRPr="00733D99" w:rsidRDefault="007C3727" w:rsidP="00120E73">
            <w:pPr>
              <w:pStyle w:val="TableText"/>
              <w:rPr>
                <w:rFonts w:asciiTheme="majorHAnsi" w:hAnsiTheme="majorHAnsi"/>
              </w:rPr>
            </w:pPr>
            <w:r w:rsidRPr="00733D99">
              <w:rPr>
                <w:rFonts w:asciiTheme="majorHAnsi" w:hAnsiTheme="majorHAnsi"/>
              </w:rPr>
              <w:t>Total</w:t>
            </w:r>
            <w:r w:rsidR="00733D99">
              <w:rPr>
                <w:rFonts w:asciiTheme="majorHAnsi" w:hAnsiTheme="majorHAnsi"/>
              </w:rPr>
              <w:t xml:space="preserve"> participants</w:t>
            </w:r>
          </w:p>
        </w:tc>
        <w:tc>
          <w:tcPr>
            <w:tcW w:w="1276" w:type="dxa"/>
            <w:shd w:val="clear" w:color="auto" w:fill="DCDCDF" w:themeFill="text2" w:themeFillTint="33"/>
            <w:noWrap/>
          </w:tcPr>
          <w:p w14:paraId="16FEEE71" w14:textId="77777777" w:rsidR="007C3727" w:rsidRPr="00733D99"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33D99">
              <w:rPr>
                <w:rFonts w:asciiTheme="majorHAnsi" w:hAnsiTheme="majorHAnsi"/>
              </w:rPr>
              <w:t>164</w:t>
            </w:r>
          </w:p>
        </w:tc>
        <w:tc>
          <w:tcPr>
            <w:tcW w:w="1275" w:type="dxa"/>
            <w:shd w:val="clear" w:color="auto" w:fill="DCDCDF" w:themeFill="text2" w:themeFillTint="33"/>
            <w:noWrap/>
          </w:tcPr>
          <w:p w14:paraId="4D0E12C2" w14:textId="77777777" w:rsidR="007C3727" w:rsidRPr="00733D99"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33D99">
              <w:rPr>
                <w:rFonts w:asciiTheme="majorHAnsi" w:hAnsiTheme="majorHAnsi"/>
              </w:rPr>
              <w:t>1,077</w:t>
            </w:r>
          </w:p>
        </w:tc>
        <w:tc>
          <w:tcPr>
            <w:tcW w:w="1418" w:type="dxa"/>
            <w:shd w:val="clear" w:color="auto" w:fill="DCDCDF" w:themeFill="text2" w:themeFillTint="33"/>
            <w:noWrap/>
          </w:tcPr>
          <w:p w14:paraId="2FF26EAD" w14:textId="77777777" w:rsidR="007C3727" w:rsidRPr="00733D99"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33D99">
              <w:rPr>
                <w:rFonts w:asciiTheme="majorHAnsi" w:hAnsiTheme="majorHAnsi"/>
              </w:rPr>
              <w:t>2,133</w:t>
            </w:r>
          </w:p>
        </w:tc>
        <w:tc>
          <w:tcPr>
            <w:tcW w:w="1259" w:type="dxa"/>
            <w:shd w:val="clear" w:color="auto" w:fill="DCDCDF" w:themeFill="text2" w:themeFillTint="33"/>
            <w:noWrap/>
          </w:tcPr>
          <w:p w14:paraId="028CA04B" w14:textId="77777777" w:rsidR="007C3727" w:rsidRPr="00733D99"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33D99">
              <w:rPr>
                <w:rFonts w:asciiTheme="majorHAnsi" w:hAnsiTheme="majorHAnsi"/>
              </w:rPr>
              <w:t>1,876</w:t>
            </w:r>
          </w:p>
        </w:tc>
      </w:tr>
      <w:tr w:rsidR="00733D99" w:rsidRPr="00733D99" w14:paraId="0AFEF6C1" w14:textId="77777777" w:rsidTr="00AF34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DCDCDF" w:themeFill="text2" w:themeFillTint="33"/>
            <w:noWrap/>
          </w:tcPr>
          <w:p w14:paraId="1B7C41C8" w14:textId="1A8CDC8B" w:rsidR="00733D99" w:rsidRPr="00733D99" w:rsidRDefault="00733D99" w:rsidP="00120E73">
            <w:pPr>
              <w:pStyle w:val="TableText"/>
              <w:rPr>
                <w:rFonts w:asciiTheme="majorHAnsi" w:hAnsiTheme="majorHAnsi"/>
              </w:rPr>
            </w:pPr>
            <w:r>
              <w:rPr>
                <w:rFonts w:asciiTheme="majorHAnsi" w:hAnsiTheme="majorHAnsi"/>
              </w:rPr>
              <w:t>Average number of placement days</w:t>
            </w:r>
          </w:p>
        </w:tc>
        <w:tc>
          <w:tcPr>
            <w:tcW w:w="1276" w:type="dxa"/>
            <w:shd w:val="clear" w:color="auto" w:fill="DCDCDF" w:themeFill="text2" w:themeFillTint="33"/>
            <w:noWrap/>
          </w:tcPr>
          <w:p w14:paraId="08F44D42" w14:textId="06B417E6" w:rsidR="00733D99" w:rsidRPr="00733D99" w:rsidRDefault="00BF3C17"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2.04</w:t>
            </w:r>
          </w:p>
        </w:tc>
        <w:tc>
          <w:tcPr>
            <w:tcW w:w="1275" w:type="dxa"/>
            <w:shd w:val="clear" w:color="auto" w:fill="DCDCDF" w:themeFill="text2" w:themeFillTint="33"/>
            <w:noWrap/>
          </w:tcPr>
          <w:p w14:paraId="1F4487EA" w14:textId="75C9EE5A" w:rsidR="00733D99" w:rsidRPr="00733D99" w:rsidRDefault="00BF3C17"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2.14</w:t>
            </w:r>
          </w:p>
        </w:tc>
        <w:tc>
          <w:tcPr>
            <w:tcW w:w="1418" w:type="dxa"/>
            <w:shd w:val="clear" w:color="auto" w:fill="DCDCDF" w:themeFill="text2" w:themeFillTint="33"/>
            <w:noWrap/>
          </w:tcPr>
          <w:p w14:paraId="231ED28F" w14:textId="757748F5" w:rsidR="00733D99" w:rsidRPr="00733D99" w:rsidRDefault="00BF3C17"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2.89</w:t>
            </w:r>
          </w:p>
        </w:tc>
        <w:tc>
          <w:tcPr>
            <w:tcW w:w="1259" w:type="dxa"/>
            <w:shd w:val="clear" w:color="auto" w:fill="DCDCDF" w:themeFill="text2" w:themeFillTint="33"/>
            <w:noWrap/>
          </w:tcPr>
          <w:p w14:paraId="7080746A" w14:textId="0318FC59" w:rsidR="00733D99" w:rsidRPr="00733D99" w:rsidRDefault="00BF3C17"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2.74</w:t>
            </w:r>
          </w:p>
        </w:tc>
      </w:tr>
    </w:tbl>
    <w:p w14:paraId="4BED21C0" w14:textId="46CCAABB" w:rsidR="00CA35DB" w:rsidRPr="00CA35DB" w:rsidRDefault="00733D99" w:rsidP="00733D99">
      <w:pPr>
        <w:pStyle w:val="Tablenotes"/>
      </w:pPr>
      <w:r w:rsidRPr="00362F97">
        <w:t>Source: PEPA Aged Care program data provided by QUT, September 2025</w:t>
      </w:r>
      <w:r>
        <w:t>.</w:t>
      </w:r>
    </w:p>
    <w:p w14:paraId="44056A06" w14:textId="70154D75" w:rsidR="0034597A" w:rsidRDefault="008B1106" w:rsidP="008B1106">
      <w:pPr>
        <w:pStyle w:val="Heading3-nonumber"/>
      </w:pPr>
      <w:r>
        <w:t>PEPA Aged Care evaluation survey data</w:t>
      </w:r>
    </w:p>
    <w:p w14:paraId="4FDE3EB9" w14:textId="55871331" w:rsidR="00656FDA" w:rsidRDefault="004E780A" w:rsidP="0034597A">
      <w:r>
        <w:fldChar w:fldCharType="begin"/>
      </w:r>
      <w:r>
        <w:instrText xml:space="preserve"> REF _Ref216963251 \h </w:instrText>
      </w:r>
      <w:r>
        <w:fldChar w:fldCharType="separate"/>
      </w:r>
      <w:r w:rsidR="00167BA0">
        <w:t xml:space="preserve">Table </w:t>
      </w:r>
      <w:r w:rsidR="00167BA0">
        <w:rPr>
          <w:noProof/>
        </w:rPr>
        <w:t>9</w:t>
      </w:r>
      <w:r w:rsidR="00167BA0">
        <w:t>.</w:t>
      </w:r>
      <w:r w:rsidR="00167BA0">
        <w:rPr>
          <w:noProof/>
        </w:rPr>
        <w:t>13</w:t>
      </w:r>
      <w:r>
        <w:fldChar w:fldCharType="end"/>
      </w:r>
      <w:r>
        <w:t xml:space="preserve"> presents </w:t>
      </w:r>
      <w:r w:rsidR="00712B49">
        <w:t>participant responses to a question in the post-placement evaluation survey conducted by PEPA Aged Care regarding whether participants would recommend the program to colleagues.</w:t>
      </w:r>
    </w:p>
    <w:p w14:paraId="7DD18FBE" w14:textId="723C0D29" w:rsidR="004E780A" w:rsidRDefault="004E780A" w:rsidP="004E780A">
      <w:pPr>
        <w:pStyle w:val="Caption"/>
      </w:pPr>
      <w:bookmarkStart w:id="194" w:name="_Ref216963251"/>
      <w:r>
        <w:t xml:space="preserve">Table </w:t>
      </w:r>
      <w:fldSimple w:instr=" STYLEREF 1 \s ">
        <w:r w:rsidR="0091457A">
          <w:rPr>
            <w:noProof/>
          </w:rPr>
          <w:t>9</w:t>
        </w:r>
      </w:fldSimple>
      <w:r w:rsidR="0091457A">
        <w:t>.</w:t>
      </w:r>
      <w:fldSimple w:instr=" SEQ Table \* ARABIC \s 1 ">
        <w:r w:rsidR="0091457A">
          <w:rPr>
            <w:noProof/>
          </w:rPr>
          <w:t>13</w:t>
        </w:r>
      </w:fldSimple>
      <w:bookmarkEnd w:id="194"/>
      <w:r>
        <w:t xml:space="preserve">: Proportion of survey respondents who would recommend </w:t>
      </w:r>
      <w:r>
        <w:br/>
        <w:t>PEPA Aged Care to colleagues</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survey respondents"/>
        <w:tblDescription w:val="Table shows the prportion of survey respondents who would recommend PEPA Aged Care to colleagues across four financial years from 2021-22 to 2024-25."/>
      </w:tblPr>
      <w:tblGrid>
        <w:gridCol w:w="2820"/>
        <w:gridCol w:w="1125"/>
        <w:gridCol w:w="1125"/>
        <w:gridCol w:w="1125"/>
        <w:gridCol w:w="1008"/>
      </w:tblGrid>
      <w:tr w:rsidR="004E780A" w14:paraId="6F917D13" w14:textId="77777777" w:rsidTr="00AF34A0">
        <w:trPr>
          <w:cnfStyle w:val="100000000000" w:firstRow="1" w:lastRow="0" w:firstColumn="0" w:lastColumn="0" w:oddVBand="0" w:evenVBand="0" w:oddHBand="0" w:evenHBand="0" w:firstRowFirstColumn="0" w:firstRowLastColumn="0" w:lastRowFirstColumn="0" w:lastRowLastColumn="0"/>
        </w:trPr>
        <w:tc>
          <w:tcPr>
            <w:tcW w:w="0" w:type="auto"/>
          </w:tcPr>
          <w:p w14:paraId="366BA8B4" w14:textId="32CF289C" w:rsidR="004E780A" w:rsidRDefault="00CE6E1B" w:rsidP="004E780A">
            <w:pPr>
              <w:spacing w:before="0" w:after="0"/>
            </w:pPr>
            <w:r>
              <w:t>Question</w:t>
            </w:r>
          </w:p>
        </w:tc>
        <w:tc>
          <w:tcPr>
            <w:tcW w:w="0" w:type="auto"/>
          </w:tcPr>
          <w:p w14:paraId="2C14F4BA" w14:textId="77777777" w:rsidR="004E780A" w:rsidRDefault="004E780A" w:rsidP="004E780A">
            <w:pPr>
              <w:spacing w:before="0" w:after="0"/>
              <w:jc w:val="center"/>
              <w:rPr>
                <w:caps w:val="0"/>
              </w:rPr>
            </w:pPr>
            <w:r w:rsidRPr="004D646B">
              <w:t>2021</w:t>
            </w:r>
            <w:r>
              <w:rPr>
                <w:caps w:val="0"/>
              </w:rPr>
              <w:t>–</w:t>
            </w:r>
            <w:r w:rsidRPr="004D646B">
              <w:t>22</w:t>
            </w:r>
          </w:p>
          <w:p w14:paraId="5B33D3CF" w14:textId="671DFCA6" w:rsidR="004E780A" w:rsidRDefault="004E780A" w:rsidP="004E780A">
            <w:pPr>
              <w:spacing w:before="0" w:after="0"/>
              <w:jc w:val="center"/>
            </w:pPr>
            <w:r>
              <w:t>n (%)</w:t>
            </w:r>
          </w:p>
        </w:tc>
        <w:tc>
          <w:tcPr>
            <w:tcW w:w="0" w:type="auto"/>
          </w:tcPr>
          <w:p w14:paraId="14857C1E" w14:textId="77777777" w:rsidR="004E780A" w:rsidRDefault="004E780A" w:rsidP="004E780A">
            <w:pPr>
              <w:spacing w:before="0" w:after="0"/>
              <w:jc w:val="center"/>
              <w:rPr>
                <w:caps w:val="0"/>
              </w:rPr>
            </w:pPr>
            <w:r w:rsidRPr="004D646B">
              <w:t>2022</w:t>
            </w:r>
            <w:r>
              <w:rPr>
                <w:caps w:val="0"/>
              </w:rPr>
              <w:t>–</w:t>
            </w:r>
            <w:r w:rsidRPr="004D646B">
              <w:t>23</w:t>
            </w:r>
          </w:p>
          <w:p w14:paraId="6E51A4E8" w14:textId="7E13577D" w:rsidR="004E780A" w:rsidRDefault="004E780A" w:rsidP="004E780A">
            <w:pPr>
              <w:spacing w:before="0" w:after="0"/>
              <w:jc w:val="center"/>
            </w:pPr>
            <w:r>
              <w:t>n (%)</w:t>
            </w:r>
          </w:p>
        </w:tc>
        <w:tc>
          <w:tcPr>
            <w:tcW w:w="0" w:type="auto"/>
          </w:tcPr>
          <w:p w14:paraId="39B1ACDD" w14:textId="77777777" w:rsidR="004E780A" w:rsidRDefault="004E780A" w:rsidP="004E780A">
            <w:pPr>
              <w:spacing w:before="0" w:after="0"/>
              <w:jc w:val="center"/>
              <w:rPr>
                <w:caps w:val="0"/>
              </w:rPr>
            </w:pPr>
            <w:r w:rsidRPr="004D646B">
              <w:t>2023</w:t>
            </w:r>
            <w:r>
              <w:rPr>
                <w:caps w:val="0"/>
              </w:rPr>
              <w:t>–</w:t>
            </w:r>
            <w:r w:rsidRPr="004D646B">
              <w:t>24</w:t>
            </w:r>
          </w:p>
          <w:p w14:paraId="4D304A06" w14:textId="21899BCF" w:rsidR="004E780A" w:rsidRDefault="004E780A" w:rsidP="004E780A">
            <w:pPr>
              <w:spacing w:before="0" w:after="0"/>
              <w:jc w:val="center"/>
            </w:pPr>
            <w:r>
              <w:t>n (%)</w:t>
            </w:r>
          </w:p>
        </w:tc>
        <w:tc>
          <w:tcPr>
            <w:tcW w:w="0" w:type="auto"/>
          </w:tcPr>
          <w:p w14:paraId="70591463" w14:textId="77777777" w:rsidR="004E780A" w:rsidRDefault="004E780A" w:rsidP="004E780A">
            <w:pPr>
              <w:spacing w:before="0" w:after="0"/>
              <w:jc w:val="center"/>
              <w:rPr>
                <w:caps w:val="0"/>
              </w:rPr>
            </w:pPr>
            <w:r w:rsidRPr="004D646B">
              <w:t>2024</w:t>
            </w:r>
            <w:r>
              <w:rPr>
                <w:caps w:val="0"/>
              </w:rPr>
              <w:t>–</w:t>
            </w:r>
            <w:r w:rsidRPr="004D646B">
              <w:t>25</w:t>
            </w:r>
          </w:p>
          <w:p w14:paraId="509497D4" w14:textId="493C920E" w:rsidR="004E780A" w:rsidRDefault="004E780A" w:rsidP="004E780A">
            <w:pPr>
              <w:spacing w:before="0" w:after="0"/>
              <w:jc w:val="center"/>
            </w:pPr>
            <w:r>
              <w:t>n (%)</w:t>
            </w:r>
          </w:p>
        </w:tc>
      </w:tr>
      <w:tr w:rsidR="004E780A" w14:paraId="49F0DC97"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3B7832AC" w14:textId="2422FD34" w:rsidR="004E780A" w:rsidRDefault="004E780A" w:rsidP="004E780A">
            <w:pPr>
              <w:spacing w:before="0" w:after="0"/>
            </w:pPr>
            <w:r>
              <w:t>Will you recommend PEPA Aged Care to your colleagues?</w:t>
            </w:r>
          </w:p>
        </w:tc>
        <w:tc>
          <w:tcPr>
            <w:tcW w:w="0" w:type="auto"/>
          </w:tcPr>
          <w:p w14:paraId="0D3CB233" w14:textId="1223FB8A" w:rsidR="004E780A" w:rsidRDefault="004E780A" w:rsidP="004E780A">
            <w:pPr>
              <w:spacing w:before="0" w:after="0"/>
              <w:jc w:val="center"/>
            </w:pPr>
            <w:r>
              <w:t>110 (100.0%)</w:t>
            </w:r>
          </w:p>
        </w:tc>
        <w:tc>
          <w:tcPr>
            <w:tcW w:w="0" w:type="auto"/>
          </w:tcPr>
          <w:p w14:paraId="6C8D0D77" w14:textId="367AF3E3" w:rsidR="004E780A" w:rsidRDefault="004E780A" w:rsidP="004E780A">
            <w:pPr>
              <w:spacing w:before="0" w:after="0"/>
              <w:jc w:val="center"/>
            </w:pPr>
            <w:r>
              <w:t>226 (100.0%)</w:t>
            </w:r>
          </w:p>
        </w:tc>
        <w:tc>
          <w:tcPr>
            <w:tcW w:w="0" w:type="auto"/>
          </w:tcPr>
          <w:p w14:paraId="7A4A7E3F" w14:textId="70EE7B37" w:rsidR="004E780A" w:rsidRDefault="004E780A" w:rsidP="004E780A">
            <w:pPr>
              <w:spacing w:before="0" w:after="0"/>
              <w:jc w:val="center"/>
            </w:pPr>
            <w:r>
              <w:t>158 (100.0%)</w:t>
            </w:r>
          </w:p>
        </w:tc>
        <w:tc>
          <w:tcPr>
            <w:tcW w:w="0" w:type="auto"/>
          </w:tcPr>
          <w:p w14:paraId="16DA2602" w14:textId="03D8915C" w:rsidR="004E780A" w:rsidRDefault="004E780A" w:rsidP="004E780A">
            <w:pPr>
              <w:spacing w:before="0" w:after="0"/>
              <w:jc w:val="center"/>
            </w:pPr>
            <w:r>
              <w:t>210 (99.4%)</w:t>
            </w:r>
          </w:p>
        </w:tc>
      </w:tr>
    </w:tbl>
    <w:p w14:paraId="5447FA1F" w14:textId="09112FDD" w:rsidR="008B1106" w:rsidRDefault="00D434A4" w:rsidP="0034597A">
      <w:r>
        <w:fldChar w:fldCharType="begin"/>
      </w:r>
      <w:r>
        <w:instrText xml:space="preserve"> REF _Ref215493967 \h </w:instrText>
      </w:r>
      <w:r>
        <w:fldChar w:fldCharType="separate"/>
      </w:r>
      <w:r w:rsidR="00167BA0">
        <w:t xml:space="preserve">Figure </w:t>
      </w:r>
      <w:r w:rsidR="00167BA0">
        <w:rPr>
          <w:noProof/>
        </w:rPr>
        <w:t>9</w:t>
      </w:r>
      <w:r w:rsidR="00167BA0">
        <w:t>.</w:t>
      </w:r>
      <w:r w:rsidR="00167BA0">
        <w:rPr>
          <w:noProof/>
        </w:rPr>
        <w:t>4</w:t>
      </w:r>
      <w:r>
        <w:fldChar w:fldCharType="end"/>
      </w:r>
      <w:r>
        <w:t xml:space="preserve"> presents </w:t>
      </w:r>
      <w:r w:rsidR="00C90D47">
        <w:t xml:space="preserve">participant responses to </w:t>
      </w:r>
      <w:r w:rsidR="00B77036">
        <w:t xml:space="preserve">the </w:t>
      </w:r>
      <w:r w:rsidR="00C90D47">
        <w:t xml:space="preserve">pre- and post-placement </w:t>
      </w:r>
      <w:r w:rsidR="00B77036">
        <w:t>evaluation survey conduc</w:t>
      </w:r>
      <w:r w:rsidR="00C423D5">
        <w:t>ted by PEPA Aged Care.</w:t>
      </w:r>
    </w:p>
    <w:p w14:paraId="57050B4A" w14:textId="77777777" w:rsidR="00264F2A" w:rsidRDefault="00264F2A" w:rsidP="0034597A">
      <w:pPr>
        <w:sectPr w:rsidR="00264F2A" w:rsidSect="001E0ADF">
          <w:type w:val="continuous"/>
          <w:pgSz w:w="16838" w:h="11906" w:orient="landscape" w:code="9"/>
          <w:pgMar w:top="851" w:right="851" w:bottom="851" w:left="851" w:header="709" w:footer="567" w:gutter="0"/>
          <w:cols w:num="2" w:space="709"/>
          <w:docGrid w:linePitch="360"/>
        </w:sectPr>
      </w:pPr>
    </w:p>
    <w:p w14:paraId="2AB5A328" w14:textId="1BD17A75" w:rsidR="00166167" w:rsidRDefault="00166167" w:rsidP="00166167">
      <w:pPr>
        <w:pStyle w:val="Caption"/>
      </w:pPr>
      <w:bookmarkStart w:id="195" w:name="_Ref215493967"/>
      <w:r>
        <w:lastRenderedPageBreak/>
        <w:t xml:space="preserve">Figure </w:t>
      </w:r>
      <w:fldSimple w:instr=" STYLEREF 1 \s ">
        <w:r w:rsidR="00167BA0">
          <w:rPr>
            <w:noProof/>
          </w:rPr>
          <w:t>9</w:t>
        </w:r>
      </w:fldSimple>
      <w:r w:rsidR="00DD3EB1">
        <w:t>.</w:t>
      </w:r>
      <w:fldSimple w:instr=" SEQ Figure \* ARABIC \s 1 ">
        <w:r w:rsidR="00167BA0">
          <w:rPr>
            <w:noProof/>
          </w:rPr>
          <w:t>4</w:t>
        </w:r>
      </w:fldSimple>
      <w:bookmarkEnd w:id="195"/>
      <w:r>
        <w:t>: Pre/post-placement PEPA Aged Care evaluation survey responses (n=704)</w:t>
      </w:r>
    </w:p>
    <w:p w14:paraId="7975AFCF" w14:textId="3626A148" w:rsidR="0034597A" w:rsidRDefault="00166167" w:rsidP="00264F2A">
      <w:pPr>
        <w:jc w:val="center"/>
      </w:pPr>
      <w:r>
        <w:rPr>
          <w:noProof/>
        </w:rPr>
        <w:drawing>
          <wp:inline distT="0" distB="0" distL="0" distR="0" wp14:anchorId="6B13CFDE" wp14:editId="6C746143">
            <wp:extent cx="9495624" cy="4867275"/>
            <wp:effectExtent l="0" t="0" r="0" b="0"/>
            <wp:docPr id="1849192220" name="Picture 9" descr="Figure 9.4 is a diagram showing pre/post-placement PEPA Aged Care evaluation survey responses (n=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92220" name="Picture 9" descr="Figure 9.4 is a diagram showing pre/post-placement PEPA Aged Care evaluation survey responses (n=70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514508" cy="4876955"/>
                    </a:xfrm>
                    <a:prstGeom prst="rect">
                      <a:avLst/>
                    </a:prstGeom>
                    <a:noFill/>
                  </pic:spPr>
                </pic:pic>
              </a:graphicData>
            </a:graphic>
          </wp:inline>
        </w:drawing>
      </w:r>
    </w:p>
    <w:p w14:paraId="5A0A8858" w14:textId="135520A0" w:rsidR="00264F2A" w:rsidRDefault="00166167" w:rsidP="00166167">
      <w:pPr>
        <w:pStyle w:val="Tablenotes"/>
      </w:pPr>
      <w:r>
        <w:t xml:space="preserve">Source: </w:t>
      </w:r>
      <w:r w:rsidR="00244999" w:rsidRPr="00362F97">
        <w:t>PEPA Aged Care program data provided by QUT, September 2025</w:t>
      </w:r>
      <w:r>
        <w:t>.</w:t>
      </w:r>
    </w:p>
    <w:p w14:paraId="7A5037E4" w14:textId="77777777" w:rsidR="00264F2A" w:rsidRDefault="00264F2A" w:rsidP="0034597A">
      <w:pPr>
        <w:sectPr w:rsidR="00264F2A" w:rsidSect="005E34A8">
          <w:type w:val="continuous"/>
          <w:pgSz w:w="16838" w:h="11906" w:orient="landscape" w:code="9"/>
          <w:pgMar w:top="851" w:right="851" w:bottom="851" w:left="851" w:header="709" w:footer="567" w:gutter="0"/>
          <w:cols w:space="709"/>
          <w:docGrid w:linePitch="360"/>
        </w:sectPr>
      </w:pPr>
    </w:p>
    <w:p w14:paraId="5AEA1780" w14:textId="1849F5DD" w:rsidR="0034597A" w:rsidRDefault="00C423D5" w:rsidP="0034597A">
      <w:r>
        <w:lastRenderedPageBreak/>
        <w:fldChar w:fldCharType="begin"/>
      </w:r>
      <w:r>
        <w:instrText xml:space="preserve"> REF _Ref215478204 \h </w:instrText>
      </w:r>
      <w:r>
        <w:fldChar w:fldCharType="separate"/>
      </w:r>
      <w:r w:rsidR="00167BA0">
        <w:t xml:space="preserve">Table </w:t>
      </w:r>
      <w:r w:rsidR="00167BA0">
        <w:rPr>
          <w:noProof/>
        </w:rPr>
        <w:t>9</w:t>
      </w:r>
      <w:r w:rsidR="00167BA0">
        <w:t>.</w:t>
      </w:r>
      <w:r w:rsidR="00167BA0">
        <w:rPr>
          <w:noProof/>
        </w:rPr>
        <w:t>14</w:t>
      </w:r>
      <w:r>
        <w:fldChar w:fldCharType="end"/>
      </w:r>
      <w:r w:rsidR="008B5C0F">
        <w:t xml:space="preserve"> provides a qualitative analysis of key areas of learning and new skills acquired by PEPA Aged Care participants</w:t>
      </w:r>
      <w:r w:rsidR="0099384A">
        <w:t>, based on participant reflections.</w:t>
      </w:r>
    </w:p>
    <w:p w14:paraId="786ED197" w14:textId="1A2090B7" w:rsidR="00FA1C6C" w:rsidRDefault="00FA1C6C" w:rsidP="00FA1C6C">
      <w:pPr>
        <w:pStyle w:val="Caption"/>
      </w:pPr>
      <w:bookmarkStart w:id="196" w:name="_Ref215478204"/>
      <w:r>
        <w:t xml:space="preserve">Table </w:t>
      </w:r>
      <w:fldSimple w:instr=" STYLEREF 1 \s ">
        <w:r w:rsidR="0091457A">
          <w:rPr>
            <w:noProof/>
          </w:rPr>
          <w:t>9</w:t>
        </w:r>
      </w:fldSimple>
      <w:r w:rsidR="0091457A">
        <w:t>.</w:t>
      </w:r>
      <w:fldSimple w:instr=" SEQ Table \* ARABIC \s 1 ">
        <w:r w:rsidR="0091457A">
          <w:rPr>
            <w:noProof/>
          </w:rPr>
          <w:t>14</w:t>
        </w:r>
      </w:fldSimple>
      <w:bookmarkEnd w:id="196"/>
      <w:r>
        <w:t>: Key areas of learning and new skills acquired during the reverse PEPA Aged Care placement</w:t>
      </w:r>
      <w:r w:rsidR="00EE3BED">
        <w:t xml:space="preserve"> (</w:t>
      </w:r>
      <w:r w:rsidR="00244999">
        <w:t xml:space="preserve">2023–24 to 2024–25; </w:t>
      </w:r>
      <w:r w:rsidR="00EE3BED">
        <w:t>n=2,546)</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learning and skills acquired during reverse PEPA Aged Care placements"/>
        <w:tblDescription w:val="Table shows key areas of learning and niew skills acquired by PEPA Aged Care particpants as themes, based on participant reflections."/>
      </w:tblPr>
      <w:tblGrid>
        <w:gridCol w:w="3854"/>
        <w:gridCol w:w="3349"/>
      </w:tblGrid>
      <w:tr w:rsidR="00411A80" w:rsidRPr="00AB723C" w14:paraId="3C68C145" w14:textId="77777777" w:rsidTr="00AF34A0">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27C6CC8F" w14:textId="77777777" w:rsidR="00AB723C" w:rsidRPr="00AB723C" w:rsidRDefault="00AB723C" w:rsidP="00AB723C">
            <w:pPr>
              <w:pStyle w:val="TableHeading"/>
            </w:pPr>
            <w:r w:rsidRPr="00AB723C">
              <w:t>THEME</w:t>
            </w:r>
          </w:p>
        </w:tc>
        <w:tc>
          <w:tcPr>
            <w:tcW w:w="0" w:type="auto"/>
            <w:hideMark/>
          </w:tcPr>
          <w:p w14:paraId="10A2461F" w14:textId="77777777" w:rsidR="00AB723C" w:rsidRPr="00AB723C" w:rsidRDefault="00AB723C" w:rsidP="00AB723C">
            <w:pPr>
              <w:pStyle w:val="TableHeading"/>
            </w:pPr>
            <w:r w:rsidRPr="00AB723C">
              <w:t>EXAMPLE STATEMENTS</w:t>
            </w:r>
          </w:p>
        </w:tc>
      </w:tr>
      <w:tr w:rsidR="00411A80" w:rsidRPr="00AB723C" w14:paraId="289BA9CF"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19CB3BC7" w14:textId="7B61943B" w:rsidR="00AB723C" w:rsidRPr="00AB723C" w:rsidRDefault="00AB723C" w:rsidP="00AB723C">
            <w:pPr>
              <w:pStyle w:val="TableText"/>
              <w:rPr>
                <w:rFonts w:asciiTheme="majorHAnsi" w:hAnsiTheme="majorHAnsi"/>
              </w:rPr>
            </w:pPr>
            <w:r w:rsidRPr="00AB723C">
              <w:rPr>
                <w:rFonts w:asciiTheme="majorHAnsi" w:hAnsiTheme="majorHAnsi"/>
              </w:rPr>
              <w:t>Palliative and end-of-life care knowledge</w:t>
            </w:r>
          </w:p>
          <w:p w14:paraId="24C0EE40" w14:textId="4A260BFE" w:rsidR="00AB723C" w:rsidRPr="00AB723C" w:rsidRDefault="00AB723C" w:rsidP="00AB723C">
            <w:pPr>
              <w:pStyle w:val="TableText"/>
            </w:pPr>
            <w:r w:rsidRPr="00AB723C">
              <w:t>Expanded understanding of what palliative and end-of-life care involves, including core principles, goals, and differences between the two</w:t>
            </w:r>
          </w:p>
        </w:tc>
        <w:tc>
          <w:tcPr>
            <w:tcW w:w="0" w:type="auto"/>
            <w:hideMark/>
          </w:tcPr>
          <w:p w14:paraId="1880E67E" w14:textId="1FD25775" w:rsidR="00AB723C" w:rsidRPr="00AB723C" w:rsidRDefault="003863F5" w:rsidP="00302C72">
            <w:pPr>
              <w:pStyle w:val="TableText"/>
              <w:spacing w:after="120"/>
              <w:rPr>
                <w:i/>
                <w:iCs/>
              </w:rPr>
            </w:pPr>
            <w:r>
              <w:rPr>
                <w:i/>
                <w:iCs/>
              </w:rPr>
              <w:t>‘</w:t>
            </w:r>
            <w:r w:rsidR="00AB723C" w:rsidRPr="00AB723C">
              <w:rPr>
                <w:i/>
                <w:iCs/>
              </w:rPr>
              <w:t>Palliative care is about helping patients have the best possible quality of life with dignity.</w:t>
            </w:r>
            <w:r>
              <w:rPr>
                <w:i/>
                <w:iCs/>
              </w:rPr>
              <w:t>’</w:t>
            </w:r>
          </w:p>
          <w:p w14:paraId="24173010" w14:textId="499A6368" w:rsidR="00AB723C" w:rsidRPr="00AB723C" w:rsidRDefault="003863F5" w:rsidP="00302C72">
            <w:pPr>
              <w:pStyle w:val="TableText"/>
              <w:rPr>
                <w:i/>
                <w:iCs/>
              </w:rPr>
            </w:pPr>
            <w:r>
              <w:rPr>
                <w:i/>
                <w:iCs/>
              </w:rPr>
              <w:t>‘</w:t>
            </w:r>
            <w:r w:rsidR="00AB723C" w:rsidRPr="00AB723C">
              <w:rPr>
                <w:i/>
                <w:iCs/>
              </w:rPr>
              <w:t>Better understanding of what palliative care is and how to apply it at work.</w:t>
            </w:r>
            <w:r>
              <w:rPr>
                <w:i/>
                <w:iCs/>
              </w:rPr>
              <w:t>’</w:t>
            </w:r>
          </w:p>
        </w:tc>
      </w:tr>
      <w:tr w:rsidR="00411A80" w:rsidRPr="00AB723C" w14:paraId="741C3DCC"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76CE356D" w14:textId="608A434A" w:rsidR="00AB723C" w:rsidRPr="00AB723C" w:rsidRDefault="00AB723C" w:rsidP="00AB723C">
            <w:pPr>
              <w:pStyle w:val="TableText"/>
              <w:rPr>
                <w:rFonts w:asciiTheme="majorHAnsi" w:hAnsiTheme="majorHAnsi"/>
              </w:rPr>
            </w:pPr>
            <w:r w:rsidRPr="00AB723C">
              <w:rPr>
                <w:rFonts w:asciiTheme="majorHAnsi" w:hAnsiTheme="majorHAnsi"/>
              </w:rPr>
              <w:t>Communication skills</w:t>
            </w:r>
          </w:p>
          <w:p w14:paraId="5FE47E86" w14:textId="0D2FF4F9" w:rsidR="00AB723C" w:rsidRPr="00AB723C" w:rsidRDefault="00AB723C" w:rsidP="00AB723C">
            <w:pPr>
              <w:pStyle w:val="TableText"/>
            </w:pPr>
            <w:r w:rsidRPr="00AB723C">
              <w:t>Improved confidence and techniques for engaging in challenging or sensitive conversations with residents, families, and team members</w:t>
            </w:r>
          </w:p>
        </w:tc>
        <w:tc>
          <w:tcPr>
            <w:tcW w:w="0" w:type="auto"/>
            <w:hideMark/>
          </w:tcPr>
          <w:p w14:paraId="5BD6B21F" w14:textId="7CA66847" w:rsidR="00AB723C" w:rsidRPr="00AB723C" w:rsidRDefault="003863F5" w:rsidP="00AB723C">
            <w:pPr>
              <w:pStyle w:val="TableText"/>
              <w:rPr>
                <w:i/>
                <w:iCs/>
              </w:rPr>
            </w:pPr>
            <w:r>
              <w:rPr>
                <w:i/>
                <w:iCs/>
              </w:rPr>
              <w:t>‘</w:t>
            </w:r>
            <w:r w:rsidR="00AB723C" w:rsidRPr="00AB723C">
              <w:rPr>
                <w:i/>
                <w:iCs/>
              </w:rPr>
              <w:t>Communication about death and communication skills for those conversations.</w:t>
            </w:r>
            <w:r>
              <w:rPr>
                <w:i/>
                <w:iCs/>
              </w:rPr>
              <w:t>’</w:t>
            </w:r>
          </w:p>
          <w:p w14:paraId="567C2820" w14:textId="7BE2E6B9" w:rsidR="00AB723C" w:rsidRPr="00AB723C" w:rsidRDefault="003863F5" w:rsidP="00AB723C">
            <w:pPr>
              <w:pStyle w:val="TableText"/>
              <w:rPr>
                <w:i/>
                <w:iCs/>
              </w:rPr>
            </w:pPr>
            <w:r>
              <w:rPr>
                <w:i/>
                <w:iCs/>
              </w:rPr>
              <w:t>‘</w:t>
            </w:r>
            <w:r w:rsidR="00AB723C" w:rsidRPr="00AB723C">
              <w:rPr>
                <w:i/>
                <w:iCs/>
              </w:rPr>
              <w:t>Learned how to communicate effectively with family members and residents during the dying process.</w:t>
            </w:r>
            <w:r>
              <w:rPr>
                <w:i/>
                <w:iCs/>
              </w:rPr>
              <w:t>’</w:t>
            </w:r>
          </w:p>
        </w:tc>
      </w:tr>
      <w:tr w:rsidR="00411A80" w:rsidRPr="00AB723C" w14:paraId="4015B39D"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7A7BA3B5" w14:textId="5D84EB0C" w:rsidR="00AB723C" w:rsidRPr="00AB723C" w:rsidRDefault="00AB723C" w:rsidP="00AB723C">
            <w:pPr>
              <w:pStyle w:val="TableText"/>
              <w:rPr>
                <w:rFonts w:asciiTheme="majorHAnsi" w:hAnsiTheme="majorHAnsi"/>
              </w:rPr>
            </w:pPr>
            <w:r w:rsidRPr="00AB723C">
              <w:rPr>
                <w:rFonts w:asciiTheme="majorHAnsi" w:hAnsiTheme="majorHAnsi"/>
              </w:rPr>
              <w:t>Recognising deterioration and symptom assessment</w:t>
            </w:r>
          </w:p>
          <w:p w14:paraId="74444678" w14:textId="08B0CF60" w:rsidR="00AB723C" w:rsidRPr="00AB723C" w:rsidRDefault="00AB723C" w:rsidP="00AB723C">
            <w:pPr>
              <w:pStyle w:val="TableText"/>
            </w:pPr>
            <w:r w:rsidRPr="00AB723C">
              <w:t>Enhanced ability to identify signs of decline and initiate appropriate care responses</w:t>
            </w:r>
          </w:p>
        </w:tc>
        <w:tc>
          <w:tcPr>
            <w:tcW w:w="0" w:type="auto"/>
            <w:hideMark/>
          </w:tcPr>
          <w:p w14:paraId="7A506333" w14:textId="6C203605" w:rsidR="00AB723C" w:rsidRPr="00AB723C" w:rsidRDefault="003863F5" w:rsidP="00AB723C">
            <w:pPr>
              <w:pStyle w:val="TableText"/>
              <w:rPr>
                <w:i/>
                <w:iCs/>
              </w:rPr>
            </w:pPr>
            <w:r>
              <w:rPr>
                <w:i/>
                <w:iCs/>
              </w:rPr>
              <w:t>‘</w:t>
            </w:r>
            <w:r w:rsidR="00AB723C" w:rsidRPr="00AB723C">
              <w:rPr>
                <w:i/>
                <w:iCs/>
              </w:rPr>
              <w:t>Recognising signs of deterioration and how to manage them.</w:t>
            </w:r>
            <w:r>
              <w:rPr>
                <w:i/>
                <w:iCs/>
              </w:rPr>
              <w:t>’</w:t>
            </w:r>
          </w:p>
          <w:p w14:paraId="78FA943C" w14:textId="3F666D93" w:rsidR="00AB723C" w:rsidRPr="00AB723C" w:rsidRDefault="003863F5" w:rsidP="00AB723C">
            <w:pPr>
              <w:pStyle w:val="TableText"/>
              <w:rPr>
                <w:i/>
                <w:iCs/>
              </w:rPr>
            </w:pPr>
            <w:r>
              <w:rPr>
                <w:i/>
                <w:iCs/>
              </w:rPr>
              <w:t>‘</w:t>
            </w:r>
            <w:r w:rsidR="00AB723C" w:rsidRPr="00AB723C">
              <w:rPr>
                <w:i/>
                <w:iCs/>
              </w:rPr>
              <w:t>I now know how to use assessment tools like SPICT, PCOC, SOAP to track symptoms.</w:t>
            </w:r>
            <w:r>
              <w:rPr>
                <w:i/>
                <w:iCs/>
              </w:rPr>
              <w:t>’</w:t>
            </w:r>
          </w:p>
        </w:tc>
      </w:tr>
      <w:tr w:rsidR="00411A80" w:rsidRPr="00AB723C" w14:paraId="41E73856"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1B986494" w14:textId="06501DF6" w:rsidR="00AB723C" w:rsidRPr="00AB723C" w:rsidRDefault="00AB723C" w:rsidP="00AB723C">
            <w:pPr>
              <w:pStyle w:val="TableText"/>
              <w:rPr>
                <w:rFonts w:asciiTheme="majorHAnsi" w:hAnsiTheme="majorHAnsi"/>
              </w:rPr>
            </w:pPr>
            <w:r w:rsidRPr="00AB723C">
              <w:rPr>
                <w:rFonts w:asciiTheme="majorHAnsi" w:hAnsiTheme="majorHAnsi"/>
              </w:rPr>
              <w:t>Symptom management and medications</w:t>
            </w:r>
          </w:p>
          <w:p w14:paraId="405753BD" w14:textId="383F71C0" w:rsidR="00AB723C" w:rsidRPr="00AB723C" w:rsidRDefault="00AB723C" w:rsidP="00AB723C">
            <w:pPr>
              <w:pStyle w:val="TableText"/>
            </w:pPr>
            <w:r w:rsidRPr="00AB723C">
              <w:t>Practical knowledge and skills in managing pain, breathlessness, nausea, agitation, and understanding medication use (e.g. opioids)</w:t>
            </w:r>
          </w:p>
        </w:tc>
        <w:tc>
          <w:tcPr>
            <w:tcW w:w="0" w:type="auto"/>
            <w:hideMark/>
          </w:tcPr>
          <w:p w14:paraId="7134488F" w14:textId="7A69DF3A" w:rsidR="00AB723C" w:rsidRPr="00AB723C" w:rsidRDefault="003863F5" w:rsidP="00AB723C">
            <w:pPr>
              <w:pStyle w:val="TableText"/>
              <w:rPr>
                <w:i/>
                <w:iCs/>
              </w:rPr>
            </w:pPr>
            <w:r>
              <w:rPr>
                <w:i/>
                <w:iCs/>
              </w:rPr>
              <w:t>‘</w:t>
            </w:r>
            <w:r w:rsidR="00AB723C" w:rsidRPr="00AB723C">
              <w:rPr>
                <w:i/>
                <w:iCs/>
              </w:rPr>
              <w:t>Managing symptoms like pain and nausea using both medications and non-drug approaches.</w:t>
            </w:r>
            <w:r>
              <w:rPr>
                <w:i/>
                <w:iCs/>
              </w:rPr>
              <w:t>’</w:t>
            </w:r>
          </w:p>
          <w:p w14:paraId="7DD07A0D" w14:textId="7E174A11" w:rsidR="00AB723C" w:rsidRPr="00AB723C" w:rsidRDefault="003863F5" w:rsidP="00AB723C">
            <w:pPr>
              <w:pStyle w:val="TableText"/>
              <w:rPr>
                <w:i/>
                <w:iCs/>
              </w:rPr>
            </w:pPr>
            <w:r>
              <w:rPr>
                <w:i/>
                <w:iCs/>
              </w:rPr>
              <w:t>‘</w:t>
            </w:r>
            <w:r w:rsidR="00AB723C" w:rsidRPr="00AB723C">
              <w:rPr>
                <w:i/>
                <w:iCs/>
              </w:rPr>
              <w:t>Myths about morphine have been busted. I now understand its use in palliative care.</w:t>
            </w:r>
            <w:r>
              <w:rPr>
                <w:i/>
                <w:iCs/>
              </w:rPr>
              <w:t>’</w:t>
            </w:r>
          </w:p>
        </w:tc>
      </w:tr>
      <w:tr w:rsidR="00411A80" w:rsidRPr="00AB723C" w14:paraId="40AFD694"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5E691F92" w14:textId="66430AA8" w:rsidR="00AB723C" w:rsidRPr="00F00ADA" w:rsidRDefault="00AB723C" w:rsidP="00AB723C">
            <w:pPr>
              <w:pStyle w:val="TableText"/>
              <w:rPr>
                <w:rFonts w:asciiTheme="majorHAnsi" w:hAnsiTheme="majorHAnsi"/>
              </w:rPr>
            </w:pPr>
            <w:r w:rsidRPr="00F00ADA">
              <w:rPr>
                <w:rFonts w:asciiTheme="majorHAnsi" w:hAnsiTheme="majorHAnsi"/>
              </w:rPr>
              <w:t>Holistic and person-centred care</w:t>
            </w:r>
          </w:p>
          <w:p w14:paraId="01ED0633" w14:textId="5662A92F" w:rsidR="00AB723C" w:rsidRPr="00AB723C" w:rsidRDefault="00AB723C" w:rsidP="00AB723C">
            <w:pPr>
              <w:pStyle w:val="TableText"/>
            </w:pPr>
            <w:r w:rsidRPr="00AB723C">
              <w:t xml:space="preserve">Emphasis on treating the whole person—physically, emotionally, socially, and </w:t>
            </w:r>
            <w:r w:rsidRPr="00AB723C">
              <w:t>spiritually—and respecting individual preferences and values</w:t>
            </w:r>
          </w:p>
        </w:tc>
        <w:tc>
          <w:tcPr>
            <w:tcW w:w="0" w:type="auto"/>
            <w:hideMark/>
          </w:tcPr>
          <w:p w14:paraId="7D13840D" w14:textId="5133E478" w:rsidR="00AB723C" w:rsidRPr="00AB723C" w:rsidRDefault="003863F5" w:rsidP="00AB723C">
            <w:pPr>
              <w:pStyle w:val="TableText"/>
              <w:rPr>
                <w:i/>
                <w:iCs/>
              </w:rPr>
            </w:pPr>
            <w:r>
              <w:rPr>
                <w:i/>
                <w:iCs/>
              </w:rPr>
              <w:t>‘</w:t>
            </w:r>
            <w:r w:rsidR="00AB723C" w:rsidRPr="00AB723C">
              <w:rPr>
                <w:i/>
                <w:iCs/>
              </w:rPr>
              <w:t>Understanding that care should be tailored to a person</w:t>
            </w:r>
            <w:r>
              <w:rPr>
                <w:i/>
                <w:iCs/>
              </w:rPr>
              <w:t>’</w:t>
            </w:r>
            <w:r w:rsidR="00AB723C" w:rsidRPr="00AB723C">
              <w:rPr>
                <w:i/>
                <w:iCs/>
              </w:rPr>
              <w:t>s values and cultural beliefs.</w:t>
            </w:r>
            <w:r>
              <w:rPr>
                <w:i/>
                <w:iCs/>
              </w:rPr>
              <w:t>’</w:t>
            </w:r>
          </w:p>
          <w:p w14:paraId="70BDE966" w14:textId="3798A16A" w:rsidR="00AB723C" w:rsidRPr="00AB723C" w:rsidRDefault="003863F5" w:rsidP="00AB723C">
            <w:pPr>
              <w:pStyle w:val="TableText"/>
              <w:rPr>
                <w:i/>
                <w:iCs/>
              </w:rPr>
            </w:pPr>
            <w:r>
              <w:rPr>
                <w:i/>
                <w:iCs/>
              </w:rPr>
              <w:t>‘</w:t>
            </w:r>
            <w:r w:rsidR="00AB723C" w:rsidRPr="00AB723C">
              <w:rPr>
                <w:i/>
                <w:iCs/>
              </w:rPr>
              <w:t>Learning how to take a holistic approach that includes emotional and spiritual needs.</w:t>
            </w:r>
            <w:r>
              <w:rPr>
                <w:i/>
                <w:iCs/>
              </w:rPr>
              <w:t>’</w:t>
            </w:r>
          </w:p>
        </w:tc>
      </w:tr>
      <w:tr w:rsidR="00411A80" w:rsidRPr="00AB723C" w14:paraId="4E7920E9"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34C7D497" w14:textId="235F559A" w:rsidR="00AB723C" w:rsidRPr="00302C72" w:rsidRDefault="00AB723C" w:rsidP="00AB723C">
            <w:pPr>
              <w:pStyle w:val="TableText"/>
              <w:rPr>
                <w:rFonts w:asciiTheme="majorHAnsi" w:hAnsiTheme="majorHAnsi"/>
              </w:rPr>
            </w:pPr>
            <w:r w:rsidRPr="00302C72">
              <w:rPr>
                <w:rFonts w:asciiTheme="majorHAnsi" w:hAnsiTheme="majorHAnsi"/>
              </w:rPr>
              <w:t>Advance care planning and directives</w:t>
            </w:r>
          </w:p>
          <w:p w14:paraId="7133831D" w14:textId="5444B591" w:rsidR="00AB723C" w:rsidRPr="00AB723C" w:rsidRDefault="00AB723C" w:rsidP="00AB723C">
            <w:pPr>
              <w:pStyle w:val="TableText"/>
            </w:pPr>
            <w:r w:rsidRPr="00AB723C">
              <w:t xml:space="preserve">Stronger understanding of </w:t>
            </w:r>
            <w:r w:rsidR="00411A80">
              <w:t>advance care planning</w:t>
            </w:r>
            <w:r w:rsidRPr="00AB723C">
              <w:t>/</w:t>
            </w:r>
            <w:r w:rsidR="00411A80">
              <w:t>advance care directive</w:t>
            </w:r>
            <w:r w:rsidRPr="00AB723C">
              <w:t xml:space="preserve"> processes and how to engage residents and families in early discussions about preferences</w:t>
            </w:r>
          </w:p>
        </w:tc>
        <w:tc>
          <w:tcPr>
            <w:tcW w:w="0" w:type="auto"/>
            <w:hideMark/>
          </w:tcPr>
          <w:p w14:paraId="6039DCB4" w14:textId="45844AFB" w:rsidR="00AB723C" w:rsidRPr="00AB723C" w:rsidRDefault="003863F5" w:rsidP="00AB723C">
            <w:pPr>
              <w:pStyle w:val="TableText"/>
              <w:rPr>
                <w:i/>
                <w:iCs/>
              </w:rPr>
            </w:pPr>
            <w:r>
              <w:rPr>
                <w:i/>
                <w:iCs/>
              </w:rPr>
              <w:t>‘</w:t>
            </w:r>
            <w:r w:rsidR="00AB723C" w:rsidRPr="00AB723C">
              <w:rPr>
                <w:i/>
                <w:iCs/>
              </w:rPr>
              <w:t xml:space="preserve">The importance of early </w:t>
            </w:r>
            <w:r w:rsidR="00411A80">
              <w:rPr>
                <w:i/>
                <w:iCs/>
              </w:rPr>
              <w:t>a</w:t>
            </w:r>
            <w:r w:rsidR="00AB723C" w:rsidRPr="00AB723C">
              <w:rPr>
                <w:i/>
                <w:iCs/>
              </w:rPr>
              <w:t xml:space="preserve">dvance </w:t>
            </w:r>
            <w:r w:rsidR="00411A80">
              <w:rPr>
                <w:i/>
                <w:iCs/>
              </w:rPr>
              <w:t>c</w:t>
            </w:r>
            <w:r w:rsidR="00AB723C" w:rsidRPr="00AB723C">
              <w:rPr>
                <w:i/>
                <w:iCs/>
              </w:rPr>
              <w:t xml:space="preserve">are </w:t>
            </w:r>
            <w:r w:rsidR="00411A80">
              <w:rPr>
                <w:i/>
                <w:iCs/>
              </w:rPr>
              <w:t>p</w:t>
            </w:r>
            <w:r w:rsidR="00AB723C" w:rsidRPr="00AB723C">
              <w:rPr>
                <w:i/>
                <w:iCs/>
              </w:rPr>
              <w:t xml:space="preserve">lanning and understanding the difference between </w:t>
            </w:r>
            <w:r w:rsidR="00411A80">
              <w:rPr>
                <w:i/>
                <w:iCs/>
              </w:rPr>
              <w:t>advance care plan</w:t>
            </w:r>
            <w:r w:rsidR="00AB723C" w:rsidRPr="00AB723C">
              <w:rPr>
                <w:i/>
                <w:iCs/>
              </w:rPr>
              <w:t xml:space="preserve"> and </w:t>
            </w:r>
            <w:r w:rsidR="00411A80">
              <w:rPr>
                <w:i/>
                <w:iCs/>
              </w:rPr>
              <w:t>advance care directive</w:t>
            </w:r>
            <w:r w:rsidR="00AB723C" w:rsidRPr="00AB723C">
              <w:rPr>
                <w:i/>
                <w:iCs/>
              </w:rPr>
              <w:t>.</w:t>
            </w:r>
            <w:r>
              <w:rPr>
                <w:i/>
                <w:iCs/>
              </w:rPr>
              <w:t>’</w:t>
            </w:r>
          </w:p>
          <w:p w14:paraId="26D4D842" w14:textId="6573490A" w:rsidR="00AB723C" w:rsidRPr="00AB723C" w:rsidRDefault="003863F5" w:rsidP="00AB723C">
            <w:pPr>
              <w:pStyle w:val="TableText"/>
              <w:rPr>
                <w:i/>
                <w:iCs/>
              </w:rPr>
            </w:pPr>
            <w:r>
              <w:rPr>
                <w:i/>
                <w:iCs/>
              </w:rPr>
              <w:t>‘</w:t>
            </w:r>
            <w:r w:rsidR="00AB723C" w:rsidRPr="00AB723C">
              <w:rPr>
                <w:i/>
                <w:iCs/>
              </w:rPr>
              <w:t>Learning how to talk to families about the resident</w:t>
            </w:r>
            <w:r>
              <w:rPr>
                <w:i/>
                <w:iCs/>
              </w:rPr>
              <w:t>’</w:t>
            </w:r>
            <w:r w:rsidR="00AB723C" w:rsidRPr="00AB723C">
              <w:rPr>
                <w:i/>
                <w:iCs/>
              </w:rPr>
              <w:t>s care wishes and future plans.</w:t>
            </w:r>
            <w:r>
              <w:rPr>
                <w:i/>
                <w:iCs/>
              </w:rPr>
              <w:t>’</w:t>
            </w:r>
          </w:p>
        </w:tc>
      </w:tr>
      <w:tr w:rsidR="00411A80" w:rsidRPr="00AB723C" w14:paraId="44B63877"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17F068AF" w14:textId="3D2AFC4B" w:rsidR="00AB723C" w:rsidRPr="00302C72" w:rsidRDefault="00AB723C" w:rsidP="00AB723C">
            <w:pPr>
              <w:pStyle w:val="TableText"/>
              <w:rPr>
                <w:rFonts w:asciiTheme="majorHAnsi" w:hAnsiTheme="majorHAnsi"/>
              </w:rPr>
            </w:pPr>
            <w:r w:rsidRPr="00302C72">
              <w:rPr>
                <w:rFonts w:asciiTheme="majorHAnsi" w:hAnsiTheme="majorHAnsi"/>
              </w:rPr>
              <w:t>Self-care and emotional resilience</w:t>
            </w:r>
          </w:p>
          <w:p w14:paraId="7CECB379" w14:textId="247E2B48" w:rsidR="00AB723C" w:rsidRPr="00AB723C" w:rsidRDefault="00AB723C" w:rsidP="00AB723C">
            <w:pPr>
              <w:pStyle w:val="TableText"/>
            </w:pPr>
            <w:r w:rsidRPr="00AB723C">
              <w:t>Recognition of the emotional toll of palliative care work and strategies for managing personal wellbeing</w:t>
            </w:r>
          </w:p>
        </w:tc>
        <w:tc>
          <w:tcPr>
            <w:tcW w:w="0" w:type="auto"/>
            <w:hideMark/>
          </w:tcPr>
          <w:p w14:paraId="1FAE281D" w14:textId="63DDED9A" w:rsidR="00AB723C" w:rsidRPr="00AB723C" w:rsidRDefault="003863F5" w:rsidP="00AB723C">
            <w:pPr>
              <w:pStyle w:val="TableText"/>
              <w:rPr>
                <w:i/>
                <w:iCs/>
              </w:rPr>
            </w:pPr>
            <w:r>
              <w:rPr>
                <w:i/>
                <w:iCs/>
              </w:rPr>
              <w:t>‘</w:t>
            </w:r>
            <w:r w:rsidR="00AB723C" w:rsidRPr="00AB723C">
              <w:rPr>
                <w:i/>
                <w:iCs/>
              </w:rPr>
              <w:t>Learned how important self-care is so I can care for others.</w:t>
            </w:r>
            <w:r>
              <w:rPr>
                <w:i/>
                <w:iCs/>
              </w:rPr>
              <w:t>’</w:t>
            </w:r>
          </w:p>
          <w:p w14:paraId="77459D73" w14:textId="51665F0F" w:rsidR="00AB723C" w:rsidRPr="00AB723C" w:rsidRDefault="003863F5" w:rsidP="00AB723C">
            <w:pPr>
              <w:pStyle w:val="TableText"/>
              <w:rPr>
                <w:i/>
                <w:iCs/>
              </w:rPr>
            </w:pPr>
            <w:r>
              <w:rPr>
                <w:i/>
                <w:iCs/>
              </w:rPr>
              <w:t>‘</w:t>
            </w:r>
            <w:r w:rsidR="00AB723C" w:rsidRPr="00AB723C">
              <w:rPr>
                <w:i/>
                <w:iCs/>
              </w:rPr>
              <w:t>I now understand the value of debriefing and reflection in handling grief and stress.</w:t>
            </w:r>
            <w:r>
              <w:rPr>
                <w:i/>
                <w:iCs/>
              </w:rPr>
              <w:t>’</w:t>
            </w:r>
          </w:p>
        </w:tc>
      </w:tr>
      <w:tr w:rsidR="00411A80" w:rsidRPr="00AB723C" w14:paraId="37A68000"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1DA11875" w14:textId="6CCF1FD7" w:rsidR="00AB723C" w:rsidRPr="00302C72" w:rsidRDefault="00AB723C" w:rsidP="00AB723C">
            <w:pPr>
              <w:pStyle w:val="TableText"/>
              <w:rPr>
                <w:rFonts w:asciiTheme="majorHAnsi" w:hAnsiTheme="majorHAnsi"/>
              </w:rPr>
            </w:pPr>
            <w:r w:rsidRPr="00302C72">
              <w:rPr>
                <w:rFonts w:asciiTheme="majorHAnsi" w:hAnsiTheme="majorHAnsi"/>
              </w:rPr>
              <w:t>Grief, loss, and bereavement support</w:t>
            </w:r>
          </w:p>
          <w:p w14:paraId="4833F135" w14:textId="585BD311" w:rsidR="00AB723C" w:rsidRPr="00AB723C" w:rsidRDefault="00AB723C" w:rsidP="00AB723C">
            <w:pPr>
              <w:pStyle w:val="TableText"/>
            </w:pPr>
            <w:r w:rsidRPr="00AB723C">
              <w:t>Gained insight into supporting families before and after death, including understanding the grieving process</w:t>
            </w:r>
          </w:p>
        </w:tc>
        <w:tc>
          <w:tcPr>
            <w:tcW w:w="0" w:type="auto"/>
            <w:hideMark/>
          </w:tcPr>
          <w:p w14:paraId="0BB95AA5" w14:textId="3E946B02" w:rsidR="00AB723C" w:rsidRPr="00AB723C" w:rsidRDefault="003863F5" w:rsidP="00AB723C">
            <w:pPr>
              <w:pStyle w:val="TableText"/>
              <w:rPr>
                <w:i/>
                <w:iCs/>
              </w:rPr>
            </w:pPr>
            <w:r>
              <w:rPr>
                <w:i/>
                <w:iCs/>
              </w:rPr>
              <w:t>‘</w:t>
            </w:r>
            <w:r w:rsidR="00AB723C" w:rsidRPr="00AB723C">
              <w:rPr>
                <w:i/>
                <w:iCs/>
              </w:rPr>
              <w:t>Learned how to offer emotional support to families and respond to grief.</w:t>
            </w:r>
            <w:r>
              <w:rPr>
                <w:i/>
                <w:iCs/>
              </w:rPr>
              <w:t>’</w:t>
            </w:r>
          </w:p>
          <w:p w14:paraId="60D71DFE" w14:textId="7028FA8B" w:rsidR="00AB723C" w:rsidRPr="00AB723C" w:rsidRDefault="003863F5" w:rsidP="00AB723C">
            <w:pPr>
              <w:pStyle w:val="TableText"/>
              <w:rPr>
                <w:i/>
                <w:iCs/>
              </w:rPr>
            </w:pPr>
            <w:r>
              <w:rPr>
                <w:i/>
                <w:iCs/>
              </w:rPr>
              <w:t>‘</w:t>
            </w:r>
            <w:r w:rsidR="00AB723C" w:rsidRPr="00AB723C">
              <w:rPr>
                <w:i/>
                <w:iCs/>
              </w:rPr>
              <w:t>Understanding the stages of grief and how to support someone through them.</w:t>
            </w:r>
            <w:r>
              <w:rPr>
                <w:i/>
                <w:iCs/>
              </w:rPr>
              <w:t>’</w:t>
            </w:r>
          </w:p>
        </w:tc>
      </w:tr>
      <w:tr w:rsidR="00411A80" w:rsidRPr="00AB723C" w14:paraId="5E68C6C2"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09895AF7" w14:textId="43A8044F" w:rsidR="00AB723C" w:rsidRPr="00302C72" w:rsidRDefault="00AB723C" w:rsidP="00AB723C">
            <w:pPr>
              <w:pStyle w:val="TableText"/>
              <w:rPr>
                <w:rFonts w:asciiTheme="majorHAnsi" w:hAnsiTheme="majorHAnsi"/>
              </w:rPr>
            </w:pPr>
            <w:r w:rsidRPr="00302C72">
              <w:rPr>
                <w:rFonts w:asciiTheme="majorHAnsi" w:hAnsiTheme="majorHAnsi"/>
              </w:rPr>
              <w:t>Cultural competence</w:t>
            </w:r>
          </w:p>
          <w:p w14:paraId="75737CD6" w14:textId="4AD379DB" w:rsidR="00AB723C" w:rsidRPr="00AB723C" w:rsidRDefault="00AB723C" w:rsidP="00AB723C">
            <w:pPr>
              <w:pStyle w:val="TableText"/>
            </w:pPr>
            <w:r w:rsidRPr="00AB723C">
              <w:t>Awareness of how to provide culturally safe and respectful care, particularly at the end of life</w:t>
            </w:r>
          </w:p>
        </w:tc>
        <w:tc>
          <w:tcPr>
            <w:tcW w:w="0" w:type="auto"/>
            <w:hideMark/>
          </w:tcPr>
          <w:p w14:paraId="6A89060A" w14:textId="62694E6E" w:rsidR="00AB723C" w:rsidRPr="00AB723C" w:rsidRDefault="003863F5" w:rsidP="00AB723C">
            <w:pPr>
              <w:pStyle w:val="TableText"/>
              <w:rPr>
                <w:i/>
                <w:iCs/>
              </w:rPr>
            </w:pPr>
            <w:r>
              <w:rPr>
                <w:i/>
                <w:iCs/>
              </w:rPr>
              <w:t>‘</w:t>
            </w:r>
            <w:r w:rsidR="00AB723C" w:rsidRPr="00AB723C">
              <w:rPr>
                <w:i/>
                <w:iCs/>
              </w:rPr>
              <w:t>Recognising and respecting cultural beliefs during end-of-life care.</w:t>
            </w:r>
            <w:r>
              <w:rPr>
                <w:i/>
                <w:iCs/>
              </w:rPr>
              <w:t>’</w:t>
            </w:r>
          </w:p>
          <w:p w14:paraId="25B9A7D8" w14:textId="30B1DB6C" w:rsidR="00AB723C" w:rsidRPr="00AB723C" w:rsidRDefault="003863F5" w:rsidP="00AB723C">
            <w:pPr>
              <w:pStyle w:val="TableText"/>
              <w:rPr>
                <w:i/>
                <w:iCs/>
              </w:rPr>
            </w:pPr>
            <w:r>
              <w:rPr>
                <w:i/>
                <w:iCs/>
              </w:rPr>
              <w:t>‘</w:t>
            </w:r>
            <w:r w:rsidR="00AB723C" w:rsidRPr="00AB723C">
              <w:rPr>
                <w:i/>
                <w:iCs/>
              </w:rPr>
              <w:t>Supporting families with legacy work, storytelling, and memory-making.</w:t>
            </w:r>
            <w:r>
              <w:rPr>
                <w:i/>
                <w:iCs/>
              </w:rPr>
              <w:t>’</w:t>
            </w:r>
          </w:p>
        </w:tc>
      </w:tr>
      <w:tr w:rsidR="00411A80" w:rsidRPr="00AB723C" w14:paraId="19E4D5CA"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749DF0A4" w14:textId="64697DAC" w:rsidR="00AB723C" w:rsidRPr="00302C72" w:rsidRDefault="00AB723C" w:rsidP="00AB723C">
            <w:pPr>
              <w:pStyle w:val="TableText"/>
              <w:rPr>
                <w:rFonts w:asciiTheme="majorHAnsi" w:hAnsiTheme="majorHAnsi"/>
              </w:rPr>
            </w:pPr>
            <w:r w:rsidRPr="00302C72">
              <w:rPr>
                <w:rFonts w:asciiTheme="majorHAnsi" w:hAnsiTheme="majorHAnsi"/>
              </w:rPr>
              <w:t>Teamwork and interdisciplinary collaboration</w:t>
            </w:r>
          </w:p>
          <w:p w14:paraId="6A25C08E" w14:textId="43B90A0A" w:rsidR="00AB723C" w:rsidRPr="00AB723C" w:rsidRDefault="00AB723C" w:rsidP="00AB723C">
            <w:pPr>
              <w:pStyle w:val="TableText"/>
            </w:pPr>
            <w:r w:rsidRPr="00AB723C">
              <w:t>Improved awareness of working as part of a healthcare team and knowing when and how to involve others</w:t>
            </w:r>
          </w:p>
        </w:tc>
        <w:tc>
          <w:tcPr>
            <w:tcW w:w="0" w:type="auto"/>
            <w:hideMark/>
          </w:tcPr>
          <w:p w14:paraId="455906E4" w14:textId="3DDD8486" w:rsidR="00AB723C" w:rsidRPr="00AB723C" w:rsidRDefault="003863F5" w:rsidP="00AB723C">
            <w:pPr>
              <w:pStyle w:val="TableText"/>
              <w:rPr>
                <w:i/>
                <w:iCs/>
              </w:rPr>
            </w:pPr>
            <w:r>
              <w:rPr>
                <w:i/>
                <w:iCs/>
              </w:rPr>
              <w:t>‘</w:t>
            </w:r>
            <w:r w:rsidR="00AB723C" w:rsidRPr="00AB723C">
              <w:rPr>
                <w:i/>
                <w:iCs/>
              </w:rPr>
              <w:t>Understanding the importance of teamwork when supporting someone who is dying.</w:t>
            </w:r>
            <w:r>
              <w:rPr>
                <w:i/>
                <w:iCs/>
              </w:rPr>
              <w:t>’</w:t>
            </w:r>
          </w:p>
          <w:p w14:paraId="036A239C" w14:textId="46219DAF" w:rsidR="00AB723C" w:rsidRPr="00AB723C" w:rsidRDefault="003863F5" w:rsidP="00AB723C">
            <w:pPr>
              <w:pStyle w:val="TableText"/>
              <w:rPr>
                <w:i/>
                <w:iCs/>
              </w:rPr>
            </w:pPr>
            <w:r>
              <w:rPr>
                <w:i/>
                <w:iCs/>
              </w:rPr>
              <w:t>‘</w:t>
            </w:r>
            <w:r w:rsidR="00AB723C" w:rsidRPr="00AB723C">
              <w:rPr>
                <w:i/>
                <w:iCs/>
              </w:rPr>
              <w:t>Learning when to contact the GP, allied health, or spiritual care.</w:t>
            </w:r>
            <w:r>
              <w:rPr>
                <w:i/>
                <w:iCs/>
              </w:rPr>
              <w:t>’</w:t>
            </w:r>
          </w:p>
        </w:tc>
      </w:tr>
      <w:tr w:rsidR="00411A80" w:rsidRPr="00AB723C" w14:paraId="2C2F75CB"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7AEA701C" w14:textId="0AA821E7" w:rsidR="00AB723C" w:rsidRPr="00302C72" w:rsidRDefault="00AB723C" w:rsidP="00AB723C">
            <w:pPr>
              <w:pStyle w:val="TableText"/>
              <w:rPr>
                <w:rFonts w:asciiTheme="majorHAnsi" w:hAnsiTheme="majorHAnsi"/>
              </w:rPr>
            </w:pPr>
            <w:r w:rsidRPr="00302C72">
              <w:rPr>
                <w:rFonts w:asciiTheme="majorHAnsi" w:hAnsiTheme="majorHAnsi"/>
              </w:rPr>
              <w:lastRenderedPageBreak/>
              <w:t>Use of tools, resources and documentation</w:t>
            </w:r>
          </w:p>
          <w:p w14:paraId="0EDBD830" w14:textId="13A20445" w:rsidR="00AB723C" w:rsidRPr="00AB723C" w:rsidRDefault="00AB723C" w:rsidP="00AB723C">
            <w:pPr>
              <w:pStyle w:val="TableText"/>
            </w:pPr>
            <w:r w:rsidRPr="00AB723C">
              <w:t>Familiarity with practical tools (e.g. SPICT, STOP and WATCH) and confidence in using them for assessment and communication</w:t>
            </w:r>
          </w:p>
        </w:tc>
        <w:tc>
          <w:tcPr>
            <w:tcW w:w="0" w:type="auto"/>
            <w:hideMark/>
          </w:tcPr>
          <w:p w14:paraId="23016036" w14:textId="6F065B13" w:rsidR="00AB723C" w:rsidRPr="00AB723C" w:rsidRDefault="003863F5" w:rsidP="00AB723C">
            <w:pPr>
              <w:pStyle w:val="TableText"/>
              <w:rPr>
                <w:i/>
                <w:iCs/>
              </w:rPr>
            </w:pPr>
            <w:r>
              <w:rPr>
                <w:i/>
                <w:iCs/>
              </w:rPr>
              <w:t>‘</w:t>
            </w:r>
            <w:r w:rsidR="00AB723C" w:rsidRPr="00AB723C">
              <w:rPr>
                <w:i/>
                <w:iCs/>
              </w:rPr>
              <w:t>Use of assessment tools like SPICT, PCOC, SOAP to track resident needs.</w:t>
            </w:r>
            <w:r>
              <w:rPr>
                <w:i/>
                <w:iCs/>
              </w:rPr>
              <w:t>’</w:t>
            </w:r>
          </w:p>
          <w:p w14:paraId="06D4C8FE" w14:textId="5B1F5EE4" w:rsidR="00AB723C" w:rsidRPr="00AB723C" w:rsidRDefault="003863F5" w:rsidP="00AB723C">
            <w:pPr>
              <w:pStyle w:val="TableText"/>
              <w:rPr>
                <w:i/>
                <w:iCs/>
              </w:rPr>
            </w:pPr>
            <w:r>
              <w:rPr>
                <w:i/>
                <w:iCs/>
              </w:rPr>
              <w:t>‘</w:t>
            </w:r>
            <w:r w:rsidR="00AB723C" w:rsidRPr="00AB723C">
              <w:rPr>
                <w:i/>
                <w:iCs/>
              </w:rPr>
              <w:t>Learning how to use documentation like care plans and ACDs effectively.</w:t>
            </w:r>
            <w:r>
              <w:rPr>
                <w:i/>
                <w:iCs/>
              </w:rPr>
              <w:t>’</w:t>
            </w:r>
          </w:p>
        </w:tc>
      </w:tr>
    </w:tbl>
    <w:p w14:paraId="61947BFD" w14:textId="2FCD9229" w:rsidR="0034597A" w:rsidRDefault="00244999" w:rsidP="00244999">
      <w:pPr>
        <w:pStyle w:val="Tablenotes"/>
      </w:pPr>
      <w:r w:rsidRPr="00362F97">
        <w:t>Source: PEPA Aged Care program data provided by QUT, September 2025</w:t>
      </w:r>
      <w:r w:rsidR="00B52212">
        <w:t>.</w:t>
      </w:r>
    </w:p>
    <w:p w14:paraId="186587BB" w14:textId="0D170B0D" w:rsidR="0034597A" w:rsidRDefault="0099384A" w:rsidP="0034597A">
      <w:r>
        <w:fldChar w:fldCharType="begin"/>
      </w:r>
      <w:r>
        <w:instrText xml:space="preserve"> REF _Ref215671593 \h </w:instrText>
      </w:r>
      <w:r>
        <w:fldChar w:fldCharType="separate"/>
      </w:r>
      <w:r w:rsidR="00167BA0">
        <w:t xml:space="preserve">Figure </w:t>
      </w:r>
      <w:r w:rsidR="00167BA0">
        <w:rPr>
          <w:noProof/>
        </w:rPr>
        <w:t>9</w:t>
      </w:r>
      <w:r w:rsidR="00167BA0">
        <w:t>.</w:t>
      </w:r>
      <w:r w:rsidR="00167BA0">
        <w:rPr>
          <w:noProof/>
        </w:rPr>
        <w:t>5</w:t>
      </w:r>
      <w:r>
        <w:fldChar w:fldCharType="end"/>
      </w:r>
      <w:r w:rsidR="009471B8">
        <w:t xml:space="preserve"> presents responses to the post-placement evaluation survey conducted by PEPA Aged Care.</w:t>
      </w:r>
    </w:p>
    <w:p w14:paraId="5F808415" w14:textId="7B8175C5" w:rsidR="00597C82" w:rsidRDefault="00597C82" w:rsidP="00597C82">
      <w:pPr>
        <w:pStyle w:val="Caption"/>
      </w:pPr>
      <w:bookmarkStart w:id="197" w:name="_Ref215671593"/>
      <w:r>
        <w:t xml:space="preserve">Figure </w:t>
      </w:r>
      <w:fldSimple w:instr=" STYLEREF 1 \s ">
        <w:r w:rsidR="00167BA0">
          <w:rPr>
            <w:noProof/>
          </w:rPr>
          <w:t>9</w:t>
        </w:r>
      </w:fldSimple>
      <w:r w:rsidR="00DD3EB1">
        <w:t>.</w:t>
      </w:r>
      <w:fldSimple w:instr=" SEQ Figure \* ARABIC \s 1 ">
        <w:r w:rsidR="00167BA0">
          <w:rPr>
            <w:noProof/>
          </w:rPr>
          <w:t>5</w:t>
        </w:r>
      </w:fldSimple>
      <w:bookmarkEnd w:id="197"/>
      <w:r>
        <w:t xml:space="preserve">: </w:t>
      </w:r>
      <w:r w:rsidRPr="00837156">
        <w:t>Post-placement PEPA Aged Care evaluation survey responses (n=704)</w:t>
      </w:r>
    </w:p>
    <w:p w14:paraId="5DBD8726" w14:textId="28A3B9A9" w:rsidR="006C78A7" w:rsidRDefault="006A21C1" w:rsidP="006C78A7">
      <w:r>
        <w:rPr>
          <w:noProof/>
        </w:rPr>
        <w:drawing>
          <wp:inline distT="0" distB="0" distL="0" distR="0" wp14:anchorId="60239AA8" wp14:editId="19266BC8">
            <wp:extent cx="4600575" cy="2917644"/>
            <wp:effectExtent l="0" t="0" r="0" b="0"/>
            <wp:docPr id="2126575406" name="Picture 15" descr="Figure 9.5 is a diagram showing post-placement PEPA Aged Care evaluation survey responses (n=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75406" name="Picture 15" descr="Figure 9.5 is a diagram showing post-placement PEPA Aged Care evaluation survey responses (n=70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610708" cy="2924070"/>
                    </a:xfrm>
                    <a:prstGeom prst="rect">
                      <a:avLst/>
                    </a:prstGeom>
                    <a:noFill/>
                  </pic:spPr>
                </pic:pic>
              </a:graphicData>
            </a:graphic>
          </wp:inline>
        </w:drawing>
      </w:r>
    </w:p>
    <w:p w14:paraId="6FD20E21" w14:textId="77777777" w:rsidR="0083691D" w:rsidRDefault="00597C82" w:rsidP="00597C82">
      <w:pPr>
        <w:pStyle w:val="Tablenotes"/>
        <w:sectPr w:rsidR="0083691D" w:rsidSect="00377FBB">
          <w:pgSz w:w="16838" w:h="11906" w:orient="landscape" w:code="9"/>
          <w:pgMar w:top="851" w:right="851" w:bottom="851" w:left="851" w:header="709" w:footer="567" w:gutter="0"/>
          <w:cols w:num="2" w:space="709"/>
          <w:docGrid w:linePitch="360"/>
        </w:sectPr>
      </w:pPr>
      <w:r>
        <w:t xml:space="preserve">Source: </w:t>
      </w:r>
      <w:r w:rsidR="00244999" w:rsidRPr="00362F97">
        <w:t>PEPA Aged Care program data provided by QUT, September 2025</w:t>
      </w:r>
      <w:r>
        <w:t>.</w:t>
      </w:r>
    </w:p>
    <w:p w14:paraId="394F66C0" w14:textId="77777777" w:rsidR="00157D92" w:rsidRDefault="00157D92" w:rsidP="00157D92">
      <w:pPr>
        <w:pStyle w:val="Heading3-nonumber"/>
      </w:pPr>
      <w:r>
        <w:t>PEPA Aged Care financial analysis</w:t>
      </w:r>
    </w:p>
    <w:p w14:paraId="3EA7FFBF" w14:textId="0A4E62CC" w:rsidR="00377FBB" w:rsidRDefault="00863325" w:rsidP="009471B8">
      <w:r>
        <w:fldChar w:fldCharType="begin"/>
      </w:r>
      <w:r>
        <w:instrText xml:space="preserve"> REF _Ref216793397 \h </w:instrText>
      </w:r>
      <w:r>
        <w:fldChar w:fldCharType="separate"/>
      </w:r>
      <w:r w:rsidR="00167BA0">
        <w:t xml:space="preserve">Table </w:t>
      </w:r>
      <w:r w:rsidR="00167BA0">
        <w:rPr>
          <w:noProof/>
        </w:rPr>
        <w:t>9</w:t>
      </w:r>
      <w:r w:rsidR="00167BA0">
        <w:t>.</w:t>
      </w:r>
      <w:r w:rsidR="00167BA0">
        <w:rPr>
          <w:noProof/>
        </w:rPr>
        <w:t>15</w:t>
      </w:r>
      <w:r>
        <w:fldChar w:fldCharType="end"/>
      </w:r>
      <w:r w:rsidR="003429AA">
        <w:t xml:space="preserve"> </w:t>
      </w:r>
      <w:r w:rsidR="00A474A5">
        <w:t xml:space="preserve">provides a breakdown of PEPA Aged Care expenditure across different financial years by </w:t>
      </w:r>
      <w:r>
        <w:t>expense type</w:t>
      </w:r>
      <w:r w:rsidR="00A474A5">
        <w:t>.</w:t>
      </w:r>
      <w:bookmarkStart w:id="198" w:name="_Ref215131476"/>
    </w:p>
    <w:p w14:paraId="2D3C2916" w14:textId="26AC4414" w:rsidR="00605261" w:rsidRDefault="00605261" w:rsidP="00605261">
      <w:pPr>
        <w:pStyle w:val="Caption"/>
      </w:pPr>
      <w:bookmarkStart w:id="199" w:name="_Ref216793397"/>
      <w:bookmarkStart w:id="200" w:name="_Ref216796962"/>
      <w:bookmarkEnd w:id="198"/>
      <w:r>
        <w:t xml:space="preserve">Table </w:t>
      </w:r>
      <w:fldSimple w:instr=" STYLEREF 1 \s ">
        <w:r w:rsidR="0091457A">
          <w:rPr>
            <w:noProof/>
          </w:rPr>
          <w:t>9</w:t>
        </w:r>
      </w:fldSimple>
      <w:r w:rsidR="0091457A">
        <w:t>.</w:t>
      </w:r>
      <w:fldSimple w:instr=" SEQ Table \* ARABIC \s 1 ">
        <w:r w:rsidR="0091457A">
          <w:rPr>
            <w:noProof/>
          </w:rPr>
          <w:t>15</w:t>
        </w:r>
      </w:fldSimple>
      <w:bookmarkEnd w:id="199"/>
      <w:bookmarkEnd w:id="200"/>
      <w:r>
        <w:t xml:space="preserve">: </w:t>
      </w:r>
      <w:r w:rsidRPr="00105EB0">
        <w:t>PEPA Aged Care expenditure by financial year, and the average proportion of expenditure, with some items analysed relative to the number of complete placements</w:t>
      </w:r>
    </w:p>
    <w:tbl>
      <w:tblPr>
        <w:tblStyle w:val="HMAdefaulttable"/>
        <w:tblW w:w="5000" w:type="pct"/>
        <w:jc w:val="center"/>
        <w:tblBorders>
          <w:left w:val="single" w:sz="4" w:space="0" w:color="auto"/>
          <w:right w:val="single" w:sz="4" w:space="0" w:color="auto"/>
          <w:insideV w:val="single" w:sz="4" w:space="0" w:color="auto"/>
        </w:tblBorders>
        <w:tblLook w:val="04A0" w:firstRow="1" w:lastRow="0" w:firstColumn="1" w:lastColumn="0" w:noHBand="0" w:noVBand="1"/>
        <w:tblCaption w:val="Summary of PEPA Aged Care expenditure"/>
        <w:tblDescription w:val="Table shows a breakdown of PEPA Aged Care expenditure across four financial years from 2021-22 to 2024-25, by expense type."/>
      </w:tblPr>
      <w:tblGrid>
        <w:gridCol w:w="3857"/>
        <w:gridCol w:w="2120"/>
        <w:gridCol w:w="2120"/>
        <w:gridCol w:w="2120"/>
        <w:gridCol w:w="2120"/>
        <w:gridCol w:w="1394"/>
        <w:gridCol w:w="1395"/>
      </w:tblGrid>
      <w:tr w:rsidR="00C43174" w:rsidRPr="0033609E" w14:paraId="5068DCAD" w14:textId="77777777" w:rsidTr="00AF34A0">
        <w:trPr>
          <w:cnfStyle w:val="100000000000" w:firstRow="1" w:lastRow="0" w:firstColumn="0" w:lastColumn="0" w:oddVBand="0" w:evenVBand="0" w:oddHBand="0" w:evenHBand="0" w:firstRowFirstColumn="0" w:firstRowLastColumn="0" w:lastRowFirstColumn="0" w:lastRowLastColumn="0"/>
          <w:trHeight w:val="244"/>
          <w:tblHeader/>
          <w:jc w:val="center"/>
        </w:trPr>
        <w:tc>
          <w:tcPr>
            <w:cnfStyle w:val="001000000000" w:firstRow="0" w:lastRow="0" w:firstColumn="1" w:lastColumn="0" w:oddVBand="0" w:evenVBand="0" w:oddHBand="0" w:evenHBand="0" w:firstRowFirstColumn="0" w:firstRowLastColumn="0" w:lastRowFirstColumn="0" w:lastRowLastColumn="0"/>
            <w:tcW w:w="1412" w:type="pct"/>
            <w:noWrap/>
            <w:hideMark/>
          </w:tcPr>
          <w:p w14:paraId="7800FFF7" w14:textId="57548D8A" w:rsidR="00C43174" w:rsidRPr="00CA77D5" w:rsidRDefault="00455780">
            <w:pPr>
              <w:pStyle w:val="TableHeading"/>
            </w:pPr>
            <w:r>
              <w:t>Expense type</w:t>
            </w:r>
          </w:p>
        </w:tc>
        <w:tc>
          <w:tcPr>
            <w:tcW w:w="598" w:type="pct"/>
            <w:noWrap/>
            <w:hideMark/>
          </w:tcPr>
          <w:p w14:paraId="596891CD" w14:textId="77777777" w:rsidR="00C43174" w:rsidRPr="00CA77D5" w:rsidRDefault="00C43174" w:rsidP="008F79B7">
            <w:pPr>
              <w:pStyle w:val="TableHeading"/>
              <w:jc w:val="right"/>
              <w:cnfStyle w:val="100000000000" w:firstRow="1" w:lastRow="0" w:firstColumn="0" w:lastColumn="0" w:oddVBand="0" w:evenVBand="0" w:oddHBand="0" w:evenHBand="0" w:firstRowFirstColumn="0" w:firstRowLastColumn="0" w:lastRowFirstColumn="0" w:lastRowLastColumn="0"/>
            </w:pPr>
            <w:r w:rsidRPr="00C966A4">
              <w:t>June 2021</w:t>
            </w:r>
            <w:r>
              <w:t>–</w:t>
            </w:r>
            <w:r w:rsidRPr="00C966A4">
              <w:t>July 2022</w:t>
            </w:r>
          </w:p>
        </w:tc>
        <w:tc>
          <w:tcPr>
            <w:tcW w:w="598" w:type="pct"/>
            <w:noWrap/>
            <w:hideMark/>
          </w:tcPr>
          <w:p w14:paraId="1BAE550B" w14:textId="77777777" w:rsidR="00C43174" w:rsidRPr="00CA77D5" w:rsidRDefault="00C43174" w:rsidP="008F79B7">
            <w:pPr>
              <w:pStyle w:val="TableHeading"/>
              <w:jc w:val="right"/>
              <w:cnfStyle w:val="100000000000" w:firstRow="1" w:lastRow="0" w:firstColumn="0" w:lastColumn="0" w:oddVBand="0" w:evenVBand="0" w:oddHBand="0" w:evenHBand="0" w:firstRowFirstColumn="0" w:firstRowLastColumn="0" w:lastRowFirstColumn="0" w:lastRowLastColumn="0"/>
            </w:pPr>
            <w:r w:rsidRPr="00C966A4">
              <w:t>July 2022</w:t>
            </w:r>
            <w:r>
              <w:t>–</w:t>
            </w:r>
            <w:r w:rsidRPr="00C966A4">
              <w:t>June 2023</w:t>
            </w:r>
          </w:p>
        </w:tc>
        <w:tc>
          <w:tcPr>
            <w:tcW w:w="598" w:type="pct"/>
            <w:noWrap/>
            <w:hideMark/>
          </w:tcPr>
          <w:p w14:paraId="0A014C3C" w14:textId="77777777" w:rsidR="00C43174" w:rsidRPr="00CA77D5" w:rsidRDefault="00C43174" w:rsidP="008F79B7">
            <w:pPr>
              <w:pStyle w:val="TableHeading"/>
              <w:jc w:val="right"/>
              <w:cnfStyle w:val="100000000000" w:firstRow="1" w:lastRow="0" w:firstColumn="0" w:lastColumn="0" w:oddVBand="0" w:evenVBand="0" w:oddHBand="0" w:evenHBand="0" w:firstRowFirstColumn="0" w:firstRowLastColumn="0" w:lastRowFirstColumn="0" w:lastRowLastColumn="0"/>
            </w:pPr>
            <w:r w:rsidRPr="00C966A4">
              <w:t>July 2023</w:t>
            </w:r>
            <w:r>
              <w:t>–</w:t>
            </w:r>
            <w:r w:rsidRPr="00C966A4">
              <w:t>June 2024</w:t>
            </w:r>
          </w:p>
        </w:tc>
        <w:tc>
          <w:tcPr>
            <w:tcW w:w="598" w:type="pct"/>
            <w:noWrap/>
            <w:hideMark/>
          </w:tcPr>
          <w:p w14:paraId="6ED646FA" w14:textId="77777777" w:rsidR="00C43174" w:rsidRPr="00CA77D5" w:rsidRDefault="00C43174" w:rsidP="008F79B7">
            <w:pPr>
              <w:pStyle w:val="TableHeading"/>
              <w:jc w:val="right"/>
              <w:cnfStyle w:val="100000000000" w:firstRow="1" w:lastRow="0" w:firstColumn="0" w:lastColumn="0" w:oddVBand="0" w:evenVBand="0" w:oddHBand="0" w:evenHBand="0" w:firstRowFirstColumn="0" w:firstRowLastColumn="0" w:lastRowFirstColumn="0" w:lastRowLastColumn="0"/>
            </w:pPr>
            <w:r w:rsidRPr="00C966A4">
              <w:t>July 2024</w:t>
            </w:r>
            <w:r>
              <w:t>–</w:t>
            </w:r>
            <w:r w:rsidRPr="00C966A4">
              <w:t>June 2025</w:t>
            </w:r>
          </w:p>
        </w:tc>
        <w:tc>
          <w:tcPr>
            <w:tcW w:w="598" w:type="pct"/>
          </w:tcPr>
          <w:p w14:paraId="2D6DD2F7" w14:textId="77777777" w:rsidR="00C43174" w:rsidRPr="00C43174" w:rsidRDefault="00C43174" w:rsidP="00B55D18">
            <w:pPr>
              <w:pStyle w:val="TableHeading"/>
              <w:jc w:val="right"/>
              <w:cnfStyle w:val="100000000000" w:firstRow="1" w:lastRow="0" w:firstColumn="0" w:lastColumn="0" w:oddVBand="0" w:evenVBand="0" w:oddHBand="0" w:evenHBand="0" w:firstRowFirstColumn="0" w:firstRowLastColumn="0" w:lastRowFirstColumn="0" w:lastRowLastColumn="0"/>
            </w:pPr>
            <w:r w:rsidRPr="00C43174">
              <w:t>Total</w:t>
            </w:r>
          </w:p>
        </w:tc>
        <w:tc>
          <w:tcPr>
            <w:tcW w:w="598" w:type="pct"/>
          </w:tcPr>
          <w:p w14:paraId="6943282B" w14:textId="77777777" w:rsidR="00C43174" w:rsidRPr="00C43174" w:rsidRDefault="00C43174" w:rsidP="00B55D18">
            <w:pPr>
              <w:pStyle w:val="TableHeading"/>
              <w:jc w:val="right"/>
              <w:cnfStyle w:val="100000000000" w:firstRow="1" w:lastRow="0" w:firstColumn="0" w:lastColumn="0" w:oddVBand="0" w:evenVBand="0" w:oddHBand="0" w:evenHBand="0" w:firstRowFirstColumn="0" w:firstRowLastColumn="0" w:lastRowFirstColumn="0" w:lastRowLastColumn="0"/>
            </w:pPr>
            <w:r w:rsidRPr="00C43174">
              <w:t xml:space="preserve">Average </w:t>
            </w:r>
          </w:p>
        </w:tc>
      </w:tr>
      <w:tr w:rsidR="00C43174" w:rsidRPr="0033609E" w14:paraId="7BAC9222"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61E6B7A1" w14:textId="77777777" w:rsidR="00C43174" w:rsidRPr="00CA77D5" w:rsidRDefault="00C43174">
            <w:pPr>
              <w:pStyle w:val="TableText"/>
            </w:pPr>
            <w:r w:rsidRPr="00C966A4">
              <w:t>Salaries</w:t>
            </w:r>
          </w:p>
        </w:tc>
        <w:tc>
          <w:tcPr>
            <w:tcW w:w="598" w:type="pct"/>
            <w:noWrap/>
          </w:tcPr>
          <w:p w14:paraId="6B1F9312"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$248,104</w:t>
            </w:r>
          </w:p>
        </w:tc>
        <w:tc>
          <w:tcPr>
            <w:tcW w:w="598" w:type="pct"/>
            <w:noWrap/>
          </w:tcPr>
          <w:p w14:paraId="355A15D9"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$621,043</w:t>
            </w:r>
          </w:p>
        </w:tc>
        <w:tc>
          <w:tcPr>
            <w:tcW w:w="598" w:type="pct"/>
            <w:noWrap/>
          </w:tcPr>
          <w:p w14:paraId="5C04E67E"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$911,082</w:t>
            </w:r>
          </w:p>
        </w:tc>
        <w:tc>
          <w:tcPr>
            <w:tcW w:w="598" w:type="pct"/>
            <w:noWrap/>
          </w:tcPr>
          <w:p w14:paraId="430B669C"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$1,139,253</w:t>
            </w:r>
          </w:p>
        </w:tc>
        <w:tc>
          <w:tcPr>
            <w:tcW w:w="598" w:type="pct"/>
          </w:tcPr>
          <w:p w14:paraId="276C4BA9"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$2,919,481</w:t>
            </w:r>
          </w:p>
        </w:tc>
        <w:tc>
          <w:tcPr>
            <w:tcW w:w="598" w:type="pct"/>
          </w:tcPr>
          <w:p w14:paraId="009F55D6"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$729,870</w:t>
            </w:r>
          </w:p>
        </w:tc>
      </w:tr>
      <w:tr w:rsidR="00C43174" w:rsidRPr="0033609E" w14:paraId="7C91939C"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266F26AE" w14:textId="2D3D4ADD" w:rsidR="00C43174" w:rsidRPr="00C95DFE" w:rsidRDefault="00C43174">
            <w:pPr>
              <w:pStyle w:val="TableText"/>
              <w:ind w:left="720"/>
              <w:rPr>
                <w:i/>
                <w:iCs/>
              </w:rPr>
            </w:pPr>
            <w:r>
              <w:rPr>
                <w:i/>
                <w:iCs/>
              </w:rPr>
              <w:t>P</w:t>
            </w:r>
            <w:r w:rsidRPr="00C95DFE">
              <w:rPr>
                <w:i/>
                <w:iCs/>
              </w:rPr>
              <w:t>er complete placement</w:t>
            </w:r>
          </w:p>
        </w:tc>
        <w:tc>
          <w:tcPr>
            <w:tcW w:w="598" w:type="pct"/>
            <w:noWrap/>
          </w:tcPr>
          <w:p w14:paraId="112B97B0"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$12,405</w:t>
            </w:r>
          </w:p>
        </w:tc>
        <w:tc>
          <w:tcPr>
            <w:tcW w:w="598" w:type="pct"/>
            <w:noWrap/>
          </w:tcPr>
          <w:p w14:paraId="5066F070"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$4,777</w:t>
            </w:r>
          </w:p>
        </w:tc>
        <w:tc>
          <w:tcPr>
            <w:tcW w:w="598" w:type="pct"/>
            <w:noWrap/>
          </w:tcPr>
          <w:p w14:paraId="1822C6B1"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$5,589</w:t>
            </w:r>
          </w:p>
        </w:tc>
        <w:tc>
          <w:tcPr>
            <w:tcW w:w="598" w:type="pct"/>
            <w:noWrap/>
          </w:tcPr>
          <w:p w14:paraId="092D2B27"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$7,210</w:t>
            </w:r>
          </w:p>
        </w:tc>
        <w:tc>
          <w:tcPr>
            <w:tcW w:w="598" w:type="pct"/>
          </w:tcPr>
          <w:p w14:paraId="24DD2926" w14:textId="5B5A24FD" w:rsidR="00C43174" w:rsidRPr="00C43174" w:rsidRDefault="00AF34A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c>
          <w:tcPr>
            <w:tcW w:w="598" w:type="pct"/>
          </w:tcPr>
          <w:p w14:paraId="53805033"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$7,496</w:t>
            </w:r>
          </w:p>
        </w:tc>
      </w:tr>
      <w:tr w:rsidR="00C43174" w:rsidRPr="0033609E" w14:paraId="5679000E"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77D8B4C4" w14:textId="2027CA08" w:rsidR="00C43174" w:rsidRPr="00CA77D5" w:rsidRDefault="00C43174">
            <w:pPr>
              <w:pStyle w:val="TableText"/>
            </w:pPr>
            <w:r w:rsidRPr="00C966A4">
              <w:t xml:space="preserve">Travel and </w:t>
            </w:r>
            <w:r>
              <w:t>a</w:t>
            </w:r>
            <w:r w:rsidRPr="00C966A4">
              <w:t>ccommodation</w:t>
            </w:r>
          </w:p>
        </w:tc>
        <w:tc>
          <w:tcPr>
            <w:tcW w:w="598" w:type="pct"/>
            <w:noWrap/>
          </w:tcPr>
          <w:p w14:paraId="4F9BAF06"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$15,693</w:t>
            </w:r>
          </w:p>
        </w:tc>
        <w:tc>
          <w:tcPr>
            <w:tcW w:w="598" w:type="pct"/>
            <w:noWrap/>
          </w:tcPr>
          <w:p w14:paraId="229661B5"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$86,248</w:t>
            </w:r>
          </w:p>
        </w:tc>
        <w:tc>
          <w:tcPr>
            <w:tcW w:w="598" w:type="pct"/>
            <w:noWrap/>
          </w:tcPr>
          <w:p w14:paraId="7E2F1F23"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$170,378</w:t>
            </w:r>
          </w:p>
        </w:tc>
        <w:tc>
          <w:tcPr>
            <w:tcW w:w="598" w:type="pct"/>
            <w:noWrap/>
          </w:tcPr>
          <w:p w14:paraId="70CA7F5E"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$164,506</w:t>
            </w:r>
          </w:p>
        </w:tc>
        <w:tc>
          <w:tcPr>
            <w:tcW w:w="598" w:type="pct"/>
          </w:tcPr>
          <w:p w14:paraId="23852A84"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$436,825</w:t>
            </w:r>
          </w:p>
        </w:tc>
        <w:tc>
          <w:tcPr>
            <w:tcW w:w="598" w:type="pct"/>
          </w:tcPr>
          <w:p w14:paraId="46BCDD0C"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$109,206</w:t>
            </w:r>
          </w:p>
        </w:tc>
      </w:tr>
      <w:tr w:rsidR="00C43174" w:rsidRPr="0033609E" w14:paraId="1EF8C445"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7B040C19" w14:textId="501FFB1E" w:rsidR="00C43174" w:rsidRPr="00C95DFE" w:rsidRDefault="00C43174">
            <w:pPr>
              <w:pStyle w:val="TableText"/>
              <w:ind w:left="720"/>
              <w:rPr>
                <w:i/>
                <w:iCs/>
              </w:rPr>
            </w:pPr>
            <w:r>
              <w:rPr>
                <w:i/>
                <w:iCs/>
              </w:rPr>
              <w:lastRenderedPageBreak/>
              <w:t>P</w:t>
            </w:r>
            <w:r w:rsidRPr="00C95DFE">
              <w:rPr>
                <w:i/>
                <w:iCs/>
              </w:rPr>
              <w:t>er complete placement</w:t>
            </w:r>
          </w:p>
        </w:tc>
        <w:tc>
          <w:tcPr>
            <w:tcW w:w="598" w:type="pct"/>
            <w:noWrap/>
          </w:tcPr>
          <w:p w14:paraId="65511450" w14:textId="77777777" w:rsidR="00C43174" w:rsidRPr="00167B84"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$785</w:t>
            </w:r>
          </w:p>
        </w:tc>
        <w:tc>
          <w:tcPr>
            <w:tcW w:w="598" w:type="pct"/>
            <w:noWrap/>
          </w:tcPr>
          <w:p w14:paraId="72853D5E" w14:textId="77777777" w:rsidR="00C43174" w:rsidRPr="00167B84"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$663</w:t>
            </w:r>
          </w:p>
        </w:tc>
        <w:tc>
          <w:tcPr>
            <w:tcW w:w="598" w:type="pct"/>
            <w:noWrap/>
          </w:tcPr>
          <w:p w14:paraId="7C902619" w14:textId="77777777" w:rsidR="00C43174" w:rsidRPr="00167B84"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$1,045</w:t>
            </w:r>
          </w:p>
        </w:tc>
        <w:tc>
          <w:tcPr>
            <w:tcW w:w="598" w:type="pct"/>
            <w:noWrap/>
          </w:tcPr>
          <w:p w14:paraId="41127D1A" w14:textId="77777777" w:rsidR="00C43174" w:rsidRPr="00167B84"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$1,041</w:t>
            </w:r>
          </w:p>
        </w:tc>
        <w:tc>
          <w:tcPr>
            <w:tcW w:w="598" w:type="pct"/>
          </w:tcPr>
          <w:p w14:paraId="7D561733" w14:textId="0B81B4CF" w:rsidR="00C43174" w:rsidRPr="00C43174" w:rsidRDefault="00AF34A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c>
          <w:tcPr>
            <w:tcW w:w="598" w:type="pct"/>
          </w:tcPr>
          <w:p w14:paraId="6AC4E7AD"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$884</w:t>
            </w:r>
          </w:p>
        </w:tc>
      </w:tr>
      <w:tr w:rsidR="00C43174" w:rsidRPr="0033609E" w14:paraId="27E3B8CA"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488E5E9C" w14:textId="545DA8E8" w:rsidR="00C43174" w:rsidRPr="00167B84" w:rsidRDefault="00C43174">
            <w:pPr>
              <w:pStyle w:val="TableText"/>
            </w:pPr>
            <w:r w:rsidRPr="00C966A4">
              <w:t xml:space="preserve">Education </w:t>
            </w:r>
            <w:r>
              <w:t>d</w:t>
            </w:r>
            <w:r w:rsidRPr="00C966A4">
              <w:t xml:space="preserve">esign and </w:t>
            </w:r>
            <w:r>
              <w:t>i</w:t>
            </w:r>
            <w:r w:rsidRPr="00C966A4">
              <w:t>mplementation</w:t>
            </w:r>
          </w:p>
        </w:tc>
        <w:tc>
          <w:tcPr>
            <w:tcW w:w="598" w:type="pct"/>
            <w:noWrap/>
          </w:tcPr>
          <w:p w14:paraId="18D074D2" w14:textId="77777777" w:rsidR="00C43174" w:rsidRPr="00167B84"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$600</w:t>
            </w:r>
          </w:p>
        </w:tc>
        <w:tc>
          <w:tcPr>
            <w:tcW w:w="598" w:type="pct"/>
            <w:noWrap/>
          </w:tcPr>
          <w:p w14:paraId="101E5038" w14:textId="77777777" w:rsidR="00C43174" w:rsidRPr="00167B84"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$0</w:t>
            </w:r>
          </w:p>
        </w:tc>
        <w:tc>
          <w:tcPr>
            <w:tcW w:w="598" w:type="pct"/>
            <w:noWrap/>
          </w:tcPr>
          <w:p w14:paraId="75F82319" w14:textId="77777777" w:rsidR="00C43174" w:rsidRPr="00167B84"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$38,282</w:t>
            </w:r>
          </w:p>
        </w:tc>
        <w:tc>
          <w:tcPr>
            <w:tcW w:w="598" w:type="pct"/>
            <w:noWrap/>
          </w:tcPr>
          <w:p w14:paraId="4B675D1C" w14:textId="77777777" w:rsidR="00C43174" w:rsidRPr="00167B84"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$0</w:t>
            </w:r>
          </w:p>
        </w:tc>
        <w:tc>
          <w:tcPr>
            <w:tcW w:w="598" w:type="pct"/>
          </w:tcPr>
          <w:p w14:paraId="576BCBB8"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$38,882</w:t>
            </w:r>
          </w:p>
        </w:tc>
        <w:tc>
          <w:tcPr>
            <w:tcW w:w="598" w:type="pct"/>
          </w:tcPr>
          <w:p w14:paraId="5D7335CC"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$9,720</w:t>
            </w:r>
          </w:p>
        </w:tc>
      </w:tr>
      <w:tr w:rsidR="00C43174" w:rsidRPr="0033609E" w14:paraId="3844B583"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6634E384" w14:textId="756659D0" w:rsidR="00C43174" w:rsidRPr="00CA77D5" w:rsidRDefault="00C43174">
            <w:pPr>
              <w:pStyle w:val="TableText"/>
            </w:pPr>
            <w:r w:rsidRPr="00C966A4">
              <w:t>Marketing/</w:t>
            </w:r>
            <w:r>
              <w:t>p</w:t>
            </w:r>
            <w:r w:rsidRPr="00C966A4">
              <w:t>romotion</w:t>
            </w:r>
          </w:p>
        </w:tc>
        <w:tc>
          <w:tcPr>
            <w:tcW w:w="598" w:type="pct"/>
            <w:noWrap/>
          </w:tcPr>
          <w:p w14:paraId="16091965"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$320</w:t>
            </w:r>
          </w:p>
        </w:tc>
        <w:tc>
          <w:tcPr>
            <w:tcW w:w="598" w:type="pct"/>
            <w:noWrap/>
          </w:tcPr>
          <w:p w14:paraId="761FF461"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$8,984</w:t>
            </w:r>
          </w:p>
        </w:tc>
        <w:tc>
          <w:tcPr>
            <w:tcW w:w="598" w:type="pct"/>
            <w:noWrap/>
          </w:tcPr>
          <w:p w14:paraId="42EF3263"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$75,179</w:t>
            </w:r>
          </w:p>
        </w:tc>
        <w:tc>
          <w:tcPr>
            <w:tcW w:w="598" w:type="pct"/>
            <w:noWrap/>
          </w:tcPr>
          <w:p w14:paraId="6D6CD142"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$52,353</w:t>
            </w:r>
          </w:p>
        </w:tc>
        <w:tc>
          <w:tcPr>
            <w:tcW w:w="598" w:type="pct"/>
          </w:tcPr>
          <w:p w14:paraId="02A4D441"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$136,836</w:t>
            </w:r>
          </w:p>
        </w:tc>
        <w:tc>
          <w:tcPr>
            <w:tcW w:w="598" w:type="pct"/>
          </w:tcPr>
          <w:p w14:paraId="086F7E16"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$34,209</w:t>
            </w:r>
          </w:p>
        </w:tc>
      </w:tr>
      <w:tr w:rsidR="00C43174" w:rsidRPr="0033609E" w14:paraId="60E3F3E0"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3EF430CE" w14:textId="77777777" w:rsidR="00C43174" w:rsidRPr="00DD444B" w:rsidRDefault="00C43174">
            <w:pPr>
              <w:pStyle w:val="TableText"/>
            </w:pPr>
            <w:r w:rsidRPr="00C966A4">
              <w:t>Overheads</w:t>
            </w:r>
          </w:p>
        </w:tc>
        <w:tc>
          <w:tcPr>
            <w:tcW w:w="598" w:type="pct"/>
            <w:noWrap/>
          </w:tcPr>
          <w:p w14:paraId="390131AB"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$406,500</w:t>
            </w:r>
          </w:p>
        </w:tc>
        <w:tc>
          <w:tcPr>
            <w:tcW w:w="598" w:type="pct"/>
            <w:noWrap/>
          </w:tcPr>
          <w:p w14:paraId="7DDB36FF"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$415,750</w:t>
            </w:r>
          </w:p>
        </w:tc>
        <w:tc>
          <w:tcPr>
            <w:tcW w:w="598" w:type="pct"/>
            <w:noWrap/>
          </w:tcPr>
          <w:p w14:paraId="5DD9D895"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$425,250</w:t>
            </w:r>
          </w:p>
        </w:tc>
        <w:tc>
          <w:tcPr>
            <w:tcW w:w="598" w:type="pct"/>
            <w:noWrap/>
          </w:tcPr>
          <w:p w14:paraId="0956C764"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$111,426</w:t>
            </w:r>
          </w:p>
        </w:tc>
        <w:tc>
          <w:tcPr>
            <w:tcW w:w="598" w:type="pct"/>
          </w:tcPr>
          <w:p w14:paraId="612BF316"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$1,358,926</w:t>
            </w:r>
          </w:p>
        </w:tc>
        <w:tc>
          <w:tcPr>
            <w:tcW w:w="598" w:type="pct"/>
          </w:tcPr>
          <w:p w14:paraId="6E196FD3"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$339,731</w:t>
            </w:r>
          </w:p>
        </w:tc>
      </w:tr>
      <w:tr w:rsidR="00C43174" w:rsidRPr="0033609E" w14:paraId="73853D8A"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240FCCE4" w14:textId="77777777" w:rsidR="00C43174" w:rsidRPr="00DD444B" w:rsidRDefault="00C43174">
            <w:pPr>
              <w:pStyle w:val="TableText"/>
            </w:pPr>
            <w:r w:rsidRPr="00C966A4">
              <w:t>Consumables</w:t>
            </w:r>
          </w:p>
        </w:tc>
        <w:tc>
          <w:tcPr>
            <w:tcW w:w="598" w:type="pct"/>
            <w:noWrap/>
          </w:tcPr>
          <w:p w14:paraId="0D340B9E"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$5,015</w:t>
            </w:r>
          </w:p>
        </w:tc>
        <w:tc>
          <w:tcPr>
            <w:tcW w:w="598" w:type="pct"/>
            <w:noWrap/>
          </w:tcPr>
          <w:p w14:paraId="20AE5623"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$4,958</w:t>
            </w:r>
          </w:p>
        </w:tc>
        <w:tc>
          <w:tcPr>
            <w:tcW w:w="598" w:type="pct"/>
            <w:noWrap/>
          </w:tcPr>
          <w:p w14:paraId="5B2B36DC"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$4,087</w:t>
            </w:r>
          </w:p>
        </w:tc>
        <w:tc>
          <w:tcPr>
            <w:tcW w:w="598" w:type="pct"/>
            <w:noWrap/>
          </w:tcPr>
          <w:p w14:paraId="23E46DF7"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$17,384</w:t>
            </w:r>
          </w:p>
        </w:tc>
        <w:tc>
          <w:tcPr>
            <w:tcW w:w="598" w:type="pct"/>
          </w:tcPr>
          <w:p w14:paraId="0D5B609E"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$31,444</w:t>
            </w:r>
          </w:p>
        </w:tc>
        <w:tc>
          <w:tcPr>
            <w:tcW w:w="598" w:type="pct"/>
          </w:tcPr>
          <w:p w14:paraId="0596569B"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$7,861</w:t>
            </w:r>
          </w:p>
        </w:tc>
      </w:tr>
      <w:tr w:rsidR="00C43174" w:rsidRPr="0033609E" w14:paraId="0AB643F3"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5996D10A" w14:textId="58E695A4" w:rsidR="00C43174" w:rsidRPr="00DD444B" w:rsidRDefault="00C43174">
            <w:pPr>
              <w:pStyle w:val="TableText"/>
            </w:pPr>
            <w:r w:rsidRPr="00C966A4">
              <w:t xml:space="preserve">Participating </w:t>
            </w:r>
            <w:r>
              <w:t>s</w:t>
            </w:r>
            <w:r w:rsidRPr="00C966A4">
              <w:t xml:space="preserve">ite </w:t>
            </w:r>
            <w:r>
              <w:t>g</w:t>
            </w:r>
            <w:r w:rsidRPr="00C966A4">
              <w:t>rants</w:t>
            </w:r>
          </w:p>
        </w:tc>
        <w:tc>
          <w:tcPr>
            <w:tcW w:w="598" w:type="pct"/>
            <w:noWrap/>
          </w:tcPr>
          <w:p w14:paraId="09DE5ADB"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$0</w:t>
            </w:r>
          </w:p>
        </w:tc>
        <w:tc>
          <w:tcPr>
            <w:tcW w:w="598" w:type="pct"/>
            <w:noWrap/>
          </w:tcPr>
          <w:p w14:paraId="32503E74"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$44,626</w:t>
            </w:r>
          </w:p>
        </w:tc>
        <w:tc>
          <w:tcPr>
            <w:tcW w:w="598" w:type="pct"/>
            <w:noWrap/>
          </w:tcPr>
          <w:p w14:paraId="4B78B923"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$282,402</w:t>
            </w:r>
          </w:p>
        </w:tc>
        <w:tc>
          <w:tcPr>
            <w:tcW w:w="598" w:type="pct"/>
            <w:noWrap/>
          </w:tcPr>
          <w:p w14:paraId="71635B1D"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$302,686</w:t>
            </w:r>
          </w:p>
        </w:tc>
        <w:tc>
          <w:tcPr>
            <w:tcW w:w="598" w:type="pct"/>
          </w:tcPr>
          <w:p w14:paraId="0BAB5ADA"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$629,714</w:t>
            </w:r>
          </w:p>
        </w:tc>
        <w:tc>
          <w:tcPr>
            <w:tcW w:w="598" w:type="pct"/>
          </w:tcPr>
          <w:p w14:paraId="47C925A7"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$157,428</w:t>
            </w:r>
          </w:p>
        </w:tc>
      </w:tr>
      <w:tr w:rsidR="00C43174" w:rsidRPr="0033609E" w14:paraId="6095DE2E"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0D59714F" w14:textId="664CF467" w:rsidR="00C43174" w:rsidRPr="00C95DFE" w:rsidRDefault="00C43174">
            <w:pPr>
              <w:pStyle w:val="TableText"/>
              <w:ind w:left="720"/>
              <w:rPr>
                <w:i/>
                <w:iCs/>
              </w:rPr>
            </w:pPr>
            <w:r>
              <w:rPr>
                <w:i/>
                <w:iCs/>
              </w:rPr>
              <w:t>P</w:t>
            </w:r>
            <w:r w:rsidRPr="00C95DFE">
              <w:rPr>
                <w:i/>
                <w:iCs/>
              </w:rPr>
              <w:t>er complete placement</w:t>
            </w:r>
          </w:p>
        </w:tc>
        <w:tc>
          <w:tcPr>
            <w:tcW w:w="598" w:type="pct"/>
            <w:noWrap/>
          </w:tcPr>
          <w:p w14:paraId="3B5CA7BC"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$0</w:t>
            </w:r>
          </w:p>
        </w:tc>
        <w:tc>
          <w:tcPr>
            <w:tcW w:w="598" w:type="pct"/>
            <w:noWrap/>
          </w:tcPr>
          <w:p w14:paraId="6C9BAE70"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$343</w:t>
            </w:r>
          </w:p>
        </w:tc>
        <w:tc>
          <w:tcPr>
            <w:tcW w:w="598" w:type="pct"/>
            <w:noWrap/>
          </w:tcPr>
          <w:p w14:paraId="2B7FE20B"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$1,733</w:t>
            </w:r>
          </w:p>
        </w:tc>
        <w:tc>
          <w:tcPr>
            <w:tcW w:w="598" w:type="pct"/>
            <w:noWrap/>
          </w:tcPr>
          <w:p w14:paraId="640F9470"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$1,916</w:t>
            </w:r>
          </w:p>
        </w:tc>
        <w:tc>
          <w:tcPr>
            <w:tcW w:w="598" w:type="pct"/>
          </w:tcPr>
          <w:p w14:paraId="44BE81BA" w14:textId="22C45CCE" w:rsidR="00C43174" w:rsidRPr="00C43174" w:rsidRDefault="00AF34A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c>
          <w:tcPr>
            <w:tcW w:w="598" w:type="pct"/>
          </w:tcPr>
          <w:p w14:paraId="5B838BC5"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$998</w:t>
            </w:r>
          </w:p>
        </w:tc>
      </w:tr>
    </w:tbl>
    <w:p w14:paraId="0C983803" w14:textId="49A07CE0" w:rsidR="00275F8B" w:rsidRDefault="00C43174" w:rsidP="00275F8B">
      <w:pPr>
        <w:pStyle w:val="Tablenotes"/>
      </w:pPr>
      <w:r>
        <w:t xml:space="preserve">Sources: </w:t>
      </w:r>
      <w:r w:rsidR="00B471B7">
        <w:t>PEPA Aged Care financial and program data 2021–25.</w:t>
      </w:r>
    </w:p>
    <w:p w14:paraId="313A4106" w14:textId="007BCD4D" w:rsidR="00A474A5" w:rsidRDefault="00982444" w:rsidP="00B471B7">
      <w:r>
        <w:fldChar w:fldCharType="begin"/>
      </w:r>
      <w:r>
        <w:instrText xml:space="preserve"> REF _Ref214353090 \h </w:instrText>
      </w:r>
      <w:r>
        <w:fldChar w:fldCharType="separate"/>
      </w:r>
      <w:r w:rsidR="00167BA0">
        <w:t xml:space="preserve">Table </w:t>
      </w:r>
      <w:r w:rsidR="00167BA0">
        <w:rPr>
          <w:noProof/>
        </w:rPr>
        <w:t>9</w:t>
      </w:r>
      <w:r w:rsidR="00167BA0">
        <w:t>.</w:t>
      </w:r>
      <w:r w:rsidR="00167BA0">
        <w:rPr>
          <w:noProof/>
        </w:rPr>
        <w:t>16</w:t>
      </w:r>
      <w:r>
        <w:fldChar w:fldCharType="end"/>
      </w:r>
      <w:r>
        <w:t xml:space="preserve"> lists the in-kind costs of a managerial salary and indicates potential costs to PEPA Aged Care if the program had paid for the managerial salary.</w:t>
      </w:r>
    </w:p>
    <w:p w14:paraId="3CADBFE8" w14:textId="67DF9C19" w:rsidR="004F695A" w:rsidRDefault="004F695A" w:rsidP="004F695A">
      <w:pPr>
        <w:pStyle w:val="Caption"/>
      </w:pPr>
      <w:bookmarkStart w:id="201" w:name="_Ref214353090"/>
      <w:r>
        <w:t xml:space="preserve">Table </w:t>
      </w:r>
      <w:fldSimple w:instr=" STYLEREF 1 \s ">
        <w:r w:rsidR="0091457A">
          <w:rPr>
            <w:noProof/>
          </w:rPr>
          <w:t>9</w:t>
        </w:r>
      </w:fldSimple>
      <w:r w:rsidR="0091457A">
        <w:t>.</w:t>
      </w:r>
      <w:fldSimple w:instr=" SEQ Table \* ARABIC \s 1 ">
        <w:r w:rsidR="0091457A">
          <w:rPr>
            <w:noProof/>
          </w:rPr>
          <w:t>16</w:t>
        </w:r>
      </w:fldSimple>
      <w:bookmarkEnd w:id="201"/>
      <w:r>
        <w:t xml:space="preserve">: Table modelling potential salary expenditure increases without the </w:t>
      </w:r>
      <w:r w:rsidR="00683F31">
        <w:t>in-kind</w:t>
      </w:r>
      <w:r>
        <w:t xml:space="preserve"> managerial support from PEPA and IPEPA by financial year</w:t>
      </w:r>
    </w:p>
    <w:tbl>
      <w:tblPr>
        <w:tblStyle w:val="HMATableB"/>
        <w:tblW w:w="5000" w:type="pct"/>
        <w:tblBorders>
          <w:left w:val="single" w:sz="4" w:space="0" w:color="auto"/>
          <w:right w:val="single" w:sz="4" w:space="0" w:color="auto"/>
          <w:insideV w:val="single" w:sz="4" w:space="0" w:color="auto"/>
        </w:tblBorders>
        <w:tblLook w:val="04A0" w:firstRow="1" w:lastRow="0" w:firstColumn="1" w:lastColumn="0" w:noHBand="0" w:noVBand="1"/>
        <w:tblCaption w:val="Summary of in-kind salary and potential costs to PEPA Aged Care"/>
        <w:tblDescription w:val="Table lists the in-kind costs of managerial salary and the potential costs to PEPA Aged Care if the program had paid for the managerial salaries, across four financial years from 2021-22 to 2024-25."/>
      </w:tblPr>
      <w:tblGrid>
        <w:gridCol w:w="1814"/>
        <w:gridCol w:w="2832"/>
        <w:gridCol w:w="3422"/>
        <w:gridCol w:w="4532"/>
        <w:gridCol w:w="2526"/>
      </w:tblGrid>
      <w:tr w:rsidR="004F695A" w:rsidRPr="00101347" w14:paraId="4244B87F" w14:textId="77777777" w:rsidTr="00AF34A0">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600" w:type="pct"/>
            <w:noWrap/>
            <w:hideMark/>
          </w:tcPr>
          <w:p w14:paraId="70A8016B" w14:textId="77777777" w:rsidR="004F695A" w:rsidRPr="00101347" w:rsidRDefault="004F695A" w:rsidP="00120E73">
            <w:pPr>
              <w:pStyle w:val="TableHeading"/>
              <w:rPr>
                <w:lang w:eastAsia="en-AU"/>
              </w:rPr>
            </w:pPr>
            <w:r w:rsidRPr="00101347">
              <w:rPr>
                <w:lang w:eastAsia="en-AU"/>
              </w:rPr>
              <w:t>Financial year</w:t>
            </w:r>
          </w:p>
        </w:tc>
        <w:tc>
          <w:tcPr>
            <w:tcW w:w="936" w:type="pct"/>
            <w:noWrap/>
            <w:hideMark/>
          </w:tcPr>
          <w:p w14:paraId="784B536A" w14:textId="64B2DAC5" w:rsidR="004F695A" w:rsidRPr="00101347" w:rsidRDefault="00AD2C00" w:rsidP="008F79B7">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Pr>
                <w:lang w:eastAsia="en-AU"/>
              </w:rPr>
              <w:t>In-kind</w:t>
            </w:r>
            <w:r w:rsidR="004F695A" w:rsidRPr="00101347">
              <w:rPr>
                <w:lang w:eastAsia="en-AU"/>
              </w:rPr>
              <w:t xml:space="preserve"> manager salary</w:t>
            </w:r>
          </w:p>
        </w:tc>
        <w:tc>
          <w:tcPr>
            <w:tcW w:w="1131" w:type="pct"/>
            <w:noWrap/>
            <w:hideMark/>
          </w:tcPr>
          <w:p w14:paraId="7CCBF8EC" w14:textId="77777777" w:rsidR="004F695A" w:rsidRPr="00101347" w:rsidRDefault="004F695A" w:rsidP="008F79B7">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101347">
              <w:rPr>
                <w:lang w:eastAsia="en-AU"/>
              </w:rPr>
              <w:t>PEPA Aged Care salary costs</w:t>
            </w:r>
          </w:p>
        </w:tc>
        <w:tc>
          <w:tcPr>
            <w:tcW w:w="1498" w:type="pct"/>
            <w:noWrap/>
            <w:hideMark/>
          </w:tcPr>
          <w:p w14:paraId="381979D5" w14:textId="77777777" w:rsidR="004F695A" w:rsidRPr="00101347" w:rsidRDefault="004F695A" w:rsidP="008F79B7">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Pr>
                <w:lang w:eastAsia="en-AU"/>
              </w:rPr>
              <w:t>Potential PEPA Aged Care salary costs</w:t>
            </w:r>
          </w:p>
        </w:tc>
        <w:tc>
          <w:tcPr>
            <w:tcW w:w="836" w:type="pct"/>
            <w:noWrap/>
            <w:hideMark/>
          </w:tcPr>
          <w:p w14:paraId="4463C336" w14:textId="77777777" w:rsidR="004F695A" w:rsidRPr="00101347" w:rsidRDefault="004F695A" w:rsidP="008F79B7">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Pr>
                <w:lang w:eastAsia="en-AU"/>
              </w:rPr>
              <w:t xml:space="preserve">Potential </w:t>
            </w:r>
            <w:r w:rsidRPr="00101347">
              <w:rPr>
                <w:lang w:eastAsia="en-AU"/>
              </w:rPr>
              <w:t>% increase</w:t>
            </w:r>
          </w:p>
        </w:tc>
      </w:tr>
      <w:tr w:rsidR="004F695A" w:rsidRPr="00101347" w14:paraId="7FEECAC5" w14:textId="77777777" w:rsidTr="00AF34A0">
        <w:trPr>
          <w:trHeight w:val="255"/>
        </w:trPr>
        <w:tc>
          <w:tcPr>
            <w:cnfStyle w:val="001000000000" w:firstRow="0" w:lastRow="0" w:firstColumn="1" w:lastColumn="0" w:oddVBand="0" w:evenVBand="0" w:oddHBand="0" w:evenHBand="0" w:firstRowFirstColumn="0" w:firstRowLastColumn="0" w:lastRowFirstColumn="0" w:lastRowLastColumn="0"/>
            <w:tcW w:w="600" w:type="pct"/>
            <w:noWrap/>
            <w:hideMark/>
          </w:tcPr>
          <w:p w14:paraId="6166BDB8" w14:textId="77777777" w:rsidR="004F695A" w:rsidRPr="00101347" w:rsidRDefault="004F695A" w:rsidP="00120E73">
            <w:pPr>
              <w:pStyle w:val="TableText"/>
              <w:rPr>
                <w:lang w:eastAsia="en-AU"/>
              </w:rPr>
            </w:pPr>
            <w:r w:rsidRPr="00101347">
              <w:rPr>
                <w:lang w:eastAsia="en-AU"/>
              </w:rPr>
              <w:t>2021</w:t>
            </w:r>
            <w:r>
              <w:rPr>
                <w:lang w:eastAsia="en-AU"/>
              </w:rPr>
              <w:t>–</w:t>
            </w:r>
            <w:r w:rsidRPr="00101347">
              <w:rPr>
                <w:lang w:eastAsia="en-AU"/>
              </w:rPr>
              <w:t>2022</w:t>
            </w:r>
          </w:p>
        </w:tc>
        <w:tc>
          <w:tcPr>
            <w:tcW w:w="936" w:type="pct"/>
            <w:noWrap/>
            <w:hideMark/>
          </w:tcPr>
          <w:p w14:paraId="3D893707"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$54,502</w:t>
            </w:r>
          </w:p>
        </w:tc>
        <w:tc>
          <w:tcPr>
            <w:tcW w:w="1131" w:type="pct"/>
            <w:noWrap/>
            <w:hideMark/>
          </w:tcPr>
          <w:p w14:paraId="5410D2B2"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$248,104</w:t>
            </w:r>
          </w:p>
        </w:tc>
        <w:tc>
          <w:tcPr>
            <w:tcW w:w="1498" w:type="pct"/>
            <w:noWrap/>
            <w:hideMark/>
          </w:tcPr>
          <w:p w14:paraId="246FD7A0"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$302,606</w:t>
            </w:r>
          </w:p>
        </w:tc>
        <w:tc>
          <w:tcPr>
            <w:tcW w:w="836" w:type="pct"/>
            <w:noWrap/>
            <w:hideMark/>
          </w:tcPr>
          <w:p w14:paraId="71AFCA3F"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22%</w:t>
            </w:r>
          </w:p>
        </w:tc>
      </w:tr>
      <w:tr w:rsidR="004F695A" w:rsidRPr="00101347" w14:paraId="5D3CDBB7" w14:textId="77777777" w:rsidTr="00AF34A0">
        <w:trPr>
          <w:trHeight w:val="255"/>
        </w:trPr>
        <w:tc>
          <w:tcPr>
            <w:cnfStyle w:val="001000000000" w:firstRow="0" w:lastRow="0" w:firstColumn="1" w:lastColumn="0" w:oddVBand="0" w:evenVBand="0" w:oddHBand="0" w:evenHBand="0" w:firstRowFirstColumn="0" w:firstRowLastColumn="0" w:lastRowFirstColumn="0" w:lastRowLastColumn="0"/>
            <w:tcW w:w="600" w:type="pct"/>
            <w:noWrap/>
            <w:hideMark/>
          </w:tcPr>
          <w:p w14:paraId="06E5D963" w14:textId="77777777" w:rsidR="004F695A" w:rsidRPr="00101347" w:rsidRDefault="004F695A" w:rsidP="00120E73">
            <w:pPr>
              <w:pStyle w:val="TableText"/>
              <w:rPr>
                <w:lang w:eastAsia="en-AU"/>
              </w:rPr>
            </w:pPr>
            <w:r w:rsidRPr="00101347">
              <w:rPr>
                <w:lang w:eastAsia="en-AU"/>
              </w:rPr>
              <w:t>2022</w:t>
            </w:r>
            <w:r>
              <w:rPr>
                <w:lang w:eastAsia="en-AU"/>
              </w:rPr>
              <w:t>–</w:t>
            </w:r>
            <w:r w:rsidRPr="00101347">
              <w:rPr>
                <w:lang w:eastAsia="en-AU"/>
              </w:rPr>
              <w:t>2023</w:t>
            </w:r>
          </w:p>
        </w:tc>
        <w:tc>
          <w:tcPr>
            <w:tcW w:w="936" w:type="pct"/>
            <w:noWrap/>
            <w:hideMark/>
          </w:tcPr>
          <w:p w14:paraId="3AD15B25"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$75,403</w:t>
            </w:r>
          </w:p>
        </w:tc>
        <w:tc>
          <w:tcPr>
            <w:tcW w:w="1131" w:type="pct"/>
            <w:noWrap/>
            <w:hideMark/>
          </w:tcPr>
          <w:p w14:paraId="0CA26C6B"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$621,043</w:t>
            </w:r>
          </w:p>
        </w:tc>
        <w:tc>
          <w:tcPr>
            <w:tcW w:w="1498" w:type="pct"/>
            <w:noWrap/>
            <w:hideMark/>
          </w:tcPr>
          <w:p w14:paraId="4E25ED68"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$696,446</w:t>
            </w:r>
          </w:p>
        </w:tc>
        <w:tc>
          <w:tcPr>
            <w:tcW w:w="836" w:type="pct"/>
            <w:noWrap/>
            <w:hideMark/>
          </w:tcPr>
          <w:p w14:paraId="201192E3"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12%</w:t>
            </w:r>
          </w:p>
        </w:tc>
      </w:tr>
      <w:tr w:rsidR="004F695A" w:rsidRPr="00101347" w14:paraId="0324643E" w14:textId="77777777" w:rsidTr="00AF34A0">
        <w:trPr>
          <w:trHeight w:val="255"/>
        </w:trPr>
        <w:tc>
          <w:tcPr>
            <w:cnfStyle w:val="001000000000" w:firstRow="0" w:lastRow="0" w:firstColumn="1" w:lastColumn="0" w:oddVBand="0" w:evenVBand="0" w:oddHBand="0" w:evenHBand="0" w:firstRowFirstColumn="0" w:firstRowLastColumn="0" w:lastRowFirstColumn="0" w:lastRowLastColumn="0"/>
            <w:tcW w:w="600" w:type="pct"/>
            <w:noWrap/>
            <w:hideMark/>
          </w:tcPr>
          <w:p w14:paraId="02C5DFBD" w14:textId="77777777" w:rsidR="004F695A" w:rsidRPr="00101347" w:rsidRDefault="004F695A" w:rsidP="00120E73">
            <w:pPr>
              <w:pStyle w:val="TableText"/>
              <w:rPr>
                <w:lang w:eastAsia="en-AU"/>
              </w:rPr>
            </w:pPr>
            <w:r w:rsidRPr="00101347">
              <w:rPr>
                <w:lang w:eastAsia="en-AU"/>
              </w:rPr>
              <w:t>2023</w:t>
            </w:r>
            <w:r>
              <w:rPr>
                <w:lang w:eastAsia="en-AU"/>
              </w:rPr>
              <w:t>–</w:t>
            </w:r>
            <w:r w:rsidRPr="00101347">
              <w:rPr>
                <w:lang w:eastAsia="en-AU"/>
              </w:rPr>
              <w:t>2024</w:t>
            </w:r>
          </w:p>
        </w:tc>
        <w:tc>
          <w:tcPr>
            <w:tcW w:w="936" w:type="pct"/>
            <w:noWrap/>
            <w:hideMark/>
          </w:tcPr>
          <w:p w14:paraId="7C250A7B"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$78,632</w:t>
            </w:r>
          </w:p>
        </w:tc>
        <w:tc>
          <w:tcPr>
            <w:tcW w:w="1131" w:type="pct"/>
            <w:noWrap/>
            <w:hideMark/>
          </w:tcPr>
          <w:p w14:paraId="34101310"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$911,082</w:t>
            </w:r>
          </w:p>
        </w:tc>
        <w:tc>
          <w:tcPr>
            <w:tcW w:w="1498" w:type="pct"/>
            <w:noWrap/>
            <w:hideMark/>
          </w:tcPr>
          <w:p w14:paraId="67B81976"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$989,714</w:t>
            </w:r>
          </w:p>
        </w:tc>
        <w:tc>
          <w:tcPr>
            <w:tcW w:w="836" w:type="pct"/>
            <w:noWrap/>
            <w:hideMark/>
          </w:tcPr>
          <w:p w14:paraId="1CB5BD1B"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9%</w:t>
            </w:r>
          </w:p>
        </w:tc>
      </w:tr>
      <w:tr w:rsidR="004F695A" w:rsidRPr="00101347" w14:paraId="672D2D5B" w14:textId="77777777" w:rsidTr="00AF34A0">
        <w:trPr>
          <w:trHeight w:val="255"/>
        </w:trPr>
        <w:tc>
          <w:tcPr>
            <w:cnfStyle w:val="001000000000" w:firstRow="0" w:lastRow="0" w:firstColumn="1" w:lastColumn="0" w:oddVBand="0" w:evenVBand="0" w:oddHBand="0" w:evenHBand="0" w:firstRowFirstColumn="0" w:firstRowLastColumn="0" w:lastRowFirstColumn="0" w:lastRowLastColumn="0"/>
            <w:tcW w:w="600" w:type="pct"/>
            <w:noWrap/>
            <w:hideMark/>
          </w:tcPr>
          <w:p w14:paraId="2626512D" w14:textId="77777777" w:rsidR="004F695A" w:rsidRPr="00101347" w:rsidRDefault="004F695A" w:rsidP="00120E73">
            <w:pPr>
              <w:pStyle w:val="TableText"/>
              <w:rPr>
                <w:lang w:eastAsia="en-AU"/>
              </w:rPr>
            </w:pPr>
            <w:r w:rsidRPr="00101347">
              <w:rPr>
                <w:lang w:eastAsia="en-AU"/>
              </w:rPr>
              <w:t>2024</w:t>
            </w:r>
            <w:r>
              <w:rPr>
                <w:lang w:eastAsia="en-AU"/>
              </w:rPr>
              <w:t>–</w:t>
            </w:r>
            <w:r w:rsidRPr="00101347">
              <w:rPr>
                <w:lang w:eastAsia="en-AU"/>
              </w:rPr>
              <w:t>2025</w:t>
            </w:r>
          </w:p>
        </w:tc>
        <w:tc>
          <w:tcPr>
            <w:tcW w:w="936" w:type="pct"/>
            <w:noWrap/>
            <w:hideMark/>
          </w:tcPr>
          <w:p w14:paraId="2704FD19"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$85,279</w:t>
            </w:r>
          </w:p>
        </w:tc>
        <w:tc>
          <w:tcPr>
            <w:tcW w:w="1131" w:type="pct"/>
            <w:noWrap/>
            <w:hideMark/>
          </w:tcPr>
          <w:p w14:paraId="056E7915"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$1,139,253</w:t>
            </w:r>
          </w:p>
        </w:tc>
        <w:tc>
          <w:tcPr>
            <w:tcW w:w="1498" w:type="pct"/>
            <w:noWrap/>
            <w:hideMark/>
          </w:tcPr>
          <w:p w14:paraId="7A27DBAA"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$1,224,532</w:t>
            </w:r>
          </w:p>
        </w:tc>
        <w:tc>
          <w:tcPr>
            <w:tcW w:w="836" w:type="pct"/>
            <w:noWrap/>
            <w:hideMark/>
          </w:tcPr>
          <w:p w14:paraId="6622FC12"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7%</w:t>
            </w:r>
          </w:p>
        </w:tc>
      </w:tr>
      <w:tr w:rsidR="004F695A" w:rsidRPr="00AD2C00" w14:paraId="782064F7" w14:textId="77777777" w:rsidTr="00AF34A0">
        <w:trPr>
          <w:trHeight w:val="268"/>
        </w:trPr>
        <w:tc>
          <w:tcPr>
            <w:cnfStyle w:val="001000000000" w:firstRow="0" w:lastRow="0" w:firstColumn="1" w:lastColumn="0" w:oddVBand="0" w:evenVBand="0" w:oddHBand="0" w:evenHBand="0" w:firstRowFirstColumn="0" w:firstRowLastColumn="0" w:lastRowFirstColumn="0" w:lastRowLastColumn="0"/>
            <w:tcW w:w="600" w:type="pct"/>
            <w:shd w:val="clear" w:color="auto" w:fill="DCDCDF" w:themeFill="text2" w:themeFillTint="33"/>
            <w:noWrap/>
            <w:hideMark/>
          </w:tcPr>
          <w:p w14:paraId="4B31EEB3" w14:textId="77777777" w:rsidR="004F695A" w:rsidRPr="00AD2C00" w:rsidRDefault="004F695A" w:rsidP="00120E73">
            <w:pPr>
              <w:pStyle w:val="TableText"/>
              <w:rPr>
                <w:rFonts w:asciiTheme="majorHAnsi" w:hAnsiTheme="majorHAnsi"/>
                <w:lang w:eastAsia="en-AU"/>
              </w:rPr>
            </w:pPr>
            <w:r w:rsidRPr="00AD2C00">
              <w:rPr>
                <w:rFonts w:asciiTheme="majorHAnsi" w:hAnsiTheme="majorHAnsi"/>
                <w:lang w:eastAsia="en-AU"/>
              </w:rPr>
              <w:t>Total</w:t>
            </w:r>
          </w:p>
        </w:tc>
        <w:tc>
          <w:tcPr>
            <w:tcW w:w="936" w:type="pct"/>
            <w:shd w:val="clear" w:color="auto" w:fill="DCDCDF" w:themeFill="text2" w:themeFillTint="33"/>
            <w:noWrap/>
            <w:hideMark/>
          </w:tcPr>
          <w:p w14:paraId="559F1F6B" w14:textId="77777777" w:rsidR="004F695A" w:rsidRPr="00AD2C00"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lang w:eastAsia="en-AU"/>
              </w:rPr>
            </w:pPr>
            <w:r w:rsidRPr="00AD2C00">
              <w:rPr>
                <w:rFonts w:asciiTheme="majorHAnsi" w:hAnsiTheme="majorHAnsi"/>
                <w:lang w:eastAsia="en-AU"/>
              </w:rPr>
              <w:t>$293,816</w:t>
            </w:r>
          </w:p>
        </w:tc>
        <w:tc>
          <w:tcPr>
            <w:tcW w:w="1131" w:type="pct"/>
            <w:shd w:val="clear" w:color="auto" w:fill="DCDCDF" w:themeFill="text2" w:themeFillTint="33"/>
            <w:noWrap/>
            <w:hideMark/>
          </w:tcPr>
          <w:p w14:paraId="54853645" w14:textId="77777777" w:rsidR="004F695A" w:rsidRPr="00AD2C00"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lang w:eastAsia="en-AU"/>
              </w:rPr>
            </w:pPr>
            <w:r w:rsidRPr="00AD2C00">
              <w:rPr>
                <w:rFonts w:asciiTheme="majorHAnsi" w:hAnsiTheme="majorHAnsi"/>
                <w:lang w:eastAsia="en-AU"/>
              </w:rPr>
              <w:t>$2,919,481</w:t>
            </w:r>
          </w:p>
        </w:tc>
        <w:tc>
          <w:tcPr>
            <w:tcW w:w="1498" w:type="pct"/>
            <w:shd w:val="clear" w:color="auto" w:fill="DCDCDF" w:themeFill="text2" w:themeFillTint="33"/>
            <w:noWrap/>
            <w:hideMark/>
          </w:tcPr>
          <w:p w14:paraId="157FCC36" w14:textId="77777777" w:rsidR="004F695A" w:rsidRPr="00AD2C00"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lang w:eastAsia="en-AU"/>
              </w:rPr>
            </w:pPr>
            <w:r w:rsidRPr="00AD2C00">
              <w:rPr>
                <w:rFonts w:asciiTheme="majorHAnsi" w:hAnsiTheme="majorHAnsi"/>
                <w:lang w:eastAsia="en-AU"/>
              </w:rPr>
              <w:t>$3,213,297</w:t>
            </w:r>
          </w:p>
        </w:tc>
        <w:tc>
          <w:tcPr>
            <w:tcW w:w="836" w:type="pct"/>
            <w:shd w:val="clear" w:color="auto" w:fill="DCDCDF" w:themeFill="text2" w:themeFillTint="33"/>
            <w:noWrap/>
            <w:hideMark/>
          </w:tcPr>
          <w:p w14:paraId="62C9F09B" w14:textId="77777777" w:rsidR="004F695A" w:rsidRPr="00AD2C00"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lang w:eastAsia="en-AU"/>
              </w:rPr>
            </w:pPr>
            <w:r w:rsidRPr="00AD2C00">
              <w:rPr>
                <w:rFonts w:asciiTheme="majorHAnsi" w:hAnsiTheme="majorHAnsi"/>
                <w:lang w:eastAsia="en-AU"/>
              </w:rPr>
              <w:t>10%</w:t>
            </w:r>
          </w:p>
        </w:tc>
      </w:tr>
    </w:tbl>
    <w:p w14:paraId="0DCE3ED6" w14:textId="77777777" w:rsidR="004F695A" w:rsidRDefault="004F695A" w:rsidP="004F695A">
      <w:pPr>
        <w:pStyle w:val="Tablenotes"/>
      </w:pPr>
      <w:r>
        <w:t>Source: PEPA Aged Care financial data 2021–25.</w:t>
      </w:r>
    </w:p>
    <w:p w14:paraId="38A8A998" w14:textId="56BB94BA" w:rsidR="00906814" w:rsidRPr="00906814" w:rsidRDefault="00906814" w:rsidP="00906814">
      <w:r>
        <w:fldChar w:fldCharType="begin"/>
      </w:r>
      <w:r>
        <w:instrText xml:space="preserve"> REF _Ref216949742 \h </w:instrText>
      </w:r>
      <w:r>
        <w:fldChar w:fldCharType="separate"/>
      </w:r>
      <w:r w:rsidR="00167BA0">
        <w:t xml:space="preserve">Table </w:t>
      </w:r>
      <w:r w:rsidR="00167BA0">
        <w:rPr>
          <w:noProof/>
        </w:rPr>
        <w:t>9</w:t>
      </w:r>
      <w:r w:rsidR="00167BA0">
        <w:t>.</w:t>
      </w:r>
      <w:r w:rsidR="00167BA0">
        <w:rPr>
          <w:noProof/>
        </w:rPr>
        <w:t>17</w:t>
      </w:r>
      <w:r>
        <w:fldChar w:fldCharType="end"/>
      </w:r>
      <w:r>
        <w:t xml:space="preserve"> provides </w:t>
      </w:r>
      <w:r w:rsidR="00C211BD">
        <w:t>a summary of PEPA Aged Care salary expenditure by financial year.</w:t>
      </w:r>
    </w:p>
    <w:p w14:paraId="2F82C03B" w14:textId="67E8BEE6" w:rsidR="00906814" w:rsidRDefault="00906814" w:rsidP="00906814">
      <w:pPr>
        <w:pStyle w:val="Caption"/>
      </w:pPr>
      <w:bookmarkStart w:id="202" w:name="_Ref216949742"/>
      <w:r>
        <w:t xml:space="preserve">Table </w:t>
      </w:r>
      <w:fldSimple w:instr=" STYLEREF 1 \s ">
        <w:r w:rsidR="0091457A">
          <w:rPr>
            <w:noProof/>
          </w:rPr>
          <w:t>9</w:t>
        </w:r>
      </w:fldSimple>
      <w:r w:rsidR="0091457A">
        <w:t>.</w:t>
      </w:r>
      <w:fldSimple w:instr=" SEQ Table \* ARABIC \s 1 ">
        <w:r w:rsidR="0091457A">
          <w:rPr>
            <w:noProof/>
          </w:rPr>
          <w:t>17</w:t>
        </w:r>
      </w:fldSimple>
      <w:bookmarkEnd w:id="202"/>
      <w:r>
        <w:t>: Breakdown of PEPA Aged Care salaries, headcount, and FTE (where available) by financial year</w:t>
      </w:r>
    </w:p>
    <w:tbl>
      <w:tblPr>
        <w:tblStyle w:val="HMAdefaulttable"/>
        <w:tblW w:w="15136"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PEPA Aged Care salary"/>
        <w:tblDescription w:val="Table shows a breakdown of PEPA Aged Care salaries, headcount, and FTE across four financial years from 2021-22 to 2024-25."/>
      </w:tblPr>
      <w:tblGrid>
        <w:gridCol w:w="4395"/>
        <w:gridCol w:w="2148"/>
        <w:gridCol w:w="2148"/>
        <w:gridCol w:w="2148"/>
        <w:gridCol w:w="2148"/>
        <w:gridCol w:w="2149"/>
      </w:tblGrid>
      <w:tr w:rsidR="00906814" w:rsidRPr="009D06C5" w14:paraId="24E37373" w14:textId="77777777" w:rsidTr="00455780">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395" w:type="dxa"/>
            <w:noWrap/>
            <w:hideMark/>
          </w:tcPr>
          <w:p w14:paraId="46156F06" w14:textId="77777777" w:rsidR="00906814" w:rsidRPr="009D06C5" w:rsidRDefault="00906814" w:rsidP="00C211BD">
            <w:pPr>
              <w:pStyle w:val="TableHeading"/>
              <w:rPr>
                <w:rFonts w:ascii="Arial" w:eastAsia="Times New Roman" w:hAnsi="Arial" w:cs="Arial"/>
                <w:b/>
                <w:bCs/>
                <w:color w:val="000000"/>
                <w:sz w:val="22"/>
                <w:lang w:eastAsia="en-AU"/>
              </w:rPr>
            </w:pPr>
            <w:r w:rsidRPr="006F0919">
              <w:t>Staffing Expenditure</w:t>
            </w:r>
          </w:p>
        </w:tc>
        <w:tc>
          <w:tcPr>
            <w:tcW w:w="2148" w:type="dxa"/>
            <w:noWrap/>
            <w:hideMark/>
          </w:tcPr>
          <w:p w14:paraId="3F511FFB" w14:textId="77777777" w:rsidR="00906814" w:rsidRPr="009D06C5"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AU"/>
              </w:rPr>
            </w:pPr>
            <w:r>
              <w:t>2021–22</w:t>
            </w:r>
          </w:p>
        </w:tc>
        <w:tc>
          <w:tcPr>
            <w:tcW w:w="2148" w:type="dxa"/>
            <w:noWrap/>
            <w:hideMark/>
          </w:tcPr>
          <w:p w14:paraId="2644C21E" w14:textId="77777777" w:rsidR="00906814" w:rsidRPr="009D06C5"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AU"/>
              </w:rPr>
            </w:pPr>
            <w:r>
              <w:t>2022–23</w:t>
            </w:r>
          </w:p>
        </w:tc>
        <w:tc>
          <w:tcPr>
            <w:tcW w:w="2148" w:type="dxa"/>
            <w:noWrap/>
            <w:hideMark/>
          </w:tcPr>
          <w:p w14:paraId="36D7BBE3" w14:textId="77777777" w:rsidR="00906814" w:rsidRPr="009D06C5"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AU"/>
              </w:rPr>
            </w:pPr>
            <w:r>
              <w:t>2023–24</w:t>
            </w:r>
          </w:p>
        </w:tc>
        <w:tc>
          <w:tcPr>
            <w:tcW w:w="2148" w:type="dxa"/>
            <w:noWrap/>
            <w:hideMark/>
          </w:tcPr>
          <w:p w14:paraId="0D4FB5C8" w14:textId="77777777" w:rsidR="00906814" w:rsidRPr="009D06C5"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AU"/>
              </w:rPr>
            </w:pPr>
            <w:r>
              <w:t>2024–25</w:t>
            </w:r>
          </w:p>
        </w:tc>
        <w:tc>
          <w:tcPr>
            <w:tcW w:w="2149" w:type="dxa"/>
          </w:tcPr>
          <w:p w14:paraId="45FD639E" w14:textId="77777777" w:rsidR="00906814"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pPr>
            <w:r>
              <w:t>Total</w:t>
            </w:r>
          </w:p>
        </w:tc>
      </w:tr>
      <w:tr w:rsidR="00906814" w:rsidRPr="009D06C5" w14:paraId="3F3D167C" w14:textId="77777777" w:rsidTr="004557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noWrap/>
            <w:hideMark/>
          </w:tcPr>
          <w:p w14:paraId="44D0CE74" w14:textId="77777777" w:rsidR="00906814" w:rsidRPr="002426B5" w:rsidRDefault="00906814" w:rsidP="00120E73">
            <w:pPr>
              <w:pStyle w:val="TableText"/>
            </w:pPr>
            <w:r w:rsidRPr="002426B5">
              <w:t>Total for all staff</w:t>
            </w:r>
          </w:p>
        </w:tc>
        <w:tc>
          <w:tcPr>
            <w:tcW w:w="2148" w:type="dxa"/>
            <w:noWrap/>
            <w:hideMark/>
          </w:tcPr>
          <w:p w14:paraId="198D2384"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$248,103.89</w:t>
            </w:r>
          </w:p>
        </w:tc>
        <w:tc>
          <w:tcPr>
            <w:tcW w:w="2148" w:type="dxa"/>
            <w:noWrap/>
            <w:hideMark/>
          </w:tcPr>
          <w:p w14:paraId="56983D98"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$621,042.55</w:t>
            </w:r>
          </w:p>
        </w:tc>
        <w:tc>
          <w:tcPr>
            <w:tcW w:w="2148" w:type="dxa"/>
            <w:noWrap/>
            <w:hideMark/>
          </w:tcPr>
          <w:p w14:paraId="297FC45D"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$911,081.78</w:t>
            </w:r>
          </w:p>
        </w:tc>
        <w:tc>
          <w:tcPr>
            <w:tcW w:w="2148" w:type="dxa"/>
            <w:noWrap/>
            <w:hideMark/>
          </w:tcPr>
          <w:p w14:paraId="259CFCF4"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$1,139,252.57</w:t>
            </w:r>
          </w:p>
        </w:tc>
        <w:tc>
          <w:tcPr>
            <w:tcW w:w="2149" w:type="dxa"/>
          </w:tcPr>
          <w:p w14:paraId="12A0D5F7" w14:textId="77777777"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740E7">
              <w:rPr>
                <w:rFonts w:asciiTheme="majorHAnsi" w:hAnsiTheme="majorHAnsi"/>
              </w:rPr>
              <w:t xml:space="preserve"> $2,919,480.79 </w:t>
            </w:r>
          </w:p>
        </w:tc>
      </w:tr>
      <w:tr w:rsidR="00906814" w:rsidRPr="009D06C5" w14:paraId="3D82FB86" w14:textId="77777777" w:rsidTr="0045578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noWrap/>
            <w:hideMark/>
          </w:tcPr>
          <w:p w14:paraId="25945DE7" w14:textId="77777777" w:rsidR="00906814" w:rsidRPr="002426B5" w:rsidRDefault="00906814" w:rsidP="00120E73">
            <w:pPr>
              <w:pStyle w:val="TableText"/>
            </w:pPr>
            <w:r>
              <w:lastRenderedPageBreak/>
              <w:t>Headcount</w:t>
            </w:r>
          </w:p>
        </w:tc>
        <w:tc>
          <w:tcPr>
            <w:tcW w:w="2148" w:type="dxa"/>
            <w:noWrap/>
            <w:hideMark/>
          </w:tcPr>
          <w:p w14:paraId="47E32C00"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6</w:t>
            </w:r>
          </w:p>
        </w:tc>
        <w:tc>
          <w:tcPr>
            <w:tcW w:w="2148" w:type="dxa"/>
            <w:noWrap/>
            <w:hideMark/>
          </w:tcPr>
          <w:p w14:paraId="711BE7F8"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8</w:t>
            </w:r>
          </w:p>
        </w:tc>
        <w:tc>
          <w:tcPr>
            <w:tcW w:w="2148" w:type="dxa"/>
            <w:noWrap/>
            <w:hideMark/>
          </w:tcPr>
          <w:p w14:paraId="569F0B7B"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13</w:t>
            </w:r>
          </w:p>
        </w:tc>
        <w:tc>
          <w:tcPr>
            <w:tcW w:w="2148" w:type="dxa"/>
            <w:noWrap/>
            <w:hideMark/>
          </w:tcPr>
          <w:p w14:paraId="2E884739"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11</w:t>
            </w:r>
          </w:p>
        </w:tc>
        <w:tc>
          <w:tcPr>
            <w:tcW w:w="2149" w:type="dxa"/>
          </w:tcPr>
          <w:p w14:paraId="3D2131DF" w14:textId="21DCF7F0" w:rsidR="00906814" w:rsidRPr="00C740E7" w:rsidRDefault="00455780"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r>
      <w:tr w:rsidR="00906814" w:rsidRPr="009D06C5" w14:paraId="4EF39F34" w14:textId="77777777" w:rsidTr="004557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noWrap/>
            <w:hideMark/>
          </w:tcPr>
          <w:p w14:paraId="64F81068" w14:textId="77777777" w:rsidR="00906814" w:rsidRPr="002426B5" w:rsidRDefault="00906814" w:rsidP="00120E73">
            <w:pPr>
              <w:pStyle w:val="TableText"/>
            </w:pPr>
            <w:r>
              <w:t>Expenditure per person</w:t>
            </w:r>
          </w:p>
        </w:tc>
        <w:tc>
          <w:tcPr>
            <w:tcW w:w="2148" w:type="dxa"/>
            <w:noWrap/>
            <w:hideMark/>
          </w:tcPr>
          <w:p w14:paraId="1B9A3F9F"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$41,350.65</w:t>
            </w:r>
          </w:p>
        </w:tc>
        <w:tc>
          <w:tcPr>
            <w:tcW w:w="2148" w:type="dxa"/>
            <w:noWrap/>
            <w:hideMark/>
          </w:tcPr>
          <w:p w14:paraId="07878870"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$77,630.32</w:t>
            </w:r>
          </w:p>
        </w:tc>
        <w:tc>
          <w:tcPr>
            <w:tcW w:w="2148" w:type="dxa"/>
            <w:noWrap/>
            <w:hideMark/>
          </w:tcPr>
          <w:p w14:paraId="7589E3B6"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$70,083.21</w:t>
            </w:r>
          </w:p>
        </w:tc>
        <w:tc>
          <w:tcPr>
            <w:tcW w:w="2148" w:type="dxa"/>
            <w:noWrap/>
            <w:hideMark/>
          </w:tcPr>
          <w:p w14:paraId="45F1B1B5"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$103,568.42</w:t>
            </w:r>
          </w:p>
        </w:tc>
        <w:tc>
          <w:tcPr>
            <w:tcW w:w="2149" w:type="dxa"/>
          </w:tcPr>
          <w:p w14:paraId="643B3881" w14:textId="77777777"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740E7">
              <w:rPr>
                <w:rFonts w:asciiTheme="majorHAnsi" w:hAnsiTheme="majorHAnsi"/>
              </w:rPr>
              <w:t xml:space="preserve"> $292,632.60 </w:t>
            </w:r>
          </w:p>
        </w:tc>
      </w:tr>
      <w:tr w:rsidR="00906814" w:rsidRPr="009D06C5" w14:paraId="0CCDF83C" w14:textId="77777777" w:rsidTr="0045578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noWrap/>
            <w:hideMark/>
          </w:tcPr>
          <w:p w14:paraId="732F6EC5" w14:textId="77777777" w:rsidR="00906814" w:rsidRPr="002426B5" w:rsidRDefault="00906814" w:rsidP="00120E73">
            <w:pPr>
              <w:pStyle w:val="TableText"/>
            </w:pPr>
            <w:r>
              <w:t>FTE</w:t>
            </w:r>
          </w:p>
        </w:tc>
        <w:tc>
          <w:tcPr>
            <w:tcW w:w="2148" w:type="dxa"/>
            <w:noWrap/>
            <w:hideMark/>
          </w:tcPr>
          <w:p w14:paraId="7DB97672"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4.2 FTE</w:t>
            </w:r>
          </w:p>
        </w:tc>
        <w:tc>
          <w:tcPr>
            <w:tcW w:w="2148" w:type="dxa"/>
            <w:noWrap/>
            <w:hideMark/>
          </w:tcPr>
          <w:p w14:paraId="4F01EF6B"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3.7 FTE</w:t>
            </w:r>
          </w:p>
        </w:tc>
        <w:tc>
          <w:tcPr>
            <w:tcW w:w="2148" w:type="dxa"/>
            <w:noWrap/>
            <w:hideMark/>
          </w:tcPr>
          <w:p w14:paraId="184ACD64"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5.5 FTE</w:t>
            </w:r>
          </w:p>
        </w:tc>
        <w:tc>
          <w:tcPr>
            <w:tcW w:w="2148" w:type="dxa"/>
            <w:noWrap/>
            <w:hideMark/>
          </w:tcPr>
          <w:p w14:paraId="08B62FED"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7.875 FTE</w:t>
            </w:r>
          </w:p>
        </w:tc>
        <w:tc>
          <w:tcPr>
            <w:tcW w:w="2149" w:type="dxa"/>
          </w:tcPr>
          <w:p w14:paraId="50594C39" w14:textId="3C6287C2" w:rsidR="00906814" w:rsidRPr="00C740E7" w:rsidRDefault="00AF34A0"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r>
      <w:tr w:rsidR="00906814" w:rsidRPr="009D06C5" w14:paraId="1F35726E" w14:textId="77777777" w:rsidTr="004557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noWrap/>
            <w:hideMark/>
          </w:tcPr>
          <w:p w14:paraId="54B8BAE3" w14:textId="77777777" w:rsidR="00906814" w:rsidRPr="002426B5" w:rsidRDefault="00906814" w:rsidP="00120E73">
            <w:pPr>
              <w:pStyle w:val="TableText"/>
            </w:pPr>
            <w:r>
              <w:t>Expenditure per FTE</w:t>
            </w:r>
          </w:p>
        </w:tc>
        <w:tc>
          <w:tcPr>
            <w:tcW w:w="2148" w:type="dxa"/>
            <w:noWrap/>
            <w:hideMark/>
          </w:tcPr>
          <w:p w14:paraId="4DE66CEE"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$59,072.35</w:t>
            </w:r>
          </w:p>
        </w:tc>
        <w:tc>
          <w:tcPr>
            <w:tcW w:w="2148" w:type="dxa"/>
            <w:noWrap/>
            <w:hideMark/>
          </w:tcPr>
          <w:p w14:paraId="1BEDD7D4"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$167,849.34</w:t>
            </w:r>
          </w:p>
        </w:tc>
        <w:tc>
          <w:tcPr>
            <w:tcW w:w="2148" w:type="dxa"/>
            <w:noWrap/>
            <w:hideMark/>
          </w:tcPr>
          <w:p w14:paraId="0E7DB30A"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$165,651.23</w:t>
            </w:r>
          </w:p>
        </w:tc>
        <w:tc>
          <w:tcPr>
            <w:tcW w:w="2148" w:type="dxa"/>
            <w:noWrap/>
            <w:hideMark/>
          </w:tcPr>
          <w:p w14:paraId="074A4401"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$144,666.99</w:t>
            </w:r>
          </w:p>
        </w:tc>
        <w:tc>
          <w:tcPr>
            <w:tcW w:w="2149" w:type="dxa"/>
          </w:tcPr>
          <w:p w14:paraId="471F84C6" w14:textId="77777777"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740E7">
              <w:rPr>
                <w:rFonts w:asciiTheme="majorHAnsi" w:hAnsiTheme="majorHAnsi"/>
              </w:rPr>
              <w:t xml:space="preserve"> $537,239.92 </w:t>
            </w:r>
          </w:p>
        </w:tc>
      </w:tr>
      <w:tr w:rsidR="00C4055E" w:rsidRPr="00C4055E" w14:paraId="0ED675B8" w14:textId="77777777" w:rsidTr="00C4055E">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9AD9C8" w:themeFill="background2" w:themeFillTint="99"/>
            <w:noWrap/>
          </w:tcPr>
          <w:p w14:paraId="702BFE5E" w14:textId="3653F2FB" w:rsidR="00C4055E" w:rsidRPr="00501AFE" w:rsidRDefault="00501AFE" w:rsidP="00671EE6">
            <w:pPr>
              <w:pStyle w:val="TableText"/>
              <w:rPr>
                <w:b/>
                <w:bCs/>
                <w:color w:val="auto"/>
              </w:rPr>
            </w:pPr>
            <w:r>
              <w:rPr>
                <w:b/>
                <w:bCs/>
                <w:color w:val="auto"/>
              </w:rPr>
              <w:t>Staff role</w:t>
            </w:r>
          </w:p>
        </w:tc>
        <w:tc>
          <w:tcPr>
            <w:tcW w:w="2148" w:type="dxa"/>
            <w:shd w:val="clear" w:color="auto" w:fill="9AD9C8" w:themeFill="background2" w:themeFillTint="99"/>
            <w:noWrap/>
          </w:tcPr>
          <w:p w14:paraId="62CA4C50" w14:textId="3905A45F" w:rsidR="00C4055E" w:rsidRPr="00C4055E" w:rsidRDefault="00501AFE" w:rsidP="00671EE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color w:val="auto"/>
              </w:rPr>
              <w:t>$</w:t>
            </w:r>
          </w:p>
        </w:tc>
        <w:tc>
          <w:tcPr>
            <w:tcW w:w="2148" w:type="dxa"/>
            <w:shd w:val="clear" w:color="auto" w:fill="9AD9C8" w:themeFill="background2" w:themeFillTint="99"/>
            <w:noWrap/>
          </w:tcPr>
          <w:p w14:paraId="05DE961F" w14:textId="6E00F895" w:rsidR="00C4055E" w:rsidRPr="00C4055E" w:rsidRDefault="00501AFE" w:rsidP="00671EE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color w:val="auto"/>
              </w:rPr>
              <w:t>$</w:t>
            </w:r>
          </w:p>
        </w:tc>
        <w:tc>
          <w:tcPr>
            <w:tcW w:w="2148" w:type="dxa"/>
            <w:shd w:val="clear" w:color="auto" w:fill="9AD9C8" w:themeFill="background2" w:themeFillTint="99"/>
            <w:noWrap/>
          </w:tcPr>
          <w:p w14:paraId="4731DCCE" w14:textId="3E1E0FFA" w:rsidR="00C4055E" w:rsidRPr="00C4055E" w:rsidRDefault="00501AFE" w:rsidP="00671EE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color w:val="auto"/>
              </w:rPr>
              <w:t>$</w:t>
            </w:r>
          </w:p>
        </w:tc>
        <w:tc>
          <w:tcPr>
            <w:tcW w:w="2148" w:type="dxa"/>
            <w:shd w:val="clear" w:color="auto" w:fill="9AD9C8" w:themeFill="background2" w:themeFillTint="99"/>
            <w:noWrap/>
          </w:tcPr>
          <w:p w14:paraId="5EF0B7DB" w14:textId="3E8986AA" w:rsidR="00C4055E" w:rsidRPr="00C4055E" w:rsidRDefault="00501AFE" w:rsidP="00671EE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color w:val="auto"/>
              </w:rPr>
              <w:t>$</w:t>
            </w:r>
          </w:p>
        </w:tc>
        <w:tc>
          <w:tcPr>
            <w:tcW w:w="2149" w:type="dxa"/>
            <w:shd w:val="clear" w:color="auto" w:fill="9AD9C8" w:themeFill="background2" w:themeFillTint="99"/>
          </w:tcPr>
          <w:p w14:paraId="53CA3169" w14:textId="5E20B29D" w:rsidR="00C4055E" w:rsidRPr="00C4055E" w:rsidRDefault="00501AFE" w:rsidP="00671EE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color w:val="auto"/>
              </w:rPr>
            </w:pPr>
            <w:r>
              <w:rPr>
                <w:rFonts w:asciiTheme="majorHAnsi" w:hAnsiTheme="majorHAnsi"/>
                <w:color w:val="auto"/>
              </w:rPr>
              <w:t>$</w:t>
            </w:r>
          </w:p>
        </w:tc>
      </w:tr>
      <w:tr w:rsidR="00906814" w:rsidRPr="009D06C5" w14:paraId="5D7D8B3E" w14:textId="77777777" w:rsidTr="004557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noWrap/>
            <w:hideMark/>
          </w:tcPr>
          <w:p w14:paraId="0A579923" w14:textId="2728BD7F" w:rsidR="00906814" w:rsidRPr="002426B5" w:rsidRDefault="00906814" w:rsidP="00120E73">
            <w:pPr>
              <w:pStyle w:val="TableText"/>
            </w:pPr>
            <w:r w:rsidRPr="002426B5">
              <w:t xml:space="preserve">Nurse </w:t>
            </w:r>
            <w:r w:rsidR="00C211BD">
              <w:t>e</w:t>
            </w:r>
            <w:r w:rsidRPr="002426B5">
              <w:t>ducators</w:t>
            </w:r>
          </w:p>
        </w:tc>
        <w:tc>
          <w:tcPr>
            <w:tcW w:w="2148" w:type="dxa"/>
            <w:noWrap/>
            <w:hideMark/>
          </w:tcPr>
          <w:p w14:paraId="5D9A7B47"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$248,103.89</w:t>
            </w:r>
          </w:p>
        </w:tc>
        <w:tc>
          <w:tcPr>
            <w:tcW w:w="2148" w:type="dxa"/>
            <w:noWrap/>
            <w:hideMark/>
          </w:tcPr>
          <w:p w14:paraId="0A78290A"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$621,042.55</w:t>
            </w:r>
          </w:p>
        </w:tc>
        <w:tc>
          <w:tcPr>
            <w:tcW w:w="2148" w:type="dxa"/>
            <w:noWrap/>
            <w:hideMark/>
          </w:tcPr>
          <w:p w14:paraId="3ECB1ABB"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$807,719.12</w:t>
            </w:r>
          </w:p>
        </w:tc>
        <w:tc>
          <w:tcPr>
            <w:tcW w:w="2148" w:type="dxa"/>
            <w:noWrap/>
            <w:hideMark/>
          </w:tcPr>
          <w:p w14:paraId="10CD5752"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$1,010,643.19</w:t>
            </w:r>
          </w:p>
        </w:tc>
        <w:tc>
          <w:tcPr>
            <w:tcW w:w="2149" w:type="dxa"/>
          </w:tcPr>
          <w:p w14:paraId="309BA108" w14:textId="77777777"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740E7">
              <w:rPr>
                <w:rFonts w:asciiTheme="majorHAnsi" w:hAnsiTheme="majorHAnsi"/>
              </w:rPr>
              <w:t xml:space="preserve"> $2,687,508.75 </w:t>
            </w:r>
          </w:p>
        </w:tc>
      </w:tr>
      <w:tr w:rsidR="00906814" w:rsidRPr="009D06C5" w14:paraId="04C1374D" w14:textId="77777777" w:rsidTr="0045578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noWrap/>
            <w:hideMark/>
          </w:tcPr>
          <w:p w14:paraId="3453B379" w14:textId="02D8BA9B" w:rsidR="00906814" w:rsidRPr="002426B5" w:rsidRDefault="00906814" w:rsidP="00120E73">
            <w:pPr>
              <w:pStyle w:val="TableText"/>
            </w:pPr>
            <w:r w:rsidRPr="002426B5">
              <w:t xml:space="preserve">Senior </w:t>
            </w:r>
            <w:r w:rsidR="00C211BD">
              <w:t>r</w:t>
            </w:r>
            <w:r w:rsidRPr="002426B5">
              <w:t xml:space="preserve">esearch </w:t>
            </w:r>
            <w:r w:rsidR="00C211BD">
              <w:t>a</w:t>
            </w:r>
            <w:r w:rsidRPr="002426B5">
              <w:t>ssistant</w:t>
            </w:r>
          </w:p>
        </w:tc>
        <w:tc>
          <w:tcPr>
            <w:tcW w:w="2148" w:type="dxa"/>
            <w:noWrap/>
            <w:hideMark/>
          </w:tcPr>
          <w:p w14:paraId="0A18FCA8"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6A5D2F">
              <w:t>N/A</w:t>
            </w:r>
          </w:p>
        </w:tc>
        <w:tc>
          <w:tcPr>
            <w:tcW w:w="2148" w:type="dxa"/>
            <w:noWrap/>
            <w:hideMark/>
          </w:tcPr>
          <w:p w14:paraId="7BA16862"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6A5D2F">
              <w:t>N/A</w:t>
            </w:r>
          </w:p>
        </w:tc>
        <w:tc>
          <w:tcPr>
            <w:tcW w:w="2148" w:type="dxa"/>
            <w:noWrap/>
            <w:hideMark/>
          </w:tcPr>
          <w:p w14:paraId="7A2E7002"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 xml:space="preserve"> $70,631.63 </w:t>
            </w:r>
          </w:p>
        </w:tc>
        <w:tc>
          <w:tcPr>
            <w:tcW w:w="2148" w:type="dxa"/>
            <w:noWrap/>
            <w:hideMark/>
          </w:tcPr>
          <w:p w14:paraId="628BF908" w14:textId="7777777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2426B5">
              <w:t xml:space="preserve"> $56,784.71</w:t>
            </w:r>
          </w:p>
        </w:tc>
        <w:tc>
          <w:tcPr>
            <w:tcW w:w="2149" w:type="dxa"/>
          </w:tcPr>
          <w:p w14:paraId="2EDD8EEF" w14:textId="77777777" w:rsidR="00906814" w:rsidRPr="00C740E7"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740E7">
              <w:rPr>
                <w:rFonts w:asciiTheme="majorHAnsi" w:hAnsiTheme="majorHAnsi"/>
              </w:rPr>
              <w:t xml:space="preserve"> $127,416.34 </w:t>
            </w:r>
          </w:p>
        </w:tc>
      </w:tr>
      <w:tr w:rsidR="00906814" w:rsidRPr="009D06C5" w14:paraId="4C63D23E" w14:textId="77777777" w:rsidTr="0045578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noWrap/>
            <w:hideMark/>
          </w:tcPr>
          <w:p w14:paraId="03733B99" w14:textId="383F4A8F" w:rsidR="00906814" w:rsidRPr="002426B5" w:rsidRDefault="00906814" w:rsidP="00120E73">
            <w:pPr>
              <w:pStyle w:val="TableText"/>
            </w:pPr>
            <w:r w:rsidRPr="002426B5">
              <w:t xml:space="preserve">Research </w:t>
            </w:r>
            <w:r w:rsidR="00C211BD">
              <w:t>administration o</w:t>
            </w:r>
            <w:r w:rsidRPr="002426B5">
              <w:t>fficer</w:t>
            </w:r>
          </w:p>
        </w:tc>
        <w:tc>
          <w:tcPr>
            <w:tcW w:w="2148" w:type="dxa"/>
            <w:noWrap/>
            <w:hideMark/>
          </w:tcPr>
          <w:p w14:paraId="76C22004"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6A5D2F">
              <w:t>N/A</w:t>
            </w:r>
          </w:p>
        </w:tc>
        <w:tc>
          <w:tcPr>
            <w:tcW w:w="2148" w:type="dxa"/>
            <w:noWrap/>
            <w:hideMark/>
          </w:tcPr>
          <w:p w14:paraId="10532594"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6A5D2F">
              <w:t>N/A</w:t>
            </w:r>
          </w:p>
        </w:tc>
        <w:tc>
          <w:tcPr>
            <w:tcW w:w="2148" w:type="dxa"/>
            <w:noWrap/>
            <w:hideMark/>
          </w:tcPr>
          <w:p w14:paraId="60D55670"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$32,731.03 </w:t>
            </w:r>
          </w:p>
        </w:tc>
        <w:tc>
          <w:tcPr>
            <w:tcW w:w="2148" w:type="dxa"/>
            <w:noWrap/>
            <w:hideMark/>
          </w:tcPr>
          <w:p w14:paraId="7361DEF3" w14:textId="7777777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2426B5">
              <w:t xml:space="preserve"> $71,824.67</w:t>
            </w:r>
          </w:p>
        </w:tc>
        <w:tc>
          <w:tcPr>
            <w:tcW w:w="2149" w:type="dxa"/>
          </w:tcPr>
          <w:p w14:paraId="0CB30F6F" w14:textId="77777777"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740E7">
              <w:rPr>
                <w:rFonts w:asciiTheme="majorHAnsi" w:hAnsiTheme="majorHAnsi"/>
              </w:rPr>
              <w:t xml:space="preserve"> $104,555.70 </w:t>
            </w:r>
          </w:p>
        </w:tc>
      </w:tr>
    </w:tbl>
    <w:p w14:paraId="2CC5CD14" w14:textId="6BA147D5" w:rsidR="00A474A5" w:rsidRDefault="00C211BD" w:rsidP="00C211BD">
      <w:pPr>
        <w:pStyle w:val="Tablenotes"/>
      </w:pPr>
      <w:r>
        <w:t xml:space="preserve">Source: </w:t>
      </w:r>
      <w:r w:rsidRPr="00362F97">
        <w:t>PEPA Aged Care program data provided by QUT, September 2025</w:t>
      </w:r>
      <w:r w:rsidR="00C740E7">
        <w:t>.</w:t>
      </w:r>
    </w:p>
    <w:p w14:paraId="0402099B" w14:textId="0B554845" w:rsidR="00863325" w:rsidRDefault="00863325" w:rsidP="0034597A">
      <w:pPr>
        <w:pStyle w:val="Heading-Appendix"/>
        <w:sectPr w:rsidR="00863325" w:rsidSect="00275F8B">
          <w:type w:val="continuous"/>
          <w:pgSz w:w="16838" w:h="11906" w:orient="landscape" w:code="9"/>
          <w:pgMar w:top="851" w:right="851" w:bottom="851" w:left="851" w:header="709" w:footer="567" w:gutter="0"/>
          <w:cols w:space="709"/>
          <w:docGrid w:linePitch="360"/>
        </w:sectPr>
      </w:pPr>
      <w:bookmarkStart w:id="203" w:name="_Ref214983306"/>
      <w:bookmarkStart w:id="204" w:name="_Ref216698536"/>
    </w:p>
    <w:p w14:paraId="73DF6F29" w14:textId="418CFADF" w:rsidR="0034597A" w:rsidRDefault="0034597A" w:rsidP="0034597A">
      <w:pPr>
        <w:pStyle w:val="Heading-Appendix"/>
      </w:pPr>
      <w:bookmarkStart w:id="205" w:name="_Ref216865792"/>
      <w:bookmarkStart w:id="206" w:name="_Ref216884918"/>
      <w:bookmarkStart w:id="207" w:name="_Ref216955815"/>
      <w:bookmarkStart w:id="208" w:name="_Toc232685937"/>
      <w:r>
        <w:lastRenderedPageBreak/>
        <w:t xml:space="preserve">PACOP </w:t>
      </w:r>
      <w:r w:rsidR="00D11C02">
        <w:t xml:space="preserve">program </w:t>
      </w:r>
      <w:r>
        <w:t>data</w:t>
      </w:r>
      <w:bookmarkEnd w:id="203"/>
      <w:bookmarkEnd w:id="204"/>
      <w:bookmarkEnd w:id="205"/>
      <w:bookmarkEnd w:id="206"/>
      <w:bookmarkEnd w:id="207"/>
      <w:bookmarkEnd w:id="208"/>
    </w:p>
    <w:p w14:paraId="4A6114B0" w14:textId="02818C85" w:rsidR="008A5C93" w:rsidRDefault="008A5C93" w:rsidP="008A5C93">
      <w:r>
        <w:t>This appendix provides additional PACOP program data referenced through the report, including data on performance, promotional activities, uptake, PACOP evaluation surveys, and financial data.</w:t>
      </w:r>
    </w:p>
    <w:p w14:paraId="12AE4E24" w14:textId="7F9A4189" w:rsidR="00A35DD8" w:rsidRDefault="00E866A9" w:rsidP="00FE1A35">
      <w:pPr>
        <w:pStyle w:val="Heading3-nonumber"/>
      </w:pPr>
      <w:r>
        <w:t>Analysis of p</w:t>
      </w:r>
      <w:r w:rsidR="00A35DD8">
        <w:t>rogram performance</w:t>
      </w:r>
    </w:p>
    <w:p w14:paraId="43F878E5" w14:textId="165108D5" w:rsidR="00A35DD8" w:rsidRPr="00B371CA" w:rsidRDefault="008A5C93" w:rsidP="00A35DD8">
      <w:r>
        <w:t xml:space="preserve">This section summarises PACOP performance against established </w:t>
      </w:r>
      <w:r w:rsidR="00921C33">
        <w:t>performance indicators during the evaluation period.</w:t>
      </w:r>
    </w:p>
    <w:p w14:paraId="5597681D" w14:textId="38FB777A" w:rsidR="00A35DD8" w:rsidRDefault="00205842" w:rsidP="00205842">
      <w:pPr>
        <w:pStyle w:val="Heading4"/>
      </w:pPr>
      <w:r>
        <w:t>PACOP participation</w:t>
      </w:r>
      <w:r w:rsidR="00E866A9">
        <w:t xml:space="preserve"> indicators</w:t>
      </w:r>
      <w:r w:rsidR="0016436E">
        <w:t xml:space="preserve"> (2021–22 to 2023–24)</w:t>
      </w:r>
    </w:p>
    <w:p w14:paraId="65BE2D3B" w14:textId="0D8DB650" w:rsidR="00205842" w:rsidRPr="00205842" w:rsidRDefault="00832821" w:rsidP="00205842">
      <w:r>
        <w:fldChar w:fldCharType="begin"/>
      </w:r>
      <w:r>
        <w:instrText xml:space="preserve"> REF _Ref202442473 \h </w:instrText>
      </w:r>
      <w:r>
        <w:fldChar w:fldCharType="separate"/>
      </w:r>
      <w:r w:rsidR="00167BA0">
        <w:t xml:space="preserve">Table </w:t>
      </w:r>
      <w:r w:rsidR="00167BA0">
        <w:rPr>
          <w:noProof/>
        </w:rPr>
        <w:t>9</w:t>
      </w:r>
      <w:r w:rsidR="00167BA0">
        <w:t>.</w:t>
      </w:r>
      <w:r w:rsidR="00167BA0">
        <w:rPr>
          <w:noProof/>
        </w:rPr>
        <w:t>18</w:t>
      </w:r>
      <w:r>
        <w:fldChar w:fldCharType="end"/>
      </w:r>
      <w:r w:rsidR="00C54288">
        <w:t xml:space="preserve"> presents analysis of PACOP performance against cumulative provider targets specific </w:t>
      </w:r>
      <w:r w:rsidR="00C546D2">
        <w:t>to</w:t>
      </w:r>
      <w:r w:rsidR="00C54288">
        <w:t xml:space="preserve"> 2021–22 to 2023–24.</w:t>
      </w:r>
    </w:p>
    <w:p w14:paraId="557084BF" w14:textId="19321EEA" w:rsidR="009346EA" w:rsidRDefault="009346EA" w:rsidP="009346EA">
      <w:pPr>
        <w:pStyle w:val="Caption"/>
        <w:spacing w:before="120"/>
      </w:pPr>
      <w:bookmarkStart w:id="209" w:name="_Ref202442473"/>
      <w:r>
        <w:t xml:space="preserve">Table </w:t>
      </w:r>
      <w:fldSimple w:instr=" STYLEREF 1 \s ">
        <w:r w:rsidR="0091457A">
          <w:rPr>
            <w:noProof/>
          </w:rPr>
          <w:t>9</w:t>
        </w:r>
      </w:fldSimple>
      <w:r w:rsidR="0091457A">
        <w:t>.</w:t>
      </w:r>
      <w:fldSimple w:instr=" SEQ Table \* ARABIC \s 1 ">
        <w:r w:rsidR="0091457A">
          <w:rPr>
            <w:noProof/>
          </w:rPr>
          <w:t>18</w:t>
        </w:r>
      </w:fldSimple>
      <w:bookmarkEnd w:id="209"/>
      <w:r>
        <w:t xml:space="preserve">: PACOP </w:t>
      </w:r>
      <w:r w:rsidRPr="00503150">
        <w:t xml:space="preserve">performance against </w:t>
      </w:r>
      <w:r>
        <w:t>cumulative</w:t>
      </w:r>
      <w:r w:rsidRPr="00503150">
        <w:t xml:space="preserve"> targets (</w:t>
      </w:r>
      <w:r>
        <w:t>2021–22 to 2023–24</w:t>
      </w:r>
      <w:r w:rsidRPr="00503150">
        <w:t>)</w:t>
      </w:r>
    </w:p>
    <w:tbl>
      <w:tblPr>
        <w:tblStyle w:val="HMAdefaulttable"/>
        <w:tblW w:w="0" w:type="auto"/>
        <w:tblBorders>
          <w:left w:val="single" w:sz="4" w:space="0" w:color="auto"/>
          <w:right w:val="single" w:sz="4" w:space="0" w:color="auto"/>
          <w:insideV w:val="single" w:sz="4" w:space="0" w:color="auto"/>
        </w:tblBorders>
        <w:tblLook w:val="0620" w:firstRow="1" w:lastRow="0" w:firstColumn="0" w:lastColumn="0" w:noHBand="1" w:noVBand="1"/>
        <w:tblCaption w:val="Analysis of PACOP performance against targets"/>
        <w:tblDescription w:val="Table presents analysis against cumulative provider targets specific to 2021-22 to 2023-24."/>
      </w:tblPr>
      <w:tblGrid>
        <w:gridCol w:w="3256"/>
        <w:gridCol w:w="1243"/>
        <w:gridCol w:w="1238"/>
        <w:gridCol w:w="1747"/>
        <w:gridCol w:w="1107"/>
        <w:gridCol w:w="1103"/>
        <w:gridCol w:w="1611"/>
        <w:gridCol w:w="1107"/>
        <w:gridCol w:w="1103"/>
        <w:gridCol w:w="1611"/>
      </w:tblGrid>
      <w:tr w:rsidR="006F601D" w14:paraId="2DA0E4FF" w14:textId="77777777" w:rsidTr="00F3388A">
        <w:trPr>
          <w:cnfStyle w:val="100000000000" w:firstRow="1" w:lastRow="0" w:firstColumn="0" w:lastColumn="0" w:oddVBand="0" w:evenVBand="0" w:oddHBand="0" w:evenHBand="0" w:firstRowFirstColumn="0" w:firstRowLastColumn="0" w:lastRowFirstColumn="0" w:lastRowLastColumn="0"/>
          <w:tblHeader/>
        </w:trPr>
        <w:tc>
          <w:tcPr>
            <w:tcW w:w="0" w:type="auto"/>
          </w:tcPr>
          <w:p w14:paraId="58A1661B" w14:textId="6CED4494" w:rsidR="006F601D" w:rsidRDefault="00CE6E1B">
            <w:pPr>
              <w:spacing w:before="0" w:after="0"/>
            </w:pPr>
            <w:r>
              <w:t>Performance indicator</w:t>
            </w:r>
          </w:p>
        </w:tc>
        <w:tc>
          <w:tcPr>
            <w:tcW w:w="0" w:type="auto"/>
          </w:tcPr>
          <w:p w14:paraId="7B13FBD7" w14:textId="77777777" w:rsidR="006F601D" w:rsidRDefault="006F601D">
            <w:pPr>
              <w:spacing w:before="0" w:after="0"/>
              <w:jc w:val="center"/>
              <w:rPr>
                <w:caps w:val="0"/>
              </w:rPr>
            </w:pPr>
            <w:r>
              <w:t>2021–22 (Jan–Jun only)</w:t>
            </w:r>
          </w:p>
          <w:p w14:paraId="28C296F0" w14:textId="68C4F18B" w:rsidR="00CE6E1B" w:rsidRDefault="00CE6E1B">
            <w:pPr>
              <w:spacing w:before="0" w:after="0"/>
              <w:jc w:val="center"/>
              <w:rPr>
                <w:caps w:val="0"/>
              </w:rPr>
            </w:pPr>
            <w:r>
              <w:t>Target</w:t>
            </w:r>
          </w:p>
        </w:tc>
        <w:tc>
          <w:tcPr>
            <w:tcW w:w="0" w:type="auto"/>
          </w:tcPr>
          <w:p w14:paraId="5B4E6A41" w14:textId="77777777" w:rsidR="006F601D" w:rsidRDefault="006F601D">
            <w:pPr>
              <w:spacing w:before="0" w:after="0"/>
              <w:jc w:val="center"/>
              <w:rPr>
                <w:caps w:val="0"/>
              </w:rPr>
            </w:pPr>
            <w:r>
              <w:t>2021–22 (Jan–Jun only)</w:t>
            </w:r>
          </w:p>
          <w:p w14:paraId="4C25316E" w14:textId="577EA31A" w:rsidR="00CE6E1B" w:rsidRDefault="00CE6E1B">
            <w:pPr>
              <w:spacing w:before="0" w:after="0"/>
              <w:jc w:val="center"/>
              <w:rPr>
                <w:caps w:val="0"/>
              </w:rPr>
            </w:pPr>
            <w:r>
              <w:t>Actual</w:t>
            </w:r>
          </w:p>
        </w:tc>
        <w:tc>
          <w:tcPr>
            <w:tcW w:w="0" w:type="auto"/>
          </w:tcPr>
          <w:p w14:paraId="7956873A" w14:textId="77777777" w:rsidR="006F601D" w:rsidRDefault="006F601D">
            <w:pPr>
              <w:spacing w:before="0" w:after="0"/>
              <w:jc w:val="center"/>
              <w:rPr>
                <w:caps w:val="0"/>
              </w:rPr>
            </w:pPr>
            <w:r>
              <w:t>2021–22 (Jan–Jun only)</w:t>
            </w:r>
          </w:p>
          <w:p w14:paraId="42D70807" w14:textId="35936881" w:rsidR="00CE6E1B" w:rsidRDefault="00CE6E1B">
            <w:pPr>
              <w:spacing w:before="0" w:after="0"/>
              <w:jc w:val="center"/>
            </w:pPr>
            <w:r>
              <w:t>Performance</w:t>
            </w:r>
          </w:p>
        </w:tc>
        <w:tc>
          <w:tcPr>
            <w:tcW w:w="0" w:type="auto"/>
          </w:tcPr>
          <w:p w14:paraId="3745DB65" w14:textId="77777777" w:rsidR="006F601D" w:rsidRDefault="006F601D">
            <w:pPr>
              <w:spacing w:before="0" w:after="0"/>
              <w:jc w:val="center"/>
              <w:rPr>
                <w:caps w:val="0"/>
              </w:rPr>
            </w:pPr>
            <w:r>
              <w:t>2022–23 (Jul–Jun)</w:t>
            </w:r>
          </w:p>
          <w:p w14:paraId="4D2E58CA" w14:textId="58DB5543" w:rsidR="00CE6E1B" w:rsidRDefault="00CE6E1B">
            <w:pPr>
              <w:spacing w:before="0" w:after="0"/>
              <w:jc w:val="center"/>
              <w:rPr>
                <w:caps w:val="0"/>
              </w:rPr>
            </w:pPr>
            <w:r>
              <w:t>Target</w:t>
            </w:r>
          </w:p>
        </w:tc>
        <w:tc>
          <w:tcPr>
            <w:tcW w:w="0" w:type="auto"/>
          </w:tcPr>
          <w:p w14:paraId="559270D1" w14:textId="77777777" w:rsidR="006F601D" w:rsidRDefault="006F601D">
            <w:pPr>
              <w:spacing w:before="0" w:after="0"/>
              <w:jc w:val="center"/>
              <w:rPr>
                <w:caps w:val="0"/>
              </w:rPr>
            </w:pPr>
            <w:r>
              <w:t>2022–23 (Jul–Jun)</w:t>
            </w:r>
          </w:p>
          <w:p w14:paraId="061126D0" w14:textId="1E1BDFD2" w:rsidR="00CE6E1B" w:rsidRDefault="00CE6E1B">
            <w:pPr>
              <w:spacing w:before="0" w:after="0"/>
              <w:jc w:val="center"/>
              <w:rPr>
                <w:caps w:val="0"/>
              </w:rPr>
            </w:pPr>
            <w:r>
              <w:t>Actual</w:t>
            </w:r>
          </w:p>
        </w:tc>
        <w:tc>
          <w:tcPr>
            <w:tcW w:w="0" w:type="auto"/>
          </w:tcPr>
          <w:p w14:paraId="4B78399C" w14:textId="77777777" w:rsidR="006F601D" w:rsidRDefault="006F601D">
            <w:pPr>
              <w:spacing w:before="0" w:after="0"/>
              <w:jc w:val="center"/>
              <w:rPr>
                <w:caps w:val="0"/>
              </w:rPr>
            </w:pPr>
            <w:r>
              <w:t>2022–23 (Jul–Jun)</w:t>
            </w:r>
          </w:p>
          <w:p w14:paraId="4E5BD5CD" w14:textId="1C873B26" w:rsidR="00CE6E1B" w:rsidRDefault="00CE6E1B">
            <w:pPr>
              <w:spacing w:before="0" w:after="0"/>
              <w:jc w:val="center"/>
            </w:pPr>
            <w:r>
              <w:t>Performance</w:t>
            </w:r>
          </w:p>
        </w:tc>
        <w:tc>
          <w:tcPr>
            <w:tcW w:w="0" w:type="auto"/>
          </w:tcPr>
          <w:p w14:paraId="603D2011" w14:textId="77777777" w:rsidR="006F601D" w:rsidRDefault="006F601D">
            <w:pPr>
              <w:spacing w:before="0" w:after="0"/>
              <w:jc w:val="center"/>
              <w:rPr>
                <w:caps w:val="0"/>
              </w:rPr>
            </w:pPr>
            <w:r>
              <w:t>2023–24 (Jul–Jun)</w:t>
            </w:r>
          </w:p>
          <w:p w14:paraId="4DD3E057" w14:textId="7B4F5099" w:rsidR="00CE6E1B" w:rsidRDefault="00CE6E1B">
            <w:pPr>
              <w:spacing w:before="0" w:after="0"/>
              <w:jc w:val="center"/>
              <w:rPr>
                <w:caps w:val="0"/>
              </w:rPr>
            </w:pPr>
            <w:r>
              <w:t>Target</w:t>
            </w:r>
          </w:p>
        </w:tc>
        <w:tc>
          <w:tcPr>
            <w:tcW w:w="0" w:type="auto"/>
          </w:tcPr>
          <w:p w14:paraId="1A54C118" w14:textId="77777777" w:rsidR="006F601D" w:rsidRDefault="006F601D">
            <w:pPr>
              <w:spacing w:before="0" w:after="0"/>
              <w:jc w:val="center"/>
              <w:rPr>
                <w:caps w:val="0"/>
              </w:rPr>
            </w:pPr>
            <w:r>
              <w:t>2023–24 (Jul–Jun)</w:t>
            </w:r>
          </w:p>
          <w:p w14:paraId="54523A4D" w14:textId="35773AED" w:rsidR="00CE6E1B" w:rsidRDefault="00CE6E1B">
            <w:pPr>
              <w:spacing w:before="0" w:after="0"/>
              <w:jc w:val="center"/>
              <w:rPr>
                <w:caps w:val="0"/>
              </w:rPr>
            </w:pPr>
            <w:r>
              <w:t>Actual</w:t>
            </w:r>
          </w:p>
        </w:tc>
        <w:tc>
          <w:tcPr>
            <w:tcW w:w="0" w:type="auto"/>
          </w:tcPr>
          <w:p w14:paraId="14EB6ED1" w14:textId="77777777" w:rsidR="006F601D" w:rsidRDefault="006F601D">
            <w:pPr>
              <w:spacing w:before="0" w:after="0"/>
              <w:jc w:val="center"/>
              <w:rPr>
                <w:caps w:val="0"/>
              </w:rPr>
            </w:pPr>
            <w:r>
              <w:t>2023–24 (Jul–Jun)</w:t>
            </w:r>
          </w:p>
          <w:p w14:paraId="3425EA79" w14:textId="48F08978" w:rsidR="00CE6E1B" w:rsidRDefault="00CE6E1B">
            <w:pPr>
              <w:spacing w:before="0" w:after="0"/>
              <w:jc w:val="center"/>
            </w:pPr>
            <w:r>
              <w:t>Performance</w:t>
            </w:r>
          </w:p>
        </w:tc>
      </w:tr>
      <w:tr w:rsidR="009346EA" w:rsidRPr="00BE3A98" w14:paraId="32DFDC92" w14:textId="77777777" w:rsidTr="004E2A88">
        <w:tc>
          <w:tcPr>
            <w:tcW w:w="0" w:type="auto"/>
            <w:shd w:val="clear" w:color="auto" w:fill="DDF2EC" w:themeFill="background2" w:themeFillTint="33"/>
          </w:tcPr>
          <w:p w14:paraId="6F50A469" w14:textId="77777777" w:rsidR="009346EA" w:rsidRPr="00BE3A98" w:rsidRDefault="009346EA">
            <w:pPr>
              <w:spacing w:before="0" w:after="0"/>
              <w:rPr>
                <w:rFonts w:asciiTheme="majorHAnsi" w:hAnsiTheme="majorHAnsi"/>
              </w:rPr>
            </w:pPr>
            <w:r w:rsidRPr="00BE3A98">
              <w:rPr>
                <w:rFonts w:asciiTheme="majorHAnsi" w:hAnsiTheme="majorHAnsi"/>
              </w:rPr>
              <w:t>PACOP Profile Collection</w:t>
            </w:r>
          </w:p>
        </w:tc>
        <w:tc>
          <w:tcPr>
            <w:tcW w:w="0" w:type="auto"/>
            <w:shd w:val="clear" w:color="auto" w:fill="DDF2EC" w:themeFill="background2" w:themeFillTint="33"/>
          </w:tcPr>
          <w:p w14:paraId="03C04928" w14:textId="3DE93BA7" w:rsidR="009346EA" w:rsidRPr="00911BA8" w:rsidRDefault="00D71D1B">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02C34480" w14:textId="6E6752BD" w:rsidR="009346EA" w:rsidRPr="00911BA8" w:rsidRDefault="00D71D1B">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1827821F" w14:textId="4F1EBF8A" w:rsidR="009346EA" w:rsidRPr="00911BA8" w:rsidRDefault="0024674A">
            <w:pPr>
              <w:spacing w:before="0" w:after="0"/>
              <w:jc w:val="center"/>
              <w:rPr>
                <w:rFonts w:asciiTheme="majorHAnsi" w:hAnsiTheme="majorHAnsi"/>
                <w:szCs w:val="20"/>
              </w:rPr>
            </w:pPr>
            <w:r w:rsidRPr="00911BA8">
              <w:rPr>
                <w:rFonts w:asciiTheme="majorHAnsi" w:hAnsiTheme="majorHAnsi"/>
                <w:szCs w:val="20"/>
              </w:rPr>
              <w:t>%</w:t>
            </w:r>
          </w:p>
        </w:tc>
        <w:tc>
          <w:tcPr>
            <w:tcW w:w="0" w:type="auto"/>
            <w:shd w:val="clear" w:color="auto" w:fill="DDF2EC" w:themeFill="background2" w:themeFillTint="33"/>
          </w:tcPr>
          <w:p w14:paraId="3EB7ABC4" w14:textId="4528527C" w:rsidR="009346EA" w:rsidRPr="00911BA8" w:rsidRDefault="0024674A">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27455A24" w14:textId="0D2A61CE" w:rsidR="009346EA" w:rsidRPr="00911BA8" w:rsidRDefault="0024674A">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2A9FEC0C" w14:textId="1A7543FD" w:rsidR="009346EA" w:rsidRPr="00911BA8" w:rsidRDefault="0024674A">
            <w:pPr>
              <w:spacing w:before="0" w:after="0"/>
              <w:jc w:val="center"/>
              <w:rPr>
                <w:rFonts w:asciiTheme="majorHAnsi" w:hAnsiTheme="majorHAnsi"/>
                <w:szCs w:val="20"/>
              </w:rPr>
            </w:pPr>
            <w:r w:rsidRPr="00911BA8">
              <w:rPr>
                <w:rFonts w:asciiTheme="majorHAnsi" w:hAnsiTheme="majorHAnsi"/>
                <w:szCs w:val="20"/>
              </w:rPr>
              <w:t>%</w:t>
            </w:r>
          </w:p>
        </w:tc>
        <w:tc>
          <w:tcPr>
            <w:tcW w:w="0" w:type="auto"/>
            <w:shd w:val="clear" w:color="auto" w:fill="DDF2EC" w:themeFill="background2" w:themeFillTint="33"/>
          </w:tcPr>
          <w:p w14:paraId="542F6173" w14:textId="01C44E6E" w:rsidR="009346EA" w:rsidRPr="00911BA8" w:rsidRDefault="0024674A">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38BA517E" w14:textId="21E1934E" w:rsidR="009346EA" w:rsidRPr="00911BA8" w:rsidRDefault="0024674A">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5ED52B02" w14:textId="6B7E739E" w:rsidR="009346EA" w:rsidRPr="00911BA8" w:rsidRDefault="0024674A">
            <w:pPr>
              <w:spacing w:before="0" w:after="0"/>
              <w:jc w:val="center"/>
              <w:rPr>
                <w:rFonts w:asciiTheme="majorHAnsi" w:hAnsiTheme="majorHAnsi"/>
                <w:szCs w:val="20"/>
              </w:rPr>
            </w:pPr>
            <w:r w:rsidRPr="00911BA8">
              <w:rPr>
                <w:rFonts w:asciiTheme="majorHAnsi" w:hAnsiTheme="majorHAnsi"/>
                <w:szCs w:val="20"/>
              </w:rPr>
              <w:t>%</w:t>
            </w:r>
          </w:p>
        </w:tc>
      </w:tr>
      <w:tr w:rsidR="009346EA" w14:paraId="46B5E698" w14:textId="77777777" w:rsidTr="004E2A88">
        <w:tc>
          <w:tcPr>
            <w:tcW w:w="0" w:type="auto"/>
          </w:tcPr>
          <w:p w14:paraId="511D95A5" w14:textId="77777777"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 xml:space="preserve">umber of participating large multi-site providers (≥40 aged care homes) </w:t>
            </w:r>
          </w:p>
        </w:tc>
        <w:tc>
          <w:tcPr>
            <w:tcW w:w="0" w:type="auto"/>
          </w:tcPr>
          <w:p w14:paraId="7702B527" w14:textId="77777777" w:rsidR="009346EA" w:rsidRDefault="009346EA">
            <w:pPr>
              <w:spacing w:before="0" w:after="0"/>
              <w:jc w:val="center"/>
            </w:pPr>
            <w:r>
              <w:t>1</w:t>
            </w:r>
          </w:p>
        </w:tc>
        <w:tc>
          <w:tcPr>
            <w:tcW w:w="0" w:type="auto"/>
          </w:tcPr>
          <w:p w14:paraId="3DEC8DAF" w14:textId="77777777" w:rsidR="009346EA" w:rsidRDefault="009346EA">
            <w:pPr>
              <w:spacing w:before="0" w:after="0"/>
              <w:jc w:val="center"/>
            </w:pPr>
            <w:r>
              <w:t>4</w:t>
            </w:r>
          </w:p>
        </w:tc>
        <w:tc>
          <w:tcPr>
            <w:tcW w:w="0" w:type="auto"/>
            <w:shd w:val="clear" w:color="auto" w:fill="92D050"/>
          </w:tcPr>
          <w:p w14:paraId="3704376F" w14:textId="77777777" w:rsidR="009346EA" w:rsidRDefault="009346EA">
            <w:pPr>
              <w:spacing w:before="0" w:after="0"/>
              <w:jc w:val="center"/>
            </w:pPr>
            <w:r>
              <w:t>400%</w:t>
            </w:r>
          </w:p>
          <w:p w14:paraId="37CF7464" w14:textId="77777777" w:rsidR="009346EA" w:rsidRDefault="009346EA">
            <w:pPr>
              <w:spacing w:before="0" w:after="0"/>
              <w:jc w:val="center"/>
            </w:pPr>
            <w:r>
              <w:t>Met</w:t>
            </w:r>
          </w:p>
        </w:tc>
        <w:tc>
          <w:tcPr>
            <w:tcW w:w="0" w:type="auto"/>
            <w:shd w:val="clear" w:color="auto" w:fill="auto"/>
          </w:tcPr>
          <w:p w14:paraId="2CB0FCB7" w14:textId="77777777" w:rsidR="009346EA" w:rsidRDefault="009346EA">
            <w:pPr>
              <w:spacing w:before="0" w:after="0"/>
              <w:jc w:val="center"/>
            </w:pPr>
            <w:r>
              <w:t>3</w:t>
            </w:r>
          </w:p>
        </w:tc>
        <w:tc>
          <w:tcPr>
            <w:tcW w:w="0" w:type="auto"/>
            <w:shd w:val="clear" w:color="auto" w:fill="auto"/>
          </w:tcPr>
          <w:p w14:paraId="1CDBD0E6" w14:textId="77777777" w:rsidR="009346EA" w:rsidRDefault="009346EA">
            <w:pPr>
              <w:spacing w:before="0" w:after="0"/>
              <w:jc w:val="center"/>
            </w:pPr>
            <w:r>
              <w:t>5</w:t>
            </w:r>
          </w:p>
        </w:tc>
        <w:tc>
          <w:tcPr>
            <w:tcW w:w="0" w:type="auto"/>
            <w:shd w:val="clear" w:color="auto" w:fill="92D050"/>
          </w:tcPr>
          <w:p w14:paraId="37E9C7EB" w14:textId="77777777" w:rsidR="009346EA" w:rsidRDefault="009346EA">
            <w:pPr>
              <w:spacing w:before="0" w:after="0"/>
              <w:jc w:val="center"/>
            </w:pPr>
            <w:r>
              <w:t>167%</w:t>
            </w:r>
          </w:p>
          <w:p w14:paraId="1EA75D56" w14:textId="77777777" w:rsidR="009346EA" w:rsidRDefault="009346EA">
            <w:pPr>
              <w:spacing w:before="0" w:after="0"/>
              <w:jc w:val="center"/>
            </w:pPr>
            <w:r>
              <w:t>Met</w:t>
            </w:r>
          </w:p>
        </w:tc>
        <w:tc>
          <w:tcPr>
            <w:tcW w:w="0" w:type="auto"/>
            <w:shd w:val="clear" w:color="auto" w:fill="auto"/>
          </w:tcPr>
          <w:p w14:paraId="15B4735A" w14:textId="77777777" w:rsidR="009346EA" w:rsidRDefault="009346EA">
            <w:pPr>
              <w:spacing w:before="0" w:after="0"/>
              <w:jc w:val="center"/>
            </w:pPr>
            <w:r>
              <w:t>7</w:t>
            </w:r>
          </w:p>
        </w:tc>
        <w:tc>
          <w:tcPr>
            <w:tcW w:w="0" w:type="auto"/>
            <w:shd w:val="clear" w:color="auto" w:fill="auto"/>
          </w:tcPr>
          <w:p w14:paraId="46BA05A2" w14:textId="77777777" w:rsidR="009346EA" w:rsidRDefault="009346EA">
            <w:pPr>
              <w:spacing w:before="0" w:after="0"/>
              <w:jc w:val="center"/>
            </w:pPr>
            <w:r>
              <w:t>7</w:t>
            </w:r>
          </w:p>
        </w:tc>
        <w:tc>
          <w:tcPr>
            <w:tcW w:w="0" w:type="auto"/>
            <w:shd w:val="clear" w:color="auto" w:fill="92D050"/>
          </w:tcPr>
          <w:p w14:paraId="6976EBB2" w14:textId="77777777" w:rsidR="009346EA" w:rsidRDefault="009346EA">
            <w:pPr>
              <w:spacing w:before="0" w:after="0"/>
              <w:jc w:val="center"/>
            </w:pPr>
            <w:r>
              <w:t>100%</w:t>
            </w:r>
          </w:p>
          <w:p w14:paraId="123CEF52" w14:textId="77777777" w:rsidR="009346EA" w:rsidRDefault="009346EA">
            <w:pPr>
              <w:spacing w:before="0" w:after="0"/>
              <w:jc w:val="center"/>
            </w:pPr>
            <w:r>
              <w:t>Met</w:t>
            </w:r>
          </w:p>
        </w:tc>
      </w:tr>
      <w:tr w:rsidR="009346EA" w14:paraId="3D60CC88" w14:textId="77777777" w:rsidTr="004E2A88">
        <w:tc>
          <w:tcPr>
            <w:tcW w:w="0" w:type="auto"/>
          </w:tcPr>
          <w:p w14:paraId="4B5C2BD6" w14:textId="77777777"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umber of participating medium multi-site providers (20–39 aged care homes)</w:t>
            </w:r>
          </w:p>
        </w:tc>
        <w:tc>
          <w:tcPr>
            <w:tcW w:w="0" w:type="auto"/>
          </w:tcPr>
          <w:p w14:paraId="2A0A89AF" w14:textId="77777777" w:rsidR="009346EA" w:rsidRDefault="009346EA">
            <w:pPr>
              <w:spacing w:before="0" w:after="0"/>
              <w:jc w:val="center"/>
            </w:pPr>
            <w:r>
              <w:t>2</w:t>
            </w:r>
          </w:p>
        </w:tc>
        <w:tc>
          <w:tcPr>
            <w:tcW w:w="0" w:type="auto"/>
          </w:tcPr>
          <w:p w14:paraId="7150C95A" w14:textId="77777777" w:rsidR="009346EA" w:rsidRDefault="009346EA">
            <w:pPr>
              <w:spacing w:before="0" w:after="0"/>
              <w:jc w:val="center"/>
            </w:pPr>
            <w:r>
              <w:t>7</w:t>
            </w:r>
          </w:p>
        </w:tc>
        <w:tc>
          <w:tcPr>
            <w:tcW w:w="0" w:type="auto"/>
            <w:shd w:val="clear" w:color="auto" w:fill="92D050"/>
          </w:tcPr>
          <w:p w14:paraId="4349662D" w14:textId="77777777" w:rsidR="009346EA" w:rsidRDefault="009346EA">
            <w:pPr>
              <w:spacing w:before="0" w:after="0"/>
              <w:jc w:val="center"/>
            </w:pPr>
            <w:r>
              <w:t>350%</w:t>
            </w:r>
          </w:p>
          <w:p w14:paraId="71E19626" w14:textId="77777777" w:rsidR="009346EA" w:rsidRDefault="009346EA">
            <w:pPr>
              <w:spacing w:before="0" w:after="0"/>
              <w:jc w:val="center"/>
            </w:pPr>
            <w:r>
              <w:t>Met</w:t>
            </w:r>
          </w:p>
        </w:tc>
        <w:tc>
          <w:tcPr>
            <w:tcW w:w="0" w:type="auto"/>
            <w:shd w:val="clear" w:color="auto" w:fill="auto"/>
          </w:tcPr>
          <w:p w14:paraId="764A2CC8" w14:textId="77777777" w:rsidR="009346EA" w:rsidRDefault="009346EA">
            <w:pPr>
              <w:spacing w:before="0" w:after="0"/>
              <w:jc w:val="center"/>
            </w:pPr>
            <w:r>
              <w:t>6</w:t>
            </w:r>
          </w:p>
        </w:tc>
        <w:tc>
          <w:tcPr>
            <w:tcW w:w="0" w:type="auto"/>
            <w:shd w:val="clear" w:color="auto" w:fill="auto"/>
          </w:tcPr>
          <w:p w14:paraId="16A4F3F6" w14:textId="77777777" w:rsidR="009346EA" w:rsidRDefault="009346EA">
            <w:pPr>
              <w:spacing w:before="0" w:after="0"/>
              <w:jc w:val="center"/>
            </w:pPr>
            <w:r>
              <w:t>8</w:t>
            </w:r>
          </w:p>
        </w:tc>
        <w:tc>
          <w:tcPr>
            <w:tcW w:w="0" w:type="auto"/>
            <w:shd w:val="clear" w:color="auto" w:fill="92D050"/>
          </w:tcPr>
          <w:p w14:paraId="512FEF38" w14:textId="77777777" w:rsidR="009346EA" w:rsidRDefault="009346EA">
            <w:pPr>
              <w:spacing w:before="0" w:after="0"/>
              <w:jc w:val="center"/>
            </w:pPr>
            <w:r>
              <w:t>133%</w:t>
            </w:r>
          </w:p>
          <w:p w14:paraId="36F922CB" w14:textId="77777777" w:rsidR="009346EA" w:rsidRDefault="009346EA">
            <w:pPr>
              <w:spacing w:before="0" w:after="0"/>
              <w:jc w:val="center"/>
            </w:pPr>
            <w:r>
              <w:t>Met</w:t>
            </w:r>
          </w:p>
        </w:tc>
        <w:tc>
          <w:tcPr>
            <w:tcW w:w="0" w:type="auto"/>
            <w:shd w:val="clear" w:color="auto" w:fill="auto"/>
          </w:tcPr>
          <w:p w14:paraId="0EB88B5C" w14:textId="77777777" w:rsidR="009346EA" w:rsidRDefault="009346EA">
            <w:pPr>
              <w:spacing w:before="0" w:after="0"/>
              <w:jc w:val="center"/>
            </w:pPr>
            <w:r>
              <w:t>12</w:t>
            </w:r>
          </w:p>
        </w:tc>
        <w:tc>
          <w:tcPr>
            <w:tcW w:w="0" w:type="auto"/>
            <w:shd w:val="clear" w:color="auto" w:fill="auto"/>
          </w:tcPr>
          <w:p w14:paraId="58C6F215" w14:textId="77777777" w:rsidR="009346EA" w:rsidRDefault="009346EA">
            <w:pPr>
              <w:spacing w:before="0" w:after="0"/>
              <w:jc w:val="center"/>
            </w:pPr>
            <w:r>
              <w:t>9</w:t>
            </w:r>
          </w:p>
        </w:tc>
        <w:tc>
          <w:tcPr>
            <w:tcW w:w="0" w:type="auto"/>
            <w:shd w:val="clear" w:color="auto" w:fill="FBDC00" w:themeFill="accent1"/>
          </w:tcPr>
          <w:p w14:paraId="6341E92B" w14:textId="77777777" w:rsidR="009346EA" w:rsidRDefault="009346EA">
            <w:pPr>
              <w:spacing w:before="0" w:after="0"/>
              <w:jc w:val="center"/>
            </w:pPr>
            <w:r>
              <w:t>75%</w:t>
            </w:r>
          </w:p>
          <w:p w14:paraId="729AF2C8" w14:textId="77777777" w:rsidR="009346EA" w:rsidRDefault="009346EA">
            <w:pPr>
              <w:spacing w:before="0" w:after="0"/>
              <w:jc w:val="center"/>
            </w:pPr>
            <w:r>
              <w:t>Not met</w:t>
            </w:r>
          </w:p>
        </w:tc>
      </w:tr>
      <w:tr w:rsidR="009346EA" w14:paraId="5EF8B5EB" w14:textId="77777777" w:rsidTr="004E2A88">
        <w:tc>
          <w:tcPr>
            <w:tcW w:w="0" w:type="auto"/>
          </w:tcPr>
          <w:p w14:paraId="45934A35" w14:textId="2FBE5A3F"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 xml:space="preserve">umber of participating </w:t>
            </w:r>
            <w:proofErr w:type="gramStart"/>
            <w:r w:rsidRPr="00054D2A">
              <w:rPr>
                <w:rFonts w:asciiTheme="majorHAnsi" w:hAnsiTheme="majorHAnsi"/>
              </w:rPr>
              <w:t>medium</w:t>
            </w:r>
            <w:proofErr w:type="gramEnd"/>
            <w:r w:rsidR="00185AA4">
              <w:rPr>
                <w:rFonts w:asciiTheme="majorHAnsi" w:hAnsiTheme="majorHAnsi"/>
              </w:rPr>
              <w:t>–</w:t>
            </w:r>
            <w:r w:rsidRPr="00054D2A">
              <w:rPr>
                <w:rFonts w:asciiTheme="majorHAnsi" w:hAnsiTheme="majorHAnsi"/>
              </w:rPr>
              <w:t>small multi-site providers (10–19 aged care homes)</w:t>
            </w:r>
          </w:p>
        </w:tc>
        <w:tc>
          <w:tcPr>
            <w:tcW w:w="0" w:type="auto"/>
          </w:tcPr>
          <w:p w14:paraId="3E92B410" w14:textId="77777777" w:rsidR="009346EA" w:rsidRDefault="009346EA">
            <w:pPr>
              <w:spacing w:before="0" w:after="0"/>
              <w:jc w:val="center"/>
            </w:pPr>
            <w:r>
              <w:t>3</w:t>
            </w:r>
          </w:p>
        </w:tc>
        <w:tc>
          <w:tcPr>
            <w:tcW w:w="0" w:type="auto"/>
          </w:tcPr>
          <w:p w14:paraId="1D12975E" w14:textId="77777777" w:rsidR="009346EA" w:rsidRDefault="009346EA">
            <w:pPr>
              <w:spacing w:before="0" w:after="0"/>
              <w:jc w:val="center"/>
            </w:pPr>
            <w:r>
              <w:t>7</w:t>
            </w:r>
          </w:p>
        </w:tc>
        <w:tc>
          <w:tcPr>
            <w:tcW w:w="0" w:type="auto"/>
            <w:shd w:val="clear" w:color="auto" w:fill="92D050"/>
          </w:tcPr>
          <w:p w14:paraId="6D45A48C" w14:textId="77777777" w:rsidR="009346EA" w:rsidRDefault="009346EA">
            <w:pPr>
              <w:spacing w:before="0" w:after="0"/>
              <w:jc w:val="center"/>
            </w:pPr>
            <w:r>
              <w:t>233%</w:t>
            </w:r>
          </w:p>
          <w:p w14:paraId="23C67FEE" w14:textId="77777777" w:rsidR="009346EA" w:rsidRDefault="009346EA">
            <w:pPr>
              <w:spacing w:before="0" w:after="0"/>
              <w:jc w:val="center"/>
            </w:pPr>
            <w:r>
              <w:t>Met</w:t>
            </w:r>
          </w:p>
        </w:tc>
        <w:tc>
          <w:tcPr>
            <w:tcW w:w="0" w:type="auto"/>
            <w:shd w:val="clear" w:color="auto" w:fill="auto"/>
          </w:tcPr>
          <w:p w14:paraId="112684B0" w14:textId="77777777" w:rsidR="009346EA" w:rsidRDefault="009346EA">
            <w:pPr>
              <w:spacing w:before="0" w:after="0"/>
              <w:jc w:val="center"/>
            </w:pPr>
            <w:r>
              <w:t>11</w:t>
            </w:r>
          </w:p>
        </w:tc>
        <w:tc>
          <w:tcPr>
            <w:tcW w:w="0" w:type="auto"/>
            <w:shd w:val="clear" w:color="auto" w:fill="auto"/>
          </w:tcPr>
          <w:p w14:paraId="0DBD0265" w14:textId="77777777" w:rsidR="009346EA" w:rsidRDefault="009346EA">
            <w:pPr>
              <w:spacing w:before="0" w:after="0"/>
              <w:jc w:val="center"/>
            </w:pPr>
            <w:r>
              <w:t>10</w:t>
            </w:r>
          </w:p>
        </w:tc>
        <w:tc>
          <w:tcPr>
            <w:tcW w:w="0" w:type="auto"/>
            <w:shd w:val="clear" w:color="auto" w:fill="FBDC00" w:themeFill="accent1"/>
          </w:tcPr>
          <w:p w14:paraId="2711A7D9" w14:textId="77777777" w:rsidR="009346EA" w:rsidRDefault="009346EA">
            <w:pPr>
              <w:spacing w:before="0" w:after="0"/>
              <w:jc w:val="center"/>
            </w:pPr>
            <w:r>
              <w:t>91%</w:t>
            </w:r>
          </w:p>
          <w:p w14:paraId="6B60EA6C" w14:textId="77777777" w:rsidR="009346EA" w:rsidRDefault="009346EA">
            <w:pPr>
              <w:spacing w:before="0" w:after="0"/>
              <w:jc w:val="center"/>
            </w:pPr>
            <w:r>
              <w:t>Not met</w:t>
            </w:r>
          </w:p>
        </w:tc>
        <w:tc>
          <w:tcPr>
            <w:tcW w:w="0" w:type="auto"/>
            <w:shd w:val="clear" w:color="auto" w:fill="auto"/>
          </w:tcPr>
          <w:p w14:paraId="000E3317" w14:textId="77777777" w:rsidR="009346EA" w:rsidRDefault="009346EA">
            <w:pPr>
              <w:spacing w:before="0" w:after="0"/>
              <w:jc w:val="center"/>
            </w:pPr>
            <w:r>
              <w:t>25</w:t>
            </w:r>
          </w:p>
        </w:tc>
        <w:tc>
          <w:tcPr>
            <w:tcW w:w="0" w:type="auto"/>
            <w:shd w:val="clear" w:color="auto" w:fill="auto"/>
          </w:tcPr>
          <w:p w14:paraId="3BCAA497" w14:textId="77777777" w:rsidR="009346EA" w:rsidRDefault="009346EA">
            <w:pPr>
              <w:spacing w:before="0" w:after="0"/>
              <w:jc w:val="center"/>
            </w:pPr>
            <w:r>
              <w:t>9</w:t>
            </w:r>
          </w:p>
        </w:tc>
        <w:tc>
          <w:tcPr>
            <w:tcW w:w="0" w:type="auto"/>
            <w:shd w:val="clear" w:color="auto" w:fill="FBDC00" w:themeFill="accent1"/>
          </w:tcPr>
          <w:p w14:paraId="68190747" w14:textId="77777777" w:rsidR="009346EA" w:rsidRDefault="009346EA">
            <w:pPr>
              <w:spacing w:before="0" w:after="0"/>
              <w:jc w:val="center"/>
            </w:pPr>
            <w:r>
              <w:t>36%</w:t>
            </w:r>
          </w:p>
          <w:p w14:paraId="23390EC7" w14:textId="77777777" w:rsidR="009346EA" w:rsidRDefault="009346EA">
            <w:pPr>
              <w:spacing w:before="0" w:after="0"/>
              <w:jc w:val="center"/>
            </w:pPr>
            <w:r>
              <w:t>Not met</w:t>
            </w:r>
          </w:p>
        </w:tc>
      </w:tr>
      <w:tr w:rsidR="00911BA8" w:rsidRPr="00BE3A98" w14:paraId="1787704A" w14:textId="77777777" w:rsidTr="004E2A88">
        <w:tc>
          <w:tcPr>
            <w:tcW w:w="0" w:type="auto"/>
            <w:shd w:val="clear" w:color="auto" w:fill="DDF2EC" w:themeFill="background2" w:themeFillTint="33"/>
          </w:tcPr>
          <w:p w14:paraId="0667D91B" w14:textId="77777777" w:rsidR="00911BA8" w:rsidRPr="00054D2A" w:rsidRDefault="00911BA8" w:rsidP="00911BA8">
            <w:pPr>
              <w:spacing w:before="0" w:after="0"/>
              <w:rPr>
                <w:rFonts w:asciiTheme="majorHAnsi" w:hAnsiTheme="majorHAnsi"/>
              </w:rPr>
            </w:pPr>
            <w:r w:rsidRPr="00054D2A">
              <w:rPr>
                <w:rFonts w:asciiTheme="majorHAnsi" w:hAnsiTheme="majorHAnsi"/>
              </w:rPr>
              <w:t>PACOP Outcomes Collection</w:t>
            </w:r>
          </w:p>
        </w:tc>
        <w:tc>
          <w:tcPr>
            <w:tcW w:w="0" w:type="auto"/>
            <w:shd w:val="clear" w:color="auto" w:fill="DDF2EC" w:themeFill="background2" w:themeFillTint="33"/>
          </w:tcPr>
          <w:p w14:paraId="5900A764" w14:textId="10D5CB9D" w:rsidR="00911BA8" w:rsidRPr="00001F88" w:rsidRDefault="00911BA8" w:rsidP="005872F3">
            <w:pPr>
              <w:spacing w:before="0" w:after="0"/>
              <w:jc w:val="center"/>
              <w:rPr>
                <w:rFonts w:asciiTheme="majorHAnsi" w:hAnsiTheme="majorHAnsi"/>
                <w:sz w:val="18"/>
                <w:szCs w:val="20"/>
              </w:rPr>
            </w:pPr>
            <w:r w:rsidRPr="00911BA8">
              <w:rPr>
                <w:rFonts w:asciiTheme="majorHAnsi" w:hAnsiTheme="majorHAnsi"/>
                <w:szCs w:val="20"/>
              </w:rPr>
              <w:t>N</w:t>
            </w:r>
          </w:p>
        </w:tc>
        <w:tc>
          <w:tcPr>
            <w:tcW w:w="0" w:type="auto"/>
            <w:shd w:val="clear" w:color="auto" w:fill="DDF2EC" w:themeFill="background2" w:themeFillTint="33"/>
          </w:tcPr>
          <w:p w14:paraId="09228538" w14:textId="5EF3C1FB"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0C5D5950" w14:textId="7D0BEEEA"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w:t>
            </w:r>
          </w:p>
        </w:tc>
        <w:tc>
          <w:tcPr>
            <w:tcW w:w="0" w:type="auto"/>
            <w:shd w:val="clear" w:color="auto" w:fill="DDF2EC" w:themeFill="background2" w:themeFillTint="33"/>
          </w:tcPr>
          <w:p w14:paraId="74380CBA" w14:textId="2E8F2412"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254D4464" w14:textId="5466F318"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20457DE2" w14:textId="74B38F93"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w:t>
            </w:r>
          </w:p>
        </w:tc>
        <w:tc>
          <w:tcPr>
            <w:tcW w:w="0" w:type="auto"/>
            <w:shd w:val="clear" w:color="auto" w:fill="DDF2EC" w:themeFill="background2" w:themeFillTint="33"/>
          </w:tcPr>
          <w:p w14:paraId="24FAFA81" w14:textId="0B4DCB4E"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4B68F191" w14:textId="55FAF3BE"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14082530" w14:textId="304DDF23"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w:t>
            </w:r>
          </w:p>
        </w:tc>
      </w:tr>
      <w:tr w:rsidR="009346EA" w14:paraId="7535731D" w14:textId="77777777" w:rsidTr="004E2A88">
        <w:tc>
          <w:tcPr>
            <w:tcW w:w="0" w:type="auto"/>
          </w:tcPr>
          <w:p w14:paraId="41EB9628" w14:textId="77777777" w:rsidR="009346EA" w:rsidRPr="00054D2A" w:rsidRDefault="009346EA">
            <w:pPr>
              <w:spacing w:before="0" w:after="0"/>
              <w:rPr>
                <w:rFonts w:asciiTheme="majorHAnsi" w:hAnsiTheme="majorHAnsi"/>
              </w:rPr>
            </w:pPr>
            <w:r>
              <w:rPr>
                <w:rFonts w:asciiTheme="majorHAnsi" w:hAnsiTheme="majorHAnsi"/>
              </w:rPr>
              <w:lastRenderedPageBreak/>
              <w:t>Cumulative n</w:t>
            </w:r>
            <w:r w:rsidRPr="00054D2A">
              <w:rPr>
                <w:rFonts w:asciiTheme="majorHAnsi" w:hAnsiTheme="majorHAnsi"/>
              </w:rPr>
              <w:t xml:space="preserve">umber of participating large multi-site providers (≥40 aged care homes) </w:t>
            </w:r>
          </w:p>
        </w:tc>
        <w:tc>
          <w:tcPr>
            <w:tcW w:w="0" w:type="auto"/>
          </w:tcPr>
          <w:p w14:paraId="05EC5D1E" w14:textId="77777777" w:rsidR="009346EA" w:rsidRDefault="009346EA">
            <w:pPr>
              <w:spacing w:before="0" w:after="0"/>
              <w:jc w:val="center"/>
            </w:pPr>
            <w:r>
              <w:t>1</w:t>
            </w:r>
          </w:p>
        </w:tc>
        <w:tc>
          <w:tcPr>
            <w:tcW w:w="0" w:type="auto"/>
          </w:tcPr>
          <w:p w14:paraId="57BD008B" w14:textId="77777777" w:rsidR="009346EA" w:rsidRDefault="009346EA">
            <w:pPr>
              <w:spacing w:before="0" w:after="0"/>
              <w:jc w:val="center"/>
            </w:pPr>
            <w:r>
              <w:t>2</w:t>
            </w:r>
          </w:p>
        </w:tc>
        <w:tc>
          <w:tcPr>
            <w:tcW w:w="0" w:type="auto"/>
            <w:shd w:val="clear" w:color="auto" w:fill="92D050"/>
          </w:tcPr>
          <w:p w14:paraId="08CABAA1" w14:textId="77777777" w:rsidR="009346EA" w:rsidRDefault="009346EA">
            <w:pPr>
              <w:spacing w:before="0" w:after="0"/>
              <w:jc w:val="center"/>
            </w:pPr>
            <w:r>
              <w:t>200%</w:t>
            </w:r>
          </w:p>
          <w:p w14:paraId="646655B4" w14:textId="77777777" w:rsidR="009346EA" w:rsidRDefault="009346EA">
            <w:pPr>
              <w:spacing w:before="0" w:after="0"/>
              <w:jc w:val="center"/>
            </w:pPr>
            <w:r>
              <w:t>Met</w:t>
            </w:r>
          </w:p>
        </w:tc>
        <w:tc>
          <w:tcPr>
            <w:tcW w:w="0" w:type="auto"/>
            <w:shd w:val="clear" w:color="auto" w:fill="auto"/>
          </w:tcPr>
          <w:p w14:paraId="44F2C277" w14:textId="77777777" w:rsidR="009346EA" w:rsidRDefault="009346EA">
            <w:pPr>
              <w:spacing w:before="0" w:after="0"/>
              <w:jc w:val="center"/>
            </w:pPr>
            <w:r>
              <w:t>3</w:t>
            </w:r>
          </w:p>
        </w:tc>
        <w:tc>
          <w:tcPr>
            <w:tcW w:w="0" w:type="auto"/>
            <w:shd w:val="clear" w:color="auto" w:fill="auto"/>
          </w:tcPr>
          <w:p w14:paraId="301B3489" w14:textId="77777777" w:rsidR="009346EA" w:rsidRDefault="009346EA">
            <w:pPr>
              <w:spacing w:before="0" w:after="0"/>
              <w:jc w:val="center"/>
            </w:pPr>
            <w:r>
              <w:t>3</w:t>
            </w:r>
          </w:p>
        </w:tc>
        <w:tc>
          <w:tcPr>
            <w:tcW w:w="0" w:type="auto"/>
            <w:shd w:val="clear" w:color="auto" w:fill="92D050"/>
          </w:tcPr>
          <w:p w14:paraId="1EBB356D" w14:textId="77777777" w:rsidR="009346EA" w:rsidRDefault="009346EA">
            <w:pPr>
              <w:spacing w:before="0" w:after="0"/>
              <w:jc w:val="center"/>
            </w:pPr>
            <w:r>
              <w:t>100%</w:t>
            </w:r>
          </w:p>
          <w:p w14:paraId="0EFD5F48" w14:textId="77777777" w:rsidR="009346EA" w:rsidRDefault="009346EA">
            <w:pPr>
              <w:spacing w:before="0" w:after="0"/>
              <w:jc w:val="center"/>
            </w:pPr>
            <w:r>
              <w:t>Met</w:t>
            </w:r>
          </w:p>
        </w:tc>
        <w:tc>
          <w:tcPr>
            <w:tcW w:w="0" w:type="auto"/>
            <w:shd w:val="clear" w:color="auto" w:fill="auto"/>
          </w:tcPr>
          <w:p w14:paraId="293D07FA" w14:textId="77777777" w:rsidR="009346EA" w:rsidRDefault="009346EA">
            <w:pPr>
              <w:spacing w:before="0" w:after="0"/>
              <w:jc w:val="center"/>
            </w:pPr>
            <w:r>
              <w:t>6</w:t>
            </w:r>
          </w:p>
        </w:tc>
        <w:tc>
          <w:tcPr>
            <w:tcW w:w="0" w:type="auto"/>
            <w:shd w:val="clear" w:color="auto" w:fill="auto"/>
          </w:tcPr>
          <w:p w14:paraId="2567CBDA" w14:textId="77777777" w:rsidR="009346EA" w:rsidRDefault="009346EA">
            <w:pPr>
              <w:spacing w:before="0" w:after="0"/>
              <w:jc w:val="center"/>
            </w:pPr>
            <w:r>
              <w:t>3</w:t>
            </w:r>
          </w:p>
        </w:tc>
        <w:tc>
          <w:tcPr>
            <w:tcW w:w="0" w:type="auto"/>
            <w:shd w:val="clear" w:color="auto" w:fill="FBDC00" w:themeFill="accent1"/>
          </w:tcPr>
          <w:p w14:paraId="1A042F5B" w14:textId="77777777" w:rsidR="009346EA" w:rsidRDefault="009346EA">
            <w:pPr>
              <w:spacing w:before="0" w:after="0"/>
              <w:jc w:val="center"/>
            </w:pPr>
            <w:r>
              <w:t>50%</w:t>
            </w:r>
          </w:p>
          <w:p w14:paraId="2D9982A3" w14:textId="77777777" w:rsidR="009346EA" w:rsidRDefault="009346EA">
            <w:pPr>
              <w:spacing w:before="0" w:after="0"/>
              <w:jc w:val="center"/>
            </w:pPr>
            <w:r>
              <w:t>Not met</w:t>
            </w:r>
          </w:p>
        </w:tc>
      </w:tr>
      <w:tr w:rsidR="009346EA" w14:paraId="06238A07" w14:textId="77777777" w:rsidTr="004E2A88">
        <w:tc>
          <w:tcPr>
            <w:tcW w:w="0" w:type="auto"/>
          </w:tcPr>
          <w:p w14:paraId="1E8E1FD1" w14:textId="77777777"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umber of participating medium multi-site providers (20–39 aged care homes)</w:t>
            </w:r>
          </w:p>
        </w:tc>
        <w:tc>
          <w:tcPr>
            <w:tcW w:w="0" w:type="auto"/>
          </w:tcPr>
          <w:p w14:paraId="4D674734" w14:textId="77777777" w:rsidR="009346EA" w:rsidRDefault="009346EA">
            <w:pPr>
              <w:spacing w:before="0" w:after="0"/>
              <w:jc w:val="center"/>
            </w:pPr>
            <w:r>
              <w:t>1</w:t>
            </w:r>
          </w:p>
        </w:tc>
        <w:tc>
          <w:tcPr>
            <w:tcW w:w="0" w:type="auto"/>
          </w:tcPr>
          <w:p w14:paraId="0E236B2A" w14:textId="77777777" w:rsidR="009346EA" w:rsidRDefault="009346EA">
            <w:pPr>
              <w:spacing w:before="0" w:after="0"/>
              <w:jc w:val="center"/>
            </w:pPr>
            <w:r>
              <w:t>1</w:t>
            </w:r>
          </w:p>
        </w:tc>
        <w:tc>
          <w:tcPr>
            <w:tcW w:w="0" w:type="auto"/>
            <w:shd w:val="clear" w:color="auto" w:fill="92D050"/>
          </w:tcPr>
          <w:p w14:paraId="7FD2D27E" w14:textId="77777777" w:rsidR="009346EA" w:rsidRDefault="009346EA">
            <w:pPr>
              <w:spacing w:before="0" w:after="0"/>
              <w:jc w:val="center"/>
            </w:pPr>
            <w:r>
              <w:t>100%</w:t>
            </w:r>
          </w:p>
          <w:p w14:paraId="55E21A5E" w14:textId="77777777" w:rsidR="009346EA" w:rsidRDefault="009346EA">
            <w:pPr>
              <w:spacing w:before="0" w:after="0"/>
              <w:jc w:val="center"/>
            </w:pPr>
            <w:r>
              <w:t>Met</w:t>
            </w:r>
          </w:p>
        </w:tc>
        <w:tc>
          <w:tcPr>
            <w:tcW w:w="0" w:type="auto"/>
            <w:shd w:val="clear" w:color="auto" w:fill="auto"/>
          </w:tcPr>
          <w:p w14:paraId="5E1A65E2" w14:textId="77777777" w:rsidR="009346EA" w:rsidRDefault="009346EA">
            <w:pPr>
              <w:spacing w:before="0" w:after="0"/>
              <w:jc w:val="center"/>
            </w:pPr>
            <w:r>
              <w:t>3</w:t>
            </w:r>
          </w:p>
        </w:tc>
        <w:tc>
          <w:tcPr>
            <w:tcW w:w="0" w:type="auto"/>
            <w:shd w:val="clear" w:color="auto" w:fill="auto"/>
          </w:tcPr>
          <w:p w14:paraId="35C371DC" w14:textId="77777777" w:rsidR="009346EA" w:rsidRDefault="009346EA">
            <w:pPr>
              <w:spacing w:before="0" w:after="0"/>
              <w:jc w:val="center"/>
            </w:pPr>
            <w:r>
              <w:t>4</w:t>
            </w:r>
          </w:p>
        </w:tc>
        <w:tc>
          <w:tcPr>
            <w:tcW w:w="0" w:type="auto"/>
            <w:shd w:val="clear" w:color="auto" w:fill="92D050"/>
          </w:tcPr>
          <w:p w14:paraId="25F3C7D6" w14:textId="77777777" w:rsidR="009346EA" w:rsidRDefault="009346EA">
            <w:pPr>
              <w:spacing w:before="0" w:after="0"/>
              <w:jc w:val="center"/>
            </w:pPr>
            <w:r>
              <w:t>133%</w:t>
            </w:r>
          </w:p>
          <w:p w14:paraId="14461817" w14:textId="77777777" w:rsidR="009346EA" w:rsidRDefault="009346EA">
            <w:pPr>
              <w:spacing w:before="0" w:after="0"/>
              <w:jc w:val="center"/>
            </w:pPr>
            <w:r>
              <w:t>Met</w:t>
            </w:r>
          </w:p>
        </w:tc>
        <w:tc>
          <w:tcPr>
            <w:tcW w:w="0" w:type="auto"/>
            <w:shd w:val="clear" w:color="auto" w:fill="auto"/>
          </w:tcPr>
          <w:p w14:paraId="6016D86F" w14:textId="77777777" w:rsidR="009346EA" w:rsidRDefault="009346EA">
            <w:pPr>
              <w:spacing w:before="0" w:after="0"/>
              <w:jc w:val="center"/>
            </w:pPr>
            <w:r>
              <w:t>6</w:t>
            </w:r>
          </w:p>
        </w:tc>
        <w:tc>
          <w:tcPr>
            <w:tcW w:w="0" w:type="auto"/>
            <w:shd w:val="clear" w:color="auto" w:fill="auto"/>
          </w:tcPr>
          <w:p w14:paraId="677A0F5C" w14:textId="77777777" w:rsidR="009346EA" w:rsidRDefault="009346EA">
            <w:pPr>
              <w:spacing w:before="0" w:after="0"/>
              <w:jc w:val="center"/>
            </w:pPr>
            <w:r>
              <w:t>4</w:t>
            </w:r>
          </w:p>
        </w:tc>
        <w:tc>
          <w:tcPr>
            <w:tcW w:w="0" w:type="auto"/>
            <w:shd w:val="clear" w:color="auto" w:fill="FBDC00" w:themeFill="accent1"/>
          </w:tcPr>
          <w:p w14:paraId="50AC31FC" w14:textId="77777777" w:rsidR="009346EA" w:rsidRDefault="009346EA">
            <w:pPr>
              <w:spacing w:before="0" w:after="0"/>
              <w:jc w:val="center"/>
            </w:pPr>
            <w:r>
              <w:t>67</w:t>
            </w:r>
            <w:r w:rsidRPr="0071073C">
              <w:t>%</w:t>
            </w:r>
          </w:p>
          <w:p w14:paraId="79066A28" w14:textId="77777777" w:rsidR="009346EA" w:rsidRDefault="009346EA">
            <w:pPr>
              <w:spacing w:before="0" w:after="0"/>
              <w:jc w:val="center"/>
            </w:pPr>
            <w:r>
              <w:t>Not met</w:t>
            </w:r>
          </w:p>
        </w:tc>
      </w:tr>
      <w:tr w:rsidR="009346EA" w14:paraId="066B4B3E" w14:textId="77777777" w:rsidTr="004E2A88">
        <w:tc>
          <w:tcPr>
            <w:tcW w:w="0" w:type="auto"/>
          </w:tcPr>
          <w:p w14:paraId="1C72EE02" w14:textId="765BD0D1"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 xml:space="preserve">umber of participating </w:t>
            </w:r>
            <w:proofErr w:type="gramStart"/>
            <w:r w:rsidRPr="00054D2A">
              <w:rPr>
                <w:rFonts w:asciiTheme="majorHAnsi" w:hAnsiTheme="majorHAnsi"/>
              </w:rPr>
              <w:t>medium</w:t>
            </w:r>
            <w:proofErr w:type="gramEnd"/>
            <w:r w:rsidR="00185AA4">
              <w:rPr>
                <w:rFonts w:asciiTheme="majorHAnsi" w:hAnsiTheme="majorHAnsi"/>
              </w:rPr>
              <w:t>–</w:t>
            </w:r>
            <w:r w:rsidRPr="00054D2A">
              <w:rPr>
                <w:rFonts w:asciiTheme="majorHAnsi" w:hAnsiTheme="majorHAnsi"/>
              </w:rPr>
              <w:t>small multi-site providers (10–19 aged care homes)</w:t>
            </w:r>
          </w:p>
        </w:tc>
        <w:tc>
          <w:tcPr>
            <w:tcW w:w="0" w:type="auto"/>
          </w:tcPr>
          <w:p w14:paraId="002196CD" w14:textId="77777777" w:rsidR="009346EA" w:rsidRDefault="009346EA">
            <w:pPr>
              <w:spacing w:before="0" w:after="0"/>
              <w:jc w:val="center"/>
            </w:pPr>
            <w:r>
              <w:t>2</w:t>
            </w:r>
          </w:p>
        </w:tc>
        <w:tc>
          <w:tcPr>
            <w:tcW w:w="0" w:type="auto"/>
          </w:tcPr>
          <w:p w14:paraId="23A2E24F" w14:textId="77777777" w:rsidR="009346EA" w:rsidRDefault="009346EA">
            <w:pPr>
              <w:spacing w:before="0" w:after="0"/>
              <w:jc w:val="center"/>
            </w:pPr>
            <w:r>
              <w:t>3</w:t>
            </w:r>
          </w:p>
        </w:tc>
        <w:tc>
          <w:tcPr>
            <w:tcW w:w="0" w:type="auto"/>
            <w:shd w:val="clear" w:color="auto" w:fill="92D050"/>
          </w:tcPr>
          <w:p w14:paraId="3AD0AE24" w14:textId="77777777" w:rsidR="009346EA" w:rsidRDefault="009346EA">
            <w:pPr>
              <w:spacing w:before="0" w:after="0"/>
              <w:jc w:val="center"/>
            </w:pPr>
            <w:r>
              <w:t>150%</w:t>
            </w:r>
          </w:p>
          <w:p w14:paraId="72B58134" w14:textId="77777777" w:rsidR="009346EA" w:rsidRDefault="009346EA">
            <w:pPr>
              <w:spacing w:before="0" w:after="0"/>
              <w:jc w:val="center"/>
            </w:pPr>
            <w:r>
              <w:t>Met</w:t>
            </w:r>
          </w:p>
        </w:tc>
        <w:tc>
          <w:tcPr>
            <w:tcW w:w="0" w:type="auto"/>
            <w:shd w:val="clear" w:color="auto" w:fill="auto"/>
          </w:tcPr>
          <w:p w14:paraId="382A97D6" w14:textId="77777777" w:rsidR="009346EA" w:rsidRDefault="009346EA">
            <w:pPr>
              <w:spacing w:before="0" w:after="0"/>
              <w:jc w:val="center"/>
            </w:pPr>
            <w:r>
              <w:t>6</w:t>
            </w:r>
          </w:p>
        </w:tc>
        <w:tc>
          <w:tcPr>
            <w:tcW w:w="0" w:type="auto"/>
            <w:shd w:val="clear" w:color="auto" w:fill="auto"/>
          </w:tcPr>
          <w:p w14:paraId="550FAE9A" w14:textId="77777777" w:rsidR="009346EA" w:rsidRDefault="009346EA">
            <w:pPr>
              <w:spacing w:before="0" w:after="0"/>
              <w:jc w:val="center"/>
            </w:pPr>
            <w:r>
              <w:t>7</w:t>
            </w:r>
          </w:p>
        </w:tc>
        <w:tc>
          <w:tcPr>
            <w:tcW w:w="0" w:type="auto"/>
            <w:shd w:val="clear" w:color="auto" w:fill="92D050"/>
          </w:tcPr>
          <w:p w14:paraId="55AA3D2F" w14:textId="77777777" w:rsidR="009346EA" w:rsidRDefault="009346EA">
            <w:pPr>
              <w:spacing w:before="0" w:after="0"/>
              <w:jc w:val="center"/>
            </w:pPr>
            <w:r>
              <w:t>117%</w:t>
            </w:r>
          </w:p>
          <w:p w14:paraId="7EFA1BD9" w14:textId="77777777" w:rsidR="009346EA" w:rsidRDefault="009346EA">
            <w:pPr>
              <w:spacing w:before="0" w:after="0"/>
              <w:jc w:val="center"/>
            </w:pPr>
            <w:r>
              <w:t>Met</w:t>
            </w:r>
          </w:p>
        </w:tc>
        <w:tc>
          <w:tcPr>
            <w:tcW w:w="0" w:type="auto"/>
            <w:shd w:val="clear" w:color="auto" w:fill="auto"/>
          </w:tcPr>
          <w:p w14:paraId="5C0B43A0" w14:textId="77777777" w:rsidR="009346EA" w:rsidRDefault="009346EA">
            <w:pPr>
              <w:spacing w:before="0" w:after="0"/>
              <w:jc w:val="center"/>
            </w:pPr>
            <w:r>
              <w:t>13</w:t>
            </w:r>
          </w:p>
        </w:tc>
        <w:tc>
          <w:tcPr>
            <w:tcW w:w="0" w:type="auto"/>
            <w:shd w:val="clear" w:color="auto" w:fill="auto"/>
          </w:tcPr>
          <w:p w14:paraId="372E2B44" w14:textId="77777777" w:rsidR="009346EA" w:rsidRDefault="009346EA">
            <w:pPr>
              <w:spacing w:before="0" w:after="0"/>
              <w:jc w:val="center"/>
            </w:pPr>
            <w:r>
              <w:t>5</w:t>
            </w:r>
          </w:p>
        </w:tc>
        <w:tc>
          <w:tcPr>
            <w:tcW w:w="0" w:type="auto"/>
            <w:shd w:val="clear" w:color="auto" w:fill="FBDC00" w:themeFill="accent1"/>
          </w:tcPr>
          <w:p w14:paraId="013E96E4" w14:textId="77777777" w:rsidR="009346EA" w:rsidRDefault="009346EA">
            <w:pPr>
              <w:spacing w:before="0" w:after="0"/>
              <w:jc w:val="center"/>
            </w:pPr>
            <w:r>
              <w:t>38%</w:t>
            </w:r>
          </w:p>
          <w:p w14:paraId="592F4B5E" w14:textId="77777777" w:rsidR="009346EA" w:rsidRDefault="009346EA">
            <w:pPr>
              <w:spacing w:before="0" w:after="0"/>
              <w:jc w:val="center"/>
            </w:pPr>
            <w:r w:rsidRPr="0071073C">
              <w:t>Not met</w:t>
            </w:r>
          </w:p>
        </w:tc>
      </w:tr>
      <w:tr w:rsidR="009346EA" w14:paraId="5F0367DF" w14:textId="77777777" w:rsidTr="004E2A88">
        <w:tc>
          <w:tcPr>
            <w:tcW w:w="0" w:type="auto"/>
            <w:shd w:val="clear" w:color="auto" w:fill="DCDCDF" w:themeFill="text2" w:themeFillTint="33"/>
          </w:tcPr>
          <w:p w14:paraId="5D322C4A" w14:textId="77777777" w:rsidR="009346EA" w:rsidRDefault="009346EA">
            <w:pPr>
              <w:spacing w:before="0" w:after="0"/>
              <w:rPr>
                <w:rFonts w:asciiTheme="majorHAnsi" w:hAnsiTheme="majorHAnsi"/>
              </w:rPr>
            </w:pPr>
            <w:r>
              <w:rPr>
                <w:rFonts w:asciiTheme="majorHAnsi" w:hAnsiTheme="majorHAnsi"/>
              </w:rPr>
              <w:t>Proportion of key performance indicators achieved annually</w:t>
            </w:r>
          </w:p>
        </w:tc>
        <w:tc>
          <w:tcPr>
            <w:tcW w:w="0" w:type="auto"/>
            <w:shd w:val="clear" w:color="auto" w:fill="DCDCDF" w:themeFill="text2" w:themeFillTint="33"/>
          </w:tcPr>
          <w:p w14:paraId="68D9F782" w14:textId="78DC673A" w:rsidR="009346EA" w:rsidRDefault="0029165B">
            <w:pPr>
              <w:spacing w:before="0" w:after="0"/>
              <w:jc w:val="center"/>
            </w:pPr>
            <w:r>
              <w:t>-</w:t>
            </w:r>
          </w:p>
        </w:tc>
        <w:tc>
          <w:tcPr>
            <w:tcW w:w="0" w:type="auto"/>
            <w:shd w:val="clear" w:color="auto" w:fill="DCDCDF" w:themeFill="text2" w:themeFillTint="33"/>
          </w:tcPr>
          <w:p w14:paraId="0CF93442" w14:textId="623BBD6D"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4F568F62" w14:textId="77777777" w:rsidR="009346EA" w:rsidRDefault="009346EA">
            <w:pPr>
              <w:spacing w:before="0" w:after="0"/>
              <w:jc w:val="center"/>
              <w:rPr>
                <w:rFonts w:asciiTheme="majorHAnsi" w:hAnsiTheme="majorHAnsi"/>
              </w:rPr>
            </w:pPr>
            <w:r>
              <w:rPr>
                <w:rFonts w:asciiTheme="majorHAnsi" w:hAnsiTheme="majorHAnsi"/>
              </w:rPr>
              <w:t>100%</w:t>
            </w:r>
          </w:p>
        </w:tc>
        <w:tc>
          <w:tcPr>
            <w:tcW w:w="0" w:type="auto"/>
            <w:shd w:val="clear" w:color="auto" w:fill="DCDCDF" w:themeFill="text2" w:themeFillTint="33"/>
          </w:tcPr>
          <w:p w14:paraId="46C78069" w14:textId="4D6A9088"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6E9625DE" w14:textId="6264801A"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11379ACE" w14:textId="77777777" w:rsidR="009346EA" w:rsidRDefault="009346EA">
            <w:pPr>
              <w:spacing w:before="0" w:after="0"/>
              <w:jc w:val="center"/>
              <w:rPr>
                <w:rFonts w:asciiTheme="majorHAnsi" w:hAnsiTheme="majorHAnsi"/>
              </w:rPr>
            </w:pPr>
            <w:r>
              <w:rPr>
                <w:rFonts w:asciiTheme="majorHAnsi" w:hAnsiTheme="majorHAnsi"/>
              </w:rPr>
              <w:t>83%</w:t>
            </w:r>
          </w:p>
        </w:tc>
        <w:tc>
          <w:tcPr>
            <w:tcW w:w="0" w:type="auto"/>
            <w:shd w:val="clear" w:color="auto" w:fill="DCDCDF" w:themeFill="text2" w:themeFillTint="33"/>
          </w:tcPr>
          <w:p w14:paraId="1D3A8CB5" w14:textId="5A1D0A0C"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6A34B43F" w14:textId="2E3C172C"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02F3D372" w14:textId="77777777" w:rsidR="009346EA" w:rsidRDefault="009346EA">
            <w:pPr>
              <w:spacing w:before="0" w:after="0"/>
              <w:jc w:val="center"/>
              <w:rPr>
                <w:rFonts w:asciiTheme="majorHAnsi" w:hAnsiTheme="majorHAnsi"/>
              </w:rPr>
            </w:pPr>
            <w:r>
              <w:rPr>
                <w:rFonts w:asciiTheme="majorHAnsi" w:hAnsiTheme="majorHAnsi"/>
              </w:rPr>
              <w:t>17%</w:t>
            </w:r>
          </w:p>
        </w:tc>
      </w:tr>
    </w:tbl>
    <w:p w14:paraId="673404B6" w14:textId="47CA1B79" w:rsidR="00741F0D" w:rsidRDefault="009346EA" w:rsidP="00BA6A2A">
      <w:pPr>
        <w:pStyle w:val="Tablenotes"/>
      </w:pPr>
      <w:r>
        <w:t xml:space="preserve">Source: PACOP Performance Report, July 2022 </w:t>
      </w:r>
      <w:sdt>
        <w:sdtPr>
          <w:id w:val="-716442300"/>
          <w:citation/>
        </w:sdtPr>
        <w:sdtContent>
          <w:r>
            <w:fldChar w:fldCharType="begin"/>
          </w:r>
          <w:r>
            <w:rPr>
              <w:lang w:val="en-US"/>
            </w:rPr>
            <w:instrText xml:space="preserve"> CITATION Uni222 \l 1033 </w:instrText>
          </w:r>
          <w:r>
            <w:fldChar w:fldCharType="separate"/>
          </w:r>
          <w:r w:rsidR="001302EC" w:rsidRPr="001302EC">
            <w:rPr>
              <w:noProof/>
              <w:lang w:val="en-US"/>
            </w:rPr>
            <w:t>[28]</w:t>
          </w:r>
          <w:r>
            <w:fldChar w:fldCharType="end"/>
          </w:r>
        </w:sdtContent>
      </w:sdt>
      <w:r>
        <w:t>, PACOP Performance Report, January 2023</w:t>
      </w:r>
      <w:sdt>
        <w:sdtPr>
          <w:id w:val="-1579826920"/>
          <w:citation/>
        </w:sdtPr>
        <w:sdtContent>
          <w:r>
            <w:fldChar w:fldCharType="begin"/>
          </w:r>
          <w:r>
            <w:rPr>
              <w:lang w:val="en-US"/>
            </w:rPr>
            <w:instrText xml:space="preserve"> CITATION Uni233 \l 1033 </w:instrText>
          </w:r>
          <w:r>
            <w:fldChar w:fldCharType="separate"/>
          </w:r>
          <w:r w:rsidR="001302EC">
            <w:rPr>
              <w:noProof/>
              <w:lang w:val="en-US"/>
            </w:rPr>
            <w:t xml:space="preserve"> </w:t>
          </w:r>
          <w:r w:rsidR="001302EC" w:rsidRPr="001302EC">
            <w:rPr>
              <w:noProof/>
              <w:lang w:val="en-US"/>
            </w:rPr>
            <w:t>[29]</w:t>
          </w:r>
          <w:r>
            <w:fldChar w:fldCharType="end"/>
          </w:r>
        </w:sdtContent>
      </w:sdt>
      <w:r>
        <w:t xml:space="preserve">, PACOP Performance Report, July 2023 </w:t>
      </w:r>
      <w:sdt>
        <w:sdtPr>
          <w:id w:val="632228357"/>
          <w:citation/>
        </w:sdtPr>
        <w:sdtContent>
          <w:r>
            <w:fldChar w:fldCharType="begin"/>
          </w:r>
          <w:r>
            <w:rPr>
              <w:lang w:val="en-US"/>
            </w:rPr>
            <w:instrText xml:space="preserve"> CITATION Uni234 \l 1033 </w:instrText>
          </w:r>
          <w:r>
            <w:fldChar w:fldCharType="separate"/>
          </w:r>
          <w:r w:rsidR="001302EC" w:rsidRPr="001302EC">
            <w:rPr>
              <w:noProof/>
              <w:lang w:val="en-US"/>
            </w:rPr>
            <w:t>[30]</w:t>
          </w:r>
          <w:r>
            <w:fldChar w:fldCharType="end"/>
          </w:r>
        </w:sdtContent>
      </w:sdt>
      <w:r>
        <w:t xml:space="preserve">, PACOP Performance Report, July 2024 </w:t>
      </w:r>
      <w:sdt>
        <w:sdtPr>
          <w:id w:val="-1136794157"/>
          <w:citation/>
        </w:sdtPr>
        <w:sdtContent>
          <w:r>
            <w:fldChar w:fldCharType="begin"/>
          </w:r>
          <w:r>
            <w:rPr>
              <w:lang w:val="en-US"/>
            </w:rPr>
            <w:instrText xml:space="preserve"> CITATION Uni2411 \l 1033 </w:instrText>
          </w:r>
          <w:r>
            <w:fldChar w:fldCharType="separate"/>
          </w:r>
          <w:r w:rsidR="001302EC" w:rsidRPr="001302EC">
            <w:rPr>
              <w:noProof/>
              <w:lang w:val="en-US"/>
            </w:rPr>
            <w:t>[31]</w:t>
          </w:r>
          <w:r>
            <w:fldChar w:fldCharType="end"/>
          </w:r>
        </w:sdtContent>
      </w:sdt>
      <w:r>
        <w:t xml:space="preserve">, PACOP Final Report, 2025 </w:t>
      </w:r>
      <w:sdt>
        <w:sdtPr>
          <w:id w:val="-1402368961"/>
          <w:citation/>
        </w:sdtPr>
        <w:sdtContent>
          <w:r>
            <w:fldChar w:fldCharType="begin"/>
          </w:r>
          <w:r>
            <w:rPr>
              <w:lang w:val="en-US"/>
            </w:rPr>
            <w:instrText xml:space="preserve"> CITATION Uni2533 \l 1033 </w:instrText>
          </w:r>
          <w:r>
            <w:fldChar w:fldCharType="separate"/>
          </w:r>
          <w:r w:rsidR="001302EC" w:rsidRPr="001302EC">
            <w:rPr>
              <w:noProof/>
              <w:lang w:val="en-US"/>
            </w:rPr>
            <w:t>[24]</w:t>
          </w:r>
          <w:r>
            <w:fldChar w:fldCharType="end"/>
          </w:r>
        </w:sdtContent>
      </w:sdt>
      <w:r w:rsidR="00BA6A2A">
        <w:t>.</w:t>
      </w:r>
    </w:p>
    <w:p w14:paraId="17CB1C55" w14:textId="7164D9F9" w:rsidR="0016436E" w:rsidRDefault="0016436E" w:rsidP="0016436E">
      <w:pPr>
        <w:pStyle w:val="Heading4"/>
      </w:pPr>
      <w:r>
        <w:t>2024–25 performance</w:t>
      </w:r>
      <w:r w:rsidR="00E866A9">
        <w:t xml:space="preserve"> indicators</w:t>
      </w:r>
    </w:p>
    <w:p w14:paraId="49E02EC9" w14:textId="6738D621" w:rsidR="00787C46" w:rsidRDefault="00832821" w:rsidP="00787C46">
      <w:r>
        <w:fldChar w:fldCharType="begin"/>
      </w:r>
      <w:r>
        <w:instrText xml:space="preserve"> REF _Ref215059598 \h </w:instrText>
      </w:r>
      <w:r>
        <w:fldChar w:fldCharType="separate"/>
      </w:r>
      <w:r w:rsidR="00167BA0">
        <w:t xml:space="preserve">Table </w:t>
      </w:r>
      <w:r w:rsidR="00167BA0">
        <w:rPr>
          <w:noProof/>
        </w:rPr>
        <w:t>9</w:t>
      </w:r>
      <w:r w:rsidR="00167BA0">
        <w:t>.</w:t>
      </w:r>
      <w:r w:rsidR="00167BA0">
        <w:rPr>
          <w:noProof/>
        </w:rPr>
        <w:t>19</w:t>
      </w:r>
      <w:r>
        <w:fldChar w:fldCharType="end"/>
      </w:r>
      <w:r w:rsidR="00C54288">
        <w:t xml:space="preserve"> outlines</w:t>
      </w:r>
      <w:r w:rsidR="00EF252D">
        <w:t xml:space="preserve"> reported performance against outcome-based performance indicators specified for 2024–25.</w:t>
      </w:r>
    </w:p>
    <w:p w14:paraId="420BDE40" w14:textId="79925276" w:rsidR="00D03483" w:rsidRDefault="00D03483" w:rsidP="00D03483">
      <w:pPr>
        <w:pStyle w:val="Caption"/>
      </w:pPr>
      <w:bookmarkStart w:id="210" w:name="_Ref215059598"/>
      <w:r>
        <w:t xml:space="preserve">Table </w:t>
      </w:r>
      <w:fldSimple w:instr=" STYLEREF 1 \s ">
        <w:r w:rsidR="0091457A">
          <w:rPr>
            <w:noProof/>
          </w:rPr>
          <w:t>9</w:t>
        </w:r>
      </w:fldSimple>
      <w:r w:rsidR="0091457A">
        <w:t>.</w:t>
      </w:r>
      <w:fldSimple w:instr=" SEQ Table \* ARABIC \s 1 ">
        <w:r w:rsidR="0091457A">
          <w:rPr>
            <w:noProof/>
          </w:rPr>
          <w:t>19</w:t>
        </w:r>
      </w:fldSimple>
      <w:bookmarkEnd w:id="210"/>
      <w:r>
        <w:t>: Performance against PACOP indicators (2024–25)</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Performance against PACOP indicators"/>
        <w:tblDescription w:val="Table outlines reported performance against PACOP indicators for 2024-25."/>
      </w:tblPr>
      <w:tblGrid>
        <w:gridCol w:w="4837"/>
        <w:gridCol w:w="4721"/>
        <w:gridCol w:w="5568"/>
      </w:tblGrid>
      <w:tr w:rsidR="00787C46" w14:paraId="3B755699" w14:textId="77777777" w:rsidTr="00E87207">
        <w:trPr>
          <w:cnfStyle w:val="100000000000" w:firstRow="1" w:lastRow="0" w:firstColumn="0" w:lastColumn="0" w:oddVBand="0" w:evenVBand="0" w:oddHBand="0" w:evenHBand="0" w:firstRowFirstColumn="0" w:firstRowLastColumn="0" w:lastRowFirstColumn="0" w:lastRowLastColumn="0"/>
          <w:tblHeader/>
        </w:trPr>
        <w:tc>
          <w:tcPr>
            <w:tcW w:w="0" w:type="auto"/>
          </w:tcPr>
          <w:p w14:paraId="36BB3197" w14:textId="05D469A1" w:rsidR="00787C46" w:rsidRDefault="007017A6" w:rsidP="00787C46">
            <w:pPr>
              <w:spacing w:before="0" w:after="0"/>
            </w:pPr>
            <w:r>
              <w:t>Indicator</w:t>
            </w:r>
          </w:p>
        </w:tc>
        <w:tc>
          <w:tcPr>
            <w:tcW w:w="0" w:type="auto"/>
          </w:tcPr>
          <w:p w14:paraId="466A418D" w14:textId="37528F1E" w:rsidR="00787C46" w:rsidRDefault="007017A6" w:rsidP="00787C46">
            <w:pPr>
              <w:spacing w:before="0" w:after="0"/>
            </w:pPr>
            <w:r>
              <w:t>Measure</w:t>
            </w:r>
          </w:p>
        </w:tc>
        <w:tc>
          <w:tcPr>
            <w:tcW w:w="0" w:type="auto"/>
          </w:tcPr>
          <w:p w14:paraId="756193F0" w14:textId="5DAD1A46" w:rsidR="00787C46" w:rsidRDefault="007017A6" w:rsidP="00787C46">
            <w:pPr>
              <w:spacing w:before="0" w:after="0"/>
            </w:pPr>
            <w:r>
              <w:t>Reported performance</w:t>
            </w:r>
          </w:p>
        </w:tc>
      </w:tr>
      <w:tr w:rsidR="007017A6" w14:paraId="14956C2B" w14:textId="77777777" w:rsidTr="00E87207">
        <w:trPr>
          <w:cnfStyle w:val="000000100000" w:firstRow="0" w:lastRow="0" w:firstColumn="0" w:lastColumn="0" w:oddVBand="0" w:evenVBand="0" w:oddHBand="1" w:evenHBand="0" w:firstRowFirstColumn="0" w:firstRowLastColumn="0" w:lastRowFirstColumn="0" w:lastRowLastColumn="0"/>
        </w:trPr>
        <w:tc>
          <w:tcPr>
            <w:tcW w:w="0" w:type="auto"/>
          </w:tcPr>
          <w:p w14:paraId="1F880187" w14:textId="434AD723" w:rsidR="007017A6" w:rsidRDefault="007017A6" w:rsidP="007017A6">
            <w:pPr>
              <w:spacing w:before="0" w:after="0"/>
            </w:pPr>
            <w:r>
              <w:rPr>
                <w:rFonts w:cs="Arial"/>
                <w:color w:val="000000"/>
                <w:szCs w:val="20"/>
              </w:rPr>
              <w:t>Improved outcomes for residents and their families at the end of life</w:t>
            </w:r>
          </w:p>
        </w:tc>
        <w:tc>
          <w:tcPr>
            <w:tcW w:w="0" w:type="auto"/>
          </w:tcPr>
          <w:p w14:paraId="3FAF58A2" w14:textId="292C3BE0" w:rsidR="007017A6" w:rsidRDefault="007017A6" w:rsidP="007017A6">
            <w:pPr>
              <w:spacing w:before="0" w:after="0"/>
            </w:pPr>
            <w:r>
              <w:rPr>
                <w:rFonts w:cs="Arial"/>
                <w:color w:val="000000"/>
                <w:szCs w:val="20"/>
              </w:rPr>
              <w:t>Improved capabilities of the aged care workforce to monitor, recognise and respond to identified palliative care needs of residents and their families</w:t>
            </w:r>
          </w:p>
        </w:tc>
        <w:tc>
          <w:tcPr>
            <w:tcW w:w="0" w:type="auto"/>
          </w:tcPr>
          <w:p w14:paraId="7846B37B" w14:textId="77777777" w:rsidR="00E074E8" w:rsidRDefault="00E074E8" w:rsidP="00E074E8">
            <w:pPr>
              <w:pStyle w:val="TableBullets1"/>
            </w:pPr>
            <w:r w:rsidRPr="00E074E8">
              <w:t>430 aged care homes participated under the PACOP framework, providing care for approximately 38,800 residents</w:t>
            </w:r>
          </w:p>
          <w:p w14:paraId="44E8085B" w14:textId="4B09D869" w:rsidR="007017A6" w:rsidRDefault="00E074E8" w:rsidP="00E074E8">
            <w:pPr>
              <w:pStyle w:val="TableBullets1"/>
            </w:pPr>
            <w:r>
              <w:t>94</w:t>
            </w:r>
            <w:r w:rsidRPr="00E074E8">
              <w:t xml:space="preserve"> homes submitted data and received benchmarking reports, with national benchmarks showing improvements in timely assessment, responsive action planning, anticipatory pain management, and identification of palliative care needs prior to death</w:t>
            </w:r>
          </w:p>
        </w:tc>
      </w:tr>
      <w:tr w:rsidR="007017A6" w14:paraId="2C95D344" w14:textId="77777777" w:rsidTr="00E87207">
        <w:trPr>
          <w:cnfStyle w:val="000000010000" w:firstRow="0" w:lastRow="0" w:firstColumn="0" w:lastColumn="0" w:oddVBand="0" w:evenVBand="0" w:oddHBand="0" w:evenHBand="1" w:firstRowFirstColumn="0" w:firstRowLastColumn="0" w:lastRowFirstColumn="0" w:lastRowLastColumn="0"/>
        </w:trPr>
        <w:tc>
          <w:tcPr>
            <w:tcW w:w="0" w:type="auto"/>
          </w:tcPr>
          <w:p w14:paraId="436370AF" w14:textId="2101C8E8" w:rsidR="007017A6" w:rsidRDefault="007017A6" w:rsidP="007017A6">
            <w:pPr>
              <w:spacing w:before="0" w:after="0"/>
            </w:pPr>
            <w:r>
              <w:rPr>
                <w:rFonts w:cs="Arial"/>
                <w:color w:val="000000"/>
                <w:szCs w:val="20"/>
              </w:rPr>
              <w:lastRenderedPageBreak/>
              <w:t>Aged care homes deliver high-quality, safe, and culturally appropriate palliative care that meets individual care needs</w:t>
            </w:r>
          </w:p>
        </w:tc>
        <w:tc>
          <w:tcPr>
            <w:tcW w:w="0" w:type="auto"/>
          </w:tcPr>
          <w:p w14:paraId="58E6B2DA" w14:textId="5C853F86" w:rsidR="007017A6" w:rsidRDefault="007017A6" w:rsidP="007017A6">
            <w:pPr>
              <w:spacing w:before="0" w:after="0"/>
            </w:pPr>
            <w:r>
              <w:rPr>
                <w:rFonts w:cs="Arial"/>
                <w:color w:val="000000"/>
                <w:szCs w:val="20"/>
              </w:rPr>
              <w:t xml:space="preserve">Improved, nationally standardised, palliative care education and training </w:t>
            </w:r>
            <w:proofErr w:type="gramStart"/>
            <w:r>
              <w:rPr>
                <w:rFonts w:cs="Arial"/>
                <w:color w:val="000000"/>
                <w:szCs w:val="20"/>
              </w:rPr>
              <w:t>builds</w:t>
            </w:r>
            <w:proofErr w:type="gramEnd"/>
            <w:r>
              <w:rPr>
                <w:rFonts w:cs="Arial"/>
                <w:color w:val="000000"/>
                <w:szCs w:val="20"/>
              </w:rPr>
              <w:t xml:space="preserve"> the capacity of the aged care workforce to improve the quality of, and timely access to, palliative care for residents</w:t>
            </w:r>
          </w:p>
        </w:tc>
        <w:tc>
          <w:tcPr>
            <w:tcW w:w="0" w:type="auto"/>
          </w:tcPr>
          <w:p w14:paraId="256847C3" w14:textId="065CD8BE" w:rsidR="007017A6" w:rsidRDefault="001F63EF" w:rsidP="007017A6">
            <w:pPr>
              <w:spacing w:before="0" w:after="0"/>
            </w:pPr>
            <w:r w:rsidRPr="001F63EF">
              <w:t>Between January and June 2025, PACOP delivered 81 education workshops (59 face-to-face, 22 virtual) to 1,300 participants. Education focused on embedding PACOP</w:t>
            </w:r>
            <w:r w:rsidR="003863F5">
              <w:t>’</w:t>
            </w:r>
            <w:r w:rsidRPr="001F63EF">
              <w:t xml:space="preserve">s standardised assessment and response protocols, </w:t>
            </w:r>
            <w:r w:rsidR="00FB2FA2" w:rsidRPr="001F63EF">
              <w:t>supported by 47 communities of practice involving 519 staff from 241 homes</w:t>
            </w:r>
            <w:r w:rsidR="00605362">
              <w:t>.</w:t>
            </w:r>
          </w:p>
        </w:tc>
      </w:tr>
      <w:tr w:rsidR="007017A6" w14:paraId="7C35A98A" w14:textId="77777777" w:rsidTr="00E87207">
        <w:trPr>
          <w:cnfStyle w:val="000000100000" w:firstRow="0" w:lastRow="0" w:firstColumn="0" w:lastColumn="0" w:oddVBand="0" w:evenVBand="0" w:oddHBand="1" w:evenHBand="0" w:firstRowFirstColumn="0" w:firstRowLastColumn="0" w:lastRowFirstColumn="0" w:lastRowLastColumn="0"/>
        </w:trPr>
        <w:tc>
          <w:tcPr>
            <w:tcW w:w="0" w:type="auto"/>
          </w:tcPr>
          <w:p w14:paraId="1D6874FA" w14:textId="7EE2F050" w:rsidR="007017A6" w:rsidRDefault="007017A6" w:rsidP="007017A6">
            <w:pPr>
              <w:spacing w:before="0" w:after="0"/>
            </w:pPr>
            <w:r>
              <w:rPr>
                <w:rFonts w:cs="Arial"/>
                <w:color w:val="000000"/>
                <w:szCs w:val="20"/>
              </w:rPr>
              <w:t>The empowerment of GPs, aged care providers, and other healthcare workers with confidence and knowledge of palliative care and advance care planning</w:t>
            </w:r>
          </w:p>
        </w:tc>
        <w:tc>
          <w:tcPr>
            <w:tcW w:w="0" w:type="auto"/>
          </w:tcPr>
          <w:p w14:paraId="4B5C4980" w14:textId="632A17D5" w:rsidR="007017A6" w:rsidRDefault="007017A6" w:rsidP="007017A6">
            <w:pPr>
              <w:spacing w:before="0" w:after="0"/>
            </w:pPr>
            <w:r>
              <w:rPr>
                <w:rFonts w:cs="Arial"/>
                <w:color w:val="000000"/>
                <w:szCs w:val="20"/>
              </w:rPr>
              <w:t>Improved capabilities of the aged care workforce, GPs, and other health care providers to communicate with residents and families to support advance care planning and delivery of palliative care in accordance with their needs, wants, and preferences</w:t>
            </w:r>
          </w:p>
        </w:tc>
        <w:tc>
          <w:tcPr>
            <w:tcW w:w="0" w:type="auto"/>
          </w:tcPr>
          <w:p w14:paraId="2E7C938F" w14:textId="092A8A2A" w:rsidR="007017A6" w:rsidRDefault="004D4CE8" w:rsidP="007017A6">
            <w:pPr>
              <w:spacing w:before="0" w:after="0"/>
            </w:pPr>
            <w:r w:rsidRPr="001F63EF">
              <w:t>Post-education surveys demonstrated significant gains in knowledge and confidence, particularly in using assessment tools and responding to palliative care needs</w:t>
            </w:r>
          </w:p>
        </w:tc>
      </w:tr>
      <w:tr w:rsidR="007017A6" w14:paraId="164A5B77" w14:textId="77777777" w:rsidTr="00E87207">
        <w:trPr>
          <w:cnfStyle w:val="000000010000" w:firstRow="0" w:lastRow="0" w:firstColumn="0" w:lastColumn="0" w:oddVBand="0" w:evenVBand="0" w:oddHBand="0" w:evenHBand="1" w:firstRowFirstColumn="0" w:firstRowLastColumn="0" w:lastRowFirstColumn="0" w:lastRowLastColumn="0"/>
        </w:trPr>
        <w:tc>
          <w:tcPr>
            <w:tcW w:w="0" w:type="auto"/>
          </w:tcPr>
          <w:p w14:paraId="0AD69FDD" w14:textId="60E1406F" w:rsidR="007017A6" w:rsidRDefault="007017A6" w:rsidP="007017A6">
            <w:pPr>
              <w:spacing w:before="0" w:after="0"/>
            </w:pPr>
            <w:r>
              <w:rPr>
                <w:rFonts w:cs="Arial"/>
                <w:color w:val="000000"/>
                <w:szCs w:val="20"/>
              </w:rPr>
              <w:t>Collaborative links and relationships are facilitated between primary care, aged care and palliative care services</w:t>
            </w:r>
          </w:p>
        </w:tc>
        <w:tc>
          <w:tcPr>
            <w:tcW w:w="0" w:type="auto"/>
          </w:tcPr>
          <w:p w14:paraId="66BF91B0" w14:textId="3C71DE68" w:rsidR="007017A6" w:rsidRDefault="007017A6" w:rsidP="007017A6">
            <w:pPr>
              <w:spacing w:before="0" w:after="0"/>
            </w:pPr>
            <w:r>
              <w:rPr>
                <w:rFonts w:cs="Arial"/>
                <w:color w:val="000000"/>
                <w:szCs w:val="20"/>
              </w:rPr>
              <w:t>Establish, maintain, and strengthen linkages across the primary care, aged care, and palliative care sectors to improve the delivery of palliative care</w:t>
            </w:r>
          </w:p>
        </w:tc>
        <w:tc>
          <w:tcPr>
            <w:tcW w:w="0" w:type="auto"/>
          </w:tcPr>
          <w:p w14:paraId="5E44F3D0" w14:textId="513F0A0A" w:rsidR="007017A6" w:rsidRDefault="00FE42BC" w:rsidP="007017A6">
            <w:pPr>
              <w:spacing w:before="0" w:after="0"/>
            </w:pPr>
            <w:r w:rsidRPr="00FE42BC">
              <w:t>PACOP facilitated partnerships and engagement through workshops and communities of practice, promoting linkages between aged care, primary care, and specialist palliative care services</w:t>
            </w:r>
          </w:p>
        </w:tc>
      </w:tr>
      <w:tr w:rsidR="007017A6" w14:paraId="546338F4" w14:textId="77777777" w:rsidTr="00E87207">
        <w:trPr>
          <w:cnfStyle w:val="000000100000" w:firstRow="0" w:lastRow="0" w:firstColumn="0" w:lastColumn="0" w:oddVBand="0" w:evenVBand="0" w:oddHBand="1" w:evenHBand="0" w:firstRowFirstColumn="0" w:firstRowLastColumn="0" w:lastRowFirstColumn="0" w:lastRowLastColumn="0"/>
        </w:trPr>
        <w:tc>
          <w:tcPr>
            <w:tcW w:w="0" w:type="auto"/>
          </w:tcPr>
          <w:p w14:paraId="3DA3A319" w14:textId="776E0DD3" w:rsidR="007017A6" w:rsidRDefault="007017A6" w:rsidP="007017A6">
            <w:pPr>
              <w:spacing w:before="0" w:after="0"/>
            </w:pPr>
            <w:r>
              <w:rPr>
                <w:rFonts w:cs="Arial"/>
                <w:color w:val="000000"/>
                <w:szCs w:val="20"/>
              </w:rPr>
              <w:t>Aged care providers, GPs, or other healthcare workers are informed about palliative care, advance care planning and advance care directive resources, processes, legislation, and accountabilities in the state or territory in which the aged care service is located</w:t>
            </w:r>
          </w:p>
        </w:tc>
        <w:tc>
          <w:tcPr>
            <w:tcW w:w="0" w:type="auto"/>
          </w:tcPr>
          <w:p w14:paraId="49B4B8C5" w14:textId="1B2423E2" w:rsidR="007017A6" w:rsidRDefault="007017A6" w:rsidP="007017A6">
            <w:pPr>
              <w:spacing w:before="0" w:after="0"/>
            </w:pPr>
            <w:r>
              <w:rPr>
                <w:rFonts w:cs="Arial"/>
                <w:color w:val="000000"/>
                <w:szCs w:val="20"/>
              </w:rPr>
              <w:t xml:space="preserve">Improved knowledge sharing and use of available resources to support the delivery of palliative care in compliance with legislation at the </w:t>
            </w:r>
            <w:r w:rsidR="00646A79">
              <w:rPr>
                <w:rFonts w:cs="Arial"/>
                <w:color w:val="000000"/>
                <w:szCs w:val="20"/>
              </w:rPr>
              <w:t>C</w:t>
            </w:r>
            <w:r>
              <w:rPr>
                <w:rFonts w:cs="Arial"/>
                <w:color w:val="000000"/>
                <w:szCs w:val="20"/>
              </w:rPr>
              <w:t>ommonwealth and state or territory level</w:t>
            </w:r>
          </w:p>
        </w:tc>
        <w:tc>
          <w:tcPr>
            <w:tcW w:w="0" w:type="auto"/>
          </w:tcPr>
          <w:p w14:paraId="35212A5E" w14:textId="07411B1C" w:rsidR="007017A6" w:rsidRDefault="00521C39" w:rsidP="007017A6">
            <w:pPr>
              <w:spacing w:before="0" w:after="0"/>
            </w:pPr>
            <w:r w:rsidRPr="00521C39">
              <w:t>Education sessions incorporated state and national legislative requirements</w:t>
            </w:r>
            <w:r w:rsidR="001F05FD">
              <w:t xml:space="preserve"> and accountabilities regarding advance care planning</w:t>
            </w:r>
            <w:r w:rsidR="00B143C2">
              <w:t>, with i</w:t>
            </w:r>
            <w:r w:rsidRPr="00521C39">
              <w:t>mprovement facilitators</w:t>
            </w:r>
            <w:r w:rsidR="008D4DE5">
              <w:t xml:space="preserve"> </w:t>
            </w:r>
            <w:r w:rsidRPr="00521C39">
              <w:t xml:space="preserve">actively supporting providers to </w:t>
            </w:r>
            <w:r w:rsidR="00B143C2">
              <w:t>understand and meet their responsibilities</w:t>
            </w:r>
          </w:p>
        </w:tc>
      </w:tr>
    </w:tbl>
    <w:p w14:paraId="339FC4E7" w14:textId="4A109924" w:rsidR="00D13F64" w:rsidRDefault="00D13F64" w:rsidP="00D13F64">
      <w:pPr>
        <w:pStyle w:val="Tablenotes"/>
      </w:pPr>
      <w:r>
        <w:t xml:space="preserve">Source: PACOP Performance Report, July 2025 </w:t>
      </w:r>
      <w:sdt>
        <w:sdtPr>
          <w:id w:val="-862821752"/>
          <w:citation/>
        </w:sdtPr>
        <w:sdtContent>
          <w:r>
            <w:fldChar w:fldCharType="begin"/>
          </w:r>
          <w:r>
            <w:rPr>
              <w:lang w:val="en-US"/>
            </w:rPr>
            <w:instrText xml:space="preserve"> CITATION Uni25 \l 1033 </w:instrText>
          </w:r>
          <w:r>
            <w:fldChar w:fldCharType="separate"/>
          </w:r>
          <w:r w:rsidR="001302EC" w:rsidRPr="001302EC">
            <w:rPr>
              <w:noProof/>
              <w:lang w:val="en-US"/>
            </w:rPr>
            <w:t>[25]</w:t>
          </w:r>
          <w:r>
            <w:fldChar w:fldCharType="end"/>
          </w:r>
        </w:sdtContent>
      </w:sdt>
      <w:r>
        <w:t>.</w:t>
      </w:r>
    </w:p>
    <w:p w14:paraId="05481CCF" w14:textId="77777777" w:rsidR="00D13F64" w:rsidRDefault="00D13F64" w:rsidP="00D13F64">
      <w:pPr>
        <w:pStyle w:val="Tablenotes"/>
        <w:sectPr w:rsidR="00D13F64" w:rsidSect="00863325">
          <w:pgSz w:w="16838" w:h="11906" w:orient="landscape" w:code="9"/>
          <w:pgMar w:top="851" w:right="851" w:bottom="851" w:left="851" w:header="709" w:footer="567" w:gutter="0"/>
          <w:cols w:space="709"/>
          <w:docGrid w:linePitch="360"/>
        </w:sectPr>
      </w:pPr>
    </w:p>
    <w:p w14:paraId="32E2F61A" w14:textId="1ACAF6C4" w:rsidR="00A967FA" w:rsidRDefault="007E4E38" w:rsidP="00A967FA">
      <w:pPr>
        <w:pStyle w:val="Heading3-nonumber"/>
      </w:pPr>
      <w:r>
        <w:t>P</w:t>
      </w:r>
      <w:r w:rsidR="003F3224">
        <w:t>ACOP p</w:t>
      </w:r>
      <w:r>
        <w:t>romotional</w:t>
      </w:r>
      <w:r w:rsidR="00A967FA">
        <w:t xml:space="preserve"> activities</w:t>
      </w:r>
    </w:p>
    <w:p w14:paraId="48080F0C" w14:textId="58D28C4F" w:rsidR="00A967FA" w:rsidRDefault="00A967FA" w:rsidP="00A967FA">
      <w:r>
        <w:fldChar w:fldCharType="begin"/>
      </w:r>
      <w:r>
        <w:instrText xml:space="preserve"> REF _Ref214979965 \h </w:instrText>
      </w:r>
      <w:r>
        <w:fldChar w:fldCharType="separate"/>
      </w:r>
      <w:r w:rsidR="00167BA0">
        <w:t xml:space="preserve">Table </w:t>
      </w:r>
      <w:r w:rsidR="00167BA0">
        <w:rPr>
          <w:noProof/>
        </w:rPr>
        <w:t>9</w:t>
      </w:r>
      <w:r w:rsidR="00167BA0">
        <w:t>.</w:t>
      </w:r>
      <w:r w:rsidR="00167BA0">
        <w:rPr>
          <w:noProof/>
        </w:rPr>
        <w:t>5</w:t>
      </w:r>
      <w:r>
        <w:fldChar w:fldCharType="end"/>
      </w:r>
      <w:r>
        <w:t xml:space="preserve"> provides a high-level summary of </w:t>
      </w:r>
      <w:r w:rsidR="007E4E38">
        <w:t>PACOP</w:t>
      </w:r>
      <w:r w:rsidR="003863F5">
        <w:t>’</w:t>
      </w:r>
      <w:r w:rsidR="007E4E38">
        <w:t>s</w:t>
      </w:r>
      <w:r>
        <w:t xml:space="preserve"> </w:t>
      </w:r>
      <w:r w:rsidR="007E4E38">
        <w:t>promotional</w:t>
      </w:r>
      <w:r>
        <w:t xml:space="preserve"> activities across four financial years</w:t>
      </w:r>
      <w:r w:rsidR="00EF252D">
        <w:t>, as well as reported reach of activiti</w:t>
      </w:r>
      <w:r w:rsidR="00066E55">
        <w:t>es where available</w:t>
      </w:r>
      <w:r>
        <w:t>.</w:t>
      </w:r>
    </w:p>
    <w:p w14:paraId="783623C3" w14:textId="3DDED384" w:rsidR="00A967FA" w:rsidRDefault="00A967FA" w:rsidP="00A967FA">
      <w:pPr>
        <w:pStyle w:val="Caption"/>
      </w:pPr>
      <w:bookmarkStart w:id="211" w:name="_Ref216705953"/>
      <w:r>
        <w:t xml:space="preserve">Table </w:t>
      </w:r>
      <w:fldSimple w:instr=" STYLEREF 1 \s ">
        <w:r w:rsidR="0091457A">
          <w:rPr>
            <w:noProof/>
          </w:rPr>
          <w:t>9</w:t>
        </w:r>
      </w:fldSimple>
      <w:r w:rsidR="0091457A">
        <w:t>.</w:t>
      </w:r>
      <w:fldSimple w:instr=" SEQ Table \* ARABIC \s 1 ">
        <w:r w:rsidR="0091457A">
          <w:rPr>
            <w:noProof/>
          </w:rPr>
          <w:t>20</w:t>
        </w:r>
      </w:fldSimple>
      <w:bookmarkEnd w:id="211"/>
      <w:r>
        <w:t xml:space="preserve">: Summary of </w:t>
      </w:r>
      <w:r w:rsidR="007E4E38">
        <w:t>PACOP</w:t>
      </w:r>
      <w:r>
        <w:t xml:space="preserve"> </w:t>
      </w:r>
      <w:r w:rsidR="007E4E38">
        <w:t>promotional</w:t>
      </w:r>
      <w:r>
        <w:t xml:space="preserve"> activities (2021–22 to 2024–25)</w:t>
      </w:r>
    </w:p>
    <w:tbl>
      <w:tblPr>
        <w:tblStyle w:val="HMAdefaulttable"/>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ACOP promotional activities"/>
        <w:tblDescription w:val="Table shows summary of PACOP promotional activities across four financial years from 2021-22 to 2024-25."/>
      </w:tblPr>
      <w:tblGrid>
        <w:gridCol w:w="4660"/>
        <w:gridCol w:w="1355"/>
        <w:gridCol w:w="1355"/>
        <w:gridCol w:w="1355"/>
        <w:gridCol w:w="1355"/>
        <w:gridCol w:w="1679"/>
        <w:gridCol w:w="3367"/>
      </w:tblGrid>
      <w:tr w:rsidR="00A967FA" w14:paraId="069A475A" w14:textId="7BB0C2A3" w:rsidTr="00E87207">
        <w:trPr>
          <w:cnfStyle w:val="100000000000" w:firstRow="1" w:lastRow="0" w:firstColumn="0" w:lastColumn="0" w:oddVBand="0" w:evenVBand="0" w:oddHBand="0" w:evenHBand="0" w:firstRowFirstColumn="0" w:firstRowLastColumn="0" w:lastRowFirstColumn="0" w:lastRowLastColumn="0"/>
          <w:tblHeader/>
        </w:trPr>
        <w:tc>
          <w:tcPr>
            <w:tcW w:w="1540" w:type="pct"/>
          </w:tcPr>
          <w:p w14:paraId="5006D8F7" w14:textId="77777777" w:rsidR="00A967FA" w:rsidRDefault="00A967FA">
            <w:pPr>
              <w:spacing w:before="0" w:after="0"/>
            </w:pPr>
            <w:r>
              <w:t>Channel</w:t>
            </w:r>
          </w:p>
        </w:tc>
        <w:tc>
          <w:tcPr>
            <w:tcW w:w="448" w:type="pct"/>
          </w:tcPr>
          <w:p w14:paraId="6CFF9E0E" w14:textId="77777777" w:rsidR="00A967FA" w:rsidRDefault="00A967FA" w:rsidP="00EE14E3">
            <w:pPr>
              <w:spacing w:before="0" w:after="0"/>
              <w:jc w:val="center"/>
            </w:pPr>
            <w:r>
              <w:t>2021–22</w:t>
            </w:r>
          </w:p>
        </w:tc>
        <w:tc>
          <w:tcPr>
            <w:tcW w:w="448" w:type="pct"/>
          </w:tcPr>
          <w:p w14:paraId="255F6F41" w14:textId="77777777" w:rsidR="00A967FA" w:rsidRDefault="00A967FA" w:rsidP="00EE14E3">
            <w:pPr>
              <w:spacing w:before="0" w:after="0"/>
              <w:jc w:val="center"/>
            </w:pPr>
            <w:r>
              <w:t>2022–23</w:t>
            </w:r>
          </w:p>
        </w:tc>
        <w:tc>
          <w:tcPr>
            <w:tcW w:w="448" w:type="pct"/>
          </w:tcPr>
          <w:p w14:paraId="593BE74E" w14:textId="77777777" w:rsidR="00A967FA" w:rsidRDefault="00A967FA" w:rsidP="00EE14E3">
            <w:pPr>
              <w:spacing w:before="0" w:after="0"/>
              <w:jc w:val="center"/>
            </w:pPr>
            <w:r>
              <w:t>2023–24</w:t>
            </w:r>
          </w:p>
        </w:tc>
        <w:tc>
          <w:tcPr>
            <w:tcW w:w="448" w:type="pct"/>
          </w:tcPr>
          <w:p w14:paraId="6A257B3E" w14:textId="77777777" w:rsidR="00A967FA" w:rsidRDefault="00A967FA" w:rsidP="00EE14E3">
            <w:pPr>
              <w:spacing w:before="0" w:after="0"/>
              <w:jc w:val="center"/>
            </w:pPr>
            <w:r>
              <w:t>2024–25</w:t>
            </w:r>
          </w:p>
        </w:tc>
        <w:tc>
          <w:tcPr>
            <w:tcW w:w="555" w:type="pct"/>
          </w:tcPr>
          <w:p w14:paraId="3AF5E68B" w14:textId="77777777" w:rsidR="00A967FA" w:rsidRDefault="00A967FA" w:rsidP="00EE14E3">
            <w:pPr>
              <w:spacing w:before="0" w:after="0"/>
              <w:jc w:val="center"/>
            </w:pPr>
            <w:r>
              <w:t>Total</w:t>
            </w:r>
          </w:p>
        </w:tc>
        <w:tc>
          <w:tcPr>
            <w:tcW w:w="1113" w:type="pct"/>
          </w:tcPr>
          <w:p w14:paraId="3808E4C3" w14:textId="0E36C4E4" w:rsidR="00CF0B3E" w:rsidRDefault="003A6B42">
            <w:pPr>
              <w:spacing w:before="0" w:after="0"/>
            </w:pPr>
            <w:r>
              <w:t>Reach (to Sept 2025)</w:t>
            </w:r>
          </w:p>
        </w:tc>
      </w:tr>
      <w:tr w:rsidR="00A967FA" w14:paraId="19313ACB" w14:textId="71A4D28F" w:rsidTr="00E87207">
        <w:trPr>
          <w:cnfStyle w:val="000000100000" w:firstRow="0" w:lastRow="0" w:firstColumn="0" w:lastColumn="0" w:oddVBand="0" w:evenVBand="0" w:oddHBand="1" w:evenHBand="0" w:firstRowFirstColumn="0" w:firstRowLastColumn="0" w:lastRowFirstColumn="0" w:lastRowLastColumn="0"/>
        </w:trPr>
        <w:tc>
          <w:tcPr>
            <w:tcW w:w="1540" w:type="pct"/>
          </w:tcPr>
          <w:p w14:paraId="67B00DE7" w14:textId="577F0FBA" w:rsidR="00A967FA" w:rsidRDefault="00CF0B3E">
            <w:pPr>
              <w:spacing w:before="0" w:after="0"/>
            </w:pPr>
            <w:r>
              <w:t>Conferences/events</w:t>
            </w:r>
          </w:p>
        </w:tc>
        <w:tc>
          <w:tcPr>
            <w:tcW w:w="448" w:type="pct"/>
          </w:tcPr>
          <w:p w14:paraId="1E07A717" w14:textId="0B3C8D0A" w:rsidR="00A967FA" w:rsidRDefault="00E92829" w:rsidP="00EE14E3">
            <w:pPr>
              <w:spacing w:before="0" w:after="0"/>
              <w:jc w:val="center"/>
            </w:pPr>
            <w:r>
              <w:t>1</w:t>
            </w:r>
          </w:p>
        </w:tc>
        <w:tc>
          <w:tcPr>
            <w:tcW w:w="448" w:type="pct"/>
          </w:tcPr>
          <w:p w14:paraId="26A1D627" w14:textId="714971F0" w:rsidR="00A967FA" w:rsidRDefault="00E92829" w:rsidP="00EE14E3">
            <w:pPr>
              <w:spacing w:before="0" w:after="0"/>
              <w:jc w:val="center"/>
            </w:pPr>
            <w:r>
              <w:t>9</w:t>
            </w:r>
          </w:p>
        </w:tc>
        <w:tc>
          <w:tcPr>
            <w:tcW w:w="448" w:type="pct"/>
          </w:tcPr>
          <w:p w14:paraId="29A163DF" w14:textId="5601015F" w:rsidR="00A967FA" w:rsidRDefault="00E92829" w:rsidP="00EE14E3">
            <w:pPr>
              <w:spacing w:before="0" w:after="0"/>
              <w:jc w:val="center"/>
            </w:pPr>
            <w:r>
              <w:t>9</w:t>
            </w:r>
          </w:p>
        </w:tc>
        <w:tc>
          <w:tcPr>
            <w:tcW w:w="448" w:type="pct"/>
          </w:tcPr>
          <w:p w14:paraId="2F81235A" w14:textId="4F68FF31" w:rsidR="00A967FA" w:rsidRDefault="00E92829" w:rsidP="00EE14E3">
            <w:pPr>
              <w:spacing w:before="0" w:after="0"/>
              <w:jc w:val="center"/>
            </w:pPr>
            <w:r>
              <w:t>14</w:t>
            </w:r>
          </w:p>
        </w:tc>
        <w:tc>
          <w:tcPr>
            <w:tcW w:w="555" w:type="pct"/>
          </w:tcPr>
          <w:p w14:paraId="0835F629" w14:textId="4FE45343" w:rsidR="00A967FA" w:rsidRDefault="00E92829" w:rsidP="00EE14E3">
            <w:pPr>
              <w:spacing w:before="0" w:after="0"/>
              <w:jc w:val="center"/>
            </w:pPr>
            <w:r>
              <w:t>33</w:t>
            </w:r>
          </w:p>
        </w:tc>
        <w:tc>
          <w:tcPr>
            <w:tcW w:w="1113" w:type="pct"/>
          </w:tcPr>
          <w:p w14:paraId="1A7ECD5F" w14:textId="29C5928C" w:rsidR="00CF0B3E" w:rsidRDefault="00E92829">
            <w:pPr>
              <w:spacing w:before="0" w:after="0"/>
            </w:pPr>
            <w:r>
              <w:t>Unknown</w:t>
            </w:r>
          </w:p>
        </w:tc>
      </w:tr>
      <w:tr w:rsidR="00A967FA" w14:paraId="514E1451" w14:textId="7C8E4C6A" w:rsidTr="00E87207">
        <w:trPr>
          <w:cnfStyle w:val="000000010000" w:firstRow="0" w:lastRow="0" w:firstColumn="0" w:lastColumn="0" w:oddVBand="0" w:evenVBand="0" w:oddHBand="0" w:evenHBand="1" w:firstRowFirstColumn="0" w:firstRowLastColumn="0" w:lastRowFirstColumn="0" w:lastRowLastColumn="0"/>
        </w:trPr>
        <w:tc>
          <w:tcPr>
            <w:tcW w:w="1540" w:type="pct"/>
          </w:tcPr>
          <w:p w14:paraId="10A9448E" w14:textId="55DE63C4" w:rsidR="00A967FA" w:rsidRDefault="003A6B42">
            <w:pPr>
              <w:spacing w:before="0" w:after="0"/>
            </w:pPr>
            <w:r>
              <w:t>Direct aged care provider engagement</w:t>
            </w:r>
          </w:p>
        </w:tc>
        <w:tc>
          <w:tcPr>
            <w:tcW w:w="448" w:type="pct"/>
          </w:tcPr>
          <w:p w14:paraId="4D80FF6B" w14:textId="43AB0A0E" w:rsidR="00A967FA" w:rsidRDefault="00A45337" w:rsidP="00EE14E3">
            <w:pPr>
              <w:pStyle w:val="TableText"/>
              <w:jc w:val="center"/>
            </w:pPr>
            <w:r>
              <w:t>-</w:t>
            </w:r>
          </w:p>
        </w:tc>
        <w:tc>
          <w:tcPr>
            <w:tcW w:w="448" w:type="pct"/>
          </w:tcPr>
          <w:p w14:paraId="68D38E06" w14:textId="649DD6C3" w:rsidR="00A967FA" w:rsidRDefault="00A45337" w:rsidP="00EE14E3">
            <w:pPr>
              <w:pStyle w:val="TableText"/>
              <w:jc w:val="center"/>
            </w:pPr>
            <w:r>
              <w:t>12</w:t>
            </w:r>
          </w:p>
        </w:tc>
        <w:tc>
          <w:tcPr>
            <w:tcW w:w="448" w:type="pct"/>
          </w:tcPr>
          <w:p w14:paraId="16FC7A70" w14:textId="1A3C0381" w:rsidR="00A967FA" w:rsidRDefault="00A45337" w:rsidP="00EE14E3">
            <w:pPr>
              <w:pStyle w:val="TableText"/>
              <w:jc w:val="center"/>
            </w:pPr>
            <w:r>
              <w:t>-</w:t>
            </w:r>
          </w:p>
        </w:tc>
        <w:tc>
          <w:tcPr>
            <w:tcW w:w="448" w:type="pct"/>
          </w:tcPr>
          <w:p w14:paraId="6EF1D0A2" w14:textId="24268D82" w:rsidR="00A967FA" w:rsidRDefault="00A45337" w:rsidP="00EE14E3">
            <w:pPr>
              <w:pStyle w:val="TableText"/>
              <w:jc w:val="center"/>
            </w:pPr>
            <w:r>
              <w:t>-</w:t>
            </w:r>
          </w:p>
        </w:tc>
        <w:tc>
          <w:tcPr>
            <w:tcW w:w="555" w:type="pct"/>
          </w:tcPr>
          <w:p w14:paraId="4DDDCEA9" w14:textId="7F2E7D2B" w:rsidR="00A967FA" w:rsidRDefault="00A45337" w:rsidP="00EE14E3">
            <w:pPr>
              <w:pStyle w:val="TableText"/>
              <w:jc w:val="center"/>
            </w:pPr>
            <w:r>
              <w:t>12</w:t>
            </w:r>
          </w:p>
        </w:tc>
        <w:tc>
          <w:tcPr>
            <w:tcW w:w="1113" w:type="pct"/>
          </w:tcPr>
          <w:p w14:paraId="09916BAE" w14:textId="2429F861" w:rsidR="00CF0B3E" w:rsidRDefault="00A45337">
            <w:pPr>
              <w:pStyle w:val="TableText"/>
            </w:pPr>
            <w:r>
              <w:t>12 providers</w:t>
            </w:r>
          </w:p>
        </w:tc>
      </w:tr>
      <w:tr w:rsidR="00CF0B3E" w14:paraId="1CDC994F" w14:textId="77777777" w:rsidTr="00E87207">
        <w:trPr>
          <w:cnfStyle w:val="000000100000" w:firstRow="0" w:lastRow="0" w:firstColumn="0" w:lastColumn="0" w:oddVBand="0" w:evenVBand="0" w:oddHBand="1" w:evenHBand="0" w:firstRowFirstColumn="0" w:firstRowLastColumn="0" w:lastRowFirstColumn="0" w:lastRowLastColumn="0"/>
        </w:trPr>
        <w:tc>
          <w:tcPr>
            <w:tcW w:w="1540" w:type="pct"/>
          </w:tcPr>
          <w:p w14:paraId="14D5BE28" w14:textId="1BBBC46E" w:rsidR="00CF0B3E" w:rsidRDefault="003A6B42">
            <w:pPr>
              <w:spacing w:before="0" w:after="0"/>
            </w:pPr>
            <w:r>
              <w:lastRenderedPageBreak/>
              <w:t>PACOP e-newsletter</w:t>
            </w:r>
          </w:p>
        </w:tc>
        <w:tc>
          <w:tcPr>
            <w:tcW w:w="448" w:type="pct"/>
          </w:tcPr>
          <w:p w14:paraId="66ECB4A2" w14:textId="000E011F" w:rsidR="00CF0B3E" w:rsidRDefault="00951255" w:rsidP="00EE14E3">
            <w:pPr>
              <w:pStyle w:val="TableText"/>
              <w:jc w:val="center"/>
            </w:pPr>
            <w:r>
              <w:t>-</w:t>
            </w:r>
          </w:p>
        </w:tc>
        <w:tc>
          <w:tcPr>
            <w:tcW w:w="448" w:type="pct"/>
          </w:tcPr>
          <w:p w14:paraId="21DA9C38" w14:textId="40548D2E" w:rsidR="00CF0B3E" w:rsidRDefault="00951255" w:rsidP="00EE14E3">
            <w:pPr>
              <w:pStyle w:val="TableText"/>
              <w:jc w:val="center"/>
            </w:pPr>
            <w:r>
              <w:t>1</w:t>
            </w:r>
          </w:p>
        </w:tc>
        <w:tc>
          <w:tcPr>
            <w:tcW w:w="448" w:type="pct"/>
          </w:tcPr>
          <w:p w14:paraId="5AA7E35D" w14:textId="011657B1" w:rsidR="00CF0B3E" w:rsidRDefault="00951255" w:rsidP="00EE14E3">
            <w:pPr>
              <w:pStyle w:val="TableText"/>
              <w:jc w:val="center"/>
            </w:pPr>
            <w:r>
              <w:t>4</w:t>
            </w:r>
          </w:p>
        </w:tc>
        <w:tc>
          <w:tcPr>
            <w:tcW w:w="448" w:type="pct"/>
          </w:tcPr>
          <w:p w14:paraId="75CA4A83" w14:textId="615C1937" w:rsidR="00CF0B3E" w:rsidRDefault="00951255" w:rsidP="00EE14E3">
            <w:pPr>
              <w:pStyle w:val="TableText"/>
              <w:jc w:val="center"/>
            </w:pPr>
            <w:r>
              <w:t>4</w:t>
            </w:r>
          </w:p>
        </w:tc>
        <w:tc>
          <w:tcPr>
            <w:tcW w:w="555" w:type="pct"/>
          </w:tcPr>
          <w:p w14:paraId="6C997AB9" w14:textId="398F7015" w:rsidR="00CF0B3E" w:rsidRDefault="00951255" w:rsidP="00EE14E3">
            <w:pPr>
              <w:pStyle w:val="TableText"/>
              <w:jc w:val="center"/>
            </w:pPr>
            <w:r>
              <w:t>9</w:t>
            </w:r>
          </w:p>
        </w:tc>
        <w:tc>
          <w:tcPr>
            <w:tcW w:w="1113" w:type="pct"/>
          </w:tcPr>
          <w:p w14:paraId="57060437" w14:textId="7ACB97C2" w:rsidR="00CF0B3E" w:rsidRDefault="00951255">
            <w:pPr>
              <w:pStyle w:val="TableText"/>
            </w:pPr>
            <w:r>
              <w:t>Unknown</w:t>
            </w:r>
          </w:p>
        </w:tc>
      </w:tr>
      <w:tr w:rsidR="00E92829" w14:paraId="089C6AD6" w14:textId="77777777" w:rsidTr="00E87207">
        <w:trPr>
          <w:cnfStyle w:val="000000010000" w:firstRow="0" w:lastRow="0" w:firstColumn="0" w:lastColumn="0" w:oddVBand="0" w:evenVBand="0" w:oddHBand="0" w:evenHBand="1" w:firstRowFirstColumn="0" w:firstRowLastColumn="0" w:lastRowFirstColumn="0" w:lastRowLastColumn="0"/>
        </w:trPr>
        <w:tc>
          <w:tcPr>
            <w:tcW w:w="1540" w:type="pct"/>
          </w:tcPr>
          <w:p w14:paraId="48CA620F" w14:textId="40D6993D" w:rsidR="00E92829" w:rsidRDefault="00E92829">
            <w:pPr>
              <w:spacing w:before="0" w:after="0"/>
            </w:pPr>
            <w:r>
              <w:t>Print and digital media</w:t>
            </w:r>
          </w:p>
        </w:tc>
        <w:tc>
          <w:tcPr>
            <w:tcW w:w="448" w:type="pct"/>
          </w:tcPr>
          <w:p w14:paraId="1720A401" w14:textId="68129B3C" w:rsidR="00E92829" w:rsidRDefault="00A17A16" w:rsidP="00EE14E3">
            <w:pPr>
              <w:pStyle w:val="TableText"/>
              <w:jc w:val="center"/>
            </w:pPr>
            <w:r>
              <w:t>-</w:t>
            </w:r>
          </w:p>
        </w:tc>
        <w:tc>
          <w:tcPr>
            <w:tcW w:w="448" w:type="pct"/>
          </w:tcPr>
          <w:p w14:paraId="5A4089F0" w14:textId="56BC75CA" w:rsidR="00E92829" w:rsidRDefault="003F58EF" w:rsidP="00EE14E3">
            <w:pPr>
              <w:pStyle w:val="TableText"/>
              <w:jc w:val="center"/>
            </w:pPr>
            <w:r>
              <w:t>4</w:t>
            </w:r>
          </w:p>
        </w:tc>
        <w:tc>
          <w:tcPr>
            <w:tcW w:w="448" w:type="pct"/>
          </w:tcPr>
          <w:p w14:paraId="78F89247" w14:textId="36C34ECC" w:rsidR="00E92829" w:rsidRDefault="00A17A16" w:rsidP="00EE14E3">
            <w:pPr>
              <w:pStyle w:val="TableText"/>
              <w:jc w:val="center"/>
            </w:pPr>
            <w:r>
              <w:t>2</w:t>
            </w:r>
          </w:p>
        </w:tc>
        <w:tc>
          <w:tcPr>
            <w:tcW w:w="448" w:type="pct"/>
          </w:tcPr>
          <w:p w14:paraId="7310A2AE" w14:textId="398E6B54" w:rsidR="00E92829" w:rsidRDefault="00A17A16" w:rsidP="00EE14E3">
            <w:pPr>
              <w:pStyle w:val="TableText"/>
              <w:jc w:val="center"/>
            </w:pPr>
            <w:r>
              <w:t>1</w:t>
            </w:r>
          </w:p>
        </w:tc>
        <w:tc>
          <w:tcPr>
            <w:tcW w:w="555" w:type="pct"/>
          </w:tcPr>
          <w:p w14:paraId="603DD4D6" w14:textId="2637399D" w:rsidR="00E92829" w:rsidRDefault="003F58EF" w:rsidP="00EE14E3">
            <w:pPr>
              <w:pStyle w:val="TableText"/>
              <w:jc w:val="center"/>
            </w:pPr>
            <w:r>
              <w:t>7</w:t>
            </w:r>
          </w:p>
        </w:tc>
        <w:tc>
          <w:tcPr>
            <w:tcW w:w="1113" w:type="pct"/>
          </w:tcPr>
          <w:p w14:paraId="3F1AF7AD" w14:textId="229DFA64" w:rsidR="00E92829" w:rsidRDefault="00A17A16">
            <w:pPr>
              <w:pStyle w:val="TableText"/>
            </w:pPr>
            <w:r>
              <w:t>Unknown</w:t>
            </w:r>
          </w:p>
        </w:tc>
      </w:tr>
      <w:tr w:rsidR="00E92829" w14:paraId="3D2ECAD9" w14:textId="77777777" w:rsidTr="00E87207">
        <w:trPr>
          <w:cnfStyle w:val="000000100000" w:firstRow="0" w:lastRow="0" w:firstColumn="0" w:lastColumn="0" w:oddVBand="0" w:evenVBand="0" w:oddHBand="1" w:evenHBand="0" w:firstRowFirstColumn="0" w:firstRowLastColumn="0" w:lastRowFirstColumn="0" w:lastRowLastColumn="0"/>
        </w:trPr>
        <w:tc>
          <w:tcPr>
            <w:tcW w:w="1540" w:type="pct"/>
          </w:tcPr>
          <w:p w14:paraId="71E6EDE1" w14:textId="7C5A528A" w:rsidR="00E92829" w:rsidRDefault="00E92829">
            <w:pPr>
              <w:spacing w:before="0" w:after="0"/>
            </w:pPr>
            <w:r>
              <w:t>PACOP webinar</w:t>
            </w:r>
          </w:p>
        </w:tc>
        <w:tc>
          <w:tcPr>
            <w:tcW w:w="448" w:type="pct"/>
          </w:tcPr>
          <w:p w14:paraId="4340B5D1" w14:textId="4408B66F" w:rsidR="00E92829" w:rsidRDefault="00A17A16" w:rsidP="00EE14E3">
            <w:pPr>
              <w:pStyle w:val="TableText"/>
              <w:jc w:val="center"/>
            </w:pPr>
            <w:r>
              <w:t>2</w:t>
            </w:r>
          </w:p>
        </w:tc>
        <w:tc>
          <w:tcPr>
            <w:tcW w:w="448" w:type="pct"/>
          </w:tcPr>
          <w:p w14:paraId="248BEE1E" w14:textId="048E6002" w:rsidR="00E92829" w:rsidRDefault="00A17A16" w:rsidP="00EE14E3">
            <w:pPr>
              <w:pStyle w:val="TableText"/>
              <w:jc w:val="center"/>
            </w:pPr>
            <w:r>
              <w:t>10</w:t>
            </w:r>
          </w:p>
        </w:tc>
        <w:tc>
          <w:tcPr>
            <w:tcW w:w="448" w:type="pct"/>
          </w:tcPr>
          <w:p w14:paraId="273AAA8D" w14:textId="73451C4A" w:rsidR="00E92829" w:rsidRDefault="00A17A16" w:rsidP="00EE14E3">
            <w:pPr>
              <w:pStyle w:val="TableText"/>
              <w:jc w:val="center"/>
            </w:pPr>
            <w:r>
              <w:t>6</w:t>
            </w:r>
          </w:p>
        </w:tc>
        <w:tc>
          <w:tcPr>
            <w:tcW w:w="448" w:type="pct"/>
          </w:tcPr>
          <w:p w14:paraId="10AD98CD" w14:textId="3B1304ED" w:rsidR="00E92829" w:rsidRDefault="00A17A16" w:rsidP="00EE14E3">
            <w:pPr>
              <w:pStyle w:val="TableText"/>
              <w:jc w:val="center"/>
            </w:pPr>
            <w:r>
              <w:t>1</w:t>
            </w:r>
          </w:p>
        </w:tc>
        <w:tc>
          <w:tcPr>
            <w:tcW w:w="555" w:type="pct"/>
          </w:tcPr>
          <w:p w14:paraId="6ECB9F13" w14:textId="30363683" w:rsidR="00E92829" w:rsidRDefault="00A17A16" w:rsidP="00EE14E3">
            <w:pPr>
              <w:pStyle w:val="TableText"/>
              <w:jc w:val="center"/>
            </w:pPr>
            <w:r>
              <w:t>19</w:t>
            </w:r>
          </w:p>
        </w:tc>
        <w:tc>
          <w:tcPr>
            <w:tcW w:w="1113" w:type="pct"/>
          </w:tcPr>
          <w:p w14:paraId="14A29B5C" w14:textId="4DA50F34" w:rsidR="00E92829" w:rsidRDefault="00A17A16">
            <w:pPr>
              <w:pStyle w:val="TableText"/>
            </w:pPr>
            <w:r>
              <w:t xml:space="preserve">742 registrations </w:t>
            </w:r>
          </w:p>
        </w:tc>
      </w:tr>
      <w:tr w:rsidR="00CF0B3E" w14:paraId="11BD64B8" w14:textId="77777777" w:rsidTr="00E87207">
        <w:trPr>
          <w:cnfStyle w:val="000000010000" w:firstRow="0" w:lastRow="0" w:firstColumn="0" w:lastColumn="0" w:oddVBand="0" w:evenVBand="0" w:oddHBand="0" w:evenHBand="1" w:firstRowFirstColumn="0" w:firstRowLastColumn="0" w:lastRowFirstColumn="0" w:lastRowLastColumn="0"/>
        </w:trPr>
        <w:tc>
          <w:tcPr>
            <w:tcW w:w="1540" w:type="pct"/>
          </w:tcPr>
          <w:p w14:paraId="280C3EEE" w14:textId="442501C2" w:rsidR="00CF0B3E" w:rsidRDefault="003A6B42">
            <w:pPr>
              <w:spacing w:before="0" w:after="0"/>
            </w:pPr>
            <w:r>
              <w:t>External webinar</w:t>
            </w:r>
          </w:p>
        </w:tc>
        <w:tc>
          <w:tcPr>
            <w:tcW w:w="448" w:type="pct"/>
          </w:tcPr>
          <w:p w14:paraId="78D707C0" w14:textId="68B71F41" w:rsidR="00CF0B3E" w:rsidRDefault="008F64E6" w:rsidP="00EE14E3">
            <w:pPr>
              <w:pStyle w:val="TableText"/>
              <w:jc w:val="center"/>
            </w:pPr>
            <w:r>
              <w:t>-</w:t>
            </w:r>
          </w:p>
        </w:tc>
        <w:tc>
          <w:tcPr>
            <w:tcW w:w="448" w:type="pct"/>
          </w:tcPr>
          <w:p w14:paraId="6C51420A" w14:textId="54C87684" w:rsidR="00CF0B3E" w:rsidRDefault="008F64E6" w:rsidP="00EE14E3">
            <w:pPr>
              <w:pStyle w:val="TableText"/>
              <w:jc w:val="center"/>
            </w:pPr>
            <w:r>
              <w:t>-</w:t>
            </w:r>
          </w:p>
        </w:tc>
        <w:tc>
          <w:tcPr>
            <w:tcW w:w="448" w:type="pct"/>
          </w:tcPr>
          <w:p w14:paraId="045F6C0D" w14:textId="1C6C4A2B" w:rsidR="00CF0B3E" w:rsidRDefault="008F64E6" w:rsidP="00EE14E3">
            <w:pPr>
              <w:pStyle w:val="TableText"/>
              <w:jc w:val="center"/>
            </w:pPr>
            <w:r>
              <w:t>1</w:t>
            </w:r>
          </w:p>
        </w:tc>
        <w:tc>
          <w:tcPr>
            <w:tcW w:w="448" w:type="pct"/>
          </w:tcPr>
          <w:p w14:paraId="5BC0F049" w14:textId="0DBAEAB3" w:rsidR="00CF0B3E" w:rsidRDefault="008F64E6" w:rsidP="00EE14E3">
            <w:pPr>
              <w:pStyle w:val="TableText"/>
              <w:jc w:val="center"/>
            </w:pPr>
            <w:r>
              <w:t>4</w:t>
            </w:r>
          </w:p>
        </w:tc>
        <w:tc>
          <w:tcPr>
            <w:tcW w:w="555" w:type="pct"/>
          </w:tcPr>
          <w:p w14:paraId="13CEF7E4" w14:textId="586CC7AC" w:rsidR="00CF0B3E" w:rsidRDefault="008F64E6" w:rsidP="00EE14E3">
            <w:pPr>
              <w:pStyle w:val="TableText"/>
              <w:jc w:val="center"/>
            </w:pPr>
            <w:r>
              <w:t>5</w:t>
            </w:r>
          </w:p>
        </w:tc>
        <w:tc>
          <w:tcPr>
            <w:tcW w:w="1113" w:type="pct"/>
          </w:tcPr>
          <w:p w14:paraId="0608915E" w14:textId="2F67A694" w:rsidR="00CF0B3E" w:rsidRDefault="008F64E6">
            <w:pPr>
              <w:pStyle w:val="TableText"/>
            </w:pPr>
            <w:r>
              <w:t>1,174 views of recorded w</w:t>
            </w:r>
            <w:r w:rsidR="003F58EF">
              <w:t>e</w:t>
            </w:r>
            <w:r>
              <w:t>binars</w:t>
            </w:r>
          </w:p>
        </w:tc>
      </w:tr>
      <w:tr w:rsidR="00A967FA" w14:paraId="18FDAB79" w14:textId="0808EA30" w:rsidTr="00E87207">
        <w:trPr>
          <w:cnfStyle w:val="000000100000" w:firstRow="0" w:lastRow="0" w:firstColumn="0" w:lastColumn="0" w:oddVBand="0" w:evenVBand="0" w:oddHBand="1" w:evenHBand="0" w:firstRowFirstColumn="0" w:firstRowLastColumn="0" w:lastRowFirstColumn="0" w:lastRowLastColumn="0"/>
        </w:trPr>
        <w:tc>
          <w:tcPr>
            <w:tcW w:w="1540" w:type="pct"/>
          </w:tcPr>
          <w:p w14:paraId="68C74C54" w14:textId="4B652BAC" w:rsidR="00A967FA" w:rsidRDefault="00E92829">
            <w:pPr>
              <w:spacing w:before="0" w:after="0"/>
            </w:pPr>
            <w:r>
              <w:t>PACOP educational video/YouTube</w:t>
            </w:r>
          </w:p>
        </w:tc>
        <w:tc>
          <w:tcPr>
            <w:tcW w:w="448" w:type="pct"/>
          </w:tcPr>
          <w:p w14:paraId="573DFD55" w14:textId="270F36F0" w:rsidR="00A967FA" w:rsidRDefault="003F58EF" w:rsidP="00EE14E3">
            <w:pPr>
              <w:spacing w:before="0" w:after="0"/>
              <w:jc w:val="center"/>
            </w:pPr>
            <w:r>
              <w:t>1</w:t>
            </w:r>
          </w:p>
        </w:tc>
        <w:tc>
          <w:tcPr>
            <w:tcW w:w="448" w:type="pct"/>
          </w:tcPr>
          <w:p w14:paraId="002C7AED" w14:textId="50E291A4" w:rsidR="00A967FA" w:rsidRDefault="003F58EF" w:rsidP="00EE14E3">
            <w:pPr>
              <w:spacing w:before="0" w:after="0"/>
              <w:jc w:val="center"/>
            </w:pPr>
            <w:r>
              <w:t>24</w:t>
            </w:r>
          </w:p>
        </w:tc>
        <w:tc>
          <w:tcPr>
            <w:tcW w:w="448" w:type="pct"/>
          </w:tcPr>
          <w:p w14:paraId="45748FCB" w14:textId="5E785276" w:rsidR="00A967FA" w:rsidRDefault="003F58EF" w:rsidP="00EE14E3">
            <w:pPr>
              <w:spacing w:before="0" w:after="0"/>
              <w:jc w:val="center"/>
            </w:pPr>
            <w:r>
              <w:t>21</w:t>
            </w:r>
          </w:p>
        </w:tc>
        <w:tc>
          <w:tcPr>
            <w:tcW w:w="448" w:type="pct"/>
          </w:tcPr>
          <w:p w14:paraId="23BD3358" w14:textId="637EC73E" w:rsidR="00A967FA" w:rsidRDefault="003F58EF" w:rsidP="00EE14E3">
            <w:pPr>
              <w:spacing w:before="0" w:after="0"/>
              <w:jc w:val="center"/>
            </w:pPr>
            <w:r>
              <w:t>3</w:t>
            </w:r>
          </w:p>
        </w:tc>
        <w:tc>
          <w:tcPr>
            <w:tcW w:w="555" w:type="pct"/>
          </w:tcPr>
          <w:p w14:paraId="2C677B9B" w14:textId="7D99585B" w:rsidR="00A967FA" w:rsidRDefault="003F58EF" w:rsidP="00EE14E3">
            <w:pPr>
              <w:spacing w:before="0" w:after="0"/>
              <w:jc w:val="center"/>
            </w:pPr>
            <w:r>
              <w:t>49</w:t>
            </w:r>
          </w:p>
        </w:tc>
        <w:tc>
          <w:tcPr>
            <w:tcW w:w="1113" w:type="pct"/>
          </w:tcPr>
          <w:p w14:paraId="66F78B83" w14:textId="090590F9" w:rsidR="00CF0B3E" w:rsidRDefault="003F58EF">
            <w:pPr>
              <w:spacing w:before="0" w:after="0"/>
            </w:pPr>
            <w:r>
              <w:t>11,131 views</w:t>
            </w:r>
          </w:p>
        </w:tc>
      </w:tr>
      <w:tr w:rsidR="00A967FA" w:rsidRPr="00E92829" w14:paraId="7E61BAFD" w14:textId="7F8213DA" w:rsidTr="00E87207">
        <w:trPr>
          <w:cnfStyle w:val="000000010000" w:firstRow="0" w:lastRow="0" w:firstColumn="0" w:lastColumn="0" w:oddVBand="0" w:evenVBand="0" w:oddHBand="0" w:evenHBand="1" w:firstRowFirstColumn="0" w:firstRowLastColumn="0" w:lastRowFirstColumn="0" w:lastRowLastColumn="0"/>
        </w:trPr>
        <w:tc>
          <w:tcPr>
            <w:tcW w:w="1540" w:type="pct"/>
            <w:shd w:val="clear" w:color="auto" w:fill="DCDCDF" w:themeFill="text2" w:themeFillTint="33"/>
          </w:tcPr>
          <w:p w14:paraId="56A80358" w14:textId="3AB5E660" w:rsidR="00A967FA" w:rsidRPr="00E92829" w:rsidRDefault="00E92829">
            <w:pPr>
              <w:spacing w:before="0" w:after="0"/>
              <w:rPr>
                <w:rFonts w:asciiTheme="majorHAnsi" w:hAnsiTheme="majorHAnsi"/>
              </w:rPr>
            </w:pPr>
            <w:r>
              <w:rPr>
                <w:rFonts w:asciiTheme="majorHAnsi" w:hAnsiTheme="majorHAnsi"/>
              </w:rPr>
              <w:t>Total</w:t>
            </w:r>
          </w:p>
        </w:tc>
        <w:tc>
          <w:tcPr>
            <w:tcW w:w="448" w:type="pct"/>
            <w:shd w:val="clear" w:color="auto" w:fill="DCDCDF" w:themeFill="text2" w:themeFillTint="33"/>
          </w:tcPr>
          <w:p w14:paraId="21B6BB45" w14:textId="40B6C05B" w:rsidR="00A967FA" w:rsidRPr="00E92829" w:rsidRDefault="003F58EF" w:rsidP="00EE14E3">
            <w:pPr>
              <w:spacing w:before="0" w:after="0"/>
              <w:jc w:val="center"/>
              <w:rPr>
                <w:rFonts w:asciiTheme="majorHAnsi" w:hAnsiTheme="majorHAnsi"/>
              </w:rPr>
            </w:pPr>
            <w:r>
              <w:rPr>
                <w:rFonts w:asciiTheme="majorHAnsi" w:hAnsiTheme="majorHAnsi"/>
              </w:rPr>
              <w:t>4</w:t>
            </w:r>
          </w:p>
        </w:tc>
        <w:tc>
          <w:tcPr>
            <w:tcW w:w="448" w:type="pct"/>
            <w:shd w:val="clear" w:color="auto" w:fill="DCDCDF" w:themeFill="text2" w:themeFillTint="33"/>
          </w:tcPr>
          <w:p w14:paraId="7A3B121E" w14:textId="22A7F8AA" w:rsidR="00A967FA" w:rsidRPr="00E92829" w:rsidRDefault="003F58EF" w:rsidP="00EE14E3">
            <w:pPr>
              <w:spacing w:before="0" w:after="0"/>
              <w:jc w:val="center"/>
              <w:rPr>
                <w:rFonts w:asciiTheme="majorHAnsi" w:hAnsiTheme="majorHAnsi"/>
              </w:rPr>
            </w:pPr>
            <w:r>
              <w:rPr>
                <w:rFonts w:asciiTheme="majorHAnsi" w:hAnsiTheme="majorHAnsi"/>
              </w:rPr>
              <w:t>62</w:t>
            </w:r>
          </w:p>
        </w:tc>
        <w:tc>
          <w:tcPr>
            <w:tcW w:w="448" w:type="pct"/>
            <w:shd w:val="clear" w:color="auto" w:fill="DCDCDF" w:themeFill="text2" w:themeFillTint="33"/>
          </w:tcPr>
          <w:p w14:paraId="4732F0C0" w14:textId="43892909" w:rsidR="00A967FA" w:rsidRPr="00E92829" w:rsidRDefault="003F58EF" w:rsidP="00EE14E3">
            <w:pPr>
              <w:spacing w:before="0" w:after="0"/>
              <w:jc w:val="center"/>
              <w:rPr>
                <w:rFonts w:asciiTheme="majorHAnsi" w:hAnsiTheme="majorHAnsi"/>
              </w:rPr>
            </w:pPr>
            <w:r>
              <w:rPr>
                <w:rFonts w:asciiTheme="majorHAnsi" w:hAnsiTheme="majorHAnsi"/>
              </w:rPr>
              <w:t>43</w:t>
            </w:r>
          </w:p>
        </w:tc>
        <w:tc>
          <w:tcPr>
            <w:tcW w:w="448" w:type="pct"/>
            <w:shd w:val="clear" w:color="auto" w:fill="DCDCDF" w:themeFill="text2" w:themeFillTint="33"/>
          </w:tcPr>
          <w:p w14:paraId="084AC64D" w14:textId="012F8B66" w:rsidR="00A967FA" w:rsidRPr="00E92829" w:rsidRDefault="003F58EF" w:rsidP="00EE14E3">
            <w:pPr>
              <w:spacing w:before="0" w:after="0"/>
              <w:jc w:val="center"/>
              <w:rPr>
                <w:rFonts w:asciiTheme="majorHAnsi" w:hAnsiTheme="majorHAnsi"/>
              </w:rPr>
            </w:pPr>
            <w:r>
              <w:rPr>
                <w:rFonts w:asciiTheme="majorHAnsi" w:hAnsiTheme="majorHAnsi"/>
              </w:rPr>
              <w:t>27</w:t>
            </w:r>
          </w:p>
        </w:tc>
        <w:tc>
          <w:tcPr>
            <w:tcW w:w="555" w:type="pct"/>
            <w:shd w:val="clear" w:color="auto" w:fill="DCDCDF" w:themeFill="text2" w:themeFillTint="33"/>
          </w:tcPr>
          <w:p w14:paraId="37A63591" w14:textId="79880667" w:rsidR="00A967FA" w:rsidRPr="00E92829" w:rsidRDefault="003F58EF" w:rsidP="00EE14E3">
            <w:pPr>
              <w:spacing w:before="0" w:after="0"/>
              <w:jc w:val="center"/>
              <w:rPr>
                <w:rFonts w:asciiTheme="majorHAnsi" w:hAnsiTheme="majorHAnsi"/>
              </w:rPr>
            </w:pPr>
            <w:r>
              <w:rPr>
                <w:rFonts w:asciiTheme="majorHAnsi" w:hAnsiTheme="majorHAnsi"/>
              </w:rPr>
              <w:t>134</w:t>
            </w:r>
          </w:p>
        </w:tc>
        <w:tc>
          <w:tcPr>
            <w:tcW w:w="1113" w:type="pct"/>
            <w:shd w:val="clear" w:color="auto" w:fill="DCDCDF" w:themeFill="text2" w:themeFillTint="33"/>
          </w:tcPr>
          <w:p w14:paraId="5ACEE1A5" w14:textId="5CAB98EB" w:rsidR="00CF0B3E" w:rsidRPr="00E92829" w:rsidRDefault="00E87207">
            <w:pPr>
              <w:spacing w:before="0" w:after="0"/>
              <w:rPr>
                <w:rFonts w:asciiTheme="majorHAnsi" w:hAnsiTheme="majorHAnsi"/>
              </w:rPr>
            </w:pPr>
            <w:r>
              <w:rPr>
                <w:rFonts w:asciiTheme="majorHAnsi" w:hAnsiTheme="majorHAnsi"/>
              </w:rPr>
              <w:t>-</w:t>
            </w:r>
          </w:p>
        </w:tc>
      </w:tr>
    </w:tbl>
    <w:p w14:paraId="07839585" w14:textId="20B1EC1F" w:rsidR="0033662D" w:rsidRDefault="0033662D" w:rsidP="0033662D">
      <w:pPr>
        <w:pStyle w:val="Tablenotes"/>
        <w:sectPr w:rsidR="0033662D" w:rsidSect="0033662D">
          <w:type w:val="continuous"/>
          <w:pgSz w:w="16838" w:h="11906" w:orient="landscape" w:code="9"/>
          <w:pgMar w:top="851" w:right="851" w:bottom="851" w:left="851" w:header="709" w:footer="567" w:gutter="0"/>
          <w:cols w:space="709"/>
          <w:docGrid w:linePitch="360"/>
        </w:sectPr>
      </w:pPr>
      <w:r w:rsidRPr="00362F97">
        <w:t xml:space="preserve">Source: </w:t>
      </w:r>
      <w:r>
        <w:t>PACOP</w:t>
      </w:r>
      <w:r w:rsidRPr="00362F97">
        <w:t xml:space="preserve"> program data provided by </w:t>
      </w:r>
      <w:r>
        <w:t>the University of Wollongong</w:t>
      </w:r>
      <w:r w:rsidRPr="00362F97">
        <w:t>, September 2025</w:t>
      </w:r>
      <w:r w:rsidR="005F3C7E">
        <w:t>.</w:t>
      </w:r>
    </w:p>
    <w:p w14:paraId="5E3B4601" w14:textId="127ED07B" w:rsidR="001419FB" w:rsidRDefault="00751D07" w:rsidP="00066E55">
      <w:pPr>
        <w:pStyle w:val="Heading3-nonumber"/>
      </w:pPr>
      <w:r>
        <w:t xml:space="preserve">PACOP </w:t>
      </w:r>
      <w:r w:rsidR="00066E55">
        <w:t>uptake and engagement</w:t>
      </w:r>
    </w:p>
    <w:p w14:paraId="0EB866F3" w14:textId="0E5F376D" w:rsidR="001419FB" w:rsidRDefault="001419FB" w:rsidP="001419FB">
      <w:pPr>
        <w:pStyle w:val="Heading4"/>
      </w:pPr>
      <w:r>
        <w:t>Characteristics of participating homes</w:t>
      </w:r>
    </w:p>
    <w:p w14:paraId="40B08243" w14:textId="17641FA8" w:rsidR="001419FB" w:rsidRDefault="00066E55" w:rsidP="001419FB">
      <w:r>
        <w:fldChar w:fldCharType="begin"/>
      </w:r>
      <w:r>
        <w:instrText xml:space="preserve"> REF _Ref216193528 \h </w:instrText>
      </w:r>
      <w:r>
        <w:fldChar w:fldCharType="separate"/>
      </w:r>
      <w:r w:rsidR="00167BA0">
        <w:t xml:space="preserve">Table </w:t>
      </w:r>
      <w:r w:rsidR="00167BA0">
        <w:rPr>
          <w:noProof/>
        </w:rPr>
        <w:t>9</w:t>
      </w:r>
      <w:r w:rsidR="00167BA0">
        <w:t>.</w:t>
      </w:r>
      <w:r w:rsidR="00167BA0">
        <w:rPr>
          <w:noProof/>
        </w:rPr>
        <w:t>21</w:t>
      </w:r>
      <w:r>
        <w:fldChar w:fldCharType="end"/>
      </w:r>
      <w:r w:rsidR="005E6CBE">
        <w:t xml:space="preserve"> outlines </w:t>
      </w:r>
      <w:r w:rsidR="001B7CE2">
        <w:t>the jurisdiction of homes participating in PACOP</w:t>
      </w:r>
      <w:r w:rsidR="00E42474">
        <w:t xml:space="preserve"> by financial year</w:t>
      </w:r>
      <w:r w:rsidR="001B7CE2">
        <w:t>.</w:t>
      </w:r>
    </w:p>
    <w:p w14:paraId="4E8215DC" w14:textId="3F33AEEE" w:rsidR="001419FB" w:rsidRDefault="001419FB" w:rsidP="001419FB">
      <w:pPr>
        <w:pStyle w:val="Caption"/>
      </w:pPr>
      <w:bookmarkStart w:id="212" w:name="_Ref216193528"/>
      <w:r>
        <w:t xml:space="preserve">Table </w:t>
      </w:r>
      <w:fldSimple w:instr=" STYLEREF 1 \s ">
        <w:r w:rsidR="0091457A">
          <w:rPr>
            <w:noProof/>
          </w:rPr>
          <w:t>9</w:t>
        </w:r>
      </w:fldSimple>
      <w:r w:rsidR="0091457A">
        <w:t>.</w:t>
      </w:r>
      <w:fldSimple w:instr=" SEQ Table \* ARABIC \s 1 ">
        <w:r w:rsidR="0091457A">
          <w:rPr>
            <w:noProof/>
          </w:rPr>
          <w:t>21</w:t>
        </w:r>
      </w:fldSimple>
      <w:bookmarkEnd w:id="212"/>
      <w:r>
        <w:t>: Jurisdiction of aged care homes</w:t>
      </w:r>
      <w:r w:rsidRPr="001F61AF">
        <w:t xml:space="preserve"> </w:t>
      </w:r>
      <w:r>
        <w:t xml:space="preserve">participating in PACOP </w:t>
      </w:r>
      <w:r w:rsidRPr="001F61AF">
        <w:t>by financial year</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jurisdiction of aged care homes participating in PACOP"/>
        <w:tblDescription w:val="Table shows the jurisdiction of homes participating in PACOP across three financial years from 2022-23 to 2024-25."/>
      </w:tblPr>
      <w:tblGrid>
        <w:gridCol w:w="1794"/>
        <w:gridCol w:w="859"/>
        <w:gridCol w:w="859"/>
        <w:gridCol w:w="859"/>
        <w:gridCol w:w="713"/>
        <w:gridCol w:w="842"/>
        <w:gridCol w:w="1277"/>
      </w:tblGrid>
      <w:tr w:rsidR="001419FB" w14:paraId="27D9719C" w14:textId="77777777" w:rsidTr="00CE3C26">
        <w:trPr>
          <w:cnfStyle w:val="100000000000" w:firstRow="1" w:lastRow="0" w:firstColumn="0" w:lastColumn="0" w:oddVBand="0" w:evenVBand="0" w:oddHBand="0" w:evenHBand="0" w:firstRowFirstColumn="0" w:firstRowLastColumn="0" w:lastRowFirstColumn="0" w:lastRowLastColumn="0"/>
          <w:tblHeader/>
        </w:trPr>
        <w:tc>
          <w:tcPr>
            <w:tcW w:w="0" w:type="auto"/>
          </w:tcPr>
          <w:p w14:paraId="6F8D8ABC" w14:textId="77777777" w:rsidR="001419FB" w:rsidRDefault="001419FB">
            <w:pPr>
              <w:spacing w:before="0" w:after="0"/>
            </w:pPr>
            <w:r>
              <w:t>Jurisdiction</w:t>
            </w:r>
          </w:p>
        </w:tc>
        <w:tc>
          <w:tcPr>
            <w:tcW w:w="0" w:type="auto"/>
          </w:tcPr>
          <w:p w14:paraId="24104B21" w14:textId="77777777" w:rsidR="001419FB" w:rsidRDefault="001419FB">
            <w:pPr>
              <w:spacing w:before="0" w:after="0"/>
              <w:jc w:val="center"/>
            </w:pPr>
            <w:r w:rsidRPr="004D646B">
              <w:t>2022</w:t>
            </w:r>
            <w:r>
              <w:rPr>
                <w:caps w:val="0"/>
              </w:rPr>
              <w:t>–</w:t>
            </w:r>
            <w:r w:rsidRPr="004D646B">
              <w:t>23</w:t>
            </w:r>
          </w:p>
        </w:tc>
        <w:tc>
          <w:tcPr>
            <w:tcW w:w="0" w:type="auto"/>
          </w:tcPr>
          <w:p w14:paraId="201EFC25" w14:textId="77777777" w:rsidR="001419FB" w:rsidRDefault="001419FB">
            <w:pPr>
              <w:spacing w:before="0" w:after="0"/>
              <w:jc w:val="center"/>
            </w:pPr>
            <w:r w:rsidRPr="004D646B">
              <w:t>2023</w:t>
            </w:r>
            <w:r>
              <w:rPr>
                <w:caps w:val="0"/>
              </w:rPr>
              <w:t>–</w:t>
            </w:r>
            <w:r w:rsidRPr="004D646B">
              <w:t>24</w:t>
            </w:r>
          </w:p>
        </w:tc>
        <w:tc>
          <w:tcPr>
            <w:tcW w:w="0" w:type="auto"/>
          </w:tcPr>
          <w:p w14:paraId="5FBBD209" w14:textId="77777777" w:rsidR="001419FB" w:rsidRDefault="001419FB">
            <w:pPr>
              <w:spacing w:before="0" w:after="0"/>
              <w:jc w:val="center"/>
            </w:pPr>
            <w:r w:rsidRPr="004D646B">
              <w:t>2024</w:t>
            </w:r>
            <w:r>
              <w:rPr>
                <w:caps w:val="0"/>
              </w:rPr>
              <w:t>–</w:t>
            </w:r>
            <w:r w:rsidRPr="004D646B">
              <w:t>25</w:t>
            </w:r>
          </w:p>
        </w:tc>
        <w:tc>
          <w:tcPr>
            <w:tcW w:w="0" w:type="auto"/>
          </w:tcPr>
          <w:p w14:paraId="43757EC2" w14:textId="77777777" w:rsidR="001419FB" w:rsidRDefault="001419FB">
            <w:pPr>
              <w:spacing w:before="0" w:after="0"/>
              <w:jc w:val="center"/>
            </w:pPr>
            <w:r w:rsidRPr="004D646B">
              <w:t>Total</w:t>
            </w:r>
          </w:p>
        </w:tc>
        <w:tc>
          <w:tcPr>
            <w:tcW w:w="0" w:type="auto"/>
          </w:tcPr>
          <w:p w14:paraId="0D8CAA00" w14:textId="77777777" w:rsidR="001419FB" w:rsidRDefault="001419FB">
            <w:pPr>
              <w:spacing w:before="0" w:after="0"/>
              <w:jc w:val="center"/>
            </w:pPr>
            <w:r w:rsidRPr="004D646B">
              <w:t>%</w:t>
            </w:r>
          </w:p>
        </w:tc>
        <w:tc>
          <w:tcPr>
            <w:tcW w:w="0" w:type="auto"/>
          </w:tcPr>
          <w:p w14:paraId="68628D73" w14:textId="77777777" w:rsidR="001419FB" w:rsidRPr="004D646B" w:rsidRDefault="001419FB">
            <w:pPr>
              <w:spacing w:before="0" w:after="0"/>
              <w:jc w:val="center"/>
            </w:pPr>
            <w:r w:rsidRPr="003A5DD0">
              <w:t>National data</w:t>
            </w:r>
            <w:r>
              <w:t xml:space="preserve"> </w:t>
            </w:r>
          </w:p>
        </w:tc>
      </w:tr>
      <w:tr w:rsidR="001419FB" w14:paraId="4713709E"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tcPr>
          <w:p w14:paraId="5BE838AC" w14:textId="77777777" w:rsidR="001419FB" w:rsidRDefault="001419FB">
            <w:pPr>
              <w:pStyle w:val="TableText"/>
            </w:pPr>
            <w:r>
              <w:t>Victoria</w:t>
            </w:r>
          </w:p>
        </w:tc>
        <w:tc>
          <w:tcPr>
            <w:tcW w:w="0" w:type="auto"/>
          </w:tcPr>
          <w:p w14:paraId="76D317DD" w14:textId="77777777" w:rsidR="001419FB" w:rsidRPr="00F50CC1" w:rsidRDefault="001419FB">
            <w:pPr>
              <w:pStyle w:val="TableText"/>
              <w:jc w:val="center"/>
            </w:pPr>
            <w:r w:rsidRPr="00F50CC1">
              <w:t>20</w:t>
            </w:r>
          </w:p>
        </w:tc>
        <w:tc>
          <w:tcPr>
            <w:tcW w:w="0" w:type="auto"/>
          </w:tcPr>
          <w:p w14:paraId="1B478361" w14:textId="77777777" w:rsidR="001419FB" w:rsidRPr="00F50CC1" w:rsidRDefault="001419FB">
            <w:pPr>
              <w:pStyle w:val="TableText"/>
              <w:jc w:val="center"/>
            </w:pPr>
            <w:r w:rsidRPr="00F50CC1">
              <w:t>10</w:t>
            </w:r>
          </w:p>
        </w:tc>
        <w:tc>
          <w:tcPr>
            <w:tcW w:w="0" w:type="auto"/>
          </w:tcPr>
          <w:p w14:paraId="2187F117" w14:textId="77777777" w:rsidR="001419FB" w:rsidRPr="00F50CC1" w:rsidRDefault="001419FB">
            <w:pPr>
              <w:pStyle w:val="TableText"/>
              <w:jc w:val="center"/>
            </w:pPr>
            <w:r w:rsidRPr="00F50CC1">
              <w:t>76</w:t>
            </w:r>
          </w:p>
        </w:tc>
        <w:tc>
          <w:tcPr>
            <w:tcW w:w="0" w:type="auto"/>
          </w:tcPr>
          <w:p w14:paraId="7738B274" w14:textId="77777777" w:rsidR="001419FB" w:rsidRPr="00F50CC1" w:rsidRDefault="001419FB">
            <w:pPr>
              <w:pStyle w:val="TableText"/>
              <w:jc w:val="center"/>
            </w:pPr>
            <w:r w:rsidRPr="00F50CC1">
              <w:t>106</w:t>
            </w:r>
          </w:p>
        </w:tc>
        <w:tc>
          <w:tcPr>
            <w:tcW w:w="0" w:type="auto"/>
            <w:vAlign w:val="bottom"/>
          </w:tcPr>
          <w:p w14:paraId="552307B2" w14:textId="77777777" w:rsidR="001419FB" w:rsidRPr="00F50CC1" w:rsidRDefault="001419FB">
            <w:pPr>
              <w:pStyle w:val="TableText"/>
              <w:jc w:val="center"/>
            </w:pPr>
            <w:r w:rsidRPr="00F50CC1">
              <w:t>23.3%</w:t>
            </w:r>
          </w:p>
        </w:tc>
        <w:tc>
          <w:tcPr>
            <w:tcW w:w="0" w:type="auto"/>
            <w:vAlign w:val="bottom"/>
          </w:tcPr>
          <w:p w14:paraId="3BEB25BC" w14:textId="77777777" w:rsidR="001419FB" w:rsidRPr="00D02714" w:rsidRDefault="001419FB">
            <w:pPr>
              <w:pStyle w:val="TableText"/>
              <w:jc w:val="center"/>
            </w:pPr>
            <w:r w:rsidRPr="00D02714">
              <w:t>31.8%</w:t>
            </w:r>
          </w:p>
        </w:tc>
      </w:tr>
      <w:tr w:rsidR="001419FB" w14:paraId="5CAD8AEA" w14:textId="77777777" w:rsidTr="00CE3C26">
        <w:trPr>
          <w:cnfStyle w:val="000000010000" w:firstRow="0" w:lastRow="0" w:firstColumn="0" w:lastColumn="0" w:oddVBand="0" w:evenVBand="0" w:oddHBand="0" w:evenHBand="1" w:firstRowFirstColumn="0" w:firstRowLastColumn="0" w:lastRowFirstColumn="0" w:lastRowLastColumn="0"/>
        </w:trPr>
        <w:tc>
          <w:tcPr>
            <w:tcW w:w="0" w:type="auto"/>
          </w:tcPr>
          <w:p w14:paraId="4FD436A3" w14:textId="77777777" w:rsidR="001419FB" w:rsidRDefault="001419FB">
            <w:pPr>
              <w:pStyle w:val="TableText"/>
            </w:pPr>
            <w:r>
              <w:t>New South Wales</w:t>
            </w:r>
          </w:p>
        </w:tc>
        <w:tc>
          <w:tcPr>
            <w:tcW w:w="0" w:type="auto"/>
          </w:tcPr>
          <w:p w14:paraId="1B40F1DF" w14:textId="77777777" w:rsidR="001419FB" w:rsidRPr="00F50CC1" w:rsidRDefault="001419FB">
            <w:pPr>
              <w:pStyle w:val="TableText"/>
              <w:jc w:val="center"/>
            </w:pPr>
            <w:r w:rsidRPr="00F50CC1">
              <w:t>68</w:t>
            </w:r>
          </w:p>
        </w:tc>
        <w:tc>
          <w:tcPr>
            <w:tcW w:w="0" w:type="auto"/>
          </w:tcPr>
          <w:p w14:paraId="258BA5A5" w14:textId="77777777" w:rsidR="001419FB" w:rsidRPr="00F50CC1" w:rsidRDefault="001419FB">
            <w:pPr>
              <w:pStyle w:val="TableText"/>
              <w:jc w:val="center"/>
            </w:pPr>
            <w:r w:rsidRPr="00F50CC1">
              <w:t>103</w:t>
            </w:r>
          </w:p>
        </w:tc>
        <w:tc>
          <w:tcPr>
            <w:tcW w:w="0" w:type="auto"/>
          </w:tcPr>
          <w:p w14:paraId="795E762B" w14:textId="77777777" w:rsidR="001419FB" w:rsidRPr="00F50CC1" w:rsidRDefault="001419FB">
            <w:pPr>
              <w:pStyle w:val="TableText"/>
              <w:jc w:val="center"/>
            </w:pPr>
            <w:r w:rsidRPr="00F50CC1">
              <w:t>34</w:t>
            </w:r>
          </w:p>
        </w:tc>
        <w:tc>
          <w:tcPr>
            <w:tcW w:w="0" w:type="auto"/>
          </w:tcPr>
          <w:p w14:paraId="37E8378C" w14:textId="77777777" w:rsidR="001419FB" w:rsidRPr="00F50CC1" w:rsidRDefault="001419FB">
            <w:pPr>
              <w:pStyle w:val="TableText"/>
              <w:jc w:val="center"/>
            </w:pPr>
            <w:r w:rsidRPr="00F50CC1">
              <w:t>205</w:t>
            </w:r>
          </w:p>
        </w:tc>
        <w:tc>
          <w:tcPr>
            <w:tcW w:w="0" w:type="auto"/>
            <w:vAlign w:val="bottom"/>
          </w:tcPr>
          <w:p w14:paraId="62A7CD4D" w14:textId="77777777" w:rsidR="001419FB" w:rsidRPr="00F50CC1" w:rsidRDefault="001419FB">
            <w:pPr>
              <w:pStyle w:val="TableText"/>
              <w:jc w:val="center"/>
            </w:pPr>
            <w:r w:rsidRPr="00F50CC1">
              <w:t>45.2%</w:t>
            </w:r>
          </w:p>
        </w:tc>
        <w:tc>
          <w:tcPr>
            <w:tcW w:w="0" w:type="auto"/>
            <w:vAlign w:val="bottom"/>
          </w:tcPr>
          <w:p w14:paraId="5A7BDBD6" w14:textId="77777777" w:rsidR="001419FB" w:rsidRPr="00D02714" w:rsidRDefault="001419FB">
            <w:pPr>
              <w:pStyle w:val="TableText"/>
              <w:jc w:val="center"/>
            </w:pPr>
            <w:r w:rsidRPr="00D02714">
              <w:t>28.3%</w:t>
            </w:r>
          </w:p>
        </w:tc>
      </w:tr>
      <w:tr w:rsidR="001419FB" w14:paraId="73D23C11"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tcPr>
          <w:p w14:paraId="08B71B9D" w14:textId="77777777" w:rsidR="001419FB" w:rsidRDefault="001419FB">
            <w:pPr>
              <w:pStyle w:val="TableText"/>
            </w:pPr>
            <w:r>
              <w:t>Queensland</w:t>
            </w:r>
          </w:p>
        </w:tc>
        <w:tc>
          <w:tcPr>
            <w:tcW w:w="0" w:type="auto"/>
          </w:tcPr>
          <w:p w14:paraId="73AAF906" w14:textId="77777777" w:rsidR="001419FB" w:rsidRPr="00F50CC1" w:rsidRDefault="001419FB">
            <w:pPr>
              <w:pStyle w:val="TableText"/>
              <w:jc w:val="center"/>
            </w:pPr>
            <w:r w:rsidRPr="00F50CC1">
              <w:t>20</w:t>
            </w:r>
          </w:p>
        </w:tc>
        <w:tc>
          <w:tcPr>
            <w:tcW w:w="0" w:type="auto"/>
          </w:tcPr>
          <w:p w14:paraId="012054B8" w14:textId="77777777" w:rsidR="001419FB" w:rsidRPr="00F50CC1" w:rsidRDefault="001419FB">
            <w:pPr>
              <w:pStyle w:val="TableText"/>
              <w:jc w:val="center"/>
            </w:pPr>
            <w:r w:rsidRPr="00F50CC1">
              <w:t>10</w:t>
            </w:r>
          </w:p>
        </w:tc>
        <w:tc>
          <w:tcPr>
            <w:tcW w:w="0" w:type="auto"/>
          </w:tcPr>
          <w:p w14:paraId="505EBBEF" w14:textId="77777777" w:rsidR="001419FB" w:rsidRPr="00F50CC1" w:rsidRDefault="001419FB">
            <w:pPr>
              <w:pStyle w:val="TableText"/>
              <w:jc w:val="center"/>
            </w:pPr>
            <w:r w:rsidRPr="00F50CC1">
              <w:t>9</w:t>
            </w:r>
          </w:p>
        </w:tc>
        <w:tc>
          <w:tcPr>
            <w:tcW w:w="0" w:type="auto"/>
          </w:tcPr>
          <w:p w14:paraId="5D5C964B" w14:textId="77777777" w:rsidR="001419FB" w:rsidRPr="00F50CC1" w:rsidRDefault="001419FB">
            <w:pPr>
              <w:pStyle w:val="TableText"/>
              <w:jc w:val="center"/>
            </w:pPr>
            <w:r w:rsidRPr="00F50CC1">
              <w:t>39</w:t>
            </w:r>
          </w:p>
        </w:tc>
        <w:tc>
          <w:tcPr>
            <w:tcW w:w="0" w:type="auto"/>
            <w:vAlign w:val="bottom"/>
          </w:tcPr>
          <w:p w14:paraId="43FE91B7" w14:textId="77777777" w:rsidR="001419FB" w:rsidRPr="00F50CC1" w:rsidRDefault="001419FB">
            <w:pPr>
              <w:pStyle w:val="TableText"/>
              <w:jc w:val="center"/>
            </w:pPr>
            <w:r w:rsidRPr="00F50CC1">
              <w:t>8.6%</w:t>
            </w:r>
          </w:p>
        </w:tc>
        <w:tc>
          <w:tcPr>
            <w:tcW w:w="0" w:type="auto"/>
            <w:vAlign w:val="bottom"/>
          </w:tcPr>
          <w:p w14:paraId="1828E47D" w14:textId="77777777" w:rsidR="001419FB" w:rsidRPr="00D02714" w:rsidRDefault="001419FB">
            <w:pPr>
              <w:pStyle w:val="TableText"/>
              <w:jc w:val="center"/>
            </w:pPr>
            <w:r w:rsidRPr="00D02714">
              <w:t>9.5%</w:t>
            </w:r>
          </w:p>
        </w:tc>
      </w:tr>
      <w:tr w:rsidR="001419FB" w14:paraId="2F4327D5" w14:textId="77777777" w:rsidTr="00CE3C26">
        <w:trPr>
          <w:cnfStyle w:val="000000010000" w:firstRow="0" w:lastRow="0" w:firstColumn="0" w:lastColumn="0" w:oddVBand="0" w:evenVBand="0" w:oddHBand="0" w:evenHBand="1" w:firstRowFirstColumn="0" w:firstRowLastColumn="0" w:lastRowFirstColumn="0" w:lastRowLastColumn="0"/>
        </w:trPr>
        <w:tc>
          <w:tcPr>
            <w:tcW w:w="0" w:type="auto"/>
          </w:tcPr>
          <w:p w14:paraId="63573BE7" w14:textId="77777777" w:rsidR="001419FB" w:rsidRDefault="001419FB">
            <w:pPr>
              <w:pStyle w:val="TableText"/>
            </w:pPr>
            <w:r>
              <w:t>Western Australia</w:t>
            </w:r>
          </w:p>
        </w:tc>
        <w:tc>
          <w:tcPr>
            <w:tcW w:w="0" w:type="auto"/>
          </w:tcPr>
          <w:p w14:paraId="24A20422" w14:textId="77777777" w:rsidR="001419FB" w:rsidRPr="00F50CC1" w:rsidRDefault="001419FB">
            <w:pPr>
              <w:pStyle w:val="TableText"/>
              <w:jc w:val="center"/>
            </w:pPr>
            <w:r w:rsidRPr="00F50CC1">
              <w:t>13</w:t>
            </w:r>
          </w:p>
        </w:tc>
        <w:tc>
          <w:tcPr>
            <w:tcW w:w="0" w:type="auto"/>
          </w:tcPr>
          <w:p w14:paraId="76853F73" w14:textId="77777777" w:rsidR="001419FB" w:rsidRPr="00F50CC1" w:rsidRDefault="001419FB">
            <w:pPr>
              <w:pStyle w:val="TableText"/>
              <w:jc w:val="center"/>
            </w:pPr>
            <w:r w:rsidRPr="00F50CC1">
              <w:t>15</w:t>
            </w:r>
          </w:p>
        </w:tc>
        <w:tc>
          <w:tcPr>
            <w:tcW w:w="0" w:type="auto"/>
          </w:tcPr>
          <w:p w14:paraId="70E01A55" w14:textId="77777777" w:rsidR="001419FB" w:rsidRPr="00F50CC1" w:rsidRDefault="001419FB">
            <w:pPr>
              <w:pStyle w:val="TableText"/>
              <w:jc w:val="center"/>
            </w:pPr>
            <w:r w:rsidRPr="00F50CC1">
              <w:t>17</w:t>
            </w:r>
          </w:p>
        </w:tc>
        <w:tc>
          <w:tcPr>
            <w:tcW w:w="0" w:type="auto"/>
          </w:tcPr>
          <w:p w14:paraId="605F1CF2" w14:textId="77777777" w:rsidR="001419FB" w:rsidRPr="00F50CC1" w:rsidRDefault="001419FB">
            <w:pPr>
              <w:pStyle w:val="TableText"/>
              <w:jc w:val="center"/>
            </w:pPr>
            <w:r w:rsidRPr="00F50CC1">
              <w:t>45</w:t>
            </w:r>
          </w:p>
        </w:tc>
        <w:tc>
          <w:tcPr>
            <w:tcW w:w="0" w:type="auto"/>
            <w:vAlign w:val="bottom"/>
          </w:tcPr>
          <w:p w14:paraId="3BE669AC" w14:textId="77777777" w:rsidR="001419FB" w:rsidRPr="00F50CC1" w:rsidRDefault="001419FB">
            <w:pPr>
              <w:pStyle w:val="TableText"/>
              <w:jc w:val="center"/>
            </w:pPr>
            <w:r w:rsidRPr="00F50CC1">
              <w:t>9.9%</w:t>
            </w:r>
          </w:p>
        </w:tc>
        <w:tc>
          <w:tcPr>
            <w:tcW w:w="0" w:type="auto"/>
            <w:vAlign w:val="bottom"/>
          </w:tcPr>
          <w:p w14:paraId="1170CBB2" w14:textId="77777777" w:rsidR="001419FB" w:rsidRPr="00D02714" w:rsidRDefault="001419FB">
            <w:pPr>
              <w:pStyle w:val="TableText"/>
              <w:jc w:val="center"/>
            </w:pPr>
            <w:r w:rsidRPr="00D02714">
              <w:t>17.6%</w:t>
            </w:r>
          </w:p>
        </w:tc>
      </w:tr>
      <w:tr w:rsidR="001419FB" w14:paraId="0323DA9E"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tcPr>
          <w:p w14:paraId="3E5BEAC0" w14:textId="77777777" w:rsidR="001419FB" w:rsidRDefault="001419FB">
            <w:pPr>
              <w:pStyle w:val="TableText"/>
            </w:pPr>
            <w:r>
              <w:t>South Australia</w:t>
            </w:r>
          </w:p>
        </w:tc>
        <w:tc>
          <w:tcPr>
            <w:tcW w:w="0" w:type="auto"/>
          </w:tcPr>
          <w:p w14:paraId="67498F74" w14:textId="77777777" w:rsidR="001419FB" w:rsidRPr="00682E45" w:rsidRDefault="001419FB">
            <w:pPr>
              <w:pStyle w:val="TableText"/>
              <w:jc w:val="center"/>
            </w:pPr>
            <w:r w:rsidRPr="00682E45">
              <w:t>&lt;5</w:t>
            </w:r>
          </w:p>
        </w:tc>
        <w:tc>
          <w:tcPr>
            <w:tcW w:w="0" w:type="auto"/>
          </w:tcPr>
          <w:p w14:paraId="0C114ED4" w14:textId="77777777" w:rsidR="001419FB" w:rsidRPr="00682E45" w:rsidRDefault="001419FB">
            <w:pPr>
              <w:pStyle w:val="TableText"/>
              <w:jc w:val="center"/>
            </w:pPr>
            <w:r w:rsidRPr="00682E45">
              <w:t>10</w:t>
            </w:r>
          </w:p>
        </w:tc>
        <w:tc>
          <w:tcPr>
            <w:tcW w:w="0" w:type="auto"/>
          </w:tcPr>
          <w:p w14:paraId="0F09CDE5" w14:textId="77777777" w:rsidR="001419FB" w:rsidRPr="00682E45" w:rsidRDefault="001419FB">
            <w:pPr>
              <w:pStyle w:val="TableText"/>
              <w:jc w:val="center"/>
            </w:pPr>
            <w:r w:rsidRPr="00682E45">
              <w:t>&gt;10</w:t>
            </w:r>
          </w:p>
        </w:tc>
        <w:tc>
          <w:tcPr>
            <w:tcW w:w="0" w:type="auto"/>
          </w:tcPr>
          <w:p w14:paraId="062C8A7C" w14:textId="77777777" w:rsidR="001419FB" w:rsidRPr="00682E45" w:rsidRDefault="001419FB">
            <w:pPr>
              <w:pStyle w:val="TableText"/>
              <w:jc w:val="center"/>
            </w:pPr>
            <w:r w:rsidRPr="00682E45">
              <w:t>24</w:t>
            </w:r>
          </w:p>
        </w:tc>
        <w:tc>
          <w:tcPr>
            <w:tcW w:w="0" w:type="auto"/>
            <w:vAlign w:val="bottom"/>
          </w:tcPr>
          <w:p w14:paraId="75C964AD" w14:textId="77777777" w:rsidR="001419FB" w:rsidRPr="00682E45" w:rsidRDefault="001419FB">
            <w:pPr>
              <w:pStyle w:val="TableText"/>
              <w:jc w:val="center"/>
            </w:pPr>
            <w:r w:rsidRPr="00682E45">
              <w:t>5.3%</w:t>
            </w:r>
          </w:p>
        </w:tc>
        <w:tc>
          <w:tcPr>
            <w:tcW w:w="0" w:type="auto"/>
            <w:vAlign w:val="bottom"/>
          </w:tcPr>
          <w:p w14:paraId="4A283270" w14:textId="77777777" w:rsidR="001419FB" w:rsidRPr="00D02714" w:rsidRDefault="001419FB">
            <w:pPr>
              <w:pStyle w:val="TableText"/>
              <w:jc w:val="center"/>
            </w:pPr>
            <w:r w:rsidRPr="00D02714">
              <w:t>8.8%</w:t>
            </w:r>
          </w:p>
        </w:tc>
      </w:tr>
      <w:tr w:rsidR="001419FB" w14:paraId="2A17F6BF" w14:textId="77777777" w:rsidTr="00CE3C26">
        <w:trPr>
          <w:cnfStyle w:val="000000010000" w:firstRow="0" w:lastRow="0" w:firstColumn="0" w:lastColumn="0" w:oddVBand="0" w:evenVBand="0" w:oddHBand="0" w:evenHBand="1" w:firstRowFirstColumn="0" w:firstRowLastColumn="0" w:lastRowFirstColumn="0" w:lastRowLastColumn="0"/>
        </w:trPr>
        <w:tc>
          <w:tcPr>
            <w:tcW w:w="0" w:type="auto"/>
          </w:tcPr>
          <w:p w14:paraId="11869068" w14:textId="77777777" w:rsidR="001419FB" w:rsidRDefault="001419FB">
            <w:pPr>
              <w:pStyle w:val="TableText"/>
            </w:pPr>
            <w:r>
              <w:t>Australian Capital Territory</w:t>
            </w:r>
          </w:p>
        </w:tc>
        <w:tc>
          <w:tcPr>
            <w:tcW w:w="0" w:type="auto"/>
          </w:tcPr>
          <w:p w14:paraId="725E9150" w14:textId="77777777" w:rsidR="001419FB" w:rsidRPr="00682E45" w:rsidRDefault="001419FB">
            <w:pPr>
              <w:pStyle w:val="TableText"/>
              <w:jc w:val="center"/>
            </w:pPr>
            <w:r w:rsidRPr="00682E45">
              <w:t>&gt;5</w:t>
            </w:r>
          </w:p>
        </w:tc>
        <w:tc>
          <w:tcPr>
            <w:tcW w:w="0" w:type="auto"/>
          </w:tcPr>
          <w:p w14:paraId="30F9AF5C" w14:textId="77777777" w:rsidR="001419FB" w:rsidRPr="00682E45" w:rsidRDefault="001419FB">
            <w:pPr>
              <w:pStyle w:val="TableText"/>
              <w:jc w:val="center"/>
            </w:pPr>
            <w:r w:rsidRPr="00682E45">
              <w:t>&gt;5</w:t>
            </w:r>
          </w:p>
        </w:tc>
        <w:tc>
          <w:tcPr>
            <w:tcW w:w="0" w:type="auto"/>
          </w:tcPr>
          <w:p w14:paraId="75C93BA7" w14:textId="77777777" w:rsidR="001419FB" w:rsidRPr="00682E45" w:rsidRDefault="001419FB">
            <w:pPr>
              <w:pStyle w:val="TableText"/>
              <w:jc w:val="center"/>
            </w:pPr>
            <w:r w:rsidRPr="00682E45">
              <w:t>&lt;5</w:t>
            </w:r>
          </w:p>
        </w:tc>
        <w:tc>
          <w:tcPr>
            <w:tcW w:w="0" w:type="auto"/>
          </w:tcPr>
          <w:p w14:paraId="440270B3" w14:textId="77777777" w:rsidR="001419FB" w:rsidRPr="00682E45" w:rsidRDefault="001419FB">
            <w:pPr>
              <w:pStyle w:val="TableText"/>
              <w:jc w:val="center"/>
            </w:pPr>
            <w:r w:rsidRPr="00682E45">
              <w:t>16</w:t>
            </w:r>
          </w:p>
        </w:tc>
        <w:tc>
          <w:tcPr>
            <w:tcW w:w="0" w:type="auto"/>
          </w:tcPr>
          <w:p w14:paraId="2CAA66C2" w14:textId="77777777" w:rsidR="001419FB" w:rsidRPr="00682E45" w:rsidRDefault="001419FB">
            <w:pPr>
              <w:pStyle w:val="TableText"/>
              <w:jc w:val="center"/>
            </w:pPr>
            <w:r w:rsidRPr="00682E45">
              <w:t>3.5%</w:t>
            </w:r>
          </w:p>
        </w:tc>
        <w:tc>
          <w:tcPr>
            <w:tcW w:w="0" w:type="auto"/>
          </w:tcPr>
          <w:p w14:paraId="2034F140" w14:textId="77777777" w:rsidR="001419FB" w:rsidRPr="00D02714" w:rsidRDefault="001419FB">
            <w:pPr>
              <w:pStyle w:val="TableText"/>
              <w:jc w:val="center"/>
            </w:pPr>
            <w:r w:rsidRPr="00D02714">
              <w:t>2.6%</w:t>
            </w:r>
          </w:p>
        </w:tc>
      </w:tr>
      <w:tr w:rsidR="001419FB" w14:paraId="395A439D"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tcPr>
          <w:p w14:paraId="7461D6B3" w14:textId="77777777" w:rsidR="001419FB" w:rsidRDefault="001419FB">
            <w:pPr>
              <w:pStyle w:val="TableText"/>
            </w:pPr>
            <w:r>
              <w:t>Northern Territory</w:t>
            </w:r>
          </w:p>
        </w:tc>
        <w:tc>
          <w:tcPr>
            <w:tcW w:w="0" w:type="auto"/>
          </w:tcPr>
          <w:p w14:paraId="68767EA5" w14:textId="77777777" w:rsidR="001419FB" w:rsidRPr="00682E45" w:rsidRDefault="001419FB">
            <w:pPr>
              <w:pStyle w:val="TableText"/>
              <w:jc w:val="center"/>
            </w:pPr>
            <w:r w:rsidRPr="00682E45">
              <w:t>0</w:t>
            </w:r>
          </w:p>
        </w:tc>
        <w:tc>
          <w:tcPr>
            <w:tcW w:w="0" w:type="auto"/>
          </w:tcPr>
          <w:p w14:paraId="24E57641" w14:textId="77777777" w:rsidR="001419FB" w:rsidRPr="00682E45" w:rsidRDefault="001419FB">
            <w:pPr>
              <w:pStyle w:val="TableText"/>
              <w:jc w:val="center"/>
            </w:pPr>
            <w:r w:rsidRPr="00682E45">
              <w:t>0</w:t>
            </w:r>
          </w:p>
        </w:tc>
        <w:tc>
          <w:tcPr>
            <w:tcW w:w="0" w:type="auto"/>
          </w:tcPr>
          <w:p w14:paraId="11F66E30" w14:textId="77777777" w:rsidR="001419FB" w:rsidRPr="00682E45" w:rsidRDefault="001419FB">
            <w:pPr>
              <w:pStyle w:val="TableText"/>
              <w:jc w:val="center"/>
            </w:pPr>
            <w:r w:rsidRPr="00682E45">
              <w:t>0</w:t>
            </w:r>
          </w:p>
        </w:tc>
        <w:tc>
          <w:tcPr>
            <w:tcW w:w="0" w:type="auto"/>
          </w:tcPr>
          <w:p w14:paraId="35EDE15C" w14:textId="77777777" w:rsidR="001419FB" w:rsidRPr="00682E45" w:rsidRDefault="001419FB">
            <w:pPr>
              <w:pStyle w:val="TableText"/>
              <w:jc w:val="center"/>
            </w:pPr>
            <w:r w:rsidRPr="00682E45">
              <w:t>0</w:t>
            </w:r>
          </w:p>
        </w:tc>
        <w:tc>
          <w:tcPr>
            <w:tcW w:w="0" w:type="auto"/>
          </w:tcPr>
          <w:p w14:paraId="01EB4990" w14:textId="77777777" w:rsidR="001419FB" w:rsidRPr="00682E45" w:rsidRDefault="001419FB">
            <w:pPr>
              <w:pStyle w:val="TableText"/>
              <w:jc w:val="center"/>
            </w:pPr>
            <w:r w:rsidRPr="00682E45">
              <w:t>0.0%</w:t>
            </w:r>
          </w:p>
        </w:tc>
        <w:tc>
          <w:tcPr>
            <w:tcW w:w="0" w:type="auto"/>
          </w:tcPr>
          <w:p w14:paraId="3A71C333" w14:textId="77777777" w:rsidR="001419FB" w:rsidRPr="00D02714" w:rsidRDefault="001419FB">
            <w:pPr>
              <w:pStyle w:val="TableText"/>
              <w:jc w:val="center"/>
            </w:pPr>
            <w:r w:rsidRPr="00D02714">
              <w:t>1.0%</w:t>
            </w:r>
          </w:p>
        </w:tc>
      </w:tr>
      <w:tr w:rsidR="001419FB" w14:paraId="31DF9419" w14:textId="77777777" w:rsidTr="00CE3C26">
        <w:trPr>
          <w:cnfStyle w:val="000000010000" w:firstRow="0" w:lastRow="0" w:firstColumn="0" w:lastColumn="0" w:oddVBand="0" w:evenVBand="0" w:oddHBand="0" w:evenHBand="1" w:firstRowFirstColumn="0" w:firstRowLastColumn="0" w:lastRowFirstColumn="0" w:lastRowLastColumn="0"/>
        </w:trPr>
        <w:tc>
          <w:tcPr>
            <w:tcW w:w="0" w:type="auto"/>
          </w:tcPr>
          <w:p w14:paraId="56E09E79" w14:textId="77777777" w:rsidR="001419FB" w:rsidRDefault="001419FB">
            <w:pPr>
              <w:pStyle w:val="TableText"/>
            </w:pPr>
            <w:r>
              <w:t>Tasmania</w:t>
            </w:r>
          </w:p>
        </w:tc>
        <w:tc>
          <w:tcPr>
            <w:tcW w:w="0" w:type="auto"/>
          </w:tcPr>
          <w:p w14:paraId="022C69E4" w14:textId="77777777" w:rsidR="001419FB" w:rsidRPr="00682E45" w:rsidRDefault="001419FB">
            <w:pPr>
              <w:pStyle w:val="TableText"/>
              <w:jc w:val="center"/>
            </w:pPr>
            <w:r w:rsidRPr="00682E45">
              <w:t>15</w:t>
            </w:r>
          </w:p>
        </w:tc>
        <w:tc>
          <w:tcPr>
            <w:tcW w:w="0" w:type="auto"/>
          </w:tcPr>
          <w:p w14:paraId="7CE712D0" w14:textId="77777777" w:rsidR="001419FB" w:rsidRPr="00682E45" w:rsidRDefault="001419FB">
            <w:pPr>
              <w:pStyle w:val="TableText"/>
              <w:jc w:val="center"/>
            </w:pPr>
            <w:r w:rsidRPr="00682E45">
              <w:t>&lt;5</w:t>
            </w:r>
          </w:p>
        </w:tc>
        <w:tc>
          <w:tcPr>
            <w:tcW w:w="0" w:type="auto"/>
          </w:tcPr>
          <w:p w14:paraId="47C99E3D" w14:textId="77777777" w:rsidR="001419FB" w:rsidRPr="00682E45" w:rsidRDefault="001419FB">
            <w:pPr>
              <w:pStyle w:val="TableText"/>
              <w:jc w:val="center"/>
            </w:pPr>
            <w:r w:rsidRPr="00682E45">
              <w:t>&lt;5</w:t>
            </w:r>
          </w:p>
        </w:tc>
        <w:tc>
          <w:tcPr>
            <w:tcW w:w="0" w:type="auto"/>
          </w:tcPr>
          <w:p w14:paraId="1CC8717D" w14:textId="77777777" w:rsidR="001419FB" w:rsidRPr="00682E45" w:rsidRDefault="001419FB">
            <w:pPr>
              <w:pStyle w:val="TableText"/>
              <w:jc w:val="center"/>
            </w:pPr>
            <w:r w:rsidRPr="00682E45">
              <w:t>19</w:t>
            </w:r>
          </w:p>
        </w:tc>
        <w:tc>
          <w:tcPr>
            <w:tcW w:w="0" w:type="auto"/>
          </w:tcPr>
          <w:p w14:paraId="50B68E64" w14:textId="77777777" w:rsidR="001419FB" w:rsidRPr="00682E45" w:rsidRDefault="001419FB">
            <w:pPr>
              <w:pStyle w:val="TableText"/>
              <w:jc w:val="center"/>
            </w:pPr>
            <w:r w:rsidRPr="00682E45">
              <w:t>4.2%</w:t>
            </w:r>
          </w:p>
        </w:tc>
        <w:tc>
          <w:tcPr>
            <w:tcW w:w="0" w:type="auto"/>
          </w:tcPr>
          <w:p w14:paraId="06818532" w14:textId="77777777" w:rsidR="001419FB" w:rsidRPr="00D02714" w:rsidRDefault="001419FB">
            <w:pPr>
              <w:pStyle w:val="TableText"/>
              <w:jc w:val="center"/>
            </w:pPr>
            <w:r w:rsidRPr="00D02714">
              <w:t>0.3%</w:t>
            </w:r>
          </w:p>
        </w:tc>
      </w:tr>
      <w:tr w:rsidR="001419FB" w:rsidRPr="00867C35" w14:paraId="55678B76"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shd w:val="clear" w:color="auto" w:fill="DCDCDF" w:themeFill="text2" w:themeFillTint="33"/>
          </w:tcPr>
          <w:p w14:paraId="6941611D" w14:textId="77777777" w:rsidR="001419FB" w:rsidRPr="00867C35" w:rsidRDefault="001419FB">
            <w:pPr>
              <w:spacing w:before="0" w:after="0"/>
              <w:rPr>
                <w:rFonts w:asciiTheme="majorHAnsi" w:hAnsiTheme="majorHAnsi"/>
              </w:rPr>
            </w:pPr>
            <w:r w:rsidRPr="00867C35">
              <w:rPr>
                <w:rFonts w:asciiTheme="majorHAnsi" w:hAnsiTheme="majorHAnsi" w:cs="Arial"/>
                <w:color w:val="000000"/>
                <w:szCs w:val="20"/>
                <w:lang w:eastAsia="en-AU"/>
              </w:rPr>
              <w:t>Total</w:t>
            </w:r>
          </w:p>
        </w:tc>
        <w:tc>
          <w:tcPr>
            <w:tcW w:w="0" w:type="auto"/>
            <w:shd w:val="clear" w:color="auto" w:fill="DCDCDF" w:themeFill="text2" w:themeFillTint="33"/>
          </w:tcPr>
          <w:p w14:paraId="0C37942B" w14:textId="77777777" w:rsidR="001419FB" w:rsidRPr="00867C35" w:rsidRDefault="001419FB">
            <w:pPr>
              <w:pStyle w:val="TableText"/>
              <w:jc w:val="center"/>
              <w:rPr>
                <w:rFonts w:asciiTheme="majorHAnsi" w:hAnsiTheme="majorHAnsi"/>
              </w:rPr>
            </w:pPr>
            <w:r>
              <w:rPr>
                <w:rFonts w:asciiTheme="majorHAnsi" w:hAnsiTheme="majorHAnsi"/>
              </w:rPr>
              <w:t>145</w:t>
            </w:r>
          </w:p>
        </w:tc>
        <w:tc>
          <w:tcPr>
            <w:tcW w:w="0" w:type="auto"/>
            <w:shd w:val="clear" w:color="auto" w:fill="DCDCDF" w:themeFill="text2" w:themeFillTint="33"/>
          </w:tcPr>
          <w:p w14:paraId="4B3BE80C" w14:textId="77777777" w:rsidR="001419FB" w:rsidRPr="00867C35" w:rsidRDefault="001419FB">
            <w:pPr>
              <w:pStyle w:val="TableText"/>
              <w:jc w:val="center"/>
              <w:rPr>
                <w:rFonts w:asciiTheme="majorHAnsi" w:hAnsiTheme="majorHAnsi"/>
              </w:rPr>
            </w:pPr>
            <w:r>
              <w:rPr>
                <w:rFonts w:asciiTheme="majorHAnsi" w:hAnsiTheme="majorHAnsi"/>
              </w:rPr>
              <w:t>155</w:t>
            </w:r>
          </w:p>
        </w:tc>
        <w:tc>
          <w:tcPr>
            <w:tcW w:w="0" w:type="auto"/>
            <w:shd w:val="clear" w:color="auto" w:fill="DCDCDF" w:themeFill="text2" w:themeFillTint="33"/>
          </w:tcPr>
          <w:p w14:paraId="5441F790" w14:textId="77777777" w:rsidR="001419FB" w:rsidRPr="00867C35" w:rsidRDefault="001419FB">
            <w:pPr>
              <w:pStyle w:val="TableText"/>
              <w:jc w:val="center"/>
              <w:rPr>
                <w:rFonts w:asciiTheme="majorHAnsi" w:hAnsiTheme="majorHAnsi"/>
              </w:rPr>
            </w:pPr>
            <w:r>
              <w:rPr>
                <w:rFonts w:asciiTheme="majorHAnsi" w:hAnsiTheme="majorHAnsi"/>
              </w:rPr>
              <w:t>154</w:t>
            </w:r>
          </w:p>
        </w:tc>
        <w:tc>
          <w:tcPr>
            <w:tcW w:w="0" w:type="auto"/>
            <w:shd w:val="clear" w:color="auto" w:fill="DCDCDF" w:themeFill="text2" w:themeFillTint="33"/>
          </w:tcPr>
          <w:p w14:paraId="01C33C0A" w14:textId="77777777" w:rsidR="001419FB" w:rsidRPr="00867C35" w:rsidRDefault="001419FB">
            <w:pPr>
              <w:pStyle w:val="TableText"/>
              <w:jc w:val="center"/>
              <w:rPr>
                <w:rFonts w:asciiTheme="majorHAnsi" w:hAnsiTheme="majorHAnsi"/>
              </w:rPr>
            </w:pPr>
            <w:r>
              <w:rPr>
                <w:rFonts w:asciiTheme="majorHAnsi" w:hAnsiTheme="majorHAnsi"/>
              </w:rPr>
              <w:t>454</w:t>
            </w:r>
          </w:p>
        </w:tc>
        <w:tc>
          <w:tcPr>
            <w:tcW w:w="0" w:type="auto"/>
            <w:shd w:val="clear" w:color="auto" w:fill="DCDCDF" w:themeFill="text2" w:themeFillTint="33"/>
          </w:tcPr>
          <w:p w14:paraId="39E2EE40" w14:textId="77777777" w:rsidR="001419FB" w:rsidRPr="00867C35" w:rsidRDefault="001419FB">
            <w:pPr>
              <w:spacing w:before="0" w:after="0"/>
              <w:jc w:val="center"/>
              <w:rPr>
                <w:rFonts w:asciiTheme="majorHAnsi" w:hAnsiTheme="majorHAnsi"/>
              </w:rPr>
            </w:pPr>
            <w:r w:rsidRPr="00867C35">
              <w:rPr>
                <w:rFonts w:asciiTheme="majorHAnsi" w:hAnsiTheme="majorHAnsi" w:cs="Arial"/>
                <w:szCs w:val="20"/>
                <w:lang w:eastAsia="en-AU"/>
              </w:rPr>
              <w:t>100.0%</w:t>
            </w:r>
          </w:p>
        </w:tc>
        <w:tc>
          <w:tcPr>
            <w:tcW w:w="0" w:type="auto"/>
            <w:shd w:val="clear" w:color="auto" w:fill="DCDCDF" w:themeFill="text2" w:themeFillTint="33"/>
          </w:tcPr>
          <w:p w14:paraId="51DAE3F2" w14:textId="77777777" w:rsidR="001419FB" w:rsidRPr="00867C35" w:rsidRDefault="001419FB">
            <w:pPr>
              <w:spacing w:before="0" w:after="0"/>
              <w:jc w:val="center"/>
              <w:rPr>
                <w:rFonts w:asciiTheme="majorHAnsi" w:hAnsiTheme="majorHAnsi" w:cs="Arial"/>
                <w:szCs w:val="20"/>
                <w:lang w:eastAsia="en-AU"/>
              </w:rPr>
            </w:pPr>
            <w:r>
              <w:rPr>
                <w:rFonts w:asciiTheme="majorHAnsi" w:hAnsiTheme="majorHAnsi" w:cs="Arial"/>
                <w:szCs w:val="20"/>
                <w:lang w:eastAsia="en-AU"/>
              </w:rPr>
              <w:t>100.0%</w:t>
            </w:r>
          </w:p>
        </w:tc>
      </w:tr>
    </w:tbl>
    <w:p w14:paraId="005E11D3" w14:textId="6EEDBE42" w:rsidR="001419FB" w:rsidRDefault="001419FB" w:rsidP="001419FB">
      <w:pPr>
        <w:pStyle w:val="Tablenotes"/>
      </w:pPr>
      <w:r w:rsidRPr="00362F97">
        <w:t xml:space="preserve">Source: </w:t>
      </w:r>
      <w:r>
        <w:t>PACOP</w:t>
      </w:r>
      <w:r w:rsidRPr="00362F97">
        <w:t xml:space="preserve"> program data provided by </w:t>
      </w:r>
      <w:r>
        <w:t>the University of Wollongong</w:t>
      </w:r>
      <w:r w:rsidRPr="00362F97">
        <w:t>, September 2025, GEN Aged Care data 202</w:t>
      </w:r>
      <w:r>
        <w:t>5</w:t>
      </w:r>
      <w:r w:rsidRPr="00362F97">
        <w:t>.</w:t>
      </w:r>
    </w:p>
    <w:p w14:paraId="33DE8AF8" w14:textId="73DD9FA2" w:rsidR="001419FB" w:rsidRDefault="00066E55" w:rsidP="001419FB">
      <w:r>
        <w:fldChar w:fldCharType="begin"/>
      </w:r>
      <w:r>
        <w:instrText xml:space="preserve"> REF _Ref216193536 \h </w:instrText>
      </w:r>
      <w:r>
        <w:fldChar w:fldCharType="separate"/>
      </w:r>
      <w:r w:rsidR="00167BA0">
        <w:t xml:space="preserve">Table </w:t>
      </w:r>
      <w:r w:rsidR="00167BA0">
        <w:rPr>
          <w:noProof/>
        </w:rPr>
        <w:t>9</w:t>
      </w:r>
      <w:r w:rsidR="00167BA0">
        <w:t>.</w:t>
      </w:r>
      <w:r w:rsidR="00167BA0">
        <w:rPr>
          <w:noProof/>
        </w:rPr>
        <w:t>22</w:t>
      </w:r>
      <w:r>
        <w:fldChar w:fldCharType="end"/>
      </w:r>
      <w:r w:rsidR="001B7CE2">
        <w:t xml:space="preserve"> shows the dis</w:t>
      </w:r>
      <w:r w:rsidR="00E42474">
        <w:t>tribution of participating homes by remoteness and financial year</w:t>
      </w:r>
    </w:p>
    <w:p w14:paraId="7B86123A" w14:textId="314EF602" w:rsidR="001419FB" w:rsidRDefault="001419FB" w:rsidP="001419FB">
      <w:pPr>
        <w:pStyle w:val="Caption"/>
      </w:pPr>
      <w:bookmarkStart w:id="213" w:name="_Ref216193536"/>
      <w:r>
        <w:t xml:space="preserve">Table </w:t>
      </w:r>
      <w:fldSimple w:instr=" STYLEREF 1 \s ">
        <w:r w:rsidR="0091457A">
          <w:rPr>
            <w:noProof/>
          </w:rPr>
          <w:t>9</w:t>
        </w:r>
      </w:fldSimple>
      <w:r w:rsidR="0091457A">
        <w:t>.</w:t>
      </w:r>
      <w:fldSimple w:instr=" SEQ Table \* ARABIC \s 1 ">
        <w:r w:rsidR="0091457A">
          <w:rPr>
            <w:noProof/>
          </w:rPr>
          <w:t>22</w:t>
        </w:r>
      </w:fldSimple>
      <w:bookmarkEnd w:id="213"/>
      <w:r>
        <w:t>: Remoteness of aged care homes</w:t>
      </w:r>
      <w:r w:rsidRPr="001F61AF">
        <w:t xml:space="preserve"> </w:t>
      </w:r>
      <w:r>
        <w:t xml:space="preserve">participating in PACOP </w:t>
      </w:r>
      <w:r w:rsidRPr="001F61AF">
        <w:t>by financial year</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Distribution of homes participating in PACOP"/>
        <w:tblDescription w:val="Table shows distribution of participating homes by remoteness across four financial years from 2022-23 to 2024-25"/>
      </w:tblPr>
      <w:tblGrid>
        <w:gridCol w:w="1016"/>
        <w:gridCol w:w="991"/>
        <w:gridCol w:w="991"/>
        <w:gridCol w:w="991"/>
        <w:gridCol w:w="713"/>
        <w:gridCol w:w="842"/>
        <w:gridCol w:w="1569"/>
      </w:tblGrid>
      <w:tr w:rsidR="001419FB" w14:paraId="2DE7A44C" w14:textId="77777777" w:rsidTr="00BC37A7">
        <w:trPr>
          <w:cnfStyle w:val="100000000000" w:firstRow="1" w:lastRow="0" w:firstColumn="0" w:lastColumn="0" w:oddVBand="0" w:evenVBand="0" w:oddHBand="0" w:evenHBand="0" w:firstRowFirstColumn="0" w:firstRowLastColumn="0" w:lastRowFirstColumn="0" w:lastRowLastColumn="0"/>
          <w:tblHeader/>
        </w:trPr>
        <w:tc>
          <w:tcPr>
            <w:tcW w:w="1016" w:type="dxa"/>
          </w:tcPr>
          <w:p w14:paraId="617623E5" w14:textId="77777777" w:rsidR="001419FB" w:rsidRDefault="001419FB">
            <w:pPr>
              <w:spacing w:before="0" w:after="0"/>
            </w:pPr>
            <w:r>
              <w:t>MM</w:t>
            </w:r>
          </w:p>
        </w:tc>
        <w:tc>
          <w:tcPr>
            <w:tcW w:w="0" w:type="auto"/>
          </w:tcPr>
          <w:p w14:paraId="0C4BE688" w14:textId="77777777" w:rsidR="001419FB" w:rsidRDefault="001419FB">
            <w:pPr>
              <w:spacing w:before="0" w:after="0"/>
              <w:jc w:val="center"/>
            </w:pPr>
            <w:r w:rsidRPr="004D646B">
              <w:t>2022</w:t>
            </w:r>
            <w:r>
              <w:rPr>
                <w:caps w:val="0"/>
              </w:rPr>
              <w:t>–</w:t>
            </w:r>
            <w:r w:rsidRPr="004D646B">
              <w:t>23</w:t>
            </w:r>
          </w:p>
        </w:tc>
        <w:tc>
          <w:tcPr>
            <w:tcW w:w="0" w:type="auto"/>
          </w:tcPr>
          <w:p w14:paraId="56D796D1" w14:textId="77777777" w:rsidR="001419FB" w:rsidRDefault="001419FB">
            <w:pPr>
              <w:spacing w:before="0" w:after="0"/>
              <w:jc w:val="center"/>
            </w:pPr>
            <w:r w:rsidRPr="004D646B">
              <w:t>2023</w:t>
            </w:r>
            <w:r>
              <w:rPr>
                <w:caps w:val="0"/>
              </w:rPr>
              <w:t>–</w:t>
            </w:r>
            <w:r w:rsidRPr="004D646B">
              <w:t>24</w:t>
            </w:r>
          </w:p>
        </w:tc>
        <w:tc>
          <w:tcPr>
            <w:tcW w:w="0" w:type="auto"/>
          </w:tcPr>
          <w:p w14:paraId="27C1BE99" w14:textId="77777777" w:rsidR="001419FB" w:rsidRDefault="001419FB">
            <w:pPr>
              <w:spacing w:before="0" w:after="0"/>
              <w:jc w:val="center"/>
            </w:pPr>
            <w:r w:rsidRPr="004D646B">
              <w:t>2024</w:t>
            </w:r>
            <w:r>
              <w:rPr>
                <w:caps w:val="0"/>
              </w:rPr>
              <w:t>–</w:t>
            </w:r>
            <w:r w:rsidRPr="004D646B">
              <w:t>25</w:t>
            </w:r>
          </w:p>
        </w:tc>
        <w:tc>
          <w:tcPr>
            <w:tcW w:w="0" w:type="auto"/>
          </w:tcPr>
          <w:p w14:paraId="4EB9B1EC" w14:textId="77777777" w:rsidR="001419FB" w:rsidRDefault="001419FB">
            <w:pPr>
              <w:spacing w:before="0" w:after="0"/>
              <w:jc w:val="center"/>
            </w:pPr>
            <w:r w:rsidRPr="004D646B">
              <w:t>Total</w:t>
            </w:r>
          </w:p>
        </w:tc>
        <w:tc>
          <w:tcPr>
            <w:tcW w:w="0" w:type="auto"/>
          </w:tcPr>
          <w:p w14:paraId="44EB895E" w14:textId="77777777" w:rsidR="001419FB" w:rsidRDefault="001419FB">
            <w:pPr>
              <w:spacing w:before="0" w:after="0"/>
              <w:jc w:val="center"/>
            </w:pPr>
            <w:r w:rsidRPr="004D646B">
              <w:t>%</w:t>
            </w:r>
          </w:p>
        </w:tc>
        <w:tc>
          <w:tcPr>
            <w:tcW w:w="0" w:type="auto"/>
          </w:tcPr>
          <w:p w14:paraId="1B01C4CD" w14:textId="77777777" w:rsidR="001419FB" w:rsidRPr="004D646B" w:rsidRDefault="001419FB">
            <w:pPr>
              <w:spacing w:before="0" w:after="0"/>
              <w:jc w:val="center"/>
            </w:pPr>
            <w:r>
              <w:t>National data</w:t>
            </w:r>
          </w:p>
        </w:tc>
      </w:tr>
      <w:tr w:rsidR="001419FB" w14:paraId="56742342" w14:textId="77777777" w:rsidTr="00BC37A7">
        <w:trPr>
          <w:cnfStyle w:val="000000100000" w:firstRow="0" w:lastRow="0" w:firstColumn="0" w:lastColumn="0" w:oddVBand="0" w:evenVBand="0" w:oddHBand="1" w:evenHBand="0" w:firstRowFirstColumn="0" w:firstRowLastColumn="0" w:lastRowFirstColumn="0" w:lastRowLastColumn="0"/>
        </w:trPr>
        <w:tc>
          <w:tcPr>
            <w:tcW w:w="1016" w:type="dxa"/>
          </w:tcPr>
          <w:p w14:paraId="2A96B773" w14:textId="77777777" w:rsidR="001419FB" w:rsidRPr="00703468" w:rsidRDefault="001419FB">
            <w:pPr>
              <w:pStyle w:val="TableText"/>
            </w:pPr>
            <w:r w:rsidRPr="00703468">
              <w:t>MM1</w:t>
            </w:r>
            <w:r>
              <w:t xml:space="preserve">–2 </w:t>
            </w:r>
          </w:p>
        </w:tc>
        <w:tc>
          <w:tcPr>
            <w:tcW w:w="0" w:type="auto"/>
          </w:tcPr>
          <w:p w14:paraId="73088753" w14:textId="77777777" w:rsidR="001419FB" w:rsidRPr="0030363A" w:rsidRDefault="001419FB">
            <w:pPr>
              <w:pStyle w:val="TableText"/>
              <w:jc w:val="center"/>
            </w:pPr>
            <w:r w:rsidRPr="0030363A">
              <w:t>96</w:t>
            </w:r>
          </w:p>
        </w:tc>
        <w:tc>
          <w:tcPr>
            <w:tcW w:w="0" w:type="auto"/>
          </w:tcPr>
          <w:p w14:paraId="293C5F1C" w14:textId="77777777" w:rsidR="001419FB" w:rsidRPr="0030363A" w:rsidRDefault="001419FB">
            <w:pPr>
              <w:pStyle w:val="TableText"/>
              <w:jc w:val="center"/>
            </w:pPr>
            <w:r w:rsidRPr="0030363A">
              <w:t>113</w:t>
            </w:r>
          </w:p>
        </w:tc>
        <w:tc>
          <w:tcPr>
            <w:tcW w:w="0" w:type="auto"/>
          </w:tcPr>
          <w:p w14:paraId="0C1974A4" w14:textId="77777777" w:rsidR="001419FB" w:rsidRPr="0030363A" w:rsidRDefault="001419FB">
            <w:pPr>
              <w:pStyle w:val="TableText"/>
              <w:jc w:val="center"/>
            </w:pPr>
            <w:r w:rsidRPr="0030363A">
              <w:t>121</w:t>
            </w:r>
          </w:p>
        </w:tc>
        <w:tc>
          <w:tcPr>
            <w:tcW w:w="0" w:type="auto"/>
          </w:tcPr>
          <w:p w14:paraId="479C6549" w14:textId="77777777" w:rsidR="001419FB" w:rsidRPr="0030363A" w:rsidRDefault="001419FB">
            <w:pPr>
              <w:pStyle w:val="TableText"/>
              <w:jc w:val="center"/>
            </w:pPr>
            <w:r w:rsidRPr="0030363A">
              <w:t>330</w:t>
            </w:r>
          </w:p>
        </w:tc>
        <w:tc>
          <w:tcPr>
            <w:tcW w:w="0" w:type="auto"/>
          </w:tcPr>
          <w:p w14:paraId="55E673B7" w14:textId="77777777" w:rsidR="001419FB" w:rsidRPr="009A62BC" w:rsidRDefault="001419FB">
            <w:pPr>
              <w:pStyle w:val="TableText"/>
              <w:jc w:val="center"/>
            </w:pPr>
            <w:r>
              <w:t>72.7%</w:t>
            </w:r>
          </w:p>
        </w:tc>
        <w:tc>
          <w:tcPr>
            <w:tcW w:w="0" w:type="auto"/>
          </w:tcPr>
          <w:p w14:paraId="04F2174A" w14:textId="77777777" w:rsidR="001419FB" w:rsidRPr="009A62BC" w:rsidRDefault="001419FB">
            <w:pPr>
              <w:pStyle w:val="TableText"/>
              <w:jc w:val="center"/>
            </w:pPr>
            <w:r>
              <w:t>71.4%</w:t>
            </w:r>
          </w:p>
        </w:tc>
      </w:tr>
      <w:tr w:rsidR="001419FB" w14:paraId="01DFBD62" w14:textId="77777777" w:rsidTr="00BC37A7">
        <w:trPr>
          <w:cnfStyle w:val="000000010000" w:firstRow="0" w:lastRow="0" w:firstColumn="0" w:lastColumn="0" w:oddVBand="0" w:evenVBand="0" w:oddHBand="0" w:evenHBand="1" w:firstRowFirstColumn="0" w:firstRowLastColumn="0" w:lastRowFirstColumn="0" w:lastRowLastColumn="0"/>
        </w:trPr>
        <w:tc>
          <w:tcPr>
            <w:tcW w:w="1016" w:type="dxa"/>
          </w:tcPr>
          <w:p w14:paraId="40798FB7" w14:textId="77777777" w:rsidR="001419FB" w:rsidRPr="00703468" w:rsidRDefault="001419FB">
            <w:pPr>
              <w:pStyle w:val="TableText"/>
            </w:pPr>
            <w:r w:rsidRPr="00703468">
              <w:t>MM</w:t>
            </w:r>
            <w:r>
              <w:t xml:space="preserve">3–7 </w:t>
            </w:r>
          </w:p>
        </w:tc>
        <w:tc>
          <w:tcPr>
            <w:tcW w:w="0" w:type="auto"/>
          </w:tcPr>
          <w:p w14:paraId="128B392C" w14:textId="77777777" w:rsidR="001419FB" w:rsidRPr="0030363A" w:rsidRDefault="001419FB">
            <w:pPr>
              <w:pStyle w:val="TableText"/>
              <w:jc w:val="center"/>
            </w:pPr>
            <w:r w:rsidRPr="0030363A">
              <w:t>49</w:t>
            </w:r>
          </w:p>
        </w:tc>
        <w:tc>
          <w:tcPr>
            <w:tcW w:w="0" w:type="auto"/>
          </w:tcPr>
          <w:p w14:paraId="021D10B9" w14:textId="77777777" w:rsidR="001419FB" w:rsidRPr="0030363A" w:rsidRDefault="001419FB">
            <w:pPr>
              <w:pStyle w:val="TableText"/>
              <w:jc w:val="center"/>
            </w:pPr>
            <w:r w:rsidRPr="0030363A">
              <w:t>42</w:t>
            </w:r>
          </w:p>
        </w:tc>
        <w:tc>
          <w:tcPr>
            <w:tcW w:w="0" w:type="auto"/>
          </w:tcPr>
          <w:p w14:paraId="3017447A" w14:textId="77777777" w:rsidR="001419FB" w:rsidRPr="0030363A" w:rsidRDefault="001419FB">
            <w:pPr>
              <w:pStyle w:val="TableText"/>
              <w:jc w:val="center"/>
            </w:pPr>
            <w:r w:rsidRPr="0030363A">
              <w:t>33</w:t>
            </w:r>
          </w:p>
        </w:tc>
        <w:tc>
          <w:tcPr>
            <w:tcW w:w="0" w:type="auto"/>
          </w:tcPr>
          <w:p w14:paraId="07AAC9CD" w14:textId="77777777" w:rsidR="001419FB" w:rsidRPr="0030363A" w:rsidRDefault="001419FB">
            <w:pPr>
              <w:pStyle w:val="TableText"/>
              <w:jc w:val="center"/>
            </w:pPr>
            <w:r w:rsidRPr="0030363A">
              <w:t>124</w:t>
            </w:r>
          </w:p>
        </w:tc>
        <w:tc>
          <w:tcPr>
            <w:tcW w:w="0" w:type="auto"/>
          </w:tcPr>
          <w:p w14:paraId="3E0C80E9" w14:textId="77777777" w:rsidR="001419FB" w:rsidRPr="009A62BC" w:rsidRDefault="001419FB">
            <w:pPr>
              <w:pStyle w:val="TableText"/>
              <w:jc w:val="center"/>
            </w:pPr>
            <w:r>
              <w:t>27.3%</w:t>
            </w:r>
          </w:p>
        </w:tc>
        <w:tc>
          <w:tcPr>
            <w:tcW w:w="0" w:type="auto"/>
          </w:tcPr>
          <w:p w14:paraId="00BA3068" w14:textId="77777777" w:rsidR="001419FB" w:rsidRPr="009A62BC" w:rsidRDefault="001419FB">
            <w:pPr>
              <w:pStyle w:val="TableText"/>
              <w:jc w:val="center"/>
            </w:pPr>
            <w:r>
              <w:t>28.7%</w:t>
            </w:r>
          </w:p>
        </w:tc>
      </w:tr>
      <w:tr w:rsidR="001419FB" w14:paraId="68DDB59A" w14:textId="77777777" w:rsidTr="00BC37A7">
        <w:trPr>
          <w:cnfStyle w:val="000000100000" w:firstRow="0" w:lastRow="0" w:firstColumn="0" w:lastColumn="0" w:oddVBand="0" w:evenVBand="0" w:oddHBand="1" w:evenHBand="0" w:firstRowFirstColumn="0" w:firstRowLastColumn="0" w:lastRowFirstColumn="0" w:lastRowLastColumn="0"/>
        </w:trPr>
        <w:tc>
          <w:tcPr>
            <w:tcW w:w="1016" w:type="dxa"/>
            <w:shd w:val="clear" w:color="auto" w:fill="DCDCDF" w:themeFill="text2" w:themeFillTint="33"/>
          </w:tcPr>
          <w:p w14:paraId="7F710388" w14:textId="77777777" w:rsidR="001419FB" w:rsidRDefault="001419FB">
            <w:pPr>
              <w:spacing w:before="0" w:after="0"/>
            </w:pPr>
            <w:r w:rsidRPr="00867C35">
              <w:rPr>
                <w:rFonts w:asciiTheme="majorHAnsi" w:hAnsiTheme="majorHAnsi" w:cs="Arial"/>
                <w:color w:val="000000"/>
                <w:szCs w:val="20"/>
                <w:lang w:eastAsia="en-AU"/>
              </w:rPr>
              <w:t>Total</w:t>
            </w:r>
          </w:p>
        </w:tc>
        <w:tc>
          <w:tcPr>
            <w:tcW w:w="0" w:type="auto"/>
            <w:shd w:val="clear" w:color="auto" w:fill="DCDCDF" w:themeFill="text2" w:themeFillTint="33"/>
          </w:tcPr>
          <w:p w14:paraId="2DA1872E" w14:textId="77777777" w:rsidR="001419FB" w:rsidRDefault="001419FB">
            <w:pPr>
              <w:spacing w:before="0" w:after="0"/>
              <w:jc w:val="center"/>
            </w:pPr>
            <w:r>
              <w:rPr>
                <w:rFonts w:asciiTheme="majorHAnsi" w:hAnsiTheme="majorHAnsi"/>
              </w:rPr>
              <w:t>145</w:t>
            </w:r>
          </w:p>
        </w:tc>
        <w:tc>
          <w:tcPr>
            <w:tcW w:w="0" w:type="auto"/>
            <w:shd w:val="clear" w:color="auto" w:fill="DCDCDF" w:themeFill="text2" w:themeFillTint="33"/>
          </w:tcPr>
          <w:p w14:paraId="28CBCA4D" w14:textId="77777777" w:rsidR="001419FB" w:rsidRDefault="001419FB">
            <w:pPr>
              <w:spacing w:before="0" w:after="0"/>
              <w:jc w:val="center"/>
            </w:pPr>
            <w:r>
              <w:rPr>
                <w:rFonts w:asciiTheme="majorHAnsi" w:hAnsiTheme="majorHAnsi"/>
              </w:rPr>
              <w:t>155</w:t>
            </w:r>
          </w:p>
        </w:tc>
        <w:tc>
          <w:tcPr>
            <w:tcW w:w="0" w:type="auto"/>
            <w:shd w:val="clear" w:color="auto" w:fill="DCDCDF" w:themeFill="text2" w:themeFillTint="33"/>
          </w:tcPr>
          <w:p w14:paraId="2D1CB69A" w14:textId="77777777" w:rsidR="001419FB" w:rsidRDefault="001419FB">
            <w:pPr>
              <w:spacing w:before="0" w:after="0"/>
              <w:jc w:val="center"/>
            </w:pPr>
            <w:r>
              <w:rPr>
                <w:rFonts w:asciiTheme="majorHAnsi" w:hAnsiTheme="majorHAnsi"/>
              </w:rPr>
              <w:t>154</w:t>
            </w:r>
          </w:p>
        </w:tc>
        <w:tc>
          <w:tcPr>
            <w:tcW w:w="0" w:type="auto"/>
            <w:shd w:val="clear" w:color="auto" w:fill="DCDCDF" w:themeFill="text2" w:themeFillTint="33"/>
          </w:tcPr>
          <w:p w14:paraId="4196087D" w14:textId="77777777" w:rsidR="001419FB" w:rsidRDefault="001419FB">
            <w:pPr>
              <w:spacing w:before="0" w:after="0"/>
              <w:jc w:val="center"/>
            </w:pPr>
            <w:r>
              <w:rPr>
                <w:rFonts w:asciiTheme="majorHAnsi" w:hAnsiTheme="majorHAnsi"/>
              </w:rPr>
              <w:t>454</w:t>
            </w:r>
          </w:p>
        </w:tc>
        <w:tc>
          <w:tcPr>
            <w:tcW w:w="0" w:type="auto"/>
            <w:shd w:val="clear" w:color="auto" w:fill="DCDCDF" w:themeFill="text2" w:themeFillTint="33"/>
          </w:tcPr>
          <w:p w14:paraId="33D07562" w14:textId="77777777" w:rsidR="001419FB" w:rsidRDefault="001419FB">
            <w:pPr>
              <w:spacing w:before="0" w:after="0"/>
              <w:jc w:val="center"/>
            </w:pPr>
            <w:r w:rsidRPr="00867C35">
              <w:rPr>
                <w:rFonts w:asciiTheme="majorHAnsi" w:hAnsiTheme="majorHAnsi" w:cs="Arial"/>
                <w:szCs w:val="20"/>
                <w:lang w:eastAsia="en-AU"/>
              </w:rPr>
              <w:t>100.0%</w:t>
            </w:r>
          </w:p>
        </w:tc>
        <w:tc>
          <w:tcPr>
            <w:tcW w:w="0" w:type="auto"/>
            <w:shd w:val="clear" w:color="auto" w:fill="DCDCDF" w:themeFill="text2" w:themeFillTint="33"/>
          </w:tcPr>
          <w:p w14:paraId="5F33FF80" w14:textId="77777777" w:rsidR="001419FB" w:rsidRPr="00867C35" w:rsidRDefault="001419FB">
            <w:pPr>
              <w:spacing w:before="0" w:after="0"/>
              <w:jc w:val="center"/>
              <w:rPr>
                <w:rFonts w:asciiTheme="majorHAnsi" w:hAnsiTheme="majorHAnsi" w:cs="Arial"/>
                <w:szCs w:val="20"/>
                <w:lang w:eastAsia="en-AU"/>
              </w:rPr>
            </w:pPr>
            <w:r>
              <w:rPr>
                <w:rFonts w:asciiTheme="majorHAnsi" w:hAnsiTheme="majorHAnsi" w:cs="Arial"/>
                <w:szCs w:val="20"/>
                <w:lang w:eastAsia="en-AU"/>
              </w:rPr>
              <w:t>100.0%</w:t>
            </w:r>
          </w:p>
        </w:tc>
      </w:tr>
    </w:tbl>
    <w:p w14:paraId="1C8CC890" w14:textId="33C68423" w:rsidR="001419FB" w:rsidRDefault="001419FB" w:rsidP="001419FB">
      <w:pPr>
        <w:pStyle w:val="Tablenotes"/>
      </w:pPr>
      <w:r>
        <w:t>Source: PACOP</w:t>
      </w:r>
      <w:r w:rsidRPr="00362F97">
        <w:t xml:space="preserve"> program data provided by </w:t>
      </w:r>
      <w:r>
        <w:t>the University of Wollongong</w:t>
      </w:r>
      <w:r w:rsidRPr="00362F97">
        <w:t>, September 2025</w:t>
      </w:r>
      <w:r>
        <w:t xml:space="preserve">, </w:t>
      </w:r>
      <w:r w:rsidRPr="00362F97">
        <w:t>GEN Aged Care data 202</w:t>
      </w:r>
      <w:r>
        <w:t>5.</w:t>
      </w:r>
    </w:p>
    <w:p w14:paraId="5F256182" w14:textId="7CA4DDB2" w:rsidR="00F53C4A" w:rsidRDefault="001419FB" w:rsidP="00E833B6">
      <w:pPr>
        <w:pStyle w:val="Heading4"/>
      </w:pPr>
      <w:r w:rsidRPr="001419FB">
        <w:lastRenderedPageBreak/>
        <w:t>Characteristics</w:t>
      </w:r>
      <w:r w:rsidR="00E833B6" w:rsidRPr="001419FB">
        <w:t xml:space="preserve"> of homes participating in benchmarking</w:t>
      </w:r>
    </w:p>
    <w:p w14:paraId="6D44267B" w14:textId="12017F03" w:rsidR="00F53C4A" w:rsidRDefault="00832821" w:rsidP="00BA6A2A">
      <w:r>
        <w:fldChar w:fldCharType="begin"/>
      </w:r>
      <w:r>
        <w:instrText xml:space="preserve"> REF _Ref215673052 \h </w:instrText>
      </w:r>
      <w:r>
        <w:fldChar w:fldCharType="separate"/>
      </w:r>
      <w:r w:rsidR="00167BA0">
        <w:t xml:space="preserve">Table </w:t>
      </w:r>
      <w:r w:rsidR="00167BA0">
        <w:rPr>
          <w:noProof/>
        </w:rPr>
        <w:t>9</w:t>
      </w:r>
      <w:r w:rsidR="00167BA0">
        <w:t>.</w:t>
      </w:r>
      <w:r w:rsidR="00167BA0">
        <w:rPr>
          <w:noProof/>
        </w:rPr>
        <w:t>23</w:t>
      </w:r>
      <w:r>
        <w:fldChar w:fldCharType="end"/>
      </w:r>
      <w:r w:rsidR="00E42474">
        <w:t xml:space="preserve"> illustrates the </w:t>
      </w:r>
      <w:r w:rsidR="0049618A">
        <w:t>characteristics</w:t>
      </w:r>
      <w:r w:rsidR="00E42474">
        <w:t xml:space="preserve"> of homes participating in </w:t>
      </w:r>
      <w:r w:rsidR="003F7821">
        <w:t xml:space="preserve">PACOP </w:t>
      </w:r>
      <w:r w:rsidR="00E42474">
        <w:t>benchma</w:t>
      </w:r>
      <w:r w:rsidR="001308FD">
        <w:t>r</w:t>
      </w:r>
      <w:r w:rsidR="00E42474">
        <w:t>k</w:t>
      </w:r>
      <w:r w:rsidR="001308FD">
        <w:t>ing.</w:t>
      </w:r>
    </w:p>
    <w:p w14:paraId="502FB091" w14:textId="4D95B96D" w:rsidR="008E70D4" w:rsidRDefault="008E70D4" w:rsidP="008E70D4">
      <w:pPr>
        <w:pStyle w:val="Caption"/>
      </w:pPr>
      <w:bookmarkStart w:id="214" w:name="_Ref215673052"/>
      <w:r>
        <w:t xml:space="preserve">Table </w:t>
      </w:r>
      <w:fldSimple w:instr=" STYLEREF 1 \s ">
        <w:r w:rsidR="0091457A">
          <w:rPr>
            <w:noProof/>
          </w:rPr>
          <w:t>9</w:t>
        </w:r>
      </w:fldSimple>
      <w:r w:rsidR="0091457A">
        <w:t>.</w:t>
      </w:r>
      <w:fldSimple w:instr=" SEQ Table \* ARABIC \s 1 ">
        <w:r w:rsidR="0091457A">
          <w:rPr>
            <w:noProof/>
          </w:rPr>
          <w:t>23</w:t>
        </w:r>
      </w:fldSimple>
      <w:bookmarkEnd w:id="214"/>
      <w:r>
        <w:t>:</w:t>
      </w:r>
      <w:r w:rsidR="001419FB">
        <w:t xml:space="preserve"> Profile of a</w:t>
      </w:r>
      <w:r>
        <w:t xml:space="preserve">ged care homes </w:t>
      </w:r>
      <w:r w:rsidR="001419FB">
        <w:t>participating in PACOP benchmarking</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Charateristics of homes participating in PACOP benchmarking"/>
        <w:tblDescription w:val="Table shows the profile of homes participating in PACOP benchmarking across three financial years from 2022-23 to 2024-25."/>
      </w:tblPr>
      <w:tblGrid>
        <w:gridCol w:w="3223"/>
        <w:gridCol w:w="1348"/>
        <w:gridCol w:w="1348"/>
        <w:gridCol w:w="1284"/>
      </w:tblGrid>
      <w:tr w:rsidR="008E70D4" w14:paraId="353FB84D" w14:textId="77777777" w:rsidTr="00163708">
        <w:trPr>
          <w:cnfStyle w:val="100000000000" w:firstRow="1" w:lastRow="0" w:firstColumn="0" w:lastColumn="0" w:oddVBand="0" w:evenVBand="0" w:oddHBand="0" w:evenHBand="0" w:firstRowFirstColumn="0" w:firstRowLastColumn="0" w:lastRowFirstColumn="0" w:lastRowLastColumn="0"/>
          <w:tblHeader/>
        </w:trPr>
        <w:tc>
          <w:tcPr>
            <w:tcW w:w="2237" w:type="pct"/>
          </w:tcPr>
          <w:p w14:paraId="5BA72B9B" w14:textId="2FFF8115" w:rsidR="008E70D4" w:rsidRDefault="0029165B" w:rsidP="008E70D4">
            <w:pPr>
              <w:spacing w:before="0" w:after="0"/>
            </w:pPr>
            <w:r>
              <w:t>Characteristic</w:t>
            </w:r>
          </w:p>
        </w:tc>
        <w:tc>
          <w:tcPr>
            <w:tcW w:w="936" w:type="pct"/>
          </w:tcPr>
          <w:p w14:paraId="3740B206" w14:textId="6914E86C" w:rsidR="008E70D4" w:rsidRDefault="008E70D4" w:rsidP="001C5570">
            <w:pPr>
              <w:spacing w:before="0" w:after="0"/>
              <w:jc w:val="center"/>
            </w:pPr>
            <w:r w:rsidRPr="004D646B">
              <w:t>2022</w:t>
            </w:r>
            <w:r>
              <w:rPr>
                <w:caps w:val="0"/>
              </w:rPr>
              <w:t>–</w:t>
            </w:r>
            <w:r w:rsidRPr="004D646B">
              <w:t>23</w:t>
            </w:r>
          </w:p>
        </w:tc>
        <w:tc>
          <w:tcPr>
            <w:tcW w:w="936" w:type="pct"/>
          </w:tcPr>
          <w:p w14:paraId="47FA6C6B" w14:textId="62255591" w:rsidR="008E70D4" w:rsidRDefault="008E70D4" w:rsidP="001C5570">
            <w:pPr>
              <w:spacing w:before="0" w:after="0"/>
              <w:jc w:val="center"/>
            </w:pPr>
            <w:r w:rsidRPr="004D646B">
              <w:t>2023</w:t>
            </w:r>
            <w:r>
              <w:rPr>
                <w:caps w:val="0"/>
              </w:rPr>
              <w:t>–</w:t>
            </w:r>
            <w:r w:rsidRPr="004D646B">
              <w:t>24</w:t>
            </w:r>
          </w:p>
        </w:tc>
        <w:tc>
          <w:tcPr>
            <w:tcW w:w="891" w:type="pct"/>
          </w:tcPr>
          <w:p w14:paraId="6D1E0F59" w14:textId="4D508FD0" w:rsidR="008E70D4" w:rsidRDefault="008E70D4" w:rsidP="001C5570">
            <w:pPr>
              <w:spacing w:before="0" w:after="0"/>
              <w:jc w:val="center"/>
            </w:pPr>
            <w:r w:rsidRPr="004D646B">
              <w:t>2024</w:t>
            </w:r>
            <w:r>
              <w:rPr>
                <w:caps w:val="0"/>
              </w:rPr>
              <w:t>–</w:t>
            </w:r>
            <w:r w:rsidRPr="004D646B">
              <w:t>25</w:t>
            </w:r>
          </w:p>
        </w:tc>
      </w:tr>
      <w:tr w:rsidR="00E70D46" w14:paraId="7DDBE70D" w14:textId="77777777" w:rsidTr="00163708">
        <w:tc>
          <w:tcPr>
            <w:tcW w:w="2237" w:type="pct"/>
            <w:shd w:val="clear" w:color="auto" w:fill="DDF2EC" w:themeFill="background2" w:themeFillTint="33"/>
          </w:tcPr>
          <w:p w14:paraId="416EC488" w14:textId="08DECFF9" w:rsidR="00E70D46" w:rsidRDefault="00E70D46" w:rsidP="004648D7">
            <w:pPr>
              <w:spacing w:before="0" w:after="0"/>
            </w:pPr>
            <w:r w:rsidRPr="00CC30B9">
              <w:rPr>
                <w:rFonts w:asciiTheme="majorHAnsi" w:hAnsiTheme="majorHAnsi"/>
              </w:rPr>
              <w:t>Number of homes</w:t>
            </w:r>
            <w:r>
              <w:rPr>
                <w:rFonts w:asciiTheme="majorHAnsi" w:hAnsiTheme="majorHAnsi"/>
              </w:rPr>
              <w:t xml:space="preserve"> receiving benchmarking</w:t>
            </w:r>
            <w:r w:rsidRPr="00CC30B9">
              <w:rPr>
                <w:rFonts w:asciiTheme="majorHAnsi" w:hAnsiTheme="majorHAnsi"/>
              </w:rPr>
              <w:t xml:space="preserve"> by implementation stage</w:t>
            </w:r>
          </w:p>
        </w:tc>
        <w:tc>
          <w:tcPr>
            <w:tcW w:w="936" w:type="pct"/>
            <w:shd w:val="clear" w:color="auto" w:fill="DDF2EC" w:themeFill="background2" w:themeFillTint="33"/>
          </w:tcPr>
          <w:p w14:paraId="51765A44" w14:textId="23D4BDA8" w:rsidR="00E70D46" w:rsidRPr="00163708" w:rsidRDefault="00F1731C" w:rsidP="004648D7">
            <w:pPr>
              <w:spacing w:before="0" w:after="0"/>
              <w:jc w:val="center"/>
              <w:rPr>
                <w:b/>
                <w:bCs/>
              </w:rPr>
            </w:pPr>
            <w:r>
              <w:rPr>
                <w:b/>
                <w:bCs/>
              </w:rPr>
              <w:t>N</w:t>
            </w:r>
          </w:p>
        </w:tc>
        <w:tc>
          <w:tcPr>
            <w:tcW w:w="936" w:type="pct"/>
            <w:shd w:val="clear" w:color="auto" w:fill="DDF2EC" w:themeFill="background2" w:themeFillTint="33"/>
          </w:tcPr>
          <w:p w14:paraId="4471B9C5" w14:textId="2BB22BE6" w:rsidR="00E70D46" w:rsidRPr="00163708" w:rsidRDefault="00F1731C" w:rsidP="004648D7">
            <w:pPr>
              <w:spacing w:before="0" w:after="0"/>
              <w:jc w:val="center"/>
              <w:rPr>
                <w:b/>
                <w:bCs/>
              </w:rPr>
            </w:pPr>
            <w:r>
              <w:rPr>
                <w:b/>
                <w:bCs/>
              </w:rPr>
              <w:t>N</w:t>
            </w:r>
          </w:p>
        </w:tc>
        <w:tc>
          <w:tcPr>
            <w:tcW w:w="891" w:type="pct"/>
            <w:shd w:val="clear" w:color="auto" w:fill="DDF2EC" w:themeFill="background2" w:themeFillTint="33"/>
          </w:tcPr>
          <w:p w14:paraId="59F096F4" w14:textId="48D7AD79" w:rsidR="00E70D46" w:rsidRPr="00163708" w:rsidRDefault="00F1731C" w:rsidP="004648D7">
            <w:pPr>
              <w:spacing w:before="0" w:after="0"/>
              <w:jc w:val="center"/>
              <w:rPr>
                <w:b/>
                <w:bCs/>
              </w:rPr>
            </w:pPr>
            <w:r>
              <w:rPr>
                <w:b/>
                <w:bCs/>
              </w:rPr>
              <w:t>N</w:t>
            </w:r>
          </w:p>
        </w:tc>
      </w:tr>
      <w:tr w:rsidR="001C5570" w14:paraId="3BEE9668" w14:textId="77777777" w:rsidTr="00163708">
        <w:tc>
          <w:tcPr>
            <w:tcW w:w="2237" w:type="pct"/>
          </w:tcPr>
          <w:p w14:paraId="7252E6C9" w14:textId="40EC248E" w:rsidR="001C5570" w:rsidRDefault="00CC30B9" w:rsidP="008E70D4">
            <w:pPr>
              <w:spacing w:before="0" w:after="0"/>
            </w:pPr>
            <w:r>
              <w:t>Profile</w:t>
            </w:r>
            <w:r w:rsidR="001419FB">
              <w:t xml:space="preserve"> Collection</w:t>
            </w:r>
          </w:p>
        </w:tc>
        <w:tc>
          <w:tcPr>
            <w:tcW w:w="936" w:type="pct"/>
          </w:tcPr>
          <w:p w14:paraId="716CA3EE" w14:textId="7E43D279" w:rsidR="001C5570" w:rsidRDefault="00185FDE" w:rsidP="001C5570">
            <w:pPr>
              <w:spacing w:before="0" w:after="0"/>
              <w:jc w:val="center"/>
            </w:pPr>
            <w:r>
              <w:t>10</w:t>
            </w:r>
          </w:p>
        </w:tc>
        <w:tc>
          <w:tcPr>
            <w:tcW w:w="936" w:type="pct"/>
          </w:tcPr>
          <w:p w14:paraId="6FD9C57D" w14:textId="35B773AA" w:rsidR="001C5570" w:rsidRDefault="00185FDE" w:rsidP="001C5570">
            <w:pPr>
              <w:spacing w:before="0" w:after="0"/>
              <w:jc w:val="center"/>
            </w:pPr>
            <w:r>
              <w:t>47</w:t>
            </w:r>
          </w:p>
        </w:tc>
        <w:tc>
          <w:tcPr>
            <w:tcW w:w="891" w:type="pct"/>
          </w:tcPr>
          <w:p w14:paraId="107A3922" w14:textId="73285798" w:rsidR="001C5570" w:rsidRDefault="00185FDE" w:rsidP="001C5570">
            <w:pPr>
              <w:spacing w:before="0" w:after="0"/>
              <w:jc w:val="center"/>
            </w:pPr>
            <w:r>
              <w:t>92</w:t>
            </w:r>
          </w:p>
        </w:tc>
      </w:tr>
      <w:tr w:rsidR="001C5570" w14:paraId="77390925" w14:textId="77777777" w:rsidTr="00163708">
        <w:tc>
          <w:tcPr>
            <w:tcW w:w="2237" w:type="pct"/>
          </w:tcPr>
          <w:p w14:paraId="63936CDD" w14:textId="7DA7B275" w:rsidR="001C5570" w:rsidRDefault="00CC30B9" w:rsidP="008E70D4">
            <w:pPr>
              <w:spacing w:before="0" w:after="0"/>
            </w:pPr>
            <w:r>
              <w:t>Outcomes</w:t>
            </w:r>
            <w:r w:rsidR="001419FB">
              <w:t xml:space="preserve"> Collection</w:t>
            </w:r>
          </w:p>
        </w:tc>
        <w:tc>
          <w:tcPr>
            <w:tcW w:w="936" w:type="pct"/>
          </w:tcPr>
          <w:p w14:paraId="29C4376C" w14:textId="7DFDF177" w:rsidR="001C5570" w:rsidRDefault="00185FDE" w:rsidP="001C5570">
            <w:pPr>
              <w:spacing w:before="0" w:after="0"/>
              <w:jc w:val="center"/>
            </w:pPr>
            <w:r>
              <w:t>9</w:t>
            </w:r>
          </w:p>
        </w:tc>
        <w:tc>
          <w:tcPr>
            <w:tcW w:w="936" w:type="pct"/>
          </w:tcPr>
          <w:p w14:paraId="678EFB9B" w14:textId="371B0037" w:rsidR="001C5570" w:rsidRDefault="00185FDE" w:rsidP="001C5570">
            <w:pPr>
              <w:spacing w:before="0" w:after="0"/>
              <w:jc w:val="center"/>
            </w:pPr>
            <w:r>
              <w:t>20</w:t>
            </w:r>
          </w:p>
        </w:tc>
        <w:tc>
          <w:tcPr>
            <w:tcW w:w="891" w:type="pct"/>
          </w:tcPr>
          <w:p w14:paraId="73574D2F" w14:textId="1A4CA305" w:rsidR="001C5570" w:rsidRDefault="00185FDE" w:rsidP="001C5570">
            <w:pPr>
              <w:spacing w:before="0" w:after="0"/>
              <w:jc w:val="center"/>
            </w:pPr>
            <w:r>
              <w:t>39</w:t>
            </w:r>
          </w:p>
        </w:tc>
      </w:tr>
      <w:tr w:rsidR="00163708" w14:paraId="28893497" w14:textId="77777777" w:rsidTr="00163708">
        <w:tc>
          <w:tcPr>
            <w:tcW w:w="2237" w:type="pct"/>
            <w:shd w:val="clear" w:color="auto" w:fill="DDF2EC" w:themeFill="background2" w:themeFillTint="33"/>
            <w:vAlign w:val="center"/>
          </w:tcPr>
          <w:p w14:paraId="3B6033F4" w14:textId="327ED898" w:rsidR="00163708" w:rsidRDefault="00163708" w:rsidP="00163708">
            <w:pPr>
              <w:spacing w:before="0" w:after="0"/>
            </w:pPr>
            <w:r w:rsidRPr="00CC30B9">
              <w:rPr>
                <w:rFonts w:asciiTheme="majorHAnsi" w:hAnsiTheme="majorHAnsi"/>
              </w:rPr>
              <w:t>Number of homes</w:t>
            </w:r>
            <w:r>
              <w:rPr>
                <w:rFonts w:asciiTheme="majorHAnsi" w:hAnsiTheme="majorHAnsi"/>
              </w:rPr>
              <w:t xml:space="preserve"> receiving benchmarking</w:t>
            </w:r>
            <w:r w:rsidRPr="00CC30B9">
              <w:rPr>
                <w:rFonts w:asciiTheme="majorHAnsi" w:hAnsiTheme="majorHAnsi"/>
              </w:rPr>
              <w:t xml:space="preserve"> by </w:t>
            </w:r>
            <w:r>
              <w:rPr>
                <w:rFonts w:asciiTheme="majorHAnsi" w:hAnsiTheme="majorHAnsi"/>
              </w:rPr>
              <w:t>jurisdiction</w:t>
            </w:r>
          </w:p>
        </w:tc>
        <w:tc>
          <w:tcPr>
            <w:tcW w:w="936" w:type="pct"/>
            <w:shd w:val="clear" w:color="auto" w:fill="DDF2EC" w:themeFill="background2" w:themeFillTint="33"/>
          </w:tcPr>
          <w:p w14:paraId="74B5EF27" w14:textId="09D30574" w:rsidR="00163708" w:rsidRDefault="00F1731C" w:rsidP="00163708">
            <w:pPr>
              <w:spacing w:before="0" w:after="0"/>
              <w:jc w:val="center"/>
            </w:pPr>
            <w:r>
              <w:rPr>
                <w:b/>
                <w:bCs/>
              </w:rPr>
              <w:t>N</w:t>
            </w:r>
          </w:p>
        </w:tc>
        <w:tc>
          <w:tcPr>
            <w:tcW w:w="936" w:type="pct"/>
            <w:shd w:val="clear" w:color="auto" w:fill="DDF2EC" w:themeFill="background2" w:themeFillTint="33"/>
          </w:tcPr>
          <w:p w14:paraId="02A4B15E" w14:textId="1AC8FA1E" w:rsidR="00163708" w:rsidRDefault="00F1731C" w:rsidP="00163708">
            <w:pPr>
              <w:spacing w:before="0" w:after="0"/>
              <w:jc w:val="center"/>
            </w:pPr>
            <w:r>
              <w:rPr>
                <w:b/>
                <w:bCs/>
              </w:rPr>
              <w:t>N</w:t>
            </w:r>
          </w:p>
        </w:tc>
        <w:tc>
          <w:tcPr>
            <w:tcW w:w="891" w:type="pct"/>
            <w:shd w:val="clear" w:color="auto" w:fill="DDF2EC" w:themeFill="background2" w:themeFillTint="33"/>
          </w:tcPr>
          <w:p w14:paraId="033522EB" w14:textId="6521213D" w:rsidR="00163708" w:rsidRDefault="00F1731C" w:rsidP="00163708">
            <w:pPr>
              <w:spacing w:before="0" w:after="0"/>
              <w:jc w:val="center"/>
            </w:pPr>
            <w:r>
              <w:rPr>
                <w:b/>
                <w:bCs/>
              </w:rPr>
              <w:t>N</w:t>
            </w:r>
          </w:p>
        </w:tc>
      </w:tr>
      <w:tr w:rsidR="00E9689B" w14:paraId="106CC233" w14:textId="77777777" w:rsidTr="00163708">
        <w:tc>
          <w:tcPr>
            <w:tcW w:w="2237" w:type="pct"/>
            <w:vAlign w:val="center"/>
          </w:tcPr>
          <w:p w14:paraId="4CC88604" w14:textId="7218D7F2" w:rsidR="00E9689B" w:rsidRDefault="00E9689B" w:rsidP="00E9689B">
            <w:pPr>
              <w:spacing w:before="0" w:after="0"/>
            </w:pPr>
            <w:r>
              <w:t>Victoria</w:t>
            </w:r>
          </w:p>
        </w:tc>
        <w:tc>
          <w:tcPr>
            <w:tcW w:w="936" w:type="pct"/>
          </w:tcPr>
          <w:p w14:paraId="43CA2A35" w14:textId="37726872" w:rsidR="00E9689B" w:rsidRDefault="00366E97" w:rsidP="00E9689B">
            <w:pPr>
              <w:spacing w:before="0" w:after="0"/>
              <w:jc w:val="center"/>
            </w:pPr>
            <w:r>
              <w:t>&lt;5</w:t>
            </w:r>
          </w:p>
        </w:tc>
        <w:tc>
          <w:tcPr>
            <w:tcW w:w="936" w:type="pct"/>
          </w:tcPr>
          <w:p w14:paraId="3DC21C87" w14:textId="7AF7553A" w:rsidR="00E9689B" w:rsidRDefault="00366E97" w:rsidP="00E9689B">
            <w:pPr>
              <w:spacing w:before="0" w:after="0"/>
              <w:jc w:val="center"/>
            </w:pPr>
            <w:r>
              <w:t>5</w:t>
            </w:r>
          </w:p>
        </w:tc>
        <w:tc>
          <w:tcPr>
            <w:tcW w:w="891" w:type="pct"/>
          </w:tcPr>
          <w:p w14:paraId="5ACD48C0" w14:textId="74134D1A" w:rsidR="00E9689B" w:rsidRDefault="00366E97" w:rsidP="00E9689B">
            <w:pPr>
              <w:spacing w:before="0" w:after="0"/>
              <w:jc w:val="center"/>
            </w:pPr>
            <w:r>
              <w:t>5</w:t>
            </w:r>
          </w:p>
        </w:tc>
      </w:tr>
      <w:tr w:rsidR="00E9689B" w14:paraId="7F31B527" w14:textId="77777777" w:rsidTr="00163708">
        <w:tc>
          <w:tcPr>
            <w:tcW w:w="2237" w:type="pct"/>
            <w:vAlign w:val="center"/>
          </w:tcPr>
          <w:p w14:paraId="0AF8E981" w14:textId="3E214BC9" w:rsidR="00E9689B" w:rsidRDefault="00E9689B" w:rsidP="00E9689B">
            <w:pPr>
              <w:spacing w:before="0" w:after="0"/>
            </w:pPr>
            <w:r>
              <w:t>New South Wales</w:t>
            </w:r>
          </w:p>
        </w:tc>
        <w:tc>
          <w:tcPr>
            <w:tcW w:w="936" w:type="pct"/>
          </w:tcPr>
          <w:p w14:paraId="0A22ACE5" w14:textId="219E4466" w:rsidR="00E9689B" w:rsidRDefault="00366E97" w:rsidP="00E9689B">
            <w:pPr>
              <w:spacing w:before="0" w:after="0"/>
              <w:jc w:val="center"/>
            </w:pPr>
            <w:r>
              <w:t>8</w:t>
            </w:r>
          </w:p>
        </w:tc>
        <w:tc>
          <w:tcPr>
            <w:tcW w:w="936" w:type="pct"/>
          </w:tcPr>
          <w:p w14:paraId="6F4F750D" w14:textId="2E11FFCF" w:rsidR="00E9689B" w:rsidRDefault="00366E97" w:rsidP="00E9689B">
            <w:pPr>
              <w:spacing w:before="0" w:after="0"/>
              <w:jc w:val="center"/>
            </w:pPr>
            <w:r>
              <w:t>47</w:t>
            </w:r>
          </w:p>
        </w:tc>
        <w:tc>
          <w:tcPr>
            <w:tcW w:w="891" w:type="pct"/>
          </w:tcPr>
          <w:p w14:paraId="564A65D6" w14:textId="77CEE42F" w:rsidR="00E9689B" w:rsidRDefault="00366E97" w:rsidP="00E9689B">
            <w:pPr>
              <w:spacing w:before="0" w:after="0"/>
              <w:jc w:val="center"/>
            </w:pPr>
            <w:r>
              <w:t>100</w:t>
            </w:r>
          </w:p>
        </w:tc>
      </w:tr>
      <w:tr w:rsidR="00E9689B" w14:paraId="6B978718" w14:textId="77777777" w:rsidTr="00163708">
        <w:tc>
          <w:tcPr>
            <w:tcW w:w="2237" w:type="pct"/>
            <w:vAlign w:val="center"/>
          </w:tcPr>
          <w:p w14:paraId="6689DD06" w14:textId="1E653503" w:rsidR="00E9689B" w:rsidRDefault="00E9689B" w:rsidP="00E9689B">
            <w:pPr>
              <w:spacing w:before="0" w:after="0"/>
            </w:pPr>
            <w:r>
              <w:t>Queensland</w:t>
            </w:r>
          </w:p>
        </w:tc>
        <w:tc>
          <w:tcPr>
            <w:tcW w:w="936" w:type="pct"/>
          </w:tcPr>
          <w:p w14:paraId="51F12EDB" w14:textId="0A9839D0" w:rsidR="00E9689B" w:rsidRDefault="00366E97" w:rsidP="00E9689B">
            <w:pPr>
              <w:spacing w:before="0" w:after="0"/>
              <w:jc w:val="center"/>
            </w:pPr>
            <w:r>
              <w:t>&lt;5</w:t>
            </w:r>
          </w:p>
        </w:tc>
        <w:tc>
          <w:tcPr>
            <w:tcW w:w="936" w:type="pct"/>
          </w:tcPr>
          <w:p w14:paraId="2C9F752E" w14:textId="6842EFA2" w:rsidR="00E9689B" w:rsidRDefault="00366E97" w:rsidP="00E9689B">
            <w:pPr>
              <w:spacing w:before="0" w:after="0"/>
              <w:jc w:val="center"/>
            </w:pPr>
            <w:r>
              <w:t>5</w:t>
            </w:r>
          </w:p>
        </w:tc>
        <w:tc>
          <w:tcPr>
            <w:tcW w:w="891" w:type="pct"/>
          </w:tcPr>
          <w:p w14:paraId="7C5F3595" w14:textId="38154500" w:rsidR="00E9689B" w:rsidRDefault="00366E97" w:rsidP="00E9689B">
            <w:pPr>
              <w:spacing w:before="0" w:after="0"/>
              <w:jc w:val="center"/>
            </w:pPr>
            <w:r>
              <w:t>5</w:t>
            </w:r>
          </w:p>
        </w:tc>
      </w:tr>
      <w:tr w:rsidR="00E9689B" w14:paraId="59523FCE" w14:textId="77777777" w:rsidTr="00163708">
        <w:tc>
          <w:tcPr>
            <w:tcW w:w="2237" w:type="pct"/>
            <w:vAlign w:val="center"/>
          </w:tcPr>
          <w:p w14:paraId="271EAC1D" w14:textId="2BAF8982" w:rsidR="00E9689B" w:rsidRDefault="00E9689B" w:rsidP="00E9689B">
            <w:pPr>
              <w:spacing w:before="0" w:after="0"/>
            </w:pPr>
            <w:r>
              <w:t>Western Australia</w:t>
            </w:r>
          </w:p>
        </w:tc>
        <w:tc>
          <w:tcPr>
            <w:tcW w:w="936" w:type="pct"/>
          </w:tcPr>
          <w:p w14:paraId="5EBDA71B" w14:textId="00F6366C" w:rsidR="00E9689B" w:rsidRDefault="00366E97" w:rsidP="00E9689B">
            <w:pPr>
              <w:spacing w:before="0" w:after="0"/>
              <w:jc w:val="center"/>
            </w:pPr>
            <w:r>
              <w:t>&lt;5</w:t>
            </w:r>
          </w:p>
        </w:tc>
        <w:tc>
          <w:tcPr>
            <w:tcW w:w="936" w:type="pct"/>
          </w:tcPr>
          <w:p w14:paraId="2CC09718" w14:textId="1E3C3E07" w:rsidR="00E9689B" w:rsidRDefault="00366E97" w:rsidP="00E9689B">
            <w:pPr>
              <w:spacing w:before="0" w:after="0"/>
              <w:jc w:val="center"/>
            </w:pPr>
            <w:r>
              <w:t>&lt;5</w:t>
            </w:r>
          </w:p>
        </w:tc>
        <w:tc>
          <w:tcPr>
            <w:tcW w:w="891" w:type="pct"/>
          </w:tcPr>
          <w:p w14:paraId="737136DA" w14:textId="6B4B6ACF" w:rsidR="00E9689B" w:rsidRDefault="00366E97" w:rsidP="00E9689B">
            <w:pPr>
              <w:spacing w:before="0" w:after="0"/>
              <w:jc w:val="center"/>
            </w:pPr>
            <w:r>
              <w:t>17</w:t>
            </w:r>
          </w:p>
        </w:tc>
      </w:tr>
      <w:tr w:rsidR="00E9689B" w14:paraId="4B36F506" w14:textId="77777777" w:rsidTr="00163708">
        <w:tc>
          <w:tcPr>
            <w:tcW w:w="2237" w:type="pct"/>
            <w:vAlign w:val="center"/>
          </w:tcPr>
          <w:p w14:paraId="2213FFD1" w14:textId="083B1CC4" w:rsidR="00E9689B" w:rsidRDefault="00E9689B" w:rsidP="00E9689B">
            <w:pPr>
              <w:spacing w:before="0" w:after="0"/>
            </w:pPr>
            <w:r>
              <w:t>South Australia</w:t>
            </w:r>
          </w:p>
        </w:tc>
        <w:tc>
          <w:tcPr>
            <w:tcW w:w="936" w:type="pct"/>
          </w:tcPr>
          <w:p w14:paraId="7449B702" w14:textId="7D6B63E1" w:rsidR="00E9689B" w:rsidRDefault="00B76650" w:rsidP="00E9689B">
            <w:pPr>
              <w:spacing w:before="0" w:after="0"/>
              <w:jc w:val="center"/>
            </w:pPr>
            <w:r>
              <w:t>0</w:t>
            </w:r>
          </w:p>
        </w:tc>
        <w:tc>
          <w:tcPr>
            <w:tcW w:w="936" w:type="pct"/>
          </w:tcPr>
          <w:p w14:paraId="4AFECFDF" w14:textId="31585145" w:rsidR="00E9689B" w:rsidRDefault="00B76650" w:rsidP="00E9689B">
            <w:pPr>
              <w:spacing w:before="0" w:after="0"/>
              <w:jc w:val="center"/>
            </w:pPr>
            <w:r>
              <w:t>0</w:t>
            </w:r>
          </w:p>
        </w:tc>
        <w:tc>
          <w:tcPr>
            <w:tcW w:w="891" w:type="pct"/>
          </w:tcPr>
          <w:p w14:paraId="2C797980" w14:textId="442894C2" w:rsidR="00E9689B" w:rsidRDefault="00B76650" w:rsidP="00E9689B">
            <w:pPr>
              <w:spacing w:before="0" w:after="0"/>
              <w:jc w:val="center"/>
            </w:pPr>
            <w:r>
              <w:t>0</w:t>
            </w:r>
          </w:p>
        </w:tc>
      </w:tr>
      <w:tr w:rsidR="00E9689B" w14:paraId="2A787FDC" w14:textId="77777777" w:rsidTr="00163708">
        <w:tc>
          <w:tcPr>
            <w:tcW w:w="2237" w:type="pct"/>
            <w:vAlign w:val="center"/>
          </w:tcPr>
          <w:p w14:paraId="35467F02" w14:textId="5ECB4B31" w:rsidR="00E9689B" w:rsidRDefault="00E9689B" w:rsidP="00E9689B">
            <w:pPr>
              <w:spacing w:before="0" w:after="0"/>
            </w:pPr>
            <w:r>
              <w:t>Australian Capital Territory</w:t>
            </w:r>
          </w:p>
        </w:tc>
        <w:tc>
          <w:tcPr>
            <w:tcW w:w="936" w:type="pct"/>
          </w:tcPr>
          <w:p w14:paraId="6C83309D" w14:textId="364B522F" w:rsidR="00E9689B" w:rsidRDefault="00B76650" w:rsidP="00E9689B">
            <w:pPr>
              <w:spacing w:before="0" w:after="0"/>
              <w:jc w:val="center"/>
            </w:pPr>
            <w:r>
              <w:t>&lt;5</w:t>
            </w:r>
          </w:p>
        </w:tc>
        <w:tc>
          <w:tcPr>
            <w:tcW w:w="936" w:type="pct"/>
          </w:tcPr>
          <w:p w14:paraId="7FECDC69" w14:textId="771F7514" w:rsidR="00E9689B" w:rsidRDefault="00B76650" w:rsidP="00E9689B">
            <w:pPr>
              <w:spacing w:before="0" w:after="0"/>
              <w:jc w:val="center"/>
            </w:pPr>
            <w:r>
              <w:t>6</w:t>
            </w:r>
          </w:p>
        </w:tc>
        <w:tc>
          <w:tcPr>
            <w:tcW w:w="891" w:type="pct"/>
          </w:tcPr>
          <w:p w14:paraId="3CD09F35" w14:textId="62152ADD" w:rsidR="00E9689B" w:rsidRDefault="00B76650" w:rsidP="00E9689B">
            <w:pPr>
              <w:spacing w:before="0" w:after="0"/>
              <w:jc w:val="center"/>
            </w:pPr>
            <w:r>
              <w:t>&lt;5</w:t>
            </w:r>
          </w:p>
        </w:tc>
      </w:tr>
      <w:tr w:rsidR="00E9689B" w14:paraId="1632D9CD" w14:textId="77777777" w:rsidTr="00163708">
        <w:tc>
          <w:tcPr>
            <w:tcW w:w="2237" w:type="pct"/>
            <w:vAlign w:val="center"/>
          </w:tcPr>
          <w:p w14:paraId="6074592F" w14:textId="38107549" w:rsidR="00E9689B" w:rsidRDefault="00E9689B" w:rsidP="00E9689B">
            <w:pPr>
              <w:spacing w:before="0" w:after="0"/>
            </w:pPr>
            <w:r>
              <w:t>Northern Territory</w:t>
            </w:r>
          </w:p>
        </w:tc>
        <w:tc>
          <w:tcPr>
            <w:tcW w:w="936" w:type="pct"/>
          </w:tcPr>
          <w:p w14:paraId="6A8E5051" w14:textId="7AD3371F" w:rsidR="00E9689B" w:rsidRDefault="00B76650" w:rsidP="00E9689B">
            <w:pPr>
              <w:spacing w:before="0" w:after="0"/>
              <w:jc w:val="center"/>
            </w:pPr>
            <w:r>
              <w:t>0</w:t>
            </w:r>
          </w:p>
        </w:tc>
        <w:tc>
          <w:tcPr>
            <w:tcW w:w="936" w:type="pct"/>
          </w:tcPr>
          <w:p w14:paraId="70AC1102" w14:textId="700758B7" w:rsidR="00E9689B" w:rsidRDefault="00B76650" w:rsidP="00E9689B">
            <w:pPr>
              <w:spacing w:before="0" w:after="0"/>
              <w:jc w:val="center"/>
            </w:pPr>
            <w:r>
              <w:t>0</w:t>
            </w:r>
          </w:p>
        </w:tc>
        <w:tc>
          <w:tcPr>
            <w:tcW w:w="891" w:type="pct"/>
          </w:tcPr>
          <w:p w14:paraId="141574E9" w14:textId="491FCF96" w:rsidR="00E9689B" w:rsidRDefault="00B76650" w:rsidP="00E9689B">
            <w:pPr>
              <w:spacing w:before="0" w:after="0"/>
              <w:jc w:val="center"/>
            </w:pPr>
            <w:r>
              <w:t>0</w:t>
            </w:r>
          </w:p>
        </w:tc>
      </w:tr>
      <w:tr w:rsidR="00E9689B" w14:paraId="5F350636" w14:textId="77777777" w:rsidTr="00163708">
        <w:tc>
          <w:tcPr>
            <w:tcW w:w="2237" w:type="pct"/>
            <w:vAlign w:val="center"/>
          </w:tcPr>
          <w:p w14:paraId="37DA4811" w14:textId="6A704D3B" w:rsidR="00E9689B" w:rsidRDefault="00E9689B" w:rsidP="00E9689B">
            <w:pPr>
              <w:spacing w:before="0" w:after="0"/>
            </w:pPr>
            <w:r>
              <w:t>Tasmania</w:t>
            </w:r>
          </w:p>
        </w:tc>
        <w:tc>
          <w:tcPr>
            <w:tcW w:w="936" w:type="pct"/>
          </w:tcPr>
          <w:p w14:paraId="4C0B8FAA" w14:textId="260C3181" w:rsidR="00E9689B" w:rsidRDefault="00B76650" w:rsidP="00E9689B">
            <w:pPr>
              <w:spacing w:before="0" w:after="0"/>
              <w:jc w:val="center"/>
            </w:pPr>
            <w:r>
              <w:t>0</w:t>
            </w:r>
          </w:p>
        </w:tc>
        <w:tc>
          <w:tcPr>
            <w:tcW w:w="936" w:type="pct"/>
          </w:tcPr>
          <w:p w14:paraId="72933E47" w14:textId="6A4A1884" w:rsidR="00E9689B" w:rsidRDefault="00B76650" w:rsidP="00E9689B">
            <w:pPr>
              <w:spacing w:before="0" w:after="0"/>
              <w:jc w:val="center"/>
            </w:pPr>
            <w:r>
              <w:t>0</w:t>
            </w:r>
          </w:p>
        </w:tc>
        <w:tc>
          <w:tcPr>
            <w:tcW w:w="891" w:type="pct"/>
          </w:tcPr>
          <w:p w14:paraId="15C91B9D" w14:textId="128BA57C" w:rsidR="00E9689B" w:rsidRDefault="00B76650" w:rsidP="00E9689B">
            <w:pPr>
              <w:spacing w:before="0" w:after="0"/>
              <w:jc w:val="center"/>
            </w:pPr>
            <w:r>
              <w:t>&lt;5</w:t>
            </w:r>
          </w:p>
        </w:tc>
      </w:tr>
      <w:tr w:rsidR="00163708" w14:paraId="464C606D" w14:textId="77777777" w:rsidTr="00163708">
        <w:tc>
          <w:tcPr>
            <w:tcW w:w="2237" w:type="pct"/>
            <w:shd w:val="clear" w:color="auto" w:fill="DDF2EC" w:themeFill="background2" w:themeFillTint="33"/>
            <w:vAlign w:val="center"/>
          </w:tcPr>
          <w:p w14:paraId="647E1BFB" w14:textId="46FA65B2" w:rsidR="00163708" w:rsidRDefault="00163708" w:rsidP="00163708">
            <w:pPr>
              <w:spacing w:before="0" w:after="0"/>
            </w:pPr>
            <w:r w:rsidRPr="00CC30B9">
              <w:rPr>
                <w:rFonts w:asciiTheme="majorHAnsi" w:hAnsiTheme="majorHAnsi"/>
              </w:rPr>
              <w:t>Number of homes</w:t>
            </w:r>
            <w:r>
              <w:rPr>
                <w:rFonts w:asciiTheme="majorHAnsi" w:hAnsiTheme="majorHAnsi"/>
              </w:rPr>
              <w:t xml:space="preserve"> receiving benchmarking</w:t>
            </w:r>
            <w:r w:rsidRPr="00CC30B9">
              <w:rPr>
                <w:rFonts w:asciiTheme="majorHAnsi" w:hAnsiTheme="majorHAnsi"/>
              </w:rPr>
              <w:t xml:space="preserve"> </w:t>
            </w:r>
            <w:r>
              <w:rPr>
                <w:rFonts w:asciiTheme="majorHAnsi" w:hAnsiTheme="majorHAnsi"/>
              </w:rPr>
              <w:t>by remoteness</w:t>
            </w:r>
          </w:p>
        </w:tc>
        <w:tc>
          <w:tcPr>
            <w:tcW w:w="936" w:type="pct"/>
            <w:shd w:val="clear" w:color="auto" w:fill="DDF2EC" w:themeFill="background2" w:themeFillTint="33"/>
          </w:tcPr>
          <w:p w14:paraId="55044E6A" w14:textId="77A7FCCD" w:rsidR="00163708" w:rsidRDefault="00F1731C" w:rsidP="00163708">
            <w:pPr>
              <w:spacing w:before="0" w:after="0"/>
              <w:jc w:val="center"/>
            </w:pPr>
            <w:r>
              <w:rPr>
                <w:b/>
                <w:bCs/>
              </w:rPr>
              <w:t>N</w:t>
            </w:r>
          </w:p>
        </w:tc>
        <w:tc>
          <w:tcPr>
            <w:tcW w:w="936" w:type="pct"/>
            <w:shd w:val="clear" w:color="auto" w:fill="DDF2EC" w:themeFill="background2" w:themeFillTint="33"/>
          </w:tcPr>
          <w:p w14:paraId="2141175F" w14:textId="20C40450" w:rsidR="00163708" w:rsidRDefault="00F1731C" w:rsidP="00163708">
            <w:pPr>
              <w:spacing w:before="0" w:after="0"/>
              <w:jc w:val="center"/>
            </w:pPr>
            <w:r>
              <w:rPr>
                <w:b/>
                <w:bCs/>
              </w:rPr>
              <w:t>N</w:t>
            </w:r>
          </w:p>
        </w:tc>
        <w:tc>
          <w:tcPr>
            <w:tcW w:w="891" w:type="pct"/>
            <w:shd w:val="clear" w:color="auto" w:fill="DDF2EC" w:themeFill="background2" w:themeFillTint="33"/>
          </w:tcPr>
          <w:p w14:paraId="592A4956" w14:textId="2263E63F" w:rsidR="00163708" w:rsidRDefault="00F1731C" w:rsidP="00163708">
            <w:pPr>
              <w:spacing w:before="0" w:after="0"/>
              <w:jc w:val="center"/>
            </w:pPr>
            <w:r>
              <w:rPr>
                <w:b/>
                <w:bCs/>
              </w:rPr>
              <w:t>N</w:t>
            </w:r>
          </w:p>
        </w:tc>
      </w:tr>
      <w:tr w:rsidR="00B76650" w14:paraId="51D16E31" w14:textId="77777777" w:rsidTr="00163708">
        <w:tc>
          <w:tcPr>
            <w:tcW w:w="2237" w:type="pct"/>
            <w:vAlign w:val="center"/>
          </w:tcPr>
          <w:p w14:paraId="2859AE98" w14:textId="687AB529" w:rsidR="00B76650" w:rsidRDefault="00B76650" w:rsidP="00E9689B">
            <w:pPr>
              <w:spacing w:before="0" w:after="0"/>
            </w:pPr>
            <w:r>
              <w:t>MM1</w:t>
            </w:r>
          </w:p>
        </w:tc>
        <w:tc>
          <w:tcPr>
            <w:tcW w:w="936" w:type="pct"/>
          </w:tcPr>
          <w:p w14:paraId="138BC215" w14:textId="71DA40F5" w:rsidR="00B76650" w:rsidRDefault="00B76650" w:rsidP="00E9689B">
            <w:pPr>
              <w:spacing w:before="0" w:after="0"/>
              <w:jc w:val="center"/>
            </w:pPr>
            <w:r>
              <w:t>&gt;9</w:t>
            </w:r>
          </w:p>
        </w:tc>
        <w:tc>
          <w:tcPr>
            <w:tcW w:w="936" w:type="pct"/>
          </w:tcPr>
          <w:p w14:paraId="73A15054" w14:textId="0AA4754E" w:rsidR="00B76650" w:rsidRDefault="00B76650" w:rsidP="00E9689B">
            <w:pPr>
              <w:spacing w:before="0" w:after="0"/>
              <w:jc w:val="center"/>
            </w:pPr>
            <w:r>
              <w:t>&gt;44</w:t>
            </w:r>
          </w:p>
        </w:tc>
        <w:tc>
          <w:tcPr>
            <w:tcW w:w="891" w:type="pct"/>
          </w:tcPr>
          <w:p w14:paraId="0E93A945" w14:textId="29802F6F" w:rsidR="00B76650" w:rsidRDefault="00B76650" w:rsidP="00E9689B">
            <w:pPr>
              <w:spacing w:before="0" w:after="0"/>
              <w:jc w:val="center"/>
            </w:pPr>
            <w:r>
              <w:t>75</w:t>
            </w:r>
          </w:p>
        </w:tc>
      </w:tr>
      <w:tr w:rsidR="00B76650" w14:paraId="1443AF7A" w14:textId="77777777" w:rsidTr="00163708">
        <w:tc>
          <w:tcPr>
            <w:tcW w:w="2237" w:type="pct"/>
            <w:vAlign w:val="center"/>
          </w:tcPr>
          <w:p w14:paraId="186D5C80" w14:textId="0C219033" w:rsidR="00B76650" w:rsidRDefault="00B76650" w:rsidP="00E9689B">
            <w:pPr>
              <w:spacing w:before="0" w:after="0"/>
            </w:pPr>
            <w:r>
              <w:t>MM2</w:t>
            </w:r>
          </w:p>
        </w:tc>
        <w:tc>
          <w:tcPr>
            <w:tcW w:w="936" w:type="pct"/>
          </w:tcPr>
          <w:p w14:paraId="36825326" w14:textId="6D27C3AE" w:rsidR="00B76650" w:rsidRDefault="00B76650" w:rsidP="00E9689B">
            <w:pPr>
              <w:spacing w:before="0" w:after="0"/>
              <w:jc w:val="center"/>
            </w:pPr>
            <w:r>
              <w:t>&lt;5</w:t>
            </w:r>
          </w:p>
        </w:tc>
        <w:tc>
          <w:tcPr>
            <w:tcW w:w="936" w:type="pct"/>
          </w:tcPr>
          <w:p w14:paraId="40BC9892" w14:textId="4C86B26D" w:rsidR="00B76650" w:rsidRDefault="00B76650" w:rsidP="00E9689B">
            <w:pPr>
              <w:spacing w:before="0" w:after="0"/>
              <w:jc w:val="center"/>
            </w:pPr>
            <w:r>
              <w:t>&lt;5</w:t>
            </w:r>
          </w:p>
        </w:tc>
        <w:tc>
          <w:tcPr>
            <w:tcW w:w="891" w:type="pct"/>
          </w:tcPr>
          <w:p w14:paraId="1E35E29F" w14:textId="02E866AE" w:rsidR="00B76650" w:rsidRDefault="00B76650" w:rsidP="00E9689B">
            <w:pPr>
              <w:spacing w:before="0" w:after="0"/>
              <w:jc w:val="center"/>
            </w:pPr>
            <w:r>
              <w:t>10</w:t>
            </w:r>
          </w:p>
        </w:tc>
      </w:tr>
      <w:tr w:rsidR="00E9689B" w14:paraId="3CE87766" w14:textId="77777777" w:rsidTr="00163708">
        <w:tc>
          <w:tcPr>
            <w:tcW w:w="2237" w:type="pct"/>
          </w:tcPr>
          <w:p w14:paraId="103C3DF5" w14:textId="3ABEBBC3" w:rsidR="00E9689B" w:rsidRDefault="00B76650" w:rsidP="00E9689B">
            <w:pPr>
              <w:spacing w:before="0" w:after="0"/>
            </w:pPr>
            <w:r>
              <w:t xml:space="preserve">MM3–7 </w:t>
            </w:r>
          </w:p>
        </w:tc>
        <w:tc>
          <w:tcPr>
            <w:tcW w:w="936" w:type="pct"/>
          </w:tcPr>
          <w:p w14:paraId="7221888A" w14:textId="7A9B664A" w:rsidR="00E9689B" w:rsidRDefault="00B76650" w:rsidP="00E9689B">
            <w:pPr>
              <w:spacing w:before="0" w:after="0"/>
              <w:jc w:val="center"/>
            </w:pPr>
            <w:r>
              <w:t>5</w:t>
            </w:r>
          </w:p>
        </w:tc>
        <w:tc>
          <w:tcPr>
            <w:tcW w:w="936" w:type="pct"/>
          </w:tcPr>
          <w:p w14:paraId="0B7FFA3E" w14:textId="7CA8DF3B" w:rsidR="00E9689B" w:rsidRDefault="00B76650" w:rsidP="00E9689B">
            <w:pPr>
              <w:spacing w:before="0" w:after="0"/>
              <w:jc w:val="center"/>
            </w:pPr>
            <w:r>
              <w:t>18</w:t>
            </w:r>
          </w:p>
        </w:tc>
        <w:tc>
          <w:tcPr>
            <w:tcW w:w="891" w:type="pct"/>
          </w:tcPr>
          <w:p w14:paraId="47AFC369" w14:textId="2270C7B9" w:rsidR="00E9689B" w:rsidRDefault="00B76650" w:rsidP="00E9689B">
            <w:pPr>
              <w:spacing w:before="0" w:after="0"/>
              <w:jc w:val="center"/>
            </w:pPr>
            <w:r>
              <w:t>46</w:t>
            </w:r>
          </w:p>
        </w:tc>
      </w:tr>
    </w:tbl>
    <w:p w14:paraId="7523B8B9" w14:textId="621005C1" w:rsidR="00B76650" w:rsidRDefault="00B76650" w:rsidP="00B76650">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4EDCD030" w14:textId="69EBB306" w:rsidR="00421BC5" w:rsidRDefault="00936F6F" w:rsidP="00936F6F">
      <w:pPr>
        <w:pStyle w:val="Heading4"/>
      </w:pPr>
      <w:r>
        <w:t>PACOP educational activities</w:t>
      </w:r>
    </w:p>
    <w:p w14:paraId="39753FF8" w14:textId="10936D89" w:rsidR="00936F6F" w:rsidRDefault="001308FD" w:rsidP="00BA6A2A">
      <w:r>
        <w:t xml:space="preserve">The number and profile of PACOP workshops delivered by financial year are presented in </w:t>
      </w:r>
      <w:r w:rsidR="00066E55">
        <w:fldChar w:fldCharType="begin"/>
      </w:r>
      <w:r w:rsidR="00066E55">
        <w:instrText xml:space="preserve"> REF _Ref216793834 \h </w:instrText>
      </w:r>
      <w:r w:rsidR="00066E55">
        <w:fldChar w:fldCharType="separate"/>
      </w:r>
      <w:r w:rsidR="00167BA0">
        <w:t xml:space="preserve">Table </w:t>
      </w:r>
      <w:r w:rsidR="00167BA0">
        <w:rPr>
          <w:noProof/>
        </w:rPr>
        <w:t>9</w:t>
      </w:r>
      <w:r w:rsidR="00167BA0">
        <w:t>.</w:t>
      </w:r>
      <w:r w:rsidR="00167BA0">
        <w:rPr>
          <w:noProof/>
        </w:rPr>
        <w:t>24</w:t>
      </w:r>
      <w:r w:rsidR="00066E55">
        <w:fldChar w:fldCharType="end"/>
      </w:r>
      <w:r>
        <w:t>.</w:t>
      </w:r>
    </w:p>
    <w:p w14:paraId="2B39CD66" w14:textId="1E6FB933" w:rsidR="00C67EE4" w:rsidRDefault="00C67EE4" w:rsidP="00C67EE4">
      <w:pPr>
        <w:pStyle w:val="Caption"/>
      </w:pPr>
      <w:bookmarkStart w:id="215" w:name="_Ref216793834"/>
      <w:bookmarkStart w:id="216" w:name="_Ref216264409"/>
      <w:r>
        <w:t xml:space="preserve">Table </w:t>
      </w:r>
      <w:fldSimple w:instr=" STYLEREF 1 \s ">
        <w:r w:rsidR="0091457A">
          <w:rPr>
            <w:noProof/>
          </w:rPr>
          <w:t>9</w:t>
        </w:r>
      </w:fldSimple>
      <w:r w:rsidR="0091457A">
        <w:t>.</w:t>
      </w:r>
      <w:fldSimple w:instr=" SEQ Table \* ARABIC \s 1 ">
        <w:r w:rsidR="0091457A">
          <w:rPr>
            <w:noProof/>
          </w:rPr>
          <w:t>24</w:t>
        </w:r>
      </w:fldSimple>
      <w:bookmarkEnd w:id="215"/>
      <w:bookmarkEnd w:id="216"/>
      <w:r>
        <w:t>: Number and profile of PACOP workshops delivered</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ACOP workshops delivered"/>
        <w:tblDescription w:val="Table sows the number and profile of PACOP workshops delivered by financial year from 2022-23 to 2024-25."/>
      </w:tblPr>
      <w:tblGrid>
        <w:gridCol w:w="3240"/>
        <w:gridCol w:w="1063"/>
        <w:gridCol w:w="1063"/>
        <w:gridCol w:w="1063"/>
        <w:gridCol w:w="774"/>
      </w:tblGrid>
      <w:tr w:rsidR="00A22E4C" w14:paraId="75942727" w14:textId="77777777" w:rsidTr="006A115E">
        <w:trPr>
          <w:cnfStyle w:val="100000000000" w:firstRow="1" w:lastRow="0" w:firstColumn="0" w:lastColumn="0" w:oddVBand="0" w:evenVBand="0" w:oddHBand="0" w:evenHBand="0" w:firstRowFirstColumn="0" w:firstRowLastColumn="0" w:lastRowFirstColumn="0" w:lastRowLastColumn="0"/>
          <w:tblHeader/>
        </w:trPr>
        <w:tc>
          <w:tcPr>
            <w:tcW w:w="2249" w:type="pct"/>
          </w:tcPr>
          <w:p w14:paraId="44F37E15" w14:textId="2ADE1D4C" w:rsidR="00A22E4C" w:rsidRDefault="0029165B" w:rsidP="00A22E4C">
            <w:pPr>
              <w:spacing w:before="0" w:after="0"/>
            </w:pPr>
            <w:r>
              <w:t>Characteristic</w:t>
            </w:r>
          </w:p>
        </w:tc>
        <w:tc>
          <w:tcPr>
            <w:tcW w:w="738" w:type="pct"/>
          </w:tcPr>
          <w:p w14:paraId="4C38C731" w14:textId="22655E14" w:rsidR="00A22E4C" w:rsidRDefault="00A22E4C" w:rsidP="00A22E4C">
            <w:pPr>
              <w:spacing w:before="0" w:after="0"/>
              <w:jc w:val="center"/>
            </w:pPr>
            <w:r w:rsidRPr="004D646B">
              <w:t>2022</w:t>
            </w:r>
            <w:r>
              <w:rPr>
                <w:caps w:val="0"/>
              </w:rPr>
              <w:t>–</w:t>
            </w:r>
            <w:r w:rsidRPr="004D646B">
              <w:t>23</w:t>
            </w:r>
          </w:p>
        </w:tc>
        <w:tc>
          <w:tcPr>
            <w:tcW w:w="738" w:type="pct"/>
          </w:tcPr>
          <w:p w14:paraId="393E7B4B" w14:textId="25D6DC01" w:rsidR="00A22E4C" w:rsidRDefault="00A22E4C" w:rsidP="00A22E4C">
            <w:pPr>
              <w:spacing w:before="0" w:after="0"/>
              <w:jc w:val="center"/>
            </w:pPr>
            <w:r w:rsidRPr="004D646B">
              <w:t>2023</w:t>
            </w:r>
            <w:r>
              <w:rPr>
                <w:caps w:val="0"/>
              </w:rPr>
              <w:t>–</w:t>
            </w:r>
            <w:r w:rsidRPr="004D646B">
              <w:t>24</w:t>
            </w:r>
          </w:p>
        </w:tc>
        <w:tc>
          <w:tcPr>
            <w:tcW w:w="738" w:type="pct"/>
          </w:tcPr>
          <w:p w14:paraId="2D0CB394" w14:textId="3EC2CD12" w:rsidR="00A22E4C" w:rsidRDefault="00A22E4C" w:rsidP="00A22E4C">
            <w:pPr>
              <w:spacing w:before="0" w:after="0"/>
              <w:jc w:val="center"/>
            </w:pPr>
            <w:r w:rsidRPr="004D646B">
              <w:t>2024</w:t>
            </w:r>
            <w:r>
              <w:rPr>
                <w:caps w:val="0"/>
              </w:rPr>
              <w:t>–</w:t>
            </w:r>
            <w:r w:rsidRPr="004D646B">
              <w:t>25</w:t>
            </w:r>
          </w:p>
        </w:tc>
        <w:tc>
          <w:tcPr>
            <w:tcW w:w="537" w:type="pct"/>
          </w:tcPr>
          <w:p w14:paraId="5B520B9B" w14:textId="37144822" w:rsidR="00A22E4C" w:rsidRDefault="00A22E4C" w:rsidP="00A22E4C">
            <w:pPr>
              <w:spacing w:before="0" w:after="0"/>
              <w:jc w:val="center"/>
            </w:pPr>
            <w:r>
              <w:t>Total</w:t>
            </w:r>
          </w:p>
        </w:tc>
      </w:tr>
      <w:tr w:rsidR="007D5EEF" w14:paraId="2B00C230" w14:textId="77777777" w:rsidTr="006A115E">
        <w:tc>
          <w:tcPr>
            <w:tcW w:w="2249" w:type="pct"/>
            <w:shd w:val="clear" w:color="auto" w:fill="DDF2EC" w:themeFill="background2" w:themeFillTint="33"/>
            <w:vAlign w:val="bottom"/>
          </w:tcPr>
          <w:p w14:paraId="32ECACB0" w14:textId="1B6CCF5B" w:rsidR="007D5EEF" w:rsidRDefault="007D5EEF" w:rsidP="00DA03E4">
            <w:pPr>
              <w:pStyle w:val="TableText"/>
            </w:pPr>
            <w:r>
              <w:rPr>
                <w:rFonts w:asciiTheme="majorHAnsi" w:hAnsiTheme="majorHAnsi"/>
              </w:rPr>
              <w:t>Workshop type</w:t>
            </w:r>
          </w:p>
        </w:tc>
        <w:tc>
          <w:tcPr>
            <w:tcW w:w="738" w:type="pct"/>
            <w:shd w:val="clear" w:color="auto" w:fill="DDF2EC" w:themeFill="background2" w:themeFillTint="33"/>
          </w:tcPr>
          <w:p w14:paraId="3CA9A452" w14:textId="35CFC452" w:rsidR="007D5EEF" w:rsidRPr="006A115E" w:rsidRDefault="00F1731C" w:rsidP="00DA03E4">
            <w:pPr>
              <w:pStyle w:val="TableText"/>
              <w:jc w:val="center"/>
              <w:rPr>
                <w:b/>
                <w:bCs/>
              </w:rPr>
            </w:pPr>
            <w:r>
              <w:rPr>
                <w:b/>
                <w:bCs/>
              </w:rPr>
              <w:t>N</w:t>
            </w:r>
          </w:p>
        </w:tc>
        <w:tc>
          <w:tcPr>
            <w:tcW w:w="738" w:type="pct"/>
            <w:shd w:val="clear" w:color="auto" w:fill="DDF2EC" w:themeFill="background2" w:themeFillTint="33"/>
          </w:tcPr>
          <w:p w14:paraId="5311A319" w14:textId="4B593794" w:rsidR="007D5EEF" w:rsidRPr="006A115E" w:rsidRDefault="00F1731C" w:rsidP="00DA03E4">
            <w:pPr>
              <w:pStyle w:val="TableText"/>
              <w:jc w:val="center"/>
              <w:rPr>
                <w:b/>
                <w:bCs/>
              </w:rPr>
            </w:pPr>
            <w:r>
              <w:rPr>
                <w:b/>
                <w:bCs/>
              </w:rPr>
              <w:t>N</w:t>
            </w:r>
          </w:p>
        </w:tc>
        <w:tc>
          <w:tcPr>
            <w:tcW w:w="738" w:type="pct"/>
            <w:shd w:val="clear" w:color="auto" w:fill="DDF2EC" w:themeFill="background2" w:themeFillTint="33"/>
          </w:tcPr>
          <w:p w14:paraId="66AAD098" w14:textId="48A7ACFE" w:rsidR="007D5EEF" w:rsidRPr="006A115E" w:rsidRDefault="00F1731C" w:rsidP="00DA03E4">
            <w:pPr>
              <w:pStyle w:val="TableText"/>
              <w:jc w:val="center"/>
              <w:rPr>
                <w:b/>
                <w:bCs/>
              </w:rPr>
            </w:pPr>
            <w:r>
              <w:rPr>
                <w:b/>
                <w:bCs/>
              </w:rPr>
              <w:t>N</w:t>
            </w:r>
          </w:p>
        </w:tc>
        <w:tc>
          <w:tcPr>
            <w:tcW w:w="537" w:type="pct"/>
            <w:shd w:val="clear" w:color="auto" w:fill="DDF2EC" w:themeFill="background2" w:themeFillTint="33"/>
          </w:tcPr>
          <w:p w14:paraId="4211413E" w14:textId="01627B1F" w:rsidR="007D5EEF" w:rsidRPr="006A115E" w:rsidRDefault="00F1731C" w:rsidP="00DA03E4">
            <w:pPr>
              <w:pStyle w:val="TableText"/>
              <w:jc w:val="center"/>
              <w:rPr>
                <w:b/>
                <w:bCs/>
              </w:rPr>
            </w:pPr>
            <w:r>
              <w:rPr>
                <w:b/>
                <w:bCs/>
              </w:rPr>
              <w:t>N</w:t>
            </w:r>
          </w:p>
        </w:tc>
      </w:tr>
      <w:tr w:rsidR="00312174" w14:paraId="16DB0792" w14:textId="77777777" w:rsidTr="006A115E">
        <w:tc>
          <w:tcPr>
            <w:tcW w:w="2249" w:type="pct"/>
            <w:vAlign w:val="bottom"/>
          </w:tcPr>
          <w:p w14:paraId="4FAEE7F2" w14:textId="0DAD35E2" w:rsidR="00312174" w:rsidRDefault="00312174" w:rsidP="00312174">
            <w:pPr>
              <w:pStyle w:val="TableText"/>
            </w:pPr>
            <w:r>
              <w:t>PACOP Full Fundamentals</w:t>
            </w:r>
          </w:p>
        </w:tc>
        <w:tc>
          <w:tcPr>
            <w:tcW w:w="738" w:type="pct"/>
          </w:tcPr>
          <w:p w14:paraId="04051499" w14:textId="3D7A6327" w:rsidR="00312174" w:rsidRPr="00312174" w:rsidRDefault="00312174" w:rsidP="00312174">
            <w:pPr>
              <w:pStyle w:val="TableText"/>
              <w:jc w:val="center"/>
            </w:pPr>
            <w:r w:rsidRPr="00312174">
              <w:t>16</w:t>
            </w:r>
          </w:p>
        </w:tc>
        <w:tc>
          <w:tcPr>
            <w:tcW w:w="738" w:type="pct"/>
          </w:tcPr>
          <w:p w14:paraId="51F3D15A" w14:textId="1B3A983A" w:rsidR="00312174" w:rsidRPr="00312174" w:rsidRDefault="00312174" w:rsidP="00312174">
            <w:pPr>
              <w:pStyle w:val="TableText"/>
              <w:jc w:val="center"/>
            </w:pPr>
            <w:r w:rsidRPr="00312174">
              <w:t>35</w:t>
            </w:r>
          </w:p>
        </w:tc>
        <w:tc>
          <w:tcPr>
            <w:tcW w:w="738" w:type="pct"/>
          </w:tcPr>
          <w:p w14:paraId="11B34423" w14:textId="31EEA05E" w:rsidR="00312174" w:rsidRPr="00312174" w:rsidRDefault="00312174" w:rsidP="00312174">
            <w:pPr>
              <w:pStyle w:val="TableText"/>
              <w:jc w:val="center"/>
            </w:pPr>
            <w:r w:rsidRPr="00312174">
              <w:t>47</w:t>
            </w:r>
          </w:p>
        </w:tc>
        <w:tc>
          <w:tcPr>
            <w:tcW w:w="537" w:type="pct"/>
          </w:tcPr>
          <w:p w14:paraId="2549AF69" w14:textId="2A8B11F0" w:rsidR="00312174" w:rsidRPr="00312174" w:rsidRDefault="00312174" w:rsidP="00312174">
            <w:pPr>
              <w:pStyle w:val="TableText"/>
              <w:jc w:val="center"/>
            </w:pPr>
            <w:r w:rsidRPr="00312174">
              <w:t>98</w:t>
            </w:r>
          </w:p>
        </w:tc>
      </w:tr>
      <w:tr w:rsidR="00312174" w14:paraId="16DEBE10" w14:textId="77777777" w:rsidTr="006A115E">
        <w:tc>
          <w:tcPr>
            <w:tcW w:w="2249" w:type="pct"/>
            <w:vAlign w:val="bottom"/>
          </w:tcPr>
          <w:p w14:paraId="6BBE16E5" w14:textId="48F8E994" w:rsidR="00312174" w:rsidRDefault="00312174" w:rsidP="00312174">
            <w:pPr>
              <w:pStyle w:val="TableText"/>
            </w:pPr>
            <w:r>
              <w:t>PACOP Profile Fundamentals</w:t>
            </w:r>
          </w:p>
        </w:tc>
        <w:tc>
          <w:tcPr>
            <w:tcW w:w="738" w:type="pct"/>
          </w:tcPr>
          <w:p w14:paraId="76814B7F" w14:textId="343BEB38" w:rsidR="00312174" w:rsidRPr="00312174" w:rsidRDefault="00312174" w:rsidP="00312174">
            <w:pPr>
              <w:pStyle w:val="TableText"/>
              <w:jc w:val="center"/>
            </w:pPr>
            <w:r w:rsidRPr="00312174">
              <w:t>1</w:t>
            </w:r>
          </w:p>
        </w:tc>
        <w:tc>
          <w:tcPr>
            <w:tcW w:w="738" w:type="pct"/>
          </w:tcPr>
          <w:p w14:paraId="593A2E29" w14:textId="79BBA4AC" w:rsidR="00312174" w:rsidRPr="00312174" w:rsidRDefault="00312174" w:rsidP="00312174">
            <w:pPr>
              <w:pStyle w:val="TableText"/>
              <w:jc w:val="center"/>
            </w:pPr>
            <w:r w:rsidRPr="00312174">
              <w:t>19</w:t>
            </w:r>
          </w:p>
        </w:tc>
        <w:tc>
          <w:tcPr>
            <w:tcW w:w="738" w:type="pct"/>
          </w:tcPr>
          <w:p w14:paraId="2809D1CF" w14:textId="2EA958D1" w:rsidR="00312174" w:rsidRPr="00312174" w:rsidRDefault="00312174" w:rsidP="00312174">
            <w:pPr>
              <w:pStyle w:val="TableText"/>
              <w:jc w:val="center"/>
            </w:pPr>
            <w:r w:rsidRPr="00312174">
              <w:t>10</w:t>
            </w:r>
          </w:p>
        </w:tc>
        <w:tc>
          <w:tcPr>
            <w:tcW w:w="537" w:type="pct"/>
          </w:tcPr>
          <w:p w14:paraId="1BC2AFCB" w14:textId="31C106FE" w:rsidR="00312174" w:rsidRPr="00312174" w:rsidRDefault="00312174" w:rsidP="00312174">
            <w:pPr>
              <w:pStyle w:val="TableText"/>
              <w:jc w:val="center"/>
            </w:pPr>
            <w:r w:rsidRPr="00312174">
              <w:t>30</w:t>
            </w:r>
          </w:p>
        </w:tc>
      </w:tr>
      <w:tr w:rsidR="00312174" w14:paraId="5618A86B" w14:textId="77777777" w:rsidTr="006A115E">
        <w:tc>
          <w:tcPr>
            <w:tcW w:w="2249" w:type="pct"/>
            <w:vAlign w:val="bottom"/>
          </w:tcPr>
          <w:p w14:paraId="7A2E31F1" w14:textId="1025C1BD" w:rsidR="00312174" w:rsidRDefault="00312174" w:rsidP="00312174">
            <w:pPr>
              <w:pStyle w:val="TableText"/>
            </w:pPr>
            <w:r>
              <w:t>PACOP Outcomes Fundamentals</w:t>
            </w:r>
          </w:p>
        </w:tc>
        <w:tc>
          <w:tcPr>
            <w:tcW w:w="738" w:type="pct"/>
          </w:tcPr>
          <w:p w14:paraId="593EEB5A" w14:textId="55361989" w:rsidR="00312174" w:rsidRPr="00312174" w:rsidRDefault="00312174" w:rsidP="00312174">
            <w:pPr>
              <w:pStyle w:val="TableText"/>
              <w:jc w:val="center"/>
            </w:pPr>
            <w:r w:rsidRPr="00312174">
              <w:t>1</w:t>
            </w:r>
          </w:p>
        </w:tc>
        <w:tc>
          <w:tcPr>
            <w:tcW w:w="738" w:type="pct"/>
          </w:tcPr>
          <w:p w14:paraId="5DD7BED3" w14:textId="177E7FC1" w:rsidR="00312174" w:rsidRPr="00312174" w:rsidRDefault="00312174" w:rsidP="00312174">
            <w:pPr>
              <w:pStyle w:val="TableText"/>
              <w:jc w:val="center"/>
            </w:pPr>
            <w:r w:rsidRPr="00312174">
              <w:t>5</w:t>
            </w:r>
          </w:p>
        </w:tc>
        <w:tc>
          <w:tcPr>
            <w:tcW w:w="738" w:type="pct"/>
          </w:tcPr>
          <w:p w14:paraId="38C08A68" w14:textId="6AF7C090" w:rsidR="00312174" w:rsidRPr="00312174" w:rsidRDefault="00312174" w:rsidP="00312174">
            <w:pPr>
              <w:pStyle w:val="TableText"/>
              <w:jc w:val="center"/>
            </w:pPr>
            <w:r w:rsidRPr="00312174">
              <w:t>6</w:t>
            </w:r>
          </w:p>
        </w:tc>
        <w:tc>
          <w:tcPr>
            <w:tcW w:w="537" w:type="pct"/>
          </w:tcPr>
          <w:p w14:paraId="4D8A84E2" w14:textId="3DA35005" w:rsidR="00312174" w:rsidRPr="00312174" w:rsidRDefault="00312174" w:rsidP="00312174">
            <w:pPr>
              <w:pStyle w:val="TableText"/>
              <w:jc w:val="center"/>
            </w:pPr>
            <w:r w:rsidRPr="00312174">
              <w:t>12</w:t>
            </w:r>
          </w:p>
        </w:tc>
      </w:tr>
      <w:tr w:rsidR="00312174" w14:paraId="67555B85" w14:textId="77777777" w:rsidTr="006A115E">
        <w:tc>
          <w:tcPr>
            <w:tcW w:w="2249" w:type="pct"/>
            <w:vAlign w:val="bottom"/>
          </w:tcPr>
          <w:p w14:paraId="0B01F44E" w14:textId="13862383" w:rsidR="00312174" w:rsidRDefault="00312174" w:rsidP="00312174">
            <w:pPr>
              <w:pStyle w:val="TableText"/>
            </w:pPr>
            <w:r>
              <w:t>PACOP SAS for Care Staff</w:t>
            </w:r>
          </w:p>
        </w:tc>
        <w:tc>
          <w:tcPr>
            <w:tcW w:w="738" w:type="pct"/>
          </w:tcPr>
          <w:p w14:paraId="6506093C" w14:textId="3D41A576" w:rsidR="00312174" w:rsidRPr="00312174" w:rsidRDefault="00312174" w:rsidP="00312174">
            <w:pPr>
              <w:pStyle w:val="TableText"/>
              <w:jc w:val="center"/>
            </w:pPr>
            <w:r w:rsidRPr="00312174">
              <w:t>0</w:t>
            </w:r>
          </w:p>
        </w:tc>
        <w:tc>
          <w:tcPr>
            <w:tcW w:w="738" w:type="pct"/>
          </w:tcPr>
          <w:p w14:paraId="339D25C7" w14:textId="1A756AF3" w:rsidR="00312174" w:rsidRPr="00312174" w:rsidRDefault="00312174" w:rsidP="00312174">
            <w:pPr>
              <w:pStyle w:val="TableText"/>
              <w:jc w:val="center"/>
            </w:pPr>
            <w:r w:rsidRPr="00312174">
              <w:t>1</w:t>
            </w:r>
          </w:p>
        </w:tc>
        <w:tc>
          <w:tcPr>
            <w:tcW w:w="738" w:type="pct"/>
          </w:tcPr>
          <w:p w14:paraId="2EBF1B1C" w14:textId="25949FE8" w:rsidR="00312174" w:rsidRPr="00312174" w:rsidRDefault="00312174" w:rsidP="00312174">
            <w:pPr>
              <w:pStyle w:val="TableText"/>
              <w:jc w:val="center"/>
            </w:pPr>
            <w:r w:rsidRPr="00312174">
              <w:t>8</w:t>
            </w:r>
          </w:p>
        </w:tc>
        <w:tc>
          <w:tcPr>
            <w:tcW w:w="537" w:type="pct"/>
          </w:tcPr>
          <w:p w14:paraId="747FD683" w14:textId="51C74087" w:rsidR="00312174" w:rsidRPr="00312174" w:rsidRDefault="00312174" w:rsidP="00312174">
            <w:pPr>
              <w:pStyle w:val="TableText"/>
              <w:jc w:val="center"/>
            </w:pPr>
            <w:r w:rsidRPr="00312174">
              <w:t>9</w:t>
            </w:r>
          </w:p>
        </w:tc>
      </w:tr>
      <w:tr w:rsidR="00312174" w14:paraId="52A31014" w14:textId="77777777" w:rsidTr="006A115E">
        <w:tc>
          <w:tcPr>
            <w:tcW w:w="2249" w:type="pct"/>
            <w:vAlign w:val="bottom"/>
          </w:tcPr>
          <w:p w14:paraId="50A4E7F0" w14:textId="1C0D26BE" w:rsidR="00312174" w:rsidRDefault="00312174" w:rsidP="00312174">
            <w:pPr>
              <w:pStyle w:val="TableText"/>
            </w:pPr>
            <w:r>
              <w:t>Benchmarking workshop</w:t>
            </w:r>
          </w:p>
        </w:tc>
        <w:tc>
          <w:tcPr>
            <w:tcW w:w="738" w:type="pct"/>
          </w:tcPr>
          <w:p w14:paraId="6162CE3B" w14:textId="64034C30" w:rsidR="00312174" w:rsidRPr="00312174" w:rsidRDefault="00312174" w:rsidP="00312174">
            <w:pPr>
              <w:pStyle w:val="TableText"/>
              <w:jc w:val="center"/>
            </w:pPr>
            <w:r w:rsidRPr="00312174">
              <w:t>1</w:t>
            </w:r>
          </w:p>
        </w:tc>
        <w:tc>
          <w:tcPr>
            <w:tcW w:w="738" w:type="pct"/>
          </w:tcPr>
          <w:p w14:paraId="268EAACA" w14:textId="6D8EC2C6" w:rsidR="00312174" w:rsidRPr="00312174" w:rsidRDefault="00312174" w:rsidP="00312174">
            <w:pPr>
              <w:pStyle w:val="TableText"/>
              <w:jc w:val="center"/>
            </w:pPr>
            <w:r w:rsidRPr="00312174">
              <w:t>1</w:t>
            </w:r>
          </w:p>
        </w:tc>
        <w:tc>
          <w:tcPr>
            <w:tcW w:w="738" w:type="pct"/>
          </w:tcPr>
          <w:p w14:paraId="4A3ADCCD" w14:textId="18D31101" w:rsidR="00312174" w:rsidRPr="00312174" w:rsidRDefault="00312174" w:rsidP="00312174">
            <w:pPr>
              <w:pStyle w:val="TableText"/>
              <w:jc w:val="center"/>
            </w:pPr>
            <w:r w:rsidRPr="00312174">
              <w:t>1</w:t>
            </w:r>
          </w:p>
        </w:tc>
        <w:tc>
          <w:tcPr>
            <w:tcW w:w="537" w:type="pct"/>
          </w:tcPr>
          <w:p w14:paraId="4F358102" w14:textId="74401C91" w:rsidR="00312174" w:rsidRPr="00312174" w:rsidRDefault="00312174" w:rsidP="00312174">
            <w:pPr>
              <w:pStyle w:val="TableText"/>
              <w:jc w:val="center"/>
            </w:pPr>
            <w:r w:rsidRPr="00312174">
              <w:t>3</w:t>
            </w:r>
          </w:p>
        </w:tc>
      </w:tr>
      <w:tr w:rsidR="00312174" w14:paraId="04450545" w14:textId="77777777" w:rsidTr="006A115E">
        <w:tc>
          <w:tcPr>
            <w:tcW w:w="2249" w:type="pct"/>
          </w:tcPr>
          <w:p w14:paraId="4D960A73" w14:textId="5E0CA226" w:rsidR="00312174" w:rsidRDefault="00312174" w:rsidP="00312174">
            <w:pPr>
              <w:pStyle w:val="TableText"/>
            </w:pPr>
            <w:r>
              <w:t>Benchmarking supplement session</w:t>
            </w:r>
          </w:p>
        </w:tc>
        <w:tc>
          <w:tcPr>
            <w:tcW w:w="738" w:type="pct"/>
          </w:tcPr>
          <w:p w14:paraId="101BB06D" w14:textId="5A94D246" w:rsidR="00312174" w:rsidRPr="00312174" w:rsidRDefault="00312174" w:rsidP="00312174">
            <w:pPr>
              <w:pStyle w:val="TableText"/>
              <w:jc w:val="center"/>
            </w:pPr>
            <w:r w:rsidRPr="00312174">
              <w:t>1</w:t>
            </w:r>
          </w:p>
        </w:tc>
        <w:tc>
          <w:tcPr>
            <w:tcW w:w="738" w:type="pct"/>
          </w:tcPr>
          <w:p w14:paraId="114C067D" w14:textId="1A539AFA" w:rsidR="00312174" w:rsidRPr="00312174" w:rsidRDefault="00312174" w:rsidP="00312174">
            <w:pPr>
              <w:pStyle w:val="TableText"/>
              <w:jc w:val="center"/>
            </w:pPr>
            <w:r w:rsidRPr="00312174">
              <w:t>1</w:t>
            </w:r>
          </w:p>
        </w:tc>
        <w:tc>
          <w:tcPr>
            <w:tcW w:w="738" w:type="pct"/>
          </w:tcPr>
          <w:p w14:paraId="2CA1A86D" w14:textId="146D309B" w:rsidR="00312174" w:rsidRPr="00312174" w:rsidRDefault="00312174" w:rsidP="00312174">
            <w:pPr>
              <w:pStyle w:val="TableText"/>
              <w:jc w:val="center"/>
            </w:pPr>
            <w:r w:rsidRPr="00312174">
              <w:t>1</w:t>
            </w:r>
          </w:p>
        </w:tc>
        <w:tc>
          <w:tcPr>
            <w:tcW w:w="537" w:type="pct"/>
          </w:tcPr>
          <w:p w14:paraId="50C72E38" w14:textId="3BEE5E3C" w:rsidR="00312174" w:rsidRPr="00312174" w:rsidRDefault="00312174" w:rsidP="00312174">
            <w:pPr>
              <w:pStyle w:val="TableText"/>
              <w:jc w:val="center"/>
            </w:pPr>
            <w:r w:rsidRPr="00312174">
              <w:t>3</w:t>
            </w:r>
          </w:p>
        </w:tc>
      </w:tr>
      <w:tr w:rsidR="005A10E8" w:rsidRPr="005A10E8" w14:paraId="48E2D003" w14:textId="77777777" w:rsidTr="006A115E">
        <w:tc>
          <w:tcPr>
            <w:tcW w:w="2249" w:type="pct"/>
            <w:shd w:val="clear" w:color="auto" w:fill="DCDCDF" w:themeFill="text2" w:themeFillTint="33"/>
          </w:tcPr>
          <w:p w14:paraId="17EE90D2" w14:textId="3D38D052" w:rsidR="005A10E8" w:rsidRPr="005A10E8" w:rsidRDefault="005A10E8" w:rsidP="00312174">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36367998" w14:textId="79D40BA0" w:rsidR="005A10E8" w:rsidRPr="005A10E8" w:rsidRDefault="005A10E8" w:rsidP="00312174">
            <w:pPr>
              <w:pStyle w:val="TableText"/>
              <w:jc w:val="center"/>
              <w:rPr>
                <w:rFonts w:asciiTheme="majorHAnsi" w:hAnsiTheme="majorHAnsi"/>
              </w:rPr>
            </w:pPr>
            <w:r w:rsidRPr="005A10E8">
              <w:rPr>
                <w:rFonts w:asciiTheme="majorHAnsi" w:hAnsiTheme="majorHAnsi"/>
              </w:rPr>
              <w:t>20</w:t>
            </w:r>
          </w:p>
        </w:tc>
        <w:tc>
          <w:tcPr>
            <w:tcW w:w="738" w:type="pct"/>
            <w:shd w:val="clear" w:color="auto" w:fill="DCDCDF" w:themeFill="text2" w:themeFillTint="33"/>
          </w:tcPr>
          <w:p w14:paraId="62E383A0" w14:textId="1D3A3DFB" w:rsidR="005A10E8" w:rsidRPr="005A10E8" w:rsidRDefault="005A10E8" w:rsidP="00312174">
            <w:pPr>
              <w:pStyle w:val="TableText"/>
              <w:jc w:val="center"/>
              <w:rPr>
                <w:rFonts w:asciiTheme="majorHAnsi" w:hAnsiTheme="majorHAnsi"/>
              </w:rPr>
            </w:pPr>
            <w:r w:rsidRPr="005A10E8">
              <w:rPr>
                <w:rFonts w:asciiTheme="majorHAnsi" w:hAnsiTheme="majorHAnsi"/>
              </w:rPr>
              <w:t>62</w:t>
            </w:r>
          </w:p>
        </w:tc>
        <w:tc>
          <w:tcPr>
            <w:tcW w:w="738" w:type="pct"/>
            <w:shd w:val="clear" w:color="auto" w:fill="DCDCDF" w:themeFill="text2" w:themeFillTint="33"/>
          </w:tcPr>
          <w:p w14:paraId="4D3D6EEF" w14:textId="76DADCA7" w:rsidR="005A10E8" w:rsidRPr="005A10E8" w:rsidRDefault="005A10E8" w:rsidP="00312174">
            <w:pPr>
              <w:pStyle w:val="TableText"/>
              <w:jc w:val="center"/>
              <w:rPr>
                <w:rFonts w:asciiTheme="majorHAnsi" w:hAnsiTheme="majorHAnsi"/>
              </w:rPr>
            </w:pPr>
            <w:r w:rsidRPr="005A10E8">
              <w:rPr>
                <w:rFonts w:asciiTheme="majorHAnsi" w:hAnsiTheme="majorHAnsi"/>
              </w:rPr>
              <w:t>73</w:t>
            </w:r>
          </w:p>
        </w:tc>
        <w:tc>
          <w:tcPr>
            <w:tcW w:w="537" w:type="pct"/>
            <w:shd w:val="clear" w:color="auto" w:fill="DCDCDF" w:themeFill="text2" w:themeFillTint="33"/>
          </w:tcPr>
          <w:p w14:paraId="48D5B08C" w14:textId="1D27087F" w:rsidR="005A10E8" w:rsidRPr="005A10E8" w:rsidRDefault="005A10E8" w:rsidP="00312174">
            <w:pPr>
              <w:pStyle w:val="TableText"/>
              <w:jc w:val="center"/>
              <w:rPr>
                <w:rFonts w:asciiTheme="majorHAnsi" w:hAnsiTheme="majorHAnsi"/>
              </w:rPr>
            </w:pPr>
            <w:r w:rsidRPr="005A10E8">
              <w:rPr>
                <w:rFonts w:asciiTheme="majorHAnsi" w:hAnsiTheme="majorHAnsi"/>
              </w:rPr>
              <w:t>155</w:t>
            </w:r>
          </w:p>
        </w:tc>
      </w:tr>
      <w:tr w:rsidR="00092488" w14:paraId="4B6E6E6A" w14:textId="77777777" w:rsidTr="00092488">
        <w:tc>
          <w:tcPr>
            <w:tcW w:w="2249" w:type="pct"/>
            <w:shd w:val="clear" w:color="auto" w:fill="DDF2EC" w:themeFill="background2" w:themeFillTint="33"/>
          </w:tcPr>
          <w:p w14:paraId="624946F5" w14:textId="7F356AD3" w:rsidR="00092488" w:rsidRDefault="00092488" w:rsidP="00493555">
            <w:pPr>
              <w:spacing w:before="0" w:after="0"/>
            </w:pPr>
            <w:r>
              <w:rPr>
                <w:rFonts w:asciiTheme="majorHAnsi" w:hAnsiTheme="majorHAnsi"/>
              </w:rPr>
              <w:t>Delivery mode</w:t>
            </w:r>
          </w:p>
        </w:tc>
        <w:tc>
          <w:tcPr>
            <w:tcW w:w="738" w:type="pct"/>
            <w:shd w:val="clear" w:color="auto" w:fill="DDF2EC" w:themeFill="background2" w:themeFillTint="33"/>
          </w:tcPr>
          <w:p w14:paraId="30340CEE" w14:textId="50F9FD54" w:rsidR="00092488" w:rsidRPr="00092488" w:rsidRDefault="00F1731C" w:rsidP="00493555">
            <w:pPr>
              <w:pStyle w:val="TableText"/>
              <w:jc w:val="center"/>
              <w:rPr>
                <w:b/>
                <w:bCs/>
              </w:rPr>
            </w:pPr>
            <w:r>
              <w:rPr>
                <w:b/>
                <w:bCs/>
              </w:rPr>
              <w:t>N</w:t>
            </w:r>
          </w:p>
        </w:tc>
        <w:tc>
          <w:tcPr>
            <w:tcW w:w="738" w:type="pct"/>
            <w:shd w:val="clear" w:color="auto" w:fill="DDF2EC" w:themeFill="background2" w:themeFillTint="33"/>
          </w:tcPr>
          <w:p w14:paraId="57E0DDD4" w14:textId="156039DA" w:rsidR="00092488" w:rsidRPr="00092488" w:rsidRDefault="00F1731C" w:rsidP="00493555">
            <w:pPr>
              <w:pStyle w:val="TableText"/>
              <w:jc w:val="center"/>
              <w:rPr>
                <w:b/>
                <w:bCs/>
              </w:rPr>
            </w:pPr>
            <w:r>
              <w:rPr>
                <w:b/>
                <w:bCs/>
              </w:rPr>
              <w:t>N</w:t>
            </w:r>
          </w:p>
        </w:tc>
        <w:tc>
          <w:tcPr>
            <w:tcW w:w="738" w:type="pct"/>
            <w:shd w:val="clear" w:color="auto" w:fill="DDF2EC" w:themeFill="background2" w:themeFillTint="33"/>
          </w:tcPr>
          <w:p w14:paraId="68AADFE9" w14:textId="7B405586" w:rsidR="00092488" w:rsidRPr="00092488" w:rsidRDefault="00F1731C" w:rsidP="00493555">
            <w:pPr>
              <w:pStyle w:val="TableText"/>
              <w:jc w:val="center"/>
              <w:rPr>
                <w:b/>
                <w:bCs/>
              </w:rPr>
            </w:pPr>
            <w:r>
              <w:rPr>
                <w:b/>
                <w:bCs/>
              </w:rPr>
              <w:t>N</w:t>
            </w:r>
          </w:p>
        </w:tc>
        <w:tc>
          <w:tcPr>
            <w:tcW w:w="537" w:type="pct"/>
            <w:shd w:val="clear" w:color="auto" w:fill="DDF2EC" w:themeFill="background2" w:themeFillTint="33"/>
          </w:tcPr>
          <w:p w14:paraId="7E5CDBEF" w14:textId="56EAF570" w:rsidR="00092488" w:rsidRPr="00092488" w:rsidRDefault="00F1731C" w:rsidP="00493555">
            <w:pPr>
              <w:pStyle w:val="TableText"/>
              <w:jc w:val="center"/>
              <w:rPr>
                <w:b/>
                <w:bCs/>
              </w:rPr>
            </w:pPr>
            <w:r>
              <w:rPr>
                <w:b/>
                <w:bCs/>
              </w:rPr>
              <w:t>N</w:t>
            </w:r>
          </w:p>
        </w:tc>
      </w:tr>
      <w:tr w:rsidR="005A10E8" w14:paraId="0BDB340E" w14:textId="77777777" w:rsidTr="006A115E">
        <w:tc>
          <w:tcPr>
            <w:tcW w:w="2249" w:type="pct"/>
          </w:tcPr>
          <w:p w14:paraId="66E7E342" w14:textId="0026CA87" w:rsidR="005A10E8" w:rsidRDefault="005A10E8" w:rsidP="005A10E8">
            <w:pPr>
              <w:spacing w:before="0" w:after="0"/>
            </w:pPr>
            <w:r>
              <w:t>Face-to-face</w:t>
            </w:r>
          </w:p>
        </w:tc>
        <w:tc>
          <w:tcPr>
            <w:tcW w:w="738" w:type="pct"/>
          </w:tcPr>
          <w:p w14:paraId="690647D8" w14:textId="264A8335" w:rsidR="005A10E8" w:rsidRDefault="005A10E8" w:rsidP="005A10E8">
            <w:pPr>
              <w:pStyle w:val="TableText"/>
              <w:jc w:val="center"/>
            </w:pPr>
            <w:r>
              <w:t>20</w:t>
            </w:r>
          </w:p>
        </w:tc>
        <w:tc>
          <w:tcPr>
            <w:tcW w:w="738" w:type="pct"/>
          </w:tcPr>
          <w:p w14:paraId="30FF26C0" w14:textId="13985FC6" w:rsidR="005A10E8" w:rsidRDefault="005A10E8" w:rsidP="005A10E8">
            <w:pPr>
              <w:pStyle w:val="TableText"/>
              <w:jc w:val="center"/>
            </w:pPr>
            <w:r>
              <w:t>51</w:t>
            </w:r>
          </w:p>
        </w:tc>
        <w:tc>
          <w:tcPr>
            <w:tcW w:w="738" w:type="pct"/>
          </w:tcPr>
          <w:p w14:paraId="477E6233" w14:textId="579EE866" w:rsidR="005A10E8" w:rsidRDefault="005A10E8" w:rsidP="005A10E8">
            <w:pPr>
              <w:pStyle w:val="TableText"/>
              <w:jc w:val="center"/>
            </w:pPr>
            <w:r>
              <w:t>52</w:t>
            </w:r>
          </w:p>
        </w:tc>
        <w:tc>
          <w:tcPr>
            <w:tcW w:w="537" w:type="pct"/>
          </w:tcPr>
          <w:p w14:paraId="568A1F2F" w14:textId="0646771C" w:rsidR="005A10E8" w:rsidRDefault="005A10E8" w:rsidP="005A10E8">
            <w:pPr>
              <w:pStyle w:val="TableText"/>
              <w:jc w:val="center"/>
            </w:pPr>
            <w:r>
              <w:t>123</w:t>
            </w:r>
          </w:p>
        </w:tc>
      </w:tr>
      <w:tr w:rsidR="005A10E8" w14:paraId="7FA7F752" w14:textId="77777777" w:rsidTr="006A115E">
        <w:tc>
          <w:tcPr>
            <w:tcW w:w="2249" w:type="pct"/>
          </w:tcPr>
          <w:p w14:paraId="7368B8BA" w14:textId="73CC227A" w:rsidR="005A10E8" w:rsidRDefault="005A10E8" w:rsidP="005A10E8">
            <w:pPr>
              <w:spacing w:before="0" w:after="0"/>
            </w:pPr>
            <w:r>
              <w:t xml:space="preserve">Online </w:t>
            </w:r>
          </w:p>
        </w:tc>
        <w:tc>
          <w:tcPr>
            <w:tcW w:w="738" w:type="pct"/>
          </w:tcPr>
          <w:p w14:paraId="1383A7E4" w14:textId="58542FC8" w:rsidR="005A10E8" w:rsidRDefault="005A10E8" w:rsidP="005A10E8">
            <w:pPr>
              <w:pStyle w:val="TableText"/>
              <w:jc w:val="center"/>
            </w:pPr>
            <w:r>
              <w:t>0</w:t>
            </w:r>
          </w:p>
        </w:tc>
        <w:tc>
          <w:tcPr>
            <w:tcW w:w="738" w:type="pct"/>
          </w:tcPr>
          <w:p w14:paraId="3CCC9418" w14:textId="30B9F7DB" w:rsidR="005A10E8" w:rsidRDefault="005A10E8" w:rsidP="005A10E8">
            <w:pPr>
              <w:pStyle w:val="TableText"/>
              <w:jc w:val="center"/>
            </w:pPr>
            <w:r>
              <w:t>11</w:t>
            </w:r>
          </w:p>
        </w:tc>
        <w:tc>
          <w:tcPr>
            <w:tcW w:w="738" w:type="pct"/>
          </w:tcPr>
          <w:p w14:paraId="0F5A3463" w14:textId="69664B1F" w:rsidR="005A10E8" w:rsidRDefault="005A10E8" w:rsidP="005A10E8">
            <w:pPr>
              <w:pStyle w:val="TableText"/>
              <w:jc w:val="center"/>
            </w:pPr>
            <w:r>
              <w:t>21</w:t>
            </w:r>
          </w:p>
        </w:tc>
        <w:tc>
          <w:tcPr>
            <w:tcW w:w="537" w:type="pct"/>
          </w:tcPr>
          <w:p w14:paraId="12988160" w14:textId="145CD7CE" w:rsidR="005A10E8" w:rsidRDefault="005A10E8" w:rsidP="005A10E8">
            <w:pPr>
              <w:pStyle w:val="TableText"/>
              <w:jc w:val="center"/>
            </w:pPr>
            <w:r>
              <w:t>32</w:t>
            </w:r>
          </w:p>
        </w:tc>
      </w:tr>
      <w:tr w:rsidR="005A10E8" w:rsidRPr="005A10E8" w14:paraId="7372E96B" w14:textId="77777777" w:rsidTr="006A115E">
        <w:tc>
          <w:tcPr>
            <w:tcW w:w="2249" w:type="pct"/>
            <w:shd w:val="clear" w:color="auto" w:fill="DCDCDF" w:themeFill="text2" w:themeFillTint="33"/>
          </w:tcPr>
          <w:p w14:paraId="3C0F2E1B" w14:textId="77777777" w:rsidR="005A10E8" w:rsidRPr="005A10E8" w:rsidRDefault="005A10E8">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2D688CAA" w14:textId="77777777" w:rsidR="005A10E8" w:rsidRPr="005A10E8" w:rsidRDefault="005A10E8">
            <w:pPr>
              <w:pStyle w:val="TableText"/>
              <w:jc w:val="center"/>
              <w:rPr>
                <w:rFonts w:asciiTheme="majorHAnsi" w:hAnsiTheme="majorHAnsi"/>
              </w:rPr>
            </w:pPr>
            <w:r w:rsidRPr="005A10E8">
              <w:rPr>
                <w:rFonts w:asciiTheme="majorHAnsi" w:hAnsiTheme="majorHAnsi"/>
              </w:rPr>
              <w:t>20</w:t>
            </w:r>
          </w:p>
        </w:tc>
        <w:tc>
          <w:tcPr>
            <w:tcW w:w="738" w:type="pct"/>
            <w:shd w:val="clear" w:color="auto" w:fill="DCDCDF" w:themeFill="text2" w:themeFillTint="33"/>
          </w:tcPr>
          <w:p w14:paraId="1EE91AD8" w14:textId="77777777" w:rsidR="005A10E8" w:rsidRPr="005A10E8" w:rsidRDefault="005A10E8">
            <w:pPr>
              <w:pStyle w:val="TableText"/>
              <w:jc w:val="center"/>
              <w:rPr>
                <w:rFonts w:asciiTheme="majorHAnsi" w:hAnsiTheme="majorHAnsi"/>
              </w:rPr>
            </w:pPr>
            <w:r w:rsidRPr="005A10E8">
              <w:rPr>
                <w:rFonts w:asciiTheme="majorHAnsi" w:hAnsiTheme="majorHAnsi"/>
              </w:rPr>
              <w:t>62</w:t>
            </w:r>
          </w:p>
        </w:tc>
        <w:tc>
          <w:tcPr>
            <w:tcW w:w="738" w:type="pct"/>
            <w:shd w:val="clear" w:color="auto" w:fill="DCDCDF" w:themeFill="text2" w:themeFillTint="33"/>
          </w:tcPr>
          <w:p w14:paraId="6FB79613" w14:textId="77777777" w:rsidR="005A10E8" w:rsidRPr="005A10E8" w:rsidRDefault="005A10E8">
            <w:pPr>
              <w:pStyle w:val="TableText"/>
              <w:jc w:val="center"/>
              <w:rPr>
                <w:rFonts w:asciiTheme="majorHAnsi" w:hAnsiTheme="majorHAnsi"/>
              </w:rPr>
            </w:pPr>
            <w:r w:rsidRPr="005A10E8">
              <w:rPr>
                <w:rFonts w:asciiTheme="majorHAnsi" w:hAnsiTheme="majorHAnsi"/>
              </w:rPr>
              <w:t>73</w:t>
            </w:r>
          </w:p>
        </w:tc>
        <w:tc>
          <w:tcPr>
            <w:tcW w:w="537" w:type="pct"/>
            <w:shd w:val="clear" w:color="auto" w:fill="DCDCDF" w:themeFill="text2" w:themeFillTint="33"/>
          </w:tcPr>
          <w:p w14:paraId="71054D49" w14:textId="77777777" w:rsidR="005A10E8" w:rsidRPr="005A10E8" w:rsidRDefault="005A10E8">
            <w:pPr>
              <w:pStyle w:val="TableText"/>
              <w:jc w:val="center"/>
              <w:rPr>
                <w:rFonts w:asciiTheme="majorHAnsi" w:hAnsiTheme="majorHAnsi"/>
              </w:rPr>
            </w:pPr>
            <w:r w:rsidRPr="005A10E8">
              <w:rPr>
                <w:rFonts w:asciiTheme="majorHAnsi" w:hAnsiTheme="majorHAnsi"/>
              </w:rPr>
              <w:t>155</w:t>
            </w:r>
          </w:p>
        </w:tc>
      </w:tr>
      <w:tr w:rsidR="00C3327A" w14:paraId="6E08D367" w14:textId="77777777" w:rsidTr="00C3327A">
        <w:tc>
          <w:tcPr>
            <w:tcW w:w="2249" w:type="pct"/>
            <w:shd w:val="clear" w:color="auto" w:fill="DDF2EC" w:themeFill="background2" w:themeFillTint="33"/>
            <w:vAlign w:val="center"/>
          </w:tcPr>
          <w:p w14:paraId="1B9FE358" w14:textId="5B77C96F" w:rsidR="00C3327A" w:rsidRDefault="00C3327A" w:rsidP="00901EFC">
            <w:pPr>
              <w:spacing w:before="0" w:after="0"/>
            </w:pPr>
            <w:r w:rsidRPr="00F6303C">
              <w:rPr>
                <w:rFonts w:asciiTheme="majorHAnsi" w:hAnsiTheme="majorHAnsi"/>
              </w:rPr>
              <w:t>Location</w:t>
            </w:r>
          </w:p>
        </w:tc>
        <w:tc>
          <w:tcPr>
            <w:tcW w:w="738" w:type="pct"/>
            <w:shd w:val="clear" w:color="auto" w:fill="DDF2EC" w:themeFill="background2" w:themeFillTint="33"/>
          </w:tcPr>
          <w:p w14:paraId="5FE16216" w14:textId="77A3F0E5" w:rsidR="00C3327A" w:rsidRPr="00C3327A" w:rsidRDefault="00F1731C" w:rsidP="00901EFC">
            <w:pPr>
              <w:pStyle w:val="TableText"/>
              <w:jc w:val="center"/>
              <w:rPr>
                <w:b/>
                <w:bCs/>
              </w:rPr>
            </w:pPr>
            <w:r>
              <w:rPr>
                <w:b/>
                <w:bCs/>
              </w:rPr>
              <w:t>N</w:t>
            </w:r>
          </w:p>
        </w:tc>
        <w:tc>
          <w:tcPr>
            <w:tcW w:w="738" w:type="pct"/>
            <w:shd w:val="clear" w:color="auto" w:fill="DDF2EC" w:themeFill="background2" w:themeFillTint="33"/>
          </w:tcPr>
          <w:p w14:paraId="647CCBE5" w14:textId="3FBBAF05" w:rsidR="00C3327A" w:rsidRPr="00C3327A" w:rsidRDefault="00F1731C" w:rsidP="00901EFC">
            <w:pPr>
              <w:pStyle w:val="TableText"/>
              <w:jc w:val="center"/>
              <w:rPr>
                <w:b/>
                <w:bCs/>
              </w:rPr>
            </w:pPr>
            <w:r>
              <w:rPr>
                <w:b/>
                <w:bCs/>
              </w:rPr>
              <w:t>N</w:t>
            </w:r>
          </w:p>
        </w:tc>
        <w:tc>
          <w:tcPr>
            <w:tcW w:w="738" w:type="pct"/>
            <w:shd w:val="clear" w:color="auto" w:fill="DDF2EC" w:themeFill="background2" w:themeFillTint="33"/>
          </w:tcPr>
          <w:p w14:paraId="22A6EB3B" w14:textId="7552F085" w:rsidR="00C3327A" w:rsidRPr="00C3327A" w:rsidRDefault="00F1731C" w:rsidP="00901EFC">
            <w:pPr>
              <w:pStyle w:val="TableText"/>
              <w:jc w:val="center"/>
              <w:rPr>
                <w:b/>
                <w:bCs/>
              </w:rPr>
            </w:pPr>
            <w:r>
              <w:rPr>
                <w:b/>
                <w:bCs/>
              </w:rPr>
              <w:t>N</w:t>
            </w:r>
          </w:p>
        </w:tc>
        <w:tc>
          <w:tcPr>
            <w:tcW w:w="537" w:type="pct"/>
            <w:shd w:val="clear" w:color="auto" w:fill="DDF2EC" w:themeFill="background2" w:themeFillTint="33"/>
          </w:tcPr>
          <w:p w14:paraId="789B0481" w14:textId="67674332" w:rsidR="00C3327A" w:rsidRPr="00C3327A" w:rsidRDefault="00F1731C" w:rsidP="00901EFC">
            <w:pPr>
              <w:pStyle w:val="TableText"/>
              <w:jc w:val="center"/>
              <w:rPr>
                <w:b/>
                <w:bCs/>
              </w:rPr>
            </w:pPr>
            <w:r>
              <w:rPr>
                <w:b/>
                <w:bCs/>
              </w:rPr>
              <w:t>N</w:t>
            </w:r>
          </w:p>
        </w:tc>
      </w:tr>
      <w:tr w:rsidR="003A1CC3" w14:paraId="490C3177" w14:textId="77777777" w:rsidTr="006A115E">
        <w:tc>
          <w:tcPr>
            <w:tcW w:w="2249" w:type="pct"/>
            <w:vAlign w:val="center"/>
          </w:tcPr>
          <w:p w14:paraId="065BF402" w14:textId="4B2C5DD7" w:rsidR="003A1CC3" w:rsidRDefault="003A1CC3" w:rsidP="003A1CC3">
            <w:pPr>
              <w:spacing w:before="0" w:after="0"/>
            </w:pPr>
            <w:r>
              <w:t>MM1–2</w:t>
            </w:r>
          </w:p>
        </w:tc>
        <w:tc>
          <w:tcPr>
            <w:tcW w:w="738" w:type="pct"/>
          </w:tcPr>
          <w:p w14:paraId="10ACB178" w14:textId="15043F55" w:rsidR="003A1CC3" w:rsidRDefault="003A1CC3" w:rsidP="003A1CC3">
            <w:pPr>
              <w:pStyle w:val="TableText"/>
              <w:jc w:val="center"/>
            </w:pPr>
            <w:r>
              <w:t>12</w:t>
            </w:r>
          </w:p>
        </w:tc>
        <w:tc>
          <w:tcPr>
            <w:tcW w:w="738" w:type="pct"/>
          </w:tcPr>
          <w:p w14:paraId="4C20F9AC" w14:textId="5EFE584C" w:rsidR="003A1CC3" w:rsidRDefault="003A1CC3" w:rsidP="003A1CC3">
            <w:pPr>
              <w:pStyle w:val="TableText"/>
              <w:jc w:val="center"/>
            </w:pPr>
            <w:r>
              <w:t>32</w:t>
            </w:r>
          </w:p>
        </w:tc>
        <w:tc>
          <w:tcPr>
            <w:tcW w:w="738" w:type="pct"/>
          </w:tcPr>
          <w:p w14:paraId="2817145A" w14:textId="5E8E5332" w:rsidR="003A1CC3" w:rsidRDefault="003A1CC3" w:rsidP="003A1CC3">
            <w:pPr>
              <w:pStyle w:val="TableText"/>
              <w:jc w:val="center"/>
            </w:pPr>
            <w:r>
              <w:t>37</w:t>
            </w:r>
          </w:p>
        </w:tc>
        <w:tc>
          <w:tcPr>
            <w:tcW w:w="537" w:type="pct"/>
          </w:tcPr>
          <w:p w14:paraId="18748482" w14:textId="151A7B1C" w:rsidR="003A1CC3" w:rsidRDefault="003A1CC3" w:rsidP="003A1CC3">
            <w:pPr>
              <w:pStyle w:val="TableText"/>
              <w:jc w:val="center"/>
            </w:pPr>
            <w:r>
              <w:t>81</w:t>
            </w:r>
          </w:p>
        </w:tc>
      </w:tr>
      <w:tr w:rsidR="003A1CC3" w14:paraId="1C37F1F6" w14:textId="77777777" w:rsidTr="006A115E">
        <w:tc>
          <w:tcPr>
            <w:tcW w:w="2249" w:type="pct"/>
          </w:tcPr>
          <w:p w14:paraId="5F805D83" w14:textId="27A87691" w:rsidR="003A1CC3" w:rsidRDefault="003A1CC3" w:rsidP="003A1CC3">
            <w:pPr>
              <w:spacing w:before="0" w:after="0"/>
            </w:pPr>
            <w:r>
              <w:t xml:space="preserve">MM3–7 </w:t>
            </w:r>
          </w:p>
        </w:tc>
        <w:tc>
          <w:tcPr>
            <w:tcW w:w="738" w:type="pct"/>
          </w:tcPr>
          <w:p w14:paraId="5A905703" w14:textId="33F1A1C3" w:rsidR="003A1CC3" w:rsidRDefault="003A1CC3" w:rsidP="003A1CC3">
            <w:pPr>
              <w:pStyle w:val="TableText"/>
              <w:jc w:val="center"/>
            </w:pPr>
            <w:r>
              <w:t>6</w:t>
            </w:r>
          </w:p>
        </w:tc>
        <w:tc>
          <w:tcPr>
            <w:tcW w:w="738" w:type="pct"/>
          </w:tcPr>
          <w:p w14:paraId="6E66E18F" w14:textId="57D77F58" w:rsidR="003A1CC3" w:rsidRDefault="003A1CC3" w:rsidP="003A1CC3">
            <w:pPr>
              <w:pStyle w:val="TableText"/>
              <w:jc w:val="center"/>
            </w:pPr>
            <w:r>
              <w:t>15</w:t>
            </w:r>
          </w:p>
        </w:tc>
        <w:tc>
          <w:tcPr>
            <w:tcW w:w="738" w:type="pct"/>
          </w:tcPr>
          <w:p w14:paraId="7BE8121F" w14:textId="013D3414" w:rsidR="003A1CC3" w:rsidRDefault="003A1CC3" w:rsidP="003A1CC3">
            <w:pPr>
              <w:pStyle w:val="TableText"/>
              <w:jc w:val="center"/>
            </w:pPr>
            <w:r>
              <w:t>15</w:t>
            </w:r>
          </w:p>
        </w:tc>
        <w:tc>
          <w:tcPr>
            <w:tcW w:w="537" w:type="pct"/>
          </w:tcPr>
          <w:p w14:paraId="110C341D" w14:textId="2403A654" w:rsidR="003A1CC3" w:rsidRDefault="003A1CC3" w:rsidP="003A1CC3">
            <w:pPr>
              <w:pStyle w:val="TableText"/>
              <w:jc w:val="center"/>
            </w:pPr>
            <w:r>
              <w:t>36</w:t>
            </w:r>
          </w:p>
        </w:tc>
      </w:tr>
      <w:tr w:rsidR="00F6303C" w:rsidRPr="005A10E8" w14:paraId="6779D14E" w14:textId="77777777" w:rsidTr="006A115E">
        <w:tc>
          <w:tcPr>
            <w:tcW w:w="2249" w:type="pct"/>
            <w:shd w:val="clear" w:color="auto" w:fill="DCDCDF" w:themeFill="text2" w:themeFillTint="33"/>
          </w:tcPr>
          <w:p w14:paraId="67AF7B8E" w14:textId="77777777" w:rsidR="00F6303C" w:rsidRPr="005A10E8" w:rsidRDefault="00F6303C" w:rsidP="00F6303C">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5223DCF0" w14:textId="3BC2E73F" w:rsidR="00F6303C" w:rsidRPr="005A10E8" w:rsidRDefault="003A1CC3" w:rsidP="00F6303C">
            <w:pPr>
              <w:pStyle w:val="TableText"/>
              <w:jc w:val="center"/>
              <w:rPr>
                <w:rFonts w:asciiTheme="majorHAnsi" w:hAnsiTheme="majorHAnsi"/>
              </w:rPr>
            </w:pPr>
            <w:r>
              <w:rPr>
                <w:rFonts w:asciiTheme="majorHAnsi" w:hAnsiTheme="majorHAnsi"/>
              </w:rPr>
              <w:t>18</w:t>
            </w:r>
          </w:p>
        </w:tc>
        <w:tc>
          <w:tcPr>
            <w:tcW w:w="738" w:type="pct"/>
            <w:shd w:val="clear" w:color="auto" w:fill="DCDCDF" w:themeFill="text2" w:themeFillTint="33"/>
          </w:tcPr>
          <w:p w14:paraId="44DFC1AC" w14:textId="11219F2A" w:rsidR="00F6303C" w:rsidRPr="005A10E8" w:rsidRDefault="003A1CC3" w:rsidP="00F6303C">
            <w:pPr>
              <w:pStyle w:val="TableText"/>
              <w:jc w:val="center"/>
              <w:rPr>
                <w:rFonts w:asciiTheme="majorHAnsi" w:hAnsiTheme="majorHAnsi"/>
              </w:rPr>
            </w:pPr>
            <w:r>
              <w:rPr>
                <w:rFonts w:asciiTheme="majorHAnsi" w:hAnsiTheme="majorHAnsi"/>
              </w:rPr>
              <w:t>47</w:t>
            </w:r>
          </w:p>
        </w:tc>
        <w:tc>
          <w:tcPr>
            <w:tcW w:w="738" w:type="pct"/>
            <w:shd w:val="clear" w:color="auto" w:fill="DCDCDF" w:themeFill="text2" w:themeFillTint="33"/>
          </w:tcPr>
          <w:p w14:paraId="5715BF32" w14:textId="04EF52B6" w:rsidR="00F6303C" w:rsidRPr="005A10E8" w:rsidRDefault="003A1CC3" w:rsidP="00F6303C">
            <w:pPr>
              <w:pStyle w:val="TableText"/>
              <w:jc w:val="center"/>
              <w:rPr>
                <w:rFonts w:asciiTheme="majorHAnsi" w:hAnsiTheme="majorHAnsi"/>
              </w:rPr>
            </w:pPr>
            <w:r>
              <w:rPr>
                <w:rFonts w:asciiTheme="majorHAnsi" w:hAnsiTheme="majorHAnsi"/>
              </w:rPr>
              <w:t>52</w:t>
            </w:r>
          </w:p>
        </w:tc>
        <w:tc>
          <w:tcPr>
            <w:tcW w:w="537" w:type="pct"/>
            <w:shd w:val="clear" w:color="auto" w:fill="DCDCDF" w:themeFill="text2" w:themeFillTint="33"/>
          </w:tcPr>
          <w:p w14:paraId="7854C797" w14:textId="5FCBCA82" w:rsidR="00F6303C" w:rsidRPr="005A10E8" w:rsidRDefault="003A1CC3" w:rsidP="00F6303C">
            <w:pPr>
              <w:pStyle w:val="TableText"/>
              <w:jc w:val="center"/>
              <w:rPr>
                <w:rFonts w:asciiTheme="majorHAnsi" w:hAnsiTheme="majorHAnsi"/>
              </w:rPr>
            </w:pPr>
            <w:r>
              <w:rPr>
                <w:rFonts w:asciiTheme="majorHAnsi" w:hAnsiTheme="majorHAnsi"/>
              </w:rPr>
              <w:t>117</w:t>
            </w:r>
          </w:p>
        </w:tc>
      </w:tr>
    </w:tbl>
    <w:p w14:paraId="3D2E9A60" w14:textId="222CED4C" w:rsidR="00C67EE4" w:rsidRDefault="00C67EE4" w:rsidP="00C67EE4">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60125AF7" w14:textId="4AFED0EE" w:rsidR="00C67EE4" w:rsidRDefault="00066E55" w:rsidP="00C67EE4">
      <w:r>
        <w:lastRenderedPageBreak/>
        <w:fldChar w:fldCharType="begin"/>
      </w:r>
      <w:r>
        <w:instrText xml:space="preserve"> REF _Ref216793852 \h </w:instrText>
      </w:r>
      <w:r>
        <w:fldChar w:fldCharType="separate"/>
      </w:r>
      <w:r w:rsidR="00167BA0">
        <w:t xml:space="preserve">Table </w:t>
      </w:r>
      <w:r w:rsidR="00167BA0">
        <w:rPr>
          <w:noProof/>
        </w:rPr>
        <w:t>9</w:t>
      </w:r>
      <w:r w:rsidR="00167BA0">
        <w:t>.</w:t>
      </w:r>
      <w:r w:rsidR="00167BA0">
        <w:rPr>
          <w:noProof/>
        </w:rPr>
        <w:t>25</w:t>
      </w:r>
      <w:r>
        <w:fldChar w:fldCharType="end"/>
      </w:r>
      <w:r w:rsidR="001308FD">
        <w:t xml:space="preserve"> shows the number and jurisdiction of PACOP workshop participants.</w:t>
      </w:r>
    </w:p>
    <w:p w14:paraId="1CCDCFDA" w14:textId="39461542" w:rsidR="00C67EE4" w:rsidRDefault="00C67EE4" w:rsidP="00C67EE4">
      <w:pPr>
        <w:pStyle w:val="Caption"/>
      </w:pPr>
      <w:bookmarkStart w:id="217" w:name="_Ref216793852"/>
      <w:bookmarkStart w:id="218" w:name="_Ref216264461"/>
      <w:r>
        <w:t xml:space="preserve">Table </w:t>
      </w:r>
      <w:fldSimple w:instr=" STYLEREF 1 \s ">
        <w:r w:rsidR="0091457A">
          <w:rPr>
            <w:noProof/>
          </w:rPr>
          <w:t>9</w:t>
        </w:r>
      </w:fldSimple>
      <w:r w:rsidR="0091457A">
        <w:t>.</w:t>
      </w:r>
      <w:fldSimple w:instr=" SEQ Table \* ARABIC \s 1 ">
        <w:r w:rsidR="0091457A">
          <w:rPr>
            <w:noProof/>
          </w:rPr>
          <w:t>25</w:t>
        </w:r>
      </w:fldSimple>
      <w:bookmarkEnd w:id="217"/>
      <w:bookmarkEnd w:id="218"/>
      <w:r>
        <w:t xml:space="preserve">: Number and </w:t>
      </w:r>
      <w:r w:rsidR="00F85299">
        <w:t>location</w:t>
      </w:r>
      <w:r>
        <w:t xml:space="preserve"> of PACOP workshop</w:t>
      </w:r>
      <w:r w:rsidR="00F85299">
        <w:t xml:space="preserve"> participants</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number and location of PACOP workshop participants"/>
        <w:tblDescription w:val="Table shows the number and jurisdiction of PACOP workshop participants across three financial years from 2022-23 to 2024-25."/>
      </w:tblPr>
      <w:tblGrid>
        <w:gridCol w:w="3239"/>
        <w:gridCol w:w="1063"/>
        <w:gridCol w:w="1063"/>
        <w:gridCol w:w="1063"/>
        <w:gridCol w:w="775"/>
      </w:tblGrid>
      <w:tr w:rsidR="00F85299" w14:paraId="7D9E2092" w14:textId="77777777" w:rsidTr="00881C08">
        <w:trPr>
          <w:cnfStyle w:val="100000000000" w:firstRow="1" w:lastRow="0" w:firstColumn="0" w:lastColumn="0" w:oddVBand="0" w:evenVBand="0" w:oddHBand="0" w:evenHBand="0" w:firstRowFirstColumn="0" w:firstRowLastColumn="0" w:lastRowFirstColumn="0" w:lastRowLastColumn="0"/>
          <w:tblHeader/>
        </w:trPr>
        <w:tc>
          <w:tcPr>
            <w:tcW w:w="2248" w:type="pct"/>
          </w:tcPr>
          <w:p w14:paraId="1EAB9D36" w14:textId="78442FD5" w:rsidR="00C67EE4" w:rsidRDefault="0029165B">
            <w:pPr>
              <w:spacing w:before="0" w:after="0"/>
            </w:pPr>
            <w:r>
              <w:t>Characteristic</w:t>
            </w:r>
          </w:p>
        </w:tc>
        <w:tc>
          <w:tcPr>
            <w:tcW w:w="738" w:type="pct"/>
          </w:tcPr>
          <w:p w14:paraId="38BAF13E" w14:textId="77777777" w:rsidR="00C67EE4" w:rsidRDefault="00C67EE4">
            <w:pPr>
              <w:spacing w:before="0" w:after="0"/>
              <w:jc w:val="center"/>
            </w:pPr>
            <w:r w:rsidRPr="004D646B">
              <w:t>2022</w:t>
            </w:r>
            <w:r>
              <w:rPr>
                <w:caps w:val="0"/>
              </w:rPr>
              <w:t>–</w:t>
            </w:r>
            <w:r w:rsidRPr="004D646B">
              <w:t>23</w:t>
            </w:r>
          </w:p>
        </w:tc>
        <w:tc>
          <w:tcPr>
            <w:tcW w:w="738" w:type="pct"/>
          </w:tcPr>
          <w:p w14:paraId="76C59C14" w14:textId="77777777" w:rsidR="00C67EE4" w:rsidRDefault="00C67EE4">
            <w:pPr>
              <w:spacing w:before="0" w:after="0"/>
              <w:jc w:val="center"/>
            </w:pPr>
            <w:r w:rsidRPr="004D646B">
              <w:t>2023</w:t>
            </w:r>
            <w:r>
              <w:rPr>
                <w:caps w:val="0"/>
              </w:rPr>
              <w:t>–</w:t>
            </w:r>
            <w:r w:rsidRPr="004D646B">
              <w:t>24</w:t>
            </w:r>
          </w:p>
        </w:tc>
        <w:tc>
          <w:tcPr>
            <w:tcW w:w="738" w:type="pct"/>
          </w:tcPr>
          <w:p w14:paraId="1601B330" w14:textId="77777777" w:rsidR="00C67EE4" w:rsidRDefault="00C67EE4">
            <w:pPr>
              <w:spacing w:before="0" w:after="0"/>
              <w:jc w:val="center"/>
            </w:pPr>
            <w:r w:rsidRPr="004D646B">
              <w:t>2024</w:t>
            </w:r>
            <w:r>
              <w:rPr>
                <w:caps w:val="0"/>
              </w:rPr>
              <w:t>–</w:t>
            </w:r>
            <w:r w:rsidRPr="004D646B">
              <w:t>25</w:t>
            </w:r>
          </w:p>
        </w:tc>
        <w:tc>
          <w:tcPr>
            <w:tcW w:w="538" w:type="pct"/>
          </w:tcPr>
          <w:p w14:paraId="5A43FF18" w14:textId="77777777" w:rsidR="00C67EE4" w:rsidRDefault="00C67EE4">
            <w:pPr>
              <w:spacing w:before="0" w:after="0"/>
              <w:jc w:val="center"/>
            </w:pPr>
            <w:r>
              <w:t>Total</w:t>
            </w:r>
          </w:p>
        </w:tc>
      </w:tr>
      <w:tr w:rsidR="00881C08" w14:paraId="61E1921E" w14:textId="77777777" w:rsidTr="00881C08">
        <w:tc>
          <w:tcPr>
            <w:tcW w:w="2248" w:type="pct"/>
            <w:shd w:val="clear" w:color="auto" w:fill="DDF2EC" w:themeFill="background2" w:themeFillTint="33"/>
            <w:vAlign w:val="bottom"/>
          </w:tcPr>
          <w:p w14:paraId="289974F1" w14:textId="03480037" w:rsidR="00881C08" w:rsidRDefault="00881C08" w:rsidP="003144BF">
            <w:pPr>
              <w:pStyle w:val="TableText"/>
            </w:pPr>
            <w:r>
              <w:rPr>
                <w:rFonts w:asciiTheme="majorHAnsi" w:hAnsiTheme="majorHAnsi"/>
              </w:rPr>
              <w:t>Workshop type</w:t>
            </w:r>
          </w:p>
        </w:tc>
        <w:tc>
          <w:tcPr>
            <w:tcW w:w="738" w:type="pct"/>
            <w:shd w:val="clear" w:color="auto" w:fill="DDF2EC" w:themeFill="background2" w:themeFillTint="33"/>
          </w:tcPr>
          <w:p w14:paraId="2228164C" w14:textId="6D13E776" w:rsidR="00881C08" w:rsidRPr="00D27CBF" w:rsidRDefault="00F1731C" w:rsidP="003144BF">
            <w:pPr>
              <w:pStyle w:val="TableText"/>
              <w:jc w:val="center"/>
            </w:pPr>
            <w:r>
              <w:rPr>
                <w:b/>
                <w:bCs/>
              </w:rPr>
              <w:t>N</w:t>
            </w:r>
          </w:p>
        </w:tc>
        <w:tc>
          <w:tcPr>
            <w:tcW w:w="738" w:type="pct"/>
            <w:shd w:val="clear" w:color="auto" w:fill="DDF2EC" w:themeFill="background2" w:themeFillTint="33"/>
          </w:tcPr>
          <w:p w14:paraId="76EC25CB" w14:textId="43933144" w:rsidR="00881C08" w:rsidRPr="00D27CBF" w:rsidRDefault="00F1731C" w:rsidP="003144BF">
            <w:pPr>
              <w:pStyle w:val="TableText"/>
              <w:jc w:val="center"/>
            </w:pPr>
            <w:r>
              <w:rPr>
                <w:b/>
                <w:bCs/>
              </w:rPr>
              <w:t>N</w:t>
            </w:r>
          </w:p>
        </w:tc>
        <w:tc>
          <w:tcPr>
            <w:tcW w:w="738" w:type="pct"/>
            <w:shd w:val="clear" w:color="auto" w:fill="DDF2EC" w:themeFill="background2" w:themeFillTint="33"/>
          </w:tcPr>
          <w:p w14:paraId="5C72C1D3" w14:textId="299D81A3" w:rsidR="00881C08" w:rsidRPr="00D27CBF" w:rsidRDefault="00F1731C" w:rsidP="003144BF">
            <w:pPr>
              <w:pStyle w:val="TableText"/>
              <w:jc w:val="center"/>
            </w:pPr>
            <w:r>
              <w:rPr>
                <w:b/>
                <w:bCs/>
              </w:rPr>
              <w:t>N</w:t>
            </w:r>
          </w:p>
        </w:tc>
        <w:tc>
          <w:tcPr>
            <w:tcW w:w="538" w:type="pct"/>
            <w:shd w:val="clear" w:color="auto" w:fill="DDF2EC" w:themeFill="background2" w:themeFillTint="33"/>
          </w:tcPr>
          <w:p w14:paraId="398296D7" w14:textId="676317E1" w:rsidR="00881C08" w:rsidRPr="00D27CBF" w:rsidRDefault="00F1731C" w:rsidP="003144BF">
            <w:pPr>
              <w:pStyle w:val="TableText"/>
              <w:jc w:val="center"/>
            </w:pPr>
            <w:r>
              <w:rPr>
                <w:b/>
                <w:bCs/>
              </w:rPr>
              <w:t>N</w:t>
            </w:r>
          </w:p>
        </w:tc>
      </w:tr>
      <w:tr w:rsidR="00D27CBF" w14:paraId="18CAAFCC" w14:textId="77777777" w:rsidTr="00881C08">
        <w:tc>
          <w:tcPr>
            <w:tcW w:w="2248" w:type="pct"/>
            <w:vAlign w:val="bottom"/>
          </w:tcPr>
          <w:p w14:paraId="28CD4D12" w14:textId="77777777" w:rsidR="00D27CBF" w:rsidRDefault="00D27CBF" w:rsidP="00D27CBF">
            <w:pPr>
              <w:pStyle w:val="TableText"/>
            </w:pPr>
            <w:r>
              <w:t>PACOP Full Fundamentals</w:t>
            </w:r>
          </w:p>
        </w:tc>
        <w:tc>
          <w:tcPr>
            <w:tcW w:w="738" w:type="pct"/>
          </w:tcPr>
          <w:p w14:paraId="67128693" w14:textId="74A68EC8" w:rsidR="00D27CBF" w:rsidRPr="00D27CBF" w:rsidRDefault="00D27CBF" w:rsidP="00D27CBF">
            <w:pPr>
              <w:pStyle w:val="TableText"/>
              <w:jc w:val="center"/>
            </w:pPr>
            <w:r w:rsidRPr="00D27CBF">
              <w:t>298</w:t>
            </w:r>
          </w:p>
        </w:tc>
        <w:tc>
          <w:tcPr>
            <w:tcW w:w="738" w:type="pct"/>
          </w:tcPr>
          <w:p w14:paraId="4CC1A9D7" w14:textId="34C08C89" w:rsidR="00D27CBF" w:rsidRPr="00D27CBF" w:rsidRDefault="00D27CBF" w:rsidP="00D27CBF">
            <w:pPr>
              <w:pStyle w:val="TableText"/>
              <w:jc w:val="center"/>
            </w:pPr>
            <w:r w:rsidRPr="00D27CBF">
              <w:t>733</w:t>
            </w:r>
          </w:p>
        </w:tc>
        <w:tc>
          <w:tcPr>
            <w:tcW w:w="738" w:type="pct"/>
          </w:tcPr>
          <w:p w14:paraId="3C9D8149" w14:textId="59DC439A" w:rsidR="00D27CBF" w:rsidRPr="00D27CBF" w:rsidRDefault="00D27CBF" w:rsidP="00D27CBF">
            <w:pPr>
              <w:pStyle w:val="TableText"/>
              <w:jc w:val="center"/>
            </w:pPr>
            <w:r w:rsidRPr="00D27CBF">
              <w:t>907</w:t>
            </w:r>
          </w:p>
        </w:tc>
        <w:tc>
          <w:tcPr>
            <w:tcW w:w="538" w:type="pct"/>
          </w:tcPr>
          <w:p w14:paraId="0175A1BE" w14:textId="10FC23E1" w:rsidR="00D27CBF" w:rsidRPr="00D27CBF" w:rsidRDefault="00D27CBF" w:rsidP="00D27CBF">
            <w:pPr>
              <w:pStyle w:val="TableText"/>
              <w:jc w:val="center"/>
            </w:pPr>
            <w:r w:rsidRPr="00D27CBF">
              <w:t>1</w:t>
            </w:r>
            <w:r>
              <w:t>,</w:t>
            </w:r>
            <w:r w:rsidRPr="00D27CBF">
              <w:t>938</w:t>
            </w:r>
          </w:p>
        </w:tc>
      </w:tr>
      <w:tr w:rsidR="00D27CBF" w14:paraId="2D1A15AB" w14:textId="77777777" w:rsidTr="00881C08">
        <w:tc>
          <w:tcPr>
            <w:tcW w:w="2248" w:type="pct"/>
            <w:vAlign w:val="bottom"/>
          </w:tcPr>
          <w:p w14:paraId="32C6DA50" w14:textId="77777777" w:rsidR="00D27CBF" w:rsidRDefault="00D27CBF" w:rsidP="00D27CBF">
            <w:pPr>
              <w:pStyle w:val="TableText"/>
            </w:pPr>
            <w:r>
              <w:t>PACOP Profile Fundamentals</w:t>
            </w:r>
          </w:p>
        </w:tc>
        <w:tc>
          <w:tcPr>
            <w:tcW w:w="738" w:type="pct"/>
          </w:tcPr>
          <w:p w14:paraId="11B1ECB2" w14:textId="76A22F9C" w:rsidR="00D27CBF" w:rsidRPr="00D27CBF" w:rsidRDefault="00D27CBF" w:rsidP="00D27CBF">
            <w:pPr>
              <w:pStyle w:val="TableText"/>
              <w:jc w:val="center"/>
            </w:pPr>
            <w:r w:rsidRPr="00D27CBF">
              <w:t>18</w:t>
            </w:r>
          </w:p>
        </w:tc>
        <w:tc>
          <w:tcPr>
            <w:tcW w:w="738" w:type="pct"/>
          </w:tcPr>
          <w:p w14:paraId="71D21847" w14:textId="47095FF1" w:rsidR="00D27CBF" w:rsidRPr="00D27CBF" w:rsidRDefault="00D27CBF" w:rsidP="00D27CBF">
            <w:pPr>
              <w:pStyle w:val="TableText"/>
              <w:jc w:val="center"/>
            </w:pPr>
            <w:r w:rsidRPr="00D27CBF">
              <w:t>338</w:t>
            </w:r>
          </w:p>
        </w:tc>
        <w:tc>
          <w:tcPr>
            <w:tcW w:w="738" w:type="pct"/>
          </w:tcPr>
          <w:p w14:paraId="23FA596A" w14:textId="4DB28C86" w:rsidR="00D27CBF" w:rsidRPr="00D27CBF" w:rsidRDefault="00D27CBF" w:rsidP="00D27CBF">
            <w:pPr>
              <w:pStyle w:val="TableText"/>
              <w:jc w:val="center"/>
            </w:pPr>
            <w:r w:rsidRPr="00D27CBF">
              <w:t>131</w:t>
            </w:r>
          </w:p>
        </w:tc>
        <w:tc>
          <w:tcPr>
            <w:tcW w:w="538" w:type="pct"/>
          </w:tcPr>
          <w:p w14:paraId="5644EBE2" w14:textId="55C5C0B4" w:rsidR="00D27CBF" w:rsidRPr="00D27CBF" w:rsidRDefault="00D27CBF" w:rsidP="00D27CBF">
            <w:pPr>
              <w:pStyle w:val="TableText"/>
              <w:jc w:val="center"/>
            </w:pPr>
            <w:r w:rsidRPr="00D27CBF">
              <w:t>487</w:t>
            </w:r>
          </w:p>
        </w:tc>
      </w:tr>
      <w:tr w:rsidR="00D27CBF" w14:paraId="1449CB74" w14:textId="77777777" w:rsidTr="00881C08">
        <w:tc>
          <w:tcPr>
            <w:tcW w:w="2248" w:type="pct"/>
            <w:vAlign w:val="bottom"/>
          </w:tcPr>
          <w:p w14:paraId="5CBE0F6B" w14:textId="77777777" w:rsidR="00D27CBF" w:rsidRDefault="00D27CBF" w:rsidP="00D27CBF">
            <w:pPr>
              <w:pStyle w:val="TableText"/>
            </w:pPr>
            <w:r>
              <w:t>PACOP Outcomes Fundamentals</w:t>
            </w:r>
          </w:p>
        </w:tc>
        <w:tc>
          <w:tcPr>
            <w:tcW w:w="738" w:type="pct"/>
          </w:tcPr>
          <w:p w14:paraId="026274F6" w14:textId="1E7E92EF" w:rsidR="00D27CBF" w:rsidRPr="00D27CBF" w:rsidRDefault="00D27CBF" w:rsidP="00D27CBF">
            <w:pPr>
              <w:pStyle w:val="TableText"/>
              <w:jc w:val="center"/>
            </w:pPr>
            <w:r w:rsidRPr="00D27CBF">
              <w:t>18</w:t>
            </w:r>
          </w:p>
        </w:tc>
        <w:tc>
          <w:tcPr>
            <w:tcW w:w="738" w:type="pct"/>
          </w:tcPr>
          <w:p w14:paraId="162DA2DD" w14:textId="78D7909F" w:rsidR="00D27CBF" w:rsidRPr="00D27CBF" w:rsidRDefault="00D27CBF" w:rsidP="00D27CBF">
            <w:pPr>
              <w:pStyle w:val="TableText"/>
              <w:jc w:val="center"/>
            </w:pPr>
            <w:r w:rsidRPr="00D27CBF">
              <w:t>32</w:t>
            </w:r>
          </w:p>
        </w:tc>
        <w:tc>
          <w:tcPr>
            <w:tcW w:w="738" w:type="pct"/>
          </w:tcPr>
          <w:p w14:paraId="6FCDB32E" w14:textId="00D40DA4" w:rsidR="00D27CBF" w:rsidRPr="00D27CBF" w:rsidRDefault="00D27CBF" w:rsidP="00D27CBF">
            <w:pPr>
              <w:pStyle w:val="TableText"/>
              <w:jc w:val="center"/>
            </w:pPr>
            <w:r w:rsidRPr="00D27CBF">
              <w:t>42</w:t>
            </w:r>
          </w:p>
        </w:tc>
        <w:tc>
          <w:tcPr>
            <w:tcW w:w="538" w:type="pct"/>
          </w:tcPr>
          <w:p w14:paraId="415FD3B6" w14:textId="621BF304" w:rsidR="00D27CBF" w:rsidRPr="00D27CBF" w:rsidRDefault="00D27CBF" w:rsidP="00D27CBF">
            <w:pPr>
              <w:pStyle w:val="TableText"/>
              <w:jc w:val="center"/>
            </w:pPr>
            <w:r w:rsidRPr="00D27CBF">
              <w:t>92</w:t>
            </w:r>
          </w:p>
        </w:tc>
      </w:tr>
      <w:tr w:rsidR="00D27CBF" w14:paraId="0E20DFA5" w14:textId="77777777" w:rsidTr="00881C08">
        <w:tc>
          <w:tcPr>
            <w:tcW w:w="2248" w:type="pct"/>
            <w:vAlign w:val="bottom"/>
          </w:tcPr>
          <w:p w14:paraId="6E0EEEEA" w14:textId="77777777" w:rsidR="00D27CBF" w:rsidRDefault="00D27CBF" w:rsidP="00D27CBF">
            <w:pPr>
              <w:pStyle w:val="TableText"/>
            </w:pPr>
            <w:r>
              <w:t>PACOP SAS for Care Staff</w:t>
            </w:r>
          </w:p>
        </w:tc>
        <w:tc>
          <w:tcPr>
            <w:tcW w:w="738" w:type="pct"/>
          </w:tcPr>
          <w:p w14:paraId="4DF075AD" w14:textId="6546C142" w:rsidR="00D27CBF" w:rsidRPr="00D27CBF" w:rsidRDefault="00D27CBF" w:rsidP="00D27CBF">
            <w:pPr>
              <w:pStyle w:val="TableText"/>
              <w:jc w:val="center"/>
            </w:pPr>
            <w:r w:rsidRPr="00D27CBF">
              <w:t>0</w:t>
            </w:r>
          </w:p>
        </w:tc>
        <w:tc>
          <w:tcPr>
            <w:tcW w:w="738" w:type="pct"/>
          </w:tcPr>
          <w:p w14:paraId="1CDF52A1" w14:textId="6671005A" w:rsidR="00D27CBF" w:rsidRPr="00D27CBF" w:rsidRDefault="00D27CBF" w:rsidP="00D27CBF">
            <w:pPr>
              <w:pStyle w:val="TableText"/>
              <w:jc w:val="center"/>
            </w:pPr>
            <w:r w:rsidRPr="00D27CBF">
              <w:t>56</w:t>
            </w:r>
          </w:p>
        </w:tc>
        <w:tc>
          <w:tcPr>
            <w:tcW w:w="738" w:type="pct"/>
          </w:tcPr>
          <w:p w14:paraId="3E71A9BA" w14:textId="182774CF" w:rsidR="00D27CBF" w:rsidRPr="00D27CBF" w:rsidRDefault="00D27CBF" w:rsidP="00D27CBF">
            <w:pPr>
              <w:pStyle w:val="TableText"/>
              <w:jc w:val="center"/>
            </w:pPr>
            <w:r w:rsidRPr="00D27CBF">
              <w:t>202</w:t>
            </w:r>
          </w:p>
        </w:tc>
        <w:tc>
          <w:tcPr>
            <w:tcW w:w="538" w:type="pct"/>
          </w:tcPr>
          <w:p w14:paraId="29892A1A" w14:textId="3CB8E332" w:rsidR="00D27CBF" w:rsidRPr="00D27CBF" w:rsidRDefault="00D27CBF" w:rsidP="00D27CBF">
            <w:pPr>
              <w:pStyle w:val="TableText"/>
              <w:jc w:val="center"/>
            </w:pPr>
            <w:r w:rsidRPr="00D27CBF">
              <w:t>258</w:t>
            </w:r>
          </w:p>
        </w:tc>
      </w:tr>
      <w:tr w:rsidR="00D27CBF" w14:paraId="559F7319" w14:textId="77777777" w:rsidTr="00881C08">
        <w:tc>
          <w:tcPr>
            <w:tcW w:w="2248" w:type="pct"/>
            <w:vAlign w:val="bottom"/>
          </w:tcPr>
          <w:p w14:paraId="1E307943" w14:textId="77777777" w:rsidR="00D27CBF" w:rsidRDefault="00D27CBF" w:rsidP="00D27CBF">
            <w:pPr>
              <w:pStyle w:val="TableText"/>
            </w:pPr>
            <w:r>
              <w:t>Benchmarking workshop</w:t>
            </w:r>
          </w:p>
        </w:tc>
        <w:tc>
          <w:tcPr>
            <w:tcW w:w="738" w:type="pct"/>
          </w:tcPr>
          <w:p w14:paraId="44A8BB48" w14:textId="1BF0BF45" w:rsidR="00D27CBF" w:rsidRPr="00D27CBF" w:rsidRDefault="00D27CBF" w:rsidP="00D27CBF">
            <w:pPr>
              <w:pStyle w:val="TableText"/>
              <w:jc w:val="center"/>
            </w:pPr>
            <w:r w:rsidRPr="00D27CBF">
              <w:t>50</w:t>
            </w:r>
          </w:p>
        </w:tc>
        <w:tc>
          <w:tcPr>
            <w:tcW w:w="738" w:type="pct"/>
          </w:tcPr>
          <w:p w14:paraId="18259EFD" w14:textId="7DE68631" w:rsidR="00D27CBF" w:rsidRPr="00D27CBF" w:rsidRDefault="00D27CBF" w:rsidP="00D27CBF">
            <w:pPr>
              <w:pStyle w:val="TableText"/>
              <w:jc w:val="center"/>
            </w:pPr>
            <w:r w:rsidRPr="00D27CBF">
              <w:t>52</w:t>
            </w:r>
          </w:p>
        </w:tc>
        <w:tc>
          <w:tcPr>
            <w:tcW w:w="738" w:type="pct"/>
          </w:tcPr>
          <w:p w14:paraId="7650FD9D" w14:textId="0FB6F49F" w:rsidR="00D27CBF" w:rsidRPr="00D27CBF" w:rsidRDefault="00D27CBF" w:rsidP="00D27CBF">
            <w:pPr>
              <w:pStyle w:val="TableText"/>
              <w:jc w:val="center"/>
            </w:pPr>
            <w:r w:rsidRPr="00D27CBF">
              <w:t>60</w:t>
            </w:r>
          </w:p>
        </w:tc>
        <w:tc>
          <w:tcPr>
            <w:tcW w:w="538" w:type="pct"/>
          </w:tcPr>
          <w:p w14:paraId="1C1E6899" w14:textId="78D3441C" w:rsidR="00D27CBF" w:rsidRPr="00D27CBF" w:rsidRDefault="00D27CBF" w:rsidP="00D27CBF">
            <w:pPr>
              <w:pStyle w:val="TableText"/>
              <w:jc w:val="center"/>
            </w:pPr>
            <w:r w:rsidRPr="00D27CBF">
              <w:t>162</w:t>
            </w:r>
          </w:p>
        </w:tc>
      </w:tr>
      <w:tr w:rsidR="00D27CBF" w14:paraId="03680F69" w14:textId="77777777" w:rsidTr="00881C08">
        <w:tc>
          <w:tcPr>
            <w:tcW w:w="2248" w:type="pct"/>
          </w:tcPr>
          <w:p w14:paraId="610F64CA" w14:textId="77777777" w:rsidR="00D27CBF" w:rsidRDefault="00D27CBF" w:rsidP="00D27CBF">
            <w:pPr>
              <w:pStyle w:val="TableText"/>
            </w:pPr>
            <w:r>
              <w:t>Benchmarking supplement session</w:t>
            </w:r>
          </w:p>
        </w:tc>
        <w:tc>
          <w:tcPr>
            <w:tcW w:w="738" w:type="pct"/>
          </w:tcPr>
          <w:p w14:paraId="269A8A00" w14:textId="5BE8E9E5" w:rsidR="00D27CBF" w:rsidRPr="00D27CBF" w:rsidRDefault="00D27CBF" w:rsidP="00D27CBF">
            <w:pPr>
              <w:pStyle w:val="TableText"/>
              <w:jc w:val="center"/>
            </w:pPr>
            <w:r w:rsidRPr="00D27CBF">
              <w:t>0</w:t>
            </w:r>
          </w:p>
        </w:tc>
        <w:tc>
          <w:tcPr>
            <w:tcW w:w="738" w:type="pct"/>
          </w:tcPr>
          <w:p w14:paraId="11ACFC11" w14:textId="1161DC9F" w:rsidR="00D27CBF" w:rsidRPr="00D27CBF" w:rsidRDefault="00D27CBF" w:rsidP="00D27CBF">
            <w:pPr>
              <w:pStyle w:val="TableText"/>
              <w:jc w:val="center"/>
            </w:pPr>
            <w:r w:rsidRPr="00D27CBF">
              <w:t>30</w:t>
            </w:r>
          </w:p>
        </w:tc>
        <w:tc>
          <w:tcPr>
            <w:tcW w:w="738" w:type="pct"/>
          </w:tcPr>
          <w:p w14:paraId="344ED864" w14:textId="72597ED9" w:rsidR="00D27CBF" w:rsidRPr="00D27CBF" w:rsidRDefault="00D27CBF" w:rsidP="00D27CBF">
            <w:pPr>
              <w:pStyle w:val="TableText"/>
              <w:jc w:val="center"/>
            </w:pPr>
            <w:r w:rsidRPr="00D27CBF">
              <w:t>21</w:t>
            </w:r>
          </w:p>
        </w:tc>
        <w:tc>
          <w:tcPr>
            <w:tcW w:w="538" w:type="pct"/>
          </w:tcPr>
          <w:p w14:paraId="4FD0415B" w14:textId="6E6448C9" w:rsidR="00D27CBF" w:rsidRPr="00D27CBF" w:rsidRDefault="00D27CBF" w:rsidP="00D27CBF">
            <w:pPr>
              <w:pStyle w:val="TableText"/>
              <w:jc w:val="center"/>
            </w:pPr>
            <w:r w:rsidRPr="00D27CBF">
              <w:t>51</w:t>
            </w:r>
          </w:p>
        </w:tc>
      </w:tr>
      <w:tr w:rsidR="00387BB5" w:rsidRPr="005A10E8" w14:paraId="032D5A16" w14:textId="77777777" w:rsidTr="00881C08">
        <w:tc>
          <w:tcPr>
            <w:tcW w:w="2248" w:type="pct"/>
            <w:shd w:val="clear" w:color="auto" w:fill="DCDCDF" w:themeFill="text2" w:themeFillTint="33"/>
          </w:tcPr>
          <w:p w14:paraId="4A23F055" w14:textId="77777777" w:rsidR="00D27CBF" w:rsidRPr="005A10E8" w:rsidRDefault="00D27CBF" w:rsidP="00D27CBF">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5FC7C7C4" w14:textId="18492DE6" w:rsidR="00D27CBF" w:rsidRPr="00D27CBF" w:rsidRDefault="00D27CBF" w:rsidP="00D27CBF">
            <w:pPr>
              <w:pStyle w:val="TableText"/>
              <w:jc w:val="center"/>
            </w:pPr>
            <w:r w:rsidRPr="00D27CBF">
              <w:t>384</w:t>
            </w:r>
          </w:p>
        </w:tc>
        <w:tc>
          <w:tcPr>
            <w:tcW w:w="738" w:type="pct"/>
            <w:shd w:val="clear" w:color="auto" w:fill="DCDCDF" w:themeFill="text2" w:themeFillTint="33"/>
          </w:tcPr>
          <w:p w14:paraId="0E4790B5" w14:textId="61E49982" w:rsidR="00D27CBF" w:rsidRPr="00D27CBF" w:rsidRDefault="00D27CBF" w:rsidP="00D27CBF">
            <w:pPr>
              <w:pStyle w:val="TableText"/>
              <w:jc w:val="center"/>
            </w:pPr>
            <w:r w:rsidRPr="00D27CBF">
              <w:t>1</w:t>
            </w:r>
            <w:r>
              <w:t>,</w:t>
            </w:r>
            <w:r w:rsidRPr="00D27CBF">
              <w:t>241</w:t>
            </w:r>
          </w:p>
        </w:tc>
        <w:tc>
          <w:tcPr>
            <w:tcW w:w="738" w:type="pct"/>
            <w:shd w:val="clear" w:color="auto" w:fill="DCDCDF" w:themeFill="text2" w:themeFillTint="33"/>
          </w:tcPr>
          <w:p w14:paraId="6A8735CF" w14:textId="7FAF65CC" w:rsidR="00D27CBF" w:rsidRPr="00D27CBF" w:rsidRDefault="00D27CBF" w:rsidP="00D27CBF">
            <w:pPr>
              <w:pStyle w:val="TableText"/>
              <w:jc w:val="center"/>
            </w:pPr>
            <w:r w:rsidRPr="00D27CBF">
              <w:t>1</w:t>
            </w:r>
            <w:r>
              <w:t>,</w:t>
            </w:r>
            <w:r w:rsidRPr="00D27CBF">
              <w:t>363</w:t>
            </w:r>
          </w:p>
        </w:tc>
        <w:tc>
          <w:tcPr>
            <w:tcW w:w="538" w:type="pct"/>
            <w:shd w:val="clear" w:color="auto" w:fill="DCDCDF" w:themeFill="text2" w:themeFillTint="33"/>
          </w:tcPr>
          <w:p w14:paraId="60284008" w14:textId="1586E723" w:rsidR="00D27CBF" w:rsidRPr="00D27CBF" w:rsidRDefault="00D27CBF" w:rsidP="00D27CBF">
            <w:pPr>
              <w:pStyle w:val="TableText"/>
              <w:jc w:val="center"/>
            </w:pPr>
            <w:r w:rsidRPr="00D27CBF">
              <w:t>2</w:t>
            </w:r>
            <w:r>
              <w:t>,</w:t>
            </w:r>
            <w:r w:rsidRPr="00D27CBF">
              <w:t>988</w:t>
            </w:r>
          </w:p>
        </w:tc>
      </w:tr>
      <w:tr w:rsidR="00881C08" w14:paraId="599B8CC8" w14:textId="77777777" w:rsidTr="00881C08">
        <w:tc>
          <w:tcPr>
            <w:tcW w:w="2248" w:type="pct"/>
            <w:shd w:val="clear" w:color="auto" w:fill="DDF2EC" w:themeFill="background2" w:themeFillTint="33"/>
            <w:vAlign w:val="center"/>
          </w:tcPr>
          <w:p w14:paraId="55DFB45C" w14:textId="3E6616FD" w:rsidR="00881C08" w:rsidRDefault="00881C08" w:rsidP="003C139A">
            <w:pPr>
              <w:spacing w:before="0" w:after="0"/>
            </w:pPr>
            <w:r>
              <w:rPr>
                <w:rFonts w:asciiTheme="majorHAnsi" w:hAnsiTheme="majorHAnsi"/>
              </w:rPr>
              <w:t>Jurisdiction</w:t>
            </w:r>
          </w:p>
        </w:tc>
        <w:tc>
          <w:tcPr>
            <w:tcW w:w="738" w:type="pct"/>
            <w:shd w:val="clear" w:color="auto" w:fill="DDF2EC" w:themeFill="background2" w:themeFillTint="33"/>
          </w:tcPr>
          <w:p w14:paraId="0216FE59" w14:textId="3581FE73" w:rsidR="00881C08" w:rsidRPr="00D22255" w:rsidRDefault="00F1731C" w:rsidP="003C139A">
            <w:pPr>
              <w:pStyle w:val="TableText"/>
              <w:jc w:val="center"/>
            </w:pPr>
            <w:r>
              <w:rPr>
                <w:b/>
                <w:bCs/>
              </w:rPr>
              <w:t>N</w:t>
            </w:r>
          </w:p>
        </w:tc>
        <w:tc>
          <w:tcPr>
            <w:tcW w:w="738" w:type="pct"/>
            <w:shd w:val="clear" w:color="auto" w:fill="DDF2EC" w:themeFill="background2" w:themeFillTint="33"/>
          </w:tcPr>
          <w:p w14:paraId="47285667" w14:textId="485BD660" w:rsidR="00881C08" w:rsidRPr="00D22255" w:rsidRDefault="00F1731C" w:rsidP="003C139A">
            <w:pPr>
              <w:pStyle w:val="TableText"/>
              <w:jc w:val="center"/>
            </w:pPr>
            <w:r>
              <w:rPr>
                <w:b/>
                <w:bCs/>
              </w:rPr>
              <w:t>N</w:t>
            </w:r>
          </w:p>
        </w:tc>
        <w:tc>
          <w:tcPr>
            <w:tcW w:w="738" w:type="pct"/>
            <w:shd w:val="clear" w:color="auto" w:fill="DDF2EC" w:themeFill="background2" w:themeFillTint="33"/>
          </w:tcPr>
          <w:p w14:paraId="71877E7D" w14:textId="142AA0B1" w:rsidR="00881C08" w:rsidRPr="00D22255" w:rsidRDefault="00F1731C" w:rsidP="003C139A">
            <w:pPr>
              <w:pStyle w:val="TableText"/>
              <w:jc w:val="center"/>
            </w:pPr>
            <w:r>
              <w:rPr>
                <w:b/>
                <w:bCs/>
              </w:rPr>
              <w:t>N</w:t>
            </w:r>
          </w:p>
        </w:tc>
        <w:tc>
          <w:tcPr>
            <w:tcW w:w="538" w:type="pct"/>
            <w:shd w:val="clear" w:color="auto" w:fill="DDF2EC" w:themeFill="background2" w:themeFillTint="33"/>
          </w:tcPr>
          <w:p w14:paraId="760C86C8" w14:textId="24002D48" w:rsidR="00881C08" w:rsidRPr="00D22255" w:rsidRDefault="00F1731C" w:rsidP="003C139A">
            <w:pPr>
              <w:pStyle w:val="TableText"/>
              <w:jc w:val="center"/>
            </w:pPr>
            <w:r>
              <w:rPr>
                <w:b/>
                <w:bCs/>
              </w:rPr>
              <w:t>N</w:t>
            </w:r>
          </w:p>
        </w:tc>
      </w:tr>
      <w:tr w:rsidR="00D27CBF" w14:paraId="3F8B0C35" w14:textId="77777777" w:rsidTr="00881C08">
        <w:tc>
          <w:tcPr>
            <w:tcW w:w="2248" w:type="pct"/>
            <w:vAlign w:val="center"/>
          </w:tcPr>
          <w:p w14:paraId="4A81CE6D" w14:textId="0FA62E34" w:rsidR="00D27CBF" w:rsidRDefault="00D27CBF" w:rsidP="00D27CBF">
            <w:pPr>
              <w:spacing w:before="0" w:after="0"/>
            </w:pPr>
            <w:r>
              <w:t>Victoria</w:t>
            </w:r>
          </w:p>
        </w:tc>
        <w:tc>
          <w:tcPr>
            <w:tcW w:w="738" w:type="pct"/>
          </w:tcPr>
          <w:p w14:paraId="70D907AF" w14:textId="31FDE5F3" w:rsidR="00D27CBF" w:rsidRPr="00D22255" w:rsidRDefault="00D27CBF" w:rsidP="00D22255">
            <w:pPr>
              <w:pStyle w:val="TableText"/>
              <w:jc w:val="center"/>
            </w:pPr>
            <w:r w:rsidRPr="00D22255">
              <w:t>31</w:t>
            </w:r>
          </w:p>
        </w:tc>
        <w:tc>
          <w:tcPr>
            <w:tcW w:w="738" w:type="pct"/>
          </w:tcPr>
          <w:p w14:paraId="5108A77B" w14:textId="746B57BE" w:rsidR="00D27CBF" w:rsidRPr="00D22255" w:rsidRDefault="00D27CBF" w:rsidP="00D22255">
            <w:pPr>
              <w:pStyle w:val="TableText"/>
              <w:jc w:val="center"/>
            </w:pPr>
            <w:r w:rsidRPr="00D22255">
              <w:t>185</w:t>
            </w:r>
          </w:p>
        </w:tc>
        <w:tc>
          <w:tcPr>
            <w:tcW w:w="738" w:type="pct"/>
          </w:tcPr>
          <w:p w14:paraId="540DEA88" w14:textId="55120444" w:rsidR="00D27CBF" w:rsidRPr="00D22255" w:rsidRDefault="00D27CBF" w:rsidP="00D22255">
            <w:pPr>
              <w:pStyle w:val="TableText"/>
              <w:jc w:val="center"/>
            </w:pPr>
            <w:r w:rsidRPr="00D22255">
              <w:t>289</w:t>
            </w:r>
          </w:p>
        </w:tc>
        <w:tc>
          <w:tcPr>
            <w:tcW w:w="538" w:type="pct"/>
          </w:tcPr>
          <w:p w14:paraId="34EB3CDF" w14:textId="2F3A8271" w:rsidR="00D27CBF" w:rsidRPr="00D22255" w:rsidRDefault="00D27CBF" w:rsidP="00D22255">
            <w:pPr>
              <w:pStyle w:val="TableText"/>
              <w:jc w:val="center"/>
            </w:pPr>
            <w:r w:rsidRPr="00D22255">
              <w:t>505</w:t>
            </w:r>
          </w:p>
        </w:tc>
      </w:tr>
      <w:tr w:rsidR="00973364" w14:paraId="01524B74" w14:textId="77777777" w:rsidTr="00881C08">
        <w:tc>
          <w:tcPr>
            <w:tcW w:w="2248" w:type="pct"/>
            <w:vAlign w:val="center"/>
          </w:tcPr>
          <w:p w14:paraId="680E10D4" w14:textId="754736FC" w:rsidR="00973364" w:rsidRDefault="00973364" w:rsidP="00973364">
            <w:pPr>
              <w:spacing w:before="0" w:after="0"/>
            </w:pPr>
            <w:r>
              <w:t>New South Wales</w:t>
            </w:r>
          </w:p>
        </w:tc>
        <w:tc>
          <w:tcPr>
            <w:tcW w:w="738" w:type="pct"/>
          </w:tcPr>
          <w:p w14:paraId="7EA88B79" w14:textId="6F847A95" w:rsidR="00973364" w:rsidRPr="00D22255" w:rsidRDefault="00973364" w:rsidP="00D22255">
            <w:pPr>
              <w:pStyle w:val="TableText"/>
              <w:jc w:val="center"/>
            </w:pPr>
            <w:r w:rsidRPr="00D22255">
              <w:t>301</w:t>
            </w:r>
          </w:p>
        </w:tc>
        <w:tc>
          <w:tcPr>
            <w:tcW w:w="738" w:type="pct"/>
          </w:tcPr>
          <w:p w14:paraId="22FBA7D4" w14:textId="485F8D3B" w:rsidR="00973364" w:rsidRPr="00D22255" w:rsidRDefault="00973364" w:rsidP="00D22255">
            <w:pPr>
              <w:pStyle w:val="TableText"/>
              <w:jc w:val="center"/>
            </w:pPr>
            <w:r w:rsidRPr="00D22255">
              <w:t>793</w:t>
            </w:r>
          </w:p>
        </w:tc>
        <w:tc>
          <w:tcPr>
            <w:tcW w:w="738" w:type="pct"/>
          </w:tcPr>
          <w:p w14:paraId="2B62480F" w14:textId="14B9E7E1" w:rsidR="00973364" w:rsidRPr="00D22255" w:rsidRDefault="00973364" w:rsidP="00D22255">
            <w:pPr>
              <w:pStyle w:val="TableText"/>
              <w:jc w:val="center"/>
            </w:pPr>
            <w:r w:rsidRPr="00D22255">
              <w:t>333</w:t>
            </w:r>
          </w:p>
        </w:tc>
        <w:tc>
          <w:tcPr>
            <w:tcW w:w="538" w:type="pct"/>
          </w:tcPr>
          <w:p w14:paraId="74732B55" w14:textId="2EF92AB1" w:rsidR="00973364" w:rsidRPr="00D22255" w:rsidRDefault="00973364" w:rsidP="00D22255">
            <w:pPr>
              <w:pStyle w:val="TableText"/>
              <w:jc w:val="center"/>
            </w:pPr>
            <w:r w:rsidRPr="00D22255">
              <w:t>1</w:t>
            </w:r>
            <w:r w:rsidR="00D22255">
              <w:t>,</w:t>
            </w:r>
            <w:r w:rsidRPr="00D22255">
              <w:t>427</w:t>
            </w:r>
          </w:p>
        </w:tc>
      </w:tr>
      <w:tr w:rsidR="00973364" w14:paraId="12DD3A25" w14:textId="77777777" w:rsidTr="00881C08">
        <w:tc>
          <w:tcPr>
            <w:tcW w:w="2248" w:type="pct"/>
            <w:vAlign w:val="center"/>
          </w:tcPr>
          <w:p w14:paraId="567AD6C3" w14:textId="4815674B" w:rsidR="00973364" w:rsidRDefault="00973364" w:rsidP="00973364">
            <w:pPr>
              <w:spacing w:before="0" w:after="0"/>
            </w:pPr>
            <w:r>
              <w:t>Queensland</w:t>
            </w:r>
          </w:p>
        </w:tc>
        <w:tc>
          <w:tcPr>
            <w:tcW w:w="738" w:type="pct"/>
          </w:tcPr>
          <w:p w14:paraId="418DD9BF" w14:textId="6E9F0DCE" w:rsidR="00973364" w:rsidRPr="00D22255" w:rsidRDefault="00973364" w:rsidP="00D22255">
            <w:pPr>
              <w:pStyle w:val="TableText"/>
              <w:jc w:val="center"/>
            </w:pPr>
            <w:r w:rsidRPr="00D22255">
              <w:t>17</w:t>
            </w:r>
          </w:p>
        </w:tc>
        <w:tc>
          <w:tcPr>
            <w:tcW w:w="738" w:type="pct"/>
          </w:tcPr>
          <w:p w14:paraId="79E7453B" w14:textId="66E1920B" w:rsidR="00973364" w:rsidRPr="00D22255" w:rsidRDefault="00973364" w:rsidP="00D22255">
            <w:pPr>
              <w:pStyle w:val="TableText"/>
              <w:jc w:val="center"/>
            </w:pPr>
            <w:r w:rsidRPr="00D22255">
              <w:t>32</w:t>
            </w:r>
          </w:p>
        </w:tc>
        <w:tc>
          <w:tcPr>
            <w:tcW w:w="738" w:type="pct"/>
          </w:tcPr>
          <w:p w14:paraId="3857E843" w14:textId="76AC93B9" w:rsidR="00973364" w:rsidRPr="00D22255" w:rsidRDefault="00973364" w:rsidP="00D22255">
            <w:pPr>
              <w:pStyle w:val="TableText"/>
              <w:jc w:val="center"/>
            </w:pPr>
            <w:r w:rsidRPr="00D22255">
              <w:t>159</w:t>
            </w:r>
          </w:p>
        </w:tc>
        <w:tc>
          <w:tcPr>
            <w:tcW w:w="538" w:type="pct"/>
          </w:tcPr>
          <w:p w14:paraId="1F7627AF" w14:textId="55AC1758" w:rsidR="00973364" w:rsidRPr="00D22255" w:rsidRDefault="00973364" w:rsidP="00D22255">
            <w:pPr>
              <w:pStyle w:val="TableText"/>
              <w:jc w:val="center"/>
            </w:pPr>
            <w:r w:rsidRPr="00D22255">
              <w:t>208</w:t>
            </w:r>
          </w:p>
        </w:tc>
      </w:tr>
      <w:tr w:rsidR="00973364" w14:paraId="56F8C51D" w14:textId="77777777" w:rsidTr="00881C08">
        <w:tc>
          <w:tcPr>
            <w:tcW w:w="2248" w:type="pct"/>
            <w:vAlign w:val="center"/>
          </w:tcPr>
          <w:p w14:paraId="4199EC62" w14:textId="78288AEC" w:rsidR="00973364" w:rsidRDefault="00973364" w:rsidP="00973364">
            <w:pPr>
              <w:spacing w:before="0" w:after="0"/>
            </w:pPr>
            <w:r>
              <w:t>Western Australia</w:t>
            </w:r>
          </w:p>
        </w:tc>
        <w:tc>
          <w:tcPr>
            <w:tcW w:w="738" w:type="pct"/>
          </w:tcPr>
          <w:p w14:paraId="490E54E0" w14:textId="549FFAE9" w:rsidR="00973364" w:rsidRPr="00D22255" w:rsidRDefault="00973364" w:rsidP="00D22255">
            <w:pPr>
              <w:pStyle w:val="TableText"/>
              <w:jc w:val="center"/>
            </w:pPr>
            <w:r w:rsidRPr="00D22255">
              <w:t>0</w:t>
            </w:r>
          </w:p>
        </w:tc>
        <w:tc>
          <w:tcPr>
            <w:tcW w:w="738" w:type="pct"/>
          </w:tcPr>
          <w:p w14:paraId="45DAF715" w14:textId="1869AA44" w:rsidR="00973364" w:rsidRPr="00D22255" w:rsidRDefault="00973364" w:rsidP="00D22255">
            <w:pPr>
              <w:pStyle w:val="TableText"/>
              <w:jc w:val="center"/>
            </w:pPr>
            <w:r w:rsidRPr="00D22255">
              <w:t>119</w:t>
            </w:r>
          </w:p>
        </w:tc>
        <w:tc>
          <w:tcPr>
            <w:tcW w:w="738" w:type="pct"/>
          </w:tcPr>
          <w:p w14:paraId="7C45B512" w14:textId="28B5C294" w:rsidR="00973364" w:rsidRPr="00D22255" w:rsidRDefault="00973364" w:rsidP="00D22255">
            <w:pPr>
              <w:pStyle w:val="TableText"/>
              <w:jc w:val="center"/>
            </w:pPr>
            <w:r w:rsidRPr="00D22255">
              <w:t>159</w:t>
            </w:r>
          </w:p>
        </w:tc>
        <w:tc>
          <w:tcPr>
            <w:tcW w:w="538" w:type="pct"/>
          </w:tcPr>
          <w:p w14:paraId="19406894" w14:textId="5FF6735E" w:rsidR="00973364" w:rsidRPr="00D22255" w:rsidRDefault="00973364" w:rsidP="00D22255">
            <w:pPr>
              <w:pStyle w:val="TableText"/>
              <w:jc w:val="center"/>
            </w:pPr>
            <w:r w:rsidRPr="00D22255">
              <w:t>278</w:t>
            </w:r>
          </w:p>
        </w:tc>
      </w:tr>
      <w:tr w:rsidR="00973364" w14:paraId="5C9AE5A0" w14:textId="77777777" w:rsidTr="00881C08">
        <w:tc>
          <w:tcPr>
            <w:tcW w:w="2248" w:type="pct"/>
            <w:vAlign w:val="center"/>
          </w:tcPr>
          <w:p w14:paraId="2AFD5934" w14:textId="46668867" w:rsidR="00973364" w:rsidRDefault="00973364" w:rsidP="00973364">
            <w:pPr>
              <w:spacing w:before="0" w:after="0"/>
            </w:pPr>
            <w:r>
              <w:t>South Australia</w:t>
            </w:r>
          </w:p>
        </w:tc>
        <w:tc>
          <w:tcPr>
            <w:tcW w:w="738" w:type="pct"/>
          </w:tcPr>
          <w:p w14:paraId="5453F2D1" w14:textId="1EA0B7A5" w:rsidR="00973364" w:rsidRPr="00D22255" w:rsidRDefault="00973364" w:rsidP="00D22255">
            <w:pPr>
              <w:pStyle w:val="TableText"/>
              <w:jc w:val="center"/>
            </w:pPr>
            <w:r w:rsidRPr="00D22255">
              <w:t>0</w:t>
            </w:r>
          </w:p>
        </w:tc>
        <w:tc>
          <w:tcPr>
            <w:tcW w:w="738" w:type="pct"/>
          </w:tcPr>
          <w:p w14:paraId="3397208E" w14:textId="16B1F934" w:rsidR="00973364" w:rsidRPr="00D22255" w:rsidRDefault="00973364" w:rsidP="00D22255">
            <w:pPr>
              <w:pStyle w:val="TableText"/>
              <w:jc w:val="center"/>
            </w:pPr>
            <w:r w:rsidRPr="00D22255">
              <w:t>73</w:t>
            </w:r>
          </w:p>
        </w:tc>
        <w:tc>
          <w:tcPr>
            <w:tcW w:w="738" w:type="pct"/>
          </w:tcPr>
          <w:p w14:paraId="47C8BF40" w14:textId="44B20593" w:rsidR="00973364" w:rsidRPr="00D22255" w:rsidRDefault="00973364" w:rsidP="00D22255">
            <w:pPr>
              <w:pStyle w:val="TableText"/>
              <w:jc w:val="center"/>
            </w:pPr>
            <w:r w:rsidRPr="00D22255">
              <w:t>143</w:t>
            </w:r>
          </w:p>
        </w:tc>
        <w:tc>
          <w:tcPr>
            <w:tcW w:w="538" w:type="pct"/>
          </w:tcPr>
          <w:p w14:paraId="7B5DE804" w14:textId="7C8CAF64" w:rsidR="00973364" w:rsidRPr="00D22255" w:rsidRDefault="00973364" w:rsidP="00D22255">
            <w:pPr>
              <w:pStyle w:val="TableText"/>
              <w:jc w:val="center"/>
            </w:pPr>
            <w:r w:rsidRPr="00D22255">
              <w:t>216</w:t>
            </w:r>
          </w:p>
        </w:tc>
      </w:tr>
      <w:tr w:rsidR="00973364" w14:paraId="47D086E7" w14:textId="77777777" w:rsidTr="00881C08">
        <w:tc>
          <w:tcPr>
            <w:tcW w:w="2248" w:type="pct"/>
            <w:vAlign w:val="center"/>
          </w:tcPr>
          <w:p w14:paraId="6EC76CDE" w14:textId="668BBD3E" w:rsidR="00973364" w:rsidRDefault="00973364" w:rsidP="00973364">
            <w:pPr>
              <w:spacing w:before="0" w:after="0"/>
            </w:pPr>
            <w:r>
              <w:t>Australian Capital Territory</w:t>
            </w:r>
          </w:p>
        </w:tc>
        <w:tc>
          <w:tcPr>
            <w:tcW w:w="738" w:type="pct"/>
          </w:tcPr>
          <w:p w14:paraId="73A86859" w14:textId="36933493" w:rsidR="00973364" w:rsidRPr="00D22255" w:rsidRDefault="00973364" w:rsidP="00D22255">
            <w:pPr>
              <w:pStyle w:val="TableText"/>
              <w:jc w:val="center"/>
            </w:pPr>
            <w:r w:rsidRPr="00D22255">
              <w:t>35</w:t>
            </w:r>
          </w:p>
        </w:tc>
        <w:tc>
          <w:tcPr>
            <w:tcW w:w="738" w:type="pct"/>
          </w:tcPr>
          <w:p w14:paraId="1EB80729" w14:textId="4854B1E9" w:rsidR="00973364" w:rsidRPr="00D22255" w:rsidRDefault="00973364" w:rsidP="00D22255">
            <w:pPr>
              <w:pStyle w:val="TableText"/>
              <w:jc w:val="center"/>
            </w:pPr>
            <w:r w:rsidRPr="00D22255">
              <w:t>21</w:t>
            </w:r>
          </w:p>
        </w:tc>
        <w:tc>
          <w:tcPr>
            <w:tcW w:w="738" w:type="pct"/>
          </w:tcPr>
          <w:p w14:paraId="14F767DE" w14:textId="743A0E8F" w:rsidR="00973364" w:rsidRPr="00D22255" w:rsidRDefault="00973364" w:rsidP="00D22255">
            <w:pPr>
              <w:pStyle w:val="TableText"/>
              <w:jc w:val="center"/>
            </w:pPr>
            <w:r w:rsidRPr="00D22255">
              <w:t>32</w:t>
            </w:r>
          </w:p>
        </w:tc>
        <w:tc>
          <w:tcPr>
            <w:tcW w:w="538" w:type="pct"/>
          </w:tcPr>
          <w:p w14:paraId="72587D6C" w14:textId="724D78C2" w:rsidR="00973364" w:rsidRPr="00D22255" w:rsidRDefault="00973364" w:rsidP="00D22255">
            <w:pPr>
              <w:pStyle w:val="TableText"/>
              <w:jc w:val="center"/>
            </w:pPr>
            <w:r w:rsidRPr="00D22255">
              <w:t>88</w:t>
            </w:r>
          </w:p>
        </w:tc>
      </w:tr>
      <w:tr w:rsidR="00973364" w14:paraId="71E1854F" w14:textId="77777777" w:rsidTr="00881C08">
        <w:tc>
          <w:tcPr>
            <w:tcW w:w="2248" w:type="pct"/>
            <w:vAlign w:val="center"/>
          </w:tcPr>
          <w:p w14:paraId="39A1B2EB" w14:textId="19E7EDF5" w:rsidR="00973364" w:rsidRDefault="00973364" w:rsidP="00973364">
            <w:pPr>
              <w:spacing w:before="0" w:after="0"/>
            </w:pPr>
            <w:r>
              <w:t>Northern Territory</w:t>
            </w:r>
          </w:p>
        </w:tc>
        <w:tc>
          <w:tcPr>
            <w:tcW w:w="738" w:type="pct"/>
          </w:tcPr>
          <w:p w14:paraId="0B59A69C" w14:textId="580D0680" w:rsidR="00973364" w:rsidRPr="00D22255" w:rsidRDefault="00973364" w:rsidP="00D22255">
            <w:pPr>
              <w:pStyle w:val="TableText"/>
              <w:jc w:val="center"/>
            </w:pPr>
            <w:r w:rsidRPr="00D22255">
              <w:t>0</w:t>
            </w:r>
          </w:p>
        </w:tc>
        <w:tc>
          <w:tcPr>
            <w:tcW w:w="738" w:type="pct"/>
          </w:tcPr>
          <w:p w14:paraId="09595BDB" w14:textId="06BF37FE" w:rsidR="00973364" w:rsidRPr="00D22255" w:rsidRDefault="00973364" w:rsidP="00D22255">
            <w:pPr>
              <w:pStyle w:val="TableText"/>
              <w:jc w:val="center"/>
            </w:pPr>
            <w:r w:rsidRPr="00D22255">
              <w:t>0</w:t>
            </w:r>
          </w:p>
        </w:tc>
        <w:tc>
          <w:tcPr>
            <w:tcW w:w="738" w:type="pct"/>
          </w:tcPr>
          <w:p w14:paraId="4425A857" w14:textId="70D3B66E" w:rsidR="00973364" w:rsidRPr="00D22255" w:rsidRDefault="00973364" w:rsidP="00D22255">
            <w:pPr>
              <w:pStyle w:val="TableText"/>
              <w:jc w:val="center"/>
            </w:pPr>
            <w:r w:rsidRPr="00D22255">
              <w:t>0</w:t>
            </w:r>
          </w:p>
        </w:tc>
        <w:tc>
          <w:tcPr>
            <w:tcW w:w="538" w:type="pct"/>
          </w:tcPr>
          <w:p w14:paraId="73B7EBE4" w14:textId="050A8BC8" w:rsidR="00973364" w:rsidRPr="00D22255" w:rsidRDefault="00973364" w:rsidP="00D22255">
            <w:pPr>
              <w:pStyle w:val="TableText"/>
              <w:jc w:val="center"/>
            </w:pPr>
            <w:r w:rsidRPr="00D22255">
              <w:t>0</w:t>
            </w:r>
          </w:p>
        </w:tc>
      </w:tr>
      <w:tr w:rsidR="00D22255" w14:paraId="085443F6" w14:textId="77777777" w:rsidTr="00881C08">
        <w:tc>
          <w:tcPr>
            <w:tcW w:w="2248" w:type="pct"/>
            <w:vAlign w:val="center"/>
          </w:tcPr>
          <w:p w14:paraId="546014E2" w14:textId="3A7B6255" w:rsidR="00D22255" w:rsidRDefault="00D22255" w:rsidP="00D22255">
            <w:pPr>
              <w:spacing w:before="0" w:after="0"/>
            </w:pPr>
            <w:r>
              <w:t>Tasmania</w:t>
            </w:r>
          </w:p>
        </w:tc>
        <w:tc>
          <w:tcPr>
            <w:tcW w:w="738" w:type="pct"/>
          </w:tcPr>
          <w:p w14:paraId="050E14D2" w14:textId="097EE510" w:rsidR="00D22255" w:rsidRPr="00D22255" w:rsidRDefault="00D22255" w:rsidP="00D22255">
            <w:pPr>
              <w:pStyle w:val="TableText"/>
              <w:jc w:val="center"/>
            </w:pPr>
            <w:r w:rsidRPr="00D22255">
              <w:t>32</w:t>
            </w:r>
          </w:p>
        </w:tc>
        <w:tc>
          <w:tcPr>
            <w:tcW w:w="738" w:type="pct"/>
          </w:tcPr>
          <w:p w14:paraId="0841734A" w14:textId="2DDFB4D4" w:rsidR="00D22255" w:rsidRPr="00D22255" w:rsidRDefault="00D22255" w:rsidP="00D22255">
            <w:pPr>
              <w:pStyle w:val="TableText"/>
              <w:jc w:val="center"/>
            </w:pPr>
            <w:r w:rsidRPr="00D22255">
              <w:t>24</w:t>
            </w:r>
          </w:p>
        </w:tc>
        <w:tc>
          <w:tcPr>
            <w:tcW w:w="738" w:type="pct"/>
          </w:tcPr>
          <w:p w14:paraId="51F09DCC" w14:textId="1209211D" w:rsidR="00D22255" w:rsidRPr="00D22255" w:rsidRDefault="00D22255" w:rsidP="00D22255">
            <w:pPr>
              <w:pStyle w:val="TableText"/>
              <w:jc w:val="center"/>
            </w:pPr>
            <w:r w:rsidRPr="00D22255">
              <w:t>43</w:t>
            </w:r>
          </w:p>
        </w:tc>
        <w:tc>
          <w:tcPr>
            <w:tcW w:w="538" w:type="pct"/>
          </w:tcPr>
          <w:p w14:paraId="16E272A1" w14:textId="7EC4FBCA" w:rsidR="00D22255" w:rsidRPr="00D22255" w:rsidRDefault="00D22255" w:rsidP="00D22255">
            <w:pPr>
              <w:pStyle w:val="TableText"/>
              <w:jc w:val="center"/>
            </w:pPr>
            <w:r w:rsidRPr="00D22255">
              <w:t>99</w:t>
            </w:r>
          </w:p>
        </w:tc>
      </w:tr>
      <w:tr w:rsidR="00387BB5" w:rsidRPr="005A10E8" w14:paraId="6A37B197" w14:textId="77777777" w:rsidTr="00881C08">
        <w:tc>
          <w:tcPr>
            <w:tcW w:w="2248" w:type="pct"/>
            <w:shd w:val="clear" w:color="auto" w:fill="DCDCDF" w:themeFill="text2" w:themeFillTint="33"/>
          </w:tcPr>
          <w:p w14:paraId="23BFF40F" w14:textId="77777777" w:rsidR="00D22255" w:rsidRPr="005A10E8" w:rsidRDefault="00D22255" w:rsidP="00D22255">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1602A610" w14:textId="6672B478" w:rsidR="00D22255" w:rsidRPr="00D22255" w:rsidRDefault="00D22255" w:rsidP="00D22255">
            <w:pPr>
              <w:pStyle w:val="TableText"/>
              <w:jc w:val="center"/>
            </w:pPr>
            <w:r w:rsidRPr="00D22255">
              <w:t>416</w:t>
            </w:r>
          </w:p>
        </w:tc>
        <w:tc>
          <w:tcPr>
            <w:tcW w:w="738" w:type="pct"/>
            <w:shd w:val="clear" w:color="auto" w:fill="DCDCDF" w:themeFill="text2" w:themeFillTint="33"/>
          </w:tcPr>
          <w:p w14:paraId="7EA979A4" w14:textId="45FA8AA9" w:rsidR="00D22255" w:rsidRPr="00D22255" w:rsidRDefault="00D22255" w:rsidP="00D22255">
            <w:pPr>
              <w:pStyle w:val="TableText"/>
              <w:jc w:val="center"/>
            </w:pPr>
            <w:r w:rsidRPr="00D22255">
              <w:t>1</w:t>
            </w:r>
            <w:r>
              <w:t>,</w:t>
            </w:r>
            <w:r w:rsidRPr="00D22255">
              <w:t>247</w:t>
            </w:r>
          </w:p>
        </w:tc>
        <w:tc>
          <w:tcPr>
            <w:tcW w:w="738" w:type="pct"/>
            <w:shd w:val="clear" w:color="auto" w:fill="DCDCDF" w:themeFill="text2" w:themeFillTint="33"/>
          </w:tcPr>
          <w:p w14:paraId="46AC93DF" w14:textId="70A200EC" w:rsidR="00D22255" w:rsidRPr="00D22255" w:rsidRDefault="00D22255" w:rsidP="00D22255">
            <w:pPr>
              <w:pStyle w:val="TableText"/>
              <w:jc w:val="center"/>
            </w:pPr>
            <w:r w:rsidRPr="00D22255">
              <w:t>1</w:t>
            </w:r>
            <w:r>
              <w:t>,</w:t>
            </w:r>
            <w:r w:rsidRPr="00D22255">
              <w:t>158</w:t>
            </w:r>
          </w:p>
        </w:tc>
        <w:tc>
          <w:tcPr>
            <w:tcW w:w="538" w:type="pct"/>
            <w:shd w:val="clear" w:color="auto" w:fill="DCDCDF" w:themeFill="text2" w:themeFillTint="33"/>
          </w:tcPr>
          <w:p w14:paraId="65B19F43" w14:textId="54344604" w:rsidR="00D22255" w:rsidRPr="00D22255" w:rsidRDefault="00D22255" w:rsidP="00D22255">
            <w:pPr>
              <w:pStyle w:val="TableText"/>
              <w:jc w:val="center"/>
            </w:pPr>
            <w:r w:rsidRPr="00D22255">
              <w:t>2</w:t>
            </w:r>
            <w:r>
              <w:t>,</w:t>
            </w:r>
            <w:r w:rsidRPr="00D22255">
              <w:t>821</w:t>
            </w:r>
          </w:p>
        </w:tc>
      </w:tr>
    </w:tbl>
    <w:p w14:paraId="2E9F907D" w14:textId="3762EAD4" w:rsidR="00C67EE4" w:rsidRDefault="00C67EE4" w:rsidP="00C67EE4">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0865B6BE" w14:textId="30E00E6A" w:rsidR="00346A1A" w:rsidRDefault="00066E55" w:rsidP="00BA6A2A">
      <w:r>
        <w:fldChar w:fldCharType="begin"/>
      </w:r>
      <w:r>
        <w:instrText xml:space="preserve"> REF _Ref216793867 \h </w:instrText>
      </w:r>
      <w:r>
        <w:fldChar w:fldCharType="separate"/>
      </w:r>
      <w:r w:rsidR="00167BA0">
        <w:t xml:space="preserve">Table </w:t>
      </w:r>
      <w:r w:rsidR="00167BA0">
        <w:rPr>
          <w:noProof/>
        </w:rPr>
        <w:t>9</w:t>
      </w:r>
      <w:r w:rsidR="00167BA0">
        <w:t>.</w:t>
      </w:r>
      <w:r w:rsidR="00167BA0">
        <w:rPr>
          <w:noProof/>
        </w:rPr>
        <w:t>26</w:t>
      </w:r>
      <w:r>
        <w:fldChar w:fldCharType="end"/>
      </w:r>
      <w:r w:rsidR="001308FD">
        <w:t xml:space="preserve"> </w:t>
      </w:r>
      <w:r w:rsidR="003E3C01">
        <w:t>presents</w:t>
      </w:r>
      <w:r w:rsidR="001308FD">
        <w:t xml:space="preserve"> the number and profile of </w:t>
      </w:r>
      <w:r w:rsidR="00AF6882">
        <w:t>enrolments</w:t>
      </w:r>
      <w:r w:rsidR="003E3C01">
        <w:t xml:space="preserve"> in PACOP online modules.</w:t>
      </w:r>
    </w:p>
    <w:p w14:paraId="42B791A1" w14:textId="7704FAB8" w:rsidR="002C20CB" w:rsidRDefault="002C20CB" w:rsidP="002C20CB">
      <w:pPr>
        <w:pStyle w:val="Caption"/>
      </w:pPr>
      <w:bookmarkStart w:id="219" w:name="_Ref216793867"/>
      <w:bookmarkStart w:id="220" w:name="_Ref216264480"/>
      <w:r>
        <w:t xml:space="preserve">Table </w:t>
      </w:r>
      <w:fldSimple w:instr=" STYLEREF 1 \s ">
        <w:r w:rsidR="0091457A">
          <w:rPr>
            <w:noProof/>
          </w:rPr>
          <w:t>9</w:t>
        </w:r>
      </w:fldSimple>
      <w:r w:rsidR="0091457A">
        <w:t>.</w:t>
      </w:r>
      <w:fldSimple w:instr=" SEQ Table \* ARABIC \s 1 ">
        <w:r w:rsidR="0091457A">
          <w:rPr>
            <w:noProof/>
          </w:rPr>
          <w:t>26</w:t>
        </w:r>
      </w:fldSimple>
      <w:bookmarkEnd w:id="219"/>
      <w:bookmarkEnd w:id="220"/>
      <w:r>
        <w:t>: Number and profile of PACOP online module enrolments</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ACOP online module enrolments"/>
        <w:tblDescription w:val="Table shows number and profile of PACOP online module enrolments by module type, jurisdiction and profession."/>
      </w:tblPr>
      <w:tblGrid>
        <w:gridCol w:w="5808"/>
        <w:gridCol w:w="1395"/>
      </w:tblGrid>
      <w:tr w:rsidR="002C20CB" w14:paraId="3E37765C" w14:textId="77777777" w:rsidTr="00D94B46">
        <w:trPr>
          <w:cnfStyle w:val="100000000000" w:firstRow="1" w:lastRow="0" w:firstColumn="0" w:lastColumn="0" w:oddVBand="0" w:evenVBand="0" w:oddHBand="0" w:evenHBand="0" w:firstRowFirstColumn="0" w:firstRowLastColumn="0" w:lastRowFirstColumn="0" w:lastRowLastColumn="0"/>
          <w:tblHeader/>
        </w:trPr>
        <w:tc>
          <w:tcPr>
            <w:tcW w:w="4032" w:type="pct"/>
          </w:tcPr>
          <w:p w14:paraId="175AAD53" w14:textId="26138BA5" w:rsidR="002C20CB" w:rsidRDefault="0029165B">
            <w:pPr>
              <w:spacing w:before="0" w:after="0"/>
            </w:pPr>
            <w:r>
              <w:t>Characteristic</w:t>
            </w:r>
          </w:p>
        </w:tc>
        <w:tc>
          <w:tcPr>
            <w:tcW w:w="968" w:type="pct"/>
          </w:tcPr>
          <w:p w14:paraId="316D03CC" w14:textId="77777777" w:rsidR="002C20CB" w:rsidRDefault="002C20CB">
            <w:pPr>
              <w:spacing w:before="0" w:after="0"/>
              <w:jc w:val="center"/>
            </w:pPr>
            <w:r>
              <w:t>Total</w:t>
            </w:r>
          </w:p>
        </w:tc>
      </w:tr>
      <w:tr w:rsidR="00E66132" w14:paraId="38654821" w14:textId="77777777" w:rsidTr="00E66132">
        <w:tc>
          <w:tcPr>
            <w:tcW w:w="4032" w:type="pct"/>
            <w:shd w:val="clear" w:color="auto" w:fill="DDF2EC" w:themeFill="background2" w:themeFillTint="33"/>
            <w:vAlign w:val="bottom"/>
          </w:tcPr>
          <w:p w14:paraId="26B0C5CA" w14:textId="075514C0" w:rsidR="00E66132" w:rsidRDefault="00E66132" w:rsidP="00D40D25">
            <w:pPr>
              <w:pStyle w:val="TableText"/>
            </w:pPr>
            <w:r>
              <w:rPr>
                <w:rFonts w:asciiTheme="majorHAnsi" w:hAnsiTheme="majorHAnsi"/>
              </w:rPr>
              <w:t>Module type</w:t>
            </w:r>
          </w:p>
        </w:tc>
        <w:tc>
          <w:tcPr>
            <w:tcW w:w="968" w:type="pct"/>
            <w:shd w:val="clear" w:color="auto" w:fill="DDF2EC" w:themeFill="background2" w:themeFillTint="33"/>
          </w:tcPr>
          <w:p w14:paraId="66A08D9A" w14:textId="78C86F33" w:rsidR="00E66132" w:rsidRPr="00E66132" w:rsidRDefault="00F1731C" w:rsidP="00D40D25">
            <w:pPr>
              <w:pStyle w:val="TableText"/>
              <w:jc w:val="center"/>
              <w:rPr>
                <w:b/>
                <w:bCs/>
              </w:rPr>
            </w:pPr>
            <w:r>
              <w:rPr>
                <w:b/>
                <w:bCs/>
              </w:rPr>
              <w:t>N</w:t>
            </w:r>
          </w:p>
        </w:tc>
      </w:tr>
      <w:tr w:rsidR="002C20CB" w14:paraId="245B9C1F" w14:textId="77777777" w:rsidTr="00D94B46">
        <w:tc>
          <w:tcPr>
            <w:tcW w:w="4032" w:type="pct"/>
            <w:vAlign w:val="bottom"/>
          </w:tcPr>
          <w:p w14:paraId="13C5005C" w14:textId="1CE1F303" w:rsidR="002C20CB" w:rsidRDefault="002C20CB">
            <w:pPr>
              <w:pStyle w:val="TableText"/>
            </w:pPr>
            <w:r>
              <w:t>PACOP Fundamentals</w:t>
            </w:r>
          </w:p>
        </w:tc>
        <w:tc>
          <w:tcPr>
            <w:tcW w:w="968" w:type="pct"/>
          </w:tcPr>
          <w:p w14:paraId="3EBE44A1" w14:textId="08883516" w:rsidR="002C20CB" w:rsidRPr="00D27CBF" w:rsidRDefault="002C20CB">
            <w:pPr>
              <w:pStyle w:val="TableText"/>
              <w:jc w:val="center"/>
            </w:pPr>
            <w:r>
              <w:t>315</w:t>
            </w:r>
          </w:p>
        </w:tc>
      </w:tr>
      <w:tr w:rsidR="002C20CB" w14:paraId="7818C71A" w14:textId="77777777" w:rsidTr="00D94B46">
        <w:tc>
          <w:tcPr>
            <w:tcW w:w="4032" w:type="pct"/>
            <w:vAlign w:val="bottom"/>
          </w:tcPr>
          <w:p w14:paraId="79D10877" w14:textId="07B31F72" w:rsidR="002C20CB" w:rsidRDefault="002C20CB">
            <w:pPr>
              <w:pStyle w:val="TableText"/>
            </w:pPr>
            <w:r>
              <w:t>PACOP</w:t>
            </w:r>
            <w:r w:rsidR="00441E2C">
              <w:t xml:space="preserve"> </w:t>
            </w:r>
            <w:r>
              <w:t>SAS for Care Staff</w:t>
            </w:r>
          </w:p>
        </w:tc>
        <w:tc>
          <w:tcPr>
            <w:tcW w:w="968" w:type="pct"/>
          </w:tcPr>
          <w:p w14:paraId="633EB7A9" w14:textId="0883299B" w:rsidR="002C20CB" w:rsidRPr="00D27CBF" w:rsidRDefault="002C20CB">
            <w:pPr>
              <w:pStyle w:val="TableText"/>
              <w:jc w:val="center"/>
            </w:pPr>
            <w:r>
              <w:t>155</w:t>
            </w:r>
          </w:p>
        </w:tc>
      </w:tr>
      <w:tr w:rsidR="002C20CB" w:rsidRPr="002C20CB" w14:paraId="3F6795F7" w14:textId="77777777" w:rsidTr="00D94B46">
        <w:tc>
          <w:tcPr>
            <w:tcW w:w="4032" w:type="pct"/>
            <w:shd w:val="clear" w:color="auto" w:fill="DCDCDF" w:themeFill="text2" w:themeFillTint="33"/>
          </w:tcPr>
          <w:p w14:paraId="35A34F14" w14:textId="77777777" w:rsidR="002C20CB" w:rsidRPr="002C20CB" w:rsidRDefault="002C20CB">
            <w:pPr>
              <w:pStyle w:val="TableText"/>
              <w:rPr>
                <w:rFonts w:asciiTheme="majorHAnsi" w:hAnsiTheme="majorHAnsi"/>
              </w:rPr>
            </w:pPr>
            <w:r w:rsidRPr="002C20CB">
              <w:rPr>
                <w:rFonts w:asciiTheme="majorHAnsi" w:hAnsiTheme="majorHAnsi"/>
              </w:rPr>
              <w:t>Total</w:t>
            </w:r>
          </w:p>
        </w:tc>
        <w:tc>
          <w:tcPr>
            <w:tcW w:w="968" w:type="pct"/>
            <w:shd w:val="clear" w:color="auto" w:fill="DCDCDF" w:themeFill="text2" w:themeFillTint="33"/>
          </w:tcPr>
          <w:p w14:paraId="25EAE533" w14:textId="23180F4B" w:rsidR="002C20CB" w:rsidRPr="002C20CB" w:rsidRDefault="002C20CB">
            <w:pPr>
              <w:pStyle w:val="TableText"/>
              <w:jc w:val="center"/>
              <w:rPr>
                <w:rFonts w:asciiTheme="majorHAnsi" w:hAnsiTheme="majorHAnsi"/>
              </w:rPr>
            </w:pPr>
            <w:r w:rsidRPr="002C20CB">
              <w:rPr>
                <w:rFonts w:asciiTheme="majorHAnsi" w:hAnsiTheme="majorHAnsi"/>
              </w:rPr>
              <w:t>470</w:t>
            </w:r>
          </w:p>
        </w:tc>
      </w:tr>
      <w:tr w:rsidR="00E66132" w14:paraId="722B8C1F" w14:textId="77777777" w:rsidTr="00E66132">
        <w:tc>
          <w:tcPr>
            <w:tcW w:w="4032" w:type="pct"/>
            <w:shd w:val="clear" w:color="auto" w:fill="DDF2EC" w:themeFill="background2" w:themeFillTint="33"/>
            <w:vAlign w:val="center"/>
          </w:tcPr>
          <w:p w14:paraId="73D21F97" w14:textId="70183EAF" w:rsidR="00E66132" w:rsidRDefault="00E66132" w:rsidP="00D25622">
            <w:pPr>
              <w:spacing w:before="0" w:after="0"/>
            </w:pPr>
            <w:r>
              <w:rPr>
                <w:rFonts w:asciiTheme="majorHAnsi" w:hAnsiTheme="majorHAnsi"/>
              </w:rPr>
              <w:t>Jurisdiction</w:t>
            </w:r>
          </w:p>
        </w:tc>
        <w:tc>
          <w:tcPr>
            <w:tcW w:w="968" w:type="pct"/>
            <w:shd w:val="clear" w:color="auto" w:fill="DDF2EC" w:themeFill="background2" w:themeFillTint="33"/>
          </w:tcPr>
          <w:p w14:paraId="5F12E016" w14:textId="1B77B10D" w:rsidR="00E66132" w:rsidRPr="00353140" w:rsidRDefault="00F1731C" w:rsidP="00D25622">
            <w:pPr>
              <w:pStyle w:val="TableText"/>
              <w:jc w:val="center"/>
              <w:rPr>
                <w:b/>
                <w:bCs/>
              </w:rPr>
            </w:pPr>
            <w:r>
              <w:rPr>
                <w:b/>
                <w:bCs/>
              </w:rPr>
              <w:t>N</w:t>
            </w:r>
          </w:p>
        </w:tc>
      </w:tr>
      <w:tr w:rsidR="00181298" w14:paraId="36716290" w14:textId="77777777" w:rsidTr="00D94B46">
        <w:tc>
          <w:tcPr>
            <w:tcW w:w="4032" w:type="pct"/>
            <w:vAlign w:val="center"/>
          </w:tcPr>
          <w:p w14:paraId="19709CDA" w14:textId="6358FE0B" w:rsidR="00181298" w:rsidRDefault="00181298" w:rsidP="00181298">
            <w:pPr>
              <w:spacing w:before="0" w:after="0"/>
            </w:pPr>
            <w:r>
              <w:t>Victoria</w:t>
            </w:r>
          </w:p>
        </w:tc>
        <w:tc>
          <w:tcPr>
            <w:tcW w:w="968" w:type="pct"/>
          </w:tcPr>
          <w:p w14:paraId="103E05CE" w14:textId="6816D71B" w:rsidR="00181298" w:rsidRDefault="00181298" w:rsidP="00181298">
            <w:pPr>
              <w:pStyle w:val="TableText"/>
              <w:jc w:val="center"/>
            </w:pPr>
            <w:r>
              <w:t>87</w:t>
            </w:r>
          </w:p>
        </w:tc>
      </w:tr>
      <w:tr w:rsidR="00181298" w14:paraId="2440931D" w14:textId="77777777" w:rsidTr="00D94B46">
        <w:tc>
          <w:tcPr>
            <w:tcW w:w="4032" w:type="pct"/>
            <w:vAlign w:val="center"/>
          </w:tcPr>
          <w:p w14:paraId="35590069" w14:textId="77777777" w:rsidR="00181298" w:rsidRDefault="00181298" w:rsidP="00181298">
            <w:pPr>
              <w:spacing w:before="0" w:after="0"/>
            </w:pPr>
            <w:r>
              <w:t>New South Wales</w:t>
            </w:r>
          </w:p>
        </w:tc>
        <w:tc>
          <w:tcPr>
            <w:tcW w:w="968" w:type="pct"/>
          </w:tcPr>
          <w:p w14:paraId="609737B2" w14:textId="3A5648E1" w:rsidR="00181298" w:rsidRPr="00D22255" w:rsidRDefault="00181298" w:rsidP="00181298">
            <w:pPr>
              <w:pStyle w:val="TableText"/>
              <w:jc w:val="center"/>
            </w:pPr>
            <w:r>
              <w:t>131</w:t>
            </w:r>
          </w:p>
        </w:tc>
      </w:tr>
      <w:tr w:rsidR="00181298" w14:paraId="2F69E224" w14:textId="77777777" w:rsidTr="00D94B46">
        <w:tc>
          <w:tcPr>
            <w:tcW w:w="4032" w:type="pct"/>
            <w:vAlign w:val="center"/>
          </w:tcPr>
          <w:p w14:paraId="5C588524" w14:textId="77777777" w:rsidR="00181298" w:rsidRDefault="00181298" w:rsidP="00181298">
            <w:pPr>
              <w:spacing w:before="0" w:after="0"/>
            </w:pPr>
            <w:r>
              <w:t>Queensland</w:t>
            </w:r>
          </w:p>
        </w:tc>
        <w:tc>
          <w:tcPr>
            <w:tcW w:w="968" w:type="pct"/>
          </w:tcPr>
          <w:p w14:paraId="08BC0073" w14:textId="756F705C" w:rsidR="00181298" w:rsidRPr="00D22255" w:rsidRDefault="00181298" w:rsidP="00181298">
            <w:pPr>
              <w:pStyle w:val="TableText"/>
              <w:jc w:val="center"/>
            </w:pPr>
            <w:r>
              <w:t>94</w:t>
            </w:r>
          </w:p>
        </w:tc>
      </w:tr>
      <w:tr w:rsidR="00181298" w14:paraId="5525DA90" w14:textId="77777777" w:rsidTr="00D94B46">
        <w:tc>
          <w:tcPr>
            <w:tcW w:w="4032" w:type="pct"/>
            <w:vAlign w:val="center"/>
          </w:tcPr>
          <w:p w14:paraId="0C1558EC" w14:textId="77777777" w:rsidR="00181298" w:rsidRDefault="00181298" w:rsidP="00181298">
            <w:pPr>
              <w:spacing w:before="0" w:after="0"/>
            </w:pPr>
            <w:r>
              <w:t>Western Australia</w:t>
            </w:r>
          </w:p>
        </w:tc>
        <w:tc>
          <w:tcPr>
            <w:tcW w:w="968" w:type="pct"/>
          </w:tcPr>
          <w:p w14:paraId="2F68738E" w14:textId="17252F65" w:rsidR="00181298" w:rsidRPr="00D22255" w:rsidRDefault="00181298" w:rsidP="00181298">
            <w:pPr>
              <w:pStyle w:val="TableText"/>
              <w:jc w:val="center"/>
            </w:pPr>
            <w:r>
              <w:t>9</w:t>
            </w:r>
          </w:p>
        </w:tc>
      </w:tr>
      <w:tr w:rsidR="00181298" w14:paraId="74016E50" w14:textId="77777777" w:rsidTr="00D94B46">
        <w:tc>
          <w:tcPr>
            <w:tcW w:w="4032" w:type="pct"/>
            <w:vAlign w:val="center"/>
          </w:tcPr>
          <w:p w14:paraId="283EA732" w14:textId="77777777" w:rsidR="00181298" w:rsidRDefault="00181298" w:rsidP="00181298">
            <w:pPr>
              <w:spacing w:before="0" w:after="0"/>
            </w:pPr>
            <w:r>
              <w:t>South Australia</w:t>
            </w:r>
          </w:p>
        </w:tc>
        <w:tc>
          <w:tcPr>
            <w:tcW w:w="968" w:type="pct"/>
          </w:tcPr>
          <w:p w14:paraId="5D53D439" w14:textId="6EBDA2B9" w:rsidR="00181298" w:rsidRPr="00D22255" w:rsidRDefault="00181298" w:rsidP="00181298">
            <w:pPr>
              <w:pStyle w:val="TableText"/>
              <w:jc w:val="center"/>
            </w:pPr>
            <w:r>
              <w:t>10</w:t>
            </w:r>
          </w:p>
        </w:tc>
      </w:tr>
      <w:tr w:rsidR="00181298" w14:paraId="14D4B120" w14:textId="77777777" w:rsidTr="00D94B46">
        <w:tc>
          <w:tcPr>
            <w:tcW w:w="4032" w:type="pct"/>
            <w:vAlign w:val="center"/>
          </w:tcPr>
          <w:p w14:paraId="75F1EA92" w14:textId="77777777" w:rsidR="00181298" w:rsidRDefault="00181298" w:rsidP="00181298">
            <w:pPr>
              <w:spacing w:before="0" w:after="0"/>
            </w:pPr>
            <w:r>
              <w:t>Australian Capital Territory</w:t>
            </w:r>
          </w:p>
        </w:tc>
        <w:tc>
          <w:tcPr>
            <w:tcW w:w="968" w:type="pct"/>
          </w:tcPr>
          <w:p w14:paraId="1EED68A8" w14:textId="74319904" w:rsidR="00181298" w:rsidRPr="00D22255" w:rsidRDefault="00181298" w:rsidP="00181298">
            <w:pPr>
              <w:pStyle w:val="TableText"/>
              <w:jc w:val="center"/>
            </w:pPr>
            <w:r>
              <w:t>0</w:t>
            </w:r>
          </w:p>
        </w:tc>
      </w:tr>
      <w:tr w:rsidR="00181298" w14:paraId="59A3D898" w14:textId="77777777" w:rsidTr="00D94B46">
        <w:tc>
          <w:tcPr>
            <w:tcW w:w="4032" w:type="pct"/>
            <w:vAlign w:val="center"/>
          </w:tcPr>
          <w:p w14:paraId="3E9BE607" w14:textId="77777777" w:rsidR="00181298" w:rsidRDefault="00181298" w:rsidP="00181298">
            <w:pPr>
              <w:spacing w:before="0" w:after="0"/>
            </w:pPr>
            <w:r>
              <w:t>Northern Territory</w:t>
            </w:r>
          </w:p>
        </w:tc>
        <w:tc>
          <w:tcPr>
            <w:tcW w:w="968" w:type="pct"/>
          </w:tcPr>
          <w:p w14:paraId="624A5B77" w14:textId="7E209881" w:rsidR="00181298" w:rsidRPr="00D22255" w:rsidRDefault="00181298" w:rsidP="00181298">
            <w:pPr>
              <w:pStyle w:val="TableText"/>
              <w:jc w:val="center"/>
            </w:pPr>
            <w:r>
              <w:t>0</w:t>
            </w:r>
          </w:p>
        </w:tc>
      </w:tr>
      <w:tr w:rsidR="00181298" w14:paraId="44973EE2" w14:textId="77777777" w:rsidTr="00D94B46">
        <w:tc>
          <w:tcPr>
            <w:tcW w:w="4032" w:type="pct"/>
            <w:vAlign w:val="center"/>
          </w:tcPr>
          <w:p w14:paraId="7DB91C6D" w14:textId="77777777" w:rsidR="00181298" w:rsidRDefault="00181298" w:rsidP="00181298">
            <w:pPr>
              <w:spacing w:before="0" w:after="0"/>
            </w:pPr>
            <w:r>
              <w:t>Tasmania</w:t>
            </w:r>
          </w:p>
        </w:tc>
        <w:tc>
          <w:tcPr>
            <w:tcW w:w="968" w:type="pct"/>
          </w:tcPr>
          <w:p w14:paraId="67731270" w14:textId="3D04385D" w:rsidR="00181298" w:rsidRPr="00D22255" w:rsidRDefault="00181298" w:rsidP="00181298">
            <w:pPr>
              <w:pStyle w:val="TableText"/>
              <w:jc w:val="center"/>
            </w:pPr>
            <w:r>
              <w:t>8</w:t>
            </w:r>
          </w:p>
        </w:tc>
      </w:tr>
      <w:tr w:rsidR="00181298" w:rsidRPr="00181298" w14:paraId="3A61576B" w14:textId="77777777" w:rsidTr="00D94B46">
        <w:tc>
          <w:tcPr>
            <w:tcW w:w="4032" w:type="pct"/>
            <w:shd w:val="clear" w:color="auto" w:fill="DCDCDF" w:themeFill="text2" w:themeFillTint="33"/>
          </w:tcPr>
          <w:p w14:paraId="79544907" w14:textId="77777777" w:rsidR="00181298" w:rsidRPr="00181298" w:rsidRDefault="00181298" w:rsidP="00181298">
            <w:pPr>
              <w:pStyle w:val="TableText"/>
              <w:rPr>
                <w:rFonts w:asciiTheme="majorHAnsi" w:hAnsiTheme="majorHAnsi"/>
              </w:rPr>
            </w:pPr>
            <w:r w:rsidRPr="00181298">
              <w:rPr>
                <w:rFonts w:asciiTheme="majorHAnsi" w:hAnsiTheme="majorHAnsi"/>
              </w:rPr>
              <w:t>Total</w:t>
            </w:r>
          </w:p>
        </w:tc>
        <w:tc>
          <w:tcPr>
            <w:tcW w:w="968" w:type="pct"/>
            <w:shd w:val="clear" w:color="auto" w:fill="DCDCDF" w:themeFill="text2" w:themeFillTint="33"/>
          </w:tcPr>
          <w:p w14:paraId="13302DFF" w14:textId="3C0D5B6C" w:rsidR="00181298" w:rsidRPr="00181298" w:rsidRDefault="00181298" w:rsidP="00181298">
            <w:pPr>
              <w:pStyle w:val="TableText"/>
              <w:jc w:val="center"/>
              <w:rPr>
                <w:rFonts w:asciiTheme="majorHAnsi" w:hAnsiTheme="majorHAnsi"/>
              </w:rPr>
            </w:pPr>
            <w:r w:rsidRPr="00181298">
              <w:rPr>
                <w:rFonts w:asciiTheme="majorHAnsi" w:hAnsiTheme="majorHAnsi"/>
              </w:rPr>
              <w:t>339</w:t>
            </w:r>
          </w:p>
        </w:tc>
      </w:tr>
      <w:tr w:rsidR="00C262CB" w:rsidRPr="00181298" w14:paraId="7A368E47" w14:textId="77777777" w:rsidTr="00991B05">
        <w:tc>
          <w:tcPr>
            <w:tcW w:w="4032" w:type="pct"/>
            <w:shd w:val="clear" w:color="auto" w:fill="DDF2EC" w:themeFill="background2" w:themeFillTint="33"/>
          </w:tcPr>
          <w:p w14:paraId="2D2E6119" w14:textId="37BF52E5" w:rsidR="00C262CB" w:rsidRPr="00540E7D" w:rsidRDefault="00C262CB" w:rsidP="00C202A1">
            <w:pPr>
              <w:pStyle w:val="TableText"/>
            </w:pPr>
            <w:r>
              <w:rPr>
                <w:rFonts w:asciiTheme="majorHAnsi" w:hAnsiTheme="majorHAnsi"/>
              </w:rPr>
              <w:t>Professional role</w:t>
            </w:r>
          </w:p>
        </w:tc>
        <w:tc>
          <w:tcPr>
            <w:tcW w:w="968" w:type="pct"/>
            <w:shd w:val="clear" w:color="auto" w:fill="DDF2EC" w:themeFill="background2" w:themeFillTint="33"/>
          </w:tcPr>
          <w:p w14:paraId="674FC49C" w14:textId="6AD0C449" w:rsidR="00C262CB" w:rsidRPr="00991B05" w:rsidRDefault="00991B05" w:rsidP="00C202A1">
            <w:pPr>
              <w:pStyle w:val="TableText"/>
              <w:jc w:val="center"/>
              <w:rPr>
                <w:b/>
                <w:bCs/>
              </w:rPr>
            </w:pPr>
            <w:r>
              <w:rPr>
                <w:b/>
                <w:bCs/>
              </w:rPr>
              <w:t>N</w:t>
            </w:r>
          </w:p>
        </w:tc>
      </w:tr>
      <w:tr w:rsidR="00181298" w:rsidRPr="00181298" w14:paraId="492C169A" w14:textId="77777777" w:rsidTr="00D94B46">
        <w:tc>
          <w:tcPr>
            <w:tcW w:w="4032" w:type="pct"/>
            <w:shd w:val="clear" w:color="auto" w:fill="auto"/>
          </w:tcPr>
          <w:p w14:paraId="102C427F" w14:textId="10008653" w:rsidR="00181298" w:rsidRPr="00540E7D" w:rsidRDefault="00540E7D" w:rsidP="00540E7D">
            <w:pPr>
              <w:pStyle w:val="TableText"/>
            </w:pPr>
            <w:r w:rsidRPr="00540E7D">
              <w:t>Registered nurse</w:t>
            </w:r>
          </w:p>
        </w:tc>
        <w:tc>
          <w:tcPr>
            <w:tcW w:w="968" w:type="pct"/>
            <w:shd w:val="clear" w:color="auto" w:fill="auto"/>
          </w:tcPr>
          <w:p w14:paraId="0CFFB76A" w14:textId="28E52835" w:rsidR="00181298" w:rsidRPr="00540E7D" w:rsidRDefault="00540E7D" w:rsidP="00540E7D">
            <w:pPr>
              <w:pStyle w:val="TableText"/>
              <w:jc w:val="center"/>
            </w:pPr>
            <w:r>
              <w:t>147</w:t>
            </w:r>
          </w:p>
        </w:tc>
      </w:tr>
      <w:tr w:rsidR="00181298" w:rsidRPr="00181298" w14:paraId="318B16C1" w14:textId="77777777" w:rsidTr="00D94B46">
        <w:tc>
          <w:tcPr>
            <w:tcW w:w="4032" w:type="pct"/>
            <w:shd w:val="clear" w:color="auto" w:fill="auto"/>
          </w:tcPr>
          <w:p w14:paraId="5E58BE9C" w14:textId="59F3BEF3" w:rsidR="00540E7D" w:rsidRPr="00540E7D" w:rsidRDefault="00540E7D" w:rsidP="00540E7D">
            <w:pPr>
              <w:pStyle w:val="TableText"/>
            </w:pPr>
            <w:r w:rsidRPr="00540E7D">
              <w:t>Enrolled nurse</w:t>
            </w:r>
          </w:p>
        </w:tc>
        <w:tc>
          <w:tcPr>
            <w:tcW w:w="968" w:type="pct"/>
            <w:shd w:val="clear" w:color="auto" w:fill="auto"/>
          </w:tcPr>
          <w:p w14:paraId="0D953E7E" w14:textId="72A8FB6A" w:rsidR="00181298" w:rsidRPr="00540E7D" w:rsidRDefault="00540E7D" w:rsidP="00540E7D">
            <w:pPr>
              <w:pStyle w:val="TableText"/>
              <w:jc w:val="center"/>
            </w:pPr>
            <w:r>
              <w:t>53</w:t>
            </w:r>
          </w:p>
        </w:tc>
      </w:tr>
      <w:tr w:rsidR="00540E7D" w:rsidRPr="00181298" w14:paraId="14AF5F87" w14:textId="77777777" w:rsidTr="00D94B46">
        <w:tc>
          <w:tcPr>
            <w:tcW w:w="4032" w:type="pct"/>
            <w:shd w:val="clear" w:color="auto" w:fill="auto"/>
          </w:tcPr>
          <w:p w14:paraId="1D5D6D28" w14:textId="55C46450" w:rsidR="00540E7D" w:rsidRPr="00540E7D" w:rsidRDefault="00540E7D" w:rsidP="00540E7D">
            <w:pPr>
              <w:pStyle w:val="TableText"/>
            </w:pPr>
            <w:r w:rsidRPr="00540E7D">
              <w:t>Care staff</w:t>
            </w:r>
          </w:p>
        </w:tc>
        <w:tc>
          <w:tcPr>
            <w:tcW w:w="968" w:type="pct"/>
            <w:shd w:val="clear" w:color="auto" w:fill="auto"/>
          </w:tcPr>
          <w:p w14:paraId="24315C51" w14:textId="22BAECD6" w:rsidR="00540E7D" w:rsidRPr="00540E7D" w:rsidRDefault="00540E7D" w:rsidP="00540E7D">
            <w:pPr>
              <w:pStyle w:val="TableText"/>
              <w:jc w:val="center"/>
            </w:pPr>
            <w:r>
              <w:t>10</w:t>
            </w:r>
          </w:p>
        </w:tc>
      </w:tr>
      <w:tr w:rsidR="00181298" w:rsidRPr="00181298" w14:paraId="57D19745" w14:textId="77777777" w:rsidTr="00D94B46">
        <w:tc>
          <w:tcPr>
            <w:tcW w:w="4032" w:type="pct"/>
            <w:shd w:val="clear" w:color="auto" w:fill="auto"/>
          </w:tcPr>
          <w:p w14:paraId="300D1879" w14:textId="1E866E0C" w:rsidR="00181298" w:rsidRPr="00540E7D" w:rsidRDefault="00540E7D" w:rsidP="00540E7D">
            <w:pPr>
              <w:pStyle w:val="TableText"/>
            </w:pPr>
            <w:r w:rsidRPr="00540E7D">
              <w:t>Clinical nurse educator</w:t>
            </w:r>
          </w:p>
        </w:tc>
        <w:tc>
          <w:tcPr>
            <w:tcW w:w="968" w:type="pct"/>
            <w:shd w:val="clear" w:color="auto" w:fill="auto"/>
          </w:tcPr>
          <w:p w14:paraId="01709A06" w14:textId="10356C9D" w:rsidR="00181298" w:rsidRPr="00540E7D" w:rsidRDefault="00540E7D" w:rsidP="00540E7D">
            <w:pPr>
              <w:pStyle w:val="TableText"/>
              <w:jc w:val="center"/>
            </w:pPr>
            <w:r>
              <w:t>9</w:t>
            </w:r>
          </w:p>
        </w:tc>
      </w:tr>
      <w:tr w:rsidR="00181298" w:rsidRPr="00181298" w14:paraId="2ED51FD5" w14:textId="77777777" w:rsidTr="00D94B46">
        <w:tc>
          <w:tcPr>
            <w:tcW w:w="4032" w:type="pct"/>
            <w:shd w:val="clear" w:color="auto" w:fill="auto"/>
          </w:tcPr>
          <w:p w14:paraId="30211436" w14:textId="56A4B5D6" w:rsidR="00181298" w:rsidRPr="00540E7D" w:rsidRDefault="00540E7D" w:rsidP="00540E7D">
            <w:pPr>
              <w:pStyle w:val="TableText"/>
            </w:pPr>
            <w:r w:rsidRPr="00540E7D">
              <w:lastRenderedPageBreak/>
              <w:t>Clinical nurse consultant</w:t>
            </w:r>
          </w:p>
        </w:tc>
        <w:tc>
          <w:tcPr>
            <w:tcW w:w="968" w:type="pct"/>
            <w:shd w:val="clear" w:color="auto" w:fill="auto"/>
          </w:tcPr>
          <w:p w14:paraId="001132C3" w14:textId="21A29880" w:rsidR="00181298" w:rsidRPr="00540E7D" w:rsidRDefault="00540E7D" w:rsidP="00540E7D">
            <w:pPr>
              <w:pStyle w:val="TableText"/>
              <w:jc w:val="center"/>
            </w:pPr>
            <w:r>
              <w:t>8</w:t>
            </w:r>
          </w:p>
        </w:tc>
      </w:tr>
      <w:tr w:rsidR="00181298" w:rsidRPr="00181298" w14:paraId="2FFAD66A" w14:textId="77777777" w:rsidTr="00D94B46">
        <w:tc>
          <w:tcPr>
            <w:tcW w:w="4032" w:type="pct"/>
            <w:shd w:val="clear" w:color="auto" w:fill="auto"/>
          </w:tcPr>
          <w:p w14:paraId="7BDAC71A" w14:textId="40A7CEAA" w:rsidR="00181298" w:rsidRPr="00540E7D" w:rsidRDefault="00540E7D" w:rsidP="00540E7D">
            <w:pPr>
              <w:pStyle w:val="TableText"/>
            </w:pPr>
            <w:r w:rsidRPr="00540E7D">
              <w:t>Aged care home manager</w:t>
            </w:r>
          </w:p>
        </w:tc>
        <w:tc>
          <w:tcPr>
            <w:tcW w:w="968" w:type="pct"/>
            <w:shd w:val="clear" w:color="auto" w:fill="auto"/>
          </w:tcPr>
          <w:p w14:paraId="13153765" w14:textId="30585D85" w:rsidR="00181298" w:rsidRPr="00540E7D" w:rsidRDefault="00540E7D" w:rsidP="00540E7D">
            <w:pPr>
              <w:pStyle w:val="TableText"/>
              <w:jc w:val="center"/>
            </w:pPr>
            <w:r>
              <w:t>0</w:t>
            </w:r>
          </w:p>
        </w:tc>
      </w:tr>
      <w:tr w:rsidR="00181298" w:rsidRPr="00181298" w14:paraId="3B140C45" w14:textId="77777777" w:rsidTr="00D94B46">
        <w:tc>
          <w:tcPr>
            <w:tcW w:w="4032" w:type="pct"/>
            <w:shd w:val="clear" w:color="auto" w:fill="auto"/>
          </w:tcPr>
          <w:p w14:paraId="63FD66D1" w14:textId="461771E2" w:rsidR="00181298" w:rsidRPr="00540E7D" w:rsidRDefault="00540E7D" w:rsidP="00540E7D">
            <w:pPr>
              <w:pStyle w:val="TableText"/>
            </w:pPr>
            <w:r w:rsidRPr="00540E7D">
              <w:t>Other</w:t>
            </w:r>
          </w:p>
        </w:tc>
        <w:tc>
          <w:tcPr>
            <w:tcW w:w="968" w:type="pct"/>
            <w:shd w:val="clear" w:color="auto" w:fill="auto"/>
          </w:tcPr>
          <w:p w14:paraId="0B5E489B" w14:textId="6A3B1E33" w:rsidR="00181298" w:rsidRPr="00540E7D" w:rsidRDefault="00540E7D" w:rsidP="00540E7D">
            <w:pPr>
              <w:pStyle w:val="TableText"/>
              <w:jc w:val="center"/>
            </w:pPr>
            <w:r>
              <w:t>20</w:t>
            </w:r>
          </w:p>
        </w:tc>
      </w:tr>
      <w:tr w:rsidR="00181298" w:rsidRPr="00181298" w14:paraId="6822DF8A" w14:textId="77777777" w:rsidTr="00D94B46">
        <w:tc>
          <w:tcPr>
            <w:tcW w:w="4032" w:type="pct"/>
            <w:shd w:val="clear" w:color="auto" w:fill="DCDCDF" w:themeFill="text2" w:themeFillTint="33"/>
          </w:tcPr>
          <w:p w14:paraId="40C30D17" w14:textId="280B722A" w:rsidR="00181298" w:rsidRPr="00181298" w:rsidRDefault="00540E7D" w:rsidP="00181298">
            <w:pPr>
              <w:pStyle w:val="TableText"/>
              <w:rPr>
                <w:rFonts w:asciiTheme="majorHAnsi" w:hAnsiTheme="majorHAnsi"/>
              </w:rPr>
            </w:pPr>
            <w:r>
              <w:rPr>
                <w:rFonts w:asciiTheme="majorHAnsi" w:hAnsiTheme="majorHAnsi"/>
              </w:rPr>
              <w:t>Total</w:t>
            </w:r>
          </w:p>
        </w:tc>
        <w:tc>
          <w:tcPr>
            <w:tcW w:w="968" w:type="pct"/>
            <w:shd w:val="clear" w:color="auto" w:fill="DCDCDF" w:themeFill="text2" w:themeFillTint="33"/>
          </w:tcPr>
          <w:p w14:paraId="15DA05F2" w14:textId="1A5364AE" w:rsidR="00181298" w:rsidRPr="00181298" w:rsidRDefault="00540E7D" w:rsidP="00181298">
            <w:pPr>
              <w:pStyle w:val="TableText"/>
              <w:jc w:val="center"/>
              <w:rPr>
                <w:rFonts w:asciiTheme="majorHAnsi" w:hAnsiTheme="majorHAnsi"/>
              </w:rPr>
            </w:pPr>
            <w:r>
              <w:rPr>
                <w:rFonts w:asciiTheme="majorHAnsi" w:hAnsiTheme="majorHAnsi"/>
              </w:rPr>
              <w:t>238</w:t>
            </w:r>
          </w:p>
        </w:tc>
      </w:tr>
    </w:tbl>
    <w:p w14:paraId="43637E29" w14:textId="62E0D2CD" w:rsidR="002C20CB" w:rsidRDefault="002C20CB" w:rsidP="002C20CB">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319CD58E" w14:textId="46E0E6EA" w:rsidR="002C20CB" w:rsidRDefault="00066E55" w:rsidP="00BA6A2A">
      <w:r>
        <w:fldChar w:fldCharType="begin"/>
      </w:r>
      <w:r>
        <w:instrText xml:space="preserve"> REF _Ref216793876 \h </w:instrText>
      </w:r>
      <w:r>
        <w:fldChar w:fldCharType="separate"/>
      </w:r>
      <w:r w:rsidR="00167BA0">
        <w:t xml:space="preserve">Table </w:t>
      </w:r>
      <w:r w:rsidR="00167BA0">
        <w:rPr>
          <w:noProof/>
        </w:rPr>
        <w:t>9</w:t>
      </w:r>
      <w:r w:rsidR="00167BA0">
        <w:t>.</w:t>
      </w:r>
      <w:r w:rsidR="00167BA0">
        <w:rPr>
          <w:noProof/>
        </w:rPr>
        <w:t>27</w:t>
      </w:r>
      <w:r>
        <w:fldChar w:fldCharType="end"/>
      </w:r>
      <w:r w:rsidR="00495DB4">
        <w:t xml:space="preserve"> </w:t>
      </w:r>
      <w:r w:rsidR="00E03DD5">
        <w:t xml:space="preserve">provides an overview of engagement with PACOP </w:t>
      </w:r>
      <w:r w:rsidR="00AF6882">
        <w:t>c</w:t>
      </w:r>
      <w:r w:rsidR="00E03DD5">
        <w:t>ommunities of practice by financial year.</w:t>
      </w:r>
    </w:p>
    <w:p w14:paraId="6F877087" w14:textId="16BD6B3D" w:rsidR="009C2B84" w:rsidRDefault="009C2B84" w:rsidP="009C2B84">
      <w:pPr>
        <w:pStyle w:val="Caption"/>
      </w:pPr>
      <w:bookmarkStart w:id="221" w:name="_Ref216793876"/>
      <w:bookmarkStart w:id="222" w:name="_Ref216264497"/>
      <w:r>
        <w:t xml:space="preserve">Table </w:t>
      </w:r>
      <w:fldSimple w:instr=" STYLEREF 1 \s ">
        <w:r w:rsidR="0091457A">
          <w:rPr>
            <w:noProof/>
          </w:rPr>
          <w:t>9</w:t>
        </w:r>
      </w:fldSimple>
      <w:r w:rsidR="0091457A">
        <w:t>.</w:t>
      </w:r>
      <w:fldSimple w:instr=" SEQ Table \* ARABIC \s 1 ">
        <w:r w:rsidR="0091457A">
          <w:rPr>
            <w:noProof/>
          </w:rPr>
          <w:t>27</w:t>
        </w:r>
      </w:fldSimple>
      <w:bookmarkEnd w:id="221"/>
      <w:bookmarkEnd w:id="222"/>
      <w:r>
        <w:t>: Engagement with PACOP Communities of Practice</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engagement with PACOP communities of practice"/>
        <w:tblDescription w:val="Table provides an overview of engagement with PACOP communities of practice across three financial years from 2022-23 to 2024-25."/>
      </w:tblPr>
      <w:tblGrid>
        <w:gridCol w:w="3574"/>
        <w:gridCol w:w="972"/>
        <w:gridCol w:w="972"/>
        <w:gridCol w:w="972"/>
        <w:gridCol w:w="713"/>
      </w:tblGrid>
      <w:tr w:rsidR="009C2B84" w14:paraId="29045075" w14:textId="77777777" w:rsidTr="00991B05">
        <w:trPr>
          <w:cnfStyle w:val="100000000000" w:firstRow="1" w:lastRow="0" w:firstColumn="0" w:lastColumn="0" w:oddVBand="0" w:evenVBand="0" w:oddHBand="0" w:evenHBand="0" w:firstRowFirstColumn="0" w:firstRowLastColumn="0" w:lastRowFirstColumn="0" w:lastRowLastColumn="0"/>
        </w:trPr>
        <w:tc>
          <w:tcPr>
            <w:tcW w:w="0" w:type="auto"/>
          </w:tcPr>
          <w:p w14:paraId="39F4E2DB" w14:textId="57B6700D" w:rsidR="009C2B84" w:rsidRDefault="009661B8" w:rsidP="009C2B84">
            <w:pPr>
              <w:spacing w:before="0" w:after="0"/>
            </w:pPr>
            <w:r>
              <w:t>Metric</w:t>
            </w:r>
          </w:p>
        </w:tc>
        <w:tc>
          <w:tcPr>
            <w:tcW w:w="0" w:type="auto"/>
          </w:tcPr>
          <w:p w14:paraId="6BD3713D" w14:textId="323E8444" w:rsidR="009C2B84" w:rsidRDefault="009C2B84" w:rsidP="009C2B84">
            <w:pPr>
              <w:spacing w:before="0" w:after="0"/>
              <w:jc w:val="center"/>
            </w:pPr>
            <w:r w:rsidRPr="004D646B">
              <w:t>2022</w:t>
            </w:r>
            <w:r>
              <w:rPr>
                <w:caps w:val="0"/>
              </w:rPr>
              <w:t>–</w:t>
            </w:r>
            <w:r w:rsidRPr="004D646B">
              <w:t>23</w:t>
            </w:r>
          </w:p>
        </w:tc>
        <w:tc>
          <w:tcPr>
            <w:tcW w:w="0" w:type="auto"/>
          </w:tcPr>
          <w:p w14:paraId="566FDE8C" w14:textId="2364E0F3" w:rsidR="009C2B84" w:rsidRDefault="009C2B84" w:rsidP="009C2B84">
            <w:pPr>
              <w:spacing w:before="0" w:after="0"/>
              <w:jc w:val="center"/>
            </w:pPr>
            <w:r w:rsidRPr="004D646B">
              <w:t>2023</w:t>
            </w:r>
            <w:r>
              <w:rPr>
                <w:caps w:val="0"/>
              </w:rPr>
              <w:t>–</w:t>
            </w:r>
            <w:r w:rsidRPr="004D646B">
              <w:t>24</w:t>
            </w:r>
          </w:p>
        </w:tc>
        <w:tc>
          <w:tcPr>
            <w:tcW w:w="0" w:type="auto"/>
          </w:tcPr>
          <w:p w14:paraId="6E784D27" w14:textId="70167F40" w:rsidR="009C2B84" w:rsidRDefault="009C2B84" w:rsidP="009C2B84">
            <w:pPr>
              <w:spacing w:before="0" w:after="0"/>
              <w:jc w:val="center"/>
            </w:pPr>
            <w:r w:rsidRPr="004D646B">
              <w:t>2024</w:t>
            </w:r>
            <w:r>
              <w:rPr>
                <w:caps w:val="0"/>
              </w:rPr>
              <w:t>–</w:t>
            </w:r>
            <w:r w:rsidRPr="004D646B">
              <w:t>25</w:t>
            </w:r>
          </w:p>
        </w:tc>
        <w:tc>
          <w:tcPr>
            <w:tcW w:w="0" w:type="auto"/>
          </w:tcPr>
          <w:p w14:paraId="02AFB01F" w14:textId="19A51DE3" w:rsidR="009C2B84" w:rsidRDefault="009C2B84" w:rsidP="009C2B84">
            <w:pPr>
              <w:spacing w:before="0" w:after="0"/>
              <w:jc w:val="center"/>
            </w:pPr>
            <w:r>
              <w:t>Total</w:t>
            </w:r>
          </w:p>
        </w:tc>
      </w:tr>
      <w:tr w:rsidR="009C2B84" w14:paraId="7EDD3196" w14:textId="77777777" w:rsidTr="00991B05">
        <w:trPr>
          <w:cnfStyle w:val="000000100000" w:firstRow="0" w:lastRow="0" w:firstColumn="0" w:lastColumn="0" w:oddVBand="0" w:evenVBand="0" w:oddHBand="1" w:evenHBand="0" w:firstRowFirstColumn="0" w:firstRowLastColumn="0" w:lastRowFirstColumn="0" w:lastRowLastColumn="0"/>
        </w:trPr>
        <w:tc>
          <w:tcPr>
            <w:tcW w:w="0" w:type="auto"/>
          </w:tcPr>
          <w:p w14:paraId="23040C7A" w14:textId="5D59DB22" w:rsidR="009C2B84" w:rsidRDefault="009C2B84" w:rsidP="009C2B84">
            <w:pPr>
              <w:pStyle w:val="TableText"/>
            </w:pPr>
            <w:r>
              <w:t>Number of Community of Practice sessions</w:t>
            </w:r>
          </w:p>
        </w:tc>
        <w:tc>
          <w:tcPr>
            <w:tcW w:w="0" w:type="auto"/>
          </w:tcPr>
          <w:p w14:paraId="6733C0DF" w14:textId="3E627722" w:rsidR="009C2B84" w:rsidRDefault="00594C6C" w:rsidP="009C2B84">
            <w:pPr>
              <w:pStyle w:val="TableText"/>
              <w:jc w:val="center"/>
            </w:pPr>
            <w:r>
              <w:t>27</w:t>
            </w:r>
          </w:p>
        </w:tc>
        <w:tc>
          <w:tcPr>
            <w:tcW w:w="0" w:type="auto"/>
          </w:tcPr>
          <w:p w14:paraId="2C124006" w14:textId="2E46CFF5" w:rsidR="009C2B84" w:rsidRDefault="00594C6C" w:rsidP="009C2B84">
            <w:pPr>
              <w:pStyle w:val="TableText"/>
              <w:jc w:val="center"/>
            </w:pPr>
            <w:r>
              <w:t>93</w:t>
            </w:r>
          </w:p>
        </w:tc>
        <w:tc>
          <w:tcPr>
            <w:tcW w:w="0" w:type="auto"/>
          </w:tcPr>
          <w:p w14:paraId="1F7B0532" w14:textId="727E3996" w:rsidR="009C2B84" w:rsidRDefault="00594C6C" w:rsidP="009C2B84">
            <w:pPr>
              <w:pStyle w:val="TableText"/>
              <w:jc w:val="center"/>
            </w:pPr>
            <w:r>
              <w:t>118</w:t>
            </w:r>
          </w:p>
        </w:tc>
        <w:tc>
          <w:tcPr>
            <w:tcW w:w="0" w:type="auto"/>
          </w:tcPr>
          <w:p w14:paraId="6D5F5F70" w14:textId="63C1A830" w:rsidR="009C2B84" w:rsidRPr="00D27CBF" w:rsidRDefault="00594C6C" w:rsidP="009C2B84">
            <w:pPr>
              <w:pStyle w:val="TableText"/>
              <w:jc w:val="center"/>
            </w:pPr>
            <w:r>
              <w:t>238</w:t>
            </w:r>
          </w:p>
        </w:tc>
      </w:tr>
      <w:tr w:rsidR="009C2B84" w14:paraId="655E64F6" w14:textId="77777777" w:rsidTr="00991B05">
        <w:trPr>
          <w:cnfStyle w:val="000000010000" w:firstRow="0" w:lastRow="0" w:firstColumn="0" w:lastColumn="0" w:oddVBand="0" w:evenVBand="0" w:oddHBand="0" w:evenHBand="1" w:firstRowFirstColumn="0" w:firstRowLastColumn="0" w:lastRowFirstColumn="0" w:lastRowLastColumn="0"/>
        </w:trPr>
        <w:tc>
          <w:tcPr>
            <w:tcW w:w="0" w:type="auto"/>
          </w:tcPr>
          <w:p w14:paraId="47A52D0A" w14:textId="75EBF99A" w:rsidR="009C2B84" w:rsidRDefault="009C2B84" w:rsidP="009C2B84">
            <w:pPr>
              <w:pStyle w:val="TableText"/>
            </w:pPr>
            <w:r>
              <w:t>Number of individual participants</w:t>
            </w:r>
          </w:p>
        </w:tc>
        <w:tc>
          <w:tcPr>
            <w:tcW w:w="0" w:type="auto"/>
          </w:tcPr>
          <w:p w14:paraId="26BDAC7B" w14:textId="3EEE30F7" w:rsidR="009C2B84" w:rsidRDefault="00594C6C" w:rsidP="009C2B84">
            <w:pPr>
              <w:pStyle w:val="TableText"/>
              <w:jc w:val="center"/>
            </w:pPr>
            <w:r>
              <w:t>138</w:t>
            </w:r>
          </w:p>
        </w:tc>
        <w:tc>
          <w:tcPr>
            <w:tcW w:w="0" w:type="auto"/>
          </w:tcPr>
          <w:p w14:paraId="558EA7F9" w14:textId="6E06347F" w:rsidR="009C2B84" w:rsidRDefault="00594C6C" w:rsidP="009C2B84">
            <w:pPr>
              <w:pStyle w:val="TableText"/>
              <w:jc w:val="center"/>
            </w:pPr>
            <w:r>
              <w:t>744</w:t>
            </w:r>
          </w:p>
        </w:tc>
        <w:tc>
          <w:tcPr>
            <w:tcW w:w="0" w:type="auto"/>
          </w:tcPr>
          <w:p w14:paraId="5CCEEBA0" w14:textId="3F0DC7BA" w:rsidR="009C2B84" w:rsidRDefault="00594C6C" w:rsidP="009C2B84">
            <w:pPr>
              <w:pStyle w:val="TableText"/>
              <w:jc w:val="center"/>
            </w:pPr>
            <w:r>
              <w:t>1,174</w:t>
            </w:r>
          </w:p>
        </w:tc>
        <w:tc>
          <w:tcPr>
            <w:tcW w:w="0" w:type="auto"/>
          </w:tcPr>
          <w:p w14:paraId="09322FBF" w14:textId="1262E464" w:rsidR="009C2B84" w:rsidRDefault="00594C6C" w:rsidP="009C2B84">
            <w:pPr>
              <w:pStyle w:val="TableText"/>
              <w:jc w:val="center"/>
            </w:pPr>
            <w:r>
              <w:t>2,056</w:t>
            </w:r>
          </w:p>
        </w:tc>
      </w:tr>
      <w:tr w:rsidR="009C2B84" w14:paraId="6B16BFC0" w14:textId="77777777" w:rsidTr="00991B05">
        <w:trPr>
          <w:cnfStyle w:val="000000100000" w:firstRow="0" w:lastRow="0" w:firstColumn="0" w:lastColumn="0" w:oddVBand="0" w:evenVBand="0" w:oddHBand="1" w:evenHBand="0" w:firstRowFirstColumn="0" w:firstRowLastColumn="0" w:lastRowFirstColumn="0" w:lastRowLastColumn="0"/>
        </w:trPr>
        <w:tc>
          <w:tcPr>
            <w:tcW w:w="0" w:type="auto"/>
          </w:tcPr>
          <w:p w14:paraId="06C448E6" w14:textId="33377543" w:rsidR="009C2B84" w:rsidRDefault="009C2B84" w:rsidP="009C2B84">
            <w:pPr>
              <w:pStyle w:val="TableText"/>
            </w:pPr>
            <w:r>
              <w:t>Number of participating homes represented</w:t>
            </w:r>
          </w:p>
        </w:tc>
        <w:tc>
          <w:tcPr>
            <w:tcW w:w="0" w:type="auto"/>
          </w:tcPr>
          <w:p w14:paraId="343E1494" w14:textId="4DB6871F" w:rsidR="009C2B84" w:rsidRDefault="00594C6C" w:rsidP="009C2B84">
            <w:pPr>
              <w:pStyle w:val="TableText"/>
              <w:jc w:val="center"/>
            </w:pPr>
            <w:r>
              <w:t>N/A</w:t>
            </w:r>
          </w:p>
        </w:tc>
        <w:tc>
          <w:tcPr>
            <w:tcW w:w="0" w:type="auto"/>
          </w:tcPr>
          <w:p w14:paraId="25D777E7" w14:textId="120FC07F" w:rsidR="009C2B84" w:rsidRDefault="00594C6C" w:rsidP="009C2B84">
            <w:pPr>
              <w:pStyle w:val="TableText"/>
              <w:jc w:val="center"/>
            </w:pPr>
            <w:r>
              <w:t>N/A</w:t>
            </w:r>
          </w:p>
        </w:tc>
        <w:tc>
          <w:tcPr>
            <w:tcW w:w="0" w:type="auto"/>
          </w:tcPr>
          <w:p w14:paraId="3E8493BC" w14:textId="1AEE2A50" w:rsidR="009C2B84" w:rsidRDefault="00594C6C" w:rsidP="009C2B84">
            <w:pPr>
              <w:pStyle w:val="TableText"/>
              <w:jc w:val="center"/>
            </w:pPr>
            <w:r>
              <w:t>N/A</w:t>
            </w:r>
          </w:p>
        </w:tc>
        <w:tc>
          <w:tcPr>
            <w:tcW w:w="0" w:type="auto"/>
          </w:tcPr>
          <w:p w14:paraId="332D4758" w14:textId="5D63CD84" w:rsidR="009C2B84" w:rsidRPr="00D27CBF" w:rsidRDefault="00594C6C" w:rsidP="009C2B84">
            <w:pPr>
              <w:pStyle w:val="TableText"/>
              <w:jc w:val="center"/>
            </w:pPr>
            <w:r>
              <w:t>248</w:t>
            </w:r>
          </w:p>
        </w:tc>
      </w:tr>
    </w:tbl>
    <w:p w14:paraId="7D370E78" w14:textId="01D994F4" w:rsidR="009C2B84" w:rsidRDefault="009C2B84" w:rsidP="009C2B84">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4B8AFC53" w14:textId="77777777" w:rsidR="00936F6F" w:rsidRDefault="00936F6F" w:rsidP="00BA6A2A"/>
    <w:p w14:paraId="64136068" w14:textId="77777777" w:rsidR="00EE4598" w:rsidRDefault="00EE4598" w:rsidP="00BA6A2A">
      <w:pPr>
        <w:sectPr w:rsidR="00EE4598" w:rsidSect="005E34A8">
          <w:type w:val="continuous"/>
          <w:pgSz w:w="16838" w:h="11906" w:orient="landscape" w:code="9"/>
          <w:pgMar w:top="851" w:right="851" w:bottom="851" w:left="851" w:header="709" w:footer="567" w:gutter="0"/>
          <w:cols w:num="2" w:space="709"/>
          <w:docGrid w:linePitch="360"/>
        </w:sectPr>
      </w:pPr>
    </w:p>
    <w:p w14:paraId="622B4C9E" w14:textId="43A67122" w:rsidR="00E833B6" w:rsidRDefault="00E833B6" w:rsidP="00CB024C">
      <w:pPr>
        <w:pStyle w:val="Heading3-nonumber"/>
      </w:pPr>
      <w:r>
        <w:lastRenderedPageBreak/>
        <w:t>PACOP benchmark data</w:t>
      </w:r>
    </w:p>
    <w:p w14:paraId="6ACE7362" w14:textId="1D758B40" w:rsidR="00E833B6" w:rsidRDefault="00832821" w:rsidP="00BA6A2A">
      <w:r>
        <w:fldChar w:fldCharType="begin"/>
      </w:r>
      <w:r>
        <w:instrText xml:space="preserve"> REF _Ref215674118 \h </w:instrText>
      </w:r>
      <w:r>
        <w:fldChar w:fldCharType="separate"/>
      </w:r>
      <w:r w:rsidR="00167BA0">
        <w:t xml:space="preserve">Table </w:t>
      </w:r>
      <w:r w:rsidR="00167BA0">
        <w:rPr>
          <w:noProof/>
        </w:rPr>
        <w:t>9</w:t>
      </w:r>
      <w:r w:rsidR="00167BA0">
        <w:t>.</w:t>
      </w:r>
      <w:r w:rsidR="00167BA0">
        <w:rPr>
          <w:noProof/>
        </w:rPr>
        <w:t>28</w:t>
      </w:r>
      <w:r>
        <w:fldChar w:fldCharType="end"/>
      </w:r>
      <w:r w:rsidR="00E03DD5">
        <w:t xml:space="preserve"> summarises </w:t>
      </w:r>
      <w:r w:rsidR="006C27E6">
        <w:t xml:space="preserve">performance against national PACOP benchmarks </w:t>
      </w:r>
      <w:r w:rsidR="00F131E1">
        <w:t>from</w:t>
      </w:r>
      <w:r w:rsidR="006C27E6">
        <w:t xml:space="preserve"> January 2023 </w:t>
      </w:r>
      <w:r w:rsidR="00F131E1">
        <w:t>to</w:t>
      </w:r>
      <w:r w:rsidR="006C27E6">
        <w:t xml:space="preserve"> June 2025.</w:t>
      </w:r>
    </w:p>
    <w:p w14:paraId="77E4C425" w14:textId="7C9E34B6" w:rsidR="00F154A8" w:rsidRDefault="00F154A8" w:rsidP="00F154A8">
      <w:pPr>
        <w:pStyle w:val="Caption"/>
      </w:pPr>
      <w:bookmarkStart w:id="223" w:name="_Ref215674118"/>
      <w:r>
        <w:t xml:space="preserve">Table </w:t>
      </w:r>
      <w:fldSimple w:instr=" STYLEREF 1 \s ">
        <w:r w:rsidR="0091457A">
          <w:rPr>
            <w:noProof/>
          </w:rPr>
          <w:t>9</w:t>
        </w:r>
      </w:fldSimple>
      <w:r w:rsidR="0091457A">
        <w:t>.</w:t>
      </w:r>
      <w:fldSimple w:instr=" SEQ Table \* ARABIC \s 1 ">
        <w:r w:rsidR="0091457A">
          <w:rPr>
            <w:noProof/>
          </w:rPr>
          <w:t>28</w:t>
        </w:r>
      </w:fldSimple>
      <w:bookmarkEnd w:id="223"/>
      <w:r>
        <w:t>: National PACOP benchmarking summary (January 2023–June 2025)</w:t>
      </w:r>
    </w:p>
    <w:tbl>
      <w:tblPr>
        <w:tblStyle w:val="HMAdefaulttable"/>
        <w:tblW w:w="0" w:type="auto"/>
        <w:tblBorders>
          <w:left w:val="single" w:sz="4" w:space="0" w:color="auto"/>
          <w:right w:val="single" w:sz="4" w:space="0" w:color="auto"/>
          <w:insideV w:val="single" w:sz="4" w:space="0" w:color="auto"/>
        </w:tblBorders>
        <w:tblLayout w:type="fixed"/>
        <w:tblLook w:val="0420" w:firstRow="1" w:lastRow="0" w:firstColumn="0" w:lastColumn="0" w:noHBand="0" w:noVBand="1"/>
        <w:tblCaption w:val="Summary of performance against national PACOP benchmarks"/>
        <w:tblDescription w:val="Table summarises performance against each national PACOP benchmark indicator from January 2023 to June 2025."/>
      </w:tblPr>
      <w:tblGrid>
        <w:gridCol w:w="450"/>
        <w:gridCol w:w="1955"/>
        <w:gridCol w:w="709"/>
        <w:gridCol w:w="699"/>
        <w:gridCol w:w="699"/>
        <w:gridCol w:w="699"/>
        <w:gridCol w:w="700"/>
        <w:gridCol w:w="699"/>
        <w:gridCol w:w="699"/>
        <w:gridCol w:w="699"/>
        <w:gridCol w:w="700"/>
        <w:gridCol w:w="699"/>
        <w:gridCol w:w="699"/>
        <w:gridCol w:w="699"/>
        <w:gridCol w:w="700"/>
        <w:gridCol w:w="699"/>
        <w:gridCol w:w="699"/>
        <w:gridCol w:w="700"/>
        <w:gridCol w:w="1523"/>
      </w:tblGrid>
      <w:tr w:rsidR="00EB184A" w:rsidRPr="005464B7" w14:paraId="40426FDF" w14:textId="3BD1BFDD" w:rsidTr="00FD330A">
        <w:trPr>
          <w:cnfStyle w:val="100000000000" w:firstRow="1" w:lastRow="0" w:firstColumn="0" w:lastColumn="0" w:oddVBand="0" w:evenVBand="0" w:oddHBand="0" w:evenHBand="0" w:firstRowFirstColumn="0" w:firstRowLastColumn="0" w:lastRowFirstColumn="0" w:lastRowLastColumn="0"/>
          <w:trHeight w:val="255"/>
          <w:tblHeader/>
        </w:trPr>
        <w:tc>
          <w:tcPr>
            <w:tcW w:w="450" w:type="dxa"/>
            <w:noWrap/>
            <w:hideMark/>
          </w:tcPr>
          <w:p w14:paraId="69A77C12" w14:textId="21A9FA8E" w:rsidR="00EB184A" w:rsidRPr="00BF7252" w:rsidRDefault="00E677E5" w:rsidP="00BF7252">
            <w:pPr>
              <w:spacing w:before="0" w:after="0"/>
              <w:rPr>
                <w:rFonts w:ascii="Times New Roman" w:eastAsia="Times New Roman" w:hAnsi="Times New Roman" w:cs="Times New Roman"/>
                <w:sz w:val="18"/>
                <w:szCs w:val="18"/>
                <w:lang w:eastAsia="en-AU"/>
              </w:rPr>
            </w:pPr>
            <w:r w:rsidRPr="005464B7">
              <w:rPr>
                <w:sz w:val="18"/>
                <w:szCs w:val="18"/>
              </w:rPr>
              <w:t>#</w:t>
            </w:r>
          </w:p>
        </w:tc>
        <w:tc>
          <w:tcPr>
            <w:tcW w:w="1955" w:type="dxa"/>
            <w:noWrap/>
            <w:hideMark/>
          </w:tcPr>
          <w:p w14:paraId="594FB885" w14:textId="18299D76" w:rsidR="00EB184A" w:rsidRPr="00BF7252" w:rsidRDefault="00E677E5" w:rsidP="00BF7252">
            <w:pPr>
              <w:spacing w:before="0" w:after="0"/>
              <w:rPr>
                <w:rFonts w:ascii="Times New Roman" w:eastAsia="Times New Roman" w:hAnsi="Times New Roman" w:cs="Times New Roman"/>
                <w:sz w:val="18"/>
                <w:szCs w:val="18"/>
                <w:lang w:eastAsia="en-AU"/>
              </w:rPr>
            </w:pPr>
            <w:r w:rsidRPr="005464B7">
              <w:rPr>
                <w:sz w:val="18"/>
                <w:szCs w:val="18"/>
              </w:rPr>
              <w:t>Indicator</w:t>
            </w:r>
          </w:p>
        </w:tc>
        <w:tc>
          <w:tcPr>
            <w:tcW w:w="709" w:type="dxa"/>
            <w:noWrap/>
            <w:hideMark/>
          </w:tcPr>
          <w:p w14:paraId="6266BB6D" w14:textId="1A601187" w:rsidR="00EB184A" w:rsidRPr="00FD330A" w:rsidRDefault="00E677E5" w:rsidP="00AE4AF0">
            <w:pPr>
              <w:spacing w:before="0" w:after="0"/>
              <w:jc w:val="center"/>
              <w:rPr>
                <w:rFonts w:ascii="Times New Roman" w:eastAsia="Times New Roman" w:hAnsi="Times New Roman" w:cs="Times New Roman"/>
                <w:sz w:val="16"/>
                <w:szCs w:val="16"/>
                <w:lang w:eastAsia="en-AU"/>
              </w:rPr>
            </w:pPr>
            <w:r w:rsidRPr="00FD330A">
              <w:rPr>
                <w:sz w:val="16"/>
                <w:szCs w:val="16"/>
              </w:rPr>
              <w:t>Bench</w:t>
            </w:r>
            <w:r w:rsidR="00FD330A">
              <w:rPr>
                <w:sz w:val="16"/>
                <w:szCs w:val="16"/>
              </w:rPr>
              <w:t>-</w:t>
            </w:r>
            <w:r w:rsidRPr="00FD330A">
              <w:rPr>
                <w:sz w:val="16"/>
                <w:szCs w:val="16"/>
              </w:rPr>
              <w:t>mark</w:t>
            </w:r>
          </w:p>
        </w:tc>
        <w:tc>
          <w:tcPr>
            <w:tcW w:w="699" w:type="dxa"/>
            <w:noWrap/>
            <w:hideMark/>
          </w:tcPr>
          <w:p w14:paraId="0CFCD797" w14:textId="77777777" w:rsidR="00EB184A" w:rsidRPr="00FD330A" w:rsidRDefault="00EB184A" w:rsidP="00055E63">
            <w:pPr>
              <w:pStyle w:val="TableHeading"/>
              <w:jc w:val="center"/>
              <w:rPr>
                <w:caps w:val="0"/>
                <w:sz w:val="16"/>
                <w:szCs w:val="16"/>
              </w:rPr>
            </w:pPr>
            <w:r w:rsidRPr="00FD330A">
              <w:rPr>
                <w:sz w:val="16"/>
                <w:szCs w:val="16"/>
              </w:rPr>
              <w:t>Jan–June 2023</w:t>
            </w:r>
          </w:p>
          <w:p w14:paraId="6FFDAB17" w14:textId="05E9DDDE"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699" w:type="dxa"/>
          </w:tcPr>
          <w:p w14:paraId="3CC6582F" w14:textId="77777777" w:rsidR="00E677E5" w:rsidRPr="00FD330A" w:rsidRDefault="00E677E5" w:rsidP="00E677E5">
            <w:pPr>
              <w:pStyle w:val="TableHeading"/>
              <w:jc w:val="center"/>
              <w:rPr>
                <w:caps w:val="0"/>
                <w:sz w:val="16"/>
                <w:szCs w:val="16"/>
              </w:rPr>
            </w:pPr>
            <w:r w:rsidRPr="00FD330A">
              <w:rPr>
                <w:sz w:val="16"/>
                <w:szCs w:val="16"/>
              </w:rPr>
              <w:t>Jan–June 2023</w:t>
            </w:r>
          </w:p>
          <w:p w14:paraId="719987AA" w14:textId="12B4F771" w:rsidR="00EB184A"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699" w:type="dxa"/>
          </w:tcPr>
          <w:p w14:paraId="70634FF5" w14:textId="77777777" w:rsidR="00E677E5" w:rsidRPr="00FD330A" w:rsidRDefault="00E677E5" w:rsidP="00E677E5">
            <w:pPr>
              <w:pStyle w:val="TableHeading"/>
              <w:jc w:val="center"/>
              <w:rPr>
                <w:caps w:val="0"/>
                <w:sz w:val="16"/>
                <w:szCs w:val="16"/>
              </w:rPr>
            </w:pPr>
            <w:r w:rsidRPr="00FD330A">
              <w:rPr>
                <w:sz w:val="16"/>
                <w:szCs w:val="16"/>
              </w:rPr>
              <w:t>Jan–June 2023</w:t>
            </w:r>
          </w:p>
          <w:p w14:paraId="1A314122" w14:textId="060C1CBC" w:rsidR="00EB184A" w:rsidRPr="00FD330A" w:rsidRDefault="00E677E5" w:rsidP="00055E63">
            <w:pPr>
              <w:pStyle w:val="TableHeading"/>
              <w:jc w:val="center"/>
              <w:rPr>
                <w:sz w:val="16"/>
                <w:szCs w:val="16"/>
              </w:rPr>
            </w:pPr>
            <w:r w:rsidRPr="00FD330A">
              <w:rPr>
                <w:sz w:val="16"/>
                <w:szCs w:val="16"/>
              </w:rPr>
              <w:t>%</w:t>
            </w:r>
          </w:p>
        </w:tc>
        <w:tc>
          <w:tcPr>
            <w:tcW w:w="700" w:type="dxa"/>
            <w:noWrap/>
            <w:hideMark/>
          </w:tcPr>
          <w:p w14:paraId="0778E70F" w14:textId="77777777" w:rsidR="00EB184A" w:rsidRPr="00FD330A" w:rsidRDefault="00EB184A" w:rsidP="00055E63">
            <w:pPr>
              <w:pStyle w:val="TableHeading"/>
              <w:jc w:val="center"/>
              <w:rPr>
                <w:caps w:val="0"/>
                <w:sz w:val="16"/>
                <w:szCs w:val="16"/>
              </w:rPr>
            </w:pPr>
            <w:r w:rsidRPr="00FD330A">
              <w:rPr>
                <w:sz w:val="16"/>
                <w:szCs w:val="16"/>
              </w:rPr>
              <w:t>Jul–Dec 2023</w:t>
            </w:r>
          </w:p>
          <w:p w14:paraId="30C73EFB" w14:textId="200CB325"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699" w:type="dxa"/>
          </w:tcPr>
          <w:p w14:paraId="71712DD7" w14:textId="77777777" w:rsidR="00EB184A" w:rsidRPr="00FD330A" w:rsidRDefault="00E677E5" w:rsidP="00055E63">
            <w:pPr>
              <w:pStyle w:val="TableHeading"/>
              <w:jc w:val="center"/>
              <w:rPr>
                <w:caps w:val="0"/>
                <w:sz w:val="16"/>
                <w:szCs w:val="16"/>
              </w:rPr>
            </w:pPr>
            <w:r w:rsidRPr="00FD330A">
              <w:rPr>
                <w:sz w:val="16"/>
                <w:szCs w:val="16"/>
              </w:rPr>
              <w:t>Jul–Dec 2023</w:t>
            </w:r>
          </w:p>
          <w:p w14:paraId="66C7E532" w14:textId="00F6E51B"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699" w:type="dxa"/>
          </w:tcPr>
          <w:p w14:paraId="3BC37739" w14:textId="77777777" w:rsidR="00EB184A" w:rsidRPr="00FD330A" w:rsidRDefault="00E677E5" w:rsidP="00055E63">
            <w:pPr>
              <w:pStyle w:val="TableHeading"/>
              <w:jc w:val="center"/>
              <w:rPr>
                <w:caps w:val="0"/>
                <w:sz w:val="16"/>
                <w:szCs w:val="16"/>
              </w:rPr>
            </w:pPr>
            <w:r w:rsidRPr="00FD330A">
              <w:rPr>
                <w:sz w:val="16"/>
                <w:szCs w:val="16"/>
              </w:rPr>
              <w:t>Jul–Dec 2023</w:t>
            </w:r>
          </w:p>
          <w:p w14:paraId="6E9C647B" w14:textId="38AC832E" w:rsidR="00E677E5" w:rsidRPr="00FD330A" w:rsidRDefault="00E677E5" w:rsidP="00055E63">
            <w:pPr>
              <w:pStyle w:val="TableHeading"/>
              <w:jc w:val="center"/>
              <w:rPr>
                <w:sz w:val="16"/>
                <w:szCs w:val="16"/>
              </w:rPr>
            </w:pPr>
            <w:r w:rsidRPr="00FD330A">
              <w:rPr>
                <w:sz w:val="16"/>
                <w:szCs w:val="16"/>
              </w:rPr>
              <w:t>%</w:t>
            </w:r>
          </w:p>
        </w:tc>
        <w:tc>
          <w:tcPr>
            <w:tcW w:w="699" w:type="dxa"/>
            <w:noWrap/>
            <w:hideMark/>
          </w:tcPr>
          <w:p w14:paraId="759A6FD9" w14:textId="77777777" w:rsidR="00EB184A" w:rsidRPr="00FD330A" w:rsidRDefault="00EB184A" w:rsidP="00055E63">
            <w:pPr>
              <w:pStyle w:val="TableHeading"/>
              <w:jc w:val="center"/>
              <w:rPr>
                <w:caps w:val="0"/>
                <w:sz w:val="16"/>
                <w:szCs w:val="16"/>
              </w:rPr>
            </w:pPr>
            <w:r w:rsidRPr="00FD330A">
              <w:rPr>
                <w:sz w:val="16"/>
                <w:szCs w:val="16"/>
              </w:rPr>
              <w:t>Jan–Jun 2024</w:t>
            </w:r>
          </w:p>
          <w:p w14:paraId="1449CE47" w14:textId="7EF30687"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700" w:type="dxa"/>
          </w:tcPr>
          <w:p w14:paraId="799F5542" w14:textId="77777777" w:rsidR="00EB184A" w:rsidRPr="00FD330A" w:rsidRDefault="00E677E5" w:rsidP="00055E63">
            <w:pPr>
              <w:pStyle w:val="TableHeading"/>
              <w:jc w:val="center"/>
              <w:rPr>
                <w:caps w:val="0"/>
                <w:sz w:val="16"/>
                <w:szCs w:val="16"/>
              </w:rPr>
            </w:pPr>
            <w:r w:rsidRPr="00FD330A">
              <w:rPr>
                <w:sz w:val="16"/>
                <w:szCs w:val="16"/>
              </w:rPr>
              <w:t>Jan–Jun 2024</w:t>
            </w:r>
          </w:p>
          <w:p w14:paraId="6E7B440B" w14:textId="0ABCA3E5"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699" w:type="dxa"/>
          </w:tcPr>
          <w:p w14:paraId="23BB59C4" w14:textId="77777777" w:rsidR="00EB184A" w:rsidRPr="00FD330A" w:rsidRDefault="00E677E5" w:rsidP="00055E63">
            <w:pPr>
              <w:pStyle w:val="TableHeading"/>
              <w:jc w:val="center"/>
              <w:rPr>
                <w:caps w:val="0"/>
                <w:sz w:val="16"/>
                <w:szCs w:val="16"/>
              </w:rPr>
            </w:pPr>
            <w:r w:rsidRPr="00FD330A">
              <w:rPr>
                <w:sz w:val="16"/>
                <w:szCs w:val="16"/>
              </w:rPr>
              <w:t>Jan–Jun 2024</w:t>
            </w:r>
          </w:p>
          <w:p w14:paraId="00C7A631" w14:textId="5F96BBF3" w:rsidR="00E677E5" w:rsidRPr="00FD330A" w:rsidRDefault="00E677E5" w:rsidP="00055E63">
            <w:pPr>
              <w:pStyle w:val="TableHeading"/>
              <w:jc w:val="center"/>
              <w:rPr>
                <w:sz w:val="16"/>
                <w:szCs w:val="16"/>
              </w:rPr>
            </w:pPr>
            <w:r w:rsidRPr="00FD330A">
              <w:rPr>
                <w:sz w:val="16"/>
                <w:szCs w:val="16"/>
              </w:rPr>
              <w:t>%</w:t>
            </w:r>
          </w:p>
        </w:tc>
        <w:tc>
          <w:tcPr>
            <w:tcW w:w="699" w:type="dxa"/>
            <w:noWrap/>
            <w:hideMark/>
          </w:tcPr>
          <w:p w14:paraId="0CC61323" w14:textId="77777777" w:rsidR="00EB184A" w:rsidRPr="00FD330A" w:rsidRDefault="00EB184A" w:rsidP="00055E63">
            <w:pPr>
              <w:pStyle w:val="TableHeading"/>
              <w:jc w:val="center"/>
              <w:rPr>
                <w:caps w:val="0"/>
                <w:sz w:val="16"/>
                <w:szCs w:val="16"/>
              </w:rPr>
            </w:pPr>
            <w:r w:rsidRPr="00FD330A">
              <w:rPr>
                <w:sz w:val="16"/>
                <w:szCs w:val="16"/>
              </w:rPr>
              <w:t>Jul–Dec 2024</w:t>
            </w:r>
          </w:p>
          <w:p w14:paraId="7F879A4C" w14:textId="0F58F34E"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699" w:type="dxa"/>
          </w:tcPr>
          <w:p w14:paraId="596C09FE" w14:textId="77777777" w:rsidR="00EB184A" w:rsidRPr="00FD330A" w:rsidRDefault="00E677E5" w:rsidP="00055E63">
            <w:pPr>
              <w:pStyle w:val="TableHeading"/>
              <w:jc w:val="center"/>
              <w:rPr>
                <w:caps w:val="0"/>
                <w:sz w:val="16"/>
                <w:szCs w:val="16"/>
              </w:rPr>
            </w:pPr>
            <w:r w:rsidRPr="00FD330A">
              <w:rPr>
                <w:sz w:val="16"/>
                <w:szCs w:val="16"/>
              </w:rPr>
              <w:t>Jul–Dec 2024</w:t>
            </w:r>
          </w:p>
          <w:p w14:paraId="10374242" w14:textId="4DF2A7A6"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700" w:type="dxa"/>
          </w:tcPr>
          <w:p w14:paraId="7C1D1164" w14:textId="77777777" w:rsidR="00EB184A" w:rsidRPr="00FD330A" w:rsidRDefault="00E677E5" w:rsidP="00055E63">
            <w:pPr>
              <w:pStyle w:val="TableHeading"/>
              <w:jc w:val="center"/>
              <w:rPr>
                <w:caps w:val="0"/>
                <w:sz w:val="16"/>
                <w:szCs w:val="16"/>
              </w:rPr>
            </w:pPr>
            <w:r w:rsidRPr="00FD330A">
              <w:rPr>
                <w:sz w:val="16"/>
                <w:szCs w:val="16"/>
              </w:rPr>
              <w:t>Jul–Dec 2024</w:t>
            </w:r>
          </w:p>
          <w:p w14:paraId="063F61AC" w14:textId="42BF8EEC" w:rsidR="00E677E5" w:rsidRPr="00FD330A" w:rsidRDefault="00E677E5" w:rsidP="00055E63">
            <w:pPr>
              <w:pStyle w:val="TableHeading"/>
              <w:jc w:val="center"/>
              <w:rPr>
                <w:sz w:val="16"/>
                <w:szCs w:val="16"/>
              </w:rPr>
            </w:pPr>
            <w:r w:rsidRPr="00FD330A">
              <w:rPr>
                <w:sz w:val="16"/>
                <w:szCs w:val="16"/>
              </w:rPr>
              <w:t>%</w:t>
            </w:r>
          </w:p>
        </w:tc>
        <w:tc>
          <w:tcPr>
            <w:tcW w:w="699" w:type="dxa"/>
            <w:noWrap/>
            <w:hideMark/>
          </w:tcPr>
          <w:p w14:paraId="0EE842AB" w14:textId="77777777" w:rsidR="00EB184A" w:rsidRPr="00FD330A" w:rsidRDefault="00EB184A" w:rsidP="00055E63">
            <w:pPr>
              <w:pStyle w:val="TableHeading"/>
              <w:jc w:val="center"/>
              <w:rPr>
                <w:caps w:val="0"/>
                <w:sz w:val="16"/>
                <w:szCs w:val="16"/>
              </w:rPr>
            </w:pPr>
            <w:r w:rsidRPr="00FD330A">
              <w:rPr>
                <w:sz w:val="16"/>
                <w:szCs w:val="16"/>
              </w:rPr>
              <w:t>Jan–Jun 2025</w:t>
            </w:r>
          </w:p>
          <w:p w14:paraId="75A1E6A1" w14:textId="231DEF72"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699" w:type="dxa"/>
          </w:tcPr>
          <w:p w14:paraId="55B0FAF4" w14:textId="77777777" w:rsidR="00EB184A" w:rsidRPr="00FD330A" w:rsidRDefault="00E677E5" w:rsidP="00055E63">
            <w:pPr>
              <w:pStyle w:val="TableHeading"/>
              <w:jc w:val="center"/>
              <w:rPr>
                <w:caps w:val="0"/>
                <w:sz w:val="16"/>
                <w:szCs w:val="16"/>
              </w:rPr>
            </w:pPr>
            <w:r w:rsidRPr="00FD330A">
              <w:rPr>
                <w:sz w:val="16"/>
                <w:szCs w:val="16"/>
              </w:rPr>
              <w:t>Jan–Jun 2025</w:t>
            </w:r>
          </w:p>
          <w:p w14:paraId="5F19AB04" w14:textId="4F17C0F3"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700" w:type="dxa"/>
          </w:tcPr>
          <w:p w14:paraId="2E37BAFA" w14:textId="77777777" w:rsidR="00EB184A" w:rsidRPr="00FD330A" w:rsidRDefault="00E677E5" w:rsidP="00055E63">
            <w:pPr>
              <w:pStyle w:val="TableHeading"/>
              <w:jc w:val="center"/>
              <w:rPr>
                <w:caps w:val="0"/>
                <w:sz w:val="16"/>
                <w:szCs w:val="16"/>
              </w:rPr>
            </w:pPr>
            <w:r w:rsidRPr="00FD330A">
              <w:rPr>
                <w:sz w:val="16"/>
                <w:szCs w:val="16"/>
              </w:rPr>
              <w:t>Jan–Jun 2025</w:t>
            </w:r>
          </w:p>
          <w:p w14:paraId="4892BBFB" w14:textId="1F05147E" w:rsidR="00E677E5" w:rsidRPr="00FD330A" w:rsidRDefault="00E677E5" w:rsidP="00055E63">
            <w:pPr>
              <w:pStyle w:val="TableHeading"/>
              <w:jc w:val="center"/>
              <w:rPr>
                <w:sz w:val="16"/>
                <w:szCs w:val="16"/>
              </w:rPr>
            </w:pPr>
            <w:r w:rsidRPr="00FD330A">
              <w:rPr>
                <w:sz w:val="16"/>
                <w:szCs w:val="16"/>
              </w:rPr>
              <w:t>%</w:t>
            </w:r>
          </w:p>
        </w:tc>
        <w:tc>
          <w:tcPr>
            <w:tcW w:w="1523" w:type="dxa"/>
          </w:tcPr>
          <w:p w14:paraId="6F06DF5C" w14:textId="77777777" w:rsidR="00EB184A" w:rsidRPr="00FD330A" w:rsidRDefault="00EB184A" w:rsidP="00055E63">
            <w:pPr>
              <w:pStyle w:val="TableHeading"/>
              <w:jc w:val="center"/>
              <w:rPr>
                <w:caps w:val="0"/>
                <w:sz w:val="16"/>
                <w:szCs w:val="16"/>
              </w:rPr>
            </w:pPr>
            <w:r w:rsidRPr="00FD330A">
              <w:rPr>
                <w:sz w:val="16"/>
                <w:szCs w:val="16"/>
              </w:rPr>
              <w:t>National performance</w:t>
            </w:r>
          </w:p>
          <w:p w14:paraId="78BA4B63" w14:textId="45028FD3" w:rsidR="00EB184A" w:rsidRPr="00FD330A" w:rsidRDefault="00EB184A" w:rsidP="00055E63">
            <w:pPr>
              <w:pStyle w:val="TableHeading"/>
              <w:jc w:val="center"/>
              <w:rPr>
                <w:sz w:val="16"/>
                <w:szCs w:val="16"/>
              </w:rPr>
            </w:pPr>
            <w:r w:rsidRPr="00FD330A">
              <w:rPr>
                <w:sz w:val="16"/>
                <w:szCs w:val="16"/>
              </w:rPr>
              <w:t>Jan 2023–Jun 2025</w:t>
            </w:r>
          </w:p>
        </w:tc>
      </w:tr>
      <w:tr w:rsidR="004D1FAB" w:rsidRPr="005464B7" w14:paraId="18256B49" w14:textId="607CAD2D" w:rsidTr="00FD330A">
        <w:trPr>
          <w:cnfStyle w:val="000000100000" w:firstRow="0" w:lastRow="0" w:firstColumn="0" w:lastColumn="0" w:oddVBand="0" w:evenVBand="0" w:oddHBand="1" w:evenHBand="0" w:firstRowFirstColumn="0" w:firstRowLastColumn="0" w:lastRowFirstColumn="0" w:lastRowLastColumn="0"/>
          <w:trHeight w:val="640"/>
        </w:trPr>
        <w:tc>
          <w:tcPr>
            <w:tcW w:w="450" w:type="dxa"/>
            <w:noWrap/>
            <w:hideMark/>
          </w:tcPr>
          <w:p w14:paraId="1237A893" w14:textId="77777777" w:rsidR="006A3D5A" w:rsidRPr="005464B7" w:rsidRDefault="006A3D5A" w:rsidP="00055E63">
            <w:pPr>
              <w:pStyle w:val="TableText"/>
              <w:rPr>
                <w:sz w:val="18"/>
                <w:szCs w:val="18"/>
                <w:lang w:eastAsia="en-AU"/>
              </w:rPr>
            </w:pPr>
            <w:r w:rsidRPr="005464B7">
              <w:rPr>
                <w:sz w:val="18"/>
                <w:szCs w:val="18"/>
                <w:lang w:eastAsia="en-AU"/>
              </w:rPr>
              <w:t>1</w:t>
            </w:r>
          </w:p>
        </w:tc>
        <w:tc>
          <w:tcPr>
            <w:tcW w:w="1955" w:type="dxa"/>
            <w:hideMark/>
          </w:tcPr>
          <w:p w14:paraId="7C4AD7DB" w14:textId="6D888AF3" w:rsidR="006A3D5A" w:rsidRPr="005464B7" w:rsidRDefault="006A3D5A" w:rsidP="00055E63">
            <w:pPr>
              <w:pStyle w:val="TableText"/>
              <w:rPr>
                <w:sz w:val="18"/>
                <w:szCs w:val="18"/>
                <w:lang w:eastAsia="en-AU"/>
              </w:rPr>
            </w:pPr>
            <w:r w:rsidRPr="005464B7">
              <w:rPr>
                <w:sz w:val="18"/>
                <w:szCs w:val="18"/>
                <w:lang w:eastAsia="en-AU"/>
              </w:rPr>
              <w:t>Percentage of new admissions with AN-ACC Class 1 and 13 have a Profile three-part clinical assessment completed within three days</w:t>
            </w:r>
          </w:p>
        </w:tc>
        <w:tc>
          <w:tcPr>
            <w:tcW w:w="709" w:type="dxa"/>
            <w:noWrap/>
            <w:hideMark/>
          </w:tcPr>
          <w:p w14:paraId="5E47DF33"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064A7E13" w14:textId="77777777" w:rsidR="006A3D5A" w:rsidRPr="005464B7" w:rsidRDefault="006A3D5A" w:rsidP="00055E63">
            <w:pPr>
              <w:pStyle w:val="TableText"/>
              <w:jc w:val="center"/>
              <w:rPr>
                <w:sz w:val="18"/>
                <w:szCs w:val="18"/>
                <w:lang w:eastAsia="en-AU"/>
              </w:rPr>
            </w:pPr>
            <w:r w:rsidRPr="005464B7">
              <w:rPr>
                <w:sz w:val="18"/>
                <w:szCs w:val="18"/>
                <w:lang w:eastAsia="en-AU"/>
              </w:rPr>
              <w:t>90</w:t>
            </w:r>
          </w:p>
        </w:tc>
        <w:tc>
          <w:tcPr>
            <w:tcW w:w="699" w:type="dxa"/>
            <w:noWrap/>
            <w:hideMark/>
          </w:tcPr>
          <w:p w14:paraId="72D34A82" w14:textId="77777777" w:rsidR="006A3D5A" w:rsidRPr="005464B7" w:rsidRDefault="006A3D5A" w:rsidP="00055E63">
            <w:pPr>
              <w:pStyle w:val="TableText"/>
              <w:jc w:val="center"/>
              <w:rPr>
                <w:sz w:val="18"/>
                <w:szCs w:val="18"/>
                <w:lang w:eastAsia="en-AU"/>
              </w:rPr>
            </w:pPr>
            <w:r w:rsidRPr="005464B7">
              <w:rPr>
                <w:sz w:val="18"/>
                <w:szCs w:val="18"/>
                <w:lang w:eastAsia="en-AU"/>
              </w:rPr>
              <w:t>25</w:t>
            </w:r>
          </w:p>
        </w:tc>
        <w:tc>
          <w:tcPr>
            <w:tcW w:w="699" w:type="dxa"/>
            <w:noWrap/>
            <w:hideMark/>
          </w:tcPr>
          <w:p w14:paraId="2EDE527E" w14:textId="77777777" w:rsidR="006A3D5A" w:rsidRPr="005464B7" w:rsidRDefault="006A3D5A" w:rsidP="00055E63">
            <w:pPr>
              <w:pStyle w:val="TableText"/>
              <w:jc w:val="center"/>
              <w:rPr>
                <w:sz w:val="18"/>
                <w:szCs w:val="18"/>
                <w:lang w:eastAsia="en-AU"/>
              </w:rPr>
            </w:pPr>
            <w:r w:rsidRPr="005464B7">
              <w:rPr>
                <w:sz w:val="18"/>
                <w:szCs w:val="18"/>
                <w:lang w:eastAsia="en-AU"/>
              </w:rPr>
              <w:t>28%</w:t>
            </w:r>
          </w:p>
        </w:tc>
        <w:tc>
          <w:tcPr>
            <w:tcW w:w="700" w:type="dxa"/>
            <w:noWrap/>
            <w:hideMark/>
          </w:tcPr>
          <w:p w14:paraId="220F6997" w14:textId="77777777" w:rsidR="006A3D5A" w:rsidRPr="005464B7" w:rsidRDefault="006A3D5A" w:rsidP="00055E63">
            <w:pPr>
              <w:pStyle w:val="TableText"/>
              <w:jc w:val="center"/>
              <w:rPr>
                <w:sz w:val="18"/>
                <w:szCs w:val="18"/>
                <w:lang w:eastAsia="en-AU"/>
              </w:rPr>
            </w:pPr>
            <w:r w:rsidRPr="005464B7">
              <w:rPr>
                <w:sz w:val="18"/>
                <w:szCs w:val="18"/>
                <w:lang w:eastAsia="en-AU"/>
              </w:rPr>
              <w:t>298</w:t>
            </w:r>
          </w:p>
        </w:tc>
        <w:tc>
          <w:tcPr>
            <w:tcW w:w="699" w:type="dxa"/>
            <w:noWrap/>
            <w:hideMark/>
          </w:tcPr>
          <w:p w14:paraId="44529A13" w14:textId="77777777" w:rsidR="006A3D5A" w:rsidRPr="005464B7" w:rsidRDefault="006A3D5A" w:rsidP="00055E63">
            <w:pPr>
              <w:pStyle w:val="TableText"/>
              <w:jc w:val="center"/>
              <w:rPr>
                <w:sz w:val="18"/>
                <w:szCs w:val="18"/>
                <w:lang w:eastAsia="en-AU"/>
              </w:rPr>
            </w:pPr>
            <w:r w:rsidRPr="005464B7">
              <w:rPr>
                <w:sz w:val="18"/>
                <w:szCs w:val="18"/>
                <w:lang w:eastAsia="en-AU"/>
              </w:rPr>
              <w:t>92</w:t>
            </w:r>
          </w:p>
        </w:tc>
        <w:tc>
          <w:tcPr>
            <w:tcW w:w="699" w:type="dxa"/>
            <w:noWrap/>
            <w:hideMark/>
          </w:tcPr>
          <w:p w14:paraId="2FEDAB09" w14:textId="77777777" w:rsidR="006A3D5A" w:rsidRPr="005464B7" w:rsidRDefault="006A3D5A" w:rsidP="00055E63">
            <w:pPr>
              <w:pStyle w:val="TableText"/>
              <w:jc w:val="center"/>
              <w:rPr>
                <w:sz w:val="18"/>
                <w:szCs w:val="18"/>
                <w:lang w:eastAsia="en-AU"/>
              </w:rPr>
            </w:pPr>
            <w:r w:rsidRPr="005464B7">
              <w:rPr>
                <w:sz w:val="18"/>
                <w:szCs w:val="18"/>
                <w:lang w:eastAsia="en-AU"/>
              </w:rPr>
              <w:t>31%</w:t>
            </w:r>
          </w:p>
        </w:tc>
        <w:tc>
          <w:tcPr>
            <w:tcW w:w="699" w:type="dxa"/>
            <w:noWrap/>
            <w:hideMark/>
          </w:tcPr>
          <w:p w14:paraId="4BC753D5" w14:textId="77777777" w:rsidR="006A3D5A" w:rsidRPr="005464B7" w:rsidRDefault="006A3D5A" w:rsidP="00055E63">
            <w:pPr>
              <w:pStyle w:val="TableText"/>
              <w:jc w:val="center"/>
              <w:rPr>
                <w:sz w:val="18"/>
                <w:szCs w:val="18"/>
                <w:lang w:eastAsia="en-AU"/>
              </w:rPr>
            </w:pPr>
            <w:r w:rsidRPr="005464B7">
              <w:rPr>
                <w:sz w:val="18"/>
                <w:szCs w:val="18"/>
                <w:lang w:eastAsia="en-AU"/>
              </w:rPr>
              <w:t>484</w:t>
            </w:r>
          </w:p>
        </w:tc>
        <w:tc>
          <w:tcPr>
            <w:tcW w:w="700" w:type="dxa"/>
            <w:noWrap/>
            <w:hideMark/>
          </w:tcPr>
          <w:p w14:paraId="38E7EADF" w14:textId="77777777" w:rsidR="006A3D5A" w:rsidRPr="005464B7" w:rsidRDefault="006A3D5A" w:rsidP="00055E63">
            <w:pPr>
              <w:pStyle w:val="TableText"/>
              <w:jc w:val="center"/>
              <w:rPr>
                <w:sz w:val="18"/>
                <w:szCs w:val="18"/>
                <w:lang w:eastAsia="en-AU"/>
              </w:rPr>
            </w:pPr>
            <w:r w:rsidRPr="005464B7">
              <w:rPr>
                <w:sz w:val="18"/>
                <w:szCs w:val="18"/>
                <w:lang w:eastAsia="en-AU"/>
              </w:rPr>
              <w:t>159</w:t>
            </w:r>
          </w:p>
        </w:tc>
        <w:tc>
          <w:tcPr>
            <w:tcW w:w="699" w:type="dxa"/>
            <w:noWrap/>
            <w:hideMark/>
          </w:tcPr>
          <w:p w14:paraId="342A3458" w14:textId="77777777" w:rsidR="006A3D5A" w:rsidRPr="005464B7" w:rsidRDefault="006A3D5A" w:rsidP="00055E63">
            <w:pPr>
              <w:pStyle w:val="TableText"/>
              <w:jc w:val="center"/>
              <w:rPr>
                <w:sz w:val="18"/>
                <w:szCs w:val="18"/>
                <w:lang w:eastAsia="en-AU"/>
              </w:rPr>
            </w:pPr>
            <w:r w:rsidRPr="005464B7">
              <w:rPr>
                <w:sz w:val="18"/>
                <w:szCs w:val="18"/>
                <w:lang w:eastAsia="en-AU"/>
              </w:rPr>
              <w:t>33%</w:t>
            </w:r>
          </w:p>
        </w:tc>
        <w:tc>
          <w:tcPr>
            <w:tcW w:w="699" w:type="dxa"/>
            <w:noWrap/>
            <w:hideMark/>
          </w:tcPr>
          <w:p w14:paraId="5226EACF" w14:textId="54B922FC" w:rsidR="006A3D5A" w:rsidRPr="005464B7" w:rsidRDefault="006A3D5A" w:rsidP="00055E63">
            <w:pPr>
              <w:pStyle w:val="TableText"/>
              <w:jc w:val="center"/>
              <w:rPr>
                <w:sz w:val="18"/>
                <w:szCs w:val="18"/>
                <w:lang w:eastAsia="en-AU"/>
              </w:rPr>
            </w:pPr>
            <w:r w:rsidRPr="005464B7">
              <w:rPr>
                <w:sz w:val="18"/>
                <w:szCs w:val="18"/>
                <w:lang w:eastAsia="en-AU"/>
              </w:rPr>
              <w:t>1,480</w:t>
            </w:r>
          </w:p>
        </w:tc>
        <w:tc>
          <w:tcPr>
            <w:tcW w:w="699" w:type="dxa"/>
            <w:noWrap/>
            <w:hideMark/>
          </w:tcPr>
          <w:p w14:paraId="3A0AF50B" w14:textId="77777777" w:rsidR="006A3D5A" w:rsidRPr="005464B7" w:rsidRDefault="006A3D5A" w:rsidP="00055E63">
            <w:pPr>
              <w:pStyle w:val="TableText"/>
              <w:jc w:val="center"/>
              <w:rPr>
                <w:sz w:val="18"/>
                <w:szCs w:val="18"/>
                <w:lang w:eastAsia="en-AU"/>
              </w:rPr>
            </w:pPr>
            <w:r w:rsidRPr="005464B7">
              <w:rPr>
                <w:sz w:val="18"/>
                <w:szCs w:val="18"/>
                <w:lang w:eastAsia="en-AU"/>
              </w:rPr>
              <w:t>568</w:t>
            </w:r>
          </w:p>
        </w:tc>
        <w:tc>
          <w:tcPr>
            <w:tcW w:w="700" w:type="dxa"/>
            <w:noWrap/>
            <w:hideMark/>
          </w:tcPr>
          <w:p w14:paraId="51678BC6" w14:textId="77777777" w:rsidR="006A3D5A" w:rsidRPr="005464B7" w:rsidRDefault="006A3D5A" w:rsidP="00055E63">
            <w:pPr>
              <w:pStyle w:val="TableText"/>
              <w:jc w:val="center"/>
              <w:rPr>
                <w:sz w:val="18"/>
                <w:szCs w:val="18"/>
                <w:lang w:eastAsia="en-AU"/>
              </w:rPr>
            </w:pPr>
            <w:r w:rsidRPr="005464B7">
              <w:rPr>
                <w:sz w:val="18"/>
                <w:szCs w:val="18"/>
                <w:lang w:eastAsia="en-AU"/>
              </w:rPr>
              <w:t>38%</w:t>
            </w:r>
          </w:p>
        </w:tc>
        <w:tc>
          <w:tcPr>
            <w:tcW w:w="699" w:type="dxa"/>
            <w:noWrap/>
            <w:hideMark/>
          </w:tcPr>
          <w:p w14:paraId="0C6A1089" w14:textId="0F5C30E2" w:rsidR="006A3D5A" w:rsidRPr="005464B7" w:rsidRDefault="006A3D5A" w:rsidP="00055E63">
            <w:pPr>
              <w:pStyle w:val="TableText"/>
              <w:jc w:val="center"/>
              <w:rPr>
                <w:sz w:val="18"/>
                <w:szCs w:val="18"/>
                <w:lang w:eastAsia="en-AU"/>
              </w:rPr>
            </w:pPr>
            <w:r w:rsidRPr="005464B7">
              <w:rPr>
                <w:sz w:val="18"/>
                <w:szCs w:val="18"/>
                <w:lang w:eastAsia="en-AU"/>
              </w:rPr>
              <w:t>1,749</w:t>
            </w:r>
          </w:p>
        </w:tc>
        <w:tc>
          <w:tcPr>
            <w:tcW w:w="699" w:type="dxa"/>
            <w:noWrap/>
            <w:hideMark/>
          </w:tcPr>
          <w:p w14:paraId="5C0916EF" w14:textId="77777777" w:rsidR="006A3D5A" w:rsidRPr="005464B7" w:rsidRDefault="006A3D5A" w:rsidP="00055E63">
            <w:pPr>
              <w:pStyle w:val="TableText"/>
              <w:jc w:val="center"/>
              <w:rPr>
                <w:sz w:val="18"/>
                <w:szCs w:val="18"/>
                <w:lang w:eastAsia="en-AU"/>
              </w:rPr>
            </w:pPr>
            <w:r w:rsidRPr="005464B7">
              <w:rPr>
                <w:sz w:val="18"/>
                <w:szCs w:val="18"/>
                <w:lang w:eastAsia="en-AU"/>
              </w:rPr>
              <w:t>860</w:t>
            </w:r>
          </w:p>
        </w:tc>
        <w:tc>
          <w:tcPr>
            <w:tcW w:w="700" w:type="dxa"/>
            <w:noWrap/>
            <w:hideMark/>
          </w:tcPr>
          <w:p w14:paraId="63C1AD62" w14:textId="77777777" w:rsidR="006A3D5A" w:rsidRPr="005464B7" w:rsidRDefault="006A3D5A" w:rsidP="00055E63">
            <w:pPr>
              <w:pStyle w:val="TableText"/>
              <w:jc w:val="center"/>
              <w:rPr>
                <w:sz w:val="18"/>
                <w:szCs w:val="18"/>
                <w:lang w:eastAsia="en-AU"/>
              </w:rPr>
            </w:pPr>
            <w:r w:rsidRPr="005464B7">
              <w:rPr>
                <w:sz w:val="18"/>
                <w:szCs w:val="18"/>
                <w:lang w:eastAsia="en-AU"/>
              </w:rPr>
              <w:t>49%</w:t>
            </w:r>
          </w:p>
        </w:tc>
        <w:tc>
          <w:tcPr>
            <w:tcW w:w="1523" w:type="dxa"/>
            <w:shd w:val="clear" w:color="auto" w:fill="auto"/>
          </w:tcPr>
          <w:p w14:paraId="2A0C9202" w14:textId="7498A9F6" w:rsidR="006A3D5A" w:rsidRPr="005464B7" w:rsidRDefault="001223E9" w:rsidP="00055E63">
            <w:pPr>
              <w:pStyle w:val="TableText"/>
              <w:jc w:val="center"/>
              <w:rPr>
                <w:sz w:val="18"/>
                <w:szCs w:val="18"/>
                <w:lang w:eastAsia="en-AU"/>
              </w:rPr>
            </w:pPr>
            <w:r>
              <w:rPr>
                <w:sz w:val="18"/>
                <w:szCs w:val="18"/>
                <w:lang w:eastAsia="en-AU"/>
              </w:rPr>
              <w:t>+21</w:t>
            </w:r>
            <w:r w:rsidR="005064F8">
              <w:rPr>
                <w:sz w:val="18"/>
                <w:szCs w:val="18"/>
                <w:lang w:eastAsia="en-AU"/>
              </w:rPr>
              <w:t xml:space="preserve"> percentage points</w:t>
            </w:r>
          </w:p>
        </w:tc>
      </w:tr>
      <w:tr w:rsidR="006A3D5A" w:rsidRPr="005464B7" w14:paraId="07F09681" w14:textId="0FFA2A5A" w:rsidTr="00FD330A">
        <w:trPr>
          <w:cnfStyle w:val="000000010000" w:firstRow="0" w:lastRow="0" w:firstColumn="0" w:lastColumn="0" w:oddVBand="0" w:evenVBand="0" w:oddHBand="0" w:evenHBand="1" w:firstRowFirstColumn="0" w:firstRowLastColumn="0" w:lastRowFirstColumn="0" w:lastRowLastColumn="0"/>
          <w:trHeight w:val="438"/>
        </w:trPr>
        <w:tc>
          <w:tcPr>
            <w:tcW w:w="450" w:type="dxa"/>
            <w:noWrap/>
            <w:hideMark/>
          </w:tcPr>
          <w:p w14:paraId="6E918B76" w14:textId="77777777" w:rsidR="006A3D5A" w:rsidRPr="005464B7" w:rsidRDefault="006A3D5A" w:rsidP="00055E63">
            <w:pPr>
              <w:pStyle w:val="TableText"/>
              <w:rPr>
                <w:sz w:val="18"/>
                <w:szCs w:val="18"/>
                <w:lang w:eastAsia="en-AU"/>
              </w:rPr>
            </w:pPr>
            <w:r w:rsidRPr="005464B7">
              <w:rPr>
                <w:sz w:val="18"/>
                <w:szCs w:val="18"/>
                <w:lang w:eastAsia="en-AU"/>
              </w:rPr>
              <w:t>2</w:t>
            </w:r>
          </w:p>
        </w:tc>
        <w:tc>
          <w:tcPr>
            <w:tcW w:w="1955" w:type="dxa"/>
            <w:hideMark/>
          </w:tcPr>
          <w:p w14:paraId="60A013B1" w14:textId="77777777" w:rsidR="006A3D5A" w:rsidRPr="005464B7" w:rsidRDefault="006A3D5A" w:rsidP="00055E63">
            <w:pPr>
              <w:pStyle w:val="TableText"/>
              <w:rPr>
                <w:sz w:val="18"/>
                <w:szCs w:val="18"/>
                <w:lang w:eastAsia="en-AU"/>
              </w:rPr>
            </w:pPr>
            <w:r w:rsidRPr="005464B7">
              <w:rPr>
                <w:sz w:val="18"/>
                <w:szCs w:val="18"/>
                <w:lang w:eastAsia="en-AU"/>
              </w:rPr>
              <w:t>Percentage of residents for whom a Profile assessment is completed every three months</w:t>
            </w:r>
          </w:p>
        </w:tc>
        <w:tc>
          <w:tcPr>
            <w:tcW w:w="709" w:type="dxa"/>
            <w:noWrap/>
            <w:hideMark/>
          </w:tcPr>
          <w:p w14:paraId="782067CE"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0E3B495E" w14:textId="77777777" w:rsidR="006A3D5A" w:rsidRPr="005464B7" w:rsidRDefault="006A3D5A" w:rsidP="00055E63">
            <w:pPr>
              <w:pStyle w:val="TableText"/>
              <w:jc w:val="center"/>
              <w:rPr>
                <w:sz w:val="18"/>
                <w:szCs w:val="18"/>
                <w:lang w:eastAsia="en-AU"/>
              </w:rPr>
            </w:pPr>
            <w:r w:rsidRPr="005464B7">
              <w:rPr>
                <w:sz w:val="18"/>
                <w:szCs w:val="18"/>
                <w:lang w:eastAsia="en-AU"/>
              </w:rPr>
              <w:t>262</w:t>
            </w:r>
          </w:p>
        </w:tc>
        <w:tc>
          <w:tcPr>
            <w:tcW w:w="699" w:type="dxa"/>
            <w:noWrap/>
            <w:hideMark/>
          </w:tcPr>
          <w:p w14:paraId="137A549F" w14:textId="77777777" w:rsidR="006A3D5A" w:rsidRPr="005464B7" w:rsidRDefault="006A3D5A" w:rsidP="00055E63">
            <w:pPr>
              <w:pStyle w:val="TableText"/>
              <w:jc w:val="center"/>
              <w:rPr>
                <w:sz w:val="18"/>
                <w:szCs w:val="18"/>
                <w:lang w:eastAsia="en-AU"/>
              </w:rPr>
            </w:pPr>
            <w:r w:rsidRPr="005464B7">
              <w:rPr>
                <w:sz w:val="18"/>
                <w:szCs w:val="18"/>
                <w:lang w:eastAsia="en-AU"/>
              </w:rPr>
              <w:t>178</w:t>
            </w:r>
          </w:p>
        </w:tc>
        <w:tc>
          <w:tcPr>
            <w:tcW w:w="699" w:type="dxa"/>
            <w:noWrap/>
            <w:hideMark/>
          </w:tcPr>
          <w:p w14:paraId="570D1773" w14:textId="77777777" w:rsidR="006A3D5A" w:rsidRPr="005464B7" w:rsidRDefault="006A3D5A" w:rsidP="00055E63">
            <w:pPr>
              <w:pStyle w:val="TableText"/>
              <w:jc w:val="center"/>
              <w:rPr>
                <w:sz w:val="18"/>
                <w:szCs w:val="18"/>
                <w:lang w:eastAsia="en-AU"/>
              </w:rPr>
            </w:pPr>
            <w:r w:rsidRPr="005464B7">
              <w:rPr>
                <w:sz w:val="18"/>
                <w:szCs w:val="18"/>
                <w:lang w:eastAsia="en-AU"/>
              </w:rPr>
              <w:t>68%</w:t>
            </w:r>
          </w:p>
        </w:tc>
        <w:tc>
          <w:tcPr>
            <w:tcW w:w="700" w:type="dxa"/>
            <w:noWrap/>
            <w:hideMark/>
          </w:tcPr>
          <w:p w14:paraId="2C497FC1" w14:textId="6BE5C7A3" w:rsidR="006A3D5A" w:rsidRPr="005464B7" w:rsidRDefault="006A3D5A" w:rsidP="00055E63">
            <w:pPr>
              <w:pStyle w:val="TableText"/>
              <w:jc w:val="center"/>
              <w:rPr>
                <w:sz w:val="18"/>
                <w:szCs w:val="18"/>
                <w:lang w:eastAsia="en-AU"/>
              </w:rPr>
            </w:pPr>
            <w:r w:rsidRPr="005464B7">
              <w:rPr>
                <w:sz w:val="18"/>
                <w:szCs w:val="18"/>
                <w:lang w:eastAsia="en-AU"/>
              </w:rPr>
              <w:t>1,098</w:t>
            </w:r>
          </w:p>
        </w:tc>
        <w:tc>
          <w:tcPr>
            <w:tcW w:w="699" w:type="dxa"/>
            <w:noWrap/>
            <w:hideMark/>
          </w:tcPr>
          <w:p w14:paraId="1AB6D4F3" w14:textId="77777777" w:rsidR="006A3D5A" w:rsidRPr="005464B7" w:rsidRDefault="006A3D5A" w:rsidP="00055E63">
            <w:pPr>
              <w:pStyle w:val="TableText"/>
              <w:jc w:val="center"/>
              <w:rPr>
                <w:sz w:val="18"/>
                <w:szCs w:val="18"/>
                <w:lang w:eastAsia="en-AU"/>
              </w:rPr>
            </w:pPr>
            <w:r w:rsidRPr="005464B7">
              <w:rPr>
                <w:sz w:val="18"/>
                <w:szCs w:val="18"/>
                <w:lang w:eastAsia="en-AU"/>
              </w:rPr>
              <w:t>625</w:t>
            </w:r>
          </w:p>
        </w:tc>
        <w:tc>
          <w:tcPr>
            <w:tcW w:w="699" w:type="dxa"/>
            <w:noWrap/>
            <w:hideMark/>
          </w:tcPr>
          <w:p w14:paraId="73142CD7" w14:textId="77777777" w:rsidR="006A3D5A" w:rsidRPr="005464B7" w:rsidRDefault="006A3D5A" w:rsidP="00055E63">
            <w:pPr>
              <w:pStyle w:val="TableText"/>
              <w:jc w:val="center"/>
              <w:rPr>
                <w:sz w:val="18"/>
                <w:szCs w:val="18"/>
                <w:lang w:eastAsia="en-AU"/>
              </w:rPr>
            </w:pPr>
            <w:r w:rsidRPr="005464B7">
              <w:rPr>
                <w:sz w:val="18"/>
                <w:szCs w:val="18"/>
                <w:lang w:eastAsia="en-AU"/>
              </w:rPr>
              <w:t>57%</w:t>
            </w:r>
          </w:p>
        </w:tc>
        <w:tc>
          <w:tcPr>
            <w:tcW w:w="699" w:type="dxa"/>
            <w:noWrap/>
            <w:hideMark/>
          </w:tcPr>
          <w:p w14:paraId="680927A5" w14:textId="180B1F2F" w:rsidR="006A3D5A" w:rsidRPr="005464B7" w:rsidRDefault="006A3D5A" w:rsidP="00055E63">
            <w:pPr>
              <w:pStyle w:val="TableText"/>
              <w:jc w:val="center"/>
              <w:rPr>
                <w:sz w:val="18"/>
                <w:szCs w:val="18"/>
                <w:lang w:eastAsia="en-AU"/>
              </w:rPr>
            </w:pPr>
            <w:r w:rsidRPr="005464B7">
              <w:rPr>
                <w:sz w:val="18"/>
                <w:szCs w:val="18"/>
                <w:lang w:eastAsia="en-AU"/>
              </w:rPr>
              <w:t>1,300</w:t>
            </w:r>
          </w:p>
        </w:tc>
        <w:tc>
          <w:tcPr>
            <w:tcW w:w="700" w:type="dxa"/>
            <w:noWrap/>
            <w:hideMark/>
          </w:tcPr>
          <w:p w14:paraId="4242C261" w14:textId="77777777" w:rsidR="006A3D5A" w:rsidRPr="005464B7" w:rsidRDefault="006A3D5A" w:rsidP="00055E63">
            <w:pPr>
              <w:pStyle w:val="TableText"/>
              <w:jc w:val="center"/>
              <w:rPr>
                <w:sz w:val="18"/>
                <w:szCs w:val="18"/>
                <w:lang w:eastAsia="en-AU"/>
              </w:rPr>
            </w:pPr>
            <w:r w:rsidRPr="005464B7">
              <w:rPr>
                <w:sz w:val="18"/>
                <w:szCs w:val="18"/>
                <w:lang w:eastAsia="en-AU"/>
              </w:rPr>
              <w:t>657</w:t>
            </w:r>
          </w:p>
        </w:tc>
        <w:tc>
          <w:tcPr>
            <w:tcW w:w="699" w:type="dxa"/>
            <w:noWrap/>
            <w:hideMark/>
          </w:tcPr>
          <w:p w14:paraId="1627CA20" w14:textId="77777777" w:rsidR="006A3D5A" w:rsidRPr="005464B7" w:rsidRDefault="006A3D5A" w:rsidP="00055E63">
            <w:pPr>
              <w:pStyle w:val="TableText"/>
              <w:jc w:val="center"/>
              <w:rPr>
                <w:sz w:val="18"/>
                <w:szCs w:val="18"/>
                <w:lang w:eastAsia="en-AU"/>
              </w:rPr>
            </w:pPr>
            <w:r w:rsidRPr="005464B7">
              <w:rPr>
                <w:sz w:val="18"/>
                <w:szCs w:val="18"/>
                <w:lang w:eastAsia="en-AU"/>
              </w:rPr>
              <w:t>51%</w:t>
            </w:r>
          </w:p>
        </w:tc>
        <w:tc>
          <w:tcPr>
            <w:tcW w:w="699" w:type="dxa"/>
            <w:noWrap/>
            <w:hideMark/>
          </w:tcPr>
          <w:p w14:paraId="0F81DAA9" w14:textId="658218C0" w:rsidR="006A3D5A" w:rsidRPr="005464B7" w:rsidRDefault="006A3D5A" w:rsidP="00055E63">
            <w:pPr>
              <w:pStyle w:val="TableText"/>
              <w:jc w:val="center"/>
              <w:rPr>
                <w:sz w:val="18"/>
                <w:szCs w:val="18"/>
                <w:lang w:eastAsia="en-AU"/>
              </w:rPr>
            </w:pPr>
            <w:r w:rsidRPr="005464B7">
              <w:rPr>
                <w:sz w:val="18"/>
                <w:szCs w:val="18"/>
                <w:lang w:eastAsia="en-AU"/>
              </w:rPr>
              <w:t>3,209</w:t>
            </w:r>
          </w:p>
        </w:tc>
        <w:tc>
          <w:tcPr>
            <w:tcW w:w="699" w:type="dxa"/>
            <w:noWrap/>
            <w:hideMark/>
          </w:tcPr>
          <w:p w14:paraId="03AE3F3E" w14:textId="21BAA011" w:rsidR="006A3D5A" w:rsidRPr="005464B7" w:rsidRDefault="006A3D5A" w:rsidP="00055E63">
            <w:pPr>
              <w:pStyle w:val="TableText"/>
              <w:jc w:val="center"/>
              <w:rPr>
                <w:sz w:val="18"/>
                <w:szCs w:val="18"/>
                <w:lang w:eastAsia="en-AU"/>
              </w:rPr>
            </w:pPr>
            <w:r w:rsidRPr="005464B7">
              <w:rPr>
                <w:sz w:val="18"/>
                <w:szCs w:val="18"/>
                <w:lang w:eastAsia="en-AU"/>
              </w:rPr>
              <w:t>1,401</w:t>
            </w:r>
          </w:p>
        </w:tc>
        <w:tc>
          <w:tcPr>
            <w:tcW w:w="700" w:type="dxa"/>
            <w:noWrap/>
            <w:hideMark/>
          </w:tcPr>
          <w:p w14:paraId="4EBCE9B1" w14:textId="77777777" w:rsidR="006A3D5A" w:rsidRPr="005464B7" w:rsidRDefault="006A3D5A" w:rsidP="00055E63">
            <w:pPr>
              <w:pStyle w:val="TableText"/>
              <w:jc w:val="center"/>
              <w:rPr>
                <w:sz w:val="18"/>
                <w:szCs w:val="18"/>
                <w:lang w:eastAsia="en-AU"/>
              </w:rPr>
            </w:pPr>
            <w:r w:rsidRPr="005464B7">
              <w:rPr>
                <w:sz w:val="18"/>
                <w:szCs w:val="18"/>
                <w:lang w:eastAsia="en-AU"/>
              </w:rPr>
              <w:t>44%</w:t>
            </w:r>
          </w:p>
        </w:tc>
        <w:tc>
          <w:tcPr>
            <w:tcW w:w="699" w:type="dxa"/>
            <w:noWrap/>
            <w:hideMark/>
          </w:tcPr>
          <w:p w14:paraId="405DFFAC" w14:textId="23F7CEB4" w:rsidR="006A3D5A" w:rsidRPr="005464B7" w:rsidRDefault="006A3D5A" w:rsidP="00055E63">
            <w:pPr>
              <w:pStyle w:val="TableText"/>
              <w:jc w:val="center"/>
              <w:rPr>
                <w:sz w:val="18"/>
                <w:szCs w:val="18"/>
                <w:lang w:eastAsia="en-AU"/>
              </w:rPr>
            </w:pPr>
            <w:r w:rsidRPr="005464B7">
              <w:rPr>
                <w:sz w:val="18"/>
                <w:szCs w:val="18"/>
                <w:lang w:eastAsia="en-AU"/>
              </w:rPr>
              <w:t>5,195</w:t>
            </w:r>
          </w:p>
        </w:tc>
        <w:tc>
          <w:tcPr>
            <w:tcW w:w="699" w:type="dxa"/>
            <w:noWrap/>
            <w:hideMark/>
          </w:tcPr>
          <w:p w14:paraId="71263130" w14:textId="6FBBDD69" w:rsidR="006A3D5A" w:rsidRPr="005464B7" w:rsidRDefault="006A3D5A" w:rsidP="00055E63">
            <w:pPr>
              <w:pStyle w:val="TableText"/>
              <w:jc w:val="center"/>
              <w:rPr>
                <w:sz w:val="18"/>
                <w:szCs w:val="18"/>
                <w:lang w:eastAsia="en-AU"/>
              </w:rPr>
            </w:pPr>
            <w:r w:rsidRPr="005464B7">
              <w:rPr>
                <w:sz w:val="18"/>
                <w:szCs w:val="18"/>
                <w:lang w:eastAsia="en-AU"/>
              </w:rPr>
              <w:t>1,926</w:t>
            </w:r>
          </w:p>
        </w:tc>
        <w:tc>
          <w:tcPr>
            <w:tcW w:w="700" w:type="dxa"/>
            <w:noWrap/>
            <w:hideMark/>
          </w:tcPr>
          <w:p w14:paraId="6139F81F" w14:textId="77777777" w:rsidR="006A3D5A" w:rsidRPr="005464B7" w:rsidRDefault="006A3D5A" w:rsidP="00055E63">
            <w:pPr>
              <w:pStyle w:val="TableText"/>
              <w:jc w:val="center"/>
              <w:rPr>
                <w:sz w:val="18"/>
                <w:szCs w:val="18"/>
                <w:lang w:eastAsia="en-AU"/>
              </w:rPr>
            </w:pPr>
            <w:r w:rsidRPr="005464B7">
              <w:rPr>
                <w:sz w:val="18"/>
                <w:szCs w:val="18"/>
                <w:lang w:eastAsia="en-AU"/>
              </w:rPr>
              <w:t>37%</w:t>
            </w:r>
          </w:p>
        </w:tc>
        <w:tc>
          <w:tcPr>
            <w:tcW w:w="1523" w:type="dxa"/>
          </w:tcPr>
          <w:p w14:paraId="0B378282" w14:textId="291F0BEF" w:rsidR="006A3D5A" w:rsidRPr="005464B7" w:rsidRDefault="008D7137" w:rsidP="00055E63">
            <w:pPr>
              <w:pStyle w:val="TableText"/>
              <w:jc w:val="center"/>
              <w:rPr>
                <w:sz w:val="18"/>
                <w:szCs w:val="18"/>
                <w:lang w:eastAsia="en-AU"/>
              </w:rPr>
            </w:pPr>
            <w:r>
              <w:rPr>
                <w:sz w:val="18"/>
                <w:szCs w:val="18"/>
                <w:lang w:eastAsia="en-AU"/>
              </w:rPr>
              <w:t>-31</w:t>
            </w:r>
            <w:r w:rsidR="005064F8">
              <w:rPr>
                <w:sz w:val="18"/>
                <w:szCs w:val="18"/>
                <w:lang w:eastAsia="en-AU"/>
              </w:rPr>
              <w:t xml:space="preserve"> percentage points</w:t>
            </w:r>
          </w:p>
        </w:tc>
      </w:tr>
      <w:tr w:rsidR="004D1FAB" w:rsidRPr="005464B7" w14:paraId="3C101E3F" w14:textId="58B522BD" w:rsidTr="00FD330A">
        <w:trPr>
          <w:cnfStyle w:val="000000100000" w:firstRow="0" w:lastRow="0" w:firstColumn="0" w:lastColumn="0" w:oddVBand="0" w:evenVBand="0" w:oddHBand="1" w:evenHBand="0" w:firstRowFirstColumn="0" w:firstRowLastColumn="0" w:lastRowFirstColumn="0" w:lastRowLastColumn="0"/>
          <w:trHeight w:val="510"/>
        </w:trPr>
        <w:tc>
          <w:tcPr>
            <w:tcW w:w="450" w:type="dxa"/>
            <w:noWrap/>
            <w:hideMark/>
          </w:tcPr>
          <w:p w14:paraId="33CA9327" w14:textId="77777777" w:rsidR="006A3D5A" w:rsidRPr="005464B7" w:rsidRDefault="006A3D5A" w:rsidP="00055E63">
            <w:pPr>
              <w:pStyle w:val="TableText"/>
              <w:rPr>
                <w:sz w:val="18"/>
                <w:szCs w:val="18"/>
                <w:lang w:eastAsia="en-AU"/>
              </w:rPr>
            </w:pPr>
            <w:r w:rsidRPr="005464B7">
              <w:rPr>
                <w:sz w:val="18"/>
                <w:szCs w:val="18"/>
                <w:lang w:eastAsia="en-AU"/>
              </w:rPr>
              <w:t>3</w:t>
            </w:r>
          </w:p>
        </w:tc>
        <w:tc>
          <w:tcPr>
            <w:tcW w:w="1955" w:type="dxa"/>
            <w:hideMark/>
          </w:tcPr>
          <w:p w14:paraId="7D7C1329" w14:textId="77777777" w:rsidR="006A3D5A" w:rsidRPr="005464B7" w:rsidRDefault="006A3D5A" w:rsidP="00055E63">
            <w:pPr>
              <w:pStyle w:val="TableText"/>
              <w:rPr>
                <w:sz w:val="18"/>
                <w:szCs w:val="18"/>
                <w:lang w:eastAsia="en-AU"/>
              </w:rPr>
            </w:pPr>
            <w:r w:rsidRPr="005464B7">
              <w:rPr>
                <w:sz w:val="18"/>
                <w:szCs w:val="18"/>
                <w:lang w:eastAsia="en-AU"/>
              </w:rPr>
              <w:t>Percentage of residents with identified palliative care needs who had a relevant palliative care-related Action Plan item selected</w:t>
            </w:r>
          </w:p>
        </w:tc>
        <w:tc>
          <w:tcPr>
            <w:tcW w:w="709" w:type="dxa"/>
            <w:noWrap/>
            <w:hideMark/>
          </w:tcPr>
          <w:p w14:paraId="1BF7FD7D"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13C465FA" w14:textId="77777777" w:rsidR="006A3D5A" w:rsidRPr="005464B7" w:rsidRDefault="006A3D5A" w:rsidP="00055E63">
            <w:pPr>
              <w:pStyle w:val="TableText"/>
              <w:jc w:val="center"/>
              <w:rPr>
                <w:sz w:val="18"/>
                <w:szCs w:val="18"/>
                <w:lang w:eastAsia="en-AU"/>
              </w:rPr>
            </w:pPr>
            <w:r w:rsidRPr="005464B7">
              <w:rPr>
                <w:sz w:val="18"/>
                <w:szCs w:val="18"/>
                <w:lang w:eastAsia="en-AU"/>
              </w:rPr>
              <w:t>116</w:t>
            </w:r>
          </w:p>
        </w:tc>
        <w:tc>
          <w:tcPr>
            <w:tcW w:w="699" w:type="dxa"/>
            <w:noWrap/>
            <w:hideMark/>
          </w:tcPr>
          <w:p w14:paraId="7088D8D2" w14:textId="77777777" w:rsidR="006A3D5A" w:rsidRPr="005464B7" w:rsidRDefault="006A3D5A" w:rsidP="00055E63">
            <w:pPr>
              <w:pStyle w:val="TableText"/>
              <w:jc w:val="center"/>
              <w:rPr>
                <w:sz w:val="18"/>
                <w:szCs w:val="18"/>
                <w:lang w:eastAsia="en-AU"/>
              </w:rPr>
            </w:pPr>
            <w:r w:rsidRPr="005464B7">
              <w:rPr>
                <w:sz w:val="18"/>
                <w:szCs w:val="18"/>
                <w:lang w:eastAsia="en-AU"/>
              </w:rPr>
              <w:t>82</w:t>
            </w:r>
          </w:p>
        </w:tc>
        <w:tc>
          <w:tcPr>
            <w:tcW w:w="699" w:type="dxa"/>
            <w:noWrap/>
            <w:hideMark/>
          </w:tcPr>
          <w:p w14:paraId="4CF2E88C" w14:textId="77777777" w:rsidR="006A3D5A" w:rsidRPr="005464B7" w:rsidRDefault="006A3D5A" w:rsidP="00055E63">
            <w:pPr>
              <w:pStyle w:val="TableText"/>
              <w:jc w:val="center"/>
              <w:rPr>
                <w:sz w:val="18"/>
                <w:szCs w:val="18"/>
                <w:lang w:eastAsia="en-AU"/>
              </w:rPr>
            </w:pPr>
            <w:r w:rsidRPr="005464B7">
              <w:rPr>
                <w:sz w:val="18"/>
                <w:szCs w:val="18"/>
                <w:lang w:eastAsia="en-AU"/>
              </w:rPr>
              <w:t>71%</w:t>
            </w:r>
          </w:p>
        </w:tc>
        <w:tc>
          <w:tcPr>
            <w:tcW w:w="700" w:type="dxa"/>
            <w:noWrap/>
            <w:hideMark/>
          </w:tcPr>
          <w:p w14:paraId="1DD0313B" w14:textId="77777777" w:rsidR="006A3D5A" w:rsidRPr="005464B7" w:rsidRDefault="006A3D5A" w:rsidP="00055E63">
            <w:pPr>
              <w:pStyle w:val="TableText"/>
              <w:jc w:val="center"/>
              <w:rPr>
                <w:sz w:val="18"/>
                <w:szCs w:val="18"/>
                <w:lang w:eastAsia="en-AU"/>
              </w:rPr>
            </w:pPr>
            <w:r w:rsidRPr="005464B7">
              <w:rPr>
                <w:sz w:val="18"/>
                <w:szCs w:val="18"/>
                <w:lang w:eastAsia="en-AU"/>
              </w:rPr>
              <w:t>471</w:t>
            </w:r>
          </w:p>
        </w:tc>
        <w:tc>
          <w:tcPr>
            <w:tcW w:w="699" w:type="dxa"/>
            <w:noWrap/>
            <w:hideMark/>
          </w:tcPr>
          <w:p w14:paraId="56FD6D43" w14:textId="77777777" w:rsidR="006A3D5A" w:rsidRPr="005464B7" w:rsidRDefault="006A3D5A" w:rsidP="00055E63">
            <w:pPr>
              <w:pStyle w:val="TableText"/>
              <w:jc w:val="center"/>
              <w:rPr>
                <w:sz w:val="18"/>
                <w:szCs w:val="18"/>
                <w:lang w:eastAsia="en-AU"/>
              </w:rPr>
            </w:pPr>
            <w:r w:rsidRPr="005464B7">
              <w:rPr>
                <w:sz w:val="18"/>
                <w:szCs w:val="18"/>
                <w:lang w:eastAsia="en-AU"/>
              </w:rPr>
              <w:t>262</w:t>
            </w:r>
          </w:p>
        </w:tc>
        <w:tc>
          <w:tcPr>
            <w:tcW w:w="699" w:type="dxa"/>
            <w:noWrap/>
            <w:hideMark/>
          </w:tcPr>
          <w:p w14:paraId="53559275" w14:textId="77777777" w:rsidR="006A3D5A" w:rsidRPr="005464B7" w:rsidRDefault="006A3D5A" w:rsidP="00055E63">
            <w:pPr>
              <w:pStyle w:val="TableText"/>
              <w:jc w:val="center"/>
              <w:rPr>
                <w:sz w:val="18"/>
                <w:szCs w:val="18"/>
                <w:lang w:eastAsia="en-AU"/>
              </w:rPr>
            </w:pPr>
            <w:r w:rsidRPr="005464B7">
              <w:rPr>
                <w:sz w:val="18"/>
                <w:szCs w:val="18"/>
                <w:lang w:eastAsia="en-AU"/>
              </w:rPr>
              <w:t>56%</w:t>
            </w:r>
          </w:p>
        </w:tc>
        <w:tc>
          <w:tcPr>
            <w:tcW w:w="699" w:type="dxa"/>
            <w:noWrap/>
            <w:hideMark/>
          </w:tcPr>
          <w:p w14:paraId="14E07AA8" w14:textId="77777777" w:rsidR="006A3D5A" w:rsidRPr="005464B7" w:rsidRDefault="006A3D5A" w:rsidP="00055E63">
            <w:pPr>
              <w:pStyle w:val="TableText"/>
              <w:jc w:val="center"/>
              <w:rPr>
                <w:sz w:val="18"/>
                <w:szCs w:val="18"/>
                <w:lang w:eastAsia="en-AU"/>
              </w:rPr>
            </w:pPr>
            <w:r w:rsidRPr="005464B7">
              <w:rPr>
                <w:sz w:val="18"/>
                <w:szCs w:val="18"/>
                <w:lang w:eastAsia="en-AU"/>
              </w:rPr>
              <w:t>406</w:t>
            </w:r>
          </w:p>
        </w:tc>
        <w:tc>
          <w:tcPr>
            <w:tcW w:w="700" w:type="dxa"/>
            <w:noWrap/>
            <w:hideMark/>
          </w:tcPr>
          <w:p w14:paraId="02CE44F2" w14:textId="77777777" w:rsidR="006A3D5A" w:rsidRPr="005464B7" w:rsidRDefault="006A3D5A" w:rsidP="00055E63">
            <w:pPr>
              <w:pStyle w:val="TableText"/>
              <w:jc w:val="center"/>
              <w:rPr>
                <w:sz w:val="18"/>
                <w:szCs w:val="18"/>
                <w:lang w:eastAsia="en-AU"/>
              </w:rPr>
            </w:pPr>
            <w:r w:rsidRPr="005464B7">
              <w:rPr>
                <w:sz w:val="18"/>
                <w:szCs w:val="18"/>
                <w:lang w:eastAsia="en-AU"/>
              </w:rPr>
              <w:t>214</w:t>
            </w:r>
          </w:p>
        </w:tc>
        <w:tc>
          <w:tcPr>
            <w:tcW w:w="699" w:type="dxa"/>
            <w:noWrap/>
            <w:hideMark/>
          </w:tcPr>
          <w:p w14:paraId="3E379716" w14:textId="77777777" w:rsidR="006A3D5A" w:rsidRPr="005464B7" w:rsidRDefault="006A3D5A" w:rsidP="00055E63">
            <w:pPr>
              <w:pStyle w:val="TableText"/>
              <w:jc w:val="center"/>
              <w:rPr>
                <w:sz w:val="18"/>
                <w:szCs w:val="18"/>
                <w:lang w:eastAsia="en-AU"/>
              </w:rPr>
            </w:pPr>
            <w:r w:rsidRPr="005464B7">
              <w:rPr>
                <w:sz w:val="18"/>
                <w:szCs w:val="18"/>
                <w:lang w:eastAsia="en-AU"/>
              </w:rPr>
              <w:t>53%</w:t>
            </w:r>
          </w:p>
        </w:tc>
        <w:tc>
          <w:tcPr>
            <w:tcW w:w="699" w:type="dxa"/>
            <w:noWrap/>
            <w:hideMark/>
          </w:tcPr>
          <w:p w14:paraId="75ABF00C" w14:textId="750422B4" w:rsidR="006A3D5A" w:rsidRPr="005464B7" w:rsidRDefault="006A3D5A" w:rsidP="00055E63">
            <w:pPr>
              <w:pStyle w:val="TableText"/>
              <w:jc w:val="center"/>
              <w:rPr>
                <w:sz w:val="18"/>
                <w:szCs w:val="18"/>
                <w:lang w:eastAsia="en-AU"/>
              </w:rPr>
            </w:pPr>
            <w:r w:rsidRPr="005464B7">
              <w:rPr>
                <w:sz w:val="18"/>
                <w:szCs w:val="18"/>
                <w:lang w:eastAsia="en-AU"/>
              </w:rPr>
              <w:t>1,204</w:t>
            </w:r>
          </w:p>
        </w:tc>
        <w:tc>
          <w:tcPr>
            <w:tcW w:w="699" w:type="dxa"/>
            <w:noWrap/>
            <w:hideMark/>
          </w:tcPr>
          <w:p w14:paraId="6024F105" w14:textId="77777777" w:rsidR="006A3D5A" w:rsidRPr="005464B7" w:rsidRDefault="006A3D5A" w:rsidP="00055E63">
            <w:pPr>
              <w:pStyle w:val="TableText"/>
              <w:jc w:val="center"/>
              <w:rPr>
                <w:sz w:val="18"/>
                <w:szCs w:val="18"/>
                <w:lang w:eastAsia="en-AU"/>
              </w:rPr>
            </w:pPr>
            <w:r w:rsidRPr="005464B7">
              <w:rPr>
                <w:sz w:val="18"/>
                <w:szCs w:val="18"/>
                <w:lang w:eastAsia="en-AU"/>
              </w:rPr>
              <w:t>581</w:t>
            </w:r>
          </w:p>
        </w:tc>
        <w:tc>
          <w:tcPr>
            <w:tcW w:w="700" w:type="dxa"/>
            <w:noWrap/>
            <w:hideMark/>
          </w:tcPr>
          <w:p w14:paraId="043F45FB" w14:textId="77777777" w:rsidR="006A3D5A" w:rsidRPr="005464B7" w:rsidRDefault="006A3D5A" w:rsidP="00055E63">
            <w:pPr>
              <w:pStyle w:val="TableText"/>
              <w:jc w:val="center"/>
              <w:rPr>
                <w:sz w:val="18"/>
                <w:szCs w:val="18"/>
                <w:lang w:eastAsia="en-AU"/>
              </w:rPr>
            </w:pPr>
            <w:r w:rsidRPr="005464B7">
              <w:rPr>
                <w:sz w:val="18"/>
                <w:szCs w:val="18"/>
                <w:lang w:eastAsia="en-AU"/>
              </w:rPr>
              <w:t>48%</w:t>
            </w:r>
          </w:p>
        </w:tc>
        <w:tc>
          <w:tcPr>
            <w:tcW w:w="699" w:type="dxa"/>
            <w:noWrap/>
            <w:hideMark/>
          </w:tcPr>
          <w:p w14:paraId="0A6C56A6" w14:textId="499E5951" w:rsidR="006A3D5A" w:rsidRPr="005464B7" w:rsidRDefault="006A3D5A" w:rsidP="00055E63">
            <w:pPr>
              <w:pStyle w:val="TableText"/>
              <w:jc w:val="center"/>
              <w:rPr>
                <w:sz w:val="18"/>
                <w:szCs w:val="18"/>
                <w:lang w:eastAsia="en-AU"/>
              </w:rPr>
            </w:pPr>
            <w:r w:rsidRPr="005464B7">
              <w:rPr>
                <w:sz w:val="18"/>
                <w:szCs w:val="18"/>
                <w:lang w:eastAsia="en-AU"/>
              </w:rPr>
              <w:t>1,812</w:t>
            </w:r>
          </w:p>
        </w:tc>
        <w:tc>
          <w:tcPr>
            <w:tcW w:w="699" w:type="dxa"/>
            <w:noWrap/>
            <w:hideMark/>
          </w:tcPr>
          <w:p w14:paraId="7944D513" w14:textId="77777777" w:rsidR="006A3D5A" w:rsidRPr="005464B7" w:rsidRDefault="006A3D5A" w:rsidP="00055E63">
            <w:pPr>
              <w:pStyle w:val="TableText"/>
              <w:jc w:val="center"/>
              <w:rPr>
                <w:sz w:val="18"/>
                <w:szCs w:val="18"/>
                <w:lang w:eastAsia="en-AU"/>
              </w:rPr>
            </w:pPr>
            <w:r w:rsidRPr="005464B7">
              <w:rPr>
                <w:sz w:val="18"/>
                <w:szCs w:val="18"/>
                <w:lang w:eastAsia="en-AU"/>
              </w:rPr>
              <w:t>811</w:t>
            </w:r>
          </w:p>
        </w:tc>
        <w:tc>
          <w:tcPr>
            <w:tcW w:w="700" w:type="dxa"/>
            <w:noWrap/>
            <w:hideMark/>
          </w:tcPr>
          <w:p w14:paraId="60AF31A3" w14:textId="77777777" w:rsidR="006A3D5A" w:rsidRPr="005464B7" w:rsidRDefault="006A3D5A" w:rsidP="00055E63">
            <w:pPr>
              <w:pStyle w:val="TableText"/>
              <w:jc w:val="center"/>
              <w:rPr>
                <w:sz w:val="18"/>
                <w:szCs w:val="18"/>
                <w:lang w:eastAsia="en-AU"/>
              </w:rPr>
            </w:pPr>
            <w:r w:rsidRPr="005464B7">
              <w:rPr>
                <w:sz w:val="18"/>
                <w:szCs w:val="18"/>
                <w:lang w:eastAsia="en-AU"/>
              </w:rPr>
              <w:t>45%</w:t>
            </w:r>
          </w:p>
        </w:tc>
        <w:tc>
          <w:tcPr>
            <w:tcW w:w="1523" w:type="dxa"/>
            <w:shd w:val="clear" w:color="auto" w:fill="auto"/>
          </w:tcPr>
          <w:p w14:paraId="38027EEF" w14:textId="52AAAB81" w:rsidR="006A3D5A" w:rsidRPr="005464B7" w:rsidRDefault="008D7137" w:rsidP="00055E63">
            <w:pPr>
              <w:pStyle w:val="TableText"/>
              <w:jc w:val="center"/>
              <w:rPr>
                <w:sz w:val="18"/>
                <w:szCs w:val="18"/>
                <w:lang w:eastAsia="en-AU"/>
              </w:rPr>
            </w:pPr>
            <w:r>
              <w:rPr>
                <w:sz w:val="18"/>
                <w:szCs w:val="18"/>
                <w:lang w:eastAsia="en-AU"/>
              </w:rPr>
              <w:t>-26</w:t>
            </w:r>
            <w:r w:rsidR="005064F8">
              <w:rPr>
                <w:sz w:val="18"/>
                <w:szCs w:val="18"/>
                <w:lang w:eastAsia="en-AU"/>
              </w:rPr>
              <w:t xml:space="preserve"> percentage points</w:t>
            </w:r>
          </w:p>
        </w:tc>
      </w:tr>
      <w:tr w:rsidR="006A3D5A" w:rsidRPr="005464B7" w14:paraId="1A5162C2" w14:textId="75B2379E" w:rsidTr="00FD330A">
        <w:trPr>
          <w:cnfStyle w:val="000000010000" w:firstRow="0" w:lastRow="0" w:firstColumn="0" w:lastColumn="0" w:oddVBand="0" w:evenVBand="0" w:oddHBand="0" w:evenHBand="1" w:firstRowFirstColumn="0" w:firstRowLastColumn="0" w:lastRowFirstColumn="0" w:lastRowLastColumn="0"/>
          <w:trHeight w:val="982"/>
        </w:trPr>
        <w:tc>
          <w:tcPr>
            <w:tcW w:w="450" w:type="dxa"/>
            <w:noWrap/>
            <w:hideMark/>
          </w:tcPr>
          <w:p w14:paraId="51651D2B" w14:textId="77777777" w:rsidR="006A3D5A" w:rsidRPr="005464B7" w:rsidRDefault="006A3D5A" w:rsidP="00055E63">
            <w:pPr>
              <w:pStyle w:val="TableText"/>
              <w:rPr>
                <w:sz w:val="18"/>
                <w:szCs w:val="18"/>
                <w:lang w:eastAsia="en-AU"/>
              </w:rPr>
            </w:pPr>
            <w:r w:rsidRPr="005464B7">
              <w:rPr>
                <w:sz w:val="18"/>
                <w:szCs w:val="18"/>
                <w:lang w:eastAsia="en-AU"/>
              </w:rPr>
              <w:t>4</w:t>
            </w:r>
          </w:p>
        </w:tc>
        <w:tc>
          <w:tcPr>
            <w:tcW w:w="1955" w:type="dxa"/>
            <w:hideMark/>
          </w:tcPr>
          <w:p w14:paraId="2F1CE2FF" w14:textId="5E377378" w:rsidR="006A3D5A" w:rsidRPr="005464B7" w:rsidRDefault="006A3D5A" w:rsidP="00055E63">
            <w:pPr>
              <w:pStyle w:val="TableText"/>
              <w:rPr>
                <w:sz w:val="18"/>
                <w:szCs w:val="18"/>
                <w:lang w:eastAsia="en-AU"/>
              </w:rPr>
            </w:pPr>
            <w:r w:rsidRPr="005464B7">
              <w:rPr>
                <w:sz w:val="18"/>
                <w:szCs w:val="18"/>
                <w:lang w:eastAsia="en-AU"/>
              </w:rPr>
              <w:t xml:space="preserve">Percentage of residents who report moderate/severe symptom distress for any item in the Palliative Care Outcomes Collaboration Symptom Assessment </w:t>
            </w:r>
            <w:r w:rsidRPr="005464B7">
              <w:rPr>
                <w:sz w:val="18"/>
                <w:szCs w:val="18"/>
                <w:lang w:eastAsia="en-AU"/>
              </w:rPr>
              <w:lastRenderedPageBreak/>
              <w:t>Scale (PCOC-SAS), have an internal or external action selected on the action plan to address their needs</w:t>
            </w:r>
          </w:p>
        </w:tc>
        <w:tc>
          <w:tcPr>
            <w:tcW w:w="709" w:type="dxa"/>
            <w:noWrap/>
            <w:hideMark/>
          </w:tcPr>
          <w:p w14:paraId="023D2B74" w14:textId="77777777" w:rsidR="006A3D5A" w:rsidRPr="005464B7" w:rsidRDefault="006A3D5A" w:rsidP="00AE4AF0">
            <w:pPr>
              <w:pStyle w:val="TableText"/>
              <w:jc w:val="center"/>
              <w:rPr>
                <w:sz w:val="18"/>
                <w:szCs w:val="18"/>
                <w:lang w:eastAsia="en-AU"/>
              </w:rPr>
            </w:pPr>
            <w:r w:rsidRPr="005464B7">
              <w:rPr>
                <w:sz w:val="18"/>
                <w:szCs w:val="18"/>
                <w:lang w:eastAsia="en-AU"/>
              </w:rPr>
              <w:lastRenderedPageBreak/>
              <w:t>90%</w:t>
            </w:r>
          </w:p>
        </w:tc>
        <w:tc>
          <w:tcPr>
            <w:tcW w:w="699" w:type="dxa"/>
            <w:noWrap/>
            <w:hideMark/>
          </w:tcPr>
          <w:p w14:paraId="7FB8BA4F" w14:textId="77777777" w:rsidR="006A3D5A" w:rsidRPr="005464B7" w:rsidRDefault="006A3D5A" w:rsidP="00055E63">
            <w:pPr>
              <w:pStyle w:val="TableText"/>
              <w:jc w:val="center"/>
              <w:rPr>
                <w:sz w:val="18"/>
                <w:szCs w:val="18"/>
                <w:lang w:eastAsia="en-AU"/>
              </w:rPr>
            </w:pPr>
            <w:r w:rsidRPr="005464B7">
              <w:rPr>
                <w:sz w:val="18"/>
                <w:szCs w:val="18"/>
                <w:lang w:eastAsia="en-AU"/>
              </w:rPr>
              <w:t>84</w:t>
            </w:r>
          </w:p>
        </w:tc>
        <w:tc>
          <w:tcPr>
            <w:tcW w:w="699" w:type="dxa"/>
            <w:noWrap/>
            <w:hideMark/>
          </w:tcPr>
          <w:p w14:paraId="6CD0593E" w14:textId="77777777" w:rsidR="006A3D5A" w:rsidRPr="005464B7" w:rsidRDefault="006A3D5A" w:rsidP="00055E63">
            <w:pPr>
              <w:pStyle w:val="TableText"/>
              <w:jc w:val="center"/>
              <w:rPr>
                <w:sz w:val="18"/>
                <w:szCs w:val="18"/>
                <w:lang w:eastAsia="en-AU"/>
              </w:rPr>
            </w:pPr>
            <w:r w:rsidRPr="005464B7">
              <w:rPr>
                <w:sz w:val="18"/>
                <w:szCs w:val="18"/>
                <w:lang w:eastAsia="en-AU"/>
              </w:rPr>
              <w:t>46</w:t>
            </w:r>
          </w:p>
        </w:tc>
        <w:tc>
          <w:tcPr>
            <w:tcW w:w="699" w:type="dxa"/>
            <w:noWrap/>
            <w:hideMark/>
          </w:tcPr>
          <w:p w14:paraId="0FFC89B3" w14:textId="77777777" w:rsidR="006A3D5A" w:rsidRPr="005464B7" w:rsidRDefault="006A3D5A" w:rsidP="00055E63">
            <w:pPr>
              <w:pStyle w:val="TableText"/>
              <w:jc w:val="center"/>
              <w:rPr>
                <w:sz w:val="18"/>
                <w:szCs w:val="18"/>
                <w:lang w:eastAsia="en-AU"/>
              </w:rPr>
            </w:pPr>
            <w:r w:rsidRPr="005464B7">
              <w:rPr>
                <w:sz w:val="18"/>
                <w:szCs w:val="18"/>
                <w:lang w:eastAsia="en-AU"/>
              </w:rPr>
              <w:t>55%</w:t>
            </w:r>
          </w:p>
        </w:tc>
        <w:tc>
          <w:tcPr>
            <w:tcW w:w="700" w:type="dxa"/>
            <w:noWrap/>
            <w:hideMark/>
          </w:tcPr>
          <w:p w14:paraId="663B5A56" w14:textId="77777777" w:rsidR="006A3D5A" w:rsidRPr="005464B7" w:rsidRDefault="006A3D5A" w:rsidP="00055E63">
            <w:pPr>
              <w:pStyle w:val="TableText"/>
              <w:jc w:val="center"/>
              <w:rPr>
                <w:sz w:val="18"/>
                <w:szCs w:val="18"/>
                <w:lang w:eastAsia="en-AU"/>
              </w:rPr>
            </w:pPr>
            <w:r w:rsidRPr="005464B7">
              <w:rPr>
                <w:sz w:val="18"/>
                <w:szCs w:val="18"/>
                <w:lang w:eastAsia="en-AU"/>
              </w:rPr>
              <w:t>695</w:t>
            </w:r>
          </w:p>
        </w:tc>
        <w:tc>
          <w:tcPr>
            <w:tcW w:w="699" w:type="dxa"/>
            <w:noWrap/>
            <w:hideMark/>
          </w:tcPr>
          <w:p w14:paraId="0E058BEF" w14:textId="77777777" w:rsidR="006A3D5A" w:rsidRPr="005464B7" w:rsidRDefault="006A3D5A" w:rsidP="00055E63">
            <w:pPr>
              <w:pStyle w:val="TableText"/>
              <w:jc w:val="center"/>
              <w:rPr>
                <w:sz w:val="18"/>
                <w:szCs w:val="18"/>
                <w:lang w:eastAsia="en-AU"/>
              </w:rPr>
            </w:pPr>
            <w:r w:rsidRPr="005464B7">
              <w:rPr>
                <w:sz w:val="18"/>
                <w:szCs w:val="18"/>
                <w:lang w:eastAsia="en-AU"/>
              </w:rPr>
              <w:t>298</w:t>
            </w:r>
          </w:p>
        </w:tc>
        <w:tc>
          <w:tcPr>
            <w:tcW w:w="699" w:type="dxa"/>
            <w:noWrap/>
            <w:hideMark/>
          </w:tcPr>
          <w:p w14:paraId="05D5F884" w14:textId="77777777" w:rsidR="006A3D5A" w:rsidRPr="005464B7" w:rsidRDefault="006A3D5A" w:rsidP="00055E63">
            <w:pPr>
              <w:pStyle w:val="TableText"/>
              <w:jc w:val="center"/>
              <w:rPr>
                <w:sz w:val="18"/>
                <w:szCs w:val="18"/>
                <w:lang w:eastAsia="en-AU"/>
              </w:rPr>
            </w:pPr>
            <w:r w:rsidRPr="005464B7">
              <w:rPr>
                <w:sz w:val="18"/>
                <w:szCs w:val="18"/>
                <w:lang w:eastAsia="en-AU"/>
              </w:rPr>
              <w:t>43%</w:t>
            </w:r>
          </w:p>
        </w:tc>
        <w:tc>
          <w:tcPr>
            <w:tcW w:w="699" w:type="dxa"/>
            <w:noWrap/>
            <w:hideMark/>
          </w:tcPr>
          <w:p w14:paraId="7CAB8544" w14:textId="77777777" w:rsidR="006A3D5A" w:rsidRPr="005464B7" w:rsidRDefault="006A3D5A" w:rsidP="00055E63">
            <w:pPr>
              <w:pStyle w:val="TableText"/>
              <w:jc w:val="center"/>
              <w:rPr>
                <w:sz w:val="18"/>
                <w:szCs w:val="18"/>
                <w:lang w:eastAsia="en-AU"/>
              </w:rPr>
            </w:pPr>
            <w:r w:rsidRPr="005464B7">
              <w:rPr>
                <w:sz w:val="18"/>
                <w:szCs w:val="18"/>
                <w:lang w:eastAsia="en-AU"/>
              </w:rPr>
              <w:t>609</w:t>
            </w:r>
          </w:p>
        </w:tc>
        <w:tc>
          <w:tcPr>
            <w:tcW w:w="700" w:type="dxa"/>
            <w:noWrap/>
            <w:hideMark/>
          </w:tcPr>
          <w:p w14:paraId="5B246D13" w14:textId="77777777" w:rsidR="006A3D5A" w:rsidRPr="005464B7" w:rsidRDefault="006A3D5A" w:rsidP="00055E63">
            <w:pPr>
              <w:pStyle w:val="TableText"/>
              <w:jc w:val="center"/>
              <w:rPr>
                <w:sz w:val="18"/>
                <w:szCs w:val="18"/>
                <w:lang w:eastAsia="en-AU"/>
              </w:rPr>
            </w:pPr>
            <w:r w:rsidRPr="005464B7">
              <w:rPr>
                <w:sz w:val="18"/>
                <w:szCs w:val="18"/>
                <w:lang w:eastAsia="en-AU"/>
              </w:rPr>
              <w:t>192</w:t>
            </w:r>
          </w:p>
        </w:tc>
        <w:tc>
          <w:tcPr>
            <w:tcW w:w="699" w:type="dxa"/>
            <w:noWrap/>
            <w:hideMark/>
          </w:tcPr>
          <w:p w14:paraId="1F7956FC" w14:textId="77777777" w:rsidR="006A3D5A" w:rsidRPr="005464B7" w:rsidRDefault="006A3D5A" w:rsidP="00055E63">
            <w:pPr>
              <w:pStyle w:val="TableText"/>
              <w:jc w:val="center"/>
              <w:rPr>
                <w:sz w:val="18"/>
                <w:szCs w:val="18"/>
                <w:lang w:eastAsia="en-AU"/>
              </w:rPr>
            </w:pPr>
            <w:r w:rsidRPr="005464B7">
              <w:rPr>
                <w:sz w:val="18"/>
                <w:szCs w:val="18"/>
                <w:lang w:eastAsia="en-AU"/>
              </w:rPr>
              <w:t>32%</w:t>
            </w:r>
          </w:p>
        </w:tc>
        <w:tc>
          <w:tcPr>
            <w:tcW w:w="699" w:type="dxa"/>
            <w:noWrap/>
            <w:hideMark/>
          </w:tcPr>
          <w:p w14:paraId="0D0AB64D" w14:textId="1EDF1F17" w:rsidR="006A3D5A" w:rsidRPr="005464B7" w:rsidRDefault="006A3D5A" w:rsidP="00055E63">
            <w:pPr>
              <w:pStyle w:val="TableText"/>
              <w:jc w:val="center"/>
              <w:rPr>
                <w:sz w:val="18"/>
                <w:szCs w:val="18"/>
                <w:lang w:eastAsia="en-AU"/>
              </w:rPr>
            </w:pPr>
            <w:r w:rsidRPr="005464B7">
              <w:rPr>
                <w:sz w:val="18"/>
                <w:szCs w:val="18"/>
                <w:lang w:eastAsia="en-AU"/>
              </w:rPr>
              <w:t>1,187</w:t>
            </w:r>
          </w:p>
        </w:tc>
        <w:tc>
          <w:tcPr>
            <w:tcW w:w="699" w:type="dxa"/>
            <w:noWrap/>
            <w:hideMark/>
          </w:tcPr>
          <w:p w14:paraId="6F0056A7" w14:textId="77777777" w:rsidR="006A3D5A" w:rsidRPr="005464B7" w:rsidRDefault="006A3D5A" w:rsidP="00055E63">
            <w:pPr>
              <w:pStyle w:val="TableText"/>
              <w:jc w:val="center"/>
              <w:rPr>
                <w:sz w:val="18"/>
                <w:szCs w:val="18"/>
                <w:lang w:eastAsia="en-AU"/>
              </w:rPr>
            </w:pPr>
            <w:r w:rsidRPr="005464B7">
              <w:rPr>
                <w:sz w:val="18"/>
                <w:szCs w:val="18"/>
                <w:lang w:eastAsia="en-AU"/>
              </w:rPr>
              <w:t>471</w:t>
            </w:r>
          </w:p>
        </w:tc>
        <w:tc>
          <w:tcPr>
            <w:tcW w:w="700" w:type="dxa"/>
            <w:noWrap/>
            <w:hideMark/>
          </w:tcPr>
          <w:p w14:paraId="7B0924B9" w14:textId="77777777" w:rsidR="006A3D5A" w:rsidRPr="005464B7" w:rsidRDefault="006A3D5A" w:rsidP="00055E63">
            <w:pPr>
              <w:pStyle w:val="TableText"/>
              <w:jc w:val="center"/>
              <w:rPr>
                <w:sz w:val="18"/>
                <w:szCs w:val="18"/>
                <w:lang w:eastAsia="en-AU"/>
              </w:rPr>
            </w:pPr>
            <w:r w:rsidRPr="005464B7">
              <w:rPr>
                <w:sz w:val="18"/>
                <w:szCs w:val="18"/>
                <w:lang w:eastAsia="en-AU"/>
              </w:rPr>
              <w:t>40%</w:t>
            </w:r>
          </w:p>
        </w:tc>
        <w:tc>
          <w:tcPr>
            <w:tcW w:w="699" w:type="dxa"/>
            <w:noWrap/>
            <w:hideMark/>
          </w:tcPr>
          <w:p w14:paraId="28D2C851" w14:textId="076A8038" w:rsidR="006A3D5A" w:rsidRPr="005464B7" w:rsidRDefault="006A3D5A" w:rsidP="00055E63">
            <w:pPr>
              <w:pStyle w:val="TableText"/>
              <w:jc w:val="center"/>
              <w:rPr>
                <w:sz w:val="18"/>
                <w:szCs w:val="18"/>
                <w:lang w:eastAsia="en-AU"/>
              </w:rPr>
            </w:pPr>
            <w:r w:rsidRPr="005464B7">
              <w:rPr>
                <w:sz w:val="18"/>
                <w:szCs w:val="18"/>
                <w:lang w:eastAsia="en-AU"/>
              </w:rPr>
              <w:t>1,614</w:t>
            </w:r>
          </w:p>
        </w:tc>
        <w:tc>
          <w:tcPr>
            <w:tcW w:w="699" w:type="dxa"/>
            <w:noWrap/>
            <w:hideMark/>
          </w:tcPr>
          <w:p w14:paraId="395B8FB0" w14:textId="77777777" w:rsidR="006A3D5A" w:rsidRPr="005464B7" w:rsidRDefault="006A3D5A" w:rsidP="00055E63">
            <w:pPr>
              <w:pStyle w:val="TableText"/>
              <w:jc w:val="center"/>
              <w:rPr>
                <w:sz w:val="18"/>
                <w:szCs w:val="18"/>
                <w:lang w:eastAsia="en-AU"/>
              </w:rPr>
            </w:pPr>
            <w:r w:rsidRPr="005464B7">
              <w:rPr>
                <w:sz w:val="18"/>
                <w:szCs w:val="18"/>
                <w:lang w:eastAsia="en-AU"/>
              </w:rPr>
              <w:t>655</w:t>
            </w:r>
          </w:p>
        </w:tc>
        <w:tc>
          <w:tcPr>
            <w:tcW w:w="700" w:type="dxa"/>
            <w:noWrap/>
            <w:hideMark/>
          </w:tcPr>
          <w:p w14:paraId="08A418A0" w14:textId="77777777" w:rsidR="006A3D5A" w:rsidRPr="005464B7" w:rsidRDefault="006A3D5A" w:rsidP="00055E63">
            <w:pPr>
              <w:pStyle w:val="TableText"/>
              <w:jc w:val="center"/>
              <w:rPr>
                <w:sz w:val="18"/>
                <w:szCs w:val="18"/>
                <w:lang w:eastAsia="en-AU"/>
              </w:rPr>
            </w:pPr>
            <w:r w:rsidRPr="005464B7">
              <w:rPr>
                <w:sz w:val="18"/>
                <w:szCs w:val="18"/>
                <w:lang w:eastAsia="en-AU"/>
              </w:rPr>
              <w:t>41%</w:t>
            </w:r>
          </w:p>
        </w:tc>
        <w:tc>
          <w:tcPr>
            <w:tcW w:w="1523" w:type="dxa"/>
          </w:tcPr>
          <w:p w14:paraId="510CA4EE" w14:textId="1FAEE211" w:rsidR="006A3D5A" w:rsidRPr="005464B7" w:rsidRDefault="009261B2" w:rsidP="00055E63">
            <w:pPr>
              <w:pStyle w:val="TableText"/>
              <w:jc w:val="center"/>
              <w:rPr>
                <w:sz w:val="18"/>
                <w:szCs w:val="18"/>
                <w:lang w:eastAsia="en-AU"/>
              </w:rPr>
            </w:pPr>
            <w:r>
              <w:rPr>
                <w:sz w:val="18"/>
                <w:szCs w:val="18"/>
                <w:lang w:eastAsia="en-AU"/>
              </w:rPr>
              <w:t>-14</w:t>
            </w:r>
            <w:r w:rsidR="005064F8">
              <w:rPr>
                <w:sz w:val="18"/>
                <w:szCs w:val="18"/>
                <w:lang w:eastAsia="en-AU"/>
              </w:rPr>
              <w:t xml:space="preserve"> percentage points</w:t>
            </w:r>
          </w:p>
        </w:tc>
      </w:tr>
      <w:tr w:rsidR="004D1FAB" w:rsidRPr="005464B7" w14:paraId="78907D65" w14:textId="3904509B" w:rsidTr="00FD330A">
        <w:trPr>
          <w:cnfStyle w:val="000000100000" w:firstRow="0" w:lastRow="0" w:firstColumn="0" w:lastColumn="0" w:oddVBand="0" w:evenVBand="0" w:oddHBand="1" w:evenHBand="0" w:firstRowFirstColumn="0" w:firstRowLastColumn="0" w:lastRowFirstColumn="0" w:lastRowLastColumn="0"/>
          <w:trHeight w:val="408"/>
        </w:trPr>
        <w:tc>
          <w:tcPr>
            <w:tcW w:w="450" w:type="dxa"/>
            <w:noWrap/>
            <w:hideMark/>
          </w:tcPr>
          <w:p w14:paraId="3F465B88" w14:textId="77777777" w:rsidR="006A3D5A" w:rsidRPr="005464B7" w:rsidRDefault="006A3D5A" w:rsidP="00055E63">
            <w:pPr>
              <w:pStyle w:val="TableText"/>
              <w:rPr>
                <w:sz w:val="18"/>
                <w:szCs w:val="18"/>
                <w:lang w:eastAsia="en-AU"/>
              </w:rPr>
            </w:pPr>
            <w:r w:rsidRPr="005464B7">
              <w:rPr>
                <w:sz w:val="18"/>
                <w:szCs w:val="18"/>
                <w:lang w:eastAsia="en-AU"/>
              </w:rPr>
              <w:t>5</w:t>
            </w:r>
          </w:p>
        </w:tc>
        <w:tc>
          <w:tcPr>
            <w:tcW w:w="1955" w:type="dxa"/>
            <w:hideMark/>
          </w:tcPr>
          <w:p w14:paraId="09324CF2" w14:textId="77777777" w:rsidR="006A3D5A" w:rsidRPr="005464B7" w:rsidRDefault="006A3D5A" w:rsidP="00055E63">
            <w:pPr>
              <w:pStyle w:val="TableText"/>
              <w:rPr>
                <w:sz w:val="18"/>
                <w:szCs w:val="18"/>
                <w:lang w:eastAsia="en-AU"/>
              </w:rPr>
            </w:pPr>
            <w:r w:rsidRPr="005464B7">
              <w:rPr>
                <w:sz w:val="18"/>
                <w:szCs w:val="18"/>
                <w:lang w:eastAsia="en-AU"/>
              </w:rPr>
              <w:t>Percentage of residents for whom end-of-life needs, wants, and preferences are documented</w:t>
            </w:r>
          </w:p>
        </w:tc>
        <w:tc>
          <w:tcPr>
            <w:tcW w:w="709" w:type="dxa"/>
            <w:noWrap/>
            <w:hideMark/>
          </w:tcPr>
          <w:p w14:paraId="69BE9FE7"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51093F67" w14:textId="77777777" w:rsidR="006A3D5A" w:rsidRPr="005464B7" w:rsidRDefault="006A3D5A" w:rsidP="00055E63">
            <w:pPr>
              <w:pStyle w:val="TableText"/>
              <w:jc w:val="center"/>
              <w:rPr>
                <w:sz w:val="18"/>
                <w:szCs w:val="18"/>
                <w:lang w:eastAsia="en-AU"/>
              </w:rPr>
            </w:pPr>
            <w:r w:rsidRPr="005464B7">
              <w:rPr>
                <w:sz w:val="18"/>
                <w:szCs w:val="18"/>
                <w:lang w:eastAsia="en-AU"/>
              </w:rPr>
              <w:t>874</w:t>
            </w:r>
          </w:p>
        </w:tc>
        <w:tc>
          <w:tcPr>
            <w:tcW w:w="699" w:type="dxa"/>
            <w:noWrap/>
            <w:hideMark/>
          </w:tcPr>
          <w:p w14:paraId="6AD22E21" w14:textId="77777777" w:rsidR="006A3D5A" w:rsidRPr="005464B7" w:rsidRDefault="006A3D5A" w:rsidP="00055E63">
            <w:pPr>
              <w:pStyle w:val="TableText"/>
              <w:jc w:val="center"/>
              <w:rPr>
                <w:sz w:val="18"/>
                <w:szCs w:val="18"/>
                <w:lang w:eastAsia="en-AU"/>
              </w:rPr>
            </w:pPr>
            <w:r w:rsidRPr="005464B7">
              <w:rPr>
                <w:sz w:val="18"/>
                <w:szCs w:val="18"/>
                <w:lang w:eastAsia="en-AU"/>
              </w:rPr>
              <w:t>708</w:t>
            </w:r>
          </w:p>
        </w:tc>
        <w:tc>
          <w:tcPr>
            <w:tcW w:w="699" w:type="dxa"/>
            <w:noWrap/>
            <w:hideMark/>
          </w:tcPr>
          <w:p w14:paraId="1C408E6B"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700" w:type="dxa"/>
            <w:noWrap/>
            <w:hideMark/>
          </w:tcPr>
          <w:p w14:paraId="73A45E08" w14:textId="47B04D16" w:rsidR="006A3D5A" w:rsidRPr="005464B7" w:rsidRDefault="006A3D5A" w:rsidP="00055E63">
            <w:pPr>
              <w:pStyle w:val="TableText"/>
              <w:jc w:val="center"/>
              <w:rPr>
                <w:sz w:val="18"/>
                <w:szCs w:val="18"/>
                <w:lang w:eastAsia="en-AU"/>
              </w:rPr>
            </w:pPr>
            <w:r w:rsidRPr="005464B7">
              <w:rPr>
                <w:sz w:val="18"/>
                <w:szCs w:val="18"/>
                <w:lang w:eastAsia="en-AU"/>
              </w:rPr>
              <w:t>1,972</w:t>
            </w:r>
          </w:p>
        </w:tc>
        <w:tc>
          <w:tcPr>
            <w:tcW w:w="699" w:type="dxa"/>
            <w:noWrap/>
            <w:hideMark/>
          </w:tcPr>
          <w:p w14:paraId="03B85DD5" w14:textId="656F3A25" w:rsidR="006A3D5A" w:rsidRPr="005464B7" w:rsidRDefault="006A3D5A" w:rsidP="00055E63">
            <w:pPr>
              <w:pStyle w:val="TableText"/>
              <w:jc w:val="center"/>
              <w:rPr>
                <w:sz w:val="18"/>
                <w:szCs w:val="18"/>
                <w:lang w:eastAsia="en-AU"/>
              </w:rPr>
            </w:pPr>
            <w:r w:rsidRPr="005464B7">
              <w:rPr>
                <w:sz w:val="18"/>
                <w:szCs w:val="18"/>
                <w:lang w:eastAsia="en-AU"/>
              </w:rPr>
              <w:t>1,655</w:t>
            </w:r>
          </w:p>
        </w:tc>
        <w:tc>
          <w:tcPr>
            <w:tcW w:w="699" w:type="dxa"/>
            <w:noWrap/>
            <w:hideMark/>
          </w:tcPr>
          <w:p w14:paraId="52F470D8" w14:textId="77777777" w:rsidR="006A3D5A" w:rsidRPr="005464B7" w:rsidRDefault="006A3D5A" w:rsidP="00055E63">
            <w:pPr>
              <w:pStyle w:val="TableText"/>
              <w:jc w:val="center"/>
              <w:rPr>
                <w:sz w:val="18"/>
                <w:szCs w:val="18"/>
                <w:lang w:eastAsia="en-AU"/>
              </w:rPr>
            </w:pPr>
            <w:r w:rsidRPr="005464B7">
              <w:rPr>
                <w:sz w:val="18"/>
                <w:szCs w:val="18"/>
                <w:lang w:eastAsia="en-AU"/>
              </w:rPr>
              <w:t>84%</w:t>
            </w:r>
          </w:p>
        </w:tc>
        <w:tc>
          <w:tcPr>
            <w:tcW w:w="699" w:type="dxa"/>
            <w:noWrap/>
            <w:hideMark/>
          </w:tcPr>
          <w:p w14:paraId="0699FEB7" w14:textId="7AC0E18C" w:rsidR="006A3D5A" w:rsidRPr="005464B7" w:rsidRDefault="006A3D5A" w:rsidP="00055E63">
            <w:pPr>
              <w:pStyle w:val="TableText"/>
              <w:jc w:val="center"/>
              <w:rPr>
                <w:sz w:val="18"/>
                <w:szCs w:val="18"/>
                <w:lang w:eastAsia="en-AU"/>
              </w:rPr>
            </w:pPr>
            <w:r w:rsidRPr="005464B7">
              <w:rPr>
                <w:sz w:val="18"/>
                <w:szCs w:val="18"/>
                <w:lang w:eastAsia="en-AU"/>
              </w:rPr>
              <w:t>2,453</w:t>
            </w:r>
          </w:p>
        </w:tc>
        <w:tc>
          <w:tcPr>
            <w:tcW w:w="700" w:type="dxa"/>
            <w:noWrap/>
            <w:hideMark/>
          </w:tcPr>
          <w:p w14:paraId="5CCD69B4" w14:textId="3565E3FA" w:rsidR="006A3D5A" w:rsidRPr="005464B7" w:rsidRDefault="006A3D5A" w:rsidP="00055E63">
            <w:pPr>
              <w:pStyle w:val="TableText"/>
              <w:jc w:val="center"/>
              <w:rPr>
                <w:sz w:val="18"/>
                <w:szCs w:val="18"/>
                <w:lang w:eastAsia="en-AU"/>
              </w:rPr>
            </w:pPr>
            <w:r w:rsidRPr="005464B7">
              <w:rPr>
                <w:sz w:val="18"/>
                <w:szCs w:val="18"/>
                <w:lang w:eastAsia="en-AU"/>
              </w:rPr>
              <w:t>1,995</w:t>
            </w:r>
          </w:p>
        </w:tc>
        <w:tc>
          <w:tcPr>
            <w:tcW w:w="699" w:type="dxa"/>
            <w:noWrap/>
            <w:hideMark/>
          </w:tcPr>
          <w:p w14:paraId="4F5CF335"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699" w:type="dxa"/>
            <w:noWrap/>
            <w:hideMark/>
          </w:tcPr>
          <w:p w14:paraId="3BEB29C5" w14:textId="15F8325F" w:rsidR="006A3D5A" w:rsidRPr="005464B7" w:rsidRDefault="006A3D5A" w:rsidP="00055E63">
            <w:pPr>
              <w:pStyle w:val="TableText"/>
              <w:jc w:val="center"/>
              <w:rPr>
                <w:sz w:val="18"/>
                <w:szCs w:val="18"/>
                <w:lang w:eastAsia="en-AU"/>
              </w:rPr>
            </w:pPr>
            <w:r w:rsidRPr="005464B7">
              <w:rPr>
                <w:sz w:val="18"/>
                <w:szCs w:val="18"/>
                <w:lang w:eastAsia="en-AU"/>
              </w:rPr>
              <w:t>5,762</w:t>
            </w:r>
          </w:p>
        </w:tc>
        <w:tc>
          <w:tcPr>
            <w:tcW w:w="699" w:type="dxa"/>
            <w:noWrap/>
            <w:hideMark/>
          </w:tcPr>
          <w:p w14:paraId="47AE4B86" w14:textId="70F6051E" w:rsidR="006A3D5A" w:rsidRPr="005464B7" w:rsidRDefault="006A3D5A" w:rsidP="00055E63">
            <w:pPr>
              <w:pStyle w:val="TableText"/>
              <w:jc w:val="center"/>
              <w:rPr>
                <w:sz w:val="18"/>
                <w:szCs w:val="18"/>
                <w:lang w:eastAsia="en-AU"/>
              </w:rPr>
            </w:pPr>
            <w:r w:rsidRPr="005464B7">
              <w:rPr>
                <w:sz w:val="18"/>
                <w:szCs w:val="18"/>
                <w:lang w:eastAsia="en-AU"/>
              </w:rPr>
              <w:t>4,603</w:t>
            </w:r>
          </w:p>
        </w:tc>
        <w:tc>
          <w:tcPr>
            <w:tcW w:w="700" w:type="dxa"/>
            <w:noWrap/>
            <w:hideMark/>
          </w:tcPr>
          <w:p w14:paraId="04942F2C" w14:textId="77777777" w:rsidR="006A3D5A" w:rsidRPr="005464B7" w:rsidRDefault="006A3D5A" w:rsidP="00055E63">
            <w:pPr>
              <w:pStyle w:val="TableText"/>
              <w:jc w:val="center"/>
              <w:rPr>
                <w:sz w:val="18"/>
                <w:szCs w:val="18"/>
                <w:lang w:eastAsia="en-AU"/>
              </w:rPr>
            </w:pPr>
            <w:r w:rsidRPr="005464B7">
              <w:rPr>
                <w:sz w:val="18"/>
                <w:szCs w:val="18"/>
                <w:lang w:eastAsia="en-AU"/>
              </w:rPr>
              <w:t>80%</w:t>
            </w:r>
          </w:p>
        </w:tc>
        <w:tc>
          <w:tcPr>
            <w:tcW w:w="699" w:type="dxa"/>
            <w:noWrap/>
            <w:hideMark/>
          </w:tcPr>
          <w:p w14:paraId="43E25625" w14:textId="70CF8660" w:rsidR="006A3D5A" w:rsidRPr="005464B7" w:rsidRDefault="006A3D5A" w:rsidP="00055E63">
            <w:pPr>
              <w:pStyle w:val="TableText"/>
              <w:jc w:val="center"/>
              <w:rPr>
                <w:sz w:val="18"/>
                <w:szCs w:val="18"/>
                <w:lang w:eastAsia="en-AU"/>
              </w:rPr>
            </w:pPr>
            <w:r w:rsidRPr="005464B7">
              <w:rPr>
                <w:sz w:val="18"/>
                <w:szCs w:val="18"/>
                <w:lang w:eastAsia="en-AU"/>
              </w:rPr>
              <w:t>7,266</w:t>
            </w:r>
          </w:p>
        </w:tc>
        <w:tc>
          <w:tcPr>
            <w:tcW w:w="699" w:type="dxa"/>
            <w:noWrap/>
            <w:hideMark/>
          </w:tcPr>
          <w:p w14:paraId="5D0F94E5" w14:textId="0639115F" w:rsidR="006A3D5A" w:rsidRPr="005464B7" w:rsidRDefault="006A3D5A" w:rsidP="00055E63">
            <w:pPr>
              <w:pStyle w:val="TableText"/>
              <w:jc w:val="center"/>
              <w:rPr>
                <w:sz w:val="18"/>
                <w:szCs w:val="18"/>
                <w:lang w:eastAsia="en-AU"/>
              </w:rPr>
            </w:pPr>
            <w:r w:rsidRPr="005464B7">
              <w:rPr>
                <w:sz w:val="18"/>
                <w:szCs w:val="18"/>
                <w:lang w:eastAsia="en-AU"/>
              </w:rPr>
              <w:t>5,877</w:t>
            </w:r>
          </w:p>
        </w:tc>
        <w:tc>
          <w:tcPr>
            <w:tcW w:w="700" w:type="dxa"/>
            <w:noWrap/>
            <w:hideMark/>
          </w:tcPr>
          <w:p w14:paraId="39CFEBA9"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1523" w:type="dxa"/>
            <w:shd w:val="clear" w:color="auto" w:fill="auto"/>
          </w:tcPr>
          <w:p w14:paraId="7595117D" w14:textId="2BDE4920" w:rsidR="006A3D5A" w:rsidRPr="005464B7" w:rsidRDefault="009261B2" w:rsidP="00055E63">
            <w:pPr>
              <w:pStyle w:val="TableText"/>
              <w:jc w:val="center"/>
              <w:rPr>
                <w:sz w:val="18"/>
                <w:szCs w:val="18"/>
                <w:lang w:eastAsia="en-AU"/>
              </w:rPr>
            </w:pPr>
            <w:r>
              <w:rPr>
                <w:sz w:val="18"/>
                <w:szCs w:val="18"/>
                <w:lang w:eastAsia="en-AU"/>
              </w:rPr>
              <w:t>No change</w:t>
            </w:r>
          </w:p>
        </w:tc>
      </w:tr>
      <w:tr w:rsidR="006A3D5A" w:rsidRPr="005464B7" w14:paraId="6A0A6610" w14:textId="42DD9A5D" w:rsidTr="00FD330A">
        <w:trPr>
          <w:cnfStyle w:val="000000010000" w:firstRow="0" w:lastRow="0" w:firstColumn="0" w:lastColumn="0" w:oddVBand="0" w:evenVBand="0" w:oddHBand="0" w:evenHBand="1" w:firstRowFirstColumn="0" w:firstRowLastColumn="0" w:lastRowFirstColumn="0" w:lastRowLastColumn="0"/>
          <w:trHeight w:val="659"/>
        </w:trPr>
        <w:tc>
          <w:tcPr>
            <w:tcW w:w="450" w:type="dxa"/>
            <w:hideMark/>
          </w:tcPr>
          <w:p w14:paraId="5A278513" w14:textId="77777777" w:rsidR="006A3D5A" w:rsidRPr="005464B7" w:rsidRDefault="006A3D5A" w:rsidP="00055E63">
            <w:pPr>
              <w:pStyle w:val="TableText"/>
              <w:rPr>
                <w:sz w:val="18"/>
                <w:szCs w:val="18"/>
                <w:lang w:eastAsia="en-AU"/>
              </w:rPr>
            </w:pPr>
            <w:r w:rsidRPr="005464B7">
              <w:rPr>
                <w:sz w:val="18"/>
                <w:szCs w:val="18"/>
                <w:lang w:eastAsia="en-AU"/>
              </w:rPr>
              <w:t>6</w:t>
            </w:r>
          </w:p>
        </w:tc>
        <w:tc>
          <w:tcPr>
            <w:tcW w:w="1955" w:type="dxa"/>
            <w:hideMark/>
          </w:tcPr>
          <w:p w14:paraId="39290DA2" w14:textId="682F62E8" w:rsidR="006A3D5A" w:rsidRPr="005464B7" w:rsidRDefault="006A3D5A" w:rsidP="00055E63">
            <w:pPr>
              <w:pStyle w:val="TableText"/>
              <w:rPr>
                <w:sz w:val="18"/>
                <w:szCs w:val="18"/>
                <w:lang w:eastAsia="en-AU"/>
              </w:rPr>
            </w:pPr>
            <w:r w:rsidRPr="005464B7">
              <w:rPr>
                <w:sz w:val="18"/>
                <w:szCs w:val="18"/>
                <w:lang w:eastAsia="en-AU"/>
              </w:rPr>
              <w:t xml:space="preserve">Percentage of residents identified as needing palliative care through the Profile assessment OR Deteriorating Resident Tool prior to death </w:t>
            </w:r>
          </w:p>
        </w:tc>
        <w:tc>
          <w:tcPr>
            <w:tcW w:w="709" w:type="dxa"/>
            <w:noWrap/>
            <w:hideMark/>
          </w:tcPr>
          <w:p w14:paraId="76FCD09F"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5BDC5C9F" w14:textId="77777777" w:rsidR="006A3D5A" w:rsidRPr="005464B7" w:rsidRDefault="006A3D5A" w:rsidP="00055E63">
            <w:pPr>
              <w:pStyle w:val="TableText"/>
              <w:jc w:val="center"/>
              <w:rPr>
                <w:sz w:val="18"/>
                <w:szCs w:val="18"/>
                <w:lang w:eastAsia="en-AU"/>
              </w:rPr>
            </w:pPr>
            <w:r w:rsidRPr="005464B7">
              <w:rPr>
                <w:sz w:val="18"/>
                <w:szCs w:val="18"/>
                <w:lang w:eastAsia="en-AU"/>
              </w:rPr>
              <w:t>39</w:t>
            </w:r>
          </w:p>
        </w:tc>
        <w:tc>
          <w:tcPr>
            <w:tcW w:w="699" w:type="dxa"/>
            <w:noWrap/>
            <w:hideMark/>
          </w:tcPr>
          <w:p w14:paraId="2FDA1927" w14:textId="77777777" w:rsidR="006A3D5A" w:rsidRPr="005464B7" w:rsidRDefault="006A3D5A" w:rsidP="00055E63">
            <w:pPr>
              <w:pStyle w:val="TableText"/>
              <w:jc w:val="center"/>
              <w:rPr>
                <w:sz w:val="18"/>
                <w:szCs w:val="18"/>
                <w:lang w:eastAsia="en-AU"/>
              </w:rPr>
            </w:pPr>
            <w:r w:rsidRPr="005464B7">
              <w:rPr>
                <w:sz w:val="18"/>
                <w:szCs w:val="18"/>
                <w:lang w:eastAsia="en-AU"/>
              </w:rPr>
              <w:t>28</w:t>
            </w:r>
          </w:p>
        </w:tc>
        <w:tc>
          <w:tcPr>
            <w:tcW w:w="699" w:type="dxa"/>
            <w:noWrap/>
            <w:hideMark/>
          </w:tcPr>
          <w:p w14:paraId="5D03BB64" w14:textId="77777777" w:rsidR="006A3D5A" w:rsidRPr="005464B7" w:rsidRDefault="006A3D5A" w:rsidP="00055E63">
            <w:pPr>
              <w:pStyle w:val="TableText"/>
              <w:jc w:val="center"/>
              <w:rPr>
                <w:sz w:val="18"/>
                <w:szCs w:val="18"/>
                <w:lang w:eastAsia="en-AU"/>
              </w:rPr>
            </w:pPr>
            <w:r w:rsidRPr="005464B7">
              <w:rPr>
                <w:sz w:val="18"/>
                <w:szCs w:val="18"/>
                <w:lang w:eastAsia="en-AU"/>
              </w:rPr>
              <w:t>72%</w:t>
            </w:r>
          </w:p>
        </w:tc>
        <w:tc>
          <w:tcPr>
            <w:tcW w:w="700" w:type="dxa"/>
            <w:noWrap/>
            <w:hideMark/>
          </w:tcPr>
          <w:p w14:paraId="7338DD71" w14:textId="77777777" w:rsidR="006A3D5A" w:rsidRPr="005464B7" w:rsidRDefault="006A3D5A" w:rsidP="00055E63">
            <w:pPr>
              <w:pStyle w:val="TableText"/>
              <w:jc w:val="center"/>
              <w:rPr>
                <w:sz w:val="18"/>
                <w:szCs w:val="18"/>
                <w:lang w:eastAsia="en-AU"/>
              </w:rPr>
            </w:pPr>
            <w:r w:rsidRPr="005464B7">
              <w:rPr>
                <w:sz w:val="18"/>
                <w:szCs w:val="18"/>
                <w:lang w:eastAsia="en-AU"/>
              </w:rPr>
              <w:t>157</w:t>
            </w:r>
          </w:p>
        </w:tc>
        <w:tc>
          <w:tcPr>
            <w:tcW w:w="699" w:type="dxa"/>
            <w:noWrap/>
            <w:hideMark/>
          </w:tcPr>
          <w:p w14:paraId="67942A64" w14:textId="77777777" w:rsidR="006A3D5A" w:rsidRPr="005464B7" w:rsidRDefault="006A3D5A" w:rsidP="00055E63">
            <w:pPr>
              <w:pStyle w:val="TableText"/>
              <w:jc w:val="center"/>
              <w:rPr>
                <w:sz w:val="18"/>
                <w:szCs w:val="18"/>
                <w:lang w:eastAsia="en-AU"/>
              </w:rPr>
            </w:pPr>
            <w:r w:rsidRPr="005464B7">
              <w:rPr>
                <w:sz w:val="18"/>
                <w:szCs w:val="18"/>
                <w:lang w:eastAsia="en-AU"/>
              </w:rPr>
              <w:t>98</w:t>
            </w:r>
          </w:p>
        </w:tc>
        <w:tc>
          <w:tcPr>
            <w:tcW w:w="699" w:type="dxa"/>
            <w:noWrap/>
            <w:hideMark/>
          </w:tcPr>
          <w:p w14:paraId="3A2B1F5C" w14:textId="77777777" w:rsidR="006A3D5A" w:rsidRPr="005464B7" w:rsidRDefault="006A3D5A" w:rsidP="00055E63">
            <w:pPr>
              <w:pStyle w:val="TableText"/>
              <w:jc w:val="center"/>
              <w:rPr>
                <w:sz w:val="18"/>
                <w:szCs w:val="18"/>
                <w:lang w:eastAsia="en-AU"/>
              </w:rPr>
            </w:pPr>
            <w:r w:rsidRPr="005464B7">
              <w:rPr>
                <w:sz w:val="18"/>
                <w:szCs w:val="18"/>
                <w:lang w:eastAsia="en-AU"/>
              </w:rPr>
              <w:t>62%</w:t>
            </w:r>
          </w:p>
        </w:tc>
        <w:tc>
          <w:tcPr>
            <w:tcW w:w="699" w:type="dxa"/>
            <w:noWrap/>
            <w:hideMark/>
          </w:tcPr>
          <w:p w14:paraId="235EEEE1" w14:textId="77777777" w:rsidR="006A3D5A" w:rsidRPr="005464B7" w:rsidRDefault="006A3D5A" w:rsidP="00055E63">
            <w:pPr>
              <w:pStyle w:val="TableText"/>
              <w:jc w:val="center"/>
              <w:rPr>
                <w:sz w:val="18"/>
                <w:szCs w:val="18"/>
                <w:lang w:eastAsia="en-AU"/>
              </w:rPr>
            </w:pPr>
            <w:r w:rsidRPr="005464B7">
              <w:rPr>
                <w:sz w:val="18"/>
                <w:szCs w:val="18"/>
                <w:lang w:eastAsia="en-AU"/>
              </w:rPr>
              <w:t>181</w:t>
            </w:r>
          </w:p>
        </w:tc>
        <w:tc>
          <w:tcPr>
            <w:tcW w:w="700" w:type="dxa"/>
            <w:noWrap/>
            <w:hideMark/>
          </w:tcPr>
          <w:p w14:paraId="0BFEFB25" w14:textId="77777777" w:rsidR="006A3D5A" w:rsidRPr="005464B7" w:rsidRDefault="006A3D5A" w:rsidP="00055E63">
            <w:pPr>
              <w:pStyle w:val="TableText"/>
              <w:jc w:val="center"/>
              <w:rPr>
                <w:sz w:val="18"/>
                <w:szCs w:val="18"/>
                <w:lang w:eastAsia="en-AU"/>
              </w:rPr>
            </w:pPr>
            <w:r w:rsidRPr="005464B7">
              <w:rPr>
                <w:sz w:val="18"/>
                <w:szCs w:val="18"/>
                <w:lang w:eastAsia="en-AU"/>
              </w:rPr>
              <w:t>121</w:t>
            </w:r>
          </w:p>
        </w:tc>
        <w:tc>
          <w:tcPr>
            <w:tcW w:w="699" w:type="dxa"/>
            <w:noWrap/>
            <w:hideMark/>
          </w:tcPr>
          <w:p w14:paraId="4FF55FE8" w14:textId="77777777" w:rsidR="006A3D5A" w:rsidRPr="005464B7" w:rsidRDefault="006A3D5A" w:rsidP="00055E63">
            <w:pPr>
              <w:pStyle w:val="TableText"/>
              <w:jc w:val="center"/>
              <w:rPr>
                <w:sz w:val="18"/>
                <w:szCs w:val="18"/>
                <w:lang w:eastAsia="en-AU"/>
              </w:rPr>
            </w:pPr>
            <w:r w:rsidRPr="005464B7">
              <w:rPr>
                <w:sz w:val="18"/>
                <w:szCs w:val="18"/>
                <w:lang w:eastAsia="en-AU"/>
              </w:rPr>
              <w:t>67%</w:t>
            </w:r>
          </w:p>
        </w:tc>
        <w:tc>
          <w:tcPr>
            <w:tcW w:w="699" w:type="dxa"/>
            <w:noWrap/>
            <w:hideMark/>
          </w:tcPr>
          <w:p w14:paraId="136D1A3B" w14:textId="77777777" w:rsidR="006A3D5A" w:rsidRPr="005464B7" w:rsidRDefault="006A3D5A" w:rsidP="00055E63">
            <w:pPr>
              <w:pStyle w:val="TableText"/>
              <w:jc w:val="center"/>
              <w:rPr>
                <w:sz w:val="18"/>
                <w:szCs w:val="18"/>
                <w:lang w:eastAsia="en-AU"/>
              </w:rPr>
            </w:pPr>
            <w:r w:rsidRPr="005464B7">
              <w:rPr>
                <w:sz w:val="18"/>
                <w:szCs w:val="18"/>
                <w:lang w:eastAsia="en-AU"/>
              </w:rPr>
              <w:t>667</w:t>
            </w:r>
          </w:p>
        </w:tc>
        <w:tc>
          <w:tcPr>
            <w:tcW w:w="699" w:type="dxa"/>
            <w:noWrap/>
            <w:hideMark/>
          </w:tcPr>
          <w:p w14:paraId="5B93FFD5" w14:textId="77777777" w:rsidR="006A3D5A" w:rsidRPr="005464B7" w:rsidRDefault="006A3D5A" w:rsidP="00055E63">
            <w:pPr>
              <w:pStyle w:val="TableText"/>
              <w:jc w:val="center"/>
              <w:rPr>
                <w:sz w:val="18"/>
                <w:szCs w:val="18"/>
                <w:lang w:eastAsia="en-AU"/>
              </w:rPr>
            </w:pPr>
            <w:r w:rsidRPr="005464B7">
              <w:rPr>
                <w:sz w:val="18"/>
                <w:szCs w:val="18"/>
                <w:lang w:eastAsia="en-AU"/>
              </w:rPr>
              <w:t>407</w:t>
            </w:r>
          </w:p>
        </w:tc>
        <w:tc>
          <w:tcPr>
            <w:tcW w:w="700" w:type="dxa"/>
            <w:noWrap/>
            <w:hideMark/>
          </w:tcPr>
          <w:p w14:paraId="57CA6346" w14:textId="77777777" w:rsidR="006A3D5A" w:rsidRPr="005464B7" w:rsidRDefault="006A3D5A" w:rsidP="00055E63">
            <w:pPr>
              <w:pStyle w:val="TableText"/>
              <w:jc w:val="center"/>
              <w:rPr>
                <w:sz w:val="18"/>
                <w:szCs w:val="18"/>
                <w:lang w:eastAsia="en-AU"/>
              </w:rPr>
            </w:pPr>
            <w:r w:rsidRPr="005464B7">
              <w:rPr>
                <w:sz w:val="18"/>
                <w:szCs w:val="18"/>
                <w:lang w:eastAsia="en-AU"/>
              </w:rPr>
              <w:t>61%</w:t>
            </w:r>
          </w:p>
        </w:tc>
        <w:tc>
          <w:tcPr>
            <w:tcW w:w="699" w:type="dxa"/>
            <w:noWrap/>
            <w:hideMark/>
          </w:tcPr>
          <w:p w14:paraId="0A4F468E" w14:textId="77777777" w:rsidR="006A3D5A" w:rsidRPr="005464B7" w:rsidRDefault="006A3D5A" w:rsidP="00055E63">
            <w:pPr>
              <w:pStyle w:val="TableText"/>
              <w:jc w:val="center"/>
              <w:rPr>
                <w:sz w:val="18"/>
                <w:szCs w:val="18"/>
                <w:lang w:eastAsia="en-AU"/>
              </w:rPr>
            </w:pPr>
            <w:r w:rsidRPr="005464B7">
              <w:rPr>
                <w:sz w:val="18"/>
                <w:szCs w:val="18"/>
                <w:lang w:eastAsia="en-AU"/>
              </w:rPr>
              <w:t>926</w:t>
            </w:r>
          </w:p>
        </w:tc>
        <w:tc>
          <w:tcPr>
            <w:tcW w:w="699" w:type="dxa"/>
            <w:noWrap/>
            <w:hideMark/>
          </w:tcPr>
          <w:p w14:paraId="1E526C10" w14:textId="77777777" w:rsidR="006A3D5A" w:rsidRPr="005464B7" w:rsidRDefault="006A3D5A" w:rsidP="00055E63">
            <w:pPr>
              <w:pStyle w:val="TableText"/>
              <w:jc w:val="center"/>
              <w:rPr>
                <w:sz w:val="18"/>
                <w:szCs w:val="18"/>
                <w:lang w:eastAsia="en-AU"/>
              </w:rPr>
            </w:pPr>
            <w:r w:rsidRPr="005464B7">
              <w:rPr>
                <w:sz w:val="18"/>
                <w:szCs w:val="18"/>
                <w:lang w:eastAsia="en-AU"/>
              </w:rPr>
              <w:t>612</w:t>
            </w:r>
          </w:p>
        </w:tc>
        <w:tc>
          <w:tcPr>
            <w:tcW w:w="700" w:type="dxa"/>
            <w:noWrap/>
            <w:hideMark/>
          </w:tcPr>
          <w:p w14:paraId="5B08574F" w14:textId="77777777" w:rsidR="006A3D5A" w:rsidRPr="005464B7" w:rsidRDefault="006A3D5A" w:rsidP="00055E63">
            <w:pPr>
              <w:pStyle w:val="TableText"/>
              <w:jc w:val="center"/>
              <w:rPr>
                <w:sz w:val="18"/>
                <w:szCs w:val="18"/>
                <w:lang w:eastAsia="en-AU"/>
              </w:rPr>
            </w:pPr>
            <w:r w:rsidRPr="005464B7">
              <w:rPr>
                <w:sz w:val="18"/>
                <w:szCs w:val="18"/>
                <w:lang w:eastAsia="en-AU"/>
              </w:rPr>
              <w:t>66%</w:t>
            </w:r>
          </w:p>
        </w:tc>
        <w:tc>
          <w:tcPr>
            <w:tcW w:w="1523" w:type="dxa"/>
          </w:tcPr>
          <w:p w14:paraId="4A77AEF6" w14:textId="6B233FA7" w:rsidR="006A3D5A" w:rsidRPr="005464B7" w:rsidRDefault="009261B2" w:rsidP="00055E63">
            <w:pPr>
              <w:pStyle w:val="TableText"/>
              <w:jc w:val="center"/>
              <w:rPr>
                <w:sz w:val="18"/>
                <w:szCs w:val="18"/>
                <w:lang w:eastAsia="en-AU"/>
              </w:rPr>
            </w:pPr>
            <w:r>
              <w:rPr>
                <w:sz w:val="18"/>
                <w:szCs w:val="18"/>
                <w:lang w:eastAsia="en-AU"/>
              </w:rPr>
              <w:t>-6</w:t>
            </w:r>
            <w:r w:rsidR="005064F8">
              <w:rPr>
                <w:sz w:val="18"/>
                <w:szCs w:val="18"/>
                <w:lang w:eastAsia="en-AU"/>
              </w:rPr>
              <w:t xml:space="preserve"> percentage points</w:t>
            </w:r>
          </w:p>
        </w:tc>
      </w:tr>
      <w:tr w:rsidR="004D1FAB" w:rsidRPr="005464B7" w14:paraId="4A39AEFF" w14:textId="4C97F375" w:rsidTr="00FD330A">
        <w:trPr>
          <w:cnfStyle w:val="000000100000" w:firstRow="0" w:lastRow="0" w:firstColumn="0" w:lastColumn="0" w:oddVBand="0" w:evenVBand="0" w:oddHBand="1" w:evenHBand="0" w:firstRowFirstColumn="0" w:firstRowLastColumn="0" w:lastRowFirstColumn="0" w:lastRowLastColumn="0"/>
          <w:trHeight w:val="442"/>
        </w:trPr>
        <w:tc>
          <w:tcPr>
            <w:tcW w:w="450" w:type="dxa"/>
            <w:hideMark/>
          </w:tcPr>
          <w:p w14:paraId="2BFA5106" w14:textId="77777777" w:rsidR="006A3D5A" w:rsidRPr="005464B7" w:rsidRDefault="006A3D5A" w:rsidP="00055E63">
            <w:pPr>
              <w:pStyle w:val="TableText"/>
              <w:rPr>
                <w:sz w:val="18"/>
                <w:szCs w:val="18"/>
                <w:lang w:eastAsia="en-AU"/>
              </w:rPr>
            </w:pPr>
            <w:r w:rsidRPr="005464B7">
              <w:rPr>
                <w:sz w:val="18"/>
                <w:szCs w:val="18"/>
                <w:lang w:eastAsia="en-AU"/>
              </w:rPr>
              <w:t>7</w:t>
            </w:r>
          </w:p>
        </w:tc>
        <w:tc>
          <w:tcPr>
            <w:tcW w:w="1955" w:type="dxa"/>
            <w:hideMark/>
          </w:tcPr>
          <w:p w14:paraId="3D032B85" w14:textId="1527C288" w:rsidR="006A3D5A" w:rsidRPr="005464B7" w:rsidRDefault="006A3D5A" w:rsidP="00055E63">
            <w:pPr>
              <w:pStyle w:val="TableText"/>
              <w:rPr>
                <w:sz w:val="18"/>
                <w:szCs w:val="18"/>
                <w:lang w:eastAsia="en-AU"/>
              </w:rPr>
            </w:pPr>
            <w:r w:rsidRPr="005464B7">
              <w:rPr>
                <w:sz w:val="18"/>
                <w:szCs w:val="18"/>
                <w:lang w:eastAsia="en-AU"/>
              </w:rPr>
              <w:t>Percentage of residents who died with an advance care plan/advance care directive in place</w:t>
            </w:r>
          </w:p>
        </w:tc>
        <w:tc>
          <w:tcPr>
            <w:tcW w:w="709" w:type="dxa"/>
            <w:noWrap/>
            <w:hideMark/>
          </w:tcPr>
          <w:p w14:paraId="3DA96D13"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27CA50FD" w14:textId="77777777" w:rsidR="006A3D5A" w:rsidRPr="005464B7" w:rsidRDefault="006A3D5A" w:rsidP="00055E63">
            <w:pPr>
              <w:pStyle w:val="TableText"/>
              <w:jc w:val="center"/>
              <w:rPr>
                <w:sz w:val="18"/>
                <w:szCs w:val="18"/>
                <w:lang w:eastAsia="en-AU"/>
              </w:rPr>
            </w:pPr>
            <w:r w:rsidRPr="005464B7">
              <w:rPr>
                <w:sz w:val="18"/>
                <w:szCs w:val="18"/>
                <w:lang w:eastAsia="en-AU"/>
              </w:rPr>
              <w:t>61</w:t>
            </w:r>
          </w:p>
        </w:tc>
        <w:tc>
          <w:tcPr>
            <w:tcW w:w="699" w:type="dxa"/>
            <w:noWrap/>
            <w:hideMark/>
          </w:tcPr>
          <w:p w14:paraId="1791C0A5" w14:textId="77777777" w:rsidR="006A3D5A" w:rsidRPr="005464B7" w:rsidRDefault="006A3D5A" w:rsidP="00055E63">
            <w:pPr>
              <w:pStyle w:val="TableText"/>
              <w:jc w:val="center"/>
              <w:rPr>
                <w:sz w:val="18"/>
                <w:szCs w:val="18"/>
                <w:lang w:eastAsia="en-AU"/>
              </w:rPr>
            </w:pPr>
            <w:r w:rsidRPr="005464B7">
              <w:rPr>
                <w:sz w:val="18"/>
                <w:szCs w:val="18"/>
                <w:lang w:eastAsia="en-AU"/>
              </w:rPr>
              <w:t>31</w:t>
            </w:r>
          </w:p>
        </w:tc>
        <w:tc>
          <w:tcPr>
            <w:tcW w:w="699" w:type="dxa"/>
            <w:noWrap/>
            <w:hideMark/>
          </w:tcPr>
          <w:p w14:paraId="4D983F66" w14:textId="77777777" w:rsidR="006A3D5A" w:rsidRPr="005464B7" w:rsidRDefault="006A3D5A" w:rsidP="00055E63">
            <w:pPr>
              <w:pStyle w:val="TableText"/>
              <w:jc w:val="center"/>
              <w:rPr>
                <w:sz w:val="18"/>
                <w:szCs w:val="18"/>
                <w:lang w:eastAsia="en-AU"/>
              </w:rPr>
            </w:pPr>
            <w:r w:rsidRPr="005464B7">
              <w:rPr>
                <w:sz w:val="18"/>
                <w:szCs w:val="18"/>
                <w:lang w:eastAsia="en-AU"/>
              </w:rPr>
              <w:t>51%</w:t>
            </w:r>
          </w:p>
        </w:tc>
        <w:tc>
          <w:tcPr>
            <w:tcW w:w="700" w:type="dxa"/>
            <w:noWrap/>
            <w:hideMark/>
          </w:tcPr>
          <w:p w14:paraId="64C51481" w14:textId="77777777" w:rsidR="006A3D5A" w:rsidRPr="005464B7" w:rsidRDefault="006A3D5A" w:rsidP="00055E63">
            <w:pPr>
              <w:pStyle w:val="TableText"/>
              <w:jc w:val="center"/>
              <w:rPr>
                <w:sz w:val="18"/>
                <w:szCs w:val="18"/>
                <w:lang w:eastAsia="en-AU"/>
              </w:rPr>
            </w:pPr>
            <w:r w:rsidRPr="005464B7">
              <w:rPr>
                <w:sz w:val="18"/>
                <w:szCs w:val="18"/>
                <w:lang w:eastAsia="en-AU"/>
              </w:rPr>
              <w:t>181</w:t>
            </w:r>
          </w:p>
        </w:tc>
        <w:tc>
          <w:tcPr>
            <w:tcW w:w="699" w:type="dxa"/>
            <w:noWrap/>
            <w:hideMark/>
          </w:tcPr>
          <w:p w14:paraId="77B07AA4" w14:textId="77777777" w:rsidR="006A3D5A" w:rsidRPr="005464B7" w:rsidRDefault="006A3D5A" w:rsidP="00055E63">
            <w:pPr>
              <w:pStyle w:val="TableText"/>
              <w:jc w:val="center"/>
              <w:rPr>
                <w:sz w:val="18"/>
                <w:szCs w:val="18"/>
                <w:lang w:eastAsia="en-AU"/>
              </w:rPr>
            </w:pPr>
            <w:r w:rsidRPr="005464B7">
              <w:rPr>
                <w:sz w:val="18"/>
                <w:szCs w:val="18"/>
                <w:lang w:eastAsia="en-AU"/>
              </w:rPr>
              <w:t>144</w:t>
            </w:r>
          </w:p>
        </w:tc>
        <w:tc>
          <w:tcPr>
            <w:tcW w:w="699" w:type="dxa"/>
            <w:noWrap/>
            <w:hideMark/>
          </w:tcPr>
          <w:p w14:paraId="485DE75B" w14:textId="77777777" w:rsidR="006A3D5A" w:rsidRPr="005464B7" w:rsidRDefault="006A3D5A" w:rsidP="00055E63">
            <w:pPr>
              <w:pStyle w:val="TableText"/>
              <w:jc w:val="center"/>
              <w:rPr>
                <w:sz w:val="18"/>
                <w:szCs w:val="18"/>
                <w:lang w:eastAsia="en-AU"/>
              </w:rPr>
            </w:pPr>
            <w:r w:rsidRPr="005464B7">
              <w:rPr>
                <w:sz w:val="18"/>
                <w:szCs w:val="18"/>
                <w:lang w:eastAsia="en-AU"/>
              </w:rPr>
              <w:t>80%</w:t>
            </w:r>
          </w:p>
        </w:tc>
        <w:tc>
          <w:tcPr>
            <w:tcW w:w="699" w:type="dxa"/>
            <w:noWrap/>
            <w:hideMark/>
          </w:tcPr>
          <w:p w14:paraId="5581589C" w14:textId="77777777" w:rsidR="006A3D5A" w:rsidRPr="005464B7" w:rsidRDefault="006A3D5A" w:rsidP="00055E63">
            <w:pPr>
              <w:pStyle w:val="TableText"/>
              <w:jc w:val="center"/>
              <w:rPr>
                <w:sz w:val="18"/>
                <w:szCs w:val="18"/>
                <w:lang w:eastAsia="en-AU"/>
              </w:rPr>
            </w:pPr>
            <w:r w:rsidRPr="005464B7">
              <w:rPr>
                <w:sz w:val="18"/>
                <w:szCs w:val="18"/>
                <w:lang w:eastAsia="en-AU"/>
              </w:rPr>
              <w:t>217</w:t>
            </w:r>
          </w:p>
        </w:tc>
        <w:tc>
          <w:tcPr>
            <w:tcW w:w="700" w:type="dxa"/>
            <w:noWrap/>
            <w:hideMark/>
          </w:tcPr>
          <w:p w14:paraId="5E314E9C" w14:textId="77777777" w:rsidR="006A3D5A" w:rsidRPr="005464B7" w:rsidRDefault="006A3D5A" w:rsidP="00055E63">
            <w:pPr>
              <w:pStyle w:val="TableText"/>
              <w:jc w:val="center"/>
              <w:rPr>
                <w:sz w:val="18"/>
                <w:szCs w:val="18"/>
                <w:lang w:eastAsia="en-AU"/>
              </w:rPr>
            </w:pPr>
            <w:r w:rsidRPr="005464B7">
              <w:rPr>
                <w:sz w:val="18"/>
                <w:szCs w:val="18"/>
                <w:lang w:eastAsia="en-AU"/>
              </w:rPr>
              <w:t>156</w:t>
            </w:r>
          </w:p>
        </w:tc>
        <w:tc>
          <w:tcPr>
            <w:tcW w:w="699" w:type="dxa"/>
            <w:noWrap/>
            <w:hideMark/>
          </w:tcPr>
          <w:p w14:paraId="24A18CC4" w14:textId="77777777" w:rsidR="006A3D5A" w:rsidRPr="005464B7" w:rsidRDefault="006A3D5A" w:rsidP="00055E63">
            <w:pPr>
              <w:pStyle w:val="TableText"/>
              <w:jc w:val="center"/>
              <w:rPr>
                <w:sz w:val="18"/>
                <w:szCs w:val="18"/>
                <w:lang w:eastAsia="en-AU"/>
              </w:rPr>
            </w:pPr>
            <w:r w:rsidRPr="005464B7">
              <w:rPr>
                <w:sz w:val="18"/>
                <w:szCs w:val="18"/>
                <w:lang w:eastAsia="en-AU"/>
              </w:rPr>
              <w:t>72%</w:t>
            </w:r>
          </w:p>
        </w:tc>
        <w:tc>
          <w:tcPr>
            <w:tcW w:w="699" w:type="dxa"/>
            <w:noWrap/>
            <w:hideMark/>
          </w:tcPr>
          <w:p w14:paraId="64A209BA" w14:textId="0C248576" w:rsidR="006A3D5A" w:rsidRPr="005464B7" w:rsidRDefault="006A3D5A" w:rsidP="00055E63">
            <w:pPr>
              <w:pStyle w:val="TableText"/>
              <w:jc w:val="center"/>
              <w:rPr>
                <w:sz w:val="18"/>
                <w:szCs w:val="18"/>
                <w:lang w:eastAsia="en-AU"/>
              </w:rPr>
            </w:pPr>
            <w:r w:rsidRPr="005464B7">
              <w:rPr>
                <w:sz w:val="18"/>
                <w:szCs w:val="18"/>
                <w:lang w:eastAsia="en-AU"/>
              </w:rPr>
              <w:t>1,098</w:t>
            </w:r>
          </w:p>
        </w:tc>
        <w:tc>
          <w:tcPr>
            <w:tcW w:w="699" w:type="dxa"/>
            <w:noWrap/>
            <w:hideMark/>
          </w:tcPr>
          <w:p w14:paraId="375C0C32" w14:textId="77777777" w:rsidR="006A3D5A" w:rsidRPr="005464B7" w:rsidRDefault="006A3D5A" w:rsidP="00055E63">
            <w:pPr>
              <w:pStyle w:val="TableText"/>
              <w:jc w:val="center"/>
              <w:rPr>
                <w:sz w:val="18"/>
                <w:szCs w:val="18"/>
                <w:lang w:eastAsia="en-AU"/>
              </w:rPr>
            </w:pPr>
            <w:r w:rsidRPr="005464B7">
              <w:rPr>
                <w:sz w:val="18"/>
                <w:szCs w:val="18"/>
                <w:lang w:eastAsia="en-AU"/>
              </w:rPr>
              <w:t>602</w:t>
            </w:r>
          </w:p>
        </w:tc>
        <w:tc>
          <w:tcPr>
            <w:tcW w:w="700" w:type="dxa"/>
            <w:noWrap/>
            <w:hideMark/>
          </w:tcPr>
          <w:p w14:paraId="614CBC05" w14:textId="77777777" w:rsidR="006A3D5A" w:rsidRPr="005464B7" w:rsidRDefault="006A3D5A" w:rsidP="00055E63">
            <w:pPr>
              <w:pStyle w:val="TableText"/>
              <w:jc w:val="center"/>
              <w:rPr>
                <w:sz w:val="18"/>
                <w:szCs w:val="18"/>
                <w:lang w:eastAsia="en-AU"/>
              </w:rPr>
            </w:pPr>
            <w:r w:rsidRPr="005464B7">
              <w:rPr>
                <w:sz w:val="18"/>
                <w:szCs w:val="18"/>
                <w:lang w:eastAsia="en-AU"/>
              </w:rPr>
              <w:t>55%</w:t>
            </w:r>
          </w:p>
        </w:tc>
        <w:tc>
          <w:tcPr>
            <w:tcW w:w="699" w:type="dxa"/>
            <w:noWrap/>
            <w:hideMark/>
          </w:tcPr>
          <w:p w14:paraId="57D5EE32" w14:textId="3A0BB21C" w:rsidR="006A3D5A" w:rsidRPr="005464B7" w:rsidRDefault="006A3D5A" w:rsidP="00055E63">
            <w:pPr>
              <w:pStyle w:val="TableText"/>
              <w:jc w:val="center"/>
              <w:rPr>
                <w:sz w:val="18"/>
                <w:szCs w:val="18"/>
                <w:lang w:eastAsia="en-AU"/>
              </w:rPr>
            </w:pPr>
            <w:r w:rsidRPr="005464B7">
              <w:rPr>
                <w:sz w:val="18"/>
                <w:szCs w:val="18"/>
                <w:lang w:eastAsia="en-AU"/>
              </w:rPr>
              <w:t>1,090</w:t>
            </w:r>
          </w:p>
        </w:tc>
        <w:tc>
          <w:tcPr>
            <w:tcW w:w="699" w:type="dxa"/>
            <w:noWrap/>
            <w:hideMark/>
          </w:tcPr>
          <w:p w14:paraId="451FE0F6" w14:textId="77777777" w:rsidR="006A3D5A" w:rsidRPr="005464B7" w:rsidRDefault="006A3D5A" w:rsidP="00055E63">
            <w:pPr>
              <w:pStyle w:val="TableText"/>
              <w:jc w:val="center"/>
              <w:rPr>
                <w:sz w:val="18"/>
                <w:szCs w:val="18"/>
                <w:lang w:eastAsia="en-AU"/>
              </w:rPr>
            </w:pPr>
            <w:r w:rsidRPr="005464B7">
              <w:rPr>
                <w:sz w:val="18"/>
                <w:szCs w:val="18"/>
                <w:lang w:eastAsia="en-AU"/>
              </w:rPr>
              <w:t>851</w:t>
            </w:r>
          </w:p>
        </w:tc>
        <w:tc>
          <w:tcPr>
            <w:tcW w:w="700" w:type="dxa"/>
            <w:noWrap/>
            <w:hideMark/>
          </w:tcPr>
          <w:p w14:paraId="73060D50" w14:textId="77777777" w:rsidR="006A3D5A" w:rsidRPr="005464B7" w:rsidRDefault="006A3D5A" w:rsidP="00055E63">
            <w:pPr>
              <w:pStyle w:val="TableText"/>
              <w:jc w:val="center"/>
              <w:rPr>
                <w:sz w:val="18"/>
                <w:szCs w:val="18"/>
                <w:lang w:eastAsia="en-AU"/>
              </w:rPr>
            </w:pPr>
            <w:r w:rsidRPr="005464B7">
              <w:rPr>
                <w:sz w:val="18"/>
                <w:szCs w:val="18"/>
                <w:lang w:eastAsia="en-AU"/>
              </w:rPr>
              <w:t>78%</w:t>
            </w:r>
          </w:p>
        </w:tc>
        <w:tc>
          <w:tcPr>
            <w:tcW w:w="1523" w:type="dxa"/>
            <w:shd w:val="clear" w:color="auto" w:fill="auto"/>
          </w:tcPr>
          <w:p w14:paraId="7C63AEF6" w14:textId="27756B5B" w:rsidR="006A3D5A" w:rsidRPr="005464B7" w:rsidRDefault="009261B2" w:rsidP="00055E63">
            <w:pPr>
              <w:pStyle w:val="TableText"/>
              <w:jc w:val="center"/>
              <w:rPr>
                <w:sz w:val="18"/>
                <w:szCs w:val="18"/>
                <w:lang w:eastAsia="en-AU"/>
              </w:rPr>
            </w:pPr>
            <w:r>
              <w:rPr>
                <w:sz w:val="18"/>
                <w:szCs w:val="18"/>
                <w:lang w:eastAsia="en-AU"/>
              </w:rPr>
              <w:t>+27</w:t>
            </w:r>
            <w:r w:rsidR="005064F8">
              <w:rPr>
                <w:sz w:val="18"/>
                <w:szCs w:val="18"/>
                <w:lang w:eastAsia="en-AU"/>
              </w:rPr>
              <w:t xml:space="preserve"> percentage points</w:t>
            </w:r>
          </w:p>
        </w:tc>
      </w:tr>
      <w:tr w:rsidR="006A3D5A" w:rsidRPr="005464B7" w14:paraId="72F0E387" w14:textId="09C0C5F7" w:rsidTr="00FD330A">
        <w:trPr>
          <w:cnfStyle w:val="000000010000" w:firstRow="0" w:lastRow="0" w:firstColumn="0" w:lastColumn="0" w:oddVBand="0" w:evenVBand="0" w:oddHBand="0" w:evenHBand="1" w:firstRowFirstColumn="0" w:firstRowLastColumn="0" w:lastRowFirstColumn="0" w:lastRowLastColumn="0"/>
          <w:trHeight w:val="371"/>
        </w:trPr>
        <w:tc>
          <w:tcPr>
            <w:tcW w:w="450" w:type="dxa"/>
            <w:hideMark/>
          </w:tcPr>
          <w:p w14:paraId="5515C4DD" w14:textId="77777777" w:rsidR="006A3D5A" w:rsidRPr="005464B7" w:rsidRDefault="006A3D5A" w:rsidP="00055E63">
            <w:pPr>
              <w:pStyle w:val="TableText"/>
              <w:rPr>
                <w:sz w:val="18"/>
                <w:szCs w:val="18"/>
                <w:lang w:eastAsia="en-AU"/>
              </w:rPr>
            </w:pPr>
            <w:r w:rsidRPr="005464B7">
              <w:rPr>
                <w:sz w:val="18"/>
                <w:szCs w:val="18"/>
                <w:lang w:eastAsia="en-AU"/>
              </w:rPr>
              <w:t>8</w:t>
            </w:r>
          </w:p>
        </w:tc>
        <w:tc>
          <w:tcPr>
            <w:tcW w:w="1955" w:type="dxa"/>
            <w:hideMark/>
          </w:tcPr>
          <w:p w14:paraId="3F2E351E" w14:textId="7CE82F2B" w:rsidR="006A3D5A" w:rsidRPr="005464B7" w:rsidRDefault="006A3D5A" w:rsidP="00055E63">
            <w:pPr>
              <w:pStyle w:val="TableText"/>
              <w:rPr>
                <w:sz w:val="18"/>
                <w:szCs w:val="18"/>
                <w:lang w:eastAsia="en-AU"/>
              </w:rPr>
            </w:pPr>
            <w:r w:rsidRPr="005464B7">
              <w:rPr>
                <w:sz w:val="18"/>
                <w:szCs w:val="18"/>
                <w:lang w:eastAsia="en-AU"/>
              </w:rPr>
              <w:t>Percentage of residents for whom palliative care (Outcomes Collection) commenced within 24 hours of identification of the need for palliative care using the Profile assessment</w:t>
            </w:r>
          </w:p>
        </w:tc>
        <w:tc>
          <w:tcPr>
            <w:tcW w:w="709" w:type="dxa"/>
            <w:noWrap/>
            <w:hideMark/>
          </w:tcPr>
          <w:p w14:paraId="6AB889C7"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448A74E1" w14:textId="77777777" w:rsidR="006A3D5A" w:rsidRPr="005464B7" w:rsidRDefault="006A3D5A" w:rsidP="00055E63">
            <w:pPr>
              <w:pStyle w:val="TableText"/>
              <w:jc w:val="center"/>
              <w:rPr>
                <w:sz w:val="18"/>
                <w:szCs w:val="18"/>
                <w:lang w:eastAsia="en-AU"/>
              </w:rPr>
            </w:pPr>
            <w:r w:rsidRPr="005464B7">
              <w:rPr>
                <w:sz w:val="18"/>
                <w:szCs w:val="18"/>
                <w:lang w:eastAsia="en-AU"/>
              </w:rPr>
              <w:t>102</w:t>
            </w:r>
          </w:p>
        </w:tc>
        <w:tc>
          <w:tcPr>
            <w:tcW w:w="699" w:type="dxa"/>
            <w:noWrap/>
            <w:hideMark/>
          </w:tcPr>
          <w:p w14:paraId="0EB2B08F"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699" w:type="dxa"/>
            <w:noWrap/>
            <w:hideMark/>
          </w:tcPr>
          <w:p w14:paraId="782C2919"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700" w:type="dxa"/>
            <w:noWrap/>
            <w:hideMark/>
          </w:tcPr>
          <w:p w14:paraId="5131AB67" w14:textId="77777777" w:rsidR="006A3D5A" w:rsidRPr="005464B7" w:rsidRDefault="006A3D5A" w:rsidP="00055E63">
            <w:pPr>
              <w:pStyle w:val="TableText"/>
              <w:jc w:val="center"/>
              <w:rPr>
                <w:sz w:val="18"/>
                <w:szCs w:val="18"/>
                <w:lang w:eastAsia="en-AU"/>
              </w:rPr>
            </w:pPr>
            <w:r w:rsidRPr="005464B7">
              <w:rPr>
                <w:sz w:val="18"/>
                <w:szCs w:val="18"/>
                <w:lang w:eastAsia="en-AU"/>
              </w:rPr>
              <w:t>369</w:t>
            </w:r>
          </w:p>
        </w:tc>
        <w:tc>
          <w:tcPr>
            <w:tcW w:w="699" w:type="dxa"/>
            <w:noWrap/>
            <w:hideMark/>
          </w:tcPr>
          <w:p w14:paraId="79896A0D" w14:textId="77777777" w:rsidR="006A3D5A" w:rsidRPr="005464B7" w:rsidRDefault="006A3D5A" w:rsidP="00055E63">
            <w:pPr>
              <w:pStyle w:val="TableText"/>
              <w:jc w:val="center"/>
              <w:rPr>
                <w:sz w:val="18"/>
                <w:szCs w:val="18"/>
                <w:lang w:eastAsia="en-AU"/>
              </w:rPr>
            </w:pPr>
            <w:r w:rsidRPr="005464B7">
              <w:rPr>
                <w:sz w:val="18"/>
                <w:szCs w:val="18"/>
                <w:lang w:eastAsia="en-AU"/>
              </w:rPr>
              <w:t>49</w:t>
            </w:r>
          </w:p>
        </w:tc>
        <w:tc>
          <w:tcPr>
            <w:tcW w:w="699" w:type="dxa"/>
            <w:noWrap/>
            <w:hideMark/>
          </w:tcPr>
          <w:p w14:paraId="27B67A8C" w14:textId="77777777" w:rsidR="006A3D5A" w:rsidRPr="005464B7" w:rsidRDefault="006A3D5A" w:rsidP="00055E63">
            <w:pPr>
              <w:pStyle w:val="TableText"/>
              <w:jc w:val="center"/>
              <w:rPr>
                <w:sz w:val="18"/>
                <w:szCs w:val="18"/>
                <w:lang w:eastAsia="en-AU"/>
              </w:rPr>
            </w:pPr>
            <w:r w:rsidRPr="005464B7">
              <w:rPr>
                <w:sz w:val="18"/>
                <w:szCs w:val="18"/>
                <w:lang w:eastAsia="en-AU"/>
              </w:rPr>
              <w:t>13%</w:t>
            </w:r>
          </w:p>
        </w:tc>
        <w:tc>
          <w:tcPr>
            <w:tcW w:w="699" w:type="dxa"/>
            <w:noWrap/>
            <w:hideMark/>
          </w:tcPr>
          <w:p w14:paraId="1E881039" w14:textId="77777777" w:rsidR="006A3D5A" w:rsidRPr="005464B7" w:rsidRDefault="006A3D5A" w:rsidP="00055E63">
            <w:pPr>
              <w:pStyle w:val="TableText"/>
              <w:jc w:val="center"/>
              <w:rPr>
                <w:sz w:val="18"/>
                <w:szCs w:val="18"/>
                <w:lang w:eastAsia="en-AU"/>
              </w:rPr>
            </w:pPr>
            <w:r w:rsidRPr="005464B7">
              <w:rPr>
                <w:sz w:val="18"/>
                <w:szCs w:val="18"/>
                <w:lang w:eastAsia="en-AU"/>
              </w:rPr>
              <w:t>328</w:t>
            </w:r>
          </w:p>
        </w:tc>
        <w:tc>
          <w:tcPr>
            <w:tcW w:w="700" w:type="dxa"/>
            <w:noWrap/>
            <w:hideMark/>
          </w:tcPr>
          <w:p w14:paraId="64E3197F" w14:textId="77777777" w:rsidR="006A3D5A" w:rsidRPr="005464B7" w:rsidRDefault="006A3D5A" w:rsidP="00055E63">
            <w:pPr>
              <w:pStyle w:val="TableText"/>
              <w:jc w:val="center"/>
              <w:rPr>
                <w:sz w:val="18"/>
                <w:szCs w:val="18"/>
                <w:lang w:eastAsia="en-AU"/>
              </w:rPr>
            </w:pPr>
            <w:r w:rsidRPr="005464B7">
              <w:rPr>
                <w:sz w:val="18"/>
                <w:szCs w:val="18"/>
                <w:lang w:eastAsia="en-AU"/>
              </w:rPr>
              <w:t>47</w:t>
            </w:r>
          </w:p>
        </w:tc>
        <w:tc>
          <w:tcPr>
            <w:tcW w:w="699" w:type="dxa"/>
            <w:noWrap/>
            <w:hideMark/>
          </w:tcPr>
          <w:p w14:paraId="7755FF37" w14:textId="77777777" w:rsidR="006A3D5A" w:rsidRPr="005464B7" w:rsidRDefault="006A3D5A" w:rsidP="00055E63">
            <w:pPr>
              <w:pStyle w:val="TableText"/>
              <w:jc w:val="center"/>
              <w:rPr>
                <w:sz w:val="18"/>
                <w:szCs w:val="18"/>
                <w:lang w:eastAsia="en-AU"/>
              </w:rPr>
            </w:pPr>
            <w:r w:rsidRPr="005464B7">
              <w:rPr>
                <w:sz w:val="18"/>
                <w:szCs w:val="18"/>
                <w:lang w:eastAsia="en-AU"/>
              </w:rPr>
              <w:t>14%</w:t>
            </w:r>
          </w:p>
        </w:tc>
        <w:tc>
          <w:tcPr>
            <w:tcW w:w="699" w:type="dxa"/>
            <w:noWrap/>
            <w:hideMark/>
          </w:tcPr>
          <w:p w14:paraId="392CD844" w14:textId="77777777" w:rsidR="006A3D5A" w:rsidRPr="005464B7" w:rsidRDefault="006A3D5A" w:rsidP="00055E63">
            <w:pPr>
              <w:pStyle w:val="TableText"/>
              <w:jc w:val="center"/>
              <w:rPr>
                <w:sz w:val="18"/>
                <w:szCs w:val="18"/>
                <w:lang w:eastAsia="en-AU"/>
              </w:rPr>
            </w:pPr>
            <w:r w:rsidRPr="005464B7">
              <w:rPr>
                <w:sz w:val="18"/>
                <w:szCs w:val="18"/>
                <w:lang w:eastAsia="en-AU"/>
              </w:rPr>
              <w:t>247</w:t>
            </w:r>
          </w:p>
        </w:tc>
        <w:tc>
          <w:tcPr>
            <w:tcW w:w="699" w:type="dxa"/>
            <w:noWrap/>
            <w:hideMark/>
          </w:tcPr>
          <w:p w14:paraId="08718924" w14:textId="77777777" w:rsidR="006A3D5A" w:rsidRPr="005464B7" w:rsidRDefault="006A3D5A" w:rsidP="00055E63">
            <w:pPr>
              <w:pStyle w:val="TableText"/>
              <w:jc w:val="center"/>
              <w:rPr>
                <w:sz w:val="18"/>
                <w:szCs w:val="18"/>
                <w:lang w:eastAsia="en-AU"/>
              </w:rPr>
            </w:pPr>
            <w:r w:rsidRPr="005464B7">
              <w:rPr>
                <w:sz w:val="18"/>
                <w:szCs w:val="18"/>
                <w:lang w:eastAsia="en-AU"/>
              </w:rPr>
              <w:t>40</w:t>
            </w:r>
          </w:p>
        </w:tc>
        <w:tc>
          <w:tcPr>
            <w:tcW w:w="700" w:type="dxa"/>
            <w:noWrap/>
            <w:hideMark/>
          </w:tcPr>
          <w:p w14:paraId="06A6D4CB" w14:textId="77777777" w:rsidR="006A3D5A" w:rsidRPr="005464B7" w:rsidRDefault="006A3D5A" w:rsidP="00055E63">
            <w:pPr>
              <w:pStyle w:val="TableText"/>
              <w:jc w:val="center"/>
              <w:rPr>
                <w:sz w:val="18"/>
                <w:szCs w:val="18"/>
                <w:lang w:eastAsia="en-AU"/>
              </w:rPr>
            </w:pPr>
            <w:r w:rsidRPr="005464B7">
              <w:rPr>
                <w:sz w:val="18"/>
                <w:szCs w:val="18"/>
                <w:lang w:eastAsia="en-AU"/>
              </w:rPr>
              <w:t>16%</w:t>
            </w:r>
          </w:p>
        </w:tc>
        <w:tc>
          <w:tcPr>
            <w:tcW w:w="699" w:type="dxa"/>
            <w:noWrap/>
            <w:hideMark/>
          </w:tcPr>
          <w:p w14:paraId="493E1163" w14:textId="77777777" w:rsidR="006A3D5A" w:rsidRPr="005464B7" w:rsidRDefault="006A3D5A" w:rsidP="00055E63">
            <w:pPr>
              <w:pStyle w:val="TableText"/>
              <w:jc w:val="center"/>
              <w:rPr>
                <w:sz w:val="18"/>
                <w:szCs w:val="18"/>
                <w:lang w:eastAsia="en-AU"/>
              </w:rPr>
            </w:pPr>
            <w:r w:rsidRPr="005464B7">
              <w:rPr>
                <w:sz w:val="18"/>
                <w:szCs w:val="18"/>
                <w:lang w:eastAsia="en-AU"/>
              </w:rPr>
              <w:t>603</w:t>
            </w:r>
          </w:p>
        </w:tc>
        <w:tc>
          <w:tcPr>
            <w:tcW w:w="699" w:type="dxa"/>
            <w:noWrap/>
            <w:hideMark/>
          </w:tcPr>
          <w:p w14:paraId="6D2DF228" w14:textId="77777777" w:rsidR="006A3D5A" w:rsidRPr="005464B7" w:rsidRDefault="006A3D5A" w:rsidP="00055E63">
            <w:pPr>
              <w:pStyle w:val="TableText"/>
              <w:jc w:val="center"/>
              <w:rPr>
                <w:sz w:val="18"/>
                <w:szCs w:val="18"/>
                <w:lang w:eastAsia="en-AU"/>
              </w:rPr>
            </w:pPr>
            <w:r w:rsidRPr="005464B7">
              <w:rPr>
                <w:sz w:val="18"/>
                <w:szCs w:val="18"/>
                <w:lang w:eastAsia="en-AU"/>
              </w:rPr>
              <w:t>67</w:t>
            </w:r>
          </w:p>
        </w:tc>
        <w:tc>
          <w:tcPr>
            <w:tcW w:w="700" w:type="dxa"/>
            <w:noWrap/>
            <w:hideMark/>
          </w:tcPr>
          <w:p w14:paraId="16AFD7A7" w14:textId="77777777" w:rsidR="006A3D5A" w:rsidRPr="005464B7" w:rsidRDefault="006A3D5A" w:rsidP="00055E63">
            <w:pPr>
              <w:pStyle w:val="TableText"/>
              <w:jc w:val="center"/>
              <w:rPr>
                <w:sz w:val="18"/>
                <w:szCs w:val="18"/>
                <w:lang w:eastAsia="en-AU"/>
              </w:rPr>
            </w:pPr>
            <w:r w:rsidRPr="005464B7">
              <w:rPr>
                <w:sz w:val="18"/>
                <w:szCs w:val="18"/>
                <w:lang w:eastAsia="en-AU"/>
              </w:rPr>
              <w:t>11%</w:t>
            </w:r>
          </w:p>
        </w:tc>
        <w:tc>
          <w:tcPr>
            <w:tcW w:w="1523" w:type="dxa"/>
          </w:tcPr>
          <w:p w14:paraId="43773E9E" w14:textId="71B5DDA9" w:rsidR="006A3D5A" w:rsidRPr="005464B7" w:rsidRDefault="009261B2" w:rsidP="00055E63">
            <w:pPr>
              <w:pStyle w:val="TableText"/>
              <w:jc w:val="center"/>
              <w:rPr>
                <w:sz w:val="18"/>
                <w:szCs w:val="18"/>
                <w:lang w:eastAsia="en-AU"/>
              </w:rPr>
            </w:pPr>
            <w:r>
              <w:rPr>
                <w:sz w:val="18"/>
                <w:szCs w:val="18"/>
                <w:lang w:eastAsia="en-AU"/>
              </w:rPr>
              <w:t>-12</w:t>
            </w:r>
            <w:r w:rsidR="005064F8">
              <w:rPr>
                <w:sz w:val="18"/>
                <w:szCs w:val="18"/>
                <w:lang w:eastAsia="en-AU"/>
              </w:rPr>
              <w:t xml:space="preserve"> percentage points</w:t>
            </w:r>
          </w:p>
        </w:tc>
      </w:tr>
      <w:tr w:rsidR="004D1FAB" w:rsidRPr="005464B7" w14:paraId="4E0FE9D2" w14:textId="3171F2AF" w:rsidTr="00FD330A">
        <w:trPr>
          <w:cnfStyle w:val="000000100000" w:firstRow="0" w:lastRow="0" w:firstColumn="0" w:lastColumn="0" w:oddVBand="0" w:evenVBand="0" w:oddHBand="1" w:evenHBand="0" w:firstRowFirstColumn="0" w:firstRowLastColumn="0" w:lastRowFirstColumn="0" w:lastRowLastColumn="0"/>
          <w:trHeight w:val="765"/>
        </w:trPr>
        <w:tc>
          <w:tcPr>
            <w:tcW w:w="450" w:type="dxa"/>
            <w:hideMark/>
          </w:tcPr>
          <w:p w14:paraId="1E55A549" w14:textId="77777777" w:rsidR="006A3D5A" w:rsidRPr="005464B7" w:rsidRDefault="006A3D5A" w:rsidP="00055E63">
            <w:pPr>
              <w:pStyle w:val="TableText"/>
              <w:rPr>
                <w:sz w:val="18"/>
                <w:szCs w:val="18"/>
                <w:lang w:eastAsia="en-AU"/>
              </w:rPr>
            </w:pPr>
            <w:r w:rsidRPr="005464B7">
              <w:rPr>
                <w:sz w:val="18"/>
                <w:szCs w:val="18"/>
                <w:lang w:eastAsia="en-AU"/>
              </w:rPr>
              <w:lastRenderedPageBreak/>
              <w:t>9</w:t>
            </w:r>
          </w:p>
        </w:tc>
        <w:tc>
          <w:tcPr>
            <w:tcW w:w="1955" w:type="dxa"/>
            <w:hideMark/>
          </w:tcPr>
          <w:p w14:paraId="56B2A315" w14:textId="77777777" w:rsidR="006A3D5A" w:rsidRPr="005464B7" w:rsidRDefault="006A3D5A" w:rsidP="00055E63">
            <w:pPr>
              <w:pStyle w:val="TableText"/>
              <w:rPr>
                <w:sz w:val="18"/>
                <w:szCs w:val="18"/>
                <w:lang w:eastAsia="en-AU"/>
              </w:rPr>
            </w:pPr>
            <w:r w:rsidRPr="005464B7">
              <w:rPr>
                <w:sz w:val="18"/>
                <w:szCs w:val="18"/>
                <w:lang w:eastAsia="en-AU"/>
              </w:rPr>
              <w:t>Percentage of residents for whom palliative care (Outcomes Collection) commenced within 24 hours of identification of the need for palliative care using the Deteriorating Resident Tool</w:t>
            </w:r>
          </w:p>
        </w:tc>
        <w:tc>
          <w:tcPr>
            <w:tcW w:w="709" w:type="dxa"/>
            <w:noWrap/>
            <w:hideMark/>
          </w:tcPr>
          <w:p w14:paraId="1E2733FF"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61028F88" w14:textId="77777777" w:rsidR="006A3D5A" w:rsidRPr="005464B7" w:rsidRDefault="006A3D5A" w:rsidP="00055E63">
            <w:pPr>
              <w:pStyle w:val="TableText"/>
              <w:jc w:val="center"/>
              <w:rPr>
                <w:sz w:val="18"/>
                <w:szCs w:val="18"/>
                <w:lang w:eastAsia="en-AU"/>
              </w:rPr>
            </w:pPr>
            <w:r w:rsidRPr="005464B7">
              <w:rPr>
                <w:sz w:val="18"/>
                <w:szCs w:val="18"/>
                <w:lang w:eastAsia="en-AU"/>
              </w:rPr>
              <w:t>45</w:t>
            </w:r>
          </w:p>
        </w:tc>
        <w:tc>
          <w:tcPr>
            <w:tcW w:w="699" w:type="dxa"/>
            <w:noWrap/>
            <w:hideMark/>
          </w:tcPr>
          <w:p w14:paraId="3A4942B4"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699" w:type="dxa"/>
            <w:noWrap/>
            <w:hideMark/>
          </w:tcPr>
          <w:p w14:paraId="2790B541" w14:textId="77777777" w:rsidR="006A3D5A" w:rsidRPr="005464B7" w:rsidRDefault="006A3D5A" w:rsidP="00055E63">
            <w:pPr>
              <w:pStyle w:val="TableText"/>
              <w:jc w:val="center"/>
              <w:rPr>
                <w:sz w:val="18"/>
                <w:szCs w:val="18"/>
                <w:lang w:eastAsia="en-AU"/>
              </w:rPr>
            </w:pPr>
            <w:r w:rsidRPr="005464B7">
              <w:rPr>
                <w:sz w:val="18"/>
                <w:szCs w:val="18"/>
                <w:lang w:eastAsia="en-AU"/>
              </w:rPr>
              <w:t>53%</w:t>
            </w:r>
          </w:p>
        </w:tc>
        <w:tc>
          <w:tcPr>
            <w:tcW w:w="700" w:type="dxa"/>
            <w:noWrap/>
            <w:hideMark/>
          </w:tcPr>
          <w:p w14:paraId="75864B7D" w14:textId="77777777" w:rsidR="006A3D5A" w:rsidRPr="005464B7" w:rsidRDefault="006A3D5A" w:rsidP="00055E63">
            <w:pPr>
              <w:pStyle w:val="TableText"/>
              <w:jc w:val="center"/>
              <w:rPr>
                <w:sz w:val="18"/>
                <w:szCs w:val="18"/>
                <w:lang w:eastAsia="en-AU"/>
              </w:rPr>
            </w:pPr>
            <w:r w:rsidRPr="005464B7">
              <w:rPr>
                <w:sz w:val="18"/>
                <w:szCs w:val="18"/>
                <w:lang w:eastAsia="en-AU"/>
              </w:rPr>
              <w:t>186</w:t>
            </w:r>
          </w:p>
        </w:tc>
        <w:tc>
          <w:tcPr>
            <w:tcW w:w="699" w:type="dxa"/>
            <w:noWrap/>
            <w:hideMark/>
          </w:tcPr>
          <w:p w14:paraId="3C0AE230" w14:textId="77777777" w:rsidR="006A3D5A" w:rsidRPr="005464B7" w:rsidRDefault="006A3D5A" w:rsidP="00055E63">
            <w:pPr>
              <w:pStyle w:val="TableText"/>
              <w:jc w:val="center"/>
              <w:rPr>
                <w:sz w:val="18"/>
                <w:szCs w:val="18"/>
                <w:lang w:eastAsia="en-AU"/>
              </w:rPr>
            </w:pPr>
            <w:r w:rsidRPr="005464B7">
              <w:rPr>
                <w:sz w:val="18"/>
                <w:szCs w:val="18"/>
                <w:lang w:eastAsia="en-AU"/>
              </w:rPr>
              <w:t>78</w:t>
            </w:r>
          </w:p>
        </w:tc>
        <w:tc>
          <w:tcPr>
            <w:tcW w:w="699" w:type="dxa"/>
            <w:noWrap/>
            <w:hideMark/>
          </w:tcPr>
          <w:p w14:paraId="089414F2" w14:textId="77777777" w:rsidR="006A3D5A" w:rsidRPr="005464B7" w:rsidRDefault="006A3D5A" w:rsidP="00055E63">
            <w:pPr>
              <w:pStyle w:val="TableText"/>
              <w:jc w:val="center"/>
              <w:rPr>
                <w:sz w:val="18"/>
                <w:szCs w:val="18"/>
                <w:lang w:eastAsia="en-AU"/>
              </w:rPr>
            </w:pPr>
            <w:r w:rsidRPr="005464B7">
              <w:rPr>
                <w:sz w:val="18"/>
                <w:szCs w:val="18"/>
                <w:lang w:eastAsia="en-AU"/>
              </w:rPr>
              <w:t>42%</w:t>
            </w:r>
          </w:p>
        </w:tc>
        <w:tc>
          <w:tcPr>
            <w:tcW w:w="699" w:type="dxa"/>
            <w:noWrap/>
            <w:hideMark/>
          </w:tcPr>
          <w:p w14:paraId="33F442A9" w14:textId="77777777" w:rsidR="006A3D5A" w:rsidRPr="005464B7" w:rsidRDefault="006A3D5A" w:rsidP="00055E63">
            <w:pPr>
              <w:pStyle w:val="TableText"/>
              <w:jc w:val="center"/>
              <w:rPr>
                <w:sz w:val="18"/>
                <w:szCs w:val="18"/>
                <w:lang w:eastAsia="en-AU"/>
              </w:rPr>
            </w:pPr>
            <w:r w:rsidRPr="005464B7">
              <w:rPr>
                <w:sz w:val="18"/>
                <w:szCs w:val="18"/>
                <w:lang w:eastAsia="en-AU"/>
              </w:rPr>
              <w:t>123</w:t>
            </w:r>
          </w:p>
        </w:tc>
        <w:tc>
          <w:tcPr>
            <w:tcW w:w="700" w:type="dxa"/>
            <w:noWrap/>
            <w:hideMark/>
          </w:tcPr>
          <w:p w14:paraId="3CAE1075" w14:textId="77777777" w:rsidR="006A3D5A" w:rsidRPr="005464B7" w:rsidRDefault="006A3D5A" w:rsidP="00055E63">
            <w:pPr>
              <w:pStyle w:val="TableText"/>
              <w:jc w:val="center"/>
              <w:rPr>
                <w:sz w:val="18"/>
                <w:szCs w:val="18"/>
                <w:lang w:eastAsia="en-AU"/>
              </w:rPr>
            </w:pPr>
            <w:r w:rsidRPr="005464B7">
              <w:rPr>
                <w:sz w:val="18"/>
                <w:szCs w:val="18"/>
                <w:lang w:eastAsia="en-AU"/>
              </w:rPr>
              <w:t>70</w:t>
            </w:r>
          </w:p>
        </w:tc>
        <w:tc>
          <w:tcPr>
            <w:tcW w:w="699" w:type="dxa"/>
            <w:noWrap/>
            <w:hideMark/>
          </w:tcPr>
          <w:p w14:paraId="7CBA21C8" w14:textId="77777777" w:rsidR="006A3D5A" w:rsidRPr="005464B7" w:rsidRDefault="006A3D5A" w:rsidP="00055E63">
            <w:pPr>
              <w:pStyle w:val="TableText"/>
              <w:jc w:val="center"/>
              <w:rPr>
                <w:sz w:val="18"/>
                <w:szCs w:val="18"/>
                <w:lang w:eastAsia="en-AU"/>
              </w:rPr>
            </w:pPr>
            <w:r w:rsidRPr="005464B7">
              <w:rPr>
                <w:sz w:val="18"/>
                <w:szCs w:val="18"/>
                <w:lang w:eastAsia="en-AU"/>
              </w:rPr>
              <w:t>57%</w:t>
            </w:r>
          </w:p>
        </w:tc>
        <w:tc>
          <w:tcPr>
            <w:tcW w:w="699" w:type="dxa"/>
            <w:noWrap/>
            <w:hideMark/>
          </w:tcPr>
          <w:p w14:paraId="0BAEE83A" w14:textId="77777777" w:rsidR="006A3D5A" w:rsidRPr="005464B7" w:rsidRDefault="006A3D5A" w:rsidP="00055E63">
            <w:pPr>
              <w:pStyle w:val="TableText"/>
              <w:jc w:val="center"/>
              <w:rPr>
                <w:sz w:val="18"/>
                <w:szCs w:val="18"/>
                <w:lang w:eastAsia="en-AU"/>
              </w:rPr>
            </w:pPr>
            <w:r w:rsidRPr="005464B7">
              <w:rPr>
                <w:sz w:val="18"/>
                <w:szCs w:val="18"/>
                <w:lang w:eastAsia="en-AU"/>
              </w:rPr>
              <w:t>239</w:t>
            </w:r>
          </w:p>
        </w:tc>
        <w:tc>
          <w:tcPr>
            <w:tcW w:w="699" w:type="dxa"/>
            <w:noWrap/>
            <w:hideMark/>
          </w:tcPr>
          <w:p w14:paraId="500FA235" w14:textId="77777777" w:rsidR="006A3D5A" w:rsidRPr="005464B7" w:rsidRDefault="006A3D5A" w:rsidP="00055E63">
            <w:pPr>
              <w:pStyle w:val="TableText"/>
              <w:jc w:val="center"/>
              <w:rPr>
                <w:sz w:val="18"/>
                <w:szCs w:val="18"/>
                <w:lang w:eastAsia="en-AU"/>
              </w:rPr>
            </w:pPr>
            <w:r w:rsidRPr="005464B7">
              <w:rPr>
                <w:sz w:val="18"/>
                <w:szCs w:val="18"/>
                <w:lang w:eastAsia="en-AU"/>
              </w:rPr>
              <w:t>110</w:t>
            </w:r>
          </w:p>
        </w:tc>
        <w:tc>
          <w:tcPr>
            <w:tcW w:w="700" w:type="dxa"/>
            <w:noWrap/>
            <w:hideMark/>
          </w:tcPr>
          <w:p w14:paraId="02CE9A62" w14:textId="77777777" w:rsidR="006A3D5A" w:rsidRPr="005464B7" w:rsidRDefault="006A3D5A" w:rsidP="00055E63">
            <w:pPr>
              <w:pStyle w:val="TableText"/>
              <w:jc w:val="center"/>
              <w:rPr>
                <w:sz w:val="18"/>
                <w:szCs w:val="18"/>
                <w:lang w:eastAsia="en-AU"/>
              </w:rPr>
            </w:pPr>
            <w:r w:rsidRPr="005464B7">
              <w:rPr>
                <w:sz w:val="18"/>
                <w:szCs w:val="18"/>
                <w:lang w:eastAsia="en-AU"/>
              </w:rPr>
              <w:t>46%</w:t>
            </w:r>
          </w:p>
        </w:tc>
        <w:tc>
          <w:tcPr>
            <w:tcW w:w="699" w:type="dxa"/>
            <w:noWrap/>
            <w:hideMark/>
          </w:tcPr>
          <w:p w14:paraId="4B054DE2" w14:textId="77777777" w:rsidR="006A3D5A" w:rsidRPr="005464B7" w:rsidRDefault="006A3D5A" w:rsidP="00055E63">
            <w:pPr>
              <w:pStyle w:val="TableText"/>
              <w:jc w:val="center"/>
              <w:rPr>
                <w:sz w:val="18"/>
                <w:szCs w:val="18"/>
                <w:lang w:eastAsia="en-AU"/>
              </w:rPr>
            </w:pPr>
            <w:r w:rsidRPr="005464B7">
              <w:rPr>
                <w:sz w:val="18"/>
                <w:szCs w:val="18"/>
                <w:lang w:eastAsia="en-AU"/>
              </w:rPr>
              <w:t>594</w:t>
            </w:r>
          </w:p>
        </w:tc>
        <w:tc>
          <w:tcPr>
            <w:tcW w:w="699" w:type="dxa"/>
            <w:noWrap/>
            <w:hideMark/>
          </w:tcPr>
          <w:p w14:paraId="2589BE5B" w14:textId="77777777" w:rsidR="006A3D5A" w:rsidRPr="005464B7" w:rsidRDefault="006A3D5A" w:rsidP="00055E63">
            <w:pPr>
              <w:pStyle w:val="TableText"/>
              <w:jc w:val="center"/>
              <w:rPr>
                <w:sz w:val="18"/>
                <w:szCs w:val="18"/>
                <w:lang w:eastAsia="en-AU"/>
              </w:rPr>
            </w:pPr>
            <w:r w:rsidRPr="005464B7">
              <w:rPr>
                <w:sz w:val="18"/>
                <w:szCs w:val="18"/>
                <w:lang w:eastAsia="en-AU"/>
              </w:rPr>
              <w:t>134</w:t>
            </w:r>
          </w:p>
        </w:tc>
        <w:tc>
          <w:tcPr>
            <w:tcW w:w="700" w:type="dxa"/>
            <w:noWrap/>
            <w:hideMark/>
          </w:tcPr>
          <w:p w14:paraId="30587F14" w14:textId="77777777" w:rsidR="006A3D5A" w:rsidRPr="005464B7" w:rsidRDefault="006A3D5A" w:rsidP="00055E63">
            <w:pPr>
              <w:pStyle w:val="TableText"/>
              <w:jc w:val="center"/>
              <w:rPr>
                <w:sz w:val="18"/>
                <w:szCs w:val="18"/>
                <w:lang w:eastAsia="en-AU"/>
              </w:rPr>
            </w:pPr>
            <w:r w:rsidRPr="005464B7">
              <w:rPr>
                <w:sz w:val="18"/>
                <w:szCs w:val="18"/>
                <w:lang w:eastAsia="en-AU"/>
              </w:rPr>
              <w:t>23%</w:t>
            </w:r>
          </w:p>
        </w:tc>
        <w:tc>
          <w:tcPr>
            <w:tcW w:w="1523" w:type="dxa"/>
            <w:shd w:val="clear" w:color="auto" w:fill="auto"/>
          </w:tcPr>
          <w:p w14:paraId="7B77E5BC" w14:textId="67A4701B" w:rsidR="006A3D5A" w:rsidRPr="005464B7" w:rsidRDefault="009261B2" w:rsidP="00055E63">
            <w:pPr>
              <w:pStyle w:val="TableText"/>
              <w:jc w:val="center"/>
              <w:rPr>
                <w:sz w:val="18"/>
                <w:szCs w:val="18"/>
                <w:lang w:eastAsia="en-AU"/>
              </w:rPr>
            </w:pPr>
            <w:r>
              <w:rPr>
                <w:sz w:val="18"/>
                <w:szCs w:val="18"/>
                <w:lang w:eastAsia="en-AU"/>
              </w:rPr>
              <w:t>-31</w:t>
            </w:r>
            <w:r w:rsidR="005064F8">
              <w:rPr>
                <w:sz w:val="18"/>
                <w:szCs w:val="18"/>
                <w:lang w:eastAsia="en-AU"/>
              </w:rPr>
              <w:t xml:space="preserve"> percentage points</w:t>
            </w:r>
          </w:p>
        </w:tc>
      </w:tr>
      <w:tr w:rsidR="006A3D5A" w:rsidRPr="005464B7" w14:paraId="7E74EE38" w14:textId="41B0BE56" w:rsidTr="00FD330A">
        <w:trPr>
          <w:cnfStyle w:val="000000010000" w:firstRow="0" w:lastRow="0" w:firstColumn="0" w:lastColumn="0" w:oddVBand="0" w:evenVBand="0" w:oddHBand="0" w:evenHBand="1" w:firstRowFirstColumn="0" w:firstRowLastColumn="0" w:lastRowFirstColumn="0" w:lastRowLastColumn="0"/>
          <w:trHeight w:val="765"/>
        </w:trPr>
        <w:tc>
          <w:tcPr>
            <w:tcW w:w="450" w:type="dxa"/>
            <w:hideMark/>
          </w:tcPr>
          <w:p w14:paraId="538A0909" w14:textId="77777777" w:rsidR="006A3D5A" w:rsidRPr="005464B7" w:rsidRDefault="006A3D5A" w:rsidP="00055E63">
            <w:pPr>
              <w:pStyle w:val="TableText"/>
              <w:rPr>
                <w:sz w:val="18"/>
                <w:szCs w:val="18"/>
                <w:lang w:eastAsia="en-AU"/>
              </w:rPr>
            </w:pPr>
            <w:r w:rsidRPr="005464B7">
              <w:rPr>
                <w:sz w:val="18"/>
                <w:szCs w:val="18"/>
                <w:lang w:eastAsia="en-AU"/>
              </w:rPr>
              <w:t>10</w:t>
            </w:r>
          </w:p>
        </w:tc>
        <w:tc>
          <w:tcPr>
            <w:tcW w:w="1955" w:type="dxa"/>
            <w:hideMark/>
          </w:tcPr>
          <w:p w14:paraId="71897FC0" w14:textId="3AABE901" w:rsidR="006A3D5A" w:rsidRPr="005464B7" w:rsidRDefault="006A3D5A" w:rsidP="00055E63">
            <w:pPr>
              <w:pStyle w:val="TableText"/>
              <w:rPr>
                <w:sz w:val="18"/>
                <w:szCs w:val="18"/>
                <w:lang w:eastAsia="en-AU"/>
              </w:rPr>
            </w:pPr>
            <w:r w:rsidRPr="005464B7">
              <w:rPr>
                <w:sz w:val="18"/>
                <w:szCs w:val="18"/>
                <w:lang w:eastAsia="en-AU"/>
              </w:rPr>
              <w:t>Percentage of residents who have moderate or severe symptom distress for any item on the daily PCOC-SAS assessment have an Outcomes FULL assessment completed within 24 hours</w:t>
            </w:r>
          </w:p>
        </w:tc>
        <w:tc>
          <w:tcPr>
            <w:tcW w:w="709" w:type="dxa"/>
            <w:noWrap/>
            <w:hideMark/>
          </w:tcPr>
          <w:p w14:paraId="42F6CEA7" w14:textId="228BC9E1" w:rsidR="006A3D5A" w:rsidRPr="005464B7" w:rsidRDefault="006A3D5A" w:rsidP="00AE4AF0">
            <w:pPr>
              <w:pStyle w:val="TableText"/>
              <w:jc w:val="center"/>
              <w:rPr>
                <w:sz w:val="18"/>
                <w:szCs w:val="18"/>
                <w:lang w:eastAsia="en-AU"/>
              </w:rPr>
            </w:pPr>
            <w:r w:rsidRPr="005464B7">
              <w:rPr>
                <w:sz w:val="18"/>
                <w:szCs w:val="18"/>
                <w:lang w:eastAsia="en-AU"/>
              </w:rPr>
              <w:t>9</w:t>
            </w:r>
            <w:r w:rsidR="00EE615A">
              <w:rPr>
                <w:sz w:val="18"/>
                <w:szCs w:val="18"/>
                <w:lang w:eastAsia="en-AU"/>
              </w:rPr>
              <w:t>I</w:t>
            </w:r>
            <w:r w:rsidRPr="005464B7">
              <w:rPr>
                <w:sz w:val="18"/>
                <w:szCs w:val="18"/>
                <w:lang w:eastAsia="en-AU"/>
              </w:rPr>
              <w:t>0%</w:t>
            </w:r>
          </w:p>
        </w:tc>
        <w:tc>
          <w:tcPr>
            <w:tcW w:w="699" w:type="dxa"/>
            <w:noWrap/>
            <w:hideMark/>
          </w:tcPr>
          <w:p w14:paraId="1162B7B6" w14:textId="77777777" w:rsidR="006A3D5A" w:rsidRPr="005464B7" w:rsidRDefault="006A3D5A" w:rsidP="00055E63">
            <w:pPr>
              <w:pStyle w:val="TableText"/>
              <w:jc w:val="center"/>
              <w:rPr>
                <w:sz w:val="18"/>
                <w:szCs w:val="18"/>
                <w:lang w:eastAsia="en-AU"/>
              </w:rPr>
            </w:pPr>
            <w:r w:rsidRPr="005464B7">
              <w:rPr>
                <w:sz w:val="18"/>
                <w:szCs w:val="18"/>
                <w:lang w:eastAsia="en-AU"/>
              </w:rPr>
              <w:t>57</w:t>
            </w:r>
          </w:p>
        </w:tc>
        <w:tc>
          <w:tcPr>
            <w:tcW w:w="699" w:type="dxa"/>
            <w:noWrap/>
            <w:hideMark/>
          </w:tcPr>
          <w:p w14:paraId="132E68D5" w14:textId="77777777" w:rsidR="006A3D5A" w:rsidRPr="005464B7" w:rsidRDefault="006A3D5A" w:rsidP="00055E63">
            <w:pPr>
              <w:pStyle w:val="TableText"/>
              <w:jc w:val="center"/>
              <w:rPr>
                <w:sz w:val="18"/>
                <w:szCs w:val="18"/>
                <w:lang w:eastAsia="en-AU"/>
              </w:rPr>
            </w:pPr>
            <w:r w:rsidRPr="005464B7">
              <w:rPr>
                <w:sz w:val="18"/>
                <w:szCs w:val="18"/>
                <w:lang w:eastAsia="en-AU"/>
              </w:rPr>
              <w:t>19</w:t>
            </w:r>
          </w:p>
        </w:tc>
        <w:tc>
          <w:tcPr>
            <w:tcW w:w="699" w:type="dxa"/>
            <w:noWrap/>
            <w:hideMark/>
          </w:tcPr>
          <w:p w14:paraId="76787131" w14:textId="77777777" w:rsidR="006A3D5A" w:rsidRPr="005464B7" w:rsidRDefault="006A3D5A" w:rsidP="00055E63">
            <w:pPr>
              <w:pStyle w:val="TableText"/>
              <w:jc w:val="center"/>
              <w:rPr>
                <w:sz w:val="18"/>
                <w:szCs w:val="18"/>
                <w:lang w:eastAsia="en-AU"/>
              </w:rPr>
            </w:pPr>
            <w:r w:rsidRPr="005464B7">
              <w:rPr>
                <w:sz w:val="18"/>
                <w:szCs w:val="18"/>
                <w:lang w:eastAsia="en-AU"/>
              </w:rPr>
              <w:t>33%</w:t>
            </w:r>
          </w:p>
        </w:tc>
        <w:tc>
          <w:tcPr>
            <w:tcW w:w="700" w:type="dxa"/>
            <w:noWrap/>
            <w:hideMark/>
          </w:tcPr>
          <w:p w14:paraId="059B5F63" w14:textId="77777777" w:rsidR="006A3D5A" w:rsidRPr="005464B7" w:rsidRDefault="006A3D5A" w:rsidP="00055E63">
            <w:pPr>
              <w:pStyle w:val="TableText"/>
              <w:jc w:val="center"/>
              <w:rPr>
                <w:sz w:val="18"/>
                <w:szCs w:val="18"/>
                <w:lang w:eastAsia="en-AU"/>
              </w:rPr>
            </w:pPr>
            <w:r w:rsidRPr="005464B7">
              <w:rPr>
                <w:sz w:val="18"/>
                <w:szCs w:val="18"/>
                <w:lang w:eastAsia="en-AU"/>
              </w:rPr>
              <w:t>464</w:t>
            </w:r>
          </w:p>
        </w:tc>
        <w:tc>
          <w:tcPr>
            <w:tcW w:w="699" w:type="dxa"/>
            <w:noWrap/>
            <w:hideMark/>
          </w:tcPr>
          <w:p w14:paraId="34A712BC" w14:textId="77777777" w:rsidR="006A3D5A" w:rsidRPr="005464B7" w:rsidRDefault="006A3D5A" w:rsidP="00055E63">
            <w:pPr>
              <w:pStyle w:val="TableText"/>
              <w:jc w:val="center"/>
              <w:rPr>
                <w:sz w:val="18"/>
                <w:szCs w:val="18"/>
                <w:lang w:eastAsia="en-AU"/>
              </w:rPr>
            </w:pPr>
            <w:r w:rsidRPr="005464B7">
              <w:rPr>
                <w:sz w:val="18"/>
                <w:szCs w:val="18"/>
                <w:lang w:eastAsia="en-AU"/>
              </w:rPr>
              <w:t>178</w:t>
            </w:r>
          </w:p>
        </w:tc>
        <w:tc>
          <w:tcPr>
            <w:tcW w:w="699" w:type="dxa"/>
            <w:noWrap/>
            <w:hideMark/>
          </w:tcPr>
          <w:p w14:paraId="088691DD" w14:textId="77777777" w:rsidR="006A3D5A" w:rsidRPr="005464B7" w:rsidRDefault="006A3D5A" w:rsidP="00055E63">
            <w:pPr>
              <w:pStyle w:val="TableText"/>
              <w:jc w:val="center"/>
              <w:rPr>
                <w:sz w:val="18"/>
                <w:szCs w:val="18"/>
                <w:lang w:eastAsia="en-AU"/>
              </w:rPr>
            </w:pPr>
            <w:r w:rsidRPr="005464B7">
              <w:rPr>
                <w:sz w:val="18"/>
                <w:szCs w:val="18"/>
                <w:lang w:eastAsia="en-AU"/>
              </w:rPr>
              <w:t>38%</w:t>
            </w:r>
          </w:p>
        </w:tc>
        <w:tc>
          <w:tcPr>
            <w:tcW w:w="699" w:type="dxa"/>
            <w:noWrap/>
            <w:hideMark/>
          </w:tcPr>
          <w:p w14:paraId="2D967D6A" w14:textId="77777777" w:rsidR="006A3D5A" w:rsidRPr="005464B7" w:rsidRDefault="006A3D5A" w:rsidP="00055E63">
            <w:pPr>
              <w:pStyle w:val="TableText"/>
              <w:jc w:val="center"/>
              <w:rPr>
                <w:sz w:val="18"/>
                <w:szCs w:val="18"/>
                <w:lang w:eastAsia="en-AU"/>
              </w:rPr>
            </w:pPr>
            <w:r w:rsidRPr="005464B7">
              <w:rPr>
                <w:sz w:val="18"/>
                <w:szCs w:val="18"/>
                <w:lang w:eastAsia="en-AU"/>
              </w:rPr>
              <w:t>529</w:t>
            </w:r>
          </w:p>
        </w:tc>
        <w:tc>
          <w:tcPr>
            <w:tcW w:w="700" w:type="dxa"/>
            <w:noWrap/>
            <w:hideMark/>
          </w:tcPr>
          <w:p w14:paraId="015612D8" w14:textId="77777777" w:rsidR="006A3D5A" w:rsidRPr="005464B7" w:rsidRDefault="006A3D5A" w:rsidP="00055E63">
            <w:pPr>
              <w:pStyle w:val="TableText"/>
              <w:jc w:val="center"/>
              <w:rPr>
                <w:sz w:val="18"/>
                <w:szCs w:val="18"/>
                <w:lang w:eastAsia="en-AU"/>
              </w:rPr>
            </w:pPr>
            <w:r w:rsidRPr="005464B7">
              <w:rPr>
                <w:sz w:val="18"/>
                <w:szCs w:val="18"/>
                <w:lang w:eastAsia="en-AU"/>
              </w:rPr>
              <w:t>70</w:t>
            </w:r>
          </w:p>
        </w:tc>
        <w:tc>
          <w:tcPr>
            <w:tcW w:w="699" w:type="dxa"/>
            <w:noWrap/>
            <w:hideMark/>
          </w:tcPr>
          <w:p w14:paraId="5E1D98F2" w14:textId="77777777" w:rsidR="006A3D5A" w:rsidRPr="005464B7" w:rsidRDefault="006A3D5A" w:rsidP="00055E63">
            <w:pPr>
              <w:pStyle w:val="TableText"/>
              <w:jc w:val="center"/>
              <w:rPr>
                <w:sz w:val="18"/>
                <w:szCs w:val="18"/>
                <w:lang w:eastAsia="en-AU"/>
              </w:rPr>
            </w:pPr>
            <w:r w:rsidRPr="005464B7">
              <w:rPr>
                <w:sz w:val="18"/>
                <w:szCs w:val="18"/>
                <w:lang w:eastAsia="en-AU"/>
              </w:rPr>
              <w:t>13%</w:t>
            </w:r>
          </w:p>
        </w:tc>
        <w:tc>
          <w:tcPr>
            <w:tcW w:w="699" w:type="dxa"/>
            <w:noWrap/>
            <w:hideMark/>
          </w:tcPr>
          <w:p w14:paraId="308169C3" w14:textId="77777777" w:rsidR="006A3D5A" w:rsidRPr="005464B7" w:rsidRDefault="006A3D5A" w:rsidP="00055E63">
            <w:pPr>
              <w:pStyle w:val="TableText"/>
              <w:jc w:val="center"/>
              <w:rPr>
                <w:sz w:val="18"/>
                <w:szCs w:val="18"/>
                <w:lang w:eastAsia="en-AU"/>
              </w:rPr>
            </w:pPr>
            <w:r w:rsidRPr="005464B7">
              <w:rPr>
                <w:sz w:val="18"/>
                <w:szCs w:val="18"/>
                <w:lang w:eastAsia="en-AU"/>
              </w:rPr>
              <w:t>935</w:t>
            </w:r>
          </w:p>
        </w:tc>
        <w:tc>
          <w:tcPr>
            <w:tcW w:w="699" w:type="dxa"/>
            <w:noWrap/>
            <w:hideMark/>
          </w:tcPr>
          <w:p w14:paraId="6FC327B7" w14:textId="77777777" w:rsidR="006A3D5A" w:rsidRPr="005464B7" w:rsidRDefault="006A3D5A" w:rsidP="00055E63">
            <w:pPr>
              <w:pStyle w:val="TableText"/>
              <w:jc w:val="center"/>
              <w:rPr>
                <w:sz w:val="18"/>
                <w:szCs w:val="18"/>
                <w:lang w:eastAsia="en-AU"/>
              </w:rPr>
            </w:pPr>
            <w:r w:rsidRPr="005464B7">
              <w:rPr>
                <w:sz w:val="18"/>
                <w:szCs w:val="18"/>
                <w:lang w:eastAsia="en-AU"/>
              </w:rPr>
              <w:t>128</w:t>
            </w:r>
          </w:p>
        </w:tc>
        <w:tc>
          <w:tcPr>
            <w:tcW w:w="700" w:type="dxa"/>
            <w:noWrap/>
            <w:hideMark/>
          </w:tcPr>
          <w:p w14:paraId="2CD79B6E" w14:textId="77777777" w:rsidR="006A3D5A" w:rsidRPr="005464B7" w:rsidRDefault="006A3D5A" w:rsidP="00055E63">
            <w:pPr>
              <w:pStyle w:val="TableText"/>
              <w:jc w:val="center"/>
              <w:rPr>
                <w:sz w:val="18"/>
                <w:szCs w:val="18"/>
                <w:lang w:eastAsia="en-AU"/>
              </w:rPr>
            </w:pPr>
            <w:r w:rsidRPr="005464B7">
              <w:rPr>
                <w:sz w:val="18"/>
                <w:szCs w:val="18"/>
                <w:lang w:eastAsia="en-AU"/>
              </w:rPr>
              <w:t>14%</w:t>
            </w:r>
          </w:p>
        </w:tc>
        <w:tc>
          <w:tcPr>
            <w:tcW w:w="699" w:type="dxa"/>
            <w:noWrap/>
            <w:hideMark/>
          </w:tcPr>
          <w:p w14:paraId="66729FDA" w14:textId="20BD381C" w:rsidR="006A3D5A" w:rsidRPr="005464B7" w:rsidRDefault="006A3D5A" w:rsidP="00055E63">
            <w:pPr>
              <w:pStyle w:val="TableText"/>
              <w:jc w:val="center"/>
              <w:rPr>
                <w:sz w:val="18"/>
                <w:szCs w:val="18"/>
                <w:lang w:eastAsia="en-AU"/>
              </w:rPr>
            </w:pPr>
            <w:r w:rsidRPr="005464B7">
              <w:rPr>
                <w:sz w:val="18"/>
                <w:szCs w:val="18"/>
                <w:lang w:eastAsia="en-AU"/>
              </w:rPr>
              <w:t>1,301</w:t>
            </w:r>
          </w:p>
        </w:tc>
        <w:tc>
          <w:tcPr>
            <w:tcW w:w="699" w:type="dxa"/>
            <w:noWrap/>
            <w:hideMark/>
          </w:tcPr>
          <w:p w14:paraId="566B66AE" w14:textId="77777777" w:rsidR="006A3D5A" w:rsidRPr="005464B7" w:rsidRDefault="006A3D5A" w:rsidP="00055E63">
            <w:pPr>
              <w:pStyle w:val="TableText"/>
              <w:jc w:val="center"/>
              <w:rPr>
                <w:sz w:val="18"/>
                <w:szCs w:val="18"/>
                <w:lang w:eastAsia="en-AU"/>
              </w:rPr>
            </w:pPr>
            <w:r w:rsidRPr="005464B7">
              <w:rPr>
                <w:sz w:val="18"/>
                <w:szCs w:val="18"/>
                <w:lang w:eastAsia="en-AU"/>
              </w:rPr>
              <w:t>110</w:t>
            </w:r>
          </w:p>
        </w:tc>
        <w:tc>
          <w:tcPr>
            <w:tcW w:w="700" w:type="dxa"/>
            <w:noWrap/>
            <w:hideMark/>
          </w:tcPr>
          <w:p w14:paraId="714EFE0B" w14:textId="77777777" w:rsidR="006A3D5A" w:rsidRPr="005464B7" w:rsidRDefault="006A3D5A" w:rsidP="00055E63">
            <w:pPr>
              <w:pStyle w:val="TableText"/>
              <w:jc w:val="center"/>
              <w:rPr>
                <w:sz w:val="18"/>
                <w:szCs w:val="18"/>
                <w:lang w:eastAsia="en-AU"/>
              </w:rPr>
            </w:pPr>
            <w:r w:rsidRPr="005464B7">
              <w:rPr>
                <w:sz w:val="18"/>
                <w:szCs w:val="18"/>
                <w:lang w:eastAsia="en-AU"/>
              </w:rPr>
              <w:t>8%</w:t>
            </w:r>
          </w:p>
        </w:tc>
        <w:tc>
          <w:tcPr>
            <w:tcW w:w="1523" w:type="dxa"/>
          </w:tcPr>
          <w:p w14:paraId="3482D36B" w14:textId="75269C14" w:rsidR="006A3D5A" w:rsidRPr="005464B7" w:rsidRDefault="009261B2" w:rsidP="00055E63">
            <w:pPr>
              <w:pStyle w:val="TableText"/>
              <w:jc w:val="center"/>
              <w:rPr>
                <w:sz w:val="18"/>
                <w:szCs w:val="18"/>
                <w:lang w:eastAsia="en-AU"/>
              </w:rPr>
            </w:pPr>
            <w:r>
              <w:rPr>
                <w:sz w:val="18"/>
                <w:szCs w:val="18"/>
                <w:lang w:eastAsia="en-AU"/>
              </w:rPr>
              <w:t>-25</w:t>
            </w:r>
            <w:r w:rsidR="005064F8">
              <w:rPr>
                <w:sz w:val="18"/>
                <w:szCs w:val="18"/>
                <w:lang w:eastAsia="en-AU"/>
              </w:rPr>
              <w:t xml:space="preserve"> percentage points</w:t>
            </w:r>
          </w:p>
        </w:tc>
      </w:tr>
      <w:tr w:rsidR="004D1FAB" w:rsidRPr="005464B7" w14:paraId="41273A9D" w14:textId="5C4F8AC5" w:rsidTr="00FD330A">
        <w:trPr>
          <w:cnfStyle w:val="000000100000" w:firstRow="0" w:lastRow="0" w:firstColumn="0" w:lastColumn="0" w:oddVBand="0" w:evenVBand="0" w:oddHBand="1" w:evenHBand="0" w:firstRowFirstColumn="0" w:firstRowLastColumn="0" w:lastRowFirstColumn="0" w:lastRowLastColumn="0"/>
          <w:trHeight w:val="620"/>
        </w:trPr>
        <w:tc>
          <w:tcPr>
            <w:tcW w:w="450" w:type="dxa"/>
            <w:hideMark/>
          </w:tcPr>
          <w:p w14:paraId="4DBC0737" w14:textId="77777777" w:rsidR="006A3D5A" w:rsidRPr="005464B7" w:rsidRDefault="006A3D5A" w:rsidP="00055E63">
            <w:pPr>
              <w:pStyle w:val="TableText"/>
              <w:rPr>
                <w:sz w:val="18"/>
                <w:szCs w:val="18"/>
                <w:lang w:eastAsia="en-AU"/>
              </w:rPr>
            </w:pPr>
            <w:r w:rsidRPr="005464B7">
              <w:rPr>
                <w:sz w:val="18"/>
                <w:szCs w:val="18"/>
                <w:lang w:eastAsia="en-AU"/>
              </w:rPr>
              <w:t>11a</w:t>
            </w:r>
          </w:p>
        </w:tc>
        <w:tc>
          <w:tcPr>
            <w:tcW w:w="1955" w:type="dxa"/>
            <w:hideMark/>
          </w:tcPr>
          <w:p w14:paraId="416DB57A" w14:textId="77777777" w:rsidR="006A3D5A" w:rsidRPr="005464B7" w:rsidRDefault="006A3D5A" w:rsidP="00055E63">
            <w:pPr>
              <w:pStyle w:val="TableText"/>
              <w:rPr>
                <w:sz w:val="18"/>
                <w:szCs w:val="18"/>
                <w:lang w:eastAsia="en-AU"/>
              </w:rPr>
            </w:pPr>
            <w:r w:rsidRPr="005464B7">
              <w:rPr>
                <w:sz w:val="18"/>
                <w:szCs w:val="18"/>
                <w:lang w:eastAsia="en-AU"/>
              </w:rPr>
              <w:t>Percentage of residents who report moderate or severe distress from pain (PCOC-SAS) will have absent or mild distress from pain within three days</w:t>
            </w:r>
          </w:p>
        </w:tc>
        <w:tc>
          <w:tcPr>
            <w:tcW w:w="709" w:type="dxa"/>
            <w:noWrap/>
            <w:hideMark/>
          </w:tcPr>
          <w:p w14:paraId="28D7E3C3" w14:textId="77777777" w:rsidR="006A3D5A" w:rsidRPr="005464B7" w:rsidRDefault="006A3D5A" w:rsidP="00AE4AF0">
            <w:pPr>
              <w:pStyle w:val="TableText"/>
              <w:jc w:val="center"/>
              <w:rPr>
                <w:sz w:val="18"/>
                <w:szCs w:val="18"/>
                <w:lang w:eastAsia="en-AU"/>
              </w:rPr>
            </w:pPr>
            <w:r w:rsidRPr="005464B7">
              <w:rPr>
                <w:sz w:val="18"/>
                <w:szCs w:val="18"/>
                <w:lang w:eastAsia="en-AU"/>
              </w:rPr>
              <w:t>60%</w:t>
            </w:r>
          </w:p>
        </w:tc>
        <w:tc>
          <w:tcPr>
            <w:tcW w:w="699" w:type="dxa"/>
            <w:noWrap/>
            <w:hideMark/>
          </w:tcPr>
          <w:p w14:paraId="7D496C87"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699" w:type="dxa"/>
            <w:noWrap/>
            <w:hideMark/>
          </w:tcPr>
          <w:p w14:paraId="04D57C32" w14:textId="77777777" w:rsidR="006A3D5A" w:rsidRPr="005464B7" w:rsidRDefault="006A3D5A" w:rsidP="00055E63">
            <w:pPr>
              <w:pStyle w:val="TableText"/>
              <w:jc w:val="center"/>
              <w:rPr>
                <w:sz w:val="18"/>
                <w:szCs w:val="18"/>
                <w:lang w:eastAsia="en-AU"/>
              </w:rPr>
            </w:pPr>
            <w:r w:rsidRPr="005464B7">
              <w:rPr>
                <w:sz w:val="18"/>
                <w:szCs w:val="18"/>
                <w:lang w:eastAsia="en-AU"/>
              </w:rPr>
              <w:t>9</w:t>
            </w:r>
          </w:p>
        </w:tc>
        <w:tc>
          <w:tcPr>
            <w:tcW w:w="699" w:type="dxa"/>
            <w:noWrap/>
            <w:hideMark/>
          </w:tcPr>
          <w:p w14:paraId="0D0A351A" w14:textId="77777777" w:rsidR="006A3D5A" w:rsidRPr="005464B7" w:rsidRDefault="006A3D5A" w:rsidP="00055E63">
            <w:pPr>
              <w:pStyle w:val="TableText"/>
              <w:jc w:val="center"/>
              <w:rPr>
                <w:sz w:val="18"/>
                <w:szCs w:val="18"/>
                <w:lang w:eastAsia="en-AU"/>
              </w:rPr>
            </w:pPr>
            <w:r w:rsidRPr="005464B7">
              <w:rPr>
                <w:sz w:val="18"/>
                <w:szCs w:val="18"/>
                <w:lang w:eastAsia="en-AU"/>
              </w:rPr>
              <w:t>38%</w:t>
            </w:r>
          </w:p>
        </w:tc>
        <w:tc>
          <w:tcPr>
            <w:tcW w:w="700" w:type="dxa"/>
            <w:noWrap/>
            <w:hideMark/>
          </w:tcPr>
          <w:p w14:paraId="5BA3DCFE" w14:textId="77777777" w:rsidR="006A3D5A" w:rsidRPr="005464B7" w:rsidRDefault="006A3D5A" w:rsidP="00055E63">
            <w:pPr>
              <w:pStyle w:val="TableText"/>
              <w:jc w:val="center"/>
              <w:rPr>
                <w:sz w:val="18"/>
                <w:szCs w:val="18"/>
                <w:lang w:eastAsia="en-AU"/>
              </w:rPr>
            </w:pPr>
            <w:r w:rsidRPr="005464B7">
              <w:rPr>
                <w:sz w:val="18"/>
                <w:szCs w:val="18"/>
                <w:lang w:eastAsia="en-AU"/>
              </w:rPr>
              <w:t>266</w:t>
            </w:r>
          </w:p>
        </w:tc>
        <w:tc>
          <w:tcPr>
            <w:tcW w:w="699" w:type="dxa"/>
            <w:noWrap/>
            <w:hideMark/>
          </w:tcPr>
          <w:p w14:paraId="3861DF1B" w14:textId="77777777" w:rsidR="006A3D5A" w:rsidRPr="005464B7" w:rsidRDefault="006A3D5A" w:rsidP="00055E63">
            <w:pPr>
              <w:pStyle w:val="TableText"/>
              <w:jc w:val="center"/>
              <w:rPr>
                <w:sz w:val="18"/>
                <w:szCs w:val="18"/>
                <w:lang w:eastAsia="en-AU"/>
              </w:rPr>
            </w:pPr>
            <w:r w:rsidRPr="005464B7">
              <w:rPr>
                <w:sz w:val="18"/>
                <w:szCs w:val="18"/>
                <w:lang w:eastAsia="en-AU"/>
              </w:rPr>
              <w:t>191</w:t>
            </w:r>
          </w:p>
        </w:tc>
        <w:tc>
          <w:tcPr>
            <w:tcW w:w="699" w:type="dxa"/>
            <w:noWrap/>
            <w:hideMark/>
          </w:tcPr>
          <w:p w14:paraId="1DB8D8B1" w14:textId="77777777" w:rsidR="006A3D5A" w:rsidRPr="005464B7" w:rsidRDefault="006A3D5A" w:rsidP="00055E63">
            <w:pPr>
              <w:pStyle w:val="TableText"/>
              <w:jc w:val="center"/>
              <w:rPr>
                <w:sz w:val="18"/>
                <w:szCs w:val="18"/>
                <w:lang w:eastAsia="en-AU"/>
              </w:rPr>
            </w:pPr>
            <w:r w:rsidRPr="005464B7">
              <w:rPr>
                <w:sz w:val="18"/>
                <w:szCs w:val="18"/>
                <w:lang w:eastAsia="en-AU"/>
              </w:rPr>
              <w:t>72%</w:t>
            </w:r>
          </w:p>
        </w:tc>
        <w:tc>
          <w:tcPr>
            <w:tcW w:w="699" w:type="dxa"/>
            <w:noWrap/>
            <w:hideMark/>
          </w:tcPr>
          <w:p w14:paraId="575DB586" w14:textId="77777777" w:rsidR="006A3D5A" w:rsidRPr="005464B7" w:rsidRDefault="006A3D5A" w:rsidP="00055E63">
            <w:pPr>
              <w:pStyle w:val="TableText"/>
              <w:jc w:val="center"/>
              <w:rPr>
                <w:sz w:val="18"/>
                <w:szCs w:val="18"/>
                <w:lang w:eastAsia="en-AU"/>
              </w:rPr>
            </w:pPr>
            <w:r w:rsidRPr="005464B7">
              <w:rPr>
                <w:sz w:val="18"/>
                <w:szCs w:val="18"/>
                <w:lang w:eastAsia="en-AU"/>
              </w:rPr>
              <w:t>180</w:t>
            </w:r>
          </w:p>
        </w:tc>
        <w:tc>
          <w:tcPr>
            <w:tcW w:w="700" w:type="dxa"/>
            <w:noWrap/>
            <w:hideMark/>
          </w:tcPr>
          <w:p w14:paraId="4109AA80" w14:textId="77777777" w:rsidR="006A3D5A" w:rsidRPr="005464B7" w:rsidRDefault="006A3D5A" w:rsidP="00055E63">
            <w:pPr>
              <w:pStyle w:val="TableText"/>
              <w:jc w:val="center"/>
              <w:rPr>
                <w:sz w:val="18"/>
                <w:szCs w:val="18"/>
                <w:lang w:eastAsia="en-AU"/>
              </w:rPr>
            </w:pPr>
            <w:r w:rsidRPr="005464B7">
              <w:rPr>
                <w:sz w:val="18"/>
                <w:szCs w:val="18"/>
                <w:lang w:eastAsia="en-AU"/>
              </w:rPr>
              <w:t>117</w:t>
            </w:r>
          </w:p>
        </w:tc>
        <w:tc>
          <w:tcPr>
            <w:tcW w:w="699" w:type="dxa"/>
            <w:noWrap/>
            <w:hideMark/>
          </w:tcPr>
          <w:p w14:paraId="2ADEBBA8" w14:textId="77777777" w:rsidR="006A3D5A" w:rsidRPr="005464B7" w:rsidRDefault="006A3D5A" w:rsidP="00055E63">
            <w:pPr>
              <w:pStyle w:val="TableText"/>
              <w:jc w:val="center"/>
              <w:rPr>
                <w:sz w:val="18"/>
                <w:szCs w:val="18"/>
                <w:lang w:eastAsia="en-AU"/>
              </w:rPr>
            </w:pPr>
            <w:r w:rsidRPr="005464B7">
              <w:rPr>
                <w:sz w:val="18"/>
                <w:szCs w:val="18"/>
                <w:lang w:eastAsia="en-AU"/>
              </w:rPr>
              <w:t>65%</w:t>
            </w:r>
          </w:p>
        </w:tc>
        <w:tc>
          <w:tcPr>
            <w:tcW w:w="699" w:type="dxa"/>
            <w:noWrap/>
            <w:hideMark/>
          </w:tcPr>
          <w:p w14:paraId="3DD1D6A0" w14:textId="77777777" w:rsidR="006A3D5A" w:rsidRPr="005464B7" w:rsidRDefault="006A3D5A" w:rsidP="00055E63">
            <w:pPr>
              <w:pStyle w:val="TableText"/>
              <w:jc w:val="center"/>
              <w:rPr>
                <w:sz w:val="18"/>
                <w:szCs w:val="18"/>
                <w:lang w:eastAsia="en-AU"/>
              </w:rPr>
            </w:pPr>
            <w:r w:rsidRPr="005464B7">
              <w:rPr>
                <w:sz w:val="18"/>
                <w:szCs w:val="18"/>
                <w:lang w:eastAsia="en-AU"/>
              </w:rPr>
              <w:t>190</w:t>
            </w:r>
          </w:p>
        </w:tc>
        <w:tc>
          <w:tcPr>
            <w:tcW w:w="699" w:type="dxa"/>
            <w:noWrap/>
            <w:hideMark/>
          </w:tcPr>
          <w:p w14:paraId="3623939D" w14:textId="77777777" w:rsidR="006A3D5A" w:rsidRPr="005464B7" w:rsidRDefault="006A3D5A" w:rsidP="00055E63">
            <w:pPr>
              <w:pStyle w:val="TableText"/>
              <w:jc w:val="center"/>
              <w:rPr>
                <w:sz w:val="18"/>
                <w:szCs w:val="18"/>
                <w:lang w:eastAsia="en-AU"/>
              </w:rPr>
            </w:pPr>
            <w:r w:rsidRPr="005464B7">
              <w:rPr>
                <w:sz w:val="18"/>
                <w:szCs w:val="18"/>
                <w:lang w:eastAsia="en-AU"/>
              </w:rPr>
              <w:t>121</w:t>
            </w:r>
          </w:p>
        </w:tc>
        <w:tc>
          <w:tcPr>
            <w:tcW w:w="700" w:type="dxa"/>
            <w:noWrap/>
            <w:hideMark/>
          </w:tcPr>
          <w:p w14:paraId="0DE2BF8F" w14:textId="77777777" w:rsidR="006A3D5A" w:rsidRPr="005464B7" w:rsidRDefault="006A3D5A" w:rsidP="00055E63">
            <w:pPr>
              <w:pStyle w:val="TableText"/>
              <w:jc w:val="center"/>
              <w:rPr>
                <w:sz w:val="18"/>
                <w:szCs w:val="18"/>
                <w:lang w:eastAsia="en-AU"/>
              </w:rPr>
            </w:pPr>
            <w:r w:rsidRPr="005464B7">
              <w:rPr>
                <w:sz w:val="18"/>
                <w:szCs w:val="18"/>
                <w:lang w:eastAsia="en-AU"/>
              </w:rPr>
              <w:t>64%</w:t>
            </w:r>
          </w:p>
        </w:tc>
        <w:tc>
          <w:tcPr>
            <w:tcW w:w="699" w:type="dxa"/>
            <w:noWrap/>
            <w:hideMark/>
          </w:tcPr>
          <w:p w14:paraId="4EDB9C67" w14:textId="77777777" w:rsidR="006A3D5A" w:rsidRPr="005464B7" w:rsidRDefault="006A3D5A" w:rsidP="00055E63">
            <w:pPr>
              <w:pStyle w:val="TableText"/>
              <w:jc w:val="center"/>
              <w:rPr>
                <w:sz w:val="18"/>
                <w:szCs w:val="18"/>
                <w:lang w:eastAsia="en-AU"/>
              </w:rPr>
            </w:pPr>
            <w:r w:rsidRPr="005464B7">
              <w:rPr>
                <w:sz w:val="18"/>
                <w:szCs w:val="18"/>
                <w:lang w:eastAsia="en-AU"/>
              </w:rPr>
              <w:t>396</w:t>
            </w:r>
          </w:p>
        </w:tc>
        <w:tc>
          <w:tcPr>
            <w:tcW w:w="699" w:type="dxa"/>
            <w:noWrap/>
            <w:hideMark/>
          </w:tcPr>
          <w:p w14:paraId="5A0BF1E2" w14:textId="77777777" w:rsidR="006A3D5A" w:rsidRPr="005464B7" w:rsidRDefault="006A3D5A" w:rsidP="00055E63">
            <w:pPr>
              <w:pStyle w:val="TableText"/>
              <w:jc w:val="center"/>
              <w:rPr>
                <w:sz w:val="18"/>
                <w:szCs w:val="18"/>
                <w:lang w:eastAsia="en-AU"/>
              </w:rPr>
            </w:pPr>
            <w:r w:rsidRPr="005464B7">
              <w:rPr>
                <w:sz w:val="18"/>
                <w:szCs w:val="18"/>
                <w:lang w:eastAsia="en-AU"/>
              </w:rPr>
              <w:t>321</w:t>
            </w:r>
          </w:p>
        </w:tc>
        <w:tc>
          <w:tcPr>
            <w:tcW w:w="700" w:type="dxa"/>
            <w:noWrap/>
            <w:hideMark/>
          </w:tcPr>
          <w:p w14:paraId="174B5C79"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1523" w:type="dxa"/>
            <w:shd w:val="clear" w:color="auto" w:fill="auto"/>
          </w:tcPr>
          <w:p w14:paraId="728B8B4B" w14:textId="57F9E5E1" w:rsidR="006A3D5A" w:rsidRPr="005464B7" w:rsidRDefault="00AE4AF0" w:rsidP="00055E63">
            <w:pPr>
              <w:pStyle w:val="TableText"/>
              <w:jc w:val="center"/>
              <w:rPr>
                <w:sz w:val="18"/>
                <w:szCs w:val="18"/>
                <w:lang w:eastAsia="en-AU"/>
              </w:rPr>
            </w:pPr>
            <w:r>
              <w:rPr>
                <w:sz w:val="18"/>
                <w:szCs w:val="18"/>
                <w:lang w:eastAsia="en-AU"/>
              </w:rPr>
              <w:t>+44</w:t>
            </w:r>
            <w:r w:rsidR="005064F8">
              <w:rPr>
                <w:sz w:val="18"/>
                <w:szCs w:val="18"/>
                <w:lang w:eastAsia="en-AU"/>
              </w:rPr>
              <w:t xml:space="preserve"> percentage points</w:t>
            </w:r>
          </w:p>
        </w:tc>
      </w:tr>
      <w:tr w:rsidR="006A3D5A" w:rsidRPr="005464B7" w14:paraId="37C52154" w14:textId="4C171D36" w:rsidTr="00FD330A">
        <w:trPr>
          <w:cnfStyle w:val="000000010000" w:firstRow="0" w:lastRow="0" w:firstColumn="0" w:lastColumn="0" w:oddVBand="0" w:evenVBand="0" w:oddHBand="0" w:evenHBand="1" w:firstRowFirstColumn="0" w:firstRowLastColumn="0" w:lastRowFirstColumn="0" w:lastRowLastColumn="0"/>
          <w:trHeight w:val="531"/>
        </w:trPr>
        <w:tc>
          <w:tcPr>
            <w:tcW w:w="450" w:type="dxa"/>
            <w:hideMark/>
          </w:tcPr>
          <w:p w14:paraId="19007CC4" w14:textId="77777777" w:rsidR="006A3D5A" w:rsidRPr="005464B7" w:rsidRDefault="006A3D5A" w:rsidP="00055E63">
            <w:pPr>
              <w:pStyle w:val="TableText"/>
              <w:rPr>
                <w:sz w:val="18"/>
                <w:szCs w:val="18"/>
                <w:lang w:eastAsia="en-AU"/>
              </w:rPr>
            </w:pPr>
            <w:r w:rsidRPr="005464B7">
              <w:rPr>
                <w:sz w:val="18"/>
                <w:szCs w:val="18"/>
                <w:lang w:eastAsia="en-AU"/>
              </w:rPr>
              <w:t>11b</w:t>
            </w:r>
          </w:p>
        </w:tc>
        <w:tc>
          <w:tcPr>
            <w:tcW w:w="1955" w:type="dxa"/>
            <w:hideMark/>
          </w:tcPr>
          <w:p w14:paraId="42BF3BFA" w14:textId="77777777" w:rsidR="006A3D5A" w:rsidRPr="005464B7" w:rsidRDefault="006A3D5A" w:rsidP="00055E63">
            <w:pPr>
              <w:pStyle w:val="TableText"/>
              <w:rPr>
                <w:sz w:val="18"/>
                <w:szCs w:val="18"/>
                <w:lang w:eastAsia="en-AU"/>
              </w:rPr>
            </w:pPr>
            <w:r w:rsidRPr="005464B7">
              <w:rPr>
                <w:sz w:val="18"/>
                <w:szCs w:val="18"/>
                <w:lang w:eastAsia="en-AU"/>
              </w:rPr>
              <w:t>Percentage of residents in the Outcomes Collection who predominantly had absent or mild distress PCOC-SAS score for pain during the reporting period</w:t>
            </w:r>
          </w:p>
        </w:tc>
        <w:tc>
          <w:tcPr>
            <w:tcW w:w="709" w:type="dxa"/>
            <w:noWrap/>
            <w:hideMark/>
          </w:tcPr>
          <w:p w14:paraId="3D6CB851" w14:textId="77777777" w:rsidR="006A3D5A" w:rsidRPr="005464B7" w:rsidRDefault="006A3D5A" w:rsidP="00AE4AF0">
            <w:pPr>
              <w:pStyle w:val="TableText"/>
              <w:jc w:val="center"/>
              <w:rPr>
                <w:sz w:val="18"/>
                <w:szCs w:val="18"/>
                <w:lang w:eastAsia="en-AU"/>
              </w:rPr>
            </w:pPr>
            <w:r w:rsidRPr="005464B7">
              <w:rPr>
                <w:sz w:val="18"/>
                <w:szCs w:val="18"/>
                <w:lang w:eastAsia="en-AU"/>
              </w:rPr>
              <w:t>60%</w:t>
            </w:r>
          </w:p>
        </w:tc>
        <w:tc>
          <w:tcPr>
            <w:tcW w:w="699" w:type="dxa"/>
            <w:noWrap/>
            <w:hideMark/>
          </w:tcPr>
          <w:p w14:paraId="0EE7D4BE" w14:textId="77777777" w:rsidR="006A3D5A" w:rsidRPr="005464B7" w:rsidRDefault="006A3D5A" w:rsidP="00055E63">
            <w:pPr>
              <w:pStyle w:val="TableText"/>
              <w:jc w:val="center"/>
              <w:rPr>
                <w:sz w:val="18"/>
                <w:szCs w:val="18"/>
                <w:lang w:eastAsia="en-AU"/>
              </w:rPr>
            </w:pPr>
            <w:r w:rsidRPr="005464B7">
              <w:rPr>
                <w:sz w:val="18"/>
                <w:szCs w:val="18"/>
                <w:lang w:eastAsia="en-AU"/>
              </w:rPr>
              <w:t>109</w:t>
            </w:r>
          </w:p>
        </w:tc>
        <w:tc>
          <w:tcPr>
            <w:tcW w:w="699" w:type="dxa"/>
            <w:noWrap/>
            <w:hideMark/>
          </w:tcPr>
          <w:p w14:paraId="6ED94447" w14:textId="77777777" w:rsidR="006A3D5A" w:rsidRPr="005464B7" w:rsidRDefault="006A3D5A" w:rsidP="00055E63">
            <w:pPr>
              <w:pStyle w:val="TableText"/>
              <w:jc w:val="center"/>
              <w:rPr>
                <w:sz w:val="18"/>
                <w:szCs w:val="18"/>
                <w:lang w:eastAsia="en-AU"/>
              </w:rPr>
            </w:pPr>
            <w:r w:rsidRPr="005464B7">
              <w:rPr>
                <w:sz w:val="18"/>
                <w:szCs w:val="18"/>
                <w:lang w:eastAsia="en-AU"/>
              </w:rPr>
              <w:t>&lt;5</w:t>
            </w:r>
          </w:p>
        </w:tc>
        <w:tc>
          <w:tcPr>
            <w:tcW w:w="699" w:type="dxa"/>
            <w:noWrap/>
            <w:hideMark/>
          </w:tcPr>
          <w:p w14:paraId="201D4E08" w14:textId="24629C57" w:rsidR="006A3D5A" w:rsidRPr="005464B7" w:rsidRDefault="006A3D5A" w:rsidP="00055E63">
            <w:pPr>
              <w:pStyle w:val="TableText"/>
              <w:jc w:val="center"/>
              <w:rPr>
                <w:sz w:val="18"/>
                <w:szCs w:val="18"/>
                <w:lang w:eastAsia="en-AU"/>
              </w:rPr>
            </w:pPr>
          </w:p>
        </w:tc>
        <w:tc>
          <w:tcPr>
            <w:tcW w:w="700" w:type="dxa"/>
            <w:noWrap/>
            <w:hideMark/>
          </w:tcPr>
          <w:p w14:paraId="1F4754A9" w14:textId="77777777" w:rsidR="006A3D5A" w:rsidRPr="005464B7" w:rsidRDefault="006A3D5A" w:rsidP="00055E63">
            <w:pPr>
              <w:pStyle w:val="TableText"/>
              <w:jc w:val="center"/>
              <w:rPr>
                <w:sz w:val="18"/>
                <w:szCs w:val="18"/>
                <w:lang w:eastAsia="en-AU"/>
              </w:rPr>
            </w:pPr>
            <w:r w:rsidRPr="005464B7">
              <w:rPr>
                <w:sz w:val="18"/>
                <w:szCs w:val="18"/>
                <w:lang w:eastAsia="en-AU"/>
              </w:rPr>
              <w:t>258</w:t>
            </w:r>
          </w:p>
        </w:tc>
        <w:tc>
          <w:tcPr>
            <w:tcW w:w="699" w:type="dxa"/>
            <w:noWrap/>
            <w:hideMark/>
          </w:tcPr>
          <w:p w14:paraId="0E87A360" w14:textId="77777777" w:rsidR="006A3D5A" w:rsidRPr="005464B7" w:rsidRDefault="006A3D5A" w:rsidP="00055E63">
            <w:pPr>
              <w:pStyle w:val="TableText"/>
              <w:jc w:val="center"/>
              <w:rPr>
                <w:sz w:val="18"/>
                <w:szCs w:val="18"/>
                <w:lang w:eastAsia="en-AU"/>
              </w:rPr>
            </w:pPr>
            <w:r w:rsidRPr="005464B7">
              <w:rPr>
                <w:sz w:val="18"/>
                <w:szCs w:val="18"/>
                <w:lang w:eastAsia="en-AU"/>
              </w:rPr>
              <w:t>27</w:t>
            </w:r>
          </w:p>
        </w:tc>
        <w:tc>
          <w:tcPr>
            <w:tcW w:w="699" w:type="dxa"/>
            <w:noWrap/>
            <w:hideMark/>
          </w:tcPr>
          <w:p w14:paraId="04935466" w14:textId="77777777" w:rsidR="006A3D5A" w:rsidRPr="005464B7" w:rsidRDefault="006A3D5A" w:rsidP="00055E63">
            <w:pPr>
              <w:pStyle w:val="TableText"/>
              <w:jc w:val="center"/>
              <w:rPr>
                <w:sz w:val="18"/>
                <w:szCs w:val="18"/>
                <w:lang w:eastAsia="en-AU"/>
              </w:rPr>
            </w:pPr>
            <w:r w:rsidRPr="005464B7">
              <w:rPr>
                <w:sz w:val="18"/>
                <w:szCs w:val="18"/>
                <w:lang w:eastAsia="en-AU"/>
              </w:rPr>
              <w:t>10%</w:t>
            </w:r>
          </w:p>
        </w:tc>
        <w:tc>
          <w:tcPr>
            <w:tcW w:w="699" w:type="dxa"/>
            <w:noWrap/>
            <w:hideMark/>
          </w:tcPr>
          <w:p w14:paraId="23197B36" w14:textId="77777777" w:rsidR="006A3D5A" w:rsidRPr="005464B7" w:rsidRDefault="006A3D5A" w:rsidP="00055E63">
            <w:pPr>
              <w:pStyle w:val="TableText"/>
              <w:jc w:val="center"/>
              <w:rPr>
                <w:sz w:val="18"/>
                <w:szCs w:val="18"/>
                <w:lang w:eastAsia="en-AU"/>
              </w:rPr>
            </w:pPr>
            <w:r w:rsidRPr="005464B7">
              <w:rPr>
                <w:sz w:val="18"/>
                <w:szCs w:val="18"/>
                <w:lang w:eastAsia="en-AU"/>
              </w:rPr>
              <w:t>393</w:t>
            </w:r>
          </w:p>
        </w:tc>
        <w:tc>
          <w:tcPr>
            <w:tcW w:w="700" w:type="dxa"/>
            <w:noWrap/>
            <w:hideMark/>
          </w:tcPr>
          <w:p w14:paraId="23989C43" w14:textId="77777777" w:rsidR="006A3D5A" w:rsidRPr="005464B7" w:rsidRDefault="006A3D5A" w:rsidP="00055E63">
            <w:pPr>
              <w:pStyle w:val="TableText"/>
              <w:jc w:val="center"/>
              <w:rPr>
                <w:sz w:val="18"/>
                <w:szCs w:val="18"/>
                <w:lang w:eastAsia="en-AU"/>
              </w:rPr>
            </w:pPr>
            <w:r w:rsidRPr="005464B7">
              <w:rPr>
                <w:sz w:val="18"/>
                <w:szCs w:val="18"/>
                <w:lang w:eastAsia="en-AU"/>
              </w:rPr>
              <w:t>49</w:t>
            </w:r>
          </w:p>
        </w:tc>
        <w:tc>
          <w:tcPr>
            <w:tcW w:w="699" w:type="dxa"/>
            <w:noWrap/>
            <w:hideMark/>
          </w:tcPr>
          <w:p w14:paraId="30AF816B" w14:textId="77777777" w:rsidR="006A3D5A" w:rsidRPr="005464B7" w:rsidRDefault="006A3D5A" w:rsidP="00055E63">
            <w:pPr>
              <w:pStyle w:val="TableText"/>
              <w:jc w:val="center"/>
              <w:rPr>
                <w:sz w:val="18"/>
                <w:szCs w:val="18"/>
                <w:lang w:eastAsia="en-AU"/>
              </w:rPr>
            </w:pPr>
            <w:r w:rsidRPr="005464B7">
              <w:rPr>
                <w:sz w:val="18"/>
                <w:szCs w:val="18"/>
                <w:lang w:eastAsia="en-AU"/>
              </w:rPr>
              <w:t>12%</w:t>
            </w:r>
          </w:p>
        </w:tc>
        <w:tc>
          <w:tcPr>
            <w:tcW w:w="699" w:type="dxa"/>
            <w:noWrap/>
            <w:hideMark/>
          </w:tcPr>
          <w:p w14:paraId="5804BFDC" w14:textId="77777777" w:rsidR="006A3D5A" w:rsidRPr="005464B7" w:rsidRDefault="006A3D5A" w:rsidP="00055E63">
            <w:pPr>
              <w:pStyle w:val="TableText"/>
              <w:jc w:val="center"/>
              <w:rPr>
                <w:sz w:val="18"/>
                <w:szCs w:val="18"/>
                <w:lang w:eastAsia="en-AU"/>
              </w:rPr>
            </w:pPr>
            <w:r w:rsidRPr="005464B7">
              <w:rPr>
                <w:sz w:val="18"/>
                <w:szCs w:val="18"/>
                <w:lang w:eastAsia="en-AU"/>
              </w:rPr>
              <w:t>338</w:t>
            </w:r>
          </w:p>
        </w:tc>
        <w:tc>
          <w:tcPr>
            <w:tcW w:w="699" w:type="dxa"/>
            <w:noWrap/>
            <w:hideMark/>
          </w:tcPr>
          <w:p w14:paraId="49413A88"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700" w:type="dxa"/>
            <w:noWrap/>
            <w:hideMark/>
          </w:tcPr>
          <w:p w14:paraId="666F448D"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699" w:type="dxa"/>
            <w:noWrap/>
            <w:hideMark/>
          </w:tcPr>
          <w:p w14:paraId="55A5CA8F" w14:textId="77777777" w:rsidR="006A3D5A" w:rsidRPr="005464B7" w:rsidRDefault="006A3D5A" w:rsidP="00055E63">
            <w:pPr>
              <w:pStyle w:val="TableText"/>
              <w:jc w:val="center"/>
              <w:rPr>
                <w:sz w:val="18"/>
                <w:szCs w:val="18"/>
                <w:lang w:eastAsia="en-AU"/>
              </w:rPr>
            </w:pPr>
            <w:r w:rsidRPr="005464B7">
              <w:rPr>
                <w:sz w:val="18"/>
                <w:szCs w:val="18"/>
                <w:lang w:eastAsia="en-AU"/>
              </w:rPr>
              <w:t>727</w:t>
            </w:r>
          </w:p>
        </w:tc>
        <w:tc>
          <w:tcPr>
            <w:tcW w:w="699" w:type="dxa"/>
            <w:noWrap/>
            <w:hideMark/>
          </w:tcPr>
          <w:p w14:paraId="5458BB05" w14:textId="77777777" w:rsidR="006A3D5A" w:rsidRPr="005464B7" w:rsidRDefault="006A3D5A" w:rsidP="00055E63">
            <w:pPr>
              <w:pStyle w:val="TableText"/>
              <w:jc w:val="center"/>
              <w:rPr>
                <w:sz w:val="18"/>
                <w:szCs w:val="18"/>
                <w:lang w:eastAsia="en-AU"/>
              </w:rPr>
            </w:pPr>
            <w:r w:rsidRPr="005464B7">
              <w:rPr>
                <w:sz w:val="18"/>
                <w:szCs w:val="18"/>
                <w:lang w:eastAsia="en-AU"/>
              </w:rPr>
              <w:t>100</w:t>
            </w:r>
          </w:p>
        </w:tc>
        <w:tc>
          <w:tcPr>
            <w:tcW w:w="700" w:type="dxa"/>
            <w:noWrap/>
            <w:hideMark/>
          </w:tcPr>
          <w:p w14:paraId="6B0B9E4F" w14:textId="77777777" w:rsidR="006A3D5A" w:rsidRPr="005464B7" w:rsidRDefault="006A3D5A" w:rsidP="00055E63">
            <w:pPr>
              <w:pStyle w:val="TableText"/>
              <w:jc w:val="center"/>
              <w:rPr>
                <w:sz w:val="18"/>
                <w:szCs w:val="18"/>
                <w:lang w:eastAsia="en-AU"/>
              </w:rPr>
            </w:pPr>
            <w:r w:rsidRPr="005464B7">
              <w:rPr>
                <w:sz w:val="18"/>
                <w:szCs w:val="18"/>
                <w:lang w:eastAsia="en-AU"/>
              </w:rPr>
              <w:t>14%</w:t>
            </w:r>
          </w:p>
        </w:tc>
        <w:tc>
          <w:tcPr>
            <w:tcW w:w="1523" w:type="dxa"/>
          </w:tcPr>
          <w:p w14:paraId="2DC88CF7" w14:textId="0E2A38CD" w:rsidR="006A3D5A" w:rsidRPr="005464B7" w:rsidRDefault="00AE4AF0" w:rsidP="00055E63">
            <w:pPr>
              <w:pStyle w:val="TableText"/>
              <w:jc w:val="center"/>
              <w:rPr>
                <w:sz w:val="18"/>
                <w:szCs w:val="18"/>
                <w:lang w:eastAsia="en-AU"/>
              </w:rPr>
            </w:pPr>
            <w:r>
              <w:rPr>
                <w:sz w:val="18"/>
                <w:szCs w:val="18"/>
                <w:lang w:eastAsia="en-AU"/>
              </w:rPr>
              <w:t>+14</w:t>
            </w:r>
            <w:r w:rsidR="005064F8">
              <w:rPr>
                <w:sz w:val="18"/>
                <w:szCs w:val="18"/>
                <w:lang w:eastAsia="en-AU"/>
              </w:rPr>
              <w:t xml:space="preserve"> percentage points</w:t>
            </w:r>
          </w:p>
        </w:tc>
      </w:tr>
      <w:tr w:rsidR="004D1FAB" w:rsidRPr="005464B7" w14:paraId="3AC54680" w14:textId="73D369F8" w:rsidTr="00FD330A">
        <w:trPr>
          <w:cnfStyle w:val="000000100000" w:firstRow="0" w:lastRow="0" w:firstColumn="0" w:lastColumn="0" w:oddVBand="0" w:evenVBand="0" w:oddHBand="1" w:evenHBand="0" w:firstRowFirstColumn="0" w:firstRowLastColumn="0" w:lastRowFirstColumn="0" w:lastRowLastColumn="0"/>
          <w:trHeight w:val="287"/>
        </w:trPr>
        <w:tc>
          <w:tcPr>
            <w:tcW w:w="450" w:type="dxa"/>
            <w:hideMark/>
          </w:tcPr>
          <w:p w14:paraId="209C6B42" w14:textId="77777777" w:rsidR="006A3D5A" w:rsidRPr="005464B7" w:rsidRDefault="006A3D5A" w:rsidP="00055E63">
            <w:pPr>
              <w:pStyle w:val="TableText"/>
              <w:rPr>
                <w:sz w:val="18"/>
                <w:szCs w:val="18"/>
                <w:lang w:eastAsia="en-AU"/>
              </w:rPr>
            </w:pPr>
            <w:r w:rsidRPr="005464B7">
              <w:rPr>
                <w:sz w:val="18"/>
                <w:szCs w:val="18"/>
                <w:lang w:eastAsia="en-AU"/>
              </w:rPr>
              <w:lastRenderedPageBreak/>
              <w:t>12</w:t>
            </w:r>
          </w:p>
        </w:tc>
        <w:tc>
          <w:tcPr>
            <w:tcW w:w="1955" w:type="dxa"/>
            <w:hideMark/>
          </w:tcPr>
          <w:p w14:paraId="2BCB915A" w14:textId="27C57FE9" w:rsidR="006A3D5A" w:rsidRPr="005464B7" w:rsidRDefault="006A3D5A" w:rsidP="00055E63">
            <w:pPr>
              <w:pStyle w:val="TableText"/>
              <w:rPr>
                <w:sz w:val="18"/>
                <w:szCs w:val="18"/>
                <w:lang w:eastAsia="en-AU"/>
              </w:rPr>
            </w:pPr>
            <w:r w:rsidRPr="005464B7">
              <w:rPr>
                <w:sz w:val="18"/>
                <w:szCs w:val="18"/>
                <w:lang w:eastAsia="en-AU"/>
              </w:rPr>
              <w:t>Percentage of residents</w:t>
            </w:r>
            <w:r w:rsidR="003863F5">
              <w:rPr>
                <w:sz w:val="18"/>
                <w:szCs w:val="18"/>
                <w:lang w:eastAsia="en-AU"/>
              </w:rPr>
              <w:t>’</w:t>
            </w:r>
            <w:r w:rsidRPr="005464B7">
              <w:rPr>
                <w:sz w:val="18"/>
                <w:szCs w:val="18"/>
                <w:lang w:eastAsia="en-AU"/>
              </w:rPr>
              <w:t xml:space="preserve"> unstable phases that ended three days or less</w:t>
            </w:r>
          </w:p>
        </w:tc>
        <w:tc>
          <w:tcPr>
            <w:tcW w:w="709" w:type="dxa"/>
            <w:noWrap/>
            <w:hideMark/>
          </w:tcPr>
          <w:p w14:paraId="3B940363" w14:textId="77777777" w:rsidR="006A3D5A" w:rsidRPr="005464B7" w:rsidRDefault="006A3D5A" w:rsidP="00AE4AF0">
            <w:pPr>
              <w:pStyle w:val="TableText"/>
              <w:jc w:val="center"/>
              <w:rPr>
                <w:sz w:val="18"/>
                <w:szCs w:val="18"/>
                <w:lang w:eastAsia="en-AU"/>
              </w:rPr>
            </w:pPr>
            <w:r w:rsidRPr="005464B7">
              <w:rPr>
                <w:sz w:val="18"/>
                <w:szCs w:val="18"/>
                <w:lang w:eastAsia="en-AU"/>
              </w:rPr>
              <w:t>60%</w:t>
            </w:r>
          </w:p>
        </w:tc>
        <w:tc>
          <w:tcPr>
            <w:tcW w:w="699" w:type="dxa"/>
            <w:noWrap/>
            <w:hideMark/>
          </w:tcPr>
          <w:p w14:paraId="3852B0B3" w14:textId="77777777" w:rsidR="006A3D5A" w:rsidRPr="005464B7" w:rsidRDefault="006A3D5A" w:rsidP="00055E63">
            <w:pPr>
              <w:pStyle w:val="TableText"/>
              <w:jc w:val="center"/>
              <w:rPr>
                <w:sz w:val="18"/>
                <w:szCs w:val="18"/>
                <w:lang w:eastAsia="en-AU"/>
              </w:rPr>
            </w:pPr>
            <w:r w:rsidRPr="005464B7">
              <w:rPr>
                <w:sz w:val="18"/>
                <w:szCs w:val="18"/>
                <w:lang w:eastAsia="en-AU"/>
              </w:rPr>
              <w:t>8</w:t>
            </w:r>
          </w:p>
        </w:tc>
        <w:tc>
          <w:tcPr>
            <w:tcW w:w="699" w:type="dxa"/>
            <w:noWrap/>
            <w:hideMark/>
          </w:tcPr>
          <w:p w14:paraId="5751A4A8" w14:textId="77777777" w:rsidR="006A3D5A" w:rsidRPr="005464B7" w:rsidRDefault="006A3D5A" w:rsidP="00055E63">
            <w:pPr>
              <w:pStyle w:val="TableText"/>
              <w:jc w:val="center"/>
              <w:rPr>
                <w:sz w:val="18"/>
                <w:szCs w:val="18"/>
                <w:lang w:eastAsia="en-AU"/>
              </w:rPr>
            </w:pPr>
            <w:r w:rsidRPr="005464B7">
              <w:rPr>
                <w:sz w:val="18"/>
                <w:szCs w:val="18"/>
                <w:lang w:eastAsia="en-AU"/>
              </w:rPr>
              <w:t>5</w:t>
            </w:r>
          </w:p>
        </w:tc>
        <w:tc>
          <w:tcPr>
            <w:tcW w:w="699" w:type="dxa"/>
            <w:noWrap/>
            <w:hideMark/>
          </w:tcPr>
          <w:p w14:paraId="7226B4DE" w14:textId="77777777" w:rsidR="006A3D5A" w:rsidRPr="005464B7" w:rsidRDefault="006A3D5A" w:rsidP="00055E63">
            <w:pPr>
              <w:pStyle w:val="TableText"/>
              <w:jc w:val="center"/>
              <w:rPr>
                <w:sz w:val="18"/>
                <w:szCs w:val="18"/>
                <w:lang w:eastAsia="en-AU"/>
              </w:rPr>
            </w:pPr>
            <w:r w:rsidRPr="005464B7">
              <w:rPr>
                <w:sz w:val="18"/>
                <w:szCs w:val="18"/>
                <w:lang w:eastAsia="en-AU"/>
              </w:rPr>
              <w:t>63%</w:t>
            </w:r>
          </w:p>
        </w:tc>
        <w:tc>
          <w:tcPr>
            <w:tcW w:w="700" w:type="dxa"/>
            <w:noWrap/>
            <w:hideMark/>
          </w:tcPr>
          <w:p w14:paraId="51F5A1CF" w14:textId="77777777" w:rsidR="006A3D5A" w:rsidRPr="005464B7" w:rsidRDefault="006A3D5A" w:rsidP="00055E63">
            <w:pPr>
              <w:pStyle w:val="TableText"/>
              <w:jc w:val="center"/>
              <w:rPr>
                <w:sz w:val="18"/>
                <w:szCs w:val="18"/>
                <w:lang w:eastAsia="en-AU"/>
              </w:rPr>
            </w:pPr>
            <w:r w:rsidRPr="005464B7">
              <w:rPr>
                <w:sz w:val="18"/>
                <w:szCs w:val="18"/>
                <w:lang w:eastAsia="en-AU"/>
              </w:rPr>
              <w:t>49</w:t>
            </w:r>
          </w:p>
        </w:tc>
        <w:tc>
          <w:tcPr>
            <w:tcW w:w="699" w:type="dxa"/>
            <w:noWrap/>
            <w:hideMark/>
          </w:tcPr>
          <w:p w14:paraId="574D5119" w14:textId="77777777" w:rsidR="006A3D5A" w:rsidRPr="005464B7" w:rsidRDefault="006A3D5A" w:rsidP="00055E63">
            <w:pPr>
              <w:pStyle w:val="TableText"/>
              <w:jc w:val="center"/>
              <w:rPr>
                <w:sz w:val="18"/>
                <w:szCs w:val="18"/>
                <w:lang w:eastAsia="en-AU"/>
              </w:rPr>
            </w:pPr>
            <w:r w:rsidRPr="005464B7">
              <w:rPr>
                <w:sz w:val="18"/>
                <w:szCs w:val="18"/>
                <w:lang w:eastAsia="en-AU"/>
              </w:rPr>
              <w:t>7</w:t>
            </w:r>
          </w:p>
        </w:tc>
        <w:tc>
          <w:tcPr>
            <w:tcW w:w="699" w:type="dxa"/>
            <w:noWrap/>
            <w:hideMark/>
          </w:tcPr>
          <w:p w14:paraId="4C2D1030" w14:textId="77777777" w:rsidR="006A3D5A" w:rsidRPr="005464B7" w:rsidRDefault="006A3D5A" w:rsidP="00055E63">
            <w:pPr>
              <w:pStyle w:val="TableText"/>
              <w:jc w:val="center"/>
              <w:rPr>
                <w:sz w:val="18"/>
                <w:szCs w:val="18"/>
                <w:lang w:eastAsia="en-AU"/>
              </w:rPr>
            </w:pPr>
            <w:r w:rsidRPr="005464B7">
              <w:rPr>
                <w:sz w:val="18"/>
                <w:szCs w:val="18"/>
                <w:lang w:eastAsia="en-AU"/>
              </w:rPr>
              <w:t>14%</w:t>
            </w:r>
          </w:p>
        </w:tc>
        <w:tc>
          <w:tcPr>
            <w:tcW w:w="699" w:type="dxa"/>
            <w:noWrap/>
            <w:hideMark/>
          </w:tcPr>
          <w:p w14:paraId="77D2CEAF" w14:textId="77777777" w:rsidR="006A3D5A" w:rsidRPr="005464B7" w:rsidRDefault="006A3D5A" w:rsidP="00055E63">
            <w:pPr>
              <w:pStyle w:val="TableText"/>
              <w:jc w:val="center"/>
              <w:rPr>
                <w:sz w:val="18"/>
                <w:szCs w:val="18"/>
                <w:lang w:eastAsia="en-AU"/>
              </w:rPr>
            </w:pPr>
            <w:r w:rsidRPr="005464B7">
              <w:rPr>
                <w:sz w:val="18"/>
                <w:szCs w:val="18"/>
                <w:lang w:eastAsia="en-AU"/>
              </w:rPr>
              <w:t>64</w:t>
            </w:r>
          </w:p>
        </w:tc>
        <w:tc>
          <w:tcPr>
            <w:tcW w:w="700" w:type="dxa"/>
            <w:noWrap/>
            <w:hideMark/>
          </w:tcPr>
          <w:p w14:paraId="6D501A30" w14:textId="77777777" w:rsidR="006A3D5A" w:rsidRPr="005464B7" w:rsidRDefault="006A3D5A" w:rsidP="00055E63">
            <w:pPr>
              <w:pStyle w:val="TableText"/>
              <w:jc w:val="center"/>
              <w:rPr>
                <w:sz w:val="18"/>
                <w:szCs w:val="18"/>
                <w:lang w:eastAsia="en-AU"/>
              </w:rPr>
            </w:pPr>
            <w:r w:rsidRPr="005464B7">
              <w:rPr>
                <w:sz w:val="18"/>
                <w:szCs w:val="18"/>
                <w:lang w:eastAsia="en-AU"/>
              </w:rPr>
              <w:t>17</w:t>
            </w:r>
          </w:p>
        </w:tc>
        <w:tc>
          <w:tcPr>
            <w:tcW w:w="699" w:type="dxa"/>
            <w:noWrap/>
            <w:hideMark/>
          </w:tcPr>
          <w:p w14:paraId="3509A524" w14:textId="77777777" w:rsidR="006A3D5A" w:rsidRPr="005464B7" w:rsidRDefault="006A3D5A" w:rsidP="00055E63">
            <w:pPr>
              <w:pStyle w:val="TableText"/>
              <w:jc w:val="center"/>
              <w:rPr>
                <w:sz w:val="18"/>
                <w:szCs w:val="18"/>
                <w:lang w:eastAsia="en-AU"/>
              </w:rPr>
            </w:pPr>
            <w:r w:rsidRPr="005464B7">
              <w:rPr>
                <w:sz w:val="18"/>
                <w:szCs w:val="18"/>
                <w:lang w:eastAsia="en-AU"/>
              </w:rPr>
              <w:t>27%</w:t>
            </w:r>
          </w:p>
        </w:tc>
        <w:tc>
          <w:tcPr>
            <w:tcW w:w="699" w:type="dxa"/>
            <w:noWrap/>
            <w:hideMark/>
          </w:tcPr>
          <w:p w14:paraId="4E1119BD" w14:textId="77777777" w:rsidR="006A3D5A" w:rsidRPr="005464B7" w:rsidRDefault="006A3D5A" w:rsidP="00055E63">
            <w:pPr>
              <w:pStyle w:val="TableText"/>
              <w:jc w:val="center"/>
              <w:rPr>
                <w:sz w:val="18"/>
                <w:szCs w:val="18"/>
                <w:lang w:eastAsia="en-AU"/>
              </w:rPr>
            </w:pPr>
            <w:r w:rsidRPr="005464B7">
              <w:rPr>
                <w:sz w:val="18"/>
                <w:szCs w:val="18"/>
                <w:lang w:eastAsia="en-AU"/>
              </w:rPr>
              <w:t>77</w:t>
            </w:r>
          </w:p>
        </w:tc>
        <w:tc>
          <w:tcPr>
            <w:tcW w:w="699" w:type="dxa"/>
            <w:noWrap/>
            <w:hideMark/>
          </w:tcPr>
          <w:p w14:paraId="01154254" w14:textId="77777777" w:rsidR="006A3D5A" w:rsidRPr="005464B7" w:rsidRDefault="006A3D5A" w:rsidP="00055E63">
            <w:pPr>
              <w:pStyle w:val="TableText"/>
              <w:jc w:val="center"/>
              <w:rPr>
                <w:sz w:val="18"/>
                <w:szCs w:val="18"/>
                <w:lang w:eastAsia="en-AU"/>
              </w:rPr>
            </w:pPr>
            <w:r w:rsidRPr="005464B7">
              <w:rPr>
                <w:sz w:val="18"/>
                <w:szCs w:val="18"/>
                <w:lang w:eastAsia="en-AU"/>
              </w:rPr>
              <w:t>27</w:t>
            </w:r>
          </w:p>
        </w:tc>
        <w:tc>
          <w:tcPr>
            <w:tcW w:w="700" w:type="dxa"/>
            <w:noWrap/>
            <w:hideMark/>
          </w:tcPr>
          <w:p w14:paraId="279E3BC0" w14:textId="77777777" w:rsidR="006A3D5A" w:rsidRPr="005464B7" w:rsidRDefault="006A3D5A" w:rsidP="00055E63">
            <w:pPr>
              <w:pStyle w:val="TableText"/>
              <w:jc w:val="center"/>
              <w:rPr>
                <w:sz w:val="18"/>
                <w:szCs w:val="18"/>
                <w:lang w:eastAsia="en-AU"/>
              </w:rPr>
            </w:pPr>
            <w:r w:rsidRPr="005464B7">
              <w:rPr>
                <w:sz w:val="18"/>
                <w:szCs w:val="18"/>
                <w:lang w:eastAsia="en-AU"/>
              </w:rPr>
              <w:t>35%</w:t>
            </w:r>
          </w:p>
        </w:tc>
        <w:tc>
          <w:tcPr>
            <w:tcW w:w="699" w:type="dxa"/>
            <w:noWrap/>
            <w:hideMark/>
          </w:tcPr>
          <w:p w14:paraId="7C67072B" w14:textId="77777777" w:rsidR="006A3D5A" w:rsidRPr="005464B7" w:rsidRDefault="006A3D5A" w:rsidP="00055E63">
            <w:pPr>
              <w:pStyle w:val="TableText"/>
              <w:jc w:val="center"/>
              <w:rPr>
                <w:sz w:val="18"/>
                <w:szCs w:val="18"/>
                <w:lang w:eastAsia="en-AU"/>
              </w:rPr>
            </w:pPr>
            <w:r w:rsidRPr="005464B7">
              <w:rPr>
                <w:sz w:val="18"/>
                <w:szCs w:val="18"/>
                <w:lang w:eastAsia="en-AU"/>
              </w:rPr>
              <w:t>78</w:t>
            </w:r>
          </w:p>
        </w:tc>
        <w:tc>
          <w:tcPr>
            <w:tcW w:w="699" w:type="dxa"/>
            <w:noWrap/>
            <w:hideMark/>
          </w:tcPr>
          <w:p w14:paraId="178B00D6" w14:textId="77777777" w:rsidR="006A3D5A" w:rsidRPr="005464B7" w:rsidRDefault="006A3D5A" w:rsidP="00055E63">
            <w:pPr>
              <w:pStyle w:val="TableText"/>
              <w:jc w:val="center"/>
              <w:rPr>
                <w:sz w:val="18"/>
                <w:szCs w:val="18"/>
                <w:lang w:eastAsia="en-AU"/>
              </w:rPr>
            </w:pPr>
            <w:r w:rsidRPr="005464B7">
              <w:rPr>
                <w:sz w:val="18"/>
                <w:szCs w:val="18"/>
                <w:lang w:eastAsia="en-AU"/>
              </w:rPr>
              <w:t>27</w:t>
            </w:r>
          </w:p>
        </w:tc>
        <w:tc>
          <w:tcPr>
            <w:tcW w:w="700" w:type="dxa"/>
            <w:noWrap/>
            <w:hideMark/>
          </w:tcPr>
          <w:p w14:paraId="4AABC584" w14:textId="77777777" w:rsidR="006A3D5A" w:rsidRPr="005464B7" w:rsidRDefault="006A3D5A" w:rsidP="00055E63">
            <w:pPr>
              <w:pStyle w:val="TableText"/>
              <w:jc w:val="center"/>
              <w:rPr>
                <w:sz w:val="18"/>
                <w:szCs w:val="18"/>
                <w:lang w:eastAsia="en-AU"/>
              </w:rPr>
            </w:pPr>
            <w:r w:rsidRPr="005464B7">
              <w:rPr>
                <w:sz w:val="18"/>
                <w:szCs w:val="18"/>
                <w:lang w:eastAsia="en-AU"/>
              </w:rPr>
              <w:t>35%</w:t>
            </w:r>
          </w:p>
        </w:tc>
        <w:tc>
          <w:tcPr>
            <w:tcW w:w="1523" w:type="dxa"/>
            <w:shd w:val="clear" w:color="auto" w:fill="auto"/>
          </w:tcPr>
          <w:p w14:paraId="10953E5E" w14:textId="55754704" w:rsidR="006A3D5A" w:rsidRPr="005464B7" w:rsidRDefault="00AE4AF0" w:rsidP="00055E63">
            <w:pPr>
              <w:pStyle w:val="TableText"/>
              <w:jc w:val="center"/>
              <w:rPr>
                <w:sz w:val="18"/>
                <w:szCs w:val="18"/>
                <w:lang w:eastAsia="en-AU"/>
              </w:rPr>
            </w:pPr>
            <w:r>
              <w:rPr>
                <w:sz w:val="18"/>
                <w:szCs w:val="18"/>
                <w:lang w:eastAsia="en-AU"/>
              </w:rPr>
              <w:t>-28</w:t>
            </w:r>
            <w:r w:rsidR="005064F8">
              <w:rPr>
                <w:sz w:val="18"/>
                <w:szCs w:val="18"/>
                <w:lang w:eastAsia="en-AU"/>
              </w:rPr>
              <w:t xml:space="preserve"> percentage points</w:t>
            </w:r>
          </w:p>
        </w:tc>
      </w:tr>
    </w:tbl>
    <w:p w14:paraId="4D3BD42E" w14:textId="38C72250" w:rsidR="0084562C" w:rsidRDefault="0084562C" w:rsidP="002A0E14">
      <w:pPr>
        <w:pStyle w:val="Tablenotes"/>
        <w:spacing w:after="0"/>
      </w:pPr>
      <w:r>
        <w:t>Notes: N</w:t>
      </w:r>
      <w:r w:rsidRPr="002A0E14">
        <w:rPr>
          <w:vertAlign w:val="superscript"/>
        </w:rPr>
        <w:t>1</w:t>
      </w:r>
      <w:r w:rsidR="002A0E14">
        <w:t xml:space="preserve"> = the total number of residents/assessments included. N</w:t>
      </w:r>
      <w:r w:rsidR="002A0E14" w:rsidRPr="002A0E14">
        <w:rPr>
          <w:vertAlign w:val="superscript"/>
        </w:rPr>
        <w:t>2</w:t>
      </w:r>
      <w:r w:rsidR="002A0E14">
        <w:t xml:space="preserve"> = number of residents/assessments that met the indicator. % = percentage of residents/assessments that met the indicator.</w:t>
      </w:r>
    </w:p>
    <w:p w14:paraId="2BB5693C" w14:textId="68258719" w:rsidR="00E833B6" w:rsidRDefault="00A945C3" w:rsidP="00066E55">
      <w:pPr>
        <w:pStyle w:val="Tablenotes"/>
        <w:spacing w:before="0"/>
      </w:pPr>
      <w:r w:rsidRPr="00362F97">
        <w:t xml:space="preserve">Source: </w:t>
      </w:r>
      <w:r>
        <w:t>PACOP</w:t>
      </w:r>
      <w:r w:rsidRPr="00362F97">
        <w:t xml:space="preserve"> program data provided by </w:t>
      </w:r>
      <w:r>
        <w:t>the University of Wollongong</w:t>
      </w:r>
      <w:r w:rsidRPr="00362F97">
        <w:t>, September 2025</w:t>
      </w:r>
      <w:r>
        <w:t>.</w:t>
      </w:r>
    </w:p>
    <w:p w14:paraId="3502765D" w14:textId="77777777" w:rsidR="00751D07" w:rsidRDefault="00751D07" w:rsidP="00BA6A2A"/>
    <w:p w14:paraId="3ED0C8A3" w14:textId="77777777" w:rsidR="00EE4598" w:rsidRDefault="00EE4598" w:rsidP="0016338C">
      <w:pPr>
        <w:pStyle w:val="Heading3-nonumber"/>
        <w:sectPr w:rsidR="00EE4598" w:rsidSect="005E34A8">
          <w:pgSz w:w="16838" w:h="11906" w:orient="landscape" w:code="9"/>
          <w:pgMar w:top="851" w:right="851" w:bottom="851" w:left="851" w:header="709" w:footer="567" w:gutter="0"/>
          <w:cols w:space="709"/>
          <w:docGrid w:linePitch="360"/>
        </w:sectPr>
      </w:pPr>
    </w:p>
    <w:p w14:paraId="1DE061CF" w14:textId="13AAA985" w:rsidR="00026D4A" w:rsidRDefault="00552666" w:rsidP="00026D4A">
      <w:r>
        <w:lastRenderedPageBreak/>
        <w:fldChar w:fldCharType="begin"/>
      </w:r>
      <w:r>
        <w:instrText xml:space="preserve"> REF _Ref217031343 \h </w:instrText>
      </w:r>
      <w:r>
        <w:fldChar w:fldCharType="separate"/>
      </w:r>
      <w:r w:rsidR="00167BA0">
        <w:t xml:space="preserve">Figure </w:t>
      </w:r>
      <w:r w:rsidR="00167BA0">
        <w:rPr>
          <w:noProof/>
        </w:rPr>
        <w:t>9</w:t>
      </w:r>
      <w:r w:rsidR="00167BA0">
        <w:t>.</w:t>
      </w:r>
      <w:r w:rsidR="00167BA0">
        <w:rPr>
          <w:noProof/>
        </w:rPr>
        <w:t>6</w:t>
      </w:r>
      <w:r>
        <w:fldChar w:fldCharType="end"/>
      </w:r>
      <w:r w:rsidR="00026D4A">
        <w:t xml:space="preserve"> presents the proportion of residents who had one or more unplanned hospitalisation or ED presentations.</w:t>
      </w:r>
    </w:p>
    <w:p w14:paraId="0BBF9684" w14:textId="7CB1D3AE" w:rsidR="002D3375" w:rsidRDefault="002D3375" w:rsidP="002D3375">
      <w:pPr>
        <w:pStyle w:val="Caption"/>
      </w:pPr>
      <w:bookmarkStart w:id="224" w:name="_Ref217031343"/>
      <w:r>
        <w:t xml:space="preserve">Figure </w:t>
      </w:r>
      <w:fldSimple w:instr=" STYLEREF 1 \s ">
        <w:r w:rsidR="00167BA0">
          <w:rPr>
            <w:noProof/>
          </w:rPr>
          <w:t>9</w:t>
        </w:r>
      </w:fldSimple>
      <w:r>
        <w:t>.</w:t>
      </w:r>
      <w:fldSimple w:instr=" SEQ Figure \* ARABIC \s 1 ">
        <w:r w:rsidR="00167BA0">
          <w:rPr>
            <w:noProof/>
          </w:rPr>
          <w:t>6</w:t>
        </w:r>
      </w:fldSimple>
      <w:bookmarkEnd w:id="224"/>
      <w:r>
        <w:t xml:space="preserve">: </w:t>
      </w:r>
      <w:r w:rsidR="00552666">
        <w:t>P</w:t>
      </w:r>
      <w:r>
        <w:t xml:space="preserve">roportion of residents who had one or more unplanned hospitalisations and the proportion of residents who had one or more ED presentations by </w:t>
      </w:r>
      <w:r w:rsidR="00552666">
        <w:t>half-yearly</w:t>
      </w:r>
      <w:r>
        <w:t xml:space="preserve"> intervals</w:t>
      </w:r>
    </w:p>
    <w:p w14:paraId="4FFDF190" w14:textId="77777777" w:rsidR="002D3375" w:rsidRDefault="002D3375" w:rsidP="002D3375">
      <w:pPr>
        <w:jc w:val="center"/>
      </w:pPr>
      <w:r>
        <w:rPr>
          <w:noProof/>
        </w:rPr>
        <w:drawing>
          <wp:inline distT="0" distB="0" distL="0" distR="0" wp14:anchorId="29942BB9" wp14:editId="2B68DBC5">
            <wp:extent cx="4584700" cy="2755900"/>
            <wp:effectExtent l="0" t="0" r="6350" b="6350"/>
            <wp:docPr id="702919559" name="Picture 4" descr="Figure 9.6 is a line graph showing proportion of residents who had one or more unplanned hospitalisations and the proportion of residents who had one or more ED presentations by half-yearly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919559" name="Picture 4" descr="Figure 9.6 is a line graph showing proportion of residents who had one or more unplanned hospitalisations and the proportion of residents who had one or more ED presentations by half-yearly intervals"/>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2E2258C" w14:textId="164A0E3A" w:rsidR="00E041AE" w:rsidRDefault="00E041AE" w:rsidP="00E041AE">
      <w:pPr>
        <w:pStyle w:val="Tablenotes"/>
      </w:pPr>
      <w:r w:rsidRPr="00362F97">
        <w:t xml:space="preserve">Source: </w:t>
      </w:r>
      <w:r>
        <w:t>PACOP</w:t>
      </w:r>
      <w:r w:rsidRPr="00362F97">
        <w:t xml:space="preserve"> program data provided by </w:t>
      </w:r>
      <w:r>
        <w:t>the University of Wollongong</w:t>
      </w:r>
      <w:r w:rsidRPr="00362F97">
        <w:t>, September 2025</w:t>
      </w:r>
      <w:r w:rsidR="00552666">
        <w:t>.</w:t>
      </w:r>
    </w:p>
    <w:p w14:paraId="38155757" w14:textId="319733C8" w:rsidR="00751D07" w:rsidRDefault="00751D07" w:rsidP="0016338C">
      <w:pPr>
        <w:pStyle w:val="Heading3-nonumber"/>
      </w:pPr>
      <w:r>
        <w:t>PACOP</w:t>
      </w:r>
      <w:r w:rsidR="00763B01">
        <w:t xml:space="preserve"> education</w:t>
      </w:r>
      <w:r>
        <w:t xml:space="preserve"> evaluation survey data</w:t>
      </w:r>
    </w:p>
    <w:p w14:paraId="7412D7A7" w14:textId="3231D709" w:rsidR="00751D07" w:rsidRDefault="00832821" w:rsidP="00BA6A2A">
      <w:r>
        <w:fldChar w:fldCharType="begin"/>
      </w:r>
      <w:r>
        <w:instrText xml:space="preserve"> REF _Ref215672333 \h </w:instrText>
      </w:r>
      <w:r>
        <w:fldChar w:fldCharType="separate"/>
      </w:r>
      <w:r w:rsidR="00167BA0">
        <w:t xml:space="preserve">Figure </w:t>
      </w:r>
      <w:r w:rsidR="00167BA0">
        <w:rPr>
          <w:noProof/>
        </w:rPr>
        <w:t>9</w:t>
      </w:r>
      <w:r w:rsidR="00167BA0">
        <w:t>.</w:t>
      </w:r>
      <w:r w:rsidR="00167BA0">
        <w:rPr>
          <w:noProof/>
        </w:rPr>
        <w:t>7</w:t>
      </w:r>
      <w:r>
        <w:fldChar w:fldCharType="end"/>
      </w:r>
      <w:r w:rsidR="00802E3C">
        <w:t xml:space="preserve"> presents the propor</w:t>
      </w:r>
      <w:r w:rsidR="00243236">
        <w:t xml:space="preserve">tion of respondents to the pre/post-PACOP workshop survey who reported feeling mostly or very confident </w:t>
      </w:r>
      <w:r w:rsidR="00E9353B">
        <w:t>across a range of domains following training.</w:t>
      </w:r>
    </w:p>
    <w:p w14:paraId="047DE27C" w14:textId="07FA6352" w:rsidR="00EE24E2" w:rsidRDefault="00EE24E2" w:rsidP="00EE24E2">
      <w:pPr>
        <w:pStyle w:val="Caption"/>
      </w:pPr>
      <w:bookmarkStart w:id="225" w:name="_Ref215672333"/>
      <w:r>
        <w:t xml:space="preserve">Figure </w:t>
      </w:r>
      <w:fldSimple w:instr=" STYLEREF 1 \s ">
        <w:r w:rsidR="00167BA0">
          <w:rPr>
            <w:noProof/>
          </w:rPr>
          <w:t>9</w:t>
        </w:r>
      </w:fldSimple>
      <w:r w:rsidR="00DD3EB1">
        <w:t>.</w:t>
      </w:r>
      <w:fldSimple w:instr=" SEQ Figure \* ARABIC \s 1 ">
        <w:r w:rsidR="00167BA0">
          <w:rPr>
            <w:noProof/>
          </w:rPr>
          <w:t>7</w:t>
        </w:r>
      </w:fldSimple>
      <w:bookmarkEnd w:id="225"/>
      <w:r>
        <w:t>: Proportion of</w:t>
      </w:r>
      <w:r w:rsidR="006D5F28">
        <w:t xml:space="preserve"> respondents to the</w:t>
      </w:r>
      <w:r>
        <w:t xml:space="preserve"> PACOP workshop </w:t>
      </w:r>
      <w:r w:rsidR="006D5F28">
        <w:t xml:space="preserve">evaluation </w:t>
      </w:r>
      <w:r w:rsidR="006D5F28">
        <w:br/>
        <w:t>survey</w:t>
      </w:r>
      <w:r>
        <w:t xml:space="preserve"> (</w:t>
      </w:r>
      <w:r>
        <w:rPr>
          <w:noProof/>
        </w:rPr>
        <w:t>n=1,488) reporting</w:t>
      </w:r>
      <w:r w:rsidR="006D5F28">
        <w:rPr>
          <w:noProof/>
        </w:rPr>
        <w:t xml:space="preserve"> </w:t>
      </w:r>
      <w:r>
        <w:rPr>
          <w:noProof/>
        </w:rPr>
        <w:t>feeling mostly or very confident</w:t>
      </w:r>
    </w:p>
    <w:p w14:paraId="0C5AFC08" w14:textId="7C888A99" w:rsidR="00AF691B" w:rsidRDefault="00EE24E2" w:rsidP="00BA6A2A">
      <w:r>
        <w:rPr>
          <w:noProof/>
        </w:rPr>
        <w:drawing>
          <wp:inline distT="0" distB="0" distL="0" distR="0" wp14:anchorId="5E80D336" wp14:editId="2374D5A8">
            <wp:extent cx="4595889" cy="3209925"/>
            <wp:effectExtent l="0" t="0" r="0" b="0"/>
            <wp:docPr id="1185148656" name="Picture 5" descr="Figure 9.7 is a diagram showing proportion of respondents to the PACOP workshop evaluation survey (n=1,488) reporting feeling mostly or very conf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48656" name="Picture 5" descr="Figure 9.7 is a diagram showing proportion of respondents to the PACOP workshop evaluation survey (n=1,488) reporting feeling mostly or very confiden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601633" cy="3213937"/>
                    </a:xfrm>
                    <a:prstGeom prst="rect">
                      <a:avLst/>
                    </a:prstGeom>
                    <a:noFill/>
                  </pic:spPr>
                </pic:pic>
              </a:graphicData>
            </a:graphic>
          </wp:inline>
        </w:drawing>
      </w:r>
    </w:p>
    <w:p w14:paraId="2DE044CC" w14:textId="3F199676" w:rsidR="00751D07" w:rsidRDefault="00EB7851" w:rsidP="00EB7851">
      <w:pPr>
        <w:pStyle w:val="Tablenotes"/>
      </w:pPr>
      <w:r w:rsidRPr="00362F97">
        <w:t xml:space="preserve">Source: </w:t>
      </w:r>
      <w:r>
        <w:t>PACOP</w:t>
      </w:r>
      <w:r w:rsidRPr="00362F97">
        <w:t xml:space="preserve"> program data provided by </w:t>
      </w:r>
      <w:r>
        <w:t>the University of Wollongong</w:t>
      </w:r>
      <w:r w:rsidRPr="00362F97">
        <w:t>, September 2025</w:t>
      </w:r>
      <w:r w:rsidR="00B76650">
        <w:t>.</w:t>
      </w:r>
    </w:p>
    <w:p w14:paraId="0A8FD2E0" w14:textId="74305D84" w:rsidR="00751D07" w:rsidRDefault="00832821" w:rsidP="00BA6A2A">
      <w:r>
        <w:fldChar w:fldCharType="begin"/>
      </w:r>
      <w:r>
        <w:instrText xml:space="preserve"> REF _Ref215672335 \h </w:instrText>
      </w:r>
      <w:r>
        <w:fldChar w:fldCharType="separate"/>
      </w:r>
      <w:r w:rsidR="00167BA0">
        <w:t xml:space="preserve">Figure </w:t>
      </w:r>
      <w:r w:rsidR="00167BA0">
        <w:rPr>
          <w:noProof/>
        </w:rPr>
        <w:t>9</w:t>
      </w:r>
      <w:r w:rsidR="00167BA0">
        <w:t>.</w:t>
      </w:r>
      <w:r w:rsidR="00167BA0">
        <w:rPr>
          <w:noProof/>
        </w:rPr>
        <w:t>8</w:t>
      </w:r>
      <w:r>
        <w:fldChar w:fldCharType="end"/>
      </w:r>
      <w:r w:rsidR="00E9353B">
        <w:t xml:space="preserve"> shows the proportion of respondents to the pre/post-PACOP online module survey who reported feeling mostly or very confident across a range of domains following training.</w:t>
      </w:r>
    </w:p>
    <w:p w14:paraId="2C7B76A0" w14:textId="6AC81FDA" w:rsidR="006D5F28" w:rsidRDefault="006D5F28" w:rsidP="006D5F28">
      <w:pPr>
        <w:pStyle w:val="Caption"/>
      </w:pPr>
      <w:bookmarkStart w:id="226" w:name="_Ref215672335"/>
      <w:r>
        <w:lastRenderedPageBreak/>
        <w:t xml:space="preserve">Figure </w:t>
      </w:r>
      <w:fldSimple w:instr=" STYLEREF 1 \s ">
        <w:r w:rsidR="00167BA0">
          <w:rPr>
            <w:noProof/>
          </w:rPr>
          <w:t>9</w:t>
        </w:r>
      </w:fldSimple>
      <w:r w:rsidR="00DD3EB1">
        <w:t>.</w:t>
      </w:r>
      <w:fldSimple w:instr=" SEQ Figure \* ARABIC \s 1 ">
        <w:r w:rsidR="00167BA0">
          <w:rPr>
            <w:noProof/>
          </w:rPr>
          <w:t>8</w:t>
        </w:r>
      </w:fldSimple>
      <w:bookmarkEnd w:id="226"/>
      <w:r>
        <w:t xml:space="preserve">: Proportion of </w:t>
      </w:r>
      <w:r w:rsidR="00C12E28">
        <w:t xml:space="preserve">respondents to the </w:t>
      </w:r>
      <w:r>
        <w:t xml:space="preserve">PACOP learning module </w:t>
      </w:r>
      <w:r w:rsidR="00C12E28">
        <w:t>evaluation survey</w:t>
      </w:r>
      <w:r>
        <w:t xml:space="preserve"> (n=1</w:t>
      </w:r>
      <w:r w:rsidR="00C12E28">
        <w:t>72</w:t>
      </w:r>
      <w:r>
        <w:t>) reporting</w:t>
      </w:r>
      <w:r w:rsidR="00C12E28">
        <w:t xml:space="preserve"> </w:t>
      </w:r>
      <w:r w:rsidR="00C12E28">
        <w:rPr>
          <w:noProof/>
        </w:rPr>
        <w:t>feeling mostly or very confident</w:t>
      </w:r>
    </w:p>
    <w:p w14:paraId="1C5D5E67" w14:textId="517804FB" w:rsidR="00BA6A2A" w:rsidRDefault="006D5F28" w:rsidP="00BA6A2A">
      <w:r>
        <w:rPr>
          <w:noProof/>
        </w:rPr>
        <w:drawing>
          <wp:inline distT="0" distB="0" distL="0" distR="0" wp14:anchorId="42B2809F" wp14:editId="4BD6E1CF">
            <wp:extent cx="4546998" cy="3390299"/>
            <wp:effectExtent l="0" t="0" r="6350" b="635"/>
            <wp:docPr id="281933716" name="Picture 7" descr="Figure 9.8 is a diagram showing Proportion of respondents to the PACOP learning module evaluation survey (n=172) reporting feeling mostly or very conf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33716" name="Picture 7" descr="Figure 9.8 is a diagram showing Proportion of respondents to the PACOP learning module evaluation survey (n=172) reporting feeling mostly or very confiden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565421" cy="3404035"/>
                    </a:xfrm>
                    <a:prstGeom prst="rect">
                      <a:avLst/>
                    </a:prstGeom>
                    <a:noFill/>
                  </pic:spPr>
                </pic:pic>
              </a:graphicData>
            </a:graphic>
          </wp:inline>
        </w:drawing>
      </w:r>
    </w:p>
    <w:p w14:paraId="21A59B56" w14:textId="5FFB2EF2" w:rsidR="00770819" w:rsidRDefault="00770819" w:rsidP="00770819">
      <w:pPr>
        <w:pStyle w:val="Tablenotes"/>
      </w:pPr>
      <w:r w:rsidRPr="00362F97">
        <w:t xml:space="preserve">Source: </w:t>
      </w:r>
      <w:r>
        <w:t>PACOP</w:t>
      </w:r>
      <w:r w:rsidRPr="00362F97">
        <w:t xml:space="preserve"> program data provided by </w:t>
      </w:r>
      <w:r>
        <w:t>the University of Wollongong</w:t>
      </w:r>
      <w:r w:rsidRPr="00362F97">
        <w:t>, September 2025</w:t>
      </w:r>
    </w:p>
    <w:p w14:paraId="48774C91" w14:textId="65492832" w:rsidR="00BA6A2A" w:rsidRDefault="00763B01" w:rsidP="00763B01">
      <w:pPr>
        <w:pStyle w:val="Heading3-nonumber"/>
      </w:pPr>
      <w:r>
        <w:t>PACOP snapshot survey data</w:t>
      </w:r>
    </w:p>
    <w:p w14:paraId="1AFBA904" w14:textId="4578D7AB" w:rsidR="004E4199" w:rsidRDefault="00066E55" w:rsidP="00BA6A2A">
      <w:r>
        <w:fldChar w:fldCharType="begin"/>
      </w:r>
      <w:r>
        <w:instrText xml:space="preserve"> REF _Ref216793921 \h </w:instrText>
      </w:r>
      <w:r>
        <w:fldChar w:fldCharType="separate"/>
      </w:r>
      <w:r w:rsidR="00167BA0">
        <w:t xml:space="preserve">Table </w:t>
      </w:r>
      <w:r w:rsidR="00167BA0">
        <w:rPr>
          <w:noProof/>
        </w:rPr>
        <w:t>9</w:t>
      </w:r>
      <w:r w:rsidR="00167BA0">
        <w:t>.</w:t>
      </w:r>
      <w:r w:rsidR="00167BA0">
        <w:rPr>
          <w:noProof/>
        </w:rPr>
        <w:t>29</w:t>
      </w:r>
      <w:r>
        <w:fldChar w:fldCharType="end"/>
      </w:r>
      <w:r w:rsidR="007E2732">
        <w:t xml:space="preserve"> </w:t>
      </w:r>
      <w:r w:rsidR="00BC3508">
        <w:t>presents the method of recording PACOP data reported by respondents to the PACOP snapshot survey.</w:t>
      </w:r>
    </w:p>
    <w:p w14:paraId="56F2283E" w14:textId="3D1322F7" w:rsidR="004E7273" w:rsidRDefault="004E7273" w:rsidP="004E7273">
      <w:pPr>
        <w:pStyle w:val="Caption"/>
      </w:pPr>
      <w:bookmarkStart w:id="227" w:name="_Ref216793921"/>
      <w:bookmarkStart w:id="228" w:name="_Ref216281179"/>
      <w:r>
        <w:t xml:space="preserve">Table </w:t>
      </w:r>
      <w:fldSimple w:instr=" STYLEREF 1 \s ">
        <w:r w:rsidR="0091457A">
          <w:rPr>
            <w:noProof/>
          </w:rPr>
          <w:t>9</w:t>
        </w:r>
      </w:fldSimple>
      <w:r w:rsidR="0091457A">
        <w:t>.</w:t>
      </w:r>
      <w:fldSimple w:instr=" SEQ Table \* ARABIC \s 1 ">
        <w:r w:rsidR="0091457A">
          <w:rPr>
            <w:noProof/>
          </w:rPr>
          <w:t>29</w:t>
        </w:r>
      </w:fldSimple>
      <w:bookmarkEnd w:id="227"/>
      <w:bookmarkEnd w:id="228"/>
      <w:r>
        <w:t>: Reported method of recording PACOP data</w:t>
      </w:r>
      <w:r w:rsidR="00980A2F">
        <w:t xml:space="preserve"> (n=60)</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method of recording PACOP data"/>
        <w:tblDescription w:val="Table shows the method of recording PACOP data reported by respondents to the PACOP snapshot survey."/>
      </w:tblPr>
      <w:tblGrid>
        <w:gridCol w:w="5972"/>
        <w:gridCol w:w="401"/>
        <w:gridCol w:w="830"/>
      </w:tblGrid>
      <w:tr w:rsidR="004E4199" w:rsidRPr="004E4199" w14:paraId="3F88C81A" w14:textId="77777777" w:rsidTr="0033592E">
        <w:trPr>
          <w:cnfStyle w:val="100000000000" w:firstRow="1" w:lastRow="0" w:firstColumn="0" w:lastColumn="0" w:oddVBand="0" w:evenVBand="0" w:oddHBand="0" w:evenHBand="0" w:firstRowFirstColumn="0" w:firstRowLastColumn="0" w:lastRowFirstColumn="0" w:lastRowLastColumn="0"/>
          <w:trHeight w:val="255"/>
          <w:tblHeader/>
        </w:trPr>
        <w:tc>
          <w:tcPr>
            <w:tcW w:w="0" w:type="auto"/>
            <w:noWrap/>
            <w:hideMark/>
          </w:tcPr>
          <w:p w14:paraId="1BC19055" w14:textId="773C0D17" w:rsidR="004E4199" w:rsidRPr="004E4199" w:rsidRDefault="00980A2F" w:rsidP="004E4199">
            <w:pPr>
              <w:pStyle w:val="TableHeading"/>
            </w:pPr>
            <w:r>
              <w:t>Method</w:t>
            </w:r>
          </w:p>
        </w:tc>
        <w:tc>
          <w:tcPr>
            <w:tcW w:w="0" w:type="auto"/>
            <w:noWrap/>
            <w:hideMark/>
          </w:tcPr>
          <w:p w14:paraId="6BCAC825" w14:textId="77777777" w:rsidR="004E4199" w:rsidRPr="004E4199" w:rsidRDefault="004E4199" w:rsidP="004E4199">
            <w:pPr>
              <w:pStyle w:val="TableHeading"/>
              <w:jc w:val="center"/>
            </w:pPr>
            <w:r w:rsidRPr="004E4199">
              <w:t>n</w:t>
            </w:r>
          </w:p>
        </w:tc>
        <w:tc>
          <w:tcPr>
            <w:tcW w:w="0" w:type="auto"/>
            <w:noWrap/>
            <w:hideMark/>
          </w:tcPr>
          <w:p w14:paraId="5D6D2747" w14:textId="77777777" w:rsidR="004E4199" w:rsidRPr="004E4199" w:rsidRDefault="004E4199" w:rsidP="004E4199">
            <w:pPr>
              <w:pStyle w:val="TableHeading"/>
              <w:jc w:val="center"/>
            </w:pPr>
            <w:r w:rsidRPr="004E4199">
              <w:t>%</w:t>
            </w:r>
          </w:p>
        </w:tc>
      </w:tr>
      <w:tr w:rsidR="004E4199" w:rsidRPr="004E4199" w14:paraId="6FE35FCE" w14:textId="77777777" w:rsidTr="0033592E">
        <w:trPr>
          <w:cnfStyle w:val="000000100000" w:firstRow="0" w:lastRow="0" w:firstColumn="0" w:lastColumn="0" w:oddVBand="0" w:evenVBand="0" w:oddHBand="1" w:evenHBand="0" w:firstRowFirstColumn="0" w:firstRowLastColumn="0" w:lastRowFirstColumn="0" w:lastRowLastColumn="0"/>
          <w:trHeight w:val="27"/>
        </w:trPr>
        <w:tc>
          <w:tcPr>
            <w:tcW w:w="0" w:type="auto"/>
            <w:hideMark/>
          </w:tcPr>
          <w:p w14:paraId="7D716A34" w14:textId="77777777" w:rsidR="004E4199" w:rsidRPr="004E4199" w:rsidRDefault="004E4199" w:rsidP="004E4199">
            <w:pPr>
              <w:pStyle w:val="TableText"/>
            </w:pPr>
            <w:r w:rsidRPr="004E4199">
              <w:t xml:space="preserve">Assessments are entered directly into </w:t>
            </w:r>
            <w:proofErr w:type="spellStart"/>
            <w:r w:rsidRPr="004E4199">
              <w:t>palCentre</w:t>
            </w:r>
            <w:proofErr w:type="spellEnd"/>
          </w:p>
        </w:tc>
        <w:tc>
          <w:tcPr>
            <w:tcW w:w="0" w:type="auto"/>
            <w:noWrap/>
            <w:hideMark/>
          </w:tcPr>
          <w:p w14:paraId="03044827" w14:textId="77777777" w:rsidR="004E4199" w:rsidRPr="004E4199" w:rsidRDefault="004E4199" w:rsidP="004E4199">
            <w:pPr>
              <w:pStyle w:val="TableText"/>
              <w:jc w:val="center"/>
            </w:pPr>
            <w:r w:rsidRPr="004E4199">
              <w:t>27</w:t>
            </w:r>
          </w:p>
        </w:tc>
        <w:tc>
          <w:tcPr>
            <w:tcW w:w="0" w:type="auto"/>
            <w:noWrap/>
            <w:hideMark/>
          </w:tcPr>
          <w:p w14:paraId="5650AC00" w14:textId="77777777" w:rsidR="004E4199" w:rsidRPr="004E4199" w:rsidRDefault="004E4199" w:rsidP="004E4199">
            <w:pPr>
              <w:pStyle w:val="TableText"/>
              <w:jc w:val="center"/>
            </w:pPr>
            <w:r w:rsidRPr="004E4199">
              <w:t>45.0%</w:t>
            </w:r>
          </w:p>
        </w:tc>
      </w:tr>
      <w:tr w:rsidR="004E4199" w:rsidRPr="004E4199" w14:paraId="0177D5D6" w14:textId="77777777" w:rsidTr="0033592E">
        <w:trPr>
          <w:cnfStyle w:val="000000010000" w:firstRow="0" w:lastRow="0" w:firstColumn="0" w:lastColumn="0" w:oddVBand="0" w:evenVBand="0" w:oddHBand="0" w:evenHBand="1" w:firstRowFirstColumn="0" w:firstRowLastColumn="0" w:lastRowFirstColumn="0" w:lastRowLastColumn="0"/>
          <w:trHeight w:val="102"/>
        </w:trPr>
        <w:tc>
          <w:tcPr>
            <w:tcW w:w="0" w:type="auto"/>
            <w:hideMark/>
          </w:tcPr>
          <w:p w14:paraId="00DF5096" w14:textId="503AD8AA" w:rsidR="004E4199" w:rsidRPr="004E4199" w:rsidRDefault="004E4199" w:rsidP="004E4199">
            <w:pPr>
              <w:pStyle w:val="TableText"/>
            </w:pPr>
            <w:r w:rsidRPr="004E4199">
              <w:t xml:space="preserve">On paper forms that are later entered into </w:t>
            </w:r>
            <w:proofErr w:type="spellStart"/>
            <w:r w:rsidRPr="004E4199">
              <w:t>palCentre</w:t>
            </w:r>
            <w:proofErr w:type="spellEnd"/>
            <w:r w:rsidRPr="004E4199">
              <w:t xml:space="preserve"> </w:t>
            </w:r>
          </w:p>
        </w:tc>
        <w:tc>
          <w:tcPr>
            <w:tcW w:w="0" w:type="auto"/>
            <w:noWrap/>
            <w:hideMark/>
          </w:tcPr>
          <w:p w14:paraId="12232997" w14:textId="77777777" w:rsidR="004E4199" w:rsidRPr="004E4199" w:rsidRDefault="004E4199" w:rsidP="004E4199">
            <w:pPr>
              <w:pStyle w:val="TableText"/>
              <w:jc w:val="center"/>
            </w:pPr>
            <w:r w:rsidRPr="004E4199">
              <w:t>12</w:t>
            </w:r>
          </w:p>
        </w:tc>
        <w:tc>
          <w:tcPr>
            <w:tcW w:w="0" w:type="auto"/>
            <w:noWrap/>
            <w:hideMark/>
          </w:tcPr>
          <w:p w14:paraId="69FF47F1" w14:textId="77777777" w:rsidR="004E4199" w:rsidRPr="004E4199" w:rsidRDefault="004E4199" w:rsidP="004E4199">
            <w:pPr>
              <w:pStyle w:val="TableText"/>
              <w:jc w:val="center"/>
            </w:pPr>
            <w:r w:rsidRPr="004E4199">
              <w:t>20.0%</w:t>
            </w:r>
          </w:p>
        </w:tc>
      </w:tr>
      <w:tr w:rsidR="004E4199" w:rsidRPr="004E4199" w14:paraId="5C3E42A6" w14:textId="77777777" w:rsidTr="0033592E">
        <w:trPr>
          <w:cnfStyle w:val="000000100000" w:firstRow="0" w:lastRow="0" w:firstColumn="0" w:lastColumn="0" w:oddVBand="0" w:evenVBand="0" w:oddHBand="1" w:evenHBand="0" w:firstRowFirstColumn="0" w:firstRowLastColumn="0" w:lastRowFirstColumn="0" w:lastRowLastColumn="0"/>
          <w:trHeight w:val="270"/>
        </w:trPr>
        <w:tc>
          <w:tcPr>
            <w:tcW w:w="0" w:type="auto"/>
            <w:hideMark/>
          </w:tcPr>
          <w:p w14:paraId="6D53367A" w14:textId="77777777" w:rsidR="004E4199" w:rsidRPr="004E4199" w:rsidRDefault="004E4199" w:rsidP="004E4199">
            <w:pPr>
              <w:pStyle w:val="TableText"/>
            </w:pPr>
            <w:r w:rsidRPr="004E4199">
              <w:t xml:space="preserve">On paper forms only </w:t>
            </w:r>
          </w:p>
        </w:tc>
        <w:tc>
          <w:tcPr>
            <w:tcW w:w="0" w:type="auto"/>
            <w:noWrap/>
            <w:hideMark/>
          </w:tcPr>
          <w:p w14:paraId="2C5DC7F4" w14:textId="77777777" w:rsidR="004E4199" w:rsidRPr="004E4199" w:rsidRDefault="004E4199" w:rsidP="004E4199">
            <w:pPr>
              <w:pStyle w:val="TableText"/>
              <w:jc w:val="center"/>
            </w:pPr>
            <w:r w:rsidRPr="004E4199">
              <w:t>10</w:t>
            </w:r>
          </w:p>
        </w:tc>
        <w:tc>
          <w:tcPr>
            <w:tcW w:w="0" w:type="auto"/>
            <w:noWrap/>
            <w:hideMark/>
          </w:tcPr>
          <w:p w14:paraId="24CCB4BB" w14:textId="77777777" w:rsidR="004E4199" w:rsidRPr="004E4199" w:rsidRDefault="004E4199" w:rsidP="004E4199">
            <w:pPr>
              <w:pStyle w:val="TableText"/>
              <w:jc w:val="center"/>
            </w:pPr>
            <w:r w:rsidRPr="004E4199">
              <w:t>16.7%</w:t>
            </w:r>
          </w:p>
        </w:tc>
      </w:tr>
      <w:tr w:rsidR="004E4199" w:rsidRPr="004E4199" w14:paraId="04C1AED1" w14:textId="77777777" w:rsidTr="0033592E">
        <w:trPr>
          <w:cnfStyle w:val="000000010000" w:firstRow="0" w:lastRow="0" w:firstColumn="0" w:lastColumn="0" w:oddVBand="0" w:evenVBand="0" w:oddHBand="0" w:evenHBand="1" w:firstRowFirstColumn="0" w:firstRowLastColumn="0" w:lastRowFirstColumn="0" w:lastRowLastColumn="0"/>
          <w:trHeight w:val="214"/>
        </w:trPr>
        <w:tc>
          <w:tcPr>
            <w:tcW w:w="0" w:type="auto"/>
            <w:hideMark/>
          </w:tcPr>
          <w:p w14:paraId="5B8FB68A" w14:textId="333F7E65" w:rsidR="004E4199" w:rsidRPr="004E4199" w:rsidRDefault="004E4199" w:rsidP="004E4199">
            <w:pPr>
              <w:pStyle w:val="TableText"/>
            </w:pPr>
            <w:r w:rsidRPr="004E4199">
              <w:t>Assessments entered directly into a client management system</w:t>
            </w:r>
          </w:p>
        </w:tc>
        <w:tc>
          <w:tcPr>
            <w:tcW w:w="0" w:type="auto"/>
            <w:noWrap/>
            <w:hideMark/>
          </w:tcPr>
          <w:p w14:paraId="335ABCFA" w14:textId="77777777" w:rsidR="004E4199" w:rsidRPr="004E4199" w:rsidRDefault="004E4199" w:rsidP="004E4199">
            <w:pPr>
              <w:pStyle w:val="TableText"/>
              <w:jc w:val="center"/>
            </w:pPr>
            <w:r w:rsidRPr="004E4199">
              <w:t>7</w:t>
            </w:r>
          </w:p>
        </w:tc>
        <w:tc>
          <w:tcPr>
            <w:tcW w:w="0" w:type="auto"/>
            <w:noWrap/>
            <w:hideMark/>
          </w:tcPr>
          <w:p w14:paraId="3B108B6D" w14:textId="77777777" w:rsidR="004E4199" w:rsidRPr="004E4199" w:rsidRDefault="004E4199" w:rsidP="004E4199">
            <w:pPr>
              <w:pStyle w:val="TableText"/>
              <w:jc w:val="center"/>
            </w:pPr>
            <w:r w:rsidRPr="004E4199">
              <w:t>11.7%</w:t>
            </w:r>
          </w:p>
        </w:tc>
      </w:tr>
      <w:tr w:rsidR="004E4199" w:rsidRPr="004E4199" w14:paraId="16C6FCFC" w14:textId="77777777" w:rsidTr="0033592E">
        <w:trPr>
          <w:cnfStyle w:val="000000100000" w:firstRow="0" w:lastRow="0" w:firstColumn="0" w:lastColumn="0" w:oddVBand="0" w:evenVBand="0" w:oddHBand="1" w:evenHBand="0" w:firstRowFirstColumn="0" w:firstRowLastColumn="0" w:lastRowFirstColumn="0" w:lastRowLastColumn="0"/>
          <w:trHeight w:val="192"/>
        </w:trPr>
        <w:tc>
          <w:tcPr>
            <w:tcW w:w="0" w:type="auto"/>
            <w:hideMark/>
          </w:tcPr>
          <w:p w14:paraId="155C2FB7" w14:textId="77777777" w:rsidR="004E4199" w:rsidRPr="004E4199" w:rsidRDefault="004E4199" w:rsidP="004E4199">
            <w:pPr>
              <w:pStyle w:val="TableText"/>
            </w:pPr>
            <w:r w:rsidRPr="004E4199">
              <w:t xml:space="preserve">On paper forms that are later entered into a client management system that is not </w:t>
            </w:r>
            <w:proofErr w:type="spellStart"/>
            <w:r w:rsidRPr="004E4199">
              <w:t>palCentre</w:t>
            </w:r>
            <w:proofErr w:type="spellEnd"/>
            <w:r w:rsidRPr="004E4199">
              <w:t xml:space="preserve"> </w:t>
            </w:r>
          </w:p>
        </w:tc>
        <w:tc>
          <w:tcPr>
            <w:tcW w:w="0" w:type="auto"/>
            <w:noWrap/>
            <w:hideMark/>
          </w:tcPr>
          <w:p w14:paraId="0C9F4445" w14:textId="77777777" w:rsidR="004E4199" w:rsidRPr="004E4199" w:rsidRDefault="004E4199" w:rsidP="004E4199">
            <w:pPr>
              <w:pStyle w:val="TableText"/>
              <w:jc w:val="center"/>
            </w:pPr>
            <w:r w:rsidRPr="004E4199">
              <w:t>4</w:t>
            </w:r>
          </w:p>
        </w:tc>
        <w:tc>
          <w:tcPr>
            <w:tcW w:w="0" w:type="auto"/>
            <w:noWrap/>
            <w:hideMark/>
          </w:tcPr>
          <w:p w14:paraId="550AB4CD" w14:textId="77777777" w:rsidR="004E4199" w:rsidRPr="004E4199" w:rsidRDefault="004E4199" w:rsidP="004E4199">
            <w:pPr>
              <w:pStyle w:val="TableText"/>
              <w:jc w:val="center"/>
            </w:pPr>
            <w:r w:rsidRPr="004E4199">
              <w:t>6.7%</w:t>
            </w:r>
          </w:p>
        </w:tc>
      </w:tr>
      <w:tr w:rsidR="004E4199" w:rsidRPr="004E4199" w14:paraId="05CE3599" w14:textId="77777777" w:rsidTr="0033592E">
        <w:trPr>
          <w:cnfStyle w:val="000000010000" w:firstRow="0" w:lastRow="0" w:firstColumn="0" w:lastColumn="0" w:oddVBand="0" w:evenVBand="0" w:oddHBand="0" w:evenHBand="1" w:firstRowFirstColumn="0" w:firstRowLastColumn="0" w:lastRowFirstColumn="0" w:lastRowLastColumn="0"/>
          <w:trHeight w:val="255"/>
        </w:trPr>
        <w:tc>
          <w:tcPr>
            <w:tcW w:w="0" w:type="auto"/>
            <w:shd w:val="clear" w:color="auto" w:fill="DCDCDF" w:themeFill="text2" w:themeFillTint="33"/>
            <w:noWrap/>
            <w:hideMark/>
          </w:tcPr>
          <w:p w14:paraId="6AE40139" w14:textId="52CCE720" w:rsidR="004E4199" w:rsidRPr="004E4199" w:rsidRDefault="004E4199" w:rsidP="004E4199">
            <w:pPr>
              <w:pStyle w:val="TableText"/>
              <w:rPr>
                <w:rFonts w:asciiTheme="majorHAnsi" w:hAnsiTheme="majorHAnsi"/>
              </w:rPr>
            </w:pPr>
            <w:r w:rsidRPr="004E4199">
              <w:rPr>
                <w:rFonts w:asciiTheme="majorHAnsi" w:hAnsiTheme="majorHAnsi"/>
              </w:rPr>
              <w:t>Total</w:t>
            </w:r>
          </w:p>
        </w:tc>
        <w:tc>
          <w:tcPr>
            <w:tcW w:w="0" w:type="auto"/>
            <w:shd w:val="clear" w:color="auto" w:fill="DCDCDF" w:themeFill="text2" w:themeFillTint="33"/>
            <w:noWrap/>
            <w:hideMark/>
          </w:tcPr>
          <w:p w14:paraId="480FD1F5" w14:textId="77777777" w:rsidR="004E4199" w:rsidRPr="004E4199" w:rsidRDefault="004E4199" w:rsidP="004E4199">
            <w:pPr>
              <w:pStyle w:val="TableText"/>
              <w:jc w:val="center"/>
              <w:rPr>
                <w:rFonts w:asciiTheme="majorHAnsi" w:hAnsiTheme="majorHAnsi"/>
              </w:rPr>
            </w:pPr>
            <w:r w:rsidRPr="004E4199">
              <w:rPr>
                <w:rFonts w:asciiTheme="majorHAnsi" w:hAnsiTheme="majorHAnsi"/>
              </w:rPr>
              <w:t>60</w:t>
            </w:r>
          </w:p>
        </w:tc>
        <w:tc>
          <w:tcPr>
            <w:tcW w:w="0" w:type="auto"/>
            <w:shd w:val="clear" w:color="auto" w:fill="DCDCDF" w:themeFill="text2" w:themeFillTint="33"/>
            <w:noWrap/>
            <w:hideMark/>
          </w:tcPr>
          <w:p w14:paraId="21F66D5C" w14:textId="77777777" w:rsidR="004E4199" w:rsidRPr="004E4199" w:rsidRDefault="004E4199" w:rsidP="004E4199">
            <w:pPr>
              <w:pStyle w:val="TableText"/>
              <w:jc w:val="center"/>
              <w:rPr>
                <w:rFonts w:asciiTheme="majorHAnsi" w:hAnsiTheme="majorHAnsi"/>
              </w:rPr>
            </w:pPr>
            <w:r w:rsidRPr="004E4199">
              <w:rPr>
                <w:rFonts w:asciiTheme="majorHAnsi" w:hAnsiTheme="majorHAnsi"/>
              </w:rPr>
              <w:t>100.0%</w:t>
            </w:r>
          </w:p>
        </w:tc>
      </w:tr>
    </w:tbl>
    <w:p w14:paraId="210704E8" w14:textId="25C68DE4" w:rsidR="002F7F04" w:rsidRDefault="002F7F04" w:rsidP="002F7F04">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75979CB3" w14:textId="1CFBE690" w:rsidR="00066E55" w:rsidRPr="00066E55" w:rsidRDefault="008B67E7" w:rsidP="00066E55">
      <w:r>
        <w:fldChar w:fldCharType="begin"/>
      </w:r>
      <w:r>
        <w:instrText xml:space="preserve"> REF _Ref216265007 \h </w:instrText>
      </w:r>
      <w:r>
        <w:fldChar w:fldCharType="separate"/>
      </w:r>
      <w:r w:rsidR="00167BA0">
        <w:t xml:space="preserve">Table </w:t>
      </w:r>
      <w:r w:rsidR="00167BA0">
        <w:rPr>
          <w:noProof/>
        </w:rPr>
        <w:t>9</w:t>
      </w:r>
      <w:r w:rsidR="00167BA0">
        <w:t>.</w:t>
      </w:r>
      <w:r w:rsidR="00167BA0">
        <w:rPr>
          <w:noProof/>
        </w:rPr>
        <w:t>30</w:t>
      </w:r>
      <w:r>
        <w:fldChar w:fldCharType="end"/>
      </w:r>
      <w:r w:rsidR="00AF6882">
        <w:t xml:space="preserve"> </w:t>
      </w:r>
      <w:r w:rsidR="00952333">
        <w:t>shows the factors that impacted</w:t>
      </w:r>
      <w:r w:rsidR="00FD4056">
        <w:t xml:space="preserve"> PACOP training</w:t>
      </w:r>
      <w:r w:rsidR="00AF6882">
        <w:t>, as</w:t>
      </w:r>
      <w:r w:rsidR="00952333">
        <w:t xml:space="preserve"> reported by respondents to the PACOP snapshot survey.</w:t>
      </w:r>
    </w:p>
    <w:p w14:paraId="3DA2EFFF" w14:textId="6B8E585A" w:rsidR="002A16C5" w:rsidRDefault="002A16C5" w:rsidP="002A16C5">
      <w:pPr>
        <w:pStyle w:val="Caption"/>
      </w:pPr>
      <w:bookmarkStart w:id="229" w:name="_Ref216265007"/>
      <w:r>
        <w:t xml:space="preserve">Table </w:t>
      </w:r>
      <w:fldSimple w:instr=" STYLEREF 1 \s ">
        <w:r w:rsidR="0091457A">
          <w:rPr>
            <w:noProof/>
          </w:rPr>
          <w:t>9</w:t>
        </w:r>
      </w:fldSimple>
      <w:r w:rsidR="0091457A">
        <w:t>.</w:t>
      </w:r>
      <w:fldSimple w:instr=" SEQ Table \* ARABIC \s 1 ">
        <w:r w:rsidR="0091457A">
          <w:rPr>
            <w:noProof/>
          </w:rPr>
          <w:t>30</w:t>
        </w:r>
      </w:fldSimple>
      <w:bookmarkEnd w:id="229"/>
      <w:r>
        <w:t>: Reported factors that impact PACOP training</w:t>
      </w:r>
      <w:r w:rsidR="00980A2F">
        <w:t xml:space="preserve"> (n=61)</w:t>
      </w:r>
    </w:p>
    <w:tbl>
      <w:tblPr>
        <w:tblStyle w:val="HMAdefaulttable"/>
        <w:tblW w:w="5000" w:type="pct"/>
        <w:tblBorders>
          <w:left w:val="single" w:sz="4" w:space="0" w:color="auto"/>
          <w:right w:val="single" w:sz="4" w:space="0" w:color="auto"/>
          <w:insideV w:val="single" w:sz="4" w:space="0" w:color="auto"/>
        </w:tblBorders>
        <w:tblLook w:val="0420" w:firstRow="1" w:lastRow="0" w:firstColumn="0" w:lastColumn="0" w:noHBand="0" w:noVBand="1"/>
        <w:tblCaption w:val="Reported factors that impact PACOP training"/>
        <w:tblDescription w:val="Table shows the factors that impacted PACOP training, as reported by respondents to the PACOP snapshot survey."/>
      </w:tblPr>
      <w:tblGrid>
        <w:gridCol w:w="5411"/>
        <w:gridCol w:w="583"/>
        <w:gridCol w:w="1209"/>
      </w:tblGrid>
      <w:tr w:rsidR="002A16C5" w:rsidRPr="004E4199" w14:paraId="754FDF07" w14:textId="77777777" w:rsidTr="0033592E">
        <w:trPr>
          <w:cnfStyle w:val="100000000000" w:firstRow="1" w:lastRow="0" w:firstColumn="0" w:lastColumn="0" w:oddVBand="0" w:evenVBand="0" w:oddHBand="0" w:evenHBand="0" w:firstRowFirstColumn="0" w:firstRowLastColumn="0" w:lastRowFirstColumn="0" w:lastRowLastColumn="0"/>
          <w:trHeight w:val="255"/>
          <w:tblHeader/>
        </w:trPr>
        <w:tc>
          <w:tcPr>
            <w:tcW w:w="3756" w:type="pct"/>
            <w:noWrap/>
            <w:hideMark/>
          </w:tcPr>
          <w:p w14:paraId="2EDDEA25" w14:textId="5AE567B7" w:rsidR="002A16C5" w:rsidRPr="004E4199" w:rsidRDefault="00980A2F">
            <w:pPr>
              <w:pStyle w:val="TableHeading"/>
            </w:pPr>
            <w:r>
              <w:t>Factor</w:t>
            </w:r>
          </w:p>
        </w:tc>
        <w:tc>
          <w:tcPr>
            <w:tcW w:w="405" w:type="pct"/>
            <w:noWrap/>
            <w:hideMark/>
          </w:tcPr>
          <w:p w14:paraId="126C657C" w14:textId="77777777" w:rsidR="002A16C5" w:rsidRPr="004E4199" w:rsidRDefault="002A16C5">
            <w:pPr>
              <w:pStyle w:val="TableHeading"/>
              <w:jc w:val="center"/>
            </w:pPr>
            <w:r w:rsidRPr="004E4199">
              <w:t>n</w:t>
            </w:r>
          </w:p>
        </w:tc>
        <w:tc>
          <w:tcPr>
            <w:tcW w:w="839" w:type="pct"/>
            <w:noWrap/>
            <w:hideMark/>
          </w:tcPr>
          <w:p w14:paraId="637E09EE" w14:textId="77777777" w:rsidR="002A16C5" w:rsidRPr="004E4199" w:rsidRDefault="002A16C5">
            <w:pPr>
              <w:pStyle w:val="TableHeading"/>
              <w:jc w:val="center"/>
            </w:pPr>
            <w:r w:rsidRPr="004E4199">
              <w:t>%</w:t>
            </w:r>
          </w:p>
        </w:tc>
      </w:tr>
      <w:tr w:rsidR="00BF10C5" w:rsidRPr="004E4199" w14:paraId="0AC99AB9" w14:textId="77777777" w:rsidTr="0033592E">
        <w:trPr>
          <w:cnfStyle w:val="000000100000" w:firstRow="0" w:lastRow="0" w:firstColumn="0" w:lastColumn="0" w:oddVBand="0" w:evenVBand="0" w:oddHBand="1" w:evenHBand="0" w:firstRowFirstColumn="0" w:firstRowLastColumn="0" w:lastRowFirstColumn="0" w:lastRowLastColumn="0"/>
          <w:trHeight w:val="27"/>
        </w:trPr>
        <w:tc>
          <w:tcPr>
            <w:tcW w:w="3756" w:type="pct"/>
            <w:vAlign w:val="bottom"/>
          </w:tcPr>
          <w:p w14:paraId="142BFB25" w14:textId="3A8AF16D" w:rsidR="00BF10C5" w:rsidRPr="00906F80" w:rsidRDefault="00BF10C5" w:rsidP="00BF10C5">
            <w:pPr>
              <w:pStyle w:val="TableText"/>
            </w:pPr>
            <w:r w:rsidRPr="00906F80">
              <w:t>Access to education and training resources</w:t>
            </w:r>
          </w:p>
        </w:tc>
        <w:tc>
          <w:tcPr>
            <w:tcW w:w="405" w:type="pct"/>
            <w:noWrap/>
          </w:tcPr>
          <w:p w14:paraId="764E679F" w14:textId="38195D0C" w:rsidR="00BF10C5" w:rsidRPr="00BF10C5" w:rsidRDefault="00BF10C5" w:rsidP="00BF10C5">
            <w:pPr>
              <w:pStyle w:val="TableText"/>
              <w:jc w:val="center"/>
            </w:pPr>
            <w:r w:rsidRPr="00BF10C5">
              <w:t>42</w:t>
            </w:r>
          </w:p>
        </w:tc>
        <w:tc>
          <w:tcPr>
            <w:tcW w:w="839" w:type="pct"/>
            <w:noWrap/>
          </w:tcPr>
          <w:p w14:paraId="38EA2CE8" w14:textId="40135A38" w:rsidR="00BF10C5" w:rsidRPr="00BF10C5" w:rsidRDefault="00BF10C5" w:rsidP="00BF10C5">
            <w:pPr>
              <w:pStyle w:val="TableText"/>
              <w:jc w:val="center"/>
            </w:pPr>
            <w:r w:rsidRPr="00BF10C5">
              <w:t>68.9%</w:t>
            </w:r>
          </w:p>
        </w:tc>
      </w:tr>
      <w:tr w:rsidR="00BF10C5" w:rsidRPr="004E4199" w14:paraId="7C5735D3" w14:textId="77777777" w:rsidTr="0033592E">
        <w:trPr>
          <w:cnfStyle w:val="000000010000" w:firstRow="0" w:lastRow="0" w:firstColumn="0" w:lastColumn="0" w:oddVBand="0" w:evenVBand="0" w:oddHBand="0" w:evenHBand="1" w:firstRowFirstColumn="0" w:firstRowLastColumn="0" w:lastRowFirstColumn="0" w:lastRowLastColumn="0"/>
          <w:trHeight w:val="102"/>
        </w:trPr>
        <w:tc>
          <w:tcPr>
            <w:tcW w:w="3756" w:type="pct"/>
            <w:vAlign w:val="bottom"/>
          </w:tcPr>
          <w:p w14:paraId="734167E5" w14:textId="7F5CC37A" w:rsidR="00BF10C5" w:rsidRPr="00906F80" w:rsidRDefault="00BF10C5" w:rsidP="00BF10C5">
            <w:pPr>
              <w:pStyle w:val="TableText"/>
            </w:pPr>
            <w:r w:rsidRPr="00906F80">
              <w:t>Workload</w:t>
            </w:r>
          </w:p>
        </w:tc>
        <w:tc>
          <w:tcPr>
            <w:tcW w:w="405" w:type="pct"/>
            <w:noWrap/>
          </w:tcPr>
          <w:p w14:paraId="2F3BC157" w14:textId="4178ED69" w:rsidR="00BF10C5" w:rsidRPr="00BF10C5" w:rsidRDefault="00BF10C5" w:rsidP="00BF10C5">
            <w:pPr>
              <w:pStyle w:val="TableText"/>
              <w:jc w:val="center"/>
            </w:pPr>
            <w:r w:rsidRPr="00BF10C5">
              <w:t>39</w:t>
            </w:r>
          </w:p>
        </w:tc>
        <w:tc>
          <w:tcPr>
            <w:tcW w:w="839" w:type="pct"/>
            <w:noWrap/>
          </w:tcPr>
          <w:p w14:paraId="2274F7E8" w14:textId="5738B188" w:rsidR="00BF10C5" w:rsidRPr="00BF10C5" w:rsidRDefault="00BF10C5" w:rsidP="00BF10C5">
            <w:pPr>
              <w:pStyle w:val="TableText"/>
              <w:jc w:val="center"/>
            </w:pPr>
            <w:r w:rsidRPr="00BF10C5">
              <w:t>63.9%</w:t>
            </w:r>
          </w:p>
        </w:tc>
      </w:tr>
      <w:tr w:rsidR="00BF10C5" w:rsidRPr="004E4199" w14:paraId="781252E3" w14:textId="77777777" w:rsidTr="0033592E">
        <w:trPr>
          <w:cnfStyle w:val="000000100000" w:firstRow="0" w:lastRow="0" w:firstColumn="0" w:lastColumn="0" w:oddVBand="0" w:evenVBand="0" w:oddHBand="1" w:evenHBand="0" w:firstRowFirstColumn="0" w:firstRowLastColumn="0" w:lastRowFirstColumn="0" w:lastRowLastColumn="0"/>
          <w:trHeight w:val="102"/>
        </w:trPr>
        <w:tc>
          <w:tcPr>
            <w:tcW w:w="3756" w:type="pct"/>
            <w:vAlign w:val="bottom"/>
          </w:tcPr>
          <w:p w14:paraId="59BD5125" w14:textId="24C41A34" w:rsidR="00BF10C5" w:rsidRPr="00906F80" w:rsidRDefault="00BF10C5" w:rsidP="00BF10C5">
            <w:pPr>
              <w:pStyle w:val="TableText"/>
            </w:pPr>
            <w:r w:rsidRPr="00906F80">
              <w:t xml:space="preserve">Staffing levels </w:t>
            </w:r>
          </w:p>
        </w:tc>
        <w:tc>
          <w:tcPr>
            <w:tcW w:w="405" w:type="pct"/>
            <w:noWrap/>
          </w:tcPr>
          <w:p w14:paraId="4EDED401" w14:textId="34FF86D3" w:rsidR="00BF10C5" w:rsidRPr="00BF10C5" w:rsidRDefault="00BF10C5" w:rsidP="00BF10C5">
            <w:pPr>
              <w:pStyle w:val="TableText"/>
              <w:jc w:val="center"/>
            </w:pPr>
            <w:r w:rsidRPr="00BF10C5">
              <w:t>35</w:t>
            </w:r>
          </w:p>
        </w:tc>
        <w:tc>
          <w:tcPr>
            <w:tcW w:w="839" w:type="pct"/>
            <w:noWrap/>
          </w:tcPr>
          <w:p w14:paraId="557802DA" w14:textId="49E40D04" w:rsidR="00BF10C5" w:rsidRPr="00BF10C5" w:rsidRDefault="00BF10C5" w:rsidP="00BF10C5">
            <w:pPr>
              <w:pStyle w:val="TableText"/>
              <w:jc w:val="center"/>
            </w:pPr>
            <w:r w:rsidRPr="00BF10C5">
              <w:t>57.4%</w:t>
            </w:r>
          </w:p>
        </w:tc>
      </w:tr>
      <w:tr w:rsidR="00BF10C5" w:rsidRPr="004E4199" w14:paraId="2039B51A" w14:textId="77777777" w:rsidTr="0033592E">
        <w:trPr>
          <w:cnfStyle w:val="000000010000" w:firstRow="0" w:lastRow="0" w:firstColumn="0" w:lastColumn="0" w:oddVBand="0" w:evenVBand="0" w:oddHBand="0" w:evenHBand="1" w:firstRowFirstColumn="0" w:firstRowLastColumn="0" w:lastRowFirstColumn="0" w:lastRowLastColumn="0"/>
          <w:trHeight w:val="270"/>
        </w:trPr>
        <w:tc>
          <w:tcPr>
            <w:tcW w:w="3756" w:type="pct"/>
            <w:vAlign w:val="bottom"/>
          </w:tcPr>
          <w:p w14:paraId="38B8E8D9" w14:textId="122E1289" w:rsidR="00BF10C5" w:rsidRPr="00906F80" w:rsidRDefault="00BF10C5" w:rsidP="00BF10C5">
            <w:pPr>
              <w:pStyle w:val="TableText"/>
            </w:pPr>
            <w:r w:rsidRPr="00906F80">
              <w:t xml:space="preserve">Staff turnover </w:t>
            </w:r>
          </w:p>
        </w:tc>
        <w:tc>
          <w:tcPr>
            <w:tcW w:w="405" w:type="pct"/>
            <w:noWrap/>
          </w:tcPr>
          <w:p w14:paraId="28C996CA" w14:textId="4CD42D6A" w:rsidR="00BF10C5" w:rsidRPr="00BF10C5" w:rsidRDefault="00BF10C5" w:rsidP="00BF10C5">
            <w:pPr>
              <w:pStyle w:val="TableText"/>
              <w:jc w:val="center"/>
            </w:pPr>
            <w:r w:rsidRPr="00BF10C5">
              <w:t>24</w:t>
            </w:r>
          </w:p>
        </w:tc>
        <w:tc>
          <w:tcPr>
            <w:tcW w:w="839" w:type="pct"/>
            <w:noWrap/>
          </w:tcPr>
          <w:p w14:paraId="58AA8192" w14:textId="02DF28FB" w:rsidR="00BF10C5" w:rsidRPr="00BF10C5" w:rsidRDefault="00BF10C5" w:rsidP="00BF10C5">
            <w:pPr>
              <w:pStyle w:val="TableText"/>
              <w:jc w:val="center"/>
            </w:pPr>
            <w:r w:rsidRPr="00BF10C5">
              <w:t>39.3%</w:t>
            </w:r>
          </w:p>
        </w:tc>
      </w:tr>
      <w:tr w:rsidR="00BF10C5" w:rsidRPr="004E4199" w14:paraId="391CEE4C" w14:textId="77777777" w:rsidTr="0033592E">
        <w:trPr>
          <w:cnfStyle w:val="000000100000" w:firstRow="0" w:lastRow="0" w:firstColumn="0" w:lastColumn="0" w:oddVBand="0" w:evenVBand="0" w:oddHBand="1" w:evenHBand="0" w:firstRowFirstColumn="0" w:firstRowLastColumn="0" w:lastRowFirstColumn="0" w:lastRowLastColumn="0"/>
          <w:trHeight w:val="13"/>
        </w:trPr>
        <w:tc>
          <w:tcPr>
            <w:tcW w:w="3756" w:type="pct"/>
            <w:vAlign w:val="bottom"/>
          </w:tcPr>
          <w:p w14:paraId="60E571F9" w14:textId="0C89DCDA" w:rsidR="00BF10C5" w:rsidRPr="00906F80" w:rsidRDefault="00BF10C5" w:rsidP="00BF10C5">
            <w:pPr>
              <w:pStyle w:val="TableText"/>
            </w:pPr>
            <w:r w:rsidRPr="00906F80">
              <w:t>Protected training time</w:t>
            </w:r>
          </w:p>
        </w:tc>
        <w:tc>
          <w:tcPr>
            <w:tcW w:w="405" w:type="pct"/>
            <w:noWrap/>
          </w:tcPr>
          <w:p w14:paraId="5D523AE4" w14:textId="4633E71F" w:rsidR="00BF10C5" w:rsidRPr="00BF10C5" w:rsidRDefault="00BF10C5" w:rsidP="00BF10C5">
            <w:pPr>
              <w:pStyle w:val="TableText"/>
              <w:jc w:val="center"/>
            </w:pPr>
            <w:r w:rsidRPr="00BF10C5">
              <w:t>21</w:t>
            </w:r>
          </w:p>
        </w:tc>
        <w:tc>
          <w:tcPr>
            <w:tcW w:w="839" w:type="pct"/>
            <w:noWrap/>
          </w:tcPr>
          <w:p w14:paraId="36AA2A13" w14:textId="5036641C" w:rsidR="00BF10C5" w:rsidRPr="00BF10C5" w:rsidRDefault="00BF10C5" w:rsidP="00BF10C5">
            <w:pPr>
              <w:pStyle w:val="TableText"/>
              <w:jc w:val="center"/>
            </w:pPr>
            <w:r w:rsidRPr="00BF10C5">
              <w:t>34.4%</w:t>
            </w:r>
          </w:p>
        </w:tc>
      </w:tr>
      <w:tr w:rsidR="00BF10C5" w:rsidRPr="004E4199" w14:paraId="79302BF5" w14:textId="77777777" w:rsidTr="0033592E">
        <w:trPr>
          <w:cnfStyle w:val="000000010000" w:firstRow="0" w:lastRow="0" w:firstColumn="0" w:lastColumn="0" w:oddVBand="0" w:evenVBand="0" w:oddHBand="0" w:evenHBand="1" w:firstRowFirstColumn="0" w:firstRowLastColumn="0" w:lastRowFirstColumn="0" w:lastRowLastColumn="0"/>
          <w:trHeight w:val="13"/>
        </w:trPr>
        <w:tc>
          <w:tcPr>
            <w:tcW w:w="3756" w:type="pct"/>
            <w:vAlign w:val="bottom"/>
          </w:tcPr>
          <w:p w14:paraId="68084AA0" w14:textId="1FEA4AD3" w:rsidR="00BF10C5" w:rsidRPr="00906F80" w:rsidRDefault="00BF10C5" w:rsidP="00BF10C5">
            <w:pPr>
              <w:pStyle w:val="TableText"/>
            </w:pPr>
            <w:r w:rsidRPr="00906F80">
              <w:t>Team culture</w:t>
            </w:r>
          </w:p>
        </w:tc>
        <w:tc>
          <w:tcPr>
            <w:tcW w:w="405" w:type="pct"/>
            <w:noWrap/>
          </w:tcPr>
          <w:p w14:paraId="2123CF38" w14:textId="51AB5A77" w:rsidR="00BF10C5" w:rsidRPr="00BF10C5" w:rsidRDefault="00BF10C5" w:rsidP="00BF10C5">
            <w:pPr>
              <w:pStyle w:val="TableText"/>
              <w:jc w:val="center"/>
            </w:pPr>
            <w:r w:rsidRPr="00BF10C5">
              <w:t>18</w:t>
            </w:r>
          </w:p>
        </w:tc>
        <w:tc>
          <w:tcPr>
            <w:tcW w:w="839" w:type="pct"/>
            <w:noWrap/>
          </w:tcPr>
          <w:p w14:paraId="75D14AD1" w14:textId="35BA6E55" w:rsidR="00BF10C5" w:rsidRPr="00BF10C5" w:rsidRDefault="00BF10C5" w:rsidP="00BF10C5">
            <w:pPr>
              <w:pStyle w:val="TableText"/>
              <w:jc w:val="center"/>
            </w:pPr>
            <w:r w:rsidRPr="00BF10C5">
              <w:t>29.5%</w:t>
            </w:r>
          </w:p>
        </w:tc>
      </w:tr>
      <w:tr w:rsidR="00BF10C5" w:rsidRPr="004E4199" w14:paraId="78C0C571" w14:textId="77777777" w:rsidTr="0033592E">
        <w:trPr>
          <w:cnfStyle w:val="000000100000" w:firstRow="0" w:lastRow="0" w:firstColumn="0" w:lastColumn="0" w:oddVBand="0" w:evenVBand="0" w:oddHBand="1" w:evenHBand="0" w:firstRowFirstColumn="0" w:firstRowLastColumn="0" w:lastRowFirstColumn="0" w:lastRowLastColumn="0"/>
          <w:trHeight w:val="96"/>
        </w:trPr>
        <w:tc>
          <w:tcPr>
            <w:tcW w:w="3756" w:type="pct"/>
            <w:vAlign w:val="bottom"/>
          </w:tcPr>
          <w:p w14:paraId="4D262C18" w14:textId="7A4539E5" w:rsidR="00BF10C5" w:rsidRPr="00906F80" w:rsidRDefault="00BF10C5" w:rsidP="00BF10C5">
            <w:pPr>
              <w:pStyle w:val="TableText"/>
            </w:pPr>
            <w:r w:rsidRPr="00906F80">
              <w:t>Financial cost</w:t>
            </w:r>
          </w:p>
        </w:tc>
        <w:tc>
          <w:tcPr>
            <w:tcW w:w="405" w:type="pct"/>
            <w:noWrap/>
          </w:tcPr>
          <w:p w14:paraId="4C766830" w14:textId="4C278A52" w:rsidR="00BF10C5" w:rsidRPr="00BF10C5" w:rsidRDefault="00BF10C5" w:rsidP="00BF10C5">
            <w:pPr>
              <w:pStyle w:val="TableText"/>
              <w:jc w:val="center"/>
            </w:pPr>
            <w:r w:rsidRPr="00BF10C5">
              <w:t>10</w:t>
            </w:r>
          </w:p>
        </w:tc>
        <w:tc>
          <w:tcPr>
            <w:tcW w:w="839" w:type="pct"/>
            <w:noWrap/>
          </w:tcPr>
          <w:p w14:paraId="7587E09C" w14:textId="23F244A8" w:rsidR="00BF10C5" w:rsidRPr="00BF10C5" w:rsidRDefault="00BF10C5" w:rsidP="00BF10C5">
            <w:pPr>
              <w:pStyle w:val="TableText"/>
              <w:jc w:val="center"/>
            </w:pPr>
            <w:r w:rsidRPr="00BF10C5">
              <w:t>16.4%</w:t>
            </w:r>
          </w:p>
        </w:tc>
      </w:tr>
      <w:tr w:rsidR="00BF10C5" w:rsidRPr="004E4199" w14:paraId="74283614" w14:textId="77777777" w:rsidTr="0033592E">
        <w:trPr>
          <w:cnfStyle w:val="000000010000" w:firstRow="0" w:lastRow="0" w:firstColumn="0" w:lastColumn="0" w:oddVBand="0" w:evenVBand="0" w:oddHBand="0" w:evenHBand="1" w:firstRowFirstColumn="0" w:firstRowLastColumn="0" w:lastRowFirstColumn="0" w:lastRowLastColumn="0"/>
          <w:trHeight w:val="192"/>
        </w:trPr>
        <w:tc>
          <w:tcPr>
            <w:tcW w:w="3756" w:type="pct"/>
            <w:vAlign w:val="bottom"/>
          </w:tcPr>
          <w:p w14:paraId="25EEB9D2" w14:textId="4CCAFDB4" w:rsidR="00BF10C5" w:rsidRPr="00906F80" w:rsidRDefault="00BF10C5" w:rsidP="00BF10C5">
            <w:pPr>
              <w:pStyle w:val="TableText"/>
            </w:pPr>
            <w:r w:rsidRPr="00906F80">
              <w:t>Other</w:t>
            </w:r>
          </w:p>
        </w:tc>
        <w:tc>
          <w:tcPr>
            <w:tcW w:w="405" w:type="pct"/>
            <w:noWrap/>
          </w:tcPr>
          <w:p w14:paraId="525B6975" w14:textId="2040A4D8" w:rsidR="00BF10C5" w:rsidRPr="00BF10C5" w:rsidRDefault="00BF10C5" w:rsidP="00BF10C5">
            <w:pPr>
              <w:pStyle w:val="TableText"/>
              <w:jc w:val="center"/>
            </w:pPr>
            <w:r w:rsidRPr="00BF10C5">
              <w:t>3</w:t>
            </w:r>
          </w:p>
        </w:tc>
        <w:tc>
          <w:tcPr>
            <w:tcW w:w="839" w:type="pct"/>
            <w:noWrap/>
          </w:tcPr>
          <w:p w14:paraId="17E981E0" w14:textId="6B00B4B4" w:rsidR="00BF10C5" w:rsidRPr="00BF10C5" w:rsidRDefault="00BF10C5" w:rsidP="00BF10C5">
            <w:pPr>
              <w:pStyle w:val="TableText"/>
              <w:jc w:val="center"/>
            </w:pPr>
            <w:r w:rsidRPr="00BF10C5">
              <w:t>4.9%</w:t>
            </w:r>
          </w:p>
        </w:tc>
      </w:tr>
      <w:tr w:rsidR="002A16C5" w:rsidRPr="004E4199" w14:paraId="3099CD74" w14:textId="77777777" w:rsidTr="0033592E">
        <w:trPr>
          <w:cnfStyle w:val="000000100000" w:firstRow="0" w:lastRow="0" w:firstColumn="0" w:lastColumn="0" w:oddVBand="0" w:evenVBand="0" w:oddHBand="1" w:evenHBand="0" w:firstRowFirstColumn="0" w:firstRowLastColumn="0" w:lastRowFirstColumn="0" w:lastRowLastColumn="0"/>
          <w:trHeight w:val="255"/>
        </w:trPr>
        <w:tc>
          <w:tcPr>
            <w:tcW w:w="3756" w:type="pct"/>
            <w:shd w:val="clear" w:color="auto" w:fill="DCDCDF" w:themeFill="text2" w:themeFillTint="33"/>
            <w:noWrap/>
            <w:hideMark/>
          </w:tcPr>
          <w:p w14:paraId="45AF96F3" w14:textId="77777777" w:rsidR="002A16C5" w:rsidRPr="004E4199" w:rsidRDefault="002A16C5">
            <w:pPr>
              <w:pStyle w:val="TableText"/>
              <w:rPr>
                <w:rFonts w:asciiTheme="majorHAnsi" w:hAnsiTheme="majorHAnsi"/>
              </w:rPr>
            </w:pPr>
            <w:r w:rsidRPr="004E4199">
              <w:rPr>
                <w:rFonts w:asciiTheme="majorHAnsi" w:hAnsiTheme="majorHAnsi"/>
              </w:rPr>
              <w:t>Total</w:t>
            </w:r>
          </w:p>
        </w:tc>
        <w:tc>
          <w:tcPr>
            <w:tcW w:w="405" w:type="pct"/>
            <w:shd w:val="clear" w:color="auto" w:fill="DCDCDF" w:themeFill="text2" w:themeFillTint="33"/>
            <w:noWrap/>
            <w:hideMark/>
          </w:tcPr>
          <w:p w14:paraId="7C3EC183" w14:textId="10EFDE3F" w:rsidR="002A16C5" w:rsidRPr="004E4199" w:rsidRDefault="002A16C5">
            <w:pPr>
              <w:pStyle w:val="TableText"/>
              <w:jc w:val="center"/>
              <w:rPr>
                <w:rFonts w:asciiTheme="majorHAnsi" w:hAnsiTheme="majorHAnsi"/>
              </w:rPr>
            </w:pPr>
            <w:r w:rsidRPr="004E4199">
              <w:rPr>
                <w:rFonts w:asciiTheme="majorHAnsi" w:hAnsiTheme="majorHAnsi"/>
              </w:rPr>
              <w:t>6</w:t>
            </w:r>
            <w:r>
              <w:rPr>
                <w:rFonts w:asciiTheme="majorHAnsi" w:hAnsiTheme="majorHAnsi"/>
              </w:rPr>
              <w:t>1</w:t>
            </w:r>
          </w:p>
        </w:tc>
        <w:tc>
          <w:tcPr>
            <w:tcW w:w="839" w:type="pct"/>
            <w:shd w:val="clear" w:color="auto" w:fill="DCDCDF" w:themeFill="text2" w:themeFillTint="33"/>
            <w:noWrap/>
            <w:hideMark/>
          </w:tcPr>
          <w:p w14:paraId="0E92CB9C" w14:textId="77777777" w:rsidR="002A16C5" w:rsidRPr="004E4199" w:rsidRDefault="002A16C5">
            <w:pPr>
              <w:pStyle w:val="TableText"/>
              <w:jc w:val="center"/>
              <w:rPr>
                <w:rFonts w:asciiTheme="majorHAnsi" w:hAnsiTheme="majorHAnsi"/>
              </w:rPr>
            </w:pPr>
            <w:r w:rsidRPr="004E4199">
              <w:rPr>
                <w:rFonts w:asciiTheme="majorHAnsi" w:hAnsiTheme="majorHAnsi"/>
              </w:rPr>
              <w:t>100.0%</w:t>
            </w:r>
          </w:p>
        </w:tc>
      </w:tr>
    </w:tbl>
    <w:p w14:paraId="176BB44F" w14:textId="6763FE01" w:rsidR="002A16C5" w:rsidRDefault="002A16C5" w:rsidP="002A16C5">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768C7F18" w14:textId="69A25934" w:rsidR="00593A5D" w:rsidRDefault="005E6CBE" w:rsidP="00BA6A2A">
      <w:r>
        <w:lastRenderedPageBreak/>
        <w:fldChar w:fldCharType="begin"/>
      </w:r>
      <w:r>
        <w:instrText xml:space="preserve"> REF _Ref216794167 \h </w:instrText>
      </w:r>
      <w:r>
        <w:fldChar w:fldCharType="separate"/>
      </w:r>
      <w:r w:rsidR="00167BA0">
        <w:t xml:space="preserve">Figure </w:t>
      </w:r>
      <w:r w:rsidR="00167BA0">
        <w:rPr>
          <w:noProof/>
        </w:rPr>
        <w:t>9</w:t>
      </w:r>
      <w:r w:rsidR="00167BA0">
        <w:t>.</w:t>
      </w:r>
      <w:r w:rsidR="00167BA0">
        <w:rPr>
          <w:noProof/>
        </w:rPr>
        <w:t>9</w:t>
      </w:r>
      <w:r>
        <w:fldChar w:fldCharType="end"/>
      </w:r>
      <w:r w:rsidR="00FD4056">
        <w:t xml:space="preserve"> shows </w:t>
      </w:r>
      <w:r w:rsidR="001A38E7">
        <w:t xml:space="preserve">the </w:t>
      </w:r>
      <w:r w:rsidR="00FD4056">
        <w:t xml:space="preserve">perceived extent to which PACOP impacted </w:t>
      </w:r>
      <w:r w:rsidR="001A38E7">
        <w:t xml:space="preserve">key aspects of </w:t>
      </w:r>
      <w:r w:rsidR="00FD4056">
        <w:t xml:space="preserve">resident </w:t>
      </w:r>
      <w:r w:rsidR="001A38E7">
        <w:t xml:space="preserve">care, as </w:t>
      </w:r>
      <w:r w:rsidR="00FD4056">
        <w:t>reported by respondents to the PACOP snapshot survey.</w:t>
      </w:r>
    </w:p>
    <w:p w14:paraId="5D87528C" w14:textId="5678D39A" w:rsidR="00DD3EB1" w:rsidRDefault="00DD3EB1" w:rsidP="005E6CBE">
      <w:pPr>
        <w:pStyle w:val="Caption"/>
      </w:pPr>
      <w:bookmarkStart w:id="230" w:name="_Ref216794167"/>
      <w:r>
        <w:t xml:space="preserve">Figure </w:t>
      </w:r>
      <w:fldSimple w:instr=" STYLEREF 1 \s ">
        <w:r w:rsidR="00167BA0">
          <w:rPr>
            <w:noProof/>
          </w:rPr>
          <w:t>9</w:t>
        </w:r>
      </w:fldSimple>
      <w:r>
        <w:t>.</w:t>
      </w:r>
      <w:fldSimple w:instr=" SEQ Figure \* ARABIC \s 1 ">
        <w:r w:rsidR="00167BA0">
          <w:rPr>
            <w:noProof/>
          </w:rPr>
          <w:t>9</w:t>
        </w:r>
      </w:fldSimple>
      <w:bookmarkEnd w:id="230"/>
      <w:r>
        <w:t xml:space="preserve">: </w:t>
      </w:r>
      <w:r w:rsidR="005E6CBE">
        <w:t xml:space="preserve">Perceptions of </w:t>
      </w:r>
      <w:r w:rsidR="00A32347">
        <w:t xml:space="preserve">the </w:t>
      </w:r>
      <w:r w:rsidR="005E6CBE">
        <w:t>e</w:t>
      </w:r>
      <w:r>
        <w:t xml:space="preserve">xtent to which PACOP </w:t>
      </w:r>
      <w:r w:rsidR="00AE5A69">
        <w:br/>
      </w:r>
      <w:r>
        <w:t>improved resident care outcomes</w:t>
      </w:r>
      <w:r w:rsidR="005E6CBE">
        <w:t xml:space="preserve"> (n=61)</w:t>
      </w:r>
    </w:p>
    <w:p w14:paraId="42627586" w14:textId="3C9C849E" w:rsidR="004E4199" w:rsidRDefault="002F7F04" w:rsidP="00BA6A2A">
      <w:r>
        <w:rPr>
          <w:noProof/>
        </w:rPr>
        <w:drawing>
          <wp:inline distT="0" distB="0" distL="0" distR="0" wp14:anchorId="5F63E2C7" wp14:editId="2FCC947E">
            <wp:extent cx="4570197" cy="2110705"/>
            <wp:effectExtent l="0" t="0" r="1905" b="4445"/>
            <wp:docPr id="445788484" name="Picture 10" descr="Figure 9.9 is a diagram showing Perceptions of the extent to which PACOP improved resident care outcomes (n=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788484" name="Picture 10" descr="Figure 9.9 is a diagram showing Perceptions of the extent to which PACOP improved resident care outcomes (n=6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594593" cy="2121972"/>
                    </a:xfrm>
                    <a:prstGeom prst="rect">
                      <a:avLst/>
                    </a:prstGeom>
                    <a:noFill/>
                  </pic:spPr>
                </pic:pic>
              </a:graphicData>
            </a:graphic>
          </wp:inline>
        </w:drawing>
      </w:r>
    </w:p>
    <w:p w14:paraId="62100878" w14:textId="6A92C0E2" w:rsidR="00A32347" w:rsidRDefault="002F7F04" w:rsidP="00A32347">
      <w:pPr>
        <w:pStyle w:val="Tablenotes"/>
        <w:sectPr w:rsidR="00A32347" w:rsidSect="00A32347">
          <w:pgSz w:w="16838" w:h="11906" w:orient="landscape" w:code="9"/>
          <w:pgMar w:top="851" w:right="851" w:bottom="851" w:left="851" w:header="709" w:footer="567" w:gutter="0"/>
          <w:cols w:num="2" w:space="709"/>
          <w:docGrid w:linePitch="360"/>
        </w:sectPr>
      </w:pPr>
      <w:r w:rsidRPr="00362F97">
        <w:t xml:space="preserve">Source: </w:t>
      </w:r>
      <w:r>
        <w:t>PACOP</w:t>
      </w:r>
      <w:r w:rsidRPr="00362F97">
        <w:t xml:space="preserve"> program data provided by </w:t>
      </w:r>
      <w:r>
        <w:t>the University of Wollongong</w:t>
      </w:r>
      <w:r w:rsidRPr="00362F97">
        <w:t>, September 2025</w:t>
      </w:r>
      <w:r>
        <w:t>.</w:t>
      </w:r>
      <w:r w:rsidR="00F4162A">
        <w:t>PACOP financial analysis</w:t>
      </w:r>
      <w:r w:rsidR="00AE5A69">
        <w:t>.</w:t>
      </w:r>
    </w:p>
    <w:p w14:paraId="19F55CEB" w14:textId="58BEBE6A" w:rsidR="005A2C49" w:rsidRDefault="00030A9E" w:rsidP="005A2C49">
      <w:r>
        <w:fldChar w:fldCharType="begin"/>
      </w:r>
      <w:r>
        <w:instrText xml:space="preserve"> REF _Ref214442994 \h </w:instrText>
      </w:r>
      <w:r>
        <w:fldChar w:fldCharType="separate"/>
      </w:r>
      <w:r w:rsidR="00167BA0">
        <w:t xml:space="preserve">Table </w:t>
      </w:r>
      <w:r w:rsidR="00167BA0">
        <w:rPr>
          <w:noProof/>
        </w:rPr>
        <w:t>9</w:t>
      </w:r>
      <w:r w:rsidR="00167BA0">
        <w:t>.</w:t>
      </w:r>
      <w:r w:rsidR="00167BA0">
        <w:rPr>
          <w:noProof/>
        </w:rPr>
        <w:t>31</w:t>
      </w:r>
      <w:r>
        <w:fldChar w:fldCharType="end"/>
      </w:r>
      <w:r w:rsidR="00AA22B2">
        <w:t xml:space="preserve"> provides a breakdown of PACOP salary expenditure by financial year.</w:t>
      </w:r>
    </w:p>
    <w:p w14:paraId="77FA6C2F" w14:textId="68E47233" w:rsidR="00030A9E" w:rsidRDefault="00030A9E" w:rsidP="00030A9E">
      <w:pPr>
        <w:pStyle w:val="Caption"/>
      </w:pPr>
      <w:bookmarkStart w:id="231" w:name="_Ref214442994"/>
      <w:r>
        <w:t xml:space="preserve">Table </w:t>
      </w:r>
      <w:fldSimple w:instr=" STYLEREF 1 \s ">
        <w:r w:rsidR="0091457A">
          <w:rPr>
            <w:noProof/>
          </w:rPr>
          <w:t>9</w:t>
        </w:r>
      </w:fldSimple>
      <w:r w:rsidR="0091457A">
        <w:t>.</w:t>
      </w:r>
      <w:fldSimple w:instr=" SEQ Table \* ARABIC \s 1 ">
        <w:r w:rsidR="0091457A">
          <w:rPr>
            <w:noProof/>
          </w:rPr>
          <w:t>31</w:t>
        </w:r>
      </w:fldSimple>
      <w:bookmarkEnd w:id="231"/>
      <w:r>
        <w:t>: Breakdown of PACOP salaries, headcount, and FTE (where available) by financial year</w:t>
      </w:r>
    </w:p>
    <w:tbl>
      <w:tblPr>
        <w:tblStyle w:val="HMAdefaulttable"/>
        <w:tblW w:w="15168"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Breakdown of PACOP salary expenditure"/>
        <w:tblDescription w:val="Tables shows the breakdown of PACOP salaries, headcount, and FTE (where available) by four financial years from 2021-22 to 2024-25."/>
      </w:tblPr>
      <w:tblGrid>
        <w:gridCol w:w="2977"/>
        <w:gridCol w:w="1523"/>
        <w:gridCol w:w="1524"/>
        <w:gridCol w:w="1524"/>
        <w:gridCol w:w="1524"/>
        <w:gridCol w:w="1524"/>
        <w:gridCol w:w="1524"/>
        <w:gridCol w:w="1524"/>
        <w:gridCol w:w="1524"/>
      </w:tblGrid>
      <w:tr w:rsidR="00030A9E" w:rsidRPr="00A25DC8" w14:paraId="5E8C8008" w14:textId="77777777" w:rsidTr="001F570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977" w:type="dxa"/>
            <w:hideMark/>
          </w:tcPr>
          <w:p w14:paraId="5D154447" w14:textId="77777777" w:rsidR="00030A9E" w:rsidRPr="00A25DC8" w:rsidRDefault="00030A9E" w:rsidP="00120E73">
            <w:pPr>
              <w:pStyle w:val="TableHeading"/>
              <w:rPr>
                <w:lang w:eastAsia="en-AU"/>
              </w:rPr>
            </w:pPr>
            <w:r w:rsidRPr="00A25DC8">
              <w:rPr>
                <w:lang w:eastAsia="en-AU"/>
              </w:rPr>
              <w:t>Position</w:t>
            </w:r>
          </w:p>
        </w:tc>
        <w:tc>
          <w:tcPr>
            <w:tcW w:w="1523" w:type="dxa"/>
            <w:noWrap/>
            <w:hideMark/>
          </w:tcPr>
          <w:p w14:paraId="13E945B7" w14:textId="77777777"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A25DC8">
              <w:rPr>
                <w:lang w:eastAsia="en-AU"/>
              </w:rPr>
              <w:t>2021</w:t>
            </w:r>
            <w:r>
              <w:rPr>
                <w:lang w:eastAsia="en-AU"/>
              </w:rPr>
              <w:t>–</w:t>
            </w:r>
            <w:r w:rsidRPr="00A25DC8">
              <w:rPr>
                <w:lang w:eastAsia="en-AU"/>
              </w:rPr>
              <w:t>22</w:t>
            </w:r>
          </w:p>
        </w:tc>
        <w:tc>
          <w:tcPr>
            <w:tcW w:w="1524" w:type="dxa"/>
            <w:noWrap/>
            <w:hideMark/>
          </w:tcPr>
          <w:p w14:paraId="772442DC" w14:textId="77777777"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A25DC8">
              <w:rPr>
                <w:lang w:eastAsia="en-AU"/>
              </w:rPr>
              <w:t>Headcount (FTE)</w:t>
            </w:r>
          </w:p>
        </w:tc>
        <w:tc>
          <w:tcPr>
            <w:tcW w:w="1524" w:type="dxa"/>
            <w:noWrap/>
            <w:hideMark/>
          </w:tcPr>
          <w:p w14:paraId="4525F9C4" w14:textId="77777777"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A25DC8">
              <w:rPr>
                <w:lang w:eastAsia="en-AU"/>
              </w:rPr>
              <w:t>2022</w:t>
            </w:r>
            <w:r>
              <w:rPr>
                <w:lang w:eastAsia="en-AU"/>
              </w:rPr>
              <w:t>–</w:t>
            </w:r>
            <w:r w:rsidRPr="00A25DC8">
              <w:rPr>
                <w:lang w:eastAsia="en-AU"/>
              </w:rPr>
              <w:t>23</w:t>
            </w:r>
          </w:p>
        </w:tc>
        <w:tc>
          <w:tcPr>
            <w:tcW w:w="1524" w:type="dxa"/>
            <w:noWrap/>
            <w:hideMark/>
          </w:tcPr>
          <w:p w14:paraId="5CEBBA2E" w14:textId="77777777"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A25DC8">
              <w:rPr>
                <w:lang w:eastAsia="en-AU"/>
              </w:rPr>
              <w:t>Headcount (FTE)</w:t>
            </w:r>
          </w:p>
        </w:tc>
        <w:tc>
          <w:tcPr>
            <w:tcW w:w="1524" w:type="dxa"/>
            <w:noWrap/>
            <w:hideMark/>
          </w:tcPr>
          <w:p w14:paraId="5A5258B7" w14:textId="77777777"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A25DC8">
              <w:rPr>
                <w:lang w:eastAsia="en-AU"/>
              </w:rPr>
              <w:t>2023</w:t>
            </w:r>
            <w:r>
              <w:rPr>
                <w:lang w:eastAsia="en-AU"/>
              </w:rPr>
              <w:t>–</w:t>
            </w:r>
            <w:r w:rsidRPr="00A25DC8">
              <w:rPr>
                <w:lang w:eastAsia="en-AU"/>
              </w:rPr>
              <w:t>24</w:t>
            </w:r>
          </w:p>
        </w:tc>
        <w:tc>
          <w:tcPr>
            <w:tcW w:w="1524" w:type="dxa"/>
            <w:noWrap/>
            <w:hideMark/>
          </w:tcPr>
          <w:p w14:paraId="242254CD" w14:textId="77777777"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A25DC8">
              <w:rPr>
                <w:lang w:eastAsia="en-AU"/>
              </w:rPr>
              <w:t>Headcount (FTE)</w:t>
            </w:r>
          </w:p>
        </w:tc>
        <w:tc>
          <w:tcPr>
            <w:tcW w:w="1524" w:type="dxa"/>
            <w:noWrap/>
            <w:hideMark/>
          </w:tcPr>
          <w:p w14:paraId="541BFAAA" w14:textId="77777777"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A25DC8">
              <w:rPr>
                <w:lang w:eastAsia="en-AU"/>
              </w:rPr>
              <w:t>2024</w:t>
            </w:r>
            <w:r>
              <w:rPr>
                <w:lang w:eastAsia="en-AU"/>
              </w:rPr>
              <w:t>–</w:t>
            </w:r>
            <w:r w:rsidRPr="00A25DC8">
              <w:rPr>
                <w:lang w:eastAsia="en-AU"/>
              </w:rPr>
              <w:t>25</w:t>
            </w:r>
          </w:p>
        </w:tc>
        <w:tc>
          <w:tcPr>
            <w:tcW w:w="1524" w:type="dxa"/>
            <w:noWrap/>
            <w:hideMark/>
          </w:tcPr>
          <w:p w14:paraId="506C1C74" w14:textId="77777777"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A25DC8">
              <w:rPr>
                <w:lang w:eastAsia="en-AU"/>
              </w:rPr>
              <w:t>Headcount (FTE)</w:t>
            </w:r>
          </w:p>
        </w:tc>
      </w:tr>
      <w:tr w:rsidR="00AC067E" w:rsidRPr="00AC067E" w14:paraId="74CDC6FD" w14:textId="77777777" w:rsidTr="00AC067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9AD9C8" w:themeFill="background2" w:themeFillTint="99"/>
          </w:tcPr>
          <w:p w14:paraId="7234421E" w14:textId="451585F4" w:rsidR="00AC067E" w:rsidRPr="00AC067E" w:rsidRDefault="00AC067E" w:rsidP="00A91C04">
            <w:pPr>
              <w:pStyle w:val="TableText"/>
              <w:rPr>
                <w:color w:val="auto"/>
              </w:rPr>
            </w:pPr>
            <w:r w:rsidRPr="00AC067E">
              <w:rPr>
                <w:b/>
                <w:bCs/>
                <w:color w:val="auto"/>
              </w:rPr>
              <w:t>Permanent staff</w:t>
            </w:r>
          </w:p>
        </w:tc>
        <w:tc>
          <w:tcPr>
            <w:tcW w:w="1523" w:type="dxa"/>
            <w:shd w:val="clear" w:color="auto" w:fill="9AD9C8" w:themeFill="background2" w:themeFillTint="99"/>
            <w:noWrap/>
          </w:tcPr>
          <w:p w14:paraId="59D9719B" w14:textId="1B7FF781" w:rsidR="00AC067E" w:rsidRPr="00AC067E" w:rsidRDefault="00016580"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05E83921" w14:textId="08D5DAA9" w:rsidR="00AC067E" w:rsidRPr="00AC067E" w:rsidRDefault="00016580"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c>
          <w:tcPr>
            <w:tcW w:w="1524" w:type="dxa"/>
            <w:shd w:val="clear" w:color="auto" w:fill="9AD9C8" w:themeFill="background2" w:themeFillTint="99"/>
            <w:noWrap/>
          </w:tcPr>
          <w:p w14:paraId="38E45718" w14:textId="1CE8DFFE" w:rsidR="00AC067E" w:rsidRPr="00AC067E" w:rsidRDefault="00016580"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2AEDFEB9" w14:textId="17FC2811" w:rsidR="00AC067E" w:rsidRPr="00AC067E" w:rsidRDefault="00016580"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c>
          <w:tcPr>
            <w:tcW w:w="1524" w:type="dxa"/>
            <w:shd w:val="clear" w:color="auto" w:fill="9AD9C8" w:themeFill="background2" w:themeFillTint="99"/>
            <w:noWrap/>
          </w:tcPr>
          <w:p w14:paraId="0751D23B" w14:textId="505827A5" w:rsidR="00AC067E" w:rsidRPr="00AC067E" w:rsidRDefault="00016580"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68FADECC" w14:textId="396F55D5" w:rsidR="00AC067E" w:rsidRPr="00AC067E" w:rsidRDefault="00016580"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c>
          <w:tcPr>
            <w:tcW w:w="1524" w:type="dxa"/>
            <w:shd w:val="clear" w:color="auto" w:fill="9AD9C8" w:themeFill="background2" w:themeFillTint="99"/>
            <w:noWrap/>
          </w:tcPr>
          <w:p w14:paraId="7B422F3E" w14:textId="632C548B" w:rsidR="00AC067E" w:rsidRPr="00AC067E" w:rsidRDefault="00016580"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351B5662" w14:textId="61042355" w:rsidR="00AC067E" w:rsidRPr="00AC067E" w:rsidRDefault="00016580"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r>
      <w:tr w:rsidR="00030A9E" w:rsidRPr="00A25DC8" w14:paraId="69B9A3CB"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hideMark/>
          </w:tcPr>
          <w:p w14:paraId="7AB8EC96" w14:textId="77777777" w:rsidR="00030A9E" w:rsidRPr="007C64EC" w:rsidRDefault="00030A9E" w:rsidP="00120E73">
            <w:pPr>
              <w:pStyle w:val="TableText"/>
            </w:pPr>
            <w:r w:rsidRPr="007C64EC">
              <w:t>Director</w:t>
            </w:r>
          </w:p>
        </w:tc>
        <w:tc>
          <w:tcPr>
            <w:tcW w:w="1523" w:type="dxa"/>
            <w:noWrap/>
            <w:hideMark/>
          </w:tcPr>
          <w:p w14:paraId="23593D24"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$162,762</w:t>
            </w:r>
          </w:p>
        </w:tc>
        <w:tc>
          <w:tcPr>
            <w:tcW w:w="1524" w:type="dxa"/>
            <w:noWrap/>
            <w:hideMark/>
          </w:tcPr>
          <w:p w14:paraId="318B514A"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 (1)</w:t>
            </w:r>
          </w:p>
        </w:tc>
        <w:tc>
          <w:tcPr>
            <w:tcW w:w="1524" w:type="dxa"/>
            <w:noWrap/>
            <w:hideMark/>
          </w:tcPr>
          <w:p w14:paraId="48BA5B19"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$252,534 </w:t>
            </w:r>
          </w:p>
        </w:tc>
        <w:tc>
          <w:tcPr>
            <w:tcW w:w="1524" w:type="dxa"/>
            <w:noWrap/>
            <w:hideMark/>
          </w:tcPr>
          <w:p w14:paraId="3045B868"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 (1)</w:t>
            </w:r>
          </w:p>
        </w:tc>
        <w:tc>
          <w:tcPr>
            <w:tcW w:w="1524" w:type="dxa"/>
            <w:noWrap/>
            <w:hideMark/>
          </w:tcPr>
          <w:p w14:paraId="7DC03DF3"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$261,865 </w:t>
            </w:r>
          </w:p>
        </w:tc>
        <w:tc>
          <w:tcPr>
            <w:tcW w:w="1524" w:type="dxa"/>
            <w:noWrap/>
            <w:hideMark/>
          </w:tcPr>
          <w:p w14:paraId="5315A11E"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 (1)</w:t>
            </w:r>
          </w:p>
        </w:tc>
        <w:tc>
          <w:tcPr>
            <w:tcW w:w="1524" w:type="dxa"/>
            <w:noWrap/>
            <w:hideMark/>
          </w:tcPr>
          <w:p w14:paraId="7FD2CFE4"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$273,556</w:t>
            </w:r>
          </w:p>
        </w:tc>
        <w:tc>
          <w:tcPr>
            <w:tcW w:w="1524" w:type="dxa"/>
            <w:noWrap/>
            <w:hideMark/>
          </w:tcPr>
          <w:p w14:paraId="557E4F6B"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 (1)</w:t>
            </w:r>
          </w:p>
        </w:tc>
      </w:tr>
      <w:tr w:rsidR="00030A9E" w:rsidRPr="00A25DC8" w14:paraId="2AA5B196" w14:textId="77777777" w:rsidTr="001F57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hideMark/>
          </w:tcPr>
          <w:p w14:paraId="11CDA07B" w14:textId="77777777" w:rsidR="00030A9E" w:rsidRPr="007C64EC" w:rsidRDefault="00030A9E" w:rsidP="00120E73">
            <w:pPr>
              <w:pStyle w:val="TableText"/>
            </w:pPr>
            <w:r w:rsidRPr="007C64EC">
              <w:t>Quality &amp; Education Manager</w:t>
            </w:r>
          </w:p>
        </w:tc>
        <w:tc>
          <w:tcPr>
            <w:tcW w:w="1523" w:type="dxa"/>
            <w:noWrap/>
            <w:hideMark/>
          </w:tcPr>
          <w:p w14:paraId="18923A38"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$140,138</w:t>
            </w:r>
          </w:p>
        </w:tc>
        <w:tc>
          <w:tcPr>
            <w:tcW w:w="1524" w:type="dxa"/>
            <w:noWrap/>
            <w:hideMark/>
          </w:tcPr>
          <w:p w14:paraId="3CD03E47"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 (1)</w:t>
            </w:r>
          </w:p>
        </w:tc>
        <w:tc>
          <w:tcPr>
            <w:tcW w:w="1524" w:type="dxa"/>
            <w:noWrap/>
            <w:hideMark/>
          </w:tcPr>
          <w:p w14:paraId="1BF1EBA8"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$170,432 </w:t>
            </w:r>
          </w:p>
        </w:tc>
        <w:tc>
          <w:tcPr>
            <w:tcW w:w="1524" w:type="dxa"/>
            <w:noWrap/>
            <w:hideMark/>
          </w:tcPr>
          <w:p w14:paraId="2AEA58E9"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 (1)</w:t>
            </w:r>
          </w:p>
        </w:tc>
        <w:tc>
          <w:tcPr>
            <w:tcW w:w="1524" w:type="dxa"/>
            <w:noWrap/>
            <w:hideMark/>
          </w:tcPr>
          <w:p w14:paraId="7B61A40E"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$49,914 </w:t>
            </w:r>
          </w:p>
        </w:tc>
        <w:tc>
          <w:tcPr>
            <w:tcW w:w="1524" w:type="dxa"/>
            <w:noWrap/>
            <w:hideMark/>
          </w:tcPr>
          <w:p w14:paraId="6BDF9CE0"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 (1)</w:t>
            </w:r>
          </w:p>
        </w:tc>
        <w:tc>
          <w:tcPr>
            <w:tcW w:w="1524" w:type="dxa"/>
            <w:noWrap/>
            <w:hideMark/>
          </w:tcPr>
          <w:p w14:paraId="7C923DE0"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$168,479</w:t>
            </w:r>
          </w:p>
        </w:tc>
        <w:tc>
          <w:tcPr>
            <w:tcW w:w="1524" w:type="dxa"/>
            <w:noWrap/>
            <w:hideMark/>
          </w:tcPr>
          <w:p w14:paraId="115CA800"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 (1)</w:t>
            </w:r>
          </w:p>
        </w:tc>
      </w:tr>
      <w:tr w:rsidR="00030A9E" w:rsidRPr="00A25DC8" w14:paraId="7B881936"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hideMark/>
          </w:tcPr>
          <w:p w14:paraId="319A9A10" w14:textId="2116D3A5" w:rsidR="00030A9E" w:rsidRPr="007C64EC" w:rsidRDefault="00030A9E" w:rsidP="00120E73">
            <w:pPr>
              <w:pStyle w:val="TableText"/>
            </w:pPr>
            <w:r w:rsidRPr="007C64EC">
              <w:t>Improvement Facilitator</w:t>
            </w:r>
          </w:p>
        </w:tc>
        <w:tc>
          <w:tcPr>
            <w:tcW w:w="1523" w:type="dxa"/>
            <w:noWrap/>
            <w:hideMark/>
          </w:tcPr>
          <w:p w14:paraId="13153819"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$175,437</w:t>
            </w:r>
          </w:p>
        </w:tc>
        <w:tc>
          <w:tcPr>
            <w:tcW w:w="1524" w:type="dxa"/>
            <w:noWrap/>
            <w:hideMark/>
          </w:tcPr>
          <w:p w14:paraId="3015DA38"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3 (2.8)</w:t>
            </w:r>
          </w:p>
        </w:tc>
        <w:tc>
          <w:tcPr>
            <w:tcW w:w="1524" w:type="dxa"/>
            <w:noWrap/>
            <w:hideMark/>
          </w:tcPr>
          <w:p w14:paraId="51616697"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$559,652 </w:t>
            </w:r>
          </w:p>
        </w:tc>
        <w:tc>
          <w:tcPr>
            <w:tcW w:w="1524" w:type="dxa"/>
            <w:noWrap/>
            <w:hideMark/>
          </w:tcPr>
          <w:p w14:paraId="20A99D4D"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4 (3.8)</w:t>
            </w:r>
          </w:p>
        </w:tc>
        <w:tc>
          <w:tcPr>
            <w:tcW w:w="1524" w:type="dxa"/>
            <w:noWrap/>
            <w:hideMark/>
          </w:tcPr>
          <w:p w14:paraId="260462C6"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$704,460 </w:t>
            </w:r>
          </w:p>
        </w:tc>
        <w:tc>
          <w:tcPr>
            <w:tcW w:w="1524" w:type="dxa"/>
            <w:noWrap/>
            <w:hideMark/>
          </w:tcPr>
          <w:p w14:paraId="114E0A91"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5 (4.6)</w:t>
            </w:r>
          </w:p>
        </w:tc>
        <w:tc>
          <w:tcPr>
            <w:tcW w:w="1524" w:type="dxa"/>
            <w:noWrap/>
            <w:hideMark/>
          </w:tcPr>
          <w:p w14:paraId="79F81ED6"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$578,069</w:t>
            </w:r>
          </w:p>
        </w:tc>
        <w:tc>
          <w:tcPr>
            <w:tcW w:w="1524" w:type="dxa"/>
            <w:noWrap/>
            <w:hideMark/>
          </w:tcPr>
          <w:p w14:paraId="3EC3E07E"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6 (5.4)</w:t>
            </w:r>
          </w:p>
        </w:tc>
      </w:tr>
      <w:tr w:rsidR="00030A9E" w:rsidRPr="00A25DC8" w14:paraId="00C02491" w14:textId="77777777" w:rsidTr="001F57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2F3C2BD9" w14:textId="2E91CB9B" w:rsidR="00030A9E" w:rsidRPr="007C64EC" w:rsidRDefault="00030A9E" w:rsidP="00120E73">
            <w:pPr>
              <w:pStyle w:val="TableText"/>
            </w:pPr>
            <w:r w:rsidRPr="007C64EC">
              <w:t>Data Manager/Statistician</w:t>
            </w:r>
          </w:p>
        </w:tc>
        <w:tc>
          <w:tcPr>
            <w:tcW w:w="1523" w:type="dxa"/>
            <w:noWrap/>
            <w:hideMark/>
          </w:tcPr>
          <w:p w14:paraId="326AE7CB"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4A4B26EB"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t>N/A</w:t>
            </w:r>
          </w:p>
        </w:tc>
        <w:tc>
          <w:tcPr>
            <w:tcW w:w="1524" w:type="dxa"/>
            <w:noWrap/>
            <w:hideMark/>
          </w:tcPr>
          <w:p w14:paraId="4020ECD9"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$148,798 </w:t>
            </w:r>
          </w:p>
        </w:tc>
        <w:tc>
          <w:tcPr>
            <w:tcW w:w="1524" w:type="dxa"/>
            <w:noWrap/>
            <w:hideMark/>
          </w:tcPr>
          <w:p w14:paraId="4A2B14C0"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 (0.8)</w:t>
            </w:r>
          </w:p>
        </w:tc>
        <w:tc>
          <w:tcPr>
            <w:tcW w:w="1524" w:type="dxa"/>
            <w:noWrap/>
            <w:hideMark/>
          </w:tcPr>
          <w:p w14:paraId="71C7F45F"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$103,906 </w:t>
            </w:r>
          </w:p>
        </w:tc>
        <w:tc>
          <w:tcPr>
            <w:tcW w:w="1524" w:type="dxa"/>
            <w:noWrap/>
            <w:hideMark/>
          </w:tcPr>
          <w:p w14:paraId="1EF6CC90"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 (0.8)</w:t>
            </w:r>
          </w:p>
        </w:tc>
        <w:tc>
          <w:tcPr>
            <w:tcW w:w="1524" w:type="dxa"/>
            <w:noWrap/>
            <w:hideMark/>
          </w:tcPr>
          <w:p w14:paraId="7D126116"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$31,220</w:t>
            </w:r>
          </w:p>
        </w:tc>
        <w:tc>
          <w:tcPr>
            <w:tcW w:w="1524" w:type="dxa"/>
            <w:noWrap/>
            <w:hideMark/>
          </w:tcPr>
          <w:p w14:paraId="452392B6"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 (1)</w:t>
            </w:r>
          </w:p>
        </w:tc>
      </w:tr>
      <w:tr w:rsidR="00030A9E" w:rsidRPr="00A25DC8" w14:paraId="7C460085"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664776FC" w14:textId="77777777" w:rsidR="00030A9E" w:rsidRPr="007C64EC" w:rsidRDefault="00030A9E" w:rsidP="00120E73">
            <w:pPr>
              <w:pStyle w:val="TableText"/>
            </w:pPr>
            <w:r w:rsidRPr="007C64EC">
              <w:t xml:space="preserve">Statistician </w:t>
            </w:r>
          </w:p>
        </w:tc>
        <w:tc>
          <w:tcPr>
            <w:tcW w:w="1523" w:type="dxa"/>
            <w:noWrap/>
            <w:hideMark/>
          </w:tcPr>
          <w:p w14:paraId="5EAC971C"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1E2DF241"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907DFA">
              <w:t>N/A</w:t>
            </w:r>
          </w:p>
        </w:tc>
        <w:tc>
          <w:tcPr>
            <w:tcW w:w="1524" w:type="dxa"/>
            <w:noWrap/>
            <w:hideMark/>
          </w:tcPr>
          <w:p w14:paraId="63B35C5C"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$64,620 </w:t>
            </w:r>
          </w:p>
        </w:tc>
        <w:tc>
          <w:tcPr>
            <w:tcW w:w="1524" w:type="dxa"/>
            <w:noWrap/>
            <w:hideMark/>
          </w:tcPr>
          <w:p w14:paraId="72EB30D3"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 (1)</w:t>
            </w:r>
          </w:p>
        </w:tc>
        <w:tc>
          <w:tcPr>
            <w:tcW w:w="1524" w:type="dxa"/>
            <w:noWrap/>
            <w:hideMark/>
          </w:tcPr>
          <w:p w14:paraId="43BD1513"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$145,545 </w:t>
            </w:r>
          </w:p>
        </w:tc>
        <w:tc>
          <w:tcPr>
            <w:tcW w:w="1524" w:type="dxa"/>
            <w:noWrap/>
            <w:hideMark/>
          </w:tcPr>
          <w:p w14:paraId="47DE4EA5"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 (1)</w:t>
            </w:r>
          </w:p>
        </w:tc>
        <w:tc>
          <w:tcPr>
            <w:tcW w:w="1524" w:type="dxa"/>
            <w:noWrap/>
            <w:hideMark/>
          </w:tcPr>
          <w:p w14:paraId="367BFA7E"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$107,905</w:t>
            </w:r>
          </w:p>
        </w:tc>
        <w:tc>
          <w:tcPr>
            <w:tcW w:w="1524" w:type="dxa"/>
            <w:noWrap/>
            <w:hideMark/>
          </w:tcPr>
          <w:p w14:paraId="4D45727D"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 (1)</w:t>
            </w:r>
          </w:p>
        </w:tc>
      </w:tr>
      <w:tr w:rsidR="00030A9E" w:rsidRPr="00A25DC8" w14:paraId="23F55EC6" w14:textId="77777777" w:rsidTr="001F57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248EE9BA" w14:textId="77777777" w:rsidR="00030A9E" w:rsidRPr="007C64EC" w:rsidRDefault="00030A9E" w:rsidP="00120E73">
            <w:pPr>
              <w:pStyle w:val="TableText"/>
            </w:pPr>
            <w:r w:rsidRPr="007C64EC">
              <w:t xml:space="preserve">Administrative support </w:t>
            </w:r>
          </w:p>
        </w:tc>
        <w:tc>
          <w:tcPr>
            <w:tcW w:w="1523" w:type="dxa"/>
            <w:noWrap/>
            <w:hideMark/>
          </w:tcPr>
          <w:p w14:paraId="19A93E58"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0CC96B2C"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907DFA">
              <w:t>N/A</w:t>
            </w:r>
          </w:p>
        </w:tc>
        <w:tc>
          <w:tcPr>
            <w:tcW w:w="1524" w:type="dxa"/>
            <w:noWrap/>
            <w:hideMark/>
          </w:tcPr>
          <w:p w14:paraId="2621291D"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$139,550 </w:t>
            </w:r>
          </w:p>
        </w:tc>
        <w:tc>
          <w:tcPr>
            <w:tcW w:w="1524" w:type="dxa"/>
            <w:noWrap/>
            <w:hideMark/>
          </w:tcPr>
          <w:p w14:paraId="613304DD"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 (1)</w:t>
            </w:r>
          </w:p>
        </w:tc>
        <w:tc>
          <w:tcPr>
            <w:tcW w:w="1524" w:type="dxa"/>
            <w:noWrap/>
            <w:hideMark/>
          </w:tcPr>
          <w:p w14:paraId="7D4E8F7D"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$174,161 </w:t>
            </w:r>
          </w:p>
        </w:tc>
        <w:tc>
          <w:tcPr>
            <w:tcW w:w="1524" w:type="dxa"/>
            <w:noWrap/>
            <w:hideMark/>
          </w:tcPr>
          <w:p w14:paraId="49E39C41"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2 (2)</w:t>
            </w:r>
          </w:p>
        </w:tc>
        <w:tc>
          <w:tcPr>
            <w:tcW w:w="1524" w:type="dxa"/>
            <w:noWrap/>
            <w:hideMark/>
          </w:tcPr>
          <w:p w14:paraId="3BEE4E8B"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$243,997</w:t>
            </w:r>
          </w:p>
        </w:tc>
        <w:tc>
          <w:tcPr>
            <w:tcW w:w="1524" w:type="dxa"/>
            <w:noWrap/>
            <w:hideMark/>
          </w:tcPr>
          <w:p w14:paraId="4047F7AC"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2 (2)</w:t>
            </w:r>
          </w:p>
        </w:tc>
      </w:tr>
      <w:tr w:rsidR="00030A9E" w:rsidRPr="00A25DC8" w14:paraId="63DDCA11"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17418AE1" w14:textId="5BFE7ED0" w:rsidR="00030A9E" w:rsidRPr="007C64EC" w:rsidRDefault="00030A9E" w:rsidP="00120E73">
            <w:pPr>
              <w:pStyle w:val="TableText"/>
            </w:pPr>
            <w:r w:rsidRPr="007C64EC">
              <w:lastRenderedPageBreak/>
              <w:t xml:space="preserve">Data/IT </w:t>
            </w:r>
            <w:r w:rsidR="00AA22B2">
              <w:t>s</w:t>
            </w:r>
            <w:r w:rsidRPr="007C64EC">
              <w:t xml:space="preserve">upport </w:t>
            </w:r>
          </w:p>
        </w:tc>
        <w:tc>
          <w:tcPr>
            <w:tcW w:w="1523" w:type="dxa"/>
            <w:noWrap/>
            <w:hideMark/>
          </w:tcPr>
          <w:p w14:paraId="48798F03"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7A70458C"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907DFA">
              <w:t>N/A</w:t>
            </w:r>
          </w:p>
        </w:tc>
        <w:tc>
          <w:tcPr>
            <w:tcW w:w="1524" w:type="dxa"/>
            <w:noWrap/>
            <w:hideMark/>
          </w:tcPr>
          <w:p w14:paraId="4028F56F"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$41,696 </w:t>
            </w:r>
          </w:p>
        </w:tc>
        <w:tc>
          <w:tcPr>
            <w:tcW w:w="1524" w:type="dxa"/>
            <w:noWrap/>
            <w:hideMark/>
          </w:tcPr>
          <w:p w14:paraId="7E5C7A9D"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 (1)</w:t>
            </w:r>
          </w:p>
        </w:tc>
        <w:tc>
          <w:tcPr>
            <w:tcW w:w="1524" w:type="dxa"/>
            <w:noWrap/>
            <w:hideMark/>
          </w:tcPr>
          <w:p w14:paraId="3CD8CA54"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$50,956 </w:t>
            </w:r>
          </w:p>
        </w:tc>
        <w:tc>
          <w:tcPr>
            <w:tcW w:w="1524" w:type="dxa"/>
            <w:noWrap/>
            <w:hideMark/>
          </w:tcPr>
          <w:p w14:paraId="63D6C491"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 (1)</w:t>
            </w:r>
          </w:p>
        </w:tc>
        <w:tc>
          <w:tcPr>
            <w:tcW w:w="1524" w:type="dxa"/>
            <w:noWrap/>
            <w:hideMark/>
          </w:tcPr>
          <w:p w14:paraId="413FD687"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D84873">
              <w:t>N/A</w:t>
            </w:r>
          </w:p>
        </w:tc>
        <w:tc>
          <w:tcPr>
            <w:tcW w:w="1524" w:type="dxa"/>
            <w:noWrap/>
            <w:hideMark/>
          </w:tcPr>
          <w:p w14:paraId="4915C971"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D84873">
              <w:t>N/A</w:t>
            </w:r>
          </w:p>
        </w:tc>
      </w:tr>
      <w:tr w:rsidR="00030A9E" w:rsidRPr="00A25DC8" w14:paraId="49316E0A" w14:textId="77777777" w:rsidTr="001F57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tcPr>
          <w:p w14:paraId="4E9DDC18" w14:textId="77777777" w:rsidR="00030A9E" w:rsidRPr="007C64EC" w:rsidRDefault="00030A9E" w:rsidP="00120E73">
            <w:pPr>
              <w:pStyle w:val="TableText"/>
            </w:pPr>
            <w:r w:rsidRPr="007C64EC">
              <w:t>IT application support analyst/programmer</w:t>
            </w:r>
          </w:p>
        </w:tc>
        <w:tc>
          <w:tcPr>
            <w:tcW w:w="1523" w:type="dxa"/>
            <w:noWrap/>
          </w:tcPr>
          <w:p w14:paraId="19117078"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D84873">
              <w:t>N/A</w:t>
            </w:r>
          </w:p>
        </w:tc>
        <w:tc>
          <w:tcPr>
            <w:tcW w:w="1524" w:type="dxa"/>
            <w:noWrap/>
          </w:tcPr>
          <w:p w14:paraId="4D1466B6" w14:textId="77777777" w:rsidR="00030A9E" w:rsidRPr="00907DFA"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D84873">
              <w:t>N/A</w:t>
            </w:r>
          </w:p>
        </w:tc>
        <w:tc>
          <w:tcPr>
            <w:tcW w:w="1524" w:type="dxa"/>
            <w:noWrap/>
          </w:tcPr>
          <w:p w14:paraId="22B53A06"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D84873">
              <w:t>N/A</w:t>
            </w:r>
          </w:p>
        </w:tc>
        <w:tc>
          <w:tcPr>
            <w:tcW w:w="1524" w:type="dxa"/>
            <w:noWrap/>
          </w:tcPr>
          <w:p w14:paraId="1D7FACDB"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D84873">
              <w:t>N/A</w:t>
            </w:r>
          </w:p>
        </w:tc>
        <w:tc>
          <w:tcPr>
            <w:tcW w:w="1524" w:type="dxa"/>
            <w:noWrap/>
          </w:tcPr>
          <w:p w14:paraId="46171BA2"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E71DA3">
              <w:t xml:space="preserve">$62,395 </w:t>
            </w:r>
          </w:p>
        </w:tc>
        <w:tc>
          <w:tcPr>
            <w:tcW w:w="1524" w:type="dxa"/>
            <w:noWrap/>
          </w:tcPr>
          <w:p w14:paraId="7F8BFA07"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E71DA3">
              <w:t>1 (1)</w:t>
            </w:r>
          </w:p>
        </w:tc>
        <w:tc>
          <w:tcPr>
            <w:tcW w:w="1524" w:type="dxa"/>
            <w:noWrap/>
          </w:tcPr>
          <w:p w14:paraId="3803D920" w14:textId="77777777" w:rsidR="00030A9E" w:rsidRPr="00D84873"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D84873">
              <w:t>N/A</w:t>
            </w:r>
          </w:p>
        </w:tc>
        <w:tc>
          <w:tcPr>
            <w:tcW w:w="1524" w:type="dxa"/>
            <w:noWrap/>
          </w:tcPr>
          <w:p w14:paraId="06AD80C3" w14:textId="77777777" w:rsidR="00030A9E" w:rsidRPr="00D84873"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D84873">
              <w:t>N/A</w:t>
            </w:r>
          </w:p>
        </w:tc>
      </w:tr>
      <w:tr w:rsidR="00030A9E" w:rsidRPr="00AA22B2" w14:paraId="087459F2"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tcPr>
          <w:p w14:paraId="08574E20" w14:textId="77777777" w:rsidR="00030A9E" w:rsidRPr="00AA22B2" w:rsidRDefault="00030A9E" w:rsidP="00120E73">
            <w:pPr>
              <w:pStyle w:val="TableText"/>
              <w:rPr>
                <w:rFonts w:asciiTheme="majorHAnsi" w:hAnsiTheme="majorHAnsi"/>
              </w:rPr>
            </w:pPr>
            <w:r w:rsidRPr="00AA22B2">
              <w:rPr>
                <w:rFonts w:asciiTheme="majorHAnsi" w:hAnsiTheme="majorHAnsi"/>
              </w:rPr>
              <w:t>Subtotal</w:t>
            </w:r>
          </w:p>
        </w:tc>
        <w:tc>
          <w:tcPr>
            <w:tcW w:w="1523" w:type="dxa"/>
            <w:noWrap/>
          </w:tcPr>
          <w:p w14:paraId="185CE8F6" w14:textId="77777777"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AA22B2">
              <w:rPr>
                <w:rFonts w:asciiTheme="majorHAnsi" w:hAnsiTheme="majorHAnsi"/>
              </w:rPr>
              <w:t>$478,337</w:t>
            </w:r>
          </w:p>
        </w:tc>
        <w:tc>
          <w:tcPr>
            <w:tcW w:w="1524" w:type="dxa"/>
            <w:noWrap/>
          </w:tcPr>
          <w:p w14:paraId="3F61D5D9" w14:textId="77777777"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AA22B2">
              <w:rPr>
                <w:rFonts w:asciiTheme="majorHAnsi" w:hAnsiTheme="majorHAnsi"/>
              </w:rPr>
              <w:t>5 (4.8)</w:t>
            </w:r>
          </w:p>
        </w:tc>
        <w:tc>
          <w:tcPr>
            <w:tcW w:w="1524" w:type="dxa"/>
            <w:noWrap/>
          </w:tcPr>
          <w:p w14:paraId="2755AD51" w14:textId="77777777"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AA22B2">
              <w:rPr>
                <w:rFonts w:asciiTheme="majorHAnsi" w:hAnsiTheme="majorHAnsi"/>
              </w:rPr>
              <w:t>$1,377,282</w:t>
            </w:r>
          </w:p>
        </w:tc>
        <w:tc>
          <w:tcPr>
            <w:tcW w:w="1524" w:type="dxa"/>
            <w:noWrap/>
          </w:tcPr>
          <w:p w14:paraId="1CE6BAD8" w14:textId="77777777"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AA22B2">
              <w:rPr>
                <w:rFonts w:asciiTheme="majorHAnsi" w:hAnsiTheme="majorHAnsi"/>
              </w:rPr>
              <w:t>10 (9.6)</w:t>
            </w:r>
          </w:p>
        </w:tc>
        <w:tc>
          <w:tcPr>
            <w:tcW w:w="1524" w:type="dxa"/>
            <w:noWrap/>
          </w:tcPr>
          <w:p w14:paraId="5A9AAFB5" w14:textId="77777777"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AA22B2">
              <w:rPr>
                <w:rFonts w:asciiTheme="majorHAnsi" w:hAnsiTheme="majorHAnsi"/>
              </w:rPr>
              <w:t>$1,553,203</w:t>
            </w:r>
          </w:p>
        </w:tc>
        <w:tc>
          <w:tcPr>
            <w:tcW w:w="1524" w:type="dxa"/>
            <w:noWrap/>
          </w:tcPr>
          <w:p w14:paraId="7B539847" w14:textId="77777777"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AA22B2">
              <w:rPr>
                <w:rFonts w:asciiTheme="majorHAnsi" w:hAnsiTheme="majorHAnsi"/>
              </w:rPr>
              <w:t>13 (12.4)</w:t>
            </w:r>
          </w:p>
        </w:tc>
        <w:tc>
          <w:tcPr>
            <w:tcW w:w="1524" w:type="dxa"/>
            <w:noWrap/>
          </w:tcPr>
          <w:p w14:paraId="5105E0B7" w14:textId="77777777"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AA22B2">
              <w:rPr>
                <w:rFonts w:asciiTheme="majorHAnsi" w:hAnsiTheme="majorHAnsi"/>
              </w:rPr>
              <w:t>$1,403,226</w:t>
            </w:r>
          </w:p>
        </w:tc>
        <w:tc>
          <w:tcPr>
            <w:tcW w:w="1524" w:type="dxa"/>
            <w:noWrap/>
          </w:tcPr>
          <w:p w14:paraId="698AAF4F" w14:textId="77777777"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AA22B2">
              <w:rPr>
                <w:rFonts w:asciiTheme="majorHAnsi" w:hAnsiTheme="majorHAnsi"/>
              </w:rPr>
              <w:t>12 (11.4)</w:t>
            </w:r>
          </w:p>
        </w:tc>
      </w:tr>
      <w:tr w:rsidR="00CE5EA9" w:rsidRPr="00AC067E" w14:paraId="1D6C8B79" w14:textId="77777777" w:rsidTr="006B6C5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9AD9C8" w:themeFill="background2" w:themeFillTint="99"/>
          </w:tcPr>
          <w:p w14:paraId="3BC90B8B" w14:textId="3097CED6" w:rsidR="00CE5EA9" w:rsidRPr="00AC067E" w:rsidRDefault="00CE5EA9" w:rsidP="006B6C51">
            <w:pPr>
              <w:pStyle w:val="TableText"/>
              <w:rPr>
                <w:color w:val="auto"/>
              </w:rPr>
            </w:pPr>
            <w:r>
              <w:rPr>
                <w:b/>
                <w:bCs/>
                <w:color w:val="auto"/>
              </w:rPr>
              <w:t>Casual/ad-hoc staff</w:t>
            </w:r>
          </w:p>
        </w:tc>
        <w:tc>
          <w:tcPr>
            <w:tcW w:w="1523" w:type="dxa"/>
            <w:shd w:val="clear" w:color="auto" w:fill="9AD9C8" w:themeFill="background2" w:themeFillTint="99"/>
            <w:noWrap/>
          </w:tcPr>
          <w:p w14:paraId="2ACCAA7D" w14:textId="7777777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08B552D5" w14:textId="7777777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c>
          <w:tcPr>
            <w:tcW w:w="1524" w:type="dxa"/>
            <w:shd w:val="clear" w:color="auto" w:fill="9AD9C8" w:themeFill="background2" w:themeFillTint="99"/>
            <w:noWrap/>
          </w:tcPr>
          <w:p w14:paraId="2F376B8E" w14:textId="7777777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7C25E692" w14:textId="7777777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c>
          <w:tcPr>
            <w:tcW w:w="1524" w:type="dxa"/>
            <w:shd w:val="clear" w:color="auto" w:fill="9AD9C8" w:themeFill="background2" w:themeFillTint="99"/>
            <w:noWrap/>
          </w:tcPr>
          <w:p w14:paraId="550B73E3" w14:textId="7777777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3369A741" w14:textId="7777777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c>
          <w:tcPr>
            <w:tcW w:w="1524" w:type="dxa"/>
            <w:shd w:val="clear" w:color="auto" w:fill="9AD9C8" w:themeFill="background2" w:themeFillTint="99"/>
            <w:noWrap/>
          </w:tcPr>
          <w:p w14:paraId="77422FA4" w14:textId="7777777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412AAE46" w14:textId="7777777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r>
      <w:tr w:rsidR="00030A9E" w:rsidRPr="00A25DC8" w14:paraId="21CF816E"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hideMark/>
          </w:tcPr>
          <w:p w14:paraId="521609EC" w14:textId="77777777" w:rsidR="00030A9E" w:rsidRPr="007C64EC" w:rsidRDefault="00030A9E" w:rsidP="00120E73">
            <w:pPr>
              <w:pStyle w:val="TableText"/>
            </w:pPr>
            <w:r w:rsidRPr="007C64EC">
              <w:t>Sundry consultation/casual cost recovery (AHSRI staff)</w:t>
            </w:r>
          </w:p>
        </w:tc>
        <w:tc>
          <w:tcPr>
            <w:tcW w:w="1523" w:type="dxa"/>
            <w:noWrap/>
            <w:hideMark/>
          </w:tcPr>
          <w:p w14:paraId="328783B1" w14:textId="6F59D8EE" w:rsidR="00030A9E" w:rsidRPr="007C64EC" w:rsidRDefault="000D39CE" w:rsidP="00EA2B30">
            <w:pPr>
              <w:pStyle w:val="TableText"/>
              <w:jc w:val="right"/>
              <w:cnfStyle w:val="000000010000" w:firstRow="0" w:lastRow="0" w:firstColumn="0" w:lastColumn="0" w:oddVBand="0" w:evenVBand="0" w:oddHBand="0" w:evenHBand="1" w:firstRowFirstColumn="0" w:firstRowLastColumn="0" w:lastRowFirstColumn="0" w:lastRowLastColumn="0"/>
            </w:pPr>
            <w:r>
              <w:t>$</w:t>
            </w:r>
            <w:r w:rsidR="00030A9E" w:rsidRPr="007C64EC">
              <w:t>25,558</w:t>
            </w:r>
          </w:p>
        </w:tc>
        <w:tc>
          <w:tcPr>
            <w:tcW w:w="1524" w:type="dxa"/>
            <w:noWrap/>
            <w:hideMark/>
          </w:tcPr>
          <w:p w14:paraId="13D3F8CB"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N.P.</w:t>
            </w:r>
          </w:p>
        </w:tc>
        <w:tc>
          <w:tcPr>
            <w:tcW w:w="1524" w:type="dxa"/>
            <w:noWrap/>
            <w:hideMark/>
          </w:tcPr>
          <w:p w14:paraId="45FC2EE8"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76A045BB"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0A381A">
              <w:t>N/A</w:t>
            </w:r>
          </w:p>
        </w:tc>
        <w:tc>
          <w:tcPr>
            <w:tcW w:w="1524" w:type="dxa"/>
            <w:noWrap/>
            <w:hideMark/>
          </w:tcPr>
          <w:p w14:paraId="7DA013C3"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0123115C"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395DB117"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5A5FA1D0"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r>
      <w:tr w:rsidR="00030A9E" w:rsidRPr="00A25DC8" w14:paraId="44140701" w14:textId="77777777" w:rsidTr="001F57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hideMark/>
          </w:tcPr>
          <w:p w14:paraId="30A51CC6" w14:textId="77777777" w:rsidR="00030A9E" w:rsidRPr="007C64EC" w:rsidRDefault="00030A9E" w:rsidP="00120E73">
            <w:pPr>
              <w:pStyle w:val="TableText"/>
            </w:pPr>
            <w:r w:rsidRPr="007C64EC">
              <w:t>Sundry consultation cost recovery (PCOC staff)</w:t>
            </w:r>
          </w:p>
        </w:tc>
        <w:tc>
          <w:tcPr>
            <w:tcW w:w="1523" w:type="dxa"/>
            <w:noWrap/>
            <w:hideMark/>
          </w:tcPr>
          <w:p w14:paraId="494D9A2B"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$147,869 </w:t>
            </w:r>
          </w:p>
        </w:tc>
        <w:tc>
          <w:tcPr>
            <w:tcW w:w="1524" w:type="dxa"/>
            <w:noWrap/>
            <w:hideMark/>
          </w:tcPr>
          <w:p w14:paraId="41202CFA"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N.P.</w:t>
            </w:r>
          </w:p>
        </w:tc>
        <w:tc>
          <w:tcPr>
            <w:tcW w:w="1524" w:type="dxa"/>
            <w:noWrap/>
            <w:hideMark/>
          </w:tcPr>
          <w:p w14:paraId="0A6A45FF"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2A0BEC94"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0A381A">
              <w:t>N/A</w:t>
            </w:r>
          </w:p>
        </w:tc>
        <w:tc>
          <w:tcPr>
            <w:tcW w:w="1524" w:type="dxa"/>
            <w:noWrap/>
            <w:hideMark/>
          </w:tcPr>
          <w:p w14:paraId="267FB24C"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0BE7E0DC"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59AA03D4"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6A61C6C9"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r>
      <w:tr w:rsidR="00030A9E" w:rsidRPr="00A25DC8" w14:paraId="22E26099"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4F5D801D" w14:textId="77777777" w:rsidR="00030A9E" w:rsidRPr="007C64EC" w:rsidRDefault="00030A9E" w:rsidP="00120E73">
            <w:pPr>
              <w:pStyle w:val="TableText"/>
            </w:pPr>
            <w:r w:rsidRPr="007C64EC">
              <w:t>IT application support analyst/programmer</w:t>
            </w:r>
          </w:p>
        </w:tc>
        <w:tc>
          <w:tcPr>
            <w:tcW w:w="1523" w:type="dxa"/>
            <w:noWrap/>
            <w:hideMark/>
          </w:tcPr>
          <w:p w14:paraId="5108AEB4"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552304E2"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904C2">
              <w:t>N/A</w:t>
            </w:r>
          </w:p>
        </w:tc>
        <w:tc>
          <w:tcPr>
            <w:tcW w:w="1524" w:type="dxa"/>
            <w:noWrap/>
            <w:hideMark/>
          </w:tcPr>
          <w:p w14:paraId="3B7F359B"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$144,841 </w:t>
            </w:r>
          </w:p>
        </w:tc>
        <w:tc>
          <w:tcPr>
            <w:tcW w:w="1524" w:type="dxa"/>
            <w:noWrap/>
            <w:hideMark/>
          </w:tcPr>
          <w:p w14:paraId="1A385D8B"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3</w:t>
            </w:r>
          </w:p>
        </w:tc>
        <w:tc>
          <w:tcPr>
            <w:tcW w:w="1524" w:type="dxa"/>
            <w:noWrap/>
            <w:hideMark/>
          </w:tcPr>
          <w:p w14:paraId="7F6955FD"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0714C978"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4381AC21"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60B535EB"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r>
      <w:tr w:rsidR="00030A9E" w:rsidRPr="00A25DC8" w14:paraId="5013062A" w14:textId="77777777" w:rsidTr="001F57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61A09A75" w14:textId="4D73C638" w:rsidR="00030A9E" w:rsidRPr="007C64EC" w:rsidRDefault="00030A9E" w:rsidP="00120E73">
            <w:pPr>
              <w:pStyle w:val="TableText"/>
            </w:pPr>
            <w:r w:rsidRPr="007C64EC">
              <w:t xml:space="preserve">Research Fellow </w:t>
            </w:r>
            <w:r w:rsidR="009D15E4">
              <w:t>–</w:t>
            </w:r>
            <w:r w:rsidRPr="007C64EC">
              <w:t xml:space="preserve"> </w:t>
            </w:r>
            <w:r w:rsidR="009D15E4">
              <w:t>a</w:t>
            </w:r>
            <w:r w:rsidRPr="007C64EC">
              <w:t>d-hoc support</w:t>
            </w:r>
          </w:p>
        </w:tc>
        <w:tc>
          <w:tcPr>
            <w:tcW w:w="1523" w:type="dxa"/>
            <w:noWrap/>
            <w:hideMark/>
          </w:tcPr>
          <w:p w14:paraId="69526247"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18912D97"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904C2">
              <w:t>N/A</w:t>
            </w:r>
          </w:p>
        </w:tc>
        <w:tc>
          <w:tcPr>
            <w:tcW w:w="1524" w:type="dxa"/>
            <w:noWrap/>
            <w:hideMark/>
          </w:tcPr>
          <w:p w14:paraId="148EADA2"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$2,384.45 </w:t>
            </w:r>
          </w:p>
        </w:tc>
        <w:tc>
          <w:tcPr>
            <w:tcW w:w="1524" w:type="dxa"/>
            <w:noWrap/>
            <w:hideMark/>
          </w:tcPr>
          <w:p w14:paraId="40A7E709"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w:t>
            </w:r>
          </w:p>
        </w:tc>
        <w:tc>
          <w:tcPr>
            <w:tcW w:w="1524" w:type="dxa"/>
            <w:noWrap/>
            <w:hideMark/>
          </w:tcPr>
          <w:p w14:paraId="04570D2E"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1AA14713"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38306192"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331BE453"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r>
      <w:tr w:rsidR="00030A9E" w:rsidRPr="00A25DC8" w14:paraId="0C467245"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04E05413" w14:textId="3CEF29E2" w:rsidR="00030A9E" w:rsidRPr="007C64EC" w:rsidRDefault="00030A9E" w:rsidP="00120E73">
            <w:pPr>
              <w:pStyle w:val="TableText"/>
            </w:pPr>
            <w:r w:rsidRPr="007C64EC">
              <w:t xml:space="preserve">Director, PCOC </w:t>
            </w:r>
            <w:r w:rsidR="009D15E4">
              <w:t>–</w:t>
            </w:r>
            <w:r w:rsidRPr="007C64EC">
              <w:t xml:space="preserve"> </w:t>
            </w:r>
            <w:r>
              <w:t>a</w:t>
            </w:r>
            <w:r w:rsidRPr="007C64EC">
              <w:t>d-hoc support</w:t>
            </w:r>
          </w:p>
        </w:tc>
        <w:tc>
          <w:tcPr>
            <w:tcW w:w="1523" w:type="dxa"/>
            <w:noWrap/>
            <w:hideMark/>
          </w:tcPr>
          <w:p w14:paraId="2D061613"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5D89A114"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904C2">
              <w:t>N/A</w:t>
            </w:r>
          </w:p>
        </w:tc>
        <w:tc>
          <w:tcPr>
            <w:tcW w:w="1524" w:type="dxa"/>
            <w:noWrap/>
            <w:hideMark/>
          </w:tcPr>
          <w:p w14:paraId="03F575BA"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$16,072 </w:t>
            </w:r>
          </w:p>
        </w:tc>
        <w:tc>
          <w:tcPr>
            <w:tcW w:w="1524" w:type="dxa"/>
            <w:noWrap/>
            <w:hideMark/>
          </w:tcPr>
          <w:p w14:paraId="7AB224E7"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w:t>
            </w:r>
          </w:p>
        </w:tc>
        <w:tc>
          <w:tcPr>
            <w:tcW w:w="1524" w:type="dxa"/>
            <w:noWrap/>
            <w:hideMark/>
          </w:tcPr>
          <w:p w14:paraId="1F3EA4EF"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414A37C5"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574A5D54"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c>
          <w:tcPr>
            <w:tcW w:w="1524" w:type="dxa"/>
            <w:noWrap/>
            <w:hideMark/>
          </w:tcPr>
          <w:p w14:paraId="5AEB3468"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N/A</w:t>
            </w:r>
          </w:p>
        </w:tc>
      </w:tr>
      <w:tr w:rsidR="00030A9E" w:rsidRPr="00A25DC8" w14:paraId="174CB791" w14:textId="77777777" w:rsidTr="001F57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059A778B" w14:textId="4BCAC475" w:rsidR="00030A9E" w:rsidRPr="007C64EC" w:rsidRDefault="00030A9E" w:rsidP="00120E73">
            <w:pPr>
              <w:pStyle w:val="TableText"/>
            </w:pPr>
            <w:r w:rsidRPr="007C64EC">
              <w:t xml:space="preserve">Director, AHSRI Information </w:t>
            </w:r>
            <w:r w:rsidR="009D15E4">
              <w:t>–</w:t>
            </w:r>
            <w:r w:rsidRPr="007C64EC">
              <w:t xml:space="preserve"> </w:t>
            </w:r>
            <w:r>
              <w:t>a</w:t>
            </w:r>
            <w:r w:rsidRPr="007C64EC">
              <w:t>d-hoc support</w:t>
            </w:r>
          </w:p>
        </w:tc>
        <w:tc>
          <w:tcPr>
            <w:tcW w:w="1523" w:type="dxa"/>
            <w:noWrap/>
            <w:hideMark/>
          </w:tcPr>
          <w:p w14:paraId="11E8C4FF"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29DA38A4"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904C2">
              <w:t>N/A</w:t>
            </w:r>
          </w:p>
        </w:tc>
        <w:tc>
          <w:tcPr>
            <w:tcW w:w="1524" w:type="dxa"/>
            <w:noWrap/>
            <w:hideMark/>
          </w:tcPr>
          <w:p w14:paraId="33BBA26D"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$3,743 </w:t>
            </w:r>
          </w:p>
        </w:tc>
        <w:tc>
          <w:tcPr>
            <w:tcW w:w="1524" w:type="dxa"/>
            <w:noWrap/>
            <w:hideMark/>
          </w:tcPr>
          <w:p w14:paraId="405307F0"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w:t>
            </w:r>
          </w:p>
        </w:tc>
        <w:tc>
          <w:tcPr>
            <w:tcW w:w="1524" w:type="dxa"/>
            <w:noWrap/>
            <w:hideMark/>
          </w:tcPr>
          <w:p w14:paraId="4C6461F2"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420E6000"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3C85A6BC"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c>
          <w:tcPr>
            <w:tcW w:w="1524" w:type="dxa"/>
            <w:noWrap/>
            <w:hideMark/>
          </w:tcPr>
          <w:p w14:paraId="6E5A3FC1"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N/A</w:t>
            </w:r>
          </w:p>
        </w:tc>
      </w:tr>
      <w:tr w:rsidR="00030A9E" w:rsidRPr="00A25DC8" w14:paraId="2647F1E9"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752AF13E" w14:textId="1A6333DF" w:rsidR="00030A9E" w:rsidRPr="007C64EC" w:rsidRDefault="00030A9E" w:rsidP="00120E73">
            <w:pPr>
              <w:pStyle w:val="TableText"/>
            </w:pPr>
            <w:r w:rsidRPr="007C64EC">
              <w:t xml:space="preserve">AHSRI Business Manager </w:t>
            </w:r>
            <w:r w:rsidR="00D004B4">
              <w:t>–</w:t>
            </w:r>
            <w:r w:rsidRPr="007C64EC">
              <w:t xml:space="preserve"> </w:t>
            </w:r>
            <w:r>
              <w:t>a</w:t>
            </w:r>
            <w:r w:rsidRPr="007C64EC">
              <w:t>d-hoc support</w:t>
            </w:r>
          </w:p>
        </w:tc>
        <w:tc>
          <w:tcPr>
            <w:tcW w:w="1523" w:type="dxa"/>
            <w:noWrap/>
            <w:hideMark/>
          </w:tcPr>
          <w:p w14:paraId="0B75C0E0"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E95C0B">
              <w:t>N/A</w:t>
            </w:r>
          </w:p>
        </w:tc>
        <w:tc>
          <w:tcPr>
            <w:tcW w:w="1524" w:type="dxa"/>
            <w:noWrap/>
            <w:hideMark/>
          </w:tcPr>
          <w:p w14:paraId="3F7513D6"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E95C0B">
              <w:t>N/A</w:t>
            </w:r>
          </w:p>
        </w:tc>
        <w:tc>
          <w:tcPr>
            <w:tcW w:w="1524" w:type="dxa"/>
            <w:noWrap/>
            <w:hideMark/>
          </w:tcPr>
          <w:p w14:paraId="0986D701"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 xml:space="preserve">$4,526 </w:t>
            </w:r>
          </w:p>
        </w:tc>
        <w:tc>
          <w:tcPr>
            <w:tcW w:w="1524" w:type="dxa"/>
            <w:noWrap/>
            <w:hideMark/>
          </w:tcPr>
          <w:p w14:paraId="14F3082C"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7C64EC">
              <w:t>1</w:t>
            </w:r>
          </w:p>
        </w:tc>
        <w:tc>
          <w:tcPr>
            <w:tcW w:w="1524" w:type="dxa"/>
            <w:noWrap/>
            <w:hideMark/>
          </w:tcPr>
          <w:p w14:paraId="4A8D4C69"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8D7AD5">
              <w:t>N/A</w:t>
            </w:r>
          </w:p>
        </w:tc>
        <w:tc>
          <w:tcPr>
            <w:tcW w:w="1524" w:type="dxa"/>
            <w:noWrap/>
            <w:hideMark/>
          </w:tcPr>
          <w:p w14:paraId="29B93C7A"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8D7AD5">
              <w:t>N/A</w:t>
            </w:r>
          </w:p>
        </w:tc>
        <w:tc>
          <w:tcPr>
            <w:tcW w:w="1524" w:type="dxa"/>
            <w:noWrap/>
            <w:hideMark/>
          </w:tcPr>
          <w:p w14:paraId="4251D01D"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8D7AD5">
              <w:t>N/A</w:t>
            </w:r>
          </w:p>
        </w:tc>
        <w:tc>
          <w:tcPr>
            <w:tcW w:w="1524" w:type="dxa"/>
            <w:noWrap/>
            <w:hideMark/>
          </w:tcPr>
          <w:p w14:paraId="57A9C06D" w14:textId="777777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r w:rsidRPr="008D7AD5">
              <w:t>N/A</w:t>
            </w:r>
          </w:p>
        </w:tc>
      </w:tr>
      <w:tr w:rsidR="00030A9E" w:rsidRPr="00A25DC8" w14:paraId="208A48FB" w14:textId="77777777" w:rsidTr="001F57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31184918" w14:textId="77777777" w:rsidR="00030A9E" w:rsidRPr="007C64EC" w:rsidRDefault="00030A9E" w:rsidP="00120E73">
            <w:pPr>
              <w:pStyle w:val="TableText"/>
            </w:pPr>
            <w:r w:rsidRPr="007C64EC">
              <w:t>Casual (non-specified)</w:t>
            </w:r>
          </w:p>
        </w:tc>
        <w:tc>
          <w:tcPr>
            <w:tcW w:w="1523" w:type="dxa"/>
            <w:noWrap/>
            <w:hideMark/>
          </w:tcPr>
          <w:p w14:paraId="0BB8E235"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E95C0B">
              <w:t>N/A</w:t>
            </w:r>
          </w:p>
        </w:tc>
        <w:tc>
          <w:tcPr>
            <w:tcW w:w="1524" w:type="dxa"/>
            <w:noWrap/>
            <w:hideMark/>
          </w:tcPr>
          <w:p w14:paraId="4ECABF7A"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E95C0B">
              <w:t>N/A</w:t>
            </w:r>
          </w:p>
        </w:tc>
        <w:tc>
          <w:tcPr>
            <w:tcW w:w="1524" w:type="dxa"/>
            <w:noWrap/>
            <w:hideMark/>
          </w:tcPr>
          <w:p w14:paraId="53209C50"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0555AD">
              <w:t>N/A</w:t>
            </w:r>
          </w:p>
        </w:tc>
        <w:tc>
          <w:tcPr>
            <w:tcW w:w="1524" w:type="dxa"/>
            <w:noWrap/>
            <w:hideMark/>
          </w:tcPr>
          <w:p w14:paraId="25197F9B"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0555AD">
              <w:t>N/A</w:t>
            </w:r>
          </w:p>
        </w:tc>
        <w:tc>
          <w:tcPr>
            <w:tcW w:w="1524" w:type="dxa"/>
            <w:noWrap/>
            <w:hideMark/>
          </w:tcPr>
          <w:p w14:paraId="5E412F47"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 xml:space="preserve">$40,073 </w:t>
            </w:r>
          </w:p>
        </w:tc>
        <w:tc>
          <w:tcPr>
            <w:tcW w:w="1524" w:type="dxa"/>
            <w:noWrap/>
            <w:hideMark/>
          </w:tcPr>
          <w:p w14:paraId="05BFAC0F"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w:t>
            </w:r>
          </w:p>
        </w:tc>
        <w:tc>
          <w:tcPr>
            <w:tcW w:w="1524" w:type="dxa"/>
            <w:noWrap/>
            <w:hideMark/>
          </w:tcPr>
          <w:p w14:paraId="25387931"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$132,886</w:t>
            </w:r>
          </w:p>
        </w:tc>
        <w:tc>
          <w:tcPr>
            <w:tcW w:w="1524" w:type="dxa"/>
            <w:noWrap/>
            <w:hideMark/>
          </w:tcPr>
          <w:p w14:paraId="028E1A0E" w14:textId="777777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r w:rsidRPr="007C64EC">
              <w:t>2</w:t>
            </w:r>
          </w:p>
        </w:tc>
      </w:tr>
      <w:tr w:rsidR="00030A9E" w:rsidRPr="00030A9E" w14:paraId="4F92389C"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tcPr>
          <w:p w14:paraId="741E7A02" w14:textId="77777777" w:rsidR="00030A9E" w:rsidRPr="00030A9E" w:rsidRDefault="00030A9E" w:rsidP="00120E73">
            <w:pPr>
              <w:pStyle w:val="TableText"/>
              <w:rPr>
                <w:rFonts w:asciiTheme="majorHAnsi" w:hAnsiTheme="majorHAnsi"/>
              </w:rPr>
            </w:pPr>
            <w:r w:rsidRPr="00030A9E">
              <w:rPr>
                <w:rFonts w:asciiTheme="majorHAnsi" w:hAnsiTheme="majorHAnsi"/>
              </w:rPr>
              <w:t xml:space="preserve">Subtotal </w:t>
            </w:r>
          </w:p>
        </w:tc>
        <w:tc>
          <w:tcPr>
            <w:tcW w:w="1523" w:type="dxa"/>
            <w:noWrap/>
          </w:tcPr>
          <w:p w14:paraId="503B91BE" w14:textId="77777777"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030A9E">
              <w:rPr>
                <w:rFonts w:asciiTheme="majorHAnsi" w:hAnsiTheme="majorHAnsi"/>
              </w:rPr>
              <w:t>$173,427</w:t>
            </w:r>
          </w:p>
        </w:tc>
        <w:tc>
          <w:tcPr>
            <w:tcW w:w="1524" w:type="dxa"/>
            <w:noWrap/>
          </w:tcPr>
          <w:p w14:paraId="1852F8F9" w14:textId="77777777"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030A9E">
              <w:rPr>
                <w:rFonts w:asciiTheme="majorHAnsi" w:hAnsiTheme="majorHAnsi"/>
              </w:rPr>
              <w:t>N.P.</w:t>
            </w:r>
          </w:p>
        </w:tc>
        <w:tc>
          <w:tcPr>
            <w:tcW w:w="1524" w:type="dxa"/>
            <w:noWrap/>
          </w:tcPr>
          <w:p w14:paraId="42261EDB" w14:textId="77777777"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030A9E">
              <w:rPr>
                <w:rFonts w:asciiTheme="majorHAnsi" w:hAnsiTheme="majorHAnsi"/>
              </w:rPr>
              <w:t>$171,566</w:t>
            </w:r>
          </w:p>
        </w:tc>
        <w:tc>
          <w:tcPr>
            <w:tcW w:w="1524" w:type="dxa"/>
            <w:noWrap/>
          </w:tcPr>
          <w:p w14:paraId="4B7A8C74" w14:textId="77777777"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030A9E">
              <w:rPr>
                <w:rFonts w:asciiTheme="majorHAnsi" w:hAnsiTheme="majorHAnsi"/>
              </w:rPr>
              <w:t>7</w:t>
            </w:r>
          </w:p>
        </w:tc>
        <w:tc>
          <w:tcPr>
            <w:tcW w:w="1524" w:type="dxa"/>
            <w:noWrap/>
          </w:tcPr>
          <w:p w14:paraId="376B1043" w14:textId="77777777"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030A9E">
              <w:rPr>
                <w:rFonts w:asciiTheme="majorHAnsi" w:hAnsiTheme="majorHAnsi"/>
              </w:rPr>
              <w:t>$40,073</w:t>
            </w:r>
          </w:p>
        </w:tc>
        <w:tc>
          <w:tcPr>
            <w:tcW w:w="1524" w:type="dxa"/>
            <w:noWrap/>
          </w:tcPr>
          <w:p w14:paraId="215BB72E" w14:textId="77777777"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030A9E">
              <w:rPr>
                <w:rFonts w:asciiTheme="majorHAnsi" w:hAnsiTheme="majorHAnsi"/>
              </w:rPr>
              <w:t>1</w:t>
            </w:r>
          </w:p>
        </w:tc>
        <w:tc>
          <w:tcPr>
            <w:tcW w:w="1524" w:type="dxa"/>
            <w:noWrap/>
          </w:tcPr>
          <w:p w14:paraId="568F1535" w14:textId="77777777"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030A9E">
              <w:rPr>
                <w:rFonts w:asciiTheme="majorHAnsi" w:hAnsiTheme="majorHAnsi"/>
              </w:rPr>
              <w:t>$132,886</w:t>
            </w:r>
          </w:p>
        </w:tc>
        <w:tc>
          <w:tcPr>
            <w:tcW w:w="1524" w:type="dxa"/>
            <w:noWrap/>
          </w:tcPr>
          <w:p w14:paraId="4A2D869E" w14:textId="77777777"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030A9E">
              <w:rPr>
                <w:rFonts w:asciiTheme="majorHAnsi" w:hAnsiTheme="majorHAnsi"/>
              </w:rPr>
              <w:t>2</w:t>
            </w:r>
          </w:p>
        </w:tc>
      </w:tr>
      <w:tr w:rsidR="007D1AF0" w:rsidRPr="00AC067E" w14:paraId="72F765B3" w14:textId="77777777" w:rsidTr="006B6C5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9AD9C8" w:themeFill="background2" w:themeFillTint="99"/>
          </w:tcPr>
          <w:p w14:paraId="3FBBDCE7" w14:textId="514C3EA8" w:rsidR="007D1AF0" w:rsidRPr="00AC067E" w:rsidRDefault="007D1AF0" w:rsidP="006B6C51">
            <w:pPr>
              <w:pStyle w:val="TableText"/>
              <w:rPr>
                <w:color w:val="auto"/>
              </w:rPr>
            </w:pPr>
            <w:r>
              <w:rPr>
                <w:b/>
                <w:bCs/>
                <w:color w:val="auto"/>
              </w:rPr>
              <w:t>Joint infrastructure</w:t>
            </w:r>
          </w:p>
        </w:tc>
        <w:tc>
          <w:tcPr>
            <w:tcW w:w="1523" w:type="dxa"/>
            <w:shd w:val="clear" w:color="auto" w:fill="9AD9C8" w:themeFill="background2" w:themeFillTint="99"/>
            <w:noWrap/>
          </w:tcPr>
          <w:p w14:paraId="25165872" w14:textId="77777777"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654BCEAD" w14:textId="77777777"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c>
          <w:tcPr>
            <w:tcW w:w="1524" w:type="dxa"/>
            <w:shd w:val="clear" w:color="auto" w:fill="9AD9C8" w:themeFill="background2" w:themeFillTint="99"/>
            <w:noWrap/>
          </w:tcPr>
          <w:p w14:paraId="2844A4B5" w14:textId="77777777"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6C6F6FC5" w14:textId="77777777"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c>
          <w:tcPr>
            <w:tcW w:w="1524" w:type="dxa"/>
            <w:shd w:val="clear" w:color="auto" w:fill="9AD9C8" w:themeFill="background2" w:themeFillTint="99"/>
            <w:noWrap/>
          </w:tcPr>
          <w:p w14:paraId="0A1FC55E" w14:textId="77777777"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7FE350BB" w14:textId="77777777"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c>
          <w:tcPr>
            <w:tcW w:w="1524" w:type="dxa"/>
            <w:shd w:val="clear" w:color="auto" w:fill="9AD9C8" w:themeFill="background2" w:themeFillTint="99"/>
            <w:noWrap/>
          </w:tcPr>
          <w:p w14:paraId="4E9D0EDE" w14:textId="77777777"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c>
          <w:tcPr>
            <w:tcW w:w="1524" w:type="dxa"/>
            <w:shd w:val="clear" w:color="auto" w:fill="9AD9C8" w:themeFill="background2" w:themeFillTint="99"/>
            <w:noWrap/>
          </w:tcPr>
          <w:p w14:paraId="7A503B14" w14:textId="77777777"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N</w:t>
            </w:r>
          </w:p>
        </w:tc>
      </w:tr>
      <w:tr w:rsidR="00030A9E" w:rsidRPr="00A25DC8" w14:paraId="0F2DEEAF" w14:textId="77777777" w:rsidTr="001F570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6F5106EA" w14:textId="77777777" w:rsidR="00030A9E" w:rsidRPr="007C64EC" w:rsidRDefault="00030A9E" w:rsidP="00120E73">
            <w:pPr>
              <w:pStyle w:val="TableText"/>
            </w:pPr>
            <w:r w:rsidRPr="007C64EC">
              <w:t>Central AHOC IMTS service fee</w:t>
            </w:r>
          </w:p>
        </w:tc>
        <w:tc>
          <w:tcPr>
            <w:tcW w:w="1523" w:type="dxa"/>
            <w:noWrap/>
            <w:hideMark/>
          </w:tcPr>
          <w:p w14:paraId="12832C1B" w14:textId="77777777"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r w:rsidRPr="00E95C0B">
              <w:t>N/A</w:t>
            </w:r>
          </w:p>
        </w:tc>
        <w:tc>
          <w:tcPr>
            <w:tcW w:w="1524" w:type="dxa"/>
            <w:noWrap/>
            <w:hideMark/>
          </w:tcPr>
          <w:p w14:paraId="4D3FCD44" w14:textId="77777777"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r w:rsidRPr="00E95C0B">
              <w:t>N/A</w:t>
            </w:r>
          </w:p>
        </w:tc>
        <w:tc>
          <w:tcPr>
            <w:tcW w:w="1524" w:type="dxa"/>
            <w:noWrap/>
            <w:hideMark/>
          </w:tcPr>
          <w:p w14:paraId="23B29228" w14:textId="77777777"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r w:rsidRPr="000555AD">
              <w:t>N/A</w:t>
            </w:r>
          </w:p>
        </w:tc>
        <w:tc>
          <w:tcPr>
            <w:tcW w:w="1524" w:type="dxa"/>
            <w:noWrap/>
            <w:hideMark/>
          </w:tcPr>
          <w:p w14:paraId="149DC3F4" w14:textId="77777777"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r w:rsidRPr="000555AD">
              <w:t>N/A</w:t>
            </w:r>
          </w:p>
        </w:tc>
        <w:tc>
          <w:tcPr>
            <w:tcW w:w="1524" w:type="dxa"/>
            <w:noWrap/>
            <w:hideMark/>
          </w:tcPr>
          <w:p w14:paraId="03731CB2" w14:textId="77777777"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r w:rsidRPr="008234FB">
              <w:t>N/A</w:t>
            </w:r>
          </w:p>
        </w:tc>
        <w:tc>
          <w:tcPr>
            <w:tcW w:w="1524" w:type="dxa"/>
            <w:noWrap/>
            <w:hideMark/>
          </w:tcPr>
          <w:p w14:paraId="72207CDA" w14:textId="77777777"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r w:rsidRPr="008234FB">
              <w:t>N/A</w:t>
            </w:r>
          </w:p>
        </w:tc>
        <w:tc>
          <w:tcPr>
            <w:tcW w:w="1524" w:type="dxa"/>
            <w:noWrap/>
            <w:hideMark/>
          </w:tcPr>
          <w:p w14:paraId="6362AD21" w14:textId="77777777"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r w:rsidRPr="007C64EC">
              <w:t>$370,403</w:t>
            </w:r>
          </w:p>
        </w:tc>
        <w:tc>
          <w:tcPr>
            <w:tcW w:w="1524" w:type="dxa"/>
            <w:noWrap/>
            <w:hideMark/>
          </w:tcPr>
          <w:p w14:paraId="5B98C798" w14:textId="77777777"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r w:rsidRPr="007C64EC">
              <w:t>N.P</w:t>
            </w:r>
            <w:r>
              <w:t>.</w:t>
            </w:r>
          </w:p>
        </w:tc>
      </w:tr>
      <w:tr w:rsidR="00030A9E" w:rsidRPr="00030A9E" w14:paraId="6B7E4505" w14:textId="77777777" w:rsidTr="001F570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702A6898" w14:textId="77777777" w:rsidR="00030A9E" w:rsidRPr="00030A9E" w:rsidRDefault="00030A9E" w:rsidP="00120E73">
            <w:pPr>
              <w:pStyle w:val="TableText"/>
              <w:rPr>
                <w:rFonts w:asciiTheme="majorHAnsi" w:hAnsiTheme="majorHAnsi"/>
              </w:rPr>
            </w:pPr>
            <w:r w:rsidRPr="00030A9E">
              <w:rPr>
                <w:rFonts w:asciiTheme="majorHAnsi" w:hAnsiTheme="majorHAnsi"/>
              </w:rPr>
              <w:t>Grand total</w:t>
            </w:r>
          </w:p>
        </w:tc>
        <w:tc>
          <w:tcPr>
            <w:tcW w:w="1523" w:type="dxa"/>
            <w:noWrap/>
            <w:hideMark/>
          </w:tcPr>
          <w:p w14:paraId="25FB71D4" w14:textId="77777777"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0A9E">
              <w:rPr>
                <w:rFonts w:asciiTheme="majorHAnsi" w:hAnsiTheme="majorHAnsi"/>
              </w:rPr>
              <w:t>$651,764</w:t>
            </w:r>
          </w:p>
        </w:tc>
        <w:tc>
          <w:tcPr>
            <w:tcW w:w="1524" w:type="dxa"/>
            <w:noWrap/>
            <w:hideMark/>
          </w:tcPr>
          <w:p w14:paraId="3A4A86FE" w14:textId="77777777"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0A9E">
              <w:rPr>
                <w:rFonts w:asciiTheme="majorHAnsi" w:hAnsiTheme="majorHAnsi"/>
              </w:rPr>
              <w:t>N.P.</w:t>
            </w:r>
          </w:p>
        </w:tc>
        <w:tc>
          <w:tcPr>
            <w:tcW w:w="1524" w:type="dxa"/>
            <w:noWrap/>
            <w:hideMark/>
          </w:tcPr>
          <w:p w14:paraId="582981DC" w14:textId="77777777"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0A9E">
              <w:rPr>
                <w:rFonts w:asciiTheme="majorHAnsi" w:hAnsiTheme="majorHAnsi"/>
              </w:rPr>
              <w:t xml:space="preserve">$1,548,848 </w:t>
            </w:r>
          </w:p>
        </w:tc>
        <w:tc>
          <w:tcPr>
            <w:tcW w:w="1524" w:type="dxa"/>
            <w:noWrap/>
            <w:hideMark/>
          </w:tcPr>
          <w:p w14:paraId="4B67A89E" w14:textId="77777777"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0A9E">
              <w:rPr>
                <w:rFonts w:asciiTheme="majorHAnsi" w:hAnsiTheme="majorHAnsi"/>
              </w:rPr>
              <w:t>17</w:t>
            </w:r>
          </w:p>
        </w:tc>
        <w:tc>
          <w:tcPr>
            <w:tcW w:w="1524" w:type="dxa"/>
            <w:noWrap/>
            <w:hideMark/>
          </w:tcPr>
          <w:p w14:paraId="62BC8B1D" w14:textId="77777777"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0A9E">
              <w:rPr>
                <w:rFonts w:asciiTheme="majorHAnsi" w:hAnsiTheme="majorHAnsi"/>
              </w:rPr>
              <w:t xml:space="preserve">$1,593,276 </w:t>
            </w:r>
          </w:p>
        </w:tc>
        <w:tc>
          <w:tcPr>
            <w:tcW w:w="1524" w:type="dxa"/>
            <w:noWrap/>
            <w:hideMark/>
          </w:tcPr>
          <w:p w14:paraId="7631CFF1" w14:textId="77777777"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0A9E">
              <w:rPr>
                <w:rFonts w:asciiTheme="majorHAnsi" w:hAnsiTheme="majorHAnsi"/>
              </w:rPr>
              <w:t>14</w:t>
            </w:r>
          </w:p>
        </w:tc>
        <w:tc>
          <w:tcPr>
            <w:tcW w:w="1524" w:type="dxa"/>
            <w:noWrap/>
            <w:hideMark/>
          </w:tcPr>
          <w:p w14:paraId="70034CC7" w14:textId="77777777"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0A9E">
              <w:rPr>
                <w:rFonts w:asciiTheme="majorHAnsi" w:hAnsiTheme="majorHAnsi"/>
              </w:rPr>
              <w:t xml:space="preserve">$1,906,516 </w:t>
            </w:r>
          </w:p>
        </w:tc>
        <w:tc>
          <w:tcPr>
            <w:tcW w:w="1524" w:type="dxa"/>
            <w:noWrap/>
            <w:hideMark/>
          </w:tcPr>
          <w:p w14:paraId="49A574CA" w14:textId="77777777"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0A9E">
              <w:rPr>
                <w:rFonts w:asciiTheme="majorHAnsi" w:hAnsiTheme="majorHAnsi"/>
              </w:rPr>
              <w:t>14</w:t>
            </w:r>
          </w:p>
        </w:tc>
      </w:tr>
    </w:tbl>
    <w:p w14:paraId="1746549C" w14:textId="32DECEBA" w:rsidR="00030A9E" w:rsidRPr="005A2C49" w:rsidRDefault="00030A9E" w:rsidP="003C6A19">
      <w:pPr>
        <w:pStyle w:val="Tablenotes"/>
      </w:pPr>
      <w:r>
        <w:t xml:space="preserve">Source: </w:t>
      </w:r>
      <w:r w:rsidR="000D39CE">
        <w:t>PACOP</w:t>
      </w:r>
      <w:r w:rsidR="000D39CE" w:rsidRPr="00362F97">
        <w:t xml:space="preserve"> program data provided by </w:t>
      </w:r>
      <w:r w:rsidR="000D39CE">
        <w:t>the University of Wollongong</w:t>
      </w:r>
      <w:r w:rsidR="000D39CE" w:rsidRPr="00362F97">
        <w:t>, September 2025</w:t>
      </w:r>
      <w:r>
        <w:t>. N.P. = not provided. N/A = not applicable</w:t>
      </w:r>
    </w:p>
    <w:p w14:paraId="5D173F49" w14:textId="77777777" w:rsidR="00066E55" w:rsidRDefault="00066E55" w:rsidP="004314FA">
      <w:pPr>
        <w:pStyle w:val="Heading-Appendix"/>
        <w:sectPr w:rsidR="00066E55" w:rsidSect="00A32347">
          <w:type w:val="continuous"/>
          <w:pgSz w:w="16838" w:h="11906" w:orient="landscape" w:code="9"/>
          <w:pgMar w:top="851" w:right="851" w:bottom="851" w:left="851" w:header="709" w:footer="567" w:gutter="0"/>
          <w:cols w:space="709"/>
          <w:docGrid w:linePitch="360"/>
        </w:sectPr>
      </w:pPr>
      <w:bookmarkStart w:id="232" w:name="_Ref215070525"/>
    </w:p>
    <w:p w14:paraId="2883F93E" w14:textId="6BFADF95" w:rsidR="0076394B" w:rsidRDefault="00C413D9" w:rsidP="0076394B">
      <w:pPr>
        <w:pStyle w:val="Heading-Appendix"/>
      </w:pPr>
      <w:bookmarkStart w:id="233" w:name="_Ref216968458"/>
      <w:bookmarkStart w:id="234" w:name="_Toc232685938"/>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232"/>
      <w:r>
        <w:lastRenderedPageBreak/>
        <w:t>Economic analysis approach</w:t>
      </w:r>
      <w:bookmarkEnd w:id="233"/>
      <w:bookmarkEnd w:id="234"/>
    </w:p>
    <w:p w14:paraId="44E0286A" w14:textId="1FF9F9C4" w:rsidR="001B7B4B" w:rsidRPr="001B7B4B" w:rsidRDefault="001B7B4B" w:rsidP="001B7B4B">
      <w:r w:rsidRPr="001B7B4B">
        <w:t>The economic analysis component of this evaluation comprised a high-level, mixed-methods cost</w:t>
      </w:r>
      <w:r w:rsidR="00DD579C">
        <w:t>-</w:t>
      </w:r>
      <w:r w:rsidRPr="001B7B4B">
        <w:t xml:space="preserve">benefit analysis </w:t>
      </w:r>
      <w:r w:rsidR="00D30606">
        <w:t>conducted for PACOP only, given</w:t>
      </w:r>
      <w:r w:rsidRPr="001B7B4B">
        <w:t xml:space="preserve"> the availability of relevant outcome data. The analysis was designed to provide contextual insights to inform the broader evaluation rather than</w:t>
      </w:r>
      <w:r w:rsidR="000F5C90">
        <w:t xml:space="preserve"> constitute</w:t>
      </w:r>
      <w:r w:rsidRPr="001B7B4B">
        <w:t xml:space="preserve"> a detailed or comprehensive economic assessment. It was not intended as a stand</w:t>
      </w:r>
      <w:r w:rsidR="00F362BA">
        <w:t>alone</w:t>
      </w:r>
      <w:r w:rsidRPr="001B7B4B">
        <w:t xml:space="preserve"> element and does not include </w:t>
      </w:r>
      <w:r w:rsidR="00255A06">
        <w:t>elements of a traditional</w:t>
      </w:r>
      <w:r w:rsidRPr="001B7B4B">
        <w:t xml:space="preserve"> economic </w:t>
      </w:r>
      <w:r w:rsidR="00255A06">
        <w:t>analysis</w:t>
      </w:r>
      <w:r w:rsidRPr="001B7B4B">
        <w:t xml:space="preserve"> (e.g. Net Present Value, Internal Rate of Return, discounting, or sensitivity testing).</w:t>
      </w:r>
    </w:p>
    <w:p w14:paraId="667B561A" w14:textId="04DC0F02" w:rsidR="001B7B4B" w:rsidRDefault="001B7B4B" w:rsidP="001B7B4B">
      <w:r w:rsidRPr="001B7B4B">
        <w:t>The focus was on direct costs and benefits. Indirect costs were not reviewed in detail due to complex allocation requirements</w:t>
      </w:r>
      <w:r w:rsidR="00261D06">
        <w:t>. P</w:t>
      </w:r>
      <w:r w:rsidRPr="001B7B4B">
        <w:t>otential indirect benefits (</w:t>
      </w:r>
      <w:r w:rsidR="002D3C0D">
        <w:t>e.g.</w:t>
      </w:r>
      <w:r w:rsidR="00D30606">
        <w:t xml:space="preserve"> productivity gains) were deemed </w:t>
      </w:r>
      <w:r w:rsidR="00DF3C14">
        <w:t>low priority</w:t>
      </w:r>
      <w:r w:rsidRPr="001B7B4B">
        <w:t xml:space="preserve"> for this evaluation</w:t>
      </w:r>
      <w:r w:rsidR="0044490D">
        <w:t>.</w:t>
      </w:r>
    </w:p>
    <w:p w14:paraId="42FE6D80" w14:textId="45A637DD" w:rsidR="00E34D08" w:rsidRPr="00E34D08" w:rsidRDefault="00E34D08" w:rsidP="00E34D08">
      <w:r w:rsidRPr="00E34D08">
        <w:t>The approach aligned with the program logic and incorporated both qualitative and quantitative elements to support a high-level cost</w:t>
      </w:r>
      <w:r w:rsidR="00185AA4">
        <w:t>-</w:t>
      </w:r>
      <w:r w:rsidRPr="00E34D08">
        <w:t>benefit analysis. Key steps included:</w:t>
      </w:r>
    </w:p>
    <w:p w14:paraId="35BBB25A" w14:textId="77777777" w:rsidR="00E34D08" w:rsidRPr="00E34D08" w:rsidRDefault="00E34D08" w:rsidP="001C41AA">
      <w:pPr>
        <w:pStyle w:val="List"/>
        <w:numPr>
          <w:ilvl w:val="0"/>
          <w:numId w:val="33"/>
        </w:numPr>
      </w:pPr>
      <w:r w:rsidRPr="00E34D08">
        <w:t>Development of a hypothesis-based analysis schema</w:t>
      </w:r>
    </w:p>
    <w:p w14:paraId="7CB5E94E" w14:textId="4E71B060" w:rsidR="00E34D08" w:rsidRPr="00E34D08" w:rsidRDefault="00756B7F" w:rsidP="00E34D08">
      <w:pPr>
        <w:pStyle w:val="ListBullet2"/>
      </w:pPr>
      <w:r>
        <w:t>m</w:t>
      </w:r>
      <w:r w:rsidR="00E34D08" w:rsidRPr="00E34D08">
        <w:t>apping</w:t>
      </w:r>
      <w:r>
        <w:t xml:space="preserve"> of</w:t>
      </w:r>
      <w:r w:rsidR="00E34D08" w:rsidRPr="00E34D08">
        <w:t xml:space="preserve"> funded program activities and </w:t>
      </w:r>
      <w:r>
        <w:t>identification of</w:t>
      </w:r>
      <w:r w:rsidR="00E34D08" w:rsidRPr="00E34D08">
        <w:t xml:space="preserve"> areas of overlap</w:t>
      </w:r>
    </w:p>
    <w:p w14:paraId="69C44188" w14:textId="299344F9" w:rsidR="00E34D08" w:rsidRPr="00E34D08" w:rsidRDefault="00756B7F" w:rsidP="00E34D08">
      <w:pPr>
        <w:pStyle w:val="ListBullet2"/>
      </w:pPr>
      <w:r>
        <w:t>development of</w:t>
      </w:r>
      <w:r w:rsidR="00E34D08" w:rsidRPr="00E34D08">
        <w:t xml:space="preserve"> high-level assumptions for each stage of the schema</w:t>
      </w:r>
    </w:p>
    <w:p w14:paraId="2912E356" w14:textId="356E0618" w:rsidR="00E34D08" w:rsidRPr="00E34D08" w:rsidRDefault="00E34D08" w:rsidP="00E34D08">
      <w:pPr>
        <w:pStyle w:val="ListBullet2"/>
      </w:pPr>
      <w:r w:rsidRPr="00E34D08">
        <w:t>targeted research to confirm evidence links between activities and outcomes</w:t>
      </w:r>
    </w:p>
    <w:p w14:paraId="54A8276B" w14:textId="77777777" w:rsidR="00E34D08" w:rsidRPr="00E34D08" w:rsidRDefault="00E34D08" w:rsidP="00E34D08">
      <w:pPr>
        <w:pStyle w:val="List"/>
      </w:pPr>
      <w:r w:rsidRPr="00E34D08">
        <w:t>Identification of in-scope costs and segmentation by category</w:t>
      </w:r>
    </w:p>
    <w:p w14:paraId="51FD1128" w14:textId="70675187" w:rsidR="00E34D08" w:rsidRPr="00E34D08" w:rsidRDefault="002A19CB" w:rsidP="00E34D08">
      <w:pPr>
        <w:pStyle w:val="ListBullet2"/>
      </w:pPr>
      <w:r>
        <w:t>r</w:t>
      </w:r>
      <w:r w:rsidR="00E34D08" w:rsidRPr="00E34D08">
        <w:t>eview of financial data by program area and activity (actual spend v</w:t>
      </w:r>
      <w:r w:rsidR="00864A51">
        <w:t>ersu</w:t>
      </w:r>
      <w:r w:rsidR="00E34D08" w:rsidRPr="00E34D08">
        <w:t>s budget</w:t>
      </w:r>
      <w:r w:rsidR="00756B7F">
        <w:t>ed</w:t>
      </w:r>
      <w:r w:rsidR="003E1DC3">
        <w:t>,</w:t>
      </w:r>
      <w:r w:rsidR="00864A51">
        <w:t xml:space="preserve"> where possible</w:t>
      </w:r>
      <w:r w:rsidR="00E34D08" w:rsidRPr="00E34D08">
        <w:t>)</w:t>
      </w:r>
    </w:p>
    <w:p w14:paraId="74880AD6" w14:textId="27BC2D2D" w:rsidR="00E34D08" w:rsidRPr="00E34D08" w:rsidRDefault="002A19CB" w:rsidP="00E34D08">
      <w:pPr>
        <w:pStyle w:val="ListBullet2"/>
      </w:pPr>
      <w:r>
        <w:t>e</w:t>
      </w:r>
      <w:r w:rsidR="00E34D08" w:rsidRPr="00E34D08">
        <w:t>xamination of administrative documentation and stakeholder feedback</w:t>
      </w:r>
    </w:p>
    <w:p w14:paraId="2214B5BF" w14:textId="3DFBC7BA" w:rsidR="00E34D08" w:rsidRPr="00E34D08" w:rsidRDefault="00864A51" w:rsidP="00E34D08">
      <w:pPr>
        <w:pStyle w:val="ListBullet2"/>
      </w:pPr>
      <w:r>
        <w:t>e</w:t>
      </w:r>
      <w:r w:rsidR="00E34D08" w:rsidRPr="00E34D08">
        <w:t>stimation of in-kind contributions at the funded organisation level (order-of-magnitude estimates only)</w:t>
      </w:r>
    </w:p>
    <w:p w14:paraId="0F8D198F" w14:textId="0035B1D9" w:rsidR="00E34D08" w:rsidRPr="00E34D08" w:rsidRDefault="009770D2" w:rsidP="00E34D08">
      <w:pPr>
        <w:pStyle w:val="ListBullet2"/>
      </w:pPr>
      <w:r>
        <w:t>i</w:t>
      </w:r>
      <w:r w:rsidR="00E34D08" w:rsidRPr="00E34D08">
        <w:t xml:space="preserve">dentification of any transferred or in-kind costs at </w:t>
      </w:r>
      <w:r>
        <w:t>the home/</w:t>
      </w:r>
      <w:r w:rsidR="00E34D08" w:rsidRPr="00E34D08">
        <w:t>provider level</w:t>
      </w:r>
    </w:p>
    <w:p w14:paraId="331A4D21" w14:textId="77777777" w:rsidR="00E34D08" w:rsidRPr="00E34D08" w:rsidRDefault="00E34D08" w:rsidP="00E34D08">
      <w:pPr>
        <w:pStyle w:val="List"/>
      </w:pPr>
      <w:r w:rsidRPr="00E34D08">
        <w:t>Identification of in-scope benefits and segmentation by category</w:t>
      </w:r>
    </w:p>
    <w:p w14:paraId="130DBE16" w14:textId="3BCCCCBF" w:rsidR="00E34D08" w:rsidRPr="00E34D08" w:rsidRDefault="003E1DC3" w:rsidP="00E34D08">
      <w:pPr>
        <w:pStyle w:val="ListBullet2"/>
      </w:pPr>
      <w:r>
        <w:t xml:space="preserve">the </w:t>
      </w:r>
      <w:r w:rsidR="009770D2">
        <w:t>f</w:t>
      </w:r>
      <w:r w:rsidR="00E34D08" w:rsidRPr="00E34D08">
        <w:t xml:space="preserve">ocus </w:t>
      </w:r>
      <w:r>
        <w:t xml:space="preserve">was </w:t>
      </w:r>
      <w:r w:rsidR="00E34D08" w:rsidRPr="00E34D08">
        <w:t>on outcomes with measurable health system impact and potential</w:t>
      </w:r>
      <w:r w:rsidR="00DF3C14">
        <w:t xml:space="preserve"> to quantify an economic value</w:t>
      </w:r>
    </w:p>
    <w:p w14:paraId="11421654" w14:textId="77777777" w:rsidR="00E34D08" w:rsidRPr="00E34D08" w:rsidRDefault="00E34D08" w:rsidP="00E34D08">
      <w:pPr>
        <w:pStyle w:val="List"/>
      </w:pPr>
      <w:r w:rsidRPr="00E34D08">
        <w:t>Confirmation of valuation approach and methodology</w:t>
      </w:r>
    </w:p>
    <w:p w14:paraId="2F5F612B" w14:textId="0563D9E8" w:rsidR="00E34D08" w:rsidRPr="00E34D08" w:rsidRDefault="0047108D" w:rsidP="00E34D08">
      <w:pPr>
        <w:pStyle w:val="ListBullet2"/>
      </w:pPr>
      <w:r>
        <w:t>l</w:t>
      </w:r>
      <w:r w:rsidR="00E34D08" w:rsidRPr="00E34D08">
        <w:t xml:space="preserve">iterature review to identify cost benchmarks and </w:t>
      </w:r>
      <w:r w:rsidR="00DF3C14">
        <w:t>quantification</w:t>
      </w:r>
      <w:r w:rsidR="00E34D08" w:rsidRPr="00E34D08">
        <w:t xml:space="preserve"> methods</w:t>
      </w:r>
    </w:p>
    <w:p w14:paraId="791F817D" w14:textId="53D91775" w:rsidR="00E34D08" w:rsidRPr="00E34D08" w:rsidRDefault="0047108D" w:rsidP="00E34D08">
      <w:pPr>
        <w:pStyle w:val="ListBullet2"/>
      </w:pPr>
      <w:r>
        <w:t>c</w:t>
      </w:r>
      <w:r w:rsidR="00E34D08" w:rsidRPr="00E34D08">
        <w:t>alculation of valuations using best-practice guidelines</w:t>
      </w:r>
    </w:p>
    <w:p w14:paraId="48B79491" w14:textId="19BFB070" w:rsidR="00E34D08" w:rsidRPr="00E34D08" w:rsidRDefault="0047108D" w:rsidP="00E34D08">
      <w:pPr>
        <w:pStyle w:val="ListBullet2"/>
      </w:pPr>
      <w:r>
        <w:t>t</w:t>
      </w:r>
      <w:r w:rsidR="00E34D08" w:rsidRPr="00E34D08">
        <w:t>riangulation with qualitative inputs to validate assumptions</w:t>
      </w:r>
    </w:p>
    <w:p w14:paraId="45CB57C4" w14:textId="3BCEAB67" w:rsidR="00E34D08" w:rsidRPr="00E34D08" w:rsidRDefault="0047108D" w:rsidP="00E34D08">
      <w:pPr>
        <w:pStyle w:val="ListBullet2"/>
      </w:pPr>
      <w:r>
        <w:t>s</w:t>
      </w:r>
      <w:r w:rsidR="00E34D08" w:rsidRPr="00E34D08">
        <w:t>ynthesis of findings into high-level insights</w:t>
      </w:r>
      <w:r>
        <w:t>.</w:t>
      </w:r>
    </w:p>
    <w:p w14:paraId="47FD38DA" w14:textId="224FDC7F" w:rsidR="00C34A6C" w:rsidRDefault="00C34A6C" w:rsidP="00C34A6C">
      <w:r>
        <w:fldChar w:fldCharType="begin"/>
      </w:r>
      <w:r>
        <w:instrText xml:space="preserve"> REF _Ref216707168 \h  \* MERGEFORMAT </w:instrText>
      </w:r>
      <w:r>
        <w:fldChar w:fldCharType="separate"/>
      </w:r>
      <w:r w:rsidR="00167BA0">
        <w:t xml:space="preserve">Figure </w:t>
      </w:r>
      <w:r w:rsidR="00167BA0">
        <w:rPr>
          <w:noProof/>
        </w:rPr>
        <w:t>9.10</w:t>
      </w:r>
      <w:r>
        <w:fldChar w:fldCharType="end"/>
      </w:r>
      <w:r>
        <w:t xml:space="preserve"> summarises the steps </w:t>
      </w:r>
      <w:r w:rsidR="00D30606">
        <w:t>for conducting a</w:t>
      </w:r>
      <w:r>
        <w:t xml:space="preserve"> high-level cost-benefit analysis of PACOP. The </w:t>
      </w:r>
      <w:r w:rsidR="00D30606">
        <w:t>cost analysis included identifying available data by submitting</w:t>
      </w:r>
      <w:r>
        <w:t xml:space="preserve"> a data request to PACOP for outcomes data, program documentation, and financial data.</w:t>
      </w:r>
    </w:p>
    <w:p w14:paraId="4048A4F4" w14:textId="66EAA756" w:rsidR="00D06415" w:rsidRDefault="00D06415" w:rsidP="00D06415">
      <w:r>
        <w:t>Data sources for the economic analysis included:</w:t>
      </w:r>
    </w:p>
    <w:p w14:paraId="3DECFB2F" w14:textId="5771AAC0" w:rsidR="00D06415" w:rsidRDefault="00D06415" w:rsidP="00D06415">
      <w:pPr>
        <w:pStyle w:val="ListBullet"/>
      </w:pPr>
      <w:r>
        <w:t>primary data: outcomes and financial data provided by PACOP in response to HMA</w:t>
      </w:r>
      <w:r w:rsidR="003863F5">
        <w:t>’</w:t>
      </w:r>
      <w:r>
        <w:t>s detailed data request</w:t>
      </w:r>
    </w:p>
    <w:p w14:paraId="3AE0BFE3" w14:textId="16D1549C" w:rsidR="00D06415" w:rsidRDefault="00D06415" w:rsidP="00C34A6C">
      <w:pPr>
        <w:pStyle w:val="ListBullet"/>
      </w:pPr>
      <w:r>
        <w:t xml:space="preserve">secondary data: published literature and grey sources for </w:t>
      </w:r>
      <w:r w:rsidRPr="00BF0D7E">
        <w:t>comparators and cost values, focusing on palliative care outcomes in Australia or comparable health systems</w:t>
      </w:r>
      <w:r>
        <w:t>.</w:t>
      </w:r>
    </w:p>
    <w:p w14:paraId="21AA770D" w14:textId="20C5C402" w:rsidR="002A79F9" w:rsidRDefault="002A79F9" w:rsidP="002A79F9">
      <w:pPr>
        <w:pStyle w:val="Caption"/>
      </w:pPr>
      <w:bookmarkStart w:id="235" w:name="_Ref216706434"/>
      <w:bookmarkStart w:id="236" w:name="_Ref216707168"/>
      <w:r>
        <w:lastRenderedPageBreak/>
        <w:t xml:space="preserve">Figure </w:t>
      </w:r>
      <w:fldSimple w:instr=" STYLEREF 1 \s ">
        <w:r w:rsidR="00167BA0">
          <w:rPr>
            <w:noProof/>
          </w:rPr>
          <w:t>9</w:t>
        </w:r>
      </w:fldSimple>
      <w:r>
        <w:t>.</w:t>
      </w:r>
      <w:bookmarkEnd w:id="235"/>
      <w:r>
        <w:fldChar w:fldCharType="begin"/>
      </w:r>
      <w:r>
        <w:instrText xml:space="preserve"> SEQ Figure \* ARABIC \s 1 </w:instrText>
      </w:r>
      <w:r>
        <w:fldChar w:fldCharType="separate"/>
      </w:r>
      <w:r w:rsidR="00167BA0">
        <w:rPr>
          <w:noProof/>
        </w:rPr>
        <w:t>10</w:t>
      </w:r>
      <w:r>
        <w:rPr>
          <w:noProof/>
        </w:rPr>
        <w:fldChar w:fldCharType="end"/>
      </w:r>
      <w:bookmarkEnd w:id="236"/>
      <w:r>
        <w:t>: Steps taken to approach the economic analysis</w:t>
      </w:r>
    </w:p>
    <w:p w14:paraId="23A5EDA3" w14:textId="597CA5D3" w:rsidR="002A79F9" w:rsidRDefault="002105DD" w:rsidP="002A79F9">
      <w:pPr>
        <w:jc w:val="center"/>
      </w:pPr>
      <w:r>
        <w:rPr>
          <w:noProof/>
        </w:rPr>
        <w:drawing>
          <wp:inline distT="0" distB="0" distL="0" distR="0" wp14:anchorId="1DF2655F" wp14:editId="51BAD1E8">
            <wp:extent cx="4580255" cy="3449320"/>
            <wp:effectExtent l="0" t="0" r="0" b="0"/>
            <wp:docPr id="1485920884" name="Picture 5" descr="Figure 9.10 is a diagram showing steps taken to approach the economic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920884" name="Picture 5" descr="Figure 9.10 is a diagram showing steps taken to approach the economic analysis"/>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580255" cy="3449320"/>
                    </a:xfrm>
                    <a:prstGeom prst="rect">
                      <a:avLst/>
                    </a:prstGeom>
                  </pic:spPr>
                </pic:pic>
              </a:graphicData>
            </a:graphic>
          </wp:inline>
        </w:drawing>
      </w:r>
    </w:p>
    <w:p w14:paraId="6D1B8228" w14:textId="77777777" w:rsidR="002E2A83" w:rsidRPr="00615809" w:rsidRDefault="00BF0D7E" w:rsidP="002E2A83">
      <w:r w:rsidRPr="00BF0D7E">
        <w:rPr>
          <w:lang w:eastAsia="en-AU"/>
        </w:rPr>
        <w:t xml:space="preserve">To estimate benefits, the analysis calculated the change in value (delta) for each outcome domain and compared it to a counterfactual scenario. </w:t>
      </w:r>
      <w:r w:rsidR="002E2A83">
        <w:t xml:space="preserve">The following comparators were considered to determine both the </w:t>
      </w:r>
      <w:r w:rsidR="002E2A83" w:rsidRPr="00615809">
        <w:t>delta and counterfactual:</w:t>
      </w:r>
    </w:p>
    <w:p w14:paraId="535D27E0" w14:textId="77777777" w:rsidR="002E2A83" w:rsidRPr="00615809" w:rsidRDefault="002E2A83" w:rsidP="002E2A83">
      <w:pPr>
        <w:pStyle w:val="ListBullet"/>
      </w:pPr>
      <w:r w:rsidRPr="00615809">
        <w:t xml:space="preserve">improvement over time in the same </w:t>
      </w:r>
      <w:r>
        <w:t>aged care home/placement site</w:t>
      </w:r>
      <w:r w:rsidRPr="00615809">
        <w:t xml:space="preserve"> venue</w:t>
      </w:r>
    </w:p>
    <w:p w14:paraId="37CF9338" w14:textId="77777777" w:rsidR="002E2A83" w:rsidRPr="00615809" w:rsidRDefault="002E2A83" w:rsidP="002E2A83">
      <w:pPr>
        <w:pStyle w:val="ListBullet"/>
      </w:pPr>
      <w:r w:rsidRPr="00615809">
        <w:t xml:space="preserve">improvement observed in participating </w:t>
      </w:r>
      <w:r>
        <w:t>aged care homes/placement sites</w:t>
      </w:r>
      <w:r w:rsidRPr="00615809">
        <w:t xml:space="preserve"> versus non-participating </w:t>
      </w:r>
      <w:r>
        <w:t>entities</w:t>
      </w:r>
      <w:r w:rsidRPr="00615809">
        <w:t xml:space="preserve"> (where data is available)</w:t>
      </w:r>
    </w:p>
    <w:p w14:paraId="314F92D4" w14:textId="27D7934B" w:rsidR="002E2A83" w:rsidRPr="00615809" w:rsidRDefault="002E2A83" w:rsidP="002E2A83">
      <w:pPr>
        <w:pStyle w:val="ListBullet"/>
      </w:pPr>
      <w:r w:rsidRPr="00615809">
        <w:t xml:space="preserve">improvement in specific impacted cohorts, where this </w:t>
      </w:r>
      <w:r w:rsidR="001C0553">
        <w:t>could</w:t>
      </w:r>
      <w:r w:rsidRPr="00615809">
        <w:t xml:space="preserve"> be separated</w:t>
      </w:r>
    </w:p>
    <w:p w14:paraId="54C08D6E" w14:textId="59DDBB43" w:rsidR="002E2A83" w:rsidRPr="00615809" w:rsidRDefault="002E2A83" w:rsidP="002E2A83">
      <w:pPr>
        <w:pStyle w:val="ListBullet"/>
      </w:pPr>
      <w:r w:rsidRPr="00615809">
        <w:t>analysis of qualitative inputs (e.g. anecdotal feedback-based approach)</w:t>
      </w:r>
    </w:p>
    <w:p w14:paraId="79FE9A8F" w14:textId="2F1573E0" w:rsidR="002E2A83" w:rsidRPr="00615809" w:rsidRDefault="00E47A7B" w:rsidP="002E2A83">
      <w:pPr>
        <w:pStyle w:val="ListBullet"/>
      </w:pPr>
      <w:r>
        <w:t>comparison with</w:t>
      </w:r>
      <w:r w:rsidR="002E2A83" w:rsidRPr="00615809">
        <w:t xml:space="preserve"> a generic average or national benchmark data.</w:t>
      </w:r>
    </w:p>
    <w:p w14:paraId="01DDC2EC" w14:textId="15BD91AD" w:rsidR="00610EE2" w:rsidRDefault="002E2A83" w:rsidP="007668ED">
      <w:pPr>
        <w:rPr>
          <w:lang w:eastAsia="en-AU"/>
        </w:rPr>
      </w:pPr>
      <w:r>
        <w:t xml:space="preserve">The comparator was sourced from relevant literature. </w:t>
      </w:r>
      <w:r w:rsidR="004E3A00">
        <w:rPr>
          <w:lang w:eastAsia="en-AU"/>
        </w:rPr>
        <w:t>The following steps were undertaken</w:t>
      </w:r>
      <w:r w:rsidR="007668ED">
        <w:rPr>
          <w:lang w:eastAsia="en-AU"/>
        </w:rPr>
        <w:t xml:space="preserve"> for the analysis</w:t>
      </w:r>
      <w:r w:rsidR="004E3A00">
        <w:rPr>
          <w:lang w:eastAsia="en-AU"/>
        </w:rPr>
        <w:t>:</w:t>
      </w:r>
    </w:p>
    <w:p w14:paraId="6747878C" w14:textId="4AC8105B" w:rsidR="00FB19E6" w:rsidRPr="00FB19E6" w:rsidRDefault="00FB19E6" w:rsidP="001C41AA">
      <w:pPr>
        <w:pStyle w:val="List"/>
        <w:numPr>
          <w:ilvl w:val="0"/>
          <w:numId w:val="34"/>
        </w:numPr>
        <w:rPr>
          <w:lang w:eastAsia="en-AU"/>
        </w:rPr>
      </w:pPr>
      <w:r w:rsidRPr="00FB19E6">
        <w:rPr>
          <w:lang w:eastAsia="en-AU"/>
        </w:rPr>
        <w:t>Outcome data collection</w:t>
      </w:r>
    </w:p>
    <w:p w14:paraId="1BAC3CF8" w14:textId="11B0779B" w:rsidR="00FB19E6" w:rsidRPr="00FB19E6" w:rsidRDefault="004E2FB9" w:rsidP="00120E73">
      <w:pPr>
        <w:pStyle w:val="ListBullet2"/>
        <w:rPr>
          <w:lang w:eastAsia="en-AU"/>
        </w:rPr>
      </w:pPr>
      <w:r>
        <w:rPr>
          <w:lang w:eastAsia="en-AU"/>
        </w:rPr>
        <w:t>D</w:t>
      </w:r>
      <w:r w:rsidR="00FB19E6" w:rsidRPr="00FB19E6">
        <w:rPr>
          <w:lang w:eastAsia="en-AU"/>
        </w:rPr>
        <w:t>ata were sourced from PACOP</w:t>
      </w:r>
      <w:r w:rsidR="003863F5">
        <w:rPr>
          <w:lang w:eastAsia="en-AU"/>
        </w:rPr>
        <w:t>’</w:t>
      </w:r>
      <w:r w:rsidR="00FB19E6" w:rsidRPr="00FB19E6">
        <w:rPr>
          <w:lang w:eastAsia="en-AU"/>
        </w:rPr>
        <w:t>s three-monthly Profile assessments, indicating whether each resident had one or more unplanned hospitalisations or ED presentations.</w:t>
      </w:r>
      <w:r>
        <w:rPr>
          <w:lang w:eastAsia="en-AU"/>
        </w:rPr>
        <w:t xml:space="preserve"> T</w:t>
      </w:r>
      <w:r w:rsidR="00FB19E6" w:rsidRPr="00FB19E6">
        <w:rPr>
          <w:lang w:eastAsia="en-AU"/>
        </w:rPr>
        <w:t xml:space="preserve">hese outcomes </w:t>
      </w:r>
      <w:r w:rsidR="00D30606">
        <w:rPr>
          <w:lang w:eastAsia="en-AU"/>
        </w:rPr>
        <w:t>included all causes, not just</w:t>
      </w:r>
      <w:r w:rsidR="00FB19E6" w:rsidRPr="00FB19E6">
        <w:rPr>
          <w:lang w:eastAsia="en-AU"/>
        </w:rPr>
        <w:t xml:space="preserve"> palliative care-related events.</w:t>
      </w:r>
    </w:p>
    <w:p w14:paraId="39ABAC58" w14:textId="52510B62" w:rsidR="00FB19E6" w:rsidRPr="00FB19E6" w:rsidRDefault="00FB19E6" w:rsidP="00B93B1F">
      <w:pPr>
        <w:pStyle w:val="List"/>
        <w:rPr>
          <w:lang w:eastAsia="en-AU"/>
        </w:rPr>
      </w:pPr>
      <w:r w:rsidRPr="00FB19E6">
        <w:rPr>
          <w:lang w:eastAsia="en-AU"/>
        </w:rPr>
        <w:t>Comparator analysis</w:t>
      </w:r>
    </w:p>
    <w:p w14:paraId="27E8C877" w14:textId="1B2C7202" w:rsidR="00FB19E6" w:rsidRPr="00FB19E6" w:rsidRDefault="00FB19E6" w:rsidP="00B95383">
      <w:pPr>
        <w:pStyle w:val="ListBullet2"/>
        <w:rPr>
          <w:lang w:eastAsia="en-AU"/>
        </w:rPr>
      </w:pPr>
      <w:r w:rsidRPr="00FB19E6">
        <w:rPr>
          <w:lang w:eastAsia="en-AU"/>
        </w:rPr>
        <w:t xml:space="preserve">The number of PACOP residents with each outcome was compared to expected proportions for people aged ≥65 years in permanent residential aged care, based on an Australian retrospective cohort study of over 200,000 individuals </w:t>
      </w:r>
      <w:sdt>
        <w:sdtPr>
          <w:rPr>
            <w:lang w:eastAsia="en-AU"/>
          </w:rPr>
          <w:id w:val="-568111927"/>
          <w:citation/>
        </w:sdtPr>
        <w:sdtContent>
          <w:r w:rsidR="004E2FB9">
            <w:rPr>
              <w:lang w:eastAsia="en-AU"/>
            </w:rPr>
            <w:fldChar w:fldCharType="begin"/>
          </w:r>
          <w:r w:rsidR="004E2FB9" w:rsidRPr="00B95383">
            <w:rPr>
              <w:lang w:val="en-US" w:eastAsia="en-AU"/>
            </w:rPr>
            <w:instrText xml:space="preserve"> CITATION Har24 \l 1033 </w:instrText>
          </w:r>
          <w:r w:rsidR="004E2FB9">
            <w:rPr>
              <w:lang w:eastAsia="en-AU"/>
            </w:rPr>
            <w:fldChar w:fldCharType="separate"/>
          </w:r>
          <w:r w:rsidR="00513E81" w:rsidRPr="00513E81">
            <w:rPr>
              <w:noProof/>
              <w:lang w:val="en-US" w:eastAsia="en-AU"/>
            </w:rPr>
            <w:t>[33]</w:t>
          </w:r>
          <w:r w:rsidR="004E2FB9">
            <w:rPr>
              <w:lang w:eastAsia="en-AU"/>
            </w:rPr>
            <w:fldChar w:fldCharType="end"/>
          </w:r>
        </w:sdtContent>
      </w:sdt>
      <w:r w:rsidR="004E2FB9">
        <w:rPr>
          <w:lang w:eastAsia="en-AU"/>
        </w:rPr>
        <w:t xml:space="preserve"> (</w:t>
      </w:r>
      <w:r w:rsidRPr="00FB19E6">
        <w:rPr>
          <w:lang w:eastAsia="en-AU"/>
        </w:rPr>
        <w:t xml:space="preserve">see </w:t>
      </w:r>
      <w:r w:rsidR="00D06415">
        <w:rPr>
          <w:lang w:eastAsia="en-AU"/>
        </w:rPr>
        <w:fldChar w:fldCharType="begin"/>
      </w:r>
      <w:r w:rsidR="00D06415">
        <w:rPr>
          <w:lang w:eastAsia="en-AU"/>
        </w:rPr>
        <w:instrText xml:space="preserve"> REF _Ref216968120 \h </w:instrText>
      </w:r>
      <w:r w:rsidR="00D06415">
        <w:rPr>
          <w:lang w:eastAsia="en-AU"/>
        </w:rPr>
      </w:r>
      <w:r w:rsidR="00D06415">
        <w:rPr>
          <w:lang w:eastAsia="en-AU"/>
        </w:rPr>
        <w:fldChar w:fldCharType="separate"/>
      </w:r>
      <w:r w:rsidR="00167BA0">
        <w:t xml:space="preserve">Table </w:t>
      </w:r>
      <w:r w:rsidR="00167BA0">
        <w:rPr>
          <w:noProof/>
        </w:rPr>
        <w:t>9</w:t>
      </w:r>
      <w:r w:rsidR="00167BA0">
        <w:t>.</w:t>
      </w:r>
      <w:r w:rsidR="00167BA0">
        <w:rPr>
          <w:noProof/>
        </w:rPr>
        <w:t>32</w:t>
      </w:r>
      <w:r w:rsidR="00D06415">
        <w:rPr>
          <w:lang w:eastAsia="en-AU"/>
        </w:rPr>
        <w:fldChar w:fldCharType="end"/>
      </w:r>
      <w:r w:rsidRPr="00FB19E6">
        <w:rPr>
          <w:lang w:eastAsia="en-AU"/>
        </w:rPr>
        <w:t>).</w:t>
      </w:r>
    </w:p>
    <w:p w14:paraId="285F32F5" w14:textId="659327A7" w:rsidR="00FB19E6" w:rsidRPr="00FB19E6" w:rsidRDefault="00FB19E6" w:rsidP="00B93B1F">
      <w:pPr>
        <w:pStyle w:val="List"/>
        <w:rPr>
          <w:lang w:eastAsia="en-AU"/>
        </w:rPr>
      </w:pPr>
      <w:r w:rsidRPr="00FB19E6">
        <w:rPr>
          <w:lang w:eastAsia="en-AU"/>
        </w:rPr>
        <w:t>Delta calculation</w:t>
      </w:r>
    </w:p>
    <w:p w14:paraId="67329D8B" w14:textId="22639EE9" w:rsidR="00FB19E6" w:rsidRPr="00FB19E6" w:rsidRDefault="00FB19E6" w:rsidP="00B93B1F">
      <w:pPr>
        <w:pStyle w:val="ListBullet2"/>
        <w:rPr>
          <w:lang w:eastAsia="en-AU"/>
        </w:rPr>
      </w:pPr>
      <w:r w:rsidRPr="00FB19E6">
        <w:rPr>
          <w:lang w:eastAsia="en-AU"/>
        </w:rPr>
        <w:t xml:space="preserve">The proportion </w:t>
      </w:r>
      <w:r w:rsidR="00BB1093">
        <w:rPr>
          <w:lang w:eastAsia="en-AU"/>
        </w:rPr>
        <w:t xml:space="preserve">of unplanned hospitalisations and ED presentations </w:t>
      </w:r>
      <w:r w:rsidR="00456DAD">
        <w:rPr>
          <w:lang w:eastAsia="en-AU"/>
        </w:rPr>
        <w:t xml:space="preserve">in the PACOP </w:t>
      </w:r>
      <w:r w:rsidRPr="00FB19E6">
        <w:rPr>
          <w:lang w:eastAsia="en-AU"/>
        </w:rPr>
        <w:t xml:space="preserve">and comparator </w:t>
      </w:r>
      <w:r w:rsidR="00456DAD">
        <w:rPr>
          <w:lang w:eastAsia="en-AU"/>
        </w:rPr>
        <w:t>cohort</w:t>
      </w:r>
      <w:r w:rsidR="0036620B">
        <w:rPr>
          <w:lang w:eastAsia="en-AU"/>
        </w:rPr>
        <w:t xml:space="preserve">s </w:t>
      </w:r>
      <w:r w:rsidR="00263C6C">
        <w:rPr>
          <w:lang w:eastAsia="en-AU"/>
        </w:rPr>
        <w:t>was</w:t>
      </w:r>
      <w:r w:rsidRPr="00FB19E6">
        <w:rPr>
          <w:lang w:eastAsia="en-AU"/>
        </w:rPr>
        <w:t xml:space="preserve"> calculated.</w:t>
      </w:r>
      <w:r w:rsidR="00456DAD">
        <w:rPr>
          <w:lang w:eastAsia="en-AU"/>
        </w:rPr>
        <w:t xml:space="preserve"> There w</w:t>
      </w:r>
      <w:r w:rsidR="0075700C">
        <w:rPr>
          <w:lang w:eastAsia="en-AU"/>
        </w:rPr>
        <w:t>ere</w:t>
      </w:r>
      <w:r w:rsidR="00456DAD">
        <w:rPr>
          <w:lang w:eastAsia="en-AU"/>
        </w:rPr>
        <w:t xml:space="preserve"> lower </w:t>
      </w:r>
      <w:r w:rsidR="00AD66D1">
        <w:rPr>
          <w:lang w:eastAsia="en-AU"/>
        </w:rPr>
        <w:t>rates of both events in the PACOP cohort than in the comparator cohort</w:t>
      </w:r>
      <w:r w:rsidR="0060587A">
        <w:rPr>
          <w:lang w:eastAsia="en-AU"/>
        </w:rPr>
        <w:t>.</w:t>
      </w:r>
    </w:p>
    <w:p w14:paraId="0236FD39" w14:textId="016C2EF4" w:rsidR="00FB19E6" w:rsidRPr="00FB19E6" w:rsidRDefault="00263C6C" w:rsidP="00B93B1F">
      <w:pPr>
        <w:pStyle w:val="List"/>
        <w:rPr>
          <w:lang w:eastAsia="en-AU"/>
        </w:rPr>
      </w:pPr>
      <w:r>
        <w:rPr>
          <w:lang w:eastAsia="en-AU"/>
        </w:rPr>
        <w:t>Quantification</w:t>
      </w:r>
      <w:r w:rsidR="00FB19E6" w:rsidRPr="00FB19E6">
        <w:rPr>
          <w:lang w:eastAsia="en-AU"/>
        </w:rPr>
        <w:t xml:space="preserve"> of benefits</w:t>
      </w:r>
    </w:p>
    <w:p w14:paraId="573503EC" w14:textId="0BE98EF8" w:rsidR="001B712B" w:rsidRDefault="00FB19E6" w:rsidP="001B712B">
      <w:pPr>
        <w:pStyle w:val="ListBullet2"/>
        <w:rPr>
          <w:lang w:eastAsia="en-AU"/>
        </w:rPr>
      </w:pPr>
      <w:r w:rsidRPr="00FB19E6">
        <w:rPr>
          <w:lang w:eastAsia="en-AU"/>
        </w:rPr>
        <w:t>Published cost data</w:t>
      </w:r>
      <w:r w:rsidR="00A31656">
        <w:rPr>
          <w:lang w:eastAsia="en-AU"/>
        </w:rPr>
        <w:t xml:space="preserve"> (see </w:t>
      </w:r>
      <w:r w:rsidR="009E4F25">
        <w:rPr>
          <w:lang w:eastAsia="en-AU"/>
        </w:rPr>
        <w:fldChar w:fldCharType="begin"/>
      </w:r>
      <w:r w:rsidR="009E4F25">
        <w:rPr>
          <w:lang w:eastAsia="en-AU"/>
        </w:rPr>
        <w:instrText xml:space="preserve"> REF _Ref216968120 \h </w:instrText>
      </w:r>
      <w:r w:rsidR="009E4F25">
        <w:rPr>
          <w:lang w:eastAsia="en-AU"/>
        </w:rPr>
      </w:r>
      <w:r w:rsidR="009E4F25">
        <w:rPr>
          <w:lang w:eastAsia="en-AU"/>
        </w:rPr>
        <w:fldChar w:fldCharType="separate"/>
      </w:r>
      <w:r w:rsidR="00167BA0">
        <w:t xml:space="preserve">Table </w:t>
      </w:r>
      <w:r w:rsidR="00167BA0">
        <w:rPr>
          <w:noProof/>
        </w:rPr>
        <w:t>9</w:t>
      </w:r>
      <w:r w:rsidR="00167BA0">
        <w:t>.</w:t>
      </w:r>
      <w:r w:rsidR="00167BA0">
        <w:rPr>
          <w:noProof/>
        </w:rPr>
        <w:t>32</w:t>
      </w:r>
      <w:r w:rsidR="009E4F25">
        <w:rPr>
          <w:lang w:eastAsia="en-AU"/>
        </w:rPr>
        <w:fldChar w:fldCharType="end"/>
      </w:r>
      <w:r w:rsidR="00A31656">
        <w:rPr>
          <w:lang w:eastAsia="en-AU"/>
        </w:rPr>
        <w:t>)</w:t>
      </w:r>
      <w:r w:rsidRPr="00FB19E6">
        <w:rPr>
          <w:lang w:eastAsia="en-AU"/>
        </w:rPr>
        <w:t xml:space="preserve"> were applied to estimate</w:t>
      </w:r>
      <w:r w:rsidR="00263C6C">
        <w:rPr>
          <w:lang w:eastAsia="en-AU"/>
        </w:rPr>
        <w:t xml:space="preserve"> potential</w:t>
      </w:r>
      <w:r w:rsidRPr="00FB19E6">
        <w:rPr>
          <w:lang w:eastAsia="en-AU"/>
        </w:rPr>
        <w:t xml:space="preserve"> savings</w:t>
      </w:r>
      <w:r w:rsidR="003D0F33">
        <w:rPr>
          <w:lang w:eastAsia="en-AU"/>
        </w:rPr>
        <w:t xml:space="preserve">. </w:t>
      </w:r>
      <w:r w:rsidRPr="00FB19E6">
        <w:rPr>
          <w:lang w:eastAsia="en-AU"/>
        </w:rPr>
        <w:t>Average cost per unplanned hospitalisation</w:t>
      </w:r>
      <w:r w:rsidR="003D0F33">
        <w:rPr>
          <w:lang w:eastAsia="en-AU"/>
        </w:rPr>
        <w:t xml:space="preserve"> was d</w:t>
      </w:r>
      <w:r w:rsidRPr="00FB19E6">
        <w:rPr>
          <w:lang w:eastAsia="en-AU"/>
        </w:rPr>
        <w:t>erived from acute, sub</w:t>
      </w:r>
      <w:r w:rsidR="00F362BA">
        <w:rPr>
          <w:lang w:eastAsia="en-AU"/>
        </w:rPr>
        <w:t>acute</w:t>
      </w:r>
      <w:r w:rsidRPr="00FB19E6">
        <w:rPr>
          <w:lang w:eastAsia="en-AU"/>
        </w:rPr>
        <w:t xml:space="preserve">, and non-acute admitted </w:t>
      </w:r>
      <w:r w:rsidR="003D0F33">
        <w:rPr>
          <w:lang w:eastAsia="en-AU"/>
        </w:rPr>
        <w:t>hospitalisation data (</w:t>
      </w:r>
      <w:r w:rsidR="00F77174">
        <w:rPr>
          <w:lang w:eastAsia="en-AU"/>
        </w:rPr>
        <w:fldChar w:fldCharType="begin"/>
      </w:r>
      <w:r w:rsidR="00F77174">
        <w:rPr>
          <w:lang w:eastAsia="en-AU"/>
        </w:rPr>
        <w:instrText xml:space="preserve"> REF _Ref216968028 \h </w:instrText>
      </w:r>
      <w:r w:rsidR="00F77174">
        <w:rPr>
          <w:lang w:eastAsia="en-AU"/>
        </w:rPr>
      </w:r>
      <w:r w:rsidR="00F77174">
        <w:rPr>
          <w:lang w:eastAsia="en-AU"/>
        </w:rPr>
        <w:fldChar w:fldCharType="separate"/>
      </w:r>
      <w:r w:rsidR="00167BA0">
        <w:t xml:space="preserve">Table </w:t>
      </w:r>
      <w:r w:rsidR="00167BA0">
        <w:rPr>
          <w:noProof/>
        </w:rPr>
        <w:t>9</w:t>
      </w:r>
      <w:r w:rsidR="00167BA0">
        <w:t>.</w:t>
      </w:r>
      <w:r w:rsidR="00167BA0">
        <w:rPr>
          <w:noProof/>
        </w:rPr>
        <w:t>33</w:t>
      </w:r>
      <w:r w:rsidR="00F77174">
        <w:rPr>
          <w:lang w:eastAsia="en-AU"/>
        </w:rPr>
        <w:fldChar w:fldCharType="end"/>
      </w:r>
      <w:r w:rsidRPr="00FB19E6">
        <w:rPr>
          <w:lang w:eastAsia="en-AU"/>
        </w:rPr>
        <w:t>)</w:t>
      </w:r>
      <w:r w:rsidR="001B712B">
        <w:rPr>
          <w:lang w:eastAsia="en-AU"/>
        </w:rPr>
        <w:t>.</w:t>
      </w:r>
    </w:p>
    <w:p w14:paraId="6B29758E" w14:textId="20867B90" w:rsidR="00FB19E6" w:rsidRPr="00FB19E6" w:rsidRDefault="00FB19E6" w:rsidP="001B712B">
      <w:pPr>
        <w:pStyle w:val="List"/>
        <w:rPr>
          <w:lang w:eastAsia="en-AU"/>
        </w:rPr>
      </w:pPr>
      <w:r w:rsidRPr="00FB19E6">
        <w:rPr>
          <w:lang w:eastAsia="en-AU"/>
        </w:rPr>
        <w:t>Attribution to PACOP</w:t>
      </w:r>
    </w:p>
    <w:p w14:paraId="3EBDA2B7" w14:textId="77777777" w:rsidR="00B93B1F" w:rsidRDefault="00FB19E6" w:rsidP="00B93B1F">
      <w:pPr>
        <w:pStyle w:val="ListBullet2"/>
        <w:rPr>
          <w:lang w:eastAsia="en-AU"/>
        </w:rPr>
      </w:pPr>
      <w:r w:rsidRPr="00FB19E6">
        <w:rPr>
          <w:lang w:eastAsia="en-AU"/>
        </w:rPr>
        <w:t>Attribution was estimated using evaluation survey data and literature-based ratios:</w:t>
      </w:r>
    </w:p>
    <w:p w14:paraId="308FC33F" w14:textId="34A9FCCD" w:rsidR="00FB19E6" w:rsidRPr="00B93B1F" w:rsidRDefault="001B1577" w:rsidP="007D4CA0">
      <w:pPr>
        <w:pStyle w:val="ListBullet2"/>
        <w:ind w:left="993" w:hanging="284"/>
      </w:pPr>
      <w:r>
        <w:lastRenderedPageBreak/>
        <w:t>online s</w:t>
      </w:r>
      <w:r w:rsidR="00FB19E6" w:rsidRPr="00B93B1F">
        <w:t xml:space="preserve">urvey </w:t>
      </w:r>
      <w:r>
        <w:t xml:space="preserve">findings </w:t>
      </w:r>
      <w:r w:rsidR="00FB19E6" w:rsidRPr="00B93B1F">
        <w:t>indicated 30.4% of respondents believed PACOP slightly or significantly reduced palliative care-related hospitalisations and ED presentations.</w:t>
      </w:r>
      <w:r w:rsidR="00512EF7">
        <w:t xml:space="preserve"> </w:t>
      </w:r>
      <w:r w:rsidR="007D4CA0">
        <w:t xml:space="preserve">Given that this </w:t>
      </w:r>
      <w:r w:rsidR="00646B2E">
        <w:t>relates</w:t>
      </w:r>
      <w:r w:rsidR="007D4CA0">
        <w:t xml:space="preserve"> only to palliative care-related outcomes, it could not be used as a direct estimation of attribution.</w:t>
      </w:r>
    </w:p>
    <w:p w14:paraId="2F1B010B" w14:textId="6D2A4B29" w:rsidR="00B93B1F" w:rsidRDefault="009030A8" w:rsidP="00E91927">
      <w:pPr>
        <w:pStyle w:val="ListBullet2"/>
        <w:ind w:left="993" w:hanging="284"/>
      </w:pPr>
      <w:r>
        <w:t>l</w:t>
      </w:r>
      <w:r w:rsidR="00FB19E6" w:rsidRPr="00B93B1F">
        <w:t xml:space="preserve">iterature </w:t>
      </w:r>
      <w:sdt>
        <w:sdtPr>
          <w:id w:val="1667975484"/>
          <w:citation/>
        </w:sdtPr>
        <w:sdtContent>
          <w:r w:rsidR="007953E7">
            <w:fldChar w:fldCharType="begin"/>
          </w:r>
          <w:r w:rsidR="007953E7">
            <w:rPr>
              <w:lang w:val="en-US"/>
            </w:rPr>
            <w:instrText xml:space="preserve"> CITATION Har24 \l 1033 </w:instrText>
          </w:r>
          <w:r w:rsidR="007953E7">
            <w:fldChar w:fldCharType="separate"/>
          </w:r>
          <w:r w:rsidR="00513E81" w:rsidRPr="00513E81">
            <w:rPr>
              <w:noProof/>
              <w:lang w:val="en-US"/>
            </w:rPr>
            <w:t>[33]</w:t>
          </w:r>
          <w:r w:rsidR="007953E7">
            <w:fldChar w:fldCharType="end"/>
          </w:r>
        </w:sdtContent>
      </w:sdt>
      <w:r w:rsidR="007953E7">
        <w:t xml:space="preserve"> </w:t>
      </w:r>
      <w:r w:rsidR="00FB19E6" w:rsidRPr="00B93B1F">
        <w:t xml:space="preserve">and </w:t>
      </w:r>
      <w:r w:rsidR="00E91927">
        <w:t>Australian Institute of Health and Welfare (</w:t>
      </w:r>
      <w:r w:rsidR="00FB19E6" w:rsidRPr="00B93B1F">
        <w:t>AIHW</w:t>
      </w:r>
      <w:r w:rsidR="00E91927">
        <w:t>)</w:t>
      </w:r>
      <w:r w:rsidR="00FB19E6" w:rsidRPr="00B93B1F">
        <w:t xml:space="preserve"> data </w:t>
      </w:r>
      <w:sdt>
        <w:sdtPr>
          <w:id w:val="-1163385507"/>
          <w:citation/>
        </w:sdtPr>
        <w:sdtContent>
          <w:r w:rsidR="00644EE8">
            <w:fldChar w:fldCharType="begin"/>
          </w:r>
          <w:r w:rsidR="00644EE8">
            <w:rPr>
              <w:lang w:val="en-US"/>
            </w:rPr>
            <w:instrText xml:space="preserve"> CITATION Aus2511 \l 1033 </w:instrText>
          </w:r>
          <w:r w:rsidR="00644EE8">
            <w:fldChar w:fldCharType="separate"/>
          </w:r>
          <w:r w:rsidR="00513E81" w:rsidRPr="00513E81">
            <w:rPr>
              <w:noProof/>
              <w:lang w:val="en-US"/>
            </w:rPr>
            <w:t>[35]</w:t>
          </w:r>
          <w:r w:rsidR="00644EE8">
            <w:fldChar w:fldCharType="end"/>
          </w:r>
        </w:sdtContent>
      </w:sdt>
      <w:r w:rsidR="00644EE8">
        <w:t xml:space="preserve"> </w:t>
      </w:r>
      <w:r w:rsidR="00FB19E6" w:rsidRPr="00B93B1F">
        <w:t>informed the proportion of events likely to be palliative care-related:</w:t>
      </w:r>
    </w:p>
    <w:p w14:paraId="2B54E507" w14:textId="768F4FEC" w:rsidR="009030A8" w:rsidRDefault="009030A8" w:rsidP="009030A8">
      <w:pPr>
        <w:pStyle w:val="ListBullet2"/>
        <w:ind w:left="1418" w:hanging="425"/>
      </w:pPr>
      <w:r>
        <w:t>28.8% took hospital leave</w:t>
      </w:r>
      <w:r>
        <w:rPr>
          <w:rStyle w:val="FootnoteReference"/>
        </w:rPr>
        <w:footnoteReference w:id="5"/>
      </w:r>
      <w:r>
        <w:t xml:space="preserve"> for palliative care and 27.0% took hospital </w:t>
      </w:r>
      <w:r w:rsidR="002F0786">
        <w:t>leave</w:t>
      </w:r>
      <w:r>
        <w:t xml:space="preserve"> for reasons other than palliative care </w:t>
      </w:r>
      <w:sdt>
        <w:sdtPr>
          <w:id w:val="1187487302"/>
          <w:citation/>
        </w:sdtPr>
        <w:sdtContent>
          <w:r>
            <w:fldChar w:fldCharType="begin"/>
          </w:r>
          <w:r>
            <w:rPr>
              <w:lang w:val="en-US"/>
            </w:rPr>
            <w:instrText xml:space="preserve"> CITATION Aus2511 \l 1033 </w:instrText>
          </w:r>
          <w:r>
            <w:fldChar w:fldCharType="separate"/>
          </w:r>
          <w:r w:rsidR="00513E81" w:rsidRPr="00513E81">
            <w:rPr>
              <w:noProof/>
              <w:lang w:val="en-US"/>
            </w:rPr>
            <w:t>[35]</w:t>
          </w:r>
          <w:r>
            <w:fldChar w:fldCharType="end"/>
          </w:r>
        </w:sdtContent>
      </w:sdt>
      <w:r>
        <w:t>, approximately a 1:1 ratio</w:t>
      </w:r>
    </w:p>
    <w:p w14:paraId="72E301A6" w14:textId="75F155C1" w:rsidR="009030A8" w:rsidRDefault="009030A8" w:rsidP="009030A8">
      <w:pPr>
        <w:pStyle w:val="ListBullet2"/>
        <w:ind w:left="1418" w:hanging="425"/>
      </w:pPr>
      <w:r>
        <w:t xml:space="preserve">exits from permanent residential aged care to hospital for palliative care-reasons and non-palliative care-reasons were 1.0% and 1.3% respectively </w:t>
      </w:r>
      <w:sdt>
        <w:sdtPr>
          <w:id w:val="1500853426"/>
          <w:citation/>
        </w:sdtPr>
        <w:sdtContent>
          <w:r>
            <w:fldChar w:fldCharType="begin"/>
          </w:r>
          <w:r>
            <w:rPr>
              <w:lang w:val="en-US"/>
            </w:rPr>
            <w:instrText xml:space="preserve"> CITATION Aus2511 \l 1033 </w:instrText>
          </w:r>
          <w:r>
            <w:fldChar w:fldCharType="separate"/>
          </w:r>
          <w:r w:rsidR="00513E81" w:rsidRPr="00513E81">
            <w:rPr>
              <w:noProof/>
              <w:lang w:val="en-US"/>
            </w:rPr>
            <w:t>[35]</w:t>
          </w:r>
          <w:r>
            <w:fldChar w:fldCharType="end"/>
          </w:r>
        </w:sdtContent>
      </w:sdt>
      <w:r>
        <w:t>, also approximately a 1:1 ratio</w:t>
      </w:r>
    </w:p>
    <w:p w14:paraId="09C341C8" w14:textId="5F077E84" w:rsidR="009030A8" w:rsidRDefault="009030A8" w:rsidP="009030A8">
      <w:pPr>
        <w:pStyle w:val="ListBullet2"/>
        <w:ind w:left="1418" w:hanging="425"/>
      </w:pPr>
      <w:r>
        <w:t>Harrison et al. 2024</w:t>
      </w:r>
      <w:r w:rsidR="00EE1715">
        <w:t xml:space="preserve"> </w:t>
      </w:r>
      <w:sdt>
        <w:sdtPr>
          <w:id w:val="2009245884"/>
          <w:citation/>
        </w:sdtPr>
        <w:sdtContent>
          <w:r w:rsidR="00EE1715">
            <w:fldChar w:fldCharType="begin"/>
          </w:r>
          <w:r w:rsidR="00EE1715">
            <w:rPr>
              <w:lang w:val="en-US"/>
            </w:rPr>
            <w:instrText xml:space="preserve"> CITATION Har24 \l 1033 </w:instrText>
          </w:r>
          <w:r w:rsidR="00EE1715">
            <w:fldChar w:fldCharType="separate"/>
          </w:r>
          <w:r w:rsidR="00513E81" w:rsidRPr="00513E81">
            <w:rPr>
              <w:noProof/>
              <w:lang w:val="en-US"/>
            </w:rPr>
            <w:t>[33]</w:t>
          </w:r>
          <w:r w:rsidR="00EE1715">
            <w:fldChar w:fldCharType="end"/>
          </w:r>
        </w:sdtContent>
      </w:sdt>
      <w:r>
        <w:t>: 58.9% of all hospitalisations were unplanned</w:t>
      </w:r>
      <w:r w:rsidR="00656608">
        <w:rPr>
          <w:rStyle w:val="FootnoteReference"/>
        </w:rPr>
        <w:footnoteReference w:id="6"/>
      </w:r>
      <w:r>
        <w:t>, equating to approximately 29.5% palliative care-related unplanned hospitalisations using the 1:1 ratio</w:t>
      </w:r>
    </w:p>
    <w:p w14:paraId="22BF4E87" w14:textId="08099C4A" w:rsidR="009030A8" w:rsidRDefault="009030A8" w:rsidP="009030A8">
      <w:pPr>
        <w:pStyle w:val="ListBullet2"/>
        <w:ind w:left="1418" w:hanging="284"/>
      </w:pPr>
      <w:r>
        <w:t>Harrison et al. 2024</w:t>
      </w:r>
      <w:r w:rsidR="00EE1715">
        <w:t xml:space="preserve"> </w:t>
      </w:r>
      <w:sdt>
        <w:sdtPr>
          <w:id w:val="840890732"/>
          <w:citation/>
        </w:sdtPr>
        <w:sdtContent>
          <w:r w:rsidR="00EE1715">
            <w:fldChar w:fldCharType="begin"/>
          </w:r>
          <w:r w:rsidR="00EE1715">
            <w:rPr>
              <w:lang w:val="en-US"/>
            </w:rPr>
            <w:instrText xml:space="preserve"> CITATION Har24 \l 1033 </w:instrText>
          </w:r>
          <w:r w:rsidR="00EE1715">
            <w:fldChar w:fldCharType="separate"/>
          </w:r>
          <w:r w:rsidR="00513E81" w:rsidRPr="00513E81">
            <w:rPr>
              <w:noProof/>
              <w:lang w:val="en-US"/>
            </w:rPr>
            <w:t>[33]</w:t>
          </w:r>
          <w:r w:rsidR="00EE1715">
            <w:fldChar w:fldCharType="end"/>
          </w:r>
        </w:sdtContent>
      </w:sdt>
      <w:r>
        <w:t>: 71.0% of ED presentations resulted in a hospital admission, equating to approximately being 35.5% palliative care-related, based on 1:1 ratio. This does not count any ED presentations that were palliative care-related but did not result in a hospitalisation, as those data were unknown.</w:t>
      </w:r>
    </w:p>
    <w:p w14:paraId="228D9059" w14:textId="41781110" w:rsidR="00CE6983" w:rsidRDefault="00A74BED" w:rsidP="00120E73">
      <w:pPr>
        <w:pStyle w:val="ListBullet2"/>
        <w:ind w:left="993" w:hanging="284"/>
      </w:pPr>
      <w:r>
        <w:t xml:space="preserve">based on these </w:t>
      </w:r>
      <w:r w:rsidR="00965226">
        <w:t xml:space="preserve">data sources, </w:t>
      </w:r>
      <w:r>
        <w:t>the</w:t>
      </w:r>
      <w:r w:rsidR="00965226">
        <w:t xml:space="preserve"> estimated</w:t>
      </w:r>
      <w:r>
        <w:t xml:space="preserve"> attribution was 9% </w:t>
      </w:r>
      <w:r w:rsidR="00965226">
        <w:t xml:space="preserve">for unplanned hospitalisations </w:t>
      </w:r>
      <w:r>
        <w:t>(30% PACOP attribution for 30% of hospitalisations that were palliative care-related) and 10.5% for ED presentations (30% attribution for 35% of palliative care-related ED presentations)</w:t>
      </w:r>
      <w:r w:rsidR="00965226">
        <w:t xml:space="preserve">. </w:t>
      </w:r>
      <w:r w:rsidR="00FB19E6" w:rsidRPr="00FB19E6">
        <w:rPr>
          <w:lang w:eastAsia="en-AU"/>
        </w:rPr>
        <w:t xml:space="preserve">These attribution rates were applied to the </w:t>
      </w:r>
      <w:r w:rsidR="00FB19E6" w:rsidRPr="00FB19E6">
        <w:rPr>
          <w:lang w:eastAsia="en-AU"/>
        </w:rPr>
        <w:t xml:space="preserve">gross </w:t>
      </w:r>
      <w:r w:rsidR="00EA00A2">
        <w:rPr>
          <w:lang w:eastAsia="en-AU"/>
        </w:rPr>
        <w:t>cost avoidance</w:t>
      </w:r>
      <w:r w:rsidR="00FB19E6" w:rsidRPr="00FB19E6">
        <w:rPr>
          <w:lang w:eastAsia="en-AU"/>
        </w:rPr>
        <w:t xml:space="preserve"> to calculate PACOP</w:t>
      </w:r>
      <w:r w:rsidR="003863F5">
        <w:rPr>
          <w:lang w:eastAsia="en-AU"/>
        </w:rPr>
        <w:t>’</w:t>
      </w:r>
      <w:r w:rsidR="00FB19E6" w:rsidRPr="00FB19E6">
        <w:rPr>
          <w:lang w:eastAsia="en-AU"/>
        </w:rPr>
        <w:t>s estimated monetised benefit</w:t>
      </w:r>
      <w:r w:rsidR="00965226">
        <w:rPr>
          <w:lang w:eastAsia="en-AU"/>
        </w:rPr>
        <w:t>.</w:t>
      </w:r>
      <w:bookmarkStart w:id="237" w:name="_Ref214974973"/>
    </w:p>
    <w:p w14:paraId="02A6FA7A" w14:textId="77777777" w:rsidR="00B1694D" w:rsidRDefault="00B1694D" w:rsidP="00B1694D">
      <w:pPr>
        <w:pStyle w:val="Heading3-nonumber"/>
      </w:pPr>
      <w:r>
        <w:t>L</w:t>
      </w:r>
      <w:r w:rsidRPr="00561443">
        <w:t>imitations</w:t>
      </w:r>
    </w:p>
    <w:p w14:paraId="5AE3D37D" w14:textId="17328405" w:rsidR="00B1694D" w:rsidRPr="002754C7" w:rsidRDefault="00BF2B4D" w:rsidP="00B1694D">
      <w:r>
        <w:t>Results of the analysis should be interpreted with caution due to the following l</w:t>
      </w:r>
      <w:r w:rsidR="00B1694D">
        <w:t>imitations:</w:t>
      </w:r>
    </w:p>
    <w:p w14:paraId="25BC44BE" w14:textId="3E43D232" w:rsidR="00B1694D" w:rsidRDefault="00B1694D" w:rsidP="00B1694D">
      <w:pPr>
        <w:pStyle w:val="ListBullet"/>
      </w:pPr>
      <w:r>
        <w:t xml:space="preserve">the analysis did not constitute a detailed economic evaluation (as such, calculation of Net Present Value, Internal Rate of Return, detailed discounting, and sensitivity analysis were not </w:t>
      </w:r>
      <w:r w:rsidR="00160123">
        <w:t>undertaken</w:t>
      </w:r>
      <w:r>
        <w:t>)</w:t>
      </w:r>
    </w:p>
    <w:p w14:paraId="576793AB" w14:textId="267CEE66" w:rsidR="00C8008F" w:rsidRDefault="00C8008F" w:rsidP="00B1694D">
      <w:pPr>
        <w:pStyle w:val="ListBullet"/>
      </w:pPr>
      <w:r>
        <w:t xml:space="preserve">full economic analysis approaches (such as cost-effectiveness analysis comparing </w:t>
      </w:r>
      <w:r w:rsidR="00E23ECA">
        <w:t>alternative</w:t>
      </w:r>
      <w:r>
        <w:t xml:space="preserve"> activities and options for the Measure) were out of scope</w:t>
      </w:r>
    </w:p>
    <w:p w14:paraId="72C238C7" w14:textId="4DD08713" w:rsidR="00C8008F" w:rsidRDefault="00C8008F" w:rsidP="00B1694D">
      <w:pPr>
        <w:pStyle w:val="ListBullet"/>
      </w:pPr>
      <w:r>
        <w:t>indirect costs were not reviewed in detail due to their complex allocation and likely transfer and interdependency between program activities and other functions (e.g. shared administrative staff supporting multiple activities</w:t>
      </w:r>
      <w:r w:rsidR="008F3C3A">
        <w:t>)</w:t>
      </w:r>
    </w:p>
    <w:p w14:paraId="34F010D4" w14:textId="2559BEB8" w:rsidR="00137283" w:rsidRPr="00137283" w:rsidRDefault="00137283" w:rsidP="00137283">
      <w:pPr>
        <w:pStyle w:val="ListBullet"/>
        <w:rPr>
          <w:lang w:eastAsia="en-AU"/>
        </w:rPr>
      </w:pPr>
      <w:r w:rsidRPr="00137283">
        <w:rPr>
          <w:lang w:eastAsia="en-AU"/>
        </w:rPr>
        <w:t xml:space="preserve">PACOP outcome data reported whether residents had </w:t>
      </w:r>
      <w:r w:rsidR="003863F5">
        <w:rPr>
          <w:lang w:eastAsia="en-AU"/>
        </w:rPr>
        <w:t>‘</w:t>
      </w:r>
      <w:r w:rsidRPr="00137283">
        <w:rPr>
          <w:lang w:eastAsia="en-AU"/>
        </w:rPr>
        <w:t>one or more</w:t>
      </w:r>
      <w:r w:rsidR="003863F5">
        <w:rPr>
          <w:lang w:eastAsia="en-AU"/>
        </w:rPr>
        <w:t>’</w:t>
      </w:r>
      <w:r w:rsidRPr="00137283">
        <w:rPr>
          <w:lang w:eastAsia="en-AU"/>
        </w:rPr>
        <w:t xml:space="preserve"> unplanned hospitalisations or ED presentations; the analysis assumed one event per resident, which may underestimate actual utilisation</w:t>
      </w:r>
    </w:p>
    <w:p w14:paraId="22E02771" w14:textId="4C503B23" w:rsidR="008F3C3A" w:rsidRDefault="00C74F19" w:rsidP="00B1694D">
      <w:pPr>
        <w:pStyle w:val="ListBullet"/>
      </w:pPr>
      <w:r>
        <w:t>PACOP outcome data included all unplanned hospitalisations and ED presentations, not exclusively palliative care</w:t>
      </w:r>
      <w:r w:rsidR="0005325D">
        <w:t>-related, meaning some events were outside PACOP</w:t>
      </w:r>
      <w:r w:rsidR="003863F5">
        <w:t>’</w:t>
      </w:r>
      <w:r w:rsidR="0005325D">
        <w:t>s scope of influence</w:t>
      </w:r>
    </w:p>
    <w:p w14:paraId="3022A115" w14:textId="77777777" w:rsidR="00EE4EDC" w:rsidRDefault="0005325D" w:rsidP="00B1694D">
      <w:pPr>
        <w:pStyle w:val="ListBullet"/>
      </w:pPr>
      <w:r>
        <w:t>fewer than 30% of participating homes participated in benchmarking and were included in the analysis, limiting representative</w:t>
      </w:r>
      <w:r w:rsidR="00EE4EDC">
        <w:t>ness and increasing the risk of bias</w:t>
      </w:r>
    </w:p>
    <w:p w14:paraId="7E25DA88" w14:textId="7620AC26" w:rsidR="0021161C" w:rsidRPr="0021161C" w:rsidRDefault="00EE4EDC" w:rsidP="0021161C">
      <w:pPr>
        <w:pStyle w:val="ListBullet"/>
      </w:pPr>
      <w:r>
        <w:lastRenderedPageBreak/>
        <w:t>attribution relied on survey responses and literature-based ratios, introducing uncerta</w:t>
      </w:r>
      <w:r w:rsidR="0021161C">
        <w:t xml:space="preserve">inty. Interdependencies </w:t>
      </w:r>
      <w:r w:rsidR="0021161C" w:rsidRPr="0021161C">
        <w:t>with other palliative care initiatives were not assessed, and the relative impact of overlapping programs could not be comprehensively determined</w:t>
      </w:r>
      <w:r w:rsidR="00DA78A6">
        <w:t>.</w:t>
      </w:r>
    </w:p>
    <w:p w14:paraId="2AD4CA5F" w14:textId="7954165B" w:rsidR="004F7C0F" w:rsidRPr="004F7C0F" w:rsidRDefault="004F7C0F" w:rsidP="004F7C0F">
      <w:pPr>
        <w:pStyle w:val="ListBullet"/>
        <w:rPr>
          <w:lang w:eastAsia="en-AU"/>
        </w:rPr>
      </w:pPr>
      <w:r>
        <w:rPr>
          <w:lang w:eastAsia="en-AU"/>
        </w:rPr>
        <w:t>l</w:t>
      </w:r>
      <w:r w:rsidRPr="004F7C0F">
        <w:rPr>
          <w:lang w:eastAsia="en-AU"/>
        </w:rPr>
        <w:t>ack of a suitable internal comparator (e.g.</w:t>
      </w:r>
      <w:r>
        <w:rPr>
          <w:lang w:eastAsia="en-AU"/>
        </w:rPr>
        <w:t xml:space="preserve"> </w:t>
      </w:r>
      <w:r w:rsidRPr="004F7C0F">
        <w:rPr>
          <w:lang w:eastAsia="en-AU"/>
        </w:rPr>
        <w:t>non-participating homes) required reliance on literature-based benchmarks, which may not fully reflect the PACOP cohort</w:t>
      </w:r>
    </w:p>
    <w:p w14:paraId="0CB47D3A" w14:textId="371406E2" w:rsidR="00CE6983" w:rsidRDefault="004F7C0F" w:rsidP="00120E73">
      <w:pPr>
        <w:pStyle w:val="ListBullet"/>
      </w:pPr>
      <w:r>
        <w:t xml:space="preserve">costs </w:t>
      </w:r>
      <w:r w:rsidR="00D76C19" w:rsidRPr="00D76C19">
        <w:t xml:space="preserve">were based on national averages, which may </w:t>
      </w:r>
      <w:r w:rsidR="000414D5">
        <w:t>not represent</w:t>
      </w:r>
      <w:r w:rsidR="00D76C19" w:rsidRPr="00D76C19">
        <w:t xml:space="preserve"> hospitalisation costs for older or palliative care cohorts</w:t>
      </w:r>
      <w:r w:rsidR="00D76C19">
        <w:t>.</w:t>
      </w:r>
    </w:p>
    <w:p w14:paraId="4362B04C" w14:textId="77777777" w:rsidR="001C41AA" w:rsidRDefault="001C41AA" w:rsidP="001C41AA"/>
    <w:p w14:paraId="148B223F" w14:textId="77777777" w:rsidR="001C41AA" w:rsidRDefault="001C41AA" w:rsidP="001C41AA"/>
    <w:p w14:paraId="2F280832" w14:textId="77777777" w:rsidR="001C41AA" w:rsidRDefault="001C41AA" w:rsidP="001C41AA"/>
    <w:p w14:paraId="3E9EB184" w14:textId="77777777" w:rsidR="00CE6983" w:rsidRDefault="00CE6983" w:rsidP="00CE6983"/>
    <w:p w14:paraId="67031B59" w14:textId="77777777" w:rsidR="00CE6983" w:rsidRPr="00CE6983" w:rsidRDefault="00CE6983" w:rsidP="00CE6983">
      <w:pPr>
        <w:sectPr w:rsidR="00CE6983" w:rsidRPr="00CE6983" w:rsidSect="005E34A8">
          <w:pgSz w:w="16838" w:h="11906" w:orient="landscape" w:code="9"/>
          <w:pgMar w:top="851" w:right="851" w:bottom="851" w:left="851" w:header="709" w:footer="567" w:gutter="0"/>
          <w:cols w:num="2" w:space="709"/>
          <w:docGrid w:linePitch="360"/>
        </w:sectPr>
      </w:pPr>
    </w:p>
    <w:p w14:paraId="78D0269E" w14:textId="660D32E2" w:rsidR="00811254" w:rsidRDefault="00811254" w:rsidP="00811254">
      <w:pPr>
        <w:pStyle w:val="Caption"/>
      </w:pPr>
      <w:bookmarkStart w:id="238" w:name="_Ref216968120"/>
      <w:r>
        <w:t xml:space="preserve">Table </w:t>
      </w:r>
      <w:fldSimple w:instr=" STYLEREF 1 \s ">
        <w:r w:rsidR="0091457A">
          <w:rPr>
            <w:noProof/>
          </w:rPr>
          <w:t>9</w:t>
        </w:r>
      </w:fldSimple>
      <w:r w:rsidR="0091457A">
        <w:t>.</w:t>
      </w:r>
      <w:fldSimple w:instr=" SEQ Table \* ARABIC \s 1 ">
        <w:r w:rsidR="0091457A">
          <w:rPr>
            <w:noProof/>
          </w:rPr>
          <w:t>32</w:t>
        </w:r>
      </w:fldSimple>
      <w:bookmarkEnd w:id="237"/>
      <w:bookmarkEnd w:id="238"/>
      <w:r>
        <w:t>: A summary description of the literature used to inform the economic analysis</w:t>
      </w:r>
    </w:p>
    <w:tbl>
      <w:tblPr>
        <w:tblStyle w:val="HMAdefaulttable"/>
        <w:tblW w:w="0" w:type="auto"/>
        <w:tblBorders>
          <w:left w:val="single" w:sz="4" w:space="0" w:color="auto"/>
          <w:right w:val="single" w:sz="4" w:space="0" w:color="auto"/>
          <w:insideV w:val="single" w:sz="4" w:space="0" w:color="auto"/>
        </w:tblBorders>
        <w:tblLook w:val="04A0" w:firstRow="1" w:lastRow="0" w:firstColumn="1" w:lastColumn="0" w:noHBand="0" w:noVBand="1"/>
        <w:tblCaption w:val="Summary of literature used to inform economic analysis"/>
        <w:tblDescription w:val="Table summarises description of literature used to inform economic analysis including the author, year, title, description, method, data included and findings."/>
      </w:tblPr>
      <w:tblGrid>
        <w:gridCol w:w="2055"/>
        <w:gridCol w:w="2053"/>
        <w:gridCol w:w="3117"/>
        <w:gridCol w:w="2836"/>
        <w:gridCol w:w="2528"/>
        <w:gridCol w:w="2537"/>
      </w:tblGrid>
      <w:tr w:rsidR="00811254" w14:paraId="2F9E5341" w14:textId="77777777" w:rsidTr="00481098">
        <w:trPr>
          <w:cnfStyle w:val="100000000000" w:firstRow="1" w:lastRow="0" w:firstColumn="0" w:lastColumn="0" w:oddVBand="0" w:evenVBand="0" w:oddHBand="0" w:evenHBand="0" w:firstRowFirstColumn="0" w:firstRowLastColumn="0" w:lastRowFirstColumn="0" w:lastRowLastColumn="0"/>
          <w:trHeight w:val="369"/>
          <w:tblHeader/>
        </w:trPr>
        <w:tc>
          <w:tcPr>
            <w:cnfStyle w:val="001000000000" w:firstRow="0" w:lastRow="0" w:firstColumn="1" w:lastColumn="0" w:oddVBand="0" w:evenVBand="0" w:oddHBand="0" w:evenHBand="0" w:firstRowFirstColumn="0" w:firstRowLastColumn="0" w:lastRowFirstColumn="0" w:lastRowLastColumn="0"/>
            <w:tcW w:w="2057" w:type="dxa"/>
          </w:tcPr>
          <w:p w14:paraId="64666738" w14:textId="77777777" w:rsidR="00811254" w:rsidRDefault="00811254" w:rsidP="00120E73">
            <w:pPr>
              <w:pStyle w:val="TableHeading"/>
            </w:pPr>
            <w:r>
              <w:t>Author, year (Country)</w:t>
            </w:r>
          </w:p>
        </w:tc>
        <w:tc>
          <w:tcPr>
            <w:tcW w:w="2054" w:type="dxa"/>
          </w:tcPr>
          <w:p w14:paraId="4792B7DE"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Title</w:t>
            </w:r>
          </w:p>
        </w:tc>
        <w:tc>
          <w:tcPr>
            <w:tcW w:w="3119" w:type="dxa"/>
          </w:tcPr>
          <w:p w14:paraId="62A4A865"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Description</w:t>
            </w:r>
          </w:p>
        </w:tc>
        <w:tc>
          <w:tcPr>
            <w:tcW w:w="2838" w:type="dxa"/>
          </w:tcPr>
          <w:p w14:paraId="61DD2858"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Method</w:t>
            </w:r>
          </w:p>
        </w:tc>
        <w:tc>
          <w:tcPr>
            <w:tcW w:w="2530" w:type="dxa"/>
          </w:tcPr>
          <w:p w14:paraId="7C61A942"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Data included</w:t>
            </w:r>
          </w:p>
        </w:tc>
        <w:tc>
          <w:tcPr>
            <w:tcW w:w="2538" w:type="dxa"/>
          </w:tcPr>
          <w:p w14:paraId="49A73B64"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Findings</w:t>
            </w:r>
          </w:p>
        </w:tc>
      </w:tr>
      <w:tr w:rsidR="00811254" w14:paraId="456B0112" w14:textId="77777777" w:rsidTr="00481098">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057" w:type="dxa"/>
          </w:tcPr>
          <w:p w14:paraId="67ECBBFA" w14:textId="25C10024" w:rsidR="00811254" w:rsidRDefault="00811254" w:rsidP="00120E73">
            <w:pPr>
              <w:pStyle w:val="TableText"/>
            </w:pPr>
            <w:r>
              <w:t>Harrison et al</w:t>
            </w:r>
            <w:r w:rsidR="00F57CFE">
              <w:t>.</w:t>
            </w:r>
            <w:r>
              <w:t xml:space="preserve"> 2024 (Australia)</w:t>
            </w:r>
            <w:r w:rsidR="001302EC">
              <w:t xml:space="preserve"> </w:t>
            </w:r>
            <w:sdt>
              <w:sdtPr>
                <w:id w:val="-1223744390"/>
                <w:citation/>
              </w:sdtPr>
              <w:sdtContent>
                <w:r w:rsidR="001302EC">
                  <w:fldChar w:fldCharType="begin"/>
                </w:r>
                <w:r w:rsidR="001302EC">
                  <w:rPr>
                    <w:lang w:val="en-US"/>
                  </w:rPr>
                  <w:instrText xml:space="preserve"> CITATION Har24 \l 1033 </w:instrText>
                </w:r>
                <w:r w:rsidR="001302EC">
                  <w:fldChar w:fldCharType="separate"/>
                </w:r>
                <w:r w:rsidR="00513E81" w:rsidRPr="00513E81">
                  <w:rPr>
                    <w:noProof/>
                    <w:lang w:val="en-US"/>
                  </w:rPr>
                  <w:t>[33]</w:t>
                </w:r>
                <w:r w:rsidR="001302EC">
                  <w:fldChar w:fldCharType="end"/>
                </w:r>
              </w:sdtContent>
            </w:sdt>
          </w:p>
        </w:tc>
        <w:tc>
          <w:tcPr>
            <w:tcW w:w="2054" w:type="dxa"/>
          </w:tcPr>
          <w:p w14:paraId="7FF45E14" w14:textId="33F16D9C"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r w:rsidRPr="004F31B3">
              <w:t>Hospitalisations and emergency</w:t>
            </w:r>
            <w:r w:rsidR="007F1290">
              <w:t xml:space="preserve"> </w:t>
            </w:r>
            <w:r w:rsidRPr="004F31B3">
              <w:t>department presentations by older individuals accessing long-term aged care in Australia</w:t>
            </w:r>
          </w:p>
        </w:tc>
        <w:tc>
          <w:tcPr>
            <w:tcW w:w="3119" w:type="dxa"/>
          </w:tcPr>
          <w:p w14:paraId="4F5D3D2D" w14:textId="0DD1EA8B" w:rsidR="00811254" w:rsidRDefault="00811254" w:rsidP="00142A58">
            <w:pPr>
              <w:pStyle w:val="TableText"/>
              <w:cnfStyle w:val="000000100000" w:firstRow="0" w:lastRow="0" w:firstColumn="0" w:lastColumn="0" w:oddVBand="0" w:evenVBand="0" w:oddHBand="1" w:evenHBand="0" w:firstRowFirstColumn="0" w:firstRowLastColumn="0" w:lastRowFirstColumn="0" w:lastRowLastColumn="0"/>
            </w:pPr>
            <w:r>
              <w:t>A study examining ED presentations, unplanned hospitalisations and potentially preventable hospitalisations in older people receiving long-term care by type of care received (i.e. permanent residential aged care or home care packages in the community), in Australia in 2019</w:t>
            </w:r>
          </w:p>
        </w:tc>
        <w:tc>
          <w:tcPr>
            <w:tcW w:w="2838" w:type="dxa"/>
          </w:tcPr>
          <w:p w14:paraId="4700B439" w14:textId="0DE9A037"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r>
              <w:t>A retrospective cohort study was conducted using the Registry of Senior Australians National Historical Cohort. Individuals were included if they resided in South Australia, Queensland, Victoria or New South Wales, received a home care package or permanent residential aged care in 2019 and were aged ≥65 years</w:t>
            </w:r>
            <w:r w:rsidR="00F84BF6">
              <w:t>.</w:t>
            </w:r>
          </w:p>
        </w:tc>
        <w:tc>
          <w:tcPr>
            <w:tcW w:w="2530" w:type="dxa"/>
          </w:tcPr>
          <w:p w14:paraId="31471C7A" w14:textId="3AF1D0E1" w:rsidR="00811254" w:rsidRDefault="00811254" w:rsidP="00EB6745">
            <w:pPr>
              <w:pStyle w:val="TableText"/>
              <w:cnfStyle w:val="000000100000" w:firstRow="0" w:lastRow="0" w:firstColumn="0" w:lastColumn="0" w:oddVBand="0" w:evenVBand="0" w:oddHBand="1" w:evenHBand="0" w:firstRowFirstColumn="0" w:firstRowLastColumn="0" w:lastRowFirstColumn="0" w:lastRowLastColumn="0"/>
            </w:pPr>
            <w:r>
              <w:t>The study included 203,278 individuals accessing permanent residential aged care (209,639</w:t>
            </w:r>
            <w:r w:rsidR="00EB6745">
              <w:t xml:space="preserve"> </w:t>
            </w:r>
            <w:r>
              <w:t>episodes) and 118,999 accessing home care packages in the community (127,893 episodes)</w:t>
            </w:r>
          </w:p>
        </w:tc>
        <w:tc>
          <w:tcPr>
            <w:tcW w:w="2538" w:type="dxa"/>
          </w:tcPr>
          <w:p w14:paraId="101C4E77" w14:textId="5669EB95"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r>
              <w:t>Unplanned hospitalisation</w:t>
            </w:r>
            <w:r w:rsidR="00EB6745">
              <w:t>s</w:t>
            </w:r>
          </w:p>
          <w:p w14:paraId="28FAD78D" w14:textId="77777777" w:rsidR="00811254" w:rsidRDefault="00811254" w:rsidP="00811254">
            <w:pPr>
              <w:pStyle w:val="TableBullets1"/>
              <w:ind w:left="357" w:hanging="357"/>
              <w:cnfStyle w:val="000000100000" w:firstRow="0" w:lastRow="0" w:firstColumn="0" w:lastColumn="0" w:oddVBand="0" w:evenVBand="0" w:oddHBand="1" w:evenHBand="0" w:firstRowFirstColumn="0" w:firstRowLastColumn="0" w:lastRowFirstColumn="0" w:lastRowLastColumn="0"/>
            </w:pPr>
            <w:r>
              <w:t>Permanent residential care: 33.4%</w:t>
            </w:r>
          </w:p>
          <w:p w14:paraId="3A2C13C7" w14:textId="77777777" w:rsidR="00811254" w:rsidRDefault="00811254" w:rsidP="00811254">
            <w:pPr>
              <w:pStyle w:val="TableBullets1"/>
              <w:ind w:left="357" w:hanging="357"/>
              <w:cnfStyle w:val="000000100000" w:firstRow="0" w:lastRow="0" w:firstColumn="0" w:lastColumn="0" w:oddVBand="0" w:evenVBand="0" w:oddHBand="1" w:evenHBand="0" w:firstRowFirstColumn="0" w:firstRowLastColumn="0" w:lastRowFirstColumn="0" w:lastRowLastColumn="0"/>
            </w:pPr>
            <w:r>
              <w:t>Home care: 39.8%</w:t>
            </w:r>
          </w:p>
          <w:p w14:paraId="47FF896E" w14:textId="77777777"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p>
          <w:p w14:paraId="314811BC" w14:textId="77777777"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r>
              <w:t>Emergency department presentations</w:t>
            </w:r>
          </w:p>
          <w:p w14:paraId="34DD2BCB" w14:textId="77777777" w:rsidR="00811254" w:rsidRDefault="00811254" w:rsidP="00811254">
            <w:pPr>
              <w:pStyle w:val="TableBullets1"/>
              <w:ind w:left="357" w:hanging="357"/>
              <w:cnfStyle w:val="000000100000" w:firstRow="0" w:lastRow="0" w:firstColumn="0" w:lastColumn="0" w:oddVBand="0" w:evenVBand="0" w:oddHBand="1" w:evenHBand="0" w:firstRowFirstColumn="0" w:firstRowLastColumn="0" w:lastRowFirstColumn="0" w:lastRowLastColumn="0"/>
            </w:pPr>
            <w:r>
              <w:t>Permanent residential care: 37.8%</w:t>
            </w:r>
          </w:p>
          <w:p w14:paraId="23E5E410" w14:textId="77777777" w:rsidR="00811254" w:rsidRDefault="00811254" w:rsidP="00811254">
            <w:pPr>
              <w:pStyle w:val="TableBullets1"/>
              <w:ind w:left="357" w:hanging="357"/>
              <w:cnfStyle w:val="000000100000" w:firstRow="0" w:lastRow="0" w:firstColumn="0" w:lastColumn="0" w:oddVBand="0" w:evenVBand="0" w:oddHBand="1" w:evenHBand="0" w:firstRowFirstColumn="0" w:firstRowLastColumn="0" w:lastRowFirstColumn="0" w:lastRowLastColumn="0"/>
            </w:pPr>
            <w:r>
              <w:t>Home care: 43.1%</w:t>
            </w:r>
          </w:p>
        </w:tc>
      </w:tr>
      <w:tr w:rsidR="00811254" w14:paraId="7219CE2C" w14:textId="77777777" w:rsidTr="00481098">
        <w:trPr>
          <w:cnfStyle w:val="000000010000" w:firstRow="0" w:lastRow="0" w:firstColumn="0" w:lastColumn="0" w:oddVBand="0" w:evenVBand="0" w:oddHBand="0" w:evenHBand="1"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057" w:type="dxa"/>
          </w:tcPr>
          <w:p w14:paraId="3514DF6A" w14:textId="77777777" w:rsidR="00811254" w:rsidRDefault="00811254" w:rsidP="00120E73">
            <w:pPr>
              <w:pStyle w:val="TableText"/>
            </w:pPr>
            <w:r>
              <w:t>Independent Health and Aged Care Pricing Authority, 2025 (Australia)</w:t>
            </w:r>
          </w:p>
        </w:tc>
        <w:tc>
          <w:tcPr>
            <w:tcW w:w="2054" w:type="dxa"/>
          </w:tcPr>
          <w:p w14:paraId="7CCBB11B" w14:textId="1C766B57"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rsidRPr="004F31B3">
              <w:t>National Hospital Cost Data Collection Public Sector Report, 2022</w:t>
            </w:r>
            <w:r w:rsidR="007F1290">
              <w:t>–2</w:t>
            </w:r>
            <w:r w:rsidRPr="004F31B3">
              <w:t>3</w:t>
            </w:r>
          </w:p>
        </w:tc>
        <w:tc>
          <w:tcPr>
            <w:tcW w:w="3119" w:type="dxa"/>
          </w:tcPr>
          <w:p w14:paraId="2D566394" w14:textId="468E8F46"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rsidRPr="004F31B3">
              <w:t>This report presents a summary of the National Hospital Cost Data Collection Public Sector 2022</w:t>
            </w:r>
            <w:r w:rsidR="007F1290">
              <w:t>–</w:t>
            </w:r>
            <w:r w:rsidRPr="004F31B3">
              <w:t>23 results</w:t>
            </w:r>
            <w:r w:rsidR="007F1290">
              <w:t xml:space="preserve"> </w:t>
            </w:r>
          </w:p>
        </w:tc>
        <w:tc>
          <w:tcPr>
            <w:tcW w:w="2838" w:type="dxa"/>
          </w:tcPr>
          <w:p w14:paraId="6636E786" w14:textId="1C21AF05"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t xml:space="preserve">Linkage of activity-based funding data on different patient services provided (submitted quarterly by Australian hospitals) and </w:t>
            </w:r>
            <w:r w:rsidR="001302EC" w:rsidRPr="004F31B3">
              <w:t xml:space="preserve">National Hospital Cost Data Collection </w:t>
            </w:r>
            <w:r>
              <w:t>cost data, an annual submission of costs associated with patient activity</w:t>
            </w:r>
          </w:p>
        </w:tc>
        <w:tc>
          <w:tcPr>
            <w:tcW w:w="2530" w:type="dxa"/>
          </w:tcPr>
          <w:p w14:paraId="635CF9D0" w14:textId="3B945E95"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t xml:space="preserve">A total of 45.5 million </w:t>
            </w:r>
            <w:r w:rsidR="001302EC" w:rsidRPr="004F31B3">
              <w:t xml:space="preserve">National Hospital Cost Data Collection </w:t>
            </w:r>
            <w:r>
              <w:t xml:space="preserve">records and 53.3 million </w:t>
            </w:r>
            <w:r w:rsidR="001302EC">
              <w:t xml:space="preserve">activity-based funding </w:t>
            </w:r>
            <w:r>
              <w:t xml:space="preserve">activities. A total of 44.2 records were </w:t>
            </w:r>
            <w:r w:rsidR="00AF0C7C">
              <w:t>in scope and could</w:t>
            </w:r>
            <w:r>
              <w:t xml:space="preserve"> be linked. </w:t>
            </w:r>
          </w:p>
        </w:tc>
        <w:tc>
          <w:tcPr>
            <w:tcW w:w="2538" w:type="dxa"/>
          </w:tcPr>
          <w:p w14:paraId="00E87D41" w14:textId="5B1F52A6"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t>Average cost per ED presentation was $980</w:t>
            </w:r>
            <w:r w:rsidR="009F501F">
              <w:t xml:space="preserve">, </w:t>
            </w:r>
            <w:r w:rsidR="007B32A7">
              <w:t xml:space="preserve">per </w:t>
            </w:r>
            <w:r w:rsidR="009F501F">
              <w:t xml:space="preserve">acute episode was $6,239, </w:t>
            </w:r>
            <w:r w:rsidR="007B32A7">
              <w:t>per subacute/non-acute episode was $23,356, and per subacute/</w:t>
            </w:r>
            <w:r w:rsidR="007F1290">
              <w:t>non-acute</w:t>
            </w:r>
            <w:r w:rsidR="007B32A7">
              <w:t xml:space="preserve"> phase was $7,450</w:t>
            </w:r>
          </w:p>
        </w:tc>
      </w:tr>
    </w:tbl>
    <w:p w14:paraId="7F2EC066" w14:textId="77777777" w:rsidR="00811254" w:rsidRDefault="00811254" w:rsidP="002E2A83">
      <w:pPr>
        <w:rPr>
          <w:lang w:eastAsia="en-AU"/>
        </w:rPr>
        <w:sectPr w:rsidR="00811254" w:rsidSect="00811254">
          <w:type w:val="continuous"/>
          <w:pgSz w:w="16838" w:h="11906" w:orient="landscape" w:code="9"/>
          <w:pgMar w:top="851" w:right="851" w:bottom="851" w:left="851" w:header="709" w:footer="567" w:gutter="0"/>
          <w:cols w:space="709"/>
          <w:docGrid w:linePitch="360"/>
        </w:sectPr>
      </w:pPr>
    </w:p>
    <w:p w14:paraId="4CA802B5" w14:textId="0F700B7E" w:rsidR="00B93083" w:rsidRPr="00304F61" w:rsidRDefault="003A5E86" w:rsidP="00B93083">
      <w:r>
        <w:lastRenderedPageBreak/>
        <w:fldChar w:fldCharType="begin"/>
      </w:r>
      <w:r>
        <w:instrText xml:space="preserve"> REF _Ref216968028 \h </w:instrText>
      </w:r>
      <w:r>
        <w:fldChar w:fldCharType="separate"/>
      </w:r>
      <w:r w:rsidR="00167BA0">
        <w:t xml:space="preserve">Table </w:t>
      </w:r>
      <w:r w:rsidR="00167BA0">
        <w:rPr>
          <w:noProof/>
        </w:rPr>
        <w:t>9</w:t>
      </w:r>
      <w:r w:rsidR="00167BA0">
        <w:t>.</w:t>
      </w:r>
      <w:r w:rsidR="00167BA0">
        <w:rPr>
          <w:noProof/>
        </w:rPr>
        <w:t>33</w:t>
      </w:r>
      <w:r>
        <w:fldChar w:fldCharType="end"/>
      </w:r>
      <w:r w:rsidR="00B93083">
        <w:t xml:space="preserve"> and </w:t>
      </w:r>
      <w:r w:rsidR="00B93083">
        <w:fldChar w:fldCharType="begin"/>
      </w:r>
      <w:r w:rsidR="00B93083">
        <w:instrText xml:space="preserve"> REF _Ref214962616 \h </w:instrText>
      </w:r>
      <w:r w:rsidR="00B93083">
        <w:fldChar w:fldCharType="separate"/>
      </w:r>
      <w:r w:rsidR="00167BA0">
        <w:t xml:space="preserve">Table </w:t>
      </w:r>
      <w:r w:rsidR="00167BA0">
        <w:rPr>
          <w:noProof/>
        </w:rPr>
        <w:t>9</w:t>
      </w:r>
      <w:r w:rsidR="00167BA0">
        <w:t>.</w:t>
      </w:r>
      <w:r w:rsidR="00167BA0">
        <w:rPr>
          <w:noProof/>
        </w:rPr>
        <w:t>34</w:t>
      </w:r>
      <w:r w:rsidR="00B93083">
        <w:fldChar w:fldCharType="end"/>
      </w:r>
      <w:r w:rsidR="00B93083">
        <w:t xml:space="preserve"> </w:t>
      </w:r>
      <w:r w:rsidR="00D76C19">
        <w:t>present</w:t>
      </w:r>
      <w:r w:rsidR="00B93083">
        <w:t xml:space="preserve"> the calculations used to support the components of the cost-benefit analysis for PACOP.</w:t>
      </w:r>
    </w:p>
    <w:p w14:paraId="647CC8B9" w14:textId="17D0644D" w:rsidR="00B93083" w:rsidRDefault="00B93083" w:rsidP="00B93083">
      <w:pPr>
        <w:pStyle w:val="Caption"/>
      </w:pPr>
      <w:bookmarkStart w:id="239" w:name="_Ref216968028"/>
      <w:r>
        <w:t xml:space="preserve">Table </w:t>
      </w:r>
      <w:fldSimple w:instr=" STYLEREF 1 \s ">
        <w:r w:rsidR="0091457A">
          <w:rPr>
            <w:noProof/>
          </w:rPr>
          <w:t>9</w:t>
        </w:r>
      </w:fldSimple>
      <w:r w:rsidR="0091457A">
        <w:t>.</w:t>
      </w:r>
      <w:fldSimple w:instr=" SEQ Table \* ARABIC \s 1 ">
        <w:r w:rsidR="0091457A">
          <w:rPr>
            <w:noProof/>
          </w:rPr>
          <w:t>33</w:t>
        </w:r>
      </w:fldSimple>
      <w:bookmarkEnd w:id="239"/>
      <w:r>
        <w:t>: Hospital data and costs across acute, subacute, and non-acute care</w:t>
      </w:r>
    </w:p>
    <w:tbl>
      <w:tblPr>
        <w:tblStyle w:val="HMAdefaulttable"/>
        <w:tblW w:w="5000" w:type="pct"/>
        <w:tblBorders>
          <w:left w:val="single" w:sz="4" w:space="0" w:color="auto"/>
          <w:right w:val="single" w:sz="4" w:space="0" w:color="auto"/>
          <w:insideV w:val="single" w:sz="4" w:space="0" w:color="auto"/>
        </w:tblBorders>
        <w:tblLook w:val="04A0" w:firstRow="1" w:lastRow="0" w:firstColumn="1" w:lastColumn="0" w:noHBand="0" w:noVBand="1"/>
        <w:tblCaption w:val="Calculations using hospital data and costs across care"/>
        <w:tblDescription w:val="Table presents calculations using hospital data and costs across acute,subacute, and non-acute care, to support components of the cost-benefit analysis for PACOP."/>
      </w:tblPr>
      <w:tblGrid>
        <w:gridCol w:w="5087"/>
        <w:gridCol w:w="2236"/>
        <w:gridCol w:w="2236"/>
        <w:gridCol w:w="3334"/>
        <w:gridCol w:w="2233"/>
      </w:tblGrid>
      <w:tr w:rsidR="00481098" w:rsidRPr="00315583" w14:paraId="62A78C57" w14:textId="77777777" w:rsidTr="00481098">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000" w:firstRow="0" w:lastRow="0" w:firstColumn="1" w:lastColumn="0" w:oddVBand="0" w:evenVBand="0" w:oddHBand="0" w:evenHBand="0" w:firstRowFirstColumn="0" w:firstRowLastColumn="0" w:lastRowFirstColumn="0" w:lastRowLastColumn="0"/>
            <w:tcW w:w="1682" w:type="pct"/>
            <w:noWrap/>
            <w:hideMark/>
          </w:tcPr>
          <w:p w14:paraId="10F8D697" w14:textId="77777777" w:rsidR="00481098" w:rsidRPr="00315583" w:rsidRDefault="00481098" w:rsidP="00120E73">
            <w:pPr>
              <w:pStyle w:val="TableHeading"/>
              <w:rPr>
                <w:caps w:val="0"/>
              </w:rPr>
            </w:pPr>
            <w:r>
              <w:t>Activity stream</w:t>
            </w:r>
          </w:p>
        </w:tc>
        <w:tc>
          <w:tcPr>
            <w:tcW w:w="739" w:type="pct"/>
          </w:tcPr>
          <w:p w14:paraId="222D3B6C" w14:textId="206C8C5C" w:rsidR="00481098" w:rsidRPr="00315583" w:rsidRDefault="006F131B" w:rsidP="00120E73">
            <w:pPr>
              <w:pStyle w:val="TableHeading"/>
              <w:cnfStyle w:val="100000000000" w:firstRow="1" w:lastRow="0" w:firstColumn="0" w:lastColumn="0" w:oddVBand="0" w:evenVBand="0" w:oddHBand="0" w:evenHBand="0" w:firstRowFirstColumn="0" w:firstRowLastColumn="0" w:lastRowFirstColumn="0" w:lastRowLastColumn="0"/>
            </w:pPr>
            <w:r>
              <w:t>Unit</w:t>
            </w:r>
          </w:p>
        </w:tc>
        <w:tc>
          <w:tcPr>
            <w:tcW w:w="739" w:type="pct"/>
            <w:noWrap/>
            <w:hideMark/>
          </w:tcPr>
          <w:p w14:paraId="3C4D6C63" w14:textId="77777777" w:rsidR="00481098" w:rsidRPr="00315583" w:rsidRDefault="00481098" w:rsidP="001870B3">
            <w:pPr>
              <w:pStyle w:val="TableHeading"/>
              <w:jc w:val="right"/>
              <w:cnfStyle w:val="100000000000" w:firstRow="1" w:lastRow="0" w:firstColumn="0" w:lastColumn="0" w:oddVBand="0" w:evenVBand="0" w:oddHBand="0" w:evenHBand="0" w:firstRowFirstColumn="0" w:firstRowLastColumn="0" w:lastRowFirstColumn="0" w:lastRowLastColumn="0"/>
            </w:pPr>
            <w:r w:rsidRPr="00315583">
              <w:t>In scope record</w:t>
            </w:r>
          </w:p>
        </w:tc>
        <w:tc>
          <w:tcPr>
            <w:tcW w:w="1102" w:type="pct"/>
            <w:noWrap/>
            <w:hideMark/>
          </w:tcPr>
          <w:p w14:paraId="0143D6C1" w14:textId="77777777" w:rsidR="00481098" w:rsidRPr="00315583" w:rsidRDefault="00481098" w:rsidP="001870B3">
            <w:pPr>
              <w:pStyle w:val="TableHeading"/>
              <w:jc w:val="right"/>
              <w:cnfStyle w:val="100000000000" w:firstRow="1" w:lastRow="0" w:firstColumn="0" w:lastColumn="0" w:oddVBand="0" w:evenVBand="0" w:oddHBand="0" w:evenHBand="0" w:firstRowFirstColumn="0" w:firstRowLastColumn="0" w:lastRowFirstColumn="0" w:lastRowLastColumn="0"/>
            </w:pPr>
            <w:r w:rsidRPr="00315583">
              <w:t>In scope cost</w:t>
            </w:r>
            <w:r>
              <w:t xml:space="preserve"> (millions)</w:t>
            </w:r>
          </w:p>
        </w:tc>
        <w:tc>
          <w:tcPr>
            <w:tcW w:w="738" w:type="pct"/>
            <w:noWrap/>
            <w:hideMark/>
          </w:tcPr>
          <w:p w14:paraId="229253DA" w14:textId="77777777" w:rsidR="00481098" w:rsidRPr="00315583" w:rsidRDefault="00481098" w:rsidP="001870B3">
            <w:pPr>
              <w:pStyle w:val="TableHeading"/>
              <w:jc w:val="right"/>
              <w:cnfStyle w:val="100000000000" w:firstRow="1" w:lastRow="0" w:firstColumn="0" w:lastColumn="0" w:oddVBand="0" w:evenVBand="0" w:oddHBand="0" w:evenHBand="0" w:firstRowFirstColumn="0" w:firstRowLastColumn="0" w:lastRowFirstColumn="0" w:lastRowLastColumn="0"/>
            </w:pPr>
            <w:r w:rsidRPr="00315583">
              <w:t>Average cost</w:t>
            </w:r>
          </w:p>
        </w:tc>
      </w:tr>
      <w:tr w:rsidR="00B93083" w:rsidRPr="00315583" w14:paraId="23FF2DB0" w14:textId="77777777" w:rsidTr="0048109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2" w:type="pct"/>
            <w:noWrap/>
            <w:hideMark/>
          </w:tcPr>
          <w:p w14:paraId="50BFC926" w14:textId="77777777" w:rsidR="00B93083" w:rsidRPr="00315583" w:rsidRDefault="00B93083" w:rsidP="00120E73">
            <w:pPr>
              <w:pStyle w:val="TableText"/>
            </w:pPr>
            <w:r w:rsidRPr="00315583">
              <w:t>Acute</w:t>
            </w:r>
          </w:p>
        </w:tc>
        <w:tc>
          <w:tcPr>
            <w:tcW w:w="739" w:type="pct"/>
            <w:noWrap/>
            <w:hideMark/>
          </w:tcPr>
          <w:p w14:paraId="68948960" w14:textId="77777777" w:rsidR="00B93083" w:rsidRPr="00315583" w:rsidRDefault="00B93083" w:rsidP="00120E73">
            <w:pPr>
              <w:pStyle w:val="TableText"/>
              <w:cnfStyle w:val="000000100000" w:firstRow="0" w:lastRow="0" w:firstColumn="0" w:lastColumn="0" w:oddVBand="0" w:evenVBand="0" w:oddHBand="1" w:evenHBand="0" w:firstRowFirstColumn="0" w:firstRowLastColumn="0" w:lastRowFirstColumn="0" w:lastRowLastColumn="0"/>
            </w:pPr>
            <w:r w:rsidRPr="00315583">
              <w:t>Episodes</w:t>
            </w:r>
          </w:p>
        </w:tc>
        <w:tc>
          <w:tcPr>
            <w:tcW w:w="739" w:type="pct"/>
            <w:noWrap/>
            <w:hideMark/>
          </w:tcPr>
          <w:p w14:paraId="25670829" w14:textId="77777777" w:rsidR="00B93083" w:rsidRPr="00315583" w:rsidRDefault="00B93083"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15583">
              <w:t>6,506,233</w:t>
            </w:r>
          </w:p>
        </w:tc>
        <w:tc>
          <w:tcPr>
            <w:tcW w:w="1102" w:type="pct"/>
            <w:noWrap/>
            <w:hideMark/>
          </w:tcPr>
          <w:p w14:paraId="7CB0D007" w14:textId="77777777" w:rsidR="00B93083" w:rsidRPr="00315583" w:rsidRDefault="00B93083" w:rsidP="00120E73">
            <w:pPr>
              <w:pStyle w:val="TableText"/>
              <w:jc w:val="right"/>
              <w:cnfStyle w:val="000000100000" w:firstRow="0" w:lastRow="0" w:firstColumn="0" w:lastColumn="0" w:oddVBand="0" w:evenVBand="0" w:oddHBand="1" w:evenHBand="0" w:firstRowFirstColumn="0" w:firstRowLastColumn="0" w:lastRowFirstColumn="0" w:lastRowLastColumn="0"/>
            </w:pPr>
            <w:r>
              <w:t>$</w:t>
            </w:r>
            <w:r w:rsidRPr="00315583">
              <w:t>40,595</w:t>
            </w:r>
          </w:p>
        </w:tc>
        <w:tc>
          <w:tcPr>
            <w:tcW w:w="738" w:type="pct"/>
            <w:noWrap/>
            <w:hideMark/>
          </w:tcPr>
          <w:p w14:paraId="26299328" w14:textId="77777777" w:rsidR="00B93083" w:rsidRPr="00315583" w:rsidRDefault="00B93083"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15583">
              <w:t>$6,239</w:t>
            </w:r>
          </w:p>
        </w:tc>
      </w:tr>
      <w:tr w:rsidR="00591000" w:rsidRPr="00315583" w14:paraId="3C774412" w14:textId="77777777" w:rsidTr="00481098">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2" w:type="pct"/>
            <w:noWrap/>
            <w:hideMark/>
          </w:tcPr>
          <w:p w14:paraId="0F888FB5" w14:textId="5C43B742" w:rsidR="00591000" w:rsidRPr="00315583" w:rsidRDefault="00591000" w:rsidP="00120E73">
            <w:pPr>
              <w:pStyle w:val="TableText"/>
            </w:pPr>
            <w:r w:rsidRPr="00315583">
              <w:t>Sub</w:t>
            </w:r>
            <w:r>
              <w:t>acute</w:t>
            </w:r>
            <w:r w:rsidRPr="00315583">
              <w:t xml:space="preserve"> and non</w:t>
            </w:r>
            <w:r>
              <w:t>-</w:t>
            </w:r>
            <w:r w:rsidRPr="00315583">
              <w:t>acute</w:t>
            </w:r>
          </w:p>
        </w:tc>
        <w:tc>
          <w:tcPr>
            <w:tcW w:w="739" w:type="pct"/>
            <w:noWrap/>
            <w:hideMark/>
          </w:tcPr>
          <w:p w14:paraId="04FDD345" w14:textId="77777777" w:rsidR="00591000" w:rsidRPr="00315583" w:rsidRDefault="00591000" w:rsidP="00120E73">
            <w:pPr>
              <w:pStyle w:val="TableText"/>
              <w:cnfStyle w:val="000000010000" w:firstRow="0" w:lastRow="0" w:firstColumn="0" w:lastColumn="0" w:oddVBand="0" w:evenVBand="0" w:oddHBand="0" w:evenHBand="1" w:firstRowFirstColumn="0" w:firstRowLastColumn="0" w:lastRowFirstColumn="0" w:lastRowLastColumn="0"/>
            </w:pPr>
            <w:r w:rsidRPr="00315583">
              <w:t>Episodes</w:t>
            </w:r>
          </w:p>
        </w:tc>
        <w:tc>
          <w:tcPr>
            <w:tcW w:w="739" w:type="pct"/>
            <w:noWrap/>
            <w:hideMark/>
          </w:tcPr>
          <w:p w14:paraId="189EC09B" w14:textId="77777777" w:rsidR="00591000" w:rsidRPr="00315583" w:rsidRDefault="00591000"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15583">
              <w:t>164,415</w:t>
            </w:r>
          </w:p>
        </w:tc>
        <w:tc>
          <w:tcPr>
            <w:tcW w:w="1102" w:type="pct"/>
            <w:noWrap/>
            <w:hideMark/>
          </w:tcPr>
          <w:p w14:paraId="1D4FB92D" w14:textId="77777777" w:rsidR="00591000" w:rsidRPr="00315583" w:rsidRDefault="00591000" w:rsidP="00120E73">
            <w:pPr>
              <w:pStyle w:val="TableText"/>
              <w:jc w:val="right"/>
              <w:cnfStyle w:val="000000010000" w:firstRow="0" w:lastRow="0" w:firstColumn="0" w:lastColumn="0" w:oddVBand="0" w:evenVBand="0" w:oddHBand="0" w:evenHBand="1" w:firstRowFirstColumn="0" w:firstRowLastColumn="0" w:lastRowFirstColumn="0" w:lastRowLastColumn="0"/>
            </w:pPr>
            <w:r>
              <w:t>$</w:t>
            </w:r>
            <w:r w:rsidRPr="00315583">
              <w:t>3,840</w:t>
            </w:r>
          </w:p>
        </w:tc>
        <w:tc>
          <w:tcPr>
            <w:tcW w:w="738" w:type="pct"/>
            <w:noWrap/>
            <w:hideMark/>
          </w:tcPr>
          <w:p w14:paraId="167FB609" w14:textId="77777777" w:rsidR="00591000" w:rsidRPr="00315583" w:rsidRDefault="00591000"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15583">
              <w:t>$23,356</w:t>
            </w:r>
          </w:p>
        </w:tc>
      </w:tr>
      <w:tr w:rsidR="00591000" w:rsidRPr="00315583" w14:paraId="54449167" w14:textId="77777777" w:rsidTr="0048109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2" w:type="pct"/>
            <w:noWrap/>
            <w:hideMark/>
          </w:tcPr>
          <w:p w14:paraId="467B4759" w14:textId="196614F1" w:rsidR="00591000" w:rsidRPr="00315583" w:rsidRDefault="00591000" w:rsidP="00120E73">
            <w:pPr>
              <w:pStyle w:val="TableText"/>
            </w:pPr>
            <w:r w:rsidRPr="00315583">
              <w:t>Sub</w:t>
            </w:r>
            <w:r>
              <w:t>acute</w:t>
            </w:r>
            <w:r w:rsidRPr="00315583">
              <w:t xml:space="preserve"> and non</w:t>
            </w:r>
            <w:r>
              <w:t>-</w:t>
            </w:r>
            <w:r w:rsidRPr="00315583">
              <w:t>acute</w:t>
            </w:r>
          </w:p>
        </w:tc>
        <w:tc>
          <w:tcPr>
            <w:tcW w:w="739" w:type="pct"/>
            <w:noWrap/>
            <w:hideMark/>
          </w:tcPr>
          <w:p w14:paraId="026CEEE3" w14:textId="77777777" w:rsidR="00591000" w:rsidRPr="00315583" w:rsidRDefault="00591000" w:rsidP="00120E73">
            <w:pPr>
              <w:pStyle w:val="TableText"/>
              <w:cnfStyle w:val="000000100000" w:firstRow="0" w:lastRow="0" w:firstColumn="0" w:lastColumn="0" w:oddVBand="0" w:evenVBand="0" w:oddHBand="1" w:evenHBand="0" w:firstRowFirstColumn="0" w:firstRowLastColumn="0" w:lastRowFirstColumn="0" w:lastRowLastColumn="0"/>
            </w:pPr>
            <w:r w:rsidRPr="00315583">
              <w:t>Phases</w:t>
            </w:r>
          </w:p>
        </w:tc>
        <w:tc>
          <w:tcPr>
            <w:tcW w:w="739" w:type="pct"/>
            <w:noWrap/>
            <w:hideMark/>
          </w:tcPr>
          <w:p w14:paraId="28152DDE" w14:textId="77777777" w:rsidR="00591000" w:rsidRPr="00315583" w:rsidRDefault="00591000"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15583">
              <w:t>72,889</w:t>
            </w:r>
          </w:p>
        </w:tc>
        <w:tc>
          <w:tcPr>
            <w:tcW w:w="1102" w:type="pct"/>
            <w:noWrap/>
            <w:hideMark/>
          </w:tcPr>
          <w:p w14:paraId="4F8D685B" w14:textId="77777777" w:rsidR="00591000" w:rsidRPr="00315583" w:rsidRDefault="00591000" w:rsidP="00120E73">
            <w:pPr>
              <w:pStyle w:val="TableText"/>
              <w:jc w:val="right"/>
              <w:cnfStyle w:val="000000100000" w:firstRow="0" w:lastRow="0" w:firstColumn="0" w:lastColumn="0" w:oddVBand="0" w:evenVBand="0" w:oddHBand="1" w:evenHBand="0" w:firstRowFirstColumn="0" w:firstRowLastColumn="0" w:lastRowFirstColumn="0" w:lastRowLastColumn="0"/>
            </w:pPr>
            <w:r>
              <w:t>$</w:t>
            </w:r>
            <w:r w:rsidRPr="00315583">
              <w:t>543</w:t>
            </w:r>
          </w:p>
        </w:tc>
        <w:tc>
          <w:tcPr>
            <w:tcW w:w="738" w:type="pct"/>
            <w:noWrap/>
            <w:hideMark/>
          </w:tcPr>
          <w:p w14:paraId="7EE93935" w14:textId="77777777" w:rsidR="00591000" w:rsidRPr="00315583" w:rsidRDefault="00591000"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15583">
              <w:t>$7,450</w:t>
            </w:r>
          </w:p>
        </w:tc>
      </w:tr>
      <w:tr w:rsidR="00B93083" w:rsidRPr="00B1694D" w14:paraId="5B94F415" w14:textId="77777777" w:rsidTr="00481098">
        <w:trPr>
          <w:cnfStyle w:val="000000010000" w:firstRow="0" w:lastRow="0" w:firstColumn="0" w:lastColumn="0" w:oddVBand="0" w:evenVBand="0" w:oddHBand="0" w:evenHBand="1"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682" w:type="pct"/>
            <w:shd w:val="clear" w:color="auto" w:fill="DCDCDF" w:themeFill="text2" w:themeFillTint="33"/>
            <w:noWrap/>
            <w:hideMark/>
          </w:tcPr>
          <w:p w14:paraId="658AECAA" w14:textId="77777777" w:rsidR="00B93083" w:rsidRPr="00B1694D" w:rsidRDefault="00B93083" w:rsidP="00120E73">
            <w:pPr>
              <w:pStyle w:val="TableText"/>
              <w:rPr>
                <w:rFonts w:asciiTheme="majorHAnsi" w:hAnsiTheme="majorHAnsi"/>
              </w:rPr>
            </w:pPr>
            <w:r w:rsidRPr="00B1694D">
              <w:rPr>
                <w:rFonts w:asciiTheme="majorHAnsi" w:hAnsiTheme="majorHAnsi"/>
              </w:rPr>
              <w:t>TOTAL</w:t>
            </w:r>
          </w:p>
        </w:tc>
        <w:tc>
          <w:tcPr>
            <w:tcW w:w="739" w:type="pct"/>
            <w:shd w:val="clear" w:color="auto" w:fill="DCDCDF" w:themeFill="text2" w:themeFillTint="33"/>
            <w:noWrap/>
            <w:hideMark/>
          </w:tcPr>
          <w:p w14:paraId="1DA62434" w14:textId="77777777" w:rsidR="00B93083" w:rsidRPr="00B1694D" w:rsidRDefault="00B93083" w:rsidP="00120E73">
            <w:pPr>
              <w:pStyle w:val="TableTex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Records</w:t>
            </w:r>
          </w:p>
        </w:tc>
        <w:tc>
          <w:tcPr>
            <w:tcW w:w="739" w:type="pct"/>
            <w:shd w:val="clear" w:color="auto" w:fill="DCDCDF" w:themeFill="text2" w:themeFillTint="33"/>
            <w:noWrap/>
            <w:hideMark/>
          </w:tcPr>
          <w:p w14:paraId="09C7AEB1" w14:textId="77777777" w:rsidR="00B93083" w:rsidRPr="00B1694D" w:rsidRDefault="00B93083"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6,743,537</w:t>
            </w:r>
          </w:p>
        </w:tc>
        <w:tc>
          <w:tcPr>
            <w:tcW w:w="1102" w:type="pct"/>
            <w:shd w:val="clear" w:color="auto" w:fill="DCDCDF" w:themeFill="text2" w:themeFillTint="33"/>
            <w:noWrap/>
            <w:hideMark/>
          </w:tcPr>
          <w:p w14:paraId="4C8580EF" w14:textId="77777777" w:rsidR="00B93083" w:rsidRPr="00B1694D" w:rsidRDefault="00B93083"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$44,978</w:t>
            </w:r>
          </w:p>
        </w:tc>
        <w:tc>
          <w:tcPr>
            <w:tcW w:w="738" w:type="pct"/>
            <w:shd w:val="clear" w:color="auto" w:fill="DCDCDF" w:themeFill="text2" w:themeFillTint="33"/>
            <w:noWrap/>
            <w:hideMark/>
          </w:tcPr>
          <w:p w14:paraId="38B0395A" w14:textId="77777777" w:rsidR="00B93083" w:rsidRPr="00B1694D" w:rsidRDefault="00B93083"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$6,670</w:t>
            </w:r>
          </w:p>
        </w:tc>
      </w:tr>
    </w:tbl>
    <w:p w14:paraId="7C64A0EB" w14:textId="0494198B" w:rsidR="00B93083" w:rsidRDefault="00B93083" w:rsidP="00B93083">
      <w:pPr>
        <w:pStyle w:val="Tablenotes"/>
      </w:pPr>
      <w:r>
        <w:t xml:space="preserve">Source: </w:t>
      </w:r>
      <w:r w:rsidR="002156EF">
        <w:t>Independent Health and Aged Care Pricing Authority</w:t>
      </w:r>
      <w:r>
        <w:t>, National Hospital Cost Data Collection Public Sector Report 2022–23</w:t>
      </w:r>
      <w:r w:rsidR="002B1D4B">
        <w:t>.</w:t>
      </w:r>
    </w:p>
    <w:p w14:paraId="0D3DA959" w14:textId="29390C0D" w:rsidR="003A5E86" w:rsidRDefault="003A5E86" w:rsidP="003A5E86">
      <w:pPr>
        <w:pStyle w:val="Caption"/>
      </w:pPr>
      <w:bookmarkStart w:id="240" w:name="_Ref214962616"/>
      <w:bookmarkStart w:id="241" w:name="_Toc195536297"/>
      <w:r>
        <w:t xml:space="preserve">Table </w:t>
      </w:r>
      <w:fldSimple w:instr=" STYLEREF 1 \s ">
        <w:r w:rsidR="0091457A">
          <w:rPr>
            <w:noProof/>
          </w:rPr>
          <w:t>9</w:t>
        </w:r>
      </w:fldSimple>
      <w:r w:rsidR="0091457A">
        <w:t>.</w:t>
      </w:r>
      <w:fldSimple w:instr=" SEQ Table \* ARABIC \s 1 ">
        <w:r w:rsidR="0091457A">
          <w:rPr>
            <w:noProof/>
          </w:rPr>
          <w:t>34</w:t>
        </w:r>
      </w:fldSimple>
      <w:bookmarkEnd w:id="240"/>
      <w:r>
        <w:t>: Determining a monetary value on reduced unplanned hospitalisations and ED presentations among PACOP residents by half-year</w:t>
      </w:r>
    </w:p>
    <w:tbl>
      <w:tblPr>
        <w:tblStyle w:val="HMAdefaulttable"/>
        <w:tblW w:w="15136"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Calculations to determine monetary value of reduced hospitalisations and ED presentations among PACOP residents"/>
        <w:tblDescription w:val="Table shows the calculations used to determine a monetary value on reduced unplanned hospitalisations and ED presentations among PACOP residents, used to support components of cost-benefit analysis."/>
      </w:tblPr>
      <w:tblGrid>
        <w:gridCol w:w="4673"/>
        <w:gridCol w:w="1510"/>
        <w:gridCol w:w="1791"/>
        <w:gridCol w:w="1790"/>
        <w:gridCol w:w="1791"/>
        <w:gridCol w:w="1790"/>
        <w:gridCol w:w="1791"/>
      </w:tblGrid>
      <w:tr w:rsidR="003A5E86" w:rsidRPr="003B3243" w14:paraId="14C7C4BA" w14:textId="77777777" w:rsidTr="008C2BF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673" w:type="dxa"/>
            <w:noWrap/>
            <w:hideMark/>
          </w:tcPr>
          <w:p w14:paraId="56B22401" w14:textId="7B7FD32D" w:rsidR="003A5E86" w:rsidRPr="003B3243" w:rsidRDefault="003539A4" w:rsidP="003539A4">
            <w:pPr>
              <w:pStyle w:val="TableHeading"/>
            </w:pPr>
            <w:r>
              <w:t>Measure</w:t>
            </w:r>
          </w:p>
        </w:tc>
        <w:tc>
          <w:tcPr>
            <w:tcW w:w="1510" w:type="dxa"/>
            <w:noWrap/>
            <w:hideMark/>
          </w:tcPr>
          <w:p w14:paraId="0B1C15DB" w14:textId="0A23389C"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2023</w:t>
            </w:r>
            <w:r w:rsidR="00AF0C7C">
              <w:t>–</w:t>
            </w:r>
            <w:r w:rsidRPr="003B3243">
              <w:t>H1</w:t>
            </w:r>
          </w:p>
        </w:tc>
        <w:tc>
          <w:tcPr>
            <w:tcW w:w="1791" w:type="dxa"/>
            <w:noWrap/>
            <w:hideMark/>
          </w:tcPr>
          <w:p w14:paraId="4F7F1DB7" w14:textId="5DD0091F"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2023</w:t>
            </w:r>
            <w:r w:rsidR="00AF0C7C">
              <w:t>–</w:t>
            </w:r>
            <w:r w:rsidRPr="003B3243">
              <w:t>H2</w:t>
            </w:r>
          </w:p>
        </w:tc>
        <w:tc>
          <w:tcPr>
            <w:tcW w:w="1790" w:type="dxa"/>
            <w:noWrap/>
            <w:hideMark/>
          </w:tcPr>
          <w:p w14:paraId="5AA3E74C" w14:textId="2F909EB9"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2024</w:t>
            </w:r>
            <w:r w:rsidR="00AF0C7C">
              <w:t>–</w:t>
            </w:r>
            <w:r w:rsidRPr="003B3243">
              <w:t>H1</w:t>
            </w:r>
          </w:p>
        </w:tc>
        <w:tc>
          <w:tcPr>
            <w:tcW w:w="1791" w:type="dxa"/>
            <w:noWrap/>
            <w:hideMark/>
          </w:tcPr>
          <w:p w14:paraId="5CED2513" w14:textId="2945CF7A"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2024</w:t>
            </w:r>
            <w:r w:rsidR="00AF0C7C">
              <w:t>–</w:t>
            </w:r>
            <w:r w:rsidRPr="003B3243">
              <w:t>H2</w:t>
            </w:r>
          </w:p>
        </w:tc>
        <w:tc>
          <w:tcPr>
            <w:tcW w:w="1790" w:type="dxa"/>
            <w:noWrap/>
            <w:hideMark/>
          </w:tcPr>
          <w:p w14:paraId="10B43B46" w14:textId="19459B21"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2025</w:t>
            </w:r>
            <w:r w:rsidR="00AF0C7C">
              <w:t>–</w:t>
            </w:r>
            <w:r w:rsidRPr="003B3243">
              <w:t>H1</w:t>
            </w:r>
          </w:p>
        </w:tc>
        <w:tc>
          <w:tcPr>
            <w:tcW w:w="1791" w:type="dxa"/>
            <w:noWrap/>
            <w:hideMark/>
          </w:tcPr>
          <w:p w14:paraId="6D529916" w14:textId="77777777"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TOTAL</w:t>
            </w:r>
          </w:p>
        </w:tc>
      </w:tr>
      <w:tr w:rsidR="003A5E86" w:rsidRPr="009A2823" w14:paraId="1F4E269F" w14:textId="77777777" w:rsidTr="008C2BF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4673" w:type="dxa"/>
            <w:shd w:val="clear" w:color="auto" w:fill="9AD9C8" w:themeFill="background2" w:themeFillTint="99"/>
            <w:noWrap/>
          </w:tcPr>
          <w:p w14:paraId="4ED2BE0E" w14:textId="1F86D393" w:rsidR="003A5E86" w:rsidRPr="009A2823" w:rsidRDefault="003A5E86" w:rsidP="00120E73">
            <w:pPr>
              <w:pStyle w:val="TableText"/>
              <w:rPr>
                <w:b/>
                <w:bCs/>
                <w:color w:val="auto"/>
                <w:lang w:eastAsia="en-AU"/>
              </w:rPr>
            </w:pPr>
            <w:r w:rsidRPr="009A2823">
              <w:rPr>
                <w:rFonts w:ascii="Neue Haas Grotesk Text Pro" w:hAnsi="Neue Haas Grotesk Text Pro"/>
                <w:b/>
                <w:bCs/>
                <w:color w:val="auto"/>
                <w:lang w:eastAsia="en-AU"/>
              </w:rPr>
              <w:t xml:space="preserve">PACOP </w:t>
            </w:r>
            <w:r w:rsidR="00EA3413" w:rsidRPr="009A2823">
              <w:rPr>
                <w:rFonts w:ascii="Neue Haas Grotesk Text Pro" w:hAnsi="Neue Haas Grotesk Text Pro"/>
                <w:b/>
                <w:bCs/>
                <w:color w:val="auto"/>
                <w:lang w:eastAsia="en-AU"/>
              </w:rPr>
              <w:t>a</w:t>
            </w:r>
            <w:r w:rsidRPr="009A2823">
              <w:rPr>
                <w:rFonts w:ascii="Neue Haas Grotesk Text Pro" w:hAnsi="Neue Haas Grotesk Text Pro"/>
                <w:b/>
                <w:bCs/>
                <w:color w:val="auto"/>
                <w:lang w:eastAsia="en-AU"/>
              </w:rPr>
              <w:t>ssessment data</w:t>
            </w:r>
          </w:p>
        </w:tc>
        <w:tc>
          <w:tcPr>
            <w:tcW w:w="1510" w:type="dxa"/>
            <w:shd w:val="clear" w:color="auto" w:fill="9AD9C8" w:themeFill="background2" w:themeFillTint="99"/>
            <w:noWrap/>
          </w:tcPr>
          <w:p w14:paraId="05D1F88E" w14:textId="69D9FE98"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1" w:type="dxa"/>
            <w:shd w:val="clear" w:color="auto" w:fill="9AD9C8" w:themeFill="background2" w:themeFillTint="99"/>
            <w:noWrap/>
          </w:tcPr>
          <w:p w14:paraId="63390E6A" w14:textId="666F345E"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0" w:type="dxa"/>
            <w:shd w:val="clear" w:color="auto" w:fill="9AD9C8" w:themeFill="background2" w:themeFillTint="99"/>
            <w:noWrap/>
          </w:tcPr>
          <w:p w14:paraId="1EEAE681" w14:textId="57EA9AB0"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1" w:type="dxa"/>
            <w:shd w:val="clear" w:color="auto" w:fill="9AD9C8" w:themeFill="background2" w:themeFillTint="99"/>
            <w:noWrap/>
          </w:tcPr>
          <w:p w14:paraId="3499AF37" w14:textId="2B200C32"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0" w:type="dxa"/>
            <w:shd w:val="clear" w:color="auto" w:fill="9AD9C8" w:themeFill="background2" w:themeFillTint="99"/>
            <w:noWrap/>
          </w:tcPr>
          <w:p w14:paraId="06E3AE58" w14:textId="71ED9690"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1" w:type="dxa"/>
            <w:shd w:val="clear" w:color="auto" w:fill="9AD9C8" w:themeFill="background2" w:themeFillTint="99"/>
            <w:noWrap/>
          </w:tcPr>
          <w:p w14:paraId="67A425E1" w14:textId="65CFCE89"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r>
      <w:tr w:rsidR="003A5E86" w:rsidRPr="003B3243" w14:paraId="0BBC606E"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142C5B3C" w14:textId="3F4BD4AC" w:rsidR="003A5E86" w:rsidRPr="003B3243" w:rsidRDefault="003A5E86" w:rsidP="00120E73">
            <w:pPr>
              <w:pStyle w:val="TableText"/>
              <w:rPr>
                <w:lang w:eastAsia="en-AU"/>
              </w:rPr>
            </w:pPr>
            <w:r w:rsidRPr="003B3243">
              <w:rPr>
                <w:lang w:eastAsia="en-AU"/>
              </w:rPr>
              <w:t xml:space="preserve">Total </w:t>
            </w:r>
            <w:r w:rsidR="00EA3413">
              <w:rPr>
                <w:lang w:eastAsia="en-AU"/>
              </w:rPr>
              <w:t>r</w:t>
            </w:r>
            <w:r w:rsidRPr="003B3243">
              <w:rPr>
                <w:lang w:eastAsia="en-AU"/>
              </w:rPr>
              <w:t>esidents</w:t>
            </w:r>
          </w:p>
        </w:tc>
        <w:tc>
          <w:tcPr>
            <w:tcW w:w="1510" w:type="dxa"/>
            <w:noWrap/>
            <w:hideMark/>
          </w:tcPr>
          <w:p w14:paraId="04B4CC7D"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881</w:t>
            </w:r>
          </w:p>
        </w:tc>
        <w:tc>
          <w:tcPr>
            <w:tcW w:w="1791" w:type="dxa"/>
            <w:noWrap/>
            <w:hideMark/>
          </w:tcPr>
          <w:p w14:paraId="27159A06"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2</w:t>
            </w:r>
            <w:r>
              <w:rPr>
                <w:lang w:eastAsia="en-AU"/>
              </w:rPr>
              <w:t>,</w:t>
            </w:r>
            <w:r w:rsidRPr="003B3243">
              <w:rPr>
                <w:lang w:eastAsia="en-AU"/>
              </w:rPr>
              <w:t>049</w:t>
            </w:r>
          </w:p>
        </w:tc>
        <w:tc>
          <w:tcPr>
            <w:tcW w:w="1790" w:type="dxa"/>
            <w:noWrap/>
            <w:hideMark/>
          </w:tcPr>
          <w:p w14:paraId="02C29E04"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2</w:t>
            </w:r>
            <w:r>
              <w:rPr>
                <w:lang w:eastAsia="en-AU"/>
              </w:rPr>
              <w:t>,</w:t>
            </w:r>
            <w:r w:rsidRPr="003B3243">
              <w:rPr>
                <w:lang w:eastAsia="en-AU"/>
              </w:rPr>
              <w:t>247</w:t>
            </w:r>
          </w:p>
        </w:tc>
        <w:tc>
          <w:tcPr>
            <w:tcW w:w="1791" w:type="dxa"/>
            <w:noWrap/>
            <w:hideMark/>
          </w:tcPr>
          <w:p w14:paraId="7F34BE04"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5</w:t>
            </w:r>
            <w:r>
              <w:rPr>
                <w:lang w:eastAsia="en-AU"/>
              </w:rPr>
              <w:t>,</w:t>
            </w:r>
            <w:r w:rsidRPr="003B3243">
              <w:rPr>
                <w:lang w:eastAsia="en-AU"/>
              </w:rPr>
              <w:t>722</w:t>
            </w:r>
          </w:p>
        </w:tc>
        <w:tc>
          <w:tcPr>
            <w:tcW w:w="1790" w:type="dxa"/>
            <w:noWrap/>
            <w:hideMark/>
          </w:tcPr>
          <w:p w14:paraId="256A92FF"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7</w:t>
            </w:r>
            <w:r>
              <w:rPr>
                <w:lang w:eastAsia="en-AU"/>
              </w:rPr>
              <w:t>,</w:t>
            </w:r>
            <w:r w:rsidRPr="003B3243">
              <w:rPr>
                <w:lang w:eastAsia="en-AU"/>
              </w:rPr>
              <w:t>332</w:t>
            </w:r>
          </w:p>
        </w:tc>
        <w:tc>
          <w:tcPr>
            <w:tcW w:w="1791" w:type="dxa"/>
            <w:noWrap/>
            <w:hideMark/>
          </w:tcPr>
          <w:p w14:paraId="04960EA4" w14:textId="77777777" w:rsidR="003A5E86" w:rsidRPr="00B1694D"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lang w:eastAsia="en-AU"/>
              </w:rPr>
            </w:pPr>
            <w:r w:rsidRPr="00B1694D">
              <w:rPr>
                <w:rFonts w:asciiTheme="majorHAnsi" w:hAnsiTheme="majorHAnsi"/>
                <w:lang w:eastAsia="en-AU"/>
              </w:rPr>
              <w:t>18,231</w:t>
            </w:r>
          </w:p>
        </w:tc>
      </w:tr>
      <w:tr w:rsidR="003A5E86" w:rsidRPr="003B3243" w14:paraId="12377F36"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54CC0DF0" w14:textId="77777777" w:rsidR="003A5E86" w:rsidRPr="003B3243" w:rsidRDefault="003A5E86" w:rsidP="00120E73">
            <w:pPr>
              <w:pStyle w:val="TableText"/>
              <w:rPr>
                <w:lang w:eastAsia="en-AU"/>
              </w:rPr>
            </w:pPr>
            <w:r>
              <w:rPr>
                <w:lang w:eastAsia="en-AU"/>
              </w:rPr>
              <w:t>One or more</w:t>
            </w:r>
            <w:r w:rsidRPr="003B3243">
              <w:rPr>
                <w:lang w:eastAsia="en-AU"/>
              </w:rPr>
              <w:t xml:space="preserve"> unplanned hospitalisation</w:t>
            </w:r>
            <w:r>
              <w:rPr>
                <w:lang w:eastAsia="en-AU"/>
              </w:rPr>
              <w:t>s</w:t>
            </w:r>
            <w:r w:rsidRPr="003B3243">
              <w:rPr>
                <w:lang w:eastAsia="en-AU"/>
              </w:rPr>
              <w:t xml:space="preserve"> (n)</w:t>
            </w:r>
          </w:p>
        </w:tc>
        <w:tc>
          <w:tcPr>
            <w:tcW w:w="1510" w:type="dxa"/>
            <w:noWrap/>
            <w:hideMark/>
          </w:tcPr>
          <w:p w14:paraId="333F8FF2"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149</w:t>
            </w:r>
          </w:p>
        </w:tc>
        <w:tc>
          <w:tcPr>
            <w:tcW w:w="1791" w:type="dxa"/>
            <w:noWrap/>
            <w:hideMark/>
          </w:tcPr>
          <w:p w14:paraId="28821600"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358</w:t>
            </w:r>
          </w:p>
        </w:tc>
        <w:tc>
          <w:tcPr>
            <w:tcW w:w="1790" w:type="dxa"/>
            <w:noWrap/>
            <w:hideMark/>
          </w:tcPr>
          <w:p w14:paraId="2192C4BC"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378</w:t>
            </w:r>
          </w:p>
        </w:tc>
        <w:tc>
          <w:tcPr>
            <w:tcW w:w="1791" w:type="dxa"/>
            <w:noWrap/>
            <w:hideMark/>
          </w:tcPr>
          <w:p w14:paraId="169225C2"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1</w:t>
            </w:r>
            <w:r>
              <w:rPr>
                <w:lang w:eastAsia="en-AU"/>
              </w:rPr>
              <w:t>,</w:t>
            </w:r>
            <w:r w:rsidRPr="003B3243">
              <w:rPr>
                <w:lang w:eastAsia="en-AU"/>
              </w:rPr>
              <w:t>123</w:t>
            </w:r>
          </w:p>
        </w:tc>
        <w:tc>
          <w:tcPr>
            <w:tcW w:w="1790" w:type="dxa"/>
            <w:noWrap/>
            <w:hideMark/>
          </w:tcPr>
          <w:p w14:paraId="7FBF458F"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1</w:t>
            </w:r>
            <w:r>
              <w:rPr>
                <w:lang w:eastAsia="en-AU"/>
              </w:rPr>
              <w:t>,</w:t>
            </w:r>
            <w:r w:rsidRPr="003B3243">
              <w:rPr>
                <w:lang w:eastAsia="en-AU"/>
              </w:rPr>
              <w:t>621</w:t>
            </w:r>
          </w:p>
        </w:tc>
        <w:tc>
          <w:tcPr>
            <w:tcW w:w="1791" w:type="dxa"/>
            <w:noWrap/>
            <w:hideMark/>
          </w:tcPr>
          <w:p w14:paraId="67DC8718" w14:textId="77777777" w:rsidR="003A5E86" w:rsidRPr="00B1694D"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lang w:eastAsia="en-AU"/>
              </w:rPr>
            </w:pPr>
            <w:r w:rsidRPr="00B1694D">
              <w:rPr>
                <w:rFonts w:asciiTheme="majorHAnsi" w:hAnsiTheme="majorHAnsi"/>
                <w:lang w:eastAsia="en-AU"/>
              </w:rPr>
              <w:t>3,629</w:t>
            </w:r>
          </w:p>
        </w:tc>
      </w:tr>
      <w:tr w:rsidR="003A5E86" w:rsidRPr="003B3243" w14:paraId="0CFA65D2" w14:textId="77777777" w:rsidTr="008C2BF6">
        <w:trPr>
          <w:cnfStyle w:val="000000010000" w:firstRow="0" w:lastRow="0" w:firstColumn="0" w:lastColumn="0" w:oddVBand="0" w:evenVBand="0" w:oddHBand="0" w:evenHBand="1"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4673" w:type="dxa"/>
            <w:noWrap/>
            <w:hideMark/>
          </w:tcPr>
          <w:p w14:paraId="7617E5C6" w14:textId="77777777" w:rsidR="003A5E86" w:rsidRPr="003B3243" w:rsidRDefault="003A5E86" w:rsidP="00120E73">
            <w:pPr>
              <w:pStyle w:val="TableText"/>
              <w:rPr>
                <w:lang w:eastAsia="en-AU"/>
              </w:rPr>
            </w:pPr>
            <w:r>
              <w:rPr>
                <w:lang w:eastAsia="en-AU"/>
              </w:rPr>
              <w:t>One or more</w:t>
            </w:r>
            <w:r w:rsidRPr="003B3243">
              <w:rPr>
                <w:lang w:eastAsia="en-AU"/>
              </w:rPr>
              <w:t xml:space="preserve"> ED presentation</w:t>
            </w:r>
            <w:r>
              <w:rPr>
                <w:lang w:eastAsia="en-AU"/>
              </w:rPr>
              <w:t>s</w:t>
            </w:r>
            <w:r w:rsidRPr="003B3243">
              <w:rPr>
                <w:lang w:eastAsia="en-AU"/>
              </w:rPr>
              <w:t xml:space="preserve"> (n)</w:t>
            </w:r>
          </w:p>
        </w:tc>
        <w:tc>
          <w:tcPr>
            <w:tcW w:w="1510" w:type="dxa"/>
            <w:noWrap/>
            <w:hideMark/>
          </w:tcPr>
          <w:p w14:paraId="0DD6CEC0"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178</w:t>
            </w:r>
          </w:p>
        </w:tc>
        <w:tc>
          <w:tcPr>
            <w:tcW w:w="1791" w:type="dxa"/>
            <w:noWrap/>
            <w:hideMark/>
          </w:tcPr>
          <w:p w14:paraId="04C64BEF"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431</w:t>
            </w:r>
          </w:p>
        </w:tc>
        <w:tc>
          <w:tcPr>
            <w:tcW w:w="1790" w:type="dxa"/>
            <w:noWrap/>
            <w:hideMark/>
          </w:tcPr>
          <w:p w14:paraId="465BBB6F"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434</w:t>
            </w:r>
          </w:p>
        </w:tc>
        <w:tc>
          <w:tcPr>
            <w:tcW w:w="1791" w:type="dxa"/>
            <w:noWrap/>
            <w:hideMark/>
          </w:tcPr>
          <w:p w14:paraId="48326039"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1</w:t>
            </w:r>
            <w:r>
              <w:rPr>
                <w:lang w:eastAsia="en-AU"/>
              </w:rPr>
              <w:t>,</w:t>
            </w:r>
            <w:r w:rsidRPr="003B3243">
              <w:rPr>
                <w:lang w:eastAsia="en-AU"/>
              </w:rPr>
              <w:t>290</w:t>
            </w:r>
          </w:p>
        </w:tc>
        <w:tc>
          <w:tcPr>
            <w:tcW w:w="1790" w:type="dxa"/>
            <w:noWrap/>
            <w:hideMark/>
          </w:tcPr>
          <w:p w14:paraId="4FA24ED0"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1</w:t>
            </w:r>
            <w:r>
              <w:rPr>
                <w:lang w:eastAsia="en-AU"/>
              </w:rPr>
              <w:t>,</w:t>
            </w:r>
            <w:r w:rsidRPr="003B3243">
              <w:rPr>
                <w:lang w:eastAsia="en-AU"/>
              </w:rPr>
              <w:t>852</w:t>
            </w:r>
          </w:p>
        </w:tc>
        <w:tc>
          <w:tcPr>
            <w:tcW w:w="1791" w:type="dxa"/>
            <w:noWrap/>
            <w:hideMark/>
          </w:tcPr>
          <w:p w14:paraId="20B64ED1" w14:textId="77777777" w:rsidR="003A5E86" w:rsidRPr="00B1694D"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lang w:eastAsia="en-AU"/>
              </w:rPr>
            </w:pPr>
            <w:r w:rsidRPr="00B1694D">
              <w:rPr>
                <w:rFonts w:asciiTheme="majorHAnsi" w:hAnsiTheme="majorHAnsi"/>
                <w:lang w:eastAsia="en-AU"/>
              </w:rPr>
              <w:t>4,185</w:t>
            </w:r>
          </w:p>
        </w:tc>
      </w:tr>
      <w:tr w:rsidR="008C2BF6" w:rsidRPr="003B3243" w14:paraId="4BDA6527"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shd w:val="clear" w:color="auto" w:fill="9AD9C8" w:themeFill="background2" w:themeFillTint="99"/>
            <w:noWrap/>
          </w:tcPr>
          <w:p w14:paraId="429899E2" w14:textId="7EE54CA6" w:rsidR="008C2BF6" w:rsidRPr="009229B3" w:rsidRDefault="008C2BF6" w:rsidP="008C2BF6">
            <w:pPr>
              <w:pStyle w:val="TableText"/>
            </w:pPr>
            <w:r w:rsidRPr="009A2823">
              <w:rPr>
                <w:rFonts w:ascii="Neue Haas Grotesk Text Pro" w:hAnsi="Neue Haas Grotesk Text Pro"/>
                <w:b/>
                <w:bCs/>
                <w:color w:val="auto"/>
                <w:lang w:eastAsia="en-AU"/>
              </w:rPr>
              <w:t>Cohort proportions based on Harrison 2024^</w:t>
            </w:r>
          </w:p>
        </w:tc>
        <w:tc>
          <w:tcPr>
            <w:tcW w:w="1510" w:type="dxa"/>
            <w:shd w:val="clear" w:color="auto" w:fill="9AD9C8" w:themeFill="background2" w:themeFillTint="99"/>
            <w:noWrap/>
          </w:tcPr>
          <w:p w14:paraId="735440B9" w14:textId="27F7F966"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0244004F" w14:textId="6F2780F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0" w:type="dxa"/>
            <w:shd w:val="clear" w:color="auto" w:fill="9AD9C8" w:themeFill="background2" w:themeFillTint="99"/>
            <w:noWrap/>
          </w:tcPr>
          <w:p w14:paraId="05CC76FF" w14:textId="598B6570"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0FFDD322" w14:textId="53BF4E21"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0" w:type="dxa"/>
            <w:shd w:val="clear" w:color="auto" w:fill="9AD9C8" w:themeFill="background2" w:themeFillTint="99"/>
            <w:noWrap/>
          </w:tcPr>
          <w:p w14:paraId="17997631" w14:textId="6D253D06"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7557FEE4" w14:textId="48A304BE" w:rsidR="008C2BF6" w:rsidRPr="00B1694D"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b/>
                <w:bCs/>
                <w:color w:val="auto"/>
                <w:lang w:eastAsia="en-AU"/>
              </w:rPr>
              <w:t>N</w:t>
            </w:r>
          </w:p>
        </w:tc>
      </w:tr>
      <w:tr w:rsidR="003A5E86" w:rsidRPr="003B3243" w14:paraId="66987A2A"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557DC578" w14:textId="77777777" w:rsidR="003A5E86" w:rsidRPr="009229B3" w:rsidRDefault="003A5E86" w:rsidP="00120E73">
            <w:pPr>
              <w:pStyle w:val="TableText"/>
            </w:pPr>
            <w:r w:rsidRPr="009229B3">
              <w:t>Estimated unplanned hospitalisations based on 33.4% prevalence (n)</w:t>
            </w:r>
          </w:p>
        </w:tc>
        <w:tc>
          <w:tcPr>
            <w:tcW w:w="1510" w:type="dxa"/>
            <w:noWrap/>
            <w:hideMark/>
          </w:tcPr>
          <w:p w14:paraId="550D66F5"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294</w:t>
            </w:r>
          </w:p>
        </w:tc>
        <w:tc>
          <w:tcPr>
            <w:tcW w:w="1791" w:type="dxa"/>
            <w:noWrap/>
            <w:hideMark/>
          </w:tcPr>
          <w:p w14:paraId="7E33A116"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684</w:t>
            </w:r>
          </w:p>
        </w:tc>
        <w:tc>
          <w:tcPr>
            <w:tcW w:w="1790" w:type="dxa"/>
            <w:noWrap/>
            <w:hideMark/>
          </w:tcPr>
          <w:p w14:paraId="1DB7D243"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750</w:t>
            </w:r>
          </w:p>
        </w:tc>
        <w:tc>
          <w:tcPr>
            <w:tcW w:w="1791" w:type="dxa"/>
            <w:noWrap/>
            <w:hideMark/>
          </w:tcPr>
          <w:p w14:paraId="300A2530"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1,911</w:t>
            </w:r>
          </w:p>
        </w:tc>
        <w:tc>
          <w:tcPr>
            <w:tcW w:w="1790" w:type="dxa"/>
            <w:noWrap/>
            <w:hideMark/>
          </w:tcPr>
          <w:p w14:paraId="10417BE8"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2,449</w:t>
            </w:r>
          </w:p>
        </w:tc>
        <w:tc>
          <w:tcPr>
            <w:tcW w:w="1791" w:type="dxa"/>
            <w:noWrap/>
            <w:hideMark/>
          </w:tcPr>
          <w:p w14:paraId="3B3B221D" w14:textId="77777777" w:rsidR="003A5E86" w:rsidRPr="00B1694D"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6,089</w:t>
            </w:r>
          </w:p>
        </w:tc>
      </w:tr>
      <w:tr w:rsidR="003A5E86" w:rsidRPr="003B3243" w14:paraId="6A831227"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02938FFA" w14:textId="77777777" w:rsidR="003A5E86" w:rsidRPr="009229B3" w:rsidRDefault="003A5E86" w:rsidP="00120E73">
            <w:pPr>
              <w:pStyle w:val="TableText"/>
            </w:pPr>
            <w:r w:rsidRPr="009229B3">
              <w:t>Estimated ED presentations based on a 37.8% prevalence (n)</w:t>
            </w:r>
          </w:p>
        </w:tc>
        <w:tc>
          <w:tcPr>
            <w:tcW w:w="1510" w:type="dxa"/>
            <w:noWrap/>
            <w:hideMark/>
          </w:tcPr>
          <w:p w14:paraId="720720D1"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333</w:t>
            </w:r>
          </w:p>
        </w:tc>
        <w:tc>
          <w:tcPr>
            <w:tcW w:w="1791" w:type="dxa"/>
            <w:noWrap/>
            <w:hideMark/>
          </w:tcPr>
          <w:p w14:paraId="1682D835"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775</w:t>
            </w:r>
          </w:p>
        </w:tc>
        <w:tc>
          <w:tcPr>
            <w:tcW w:w="1790" w:type="dxa"/>
            <w:noWrap/>
            <w:hideMark/>
          </w:tcPr>
          <w:p w14:paraId="34AD3169"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849</w:t>
            </w:r>
          </w:p>
        </w:tc>
        <w:tc>
          <w:tcPr>
            <w:tcW w:w="1791" w:type="dxa"/>
            <w:noWrap/>
            <w:hideMark/>
          </w:tcPr>
          <w:p w14:paraId="734D5FE9"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2,163</w:t>
            </w:r>
          </w:p>
        </w:tc>
        <w:tc>
          <w:tcPr>
            <w:tcW w:w="1790" w:type="dxa"/>
            <w:noWrap/>
            <w:hideMark/>
          </w:tcPr>
          <w:p w14:paraId="7A655485"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2,771</w:t>
            </w:r>
          </w:p>
        </w:tc>
        <w:tc>
          <w:tcPr>
            <w:tcW w:w="1791" w:type="dxa"/>
            <w:noWrap/>
            <w:hideMark/>
          </w:tcPr>
          <w:p w14:paraId="1C685B4B" w14:textId="77777777" w:rsidR="003A5E86" w:rsidRPr="00B1694D"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B1694D">
              <w:rPr>
                <w:rFonts w:asciiTheme="majorHAnsi" w:hAnsiTheme="majorHAnsi"/>
              </w:rPr>
              <w:t>6,891</w:t>
            </w:r>
          </w:p>
        </w:tc>
      </w:tr>
      <w:tr w:rsidR="008C2BF6" w:rsidRPr="003B3243" w14:paraId="58666828"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shd w:val="clear" w:color="auto" w:fill="9AD9C8" w:themeFill="background2" w:themeFillTint="99"/>
            <w:noWrap/>
          </w:tcPr>
          <w:p w14:paraId="21CEBD38" w14:textId="10BA2077" w:rsidR="008C2BF6" w:rsidRPr="009229B3" w:rsidRDefault="008C2BF6" w:rsidP="008C2BF6">
            <w:pPr>
              <w:pStyle w:val="TableText"/>
            </w:pPr>
            <w:r w:rsidRPr="009A2823">
              <w:rPr>
                <w:rFonts w:ascii="Neue Haas Grotesk Text Pro" w:hAnsi="Neue Haas Grotesk Text Pro"/>
                <w:b/>
                <w:bCs/>
                <w:color w:val="auto"/>
                <w:lang w:eastAsia="en-AU"/>
              </w:rPr>
              <w:t>Potential cost avoidance – unplanned hospitalisations</w:t>
            </w:r>
          </w:p>
        </w:tc>
        <w:tc>
          <w:tcPr>
            <w:tcW w:w="1510" w:type="dxa"/>
            <w:shd w:val="clear" w:color="auto" w:fill="9AD9C8" w:themeFill="background2" w:themeFillTint="99"/>
            <w:noWrap/>
          </w:tcPr>
          <w:p w14:paraId="133DD5E1" w14:textId="27E7AE5C"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4642C59F" w14:textId="7E18D729"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0" w:type="dxa"/>
            <w:shd w:val="clear" w:color="auto" w:fill="9AD9C8" w:themeFill="background2" w:themeFillTint="99"/>
            <w:noWrap/>
          </w:tcPr>
          <w:p w14:paraId="0AA43709" w14:textId="1A0334A3"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58E018AE" w14:textId="080704B2"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0" w:type="dxa"/>
            <w:shd w:val="clear" w:color="auto" w:fill="9AD9C8" w:themeFill="background2" w:themeFillTint="99"/>
            <w:noWrap/>
          </w:tcPr>
          <w:p w14:paraId="281F9ED5" w14:textId="104BCBFA"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601D2020" w14:textId="46DCE8D9" w:rsidR="008C2BF6" w:rsidRPr="00B1694D"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b/>
                <w:bCs/>
                <w:color w:val="auto"/>
                <w:lang w:eastAsia="en-AU"/>
              </w:rPr>
              <w:t>N</w:t>
            </w:r>
          </w:p>
        </w:tc>
      </w:tr>
      <w:tr w:rsidR="008C2BF6" w:rsidRPr="003B3243" w14:paraId="14BB6558"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29C7820A" w14:textId="58E65EDE" w:rsidR="008C2BF6" w:rsidRPr="009229B3" w:rsidRDefault="008C2BF6" w:rsidP="008C2BF6">
            <w:pPr>
              <w:pStyle w:val="TableText"/>
            </w:pPr>
            <w:r w:rsidRPr="009229B3">
              <w:t xml:space="preserve">Potential unplanned hospitalisations </w:t>
            </w:r>
            <w:r>
              <w:t>avoided</w:t>
            </w:r>
            <w:r w:rsidRPr="009229B3">
              <w:t xml:space="preserve"> (n)</w:t>
            </w:r>
          </w:p>
        </w:tc>
        <w:tc>
          <w:tcPr>
            <w:tcW w:w="1510" w:type="dxa"/>
            <w:noWrap/>
            <w:hideMark/>
          </w:tcPr>
          <w:p w14:paraId="65D486F5"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145</w:t>
            </w:r>
          </w:p>
        </w:tc>
        <w:tc>
          <w:tcPr>
            <w:tcW w:w="1791" w:type="dxa"/>
            <w:noWrap/>
            <w:hideMark/>
          </w:tcPr>
          <w:p w14:paraId="254A503A"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326</w:t>
            </w:r>
          </w:p>
        </w:tc>
        <w:tc>
          <w:tcPr>
            <w:tcW w:w="1790" w:type="dxa"/>
            <w:noWrap/>
            <w:hideMark/>
          </w:tcPr>
          <w:p w14:paraId="2EF49823"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372</w:t>
            </w:r>
          </w:p>
        </w:tc>
        <w:tc>
          <w:tcPr>
            <w:tcW w:w="1791" w:type="dxa"/>
            <w:noWrap/>
            <w:hideMark/>
          </w:tcPr>
          <w:p w14:paraId="787D5319"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788</w:t>
            </w:r>
          </w:p>
        </w:tc>
        <w:tc>
          <w:tcPr>
            <w:tcW w:w="1790" w:type="dxa"/>
            <w:noWrap/>
            <w:hideMark/>
          </w:tcPr>
          <w:p w14:paraId="7AE9E4DC"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828</w:t>
            </w:r>
          </w:p>
        </w:tc>
        <w:tc>
          <w:tcPr>
            <w:tcW w:w="1791" w:type="dxa"/>
            <w:noWrap/>
            <w:hideMark/>
          </w:tcPr>
          <w:p w14:paraId="79FDB2A5" w14:textId="77777777" w:rsidR="008C2BF6" w:rsidRPr="00B1694D"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B1694D">
              <w:rPr>
                <w:rFonts w:asciiTheme="majorHAnsi" w:hAnsiTheme="majorHAnsi"/>
              </w:rPr>
              <w:t>2,460</w:t>
            </w:r>
          </w:p>
        </w:tc>
      </w:tr>
      <w:tr w:rsidR="008C2BF6" w:rsidRPr="003B3243" w14:paraId="3031F116"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742BAF1E" w14:textId="1DDCB929" w:rsidR="008C2BF6" w:rsidRPr="009229B3" w:rsidRDefault="008C2BF6" w:rsidP="008C2BF6">
            <w:pPr>
              <w:pStyle w:val="TableText"/>
              <w:rPr>
                <w:highlight w:val="yellow"/>
              </w:rPr>
            </w:pPr>
            <w:r w:rsidRPr="009229B3">
              <w:t>Value (at $6,670</w:t>
            </w:r>
            <w:r>
              <w:t>*</w:t>
            </w:r>
            <w:r w:rsidRPr="009229B3">
              <w:t xml:space="preserve"> per event)</w:t>
            </w:r>
          </w:p>
        </w:tc>
        <w:tc>
          <w:tcPr>
            <w:tcW w:w="1510" w:type="dxa"/>
            <w:noWrap/>
            <w:hideMark/>
          </w:tcPr>
          <w:p w14:paraId="4AE9FD0C"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$968,844</w:t>
            </w:r>
          </w:p>
        </w:tc>
        <w:tc>
          <w:tcPr>
            <w:tcW w:w="1791" w:type="dxa"/>
            <w:noWrap/>
            <w:hideMark/>
          </w:tcPr>
          <w:p w14:paraId="0D9D859C"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$2,176,861</w:t>
            </w:r>
          </w:p>
        </w:tc>
        <w:tc>
          <w:tcPr>
            <w:tcW w:w="1790" w:type="dxa"/>
            <w:noWrap/>
            <w:hideMark/>
          </w:tcPr>
          <w:p w14:paraId="6F1B79C0"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$2,484,562</w:t>
            </w:r>
          </w:p>
        </w:tc>
        <w:tc>
          <w:tcPr>
            <w:tcW w:w="1791" w:type="dxa"/>
            <w:noWrap/>
            <w:hideMark/>
          </w:tcPr>
          <w:p w14:paraId="0C1AB0EA"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$5,256,947</w:t>
            </w:r>
          </w:p>
        </w:tc>
        <w:tc>
          <w:tcPr>
            <w:tcW w:w="1790" w:type="dxa"/>
            <w:noWrap/>
            <w:hideMark/>
          </w:tcPr>
          <w:p w14:paraId="7701C5B7"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$5,522,013</w:t>
            </w:r>
          </w:p>
        </w:tc>
        <w:tc>
          <w:tcPr>
            <w:tcW w:w="1791" w:type="dxa"/>
            <w:noWrap/>
            <w:hideMark/>
          </w:tcPr>
          <w:p w14:paraId="1A0AECFA" w14:textId="77777777" w:rsidR="008C2BF6" w:rsidRPr="00B1694D"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$16,409,227</w:t>
            </w:r>
          </w:p>
        </w:tc>
      </w:tr>
      <w:tr w:rsidR="008C2BF6" w:rsidRPr="00CC7B06" w14:paraId="53B64D4F"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tcPr>
          <w:p w14:paraId="06FAB0A9" w14:textId="2D88A4CD" w:rsidR="008C2BF6" w:rsidRPr="009229B3" w:rsidRDefault="008C2BF6" w:rsidP="008C2BF6">
            <w:pPr>
              <w:pStyle w:val="TableText"/>
            </w:pPr>
            <w:r w:rsidRPr="009229B3">
              <w:lastRenderedPageBreak/>
              <w:t xml:space="preserve">With a </w:t>
            </w:r>
            <w:r>
              <w:t>9</w:t>
            </w:r>
            <w:r w:rsidRPr="009229B3">
              <w:t>% attribution</w:t>
            </w:r>
          </w:p>
        </w:tc>
        <w:tc>
          <w:tcPr>
            <w:tcW w:w="1510" w:type="dxa"/>
            <w:noWrap/>
            <w:vAlign w:val="bottom"/>
          </w:tcPr>
          <w:p w14:paraId="5A580ACD" w14:textId="2AC43E19"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$87,196</w:t>
            </w:r>
          </w:p>
        </w:tc>
        <w:tc>
          <w:tcPr>
            <w:tcW w:w="1791" w:type="dxa"/>
            <w:noWrap/>
            <w:vAlign w:val="bottom"/>
          </w:tcPr>
          <w:p w14:paraId="7EA33848" w14:textId="1B88B91A"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$195,918</w:t>
            </w:r>
          </w:p>
        </w:tc>
        <w:tc>
          <w:tcPr>
            <w:tcW w:w="1790" w:type="dxa"/>
            <w:noWrap/>
            <w:vAlign w:val="bottom"/>
          </w:tcPr>
          <w:p w14:paraId="56B30BE1" w14:textId="005EBE40"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$223,611</w:t>
            </w:r>
          </w:p>
        </w:tc>
        <w:tc>
          <w:tcPr>
            <w:tcW w:w="1791" w:type="dxa"/>
            <w:noWrap/>
            <w:vAlign w:val="bottom"/>
          </w:tcPr>
          <w:p w14:paraId="2DDB9BF8" w14:textId="3FB8C350"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$473,125</w:t>
            </w:r>
          </w:p>
        </w:tc>
        <w:tc>
          <w:tcPr>
            <w:tcW w:w="1790" w:type="dxa"/>
            <w:noWrap/>
            <w:vAlign w:val="bottom"/>
          </w:tcPr>
          <w:p w14:paraId="5CFB3BC7" w14:textId="107A0329"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$496,981</w:t>
            </w:r>
          </w:p>
        </w:tc>
        <w:tc>
          <w:tcPr>
            <w:tcW w:w="1791" w:type="dxa"/>
            <w:noWrap/>
            <w:vAlign w:val="bottom"/>
          </w:tcPr>
          <w:p w14:paraId="2D313476" w14:textId="00C441A2" w:rsidR="008C2BF6" w:rsidRPr="00CC7B06"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C7B06">
              <w:rPr>
                <w:rFonts w:asciiTheme="majorHAnsi" w:hAnsiTheme="majorHAnsi"/>
              </w:rPr>
              <w:t>$1,476,830</w:t>
            </w:r>
          </w:p>
        </w:tc>
      </w:tr>
      <w:tr w:rsidR="00000906" w:rsidRPr="009A2823" w14:paraId="004DCC59"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shd w:val="clear" w:color="auto" w:fill="9AD9C8" w:themeFill="background2" w:themeFillTint="99"/>
            <w:noWrap/>
          </w:tcPr>
          <w:p w14:paraId="2FAE0ADA" w14:textId="77777777" w:rsidR="00000906" w:rsidRPr="009A2823" w:rsidRDefault="00000906" w:rsidP="00000906">
            <w:pPr>
              <w:pStyle w:val="TableText"/>
              <w:rPr>
                <w:color w:val="auto"/>
              </w:rPr>
            </w:pPr>
            <w:r w:rsidRPr="009A2823">
              <w:rPr>
                <w:rFonts w:ascii="Neue Haas Grotesk Text Pro" w:hAnsi="Neue Haas Grotesk Text Pro"/>
                <w:b/>
                <w:bCs/>
                <w:color w:val="auto"/>
                <w:lang w:eastAsia="en-AU"/>
              </w:rPr>
              <w:t>Potential cost avoidance – ED presentations</w:t>
            </w:r>
          </w:p>
        </w:tc>
        <w:tc>
          <w:tcPr>
            <w:tcW w:w="1510" w:type="dxa"/>
            <w:shd w:val="clear" w:color="auto" w:fill="9AD9C8" w:themeFill="background2" w:themeFillTint="99"/>
          </w:tcPr>
          <w:p w14:paraId="13C0C39E" w14:textId="18C7597C"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1" w:type="dxa"/>
            <w:shd w:val="clear" w:color="auto" w:fill="9AD9C8" w:themeFill="background2" w:themeFillTint="99"/>
            <w:noWrap/>
          </w:tcPr>
          <w:p w14:paraId="651D37CC" w14:textId="32C0BA39"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0" w:type="dxa"/>
            <w:shd w:val="clear" w:color="auto" w:fill="9AD9C8" w:themeFill="background2" w:themeFillTint="99"/>
            <w:noWrap/>
          </w:tcPr>
          <w:p w14:paraId="2CF27E2D" w14:textId="26B4DDD2"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1" w:type="dxa"/>
            <w:shd w:val="clear" w:color="auto" w:fill="9AD9C8" w:themeFill="background2" w:themeFillTint="99"/>
            <w:noWrap/>
          </w:tcPr>
          <w:p w14:paraId="6DDF61DB" w14:textId="03AE9536"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0" w:type="dxa"/>
            <w:shd w:val="clear" w:color="auto" w:fill="9AD9C8" w:themeFill="background2" w:themeFillTint="99"/>
            <w:noWrap/>
          </w:tcPr>
          <w:p w14:paraId="2DBA02C6" w14:textId="5B9EFCE0"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1" w:type="dxa"/>
            <w:shd w:val="clear" w:color="auto" w:fill="9AD9C8" w:themeFill="background2" w:themeFillTint="99"/>
            <w:noWrap/>
          </w:tcPr>
          <w:p w14:paraId="54093547" w14:textId="7D58096B"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color w:val="auto"/>
              </w:rPr>
            </w:pPr>
            <w:r>
              <w:rPr>
                <w:b/>
                <w:bCs/>
                <w:color w:val="auto"/>
                <w:lang w:eastAsia="en-AU"/>
              </w:rPr>
              <w:t>N</w:t>
            </w:r>
          </w:p>
        </w:tc>
      </w:tr>
      <w:tr w:rsidR="00000906" w:rsidRPr="003B3243" w14:paraId="5334CB6C"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43A526DB" w14:textId="4CCE7062" w:rsidR="00000906" w:rsidRPr="009229B3" w:rsidRDefault="00000906" w:rsidP="00000906">
            <w:pPr>
              <w:pStyle w:val="TableText"/>
            </w:pPr>
            <w:r w:rsidRPr="009229B3">
              <w:t xml:space="preserve">Potential ED presentations </w:t>
            </w:r>
            <w:r>
              <w:t>avoidance</w:t>
            </w:r>
            <w:r w:rsidRPr="009229B3">
              <w:t xml:space="preserve"> (n)</w:t>
            </w:r>
          </w:p>
        </w:tc>
        <w:tc>
          <w:tcPr>
            <w:tcW w:w="1510" w:type="dxa"/>
            <w:noWrap/>
            <w:hideMark/>
          </w:tcPr>
          <w:p w14:paraId="31D08610"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155</w:t>
            </w:r>
          </w:p>
        </w:tc>
        <w:tc>
          <w:tcPr>
            <w:tcW w:w="1791" w:type="dxa"/>
            <w:noWrap/>
            <w:hideMark/>
          </w:tcPr>
          <w:p w14:paraId="27B3E842"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344</w:t>
            </w:r>
          </w:p>
        </w:tc>
        <w:tc>
          <w:tcPr>
            <w:tcW w:w="1790" w:type="dxa"/>
            <w:noWrap/>
            <w:hideMark/>
          </w:tcPr>
          <w:p w14:paraId="3BE1FAA7"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415</w:t>
            </w:r>
          </w:p>
        </w:tc>
        <w:tc>
          <w:tcPr>
            <w:tcW w:w="1791" w:type="dxa"/>
            <w:noWrap/>
            <w:hideMark/>
          </w:tcPr>
          <w:p w14:paraId="6759A7DD"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873</w:t>
            </w:r>
          </w:p>
        </w:tc>
        <w:tc>
          <w:tcPr>
            <w:tcW w:w="1790" w:type="dxa"/>
            <w:noWrap/>
            <w:hideMark/>
          </w:tcPr>
          <w:p w14:paraId="7589C942"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919</w:t>
            </w:r>
          </w:p>
        </w:tc>
        <w:tc>
          <w:tcPr>
            <w:tcW w:w="1791" w:type="dxa"/>
            <w:noWrap/>
            <w:hideMark/>
          </w:tcPr>
          <w:p w14:paraId="41FAF278" w14:textId="77777777" w:rsidR="00000906" w:rsidRPr="00B1694D"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B1694D">
              <w:rPr>
                <w:rFonts w:asciiTheme="majorHAnsi" w:hAnsiTheme="majorHAnsi"/>
              </w:rPr>
              <w:t>2,706</w:t>
            </w:r>
          </w:p>
        </w:tc>
      </w:tr>
      <w:tr w:rsidR="00000906" w:rsidRPr="003B3243" w14:paraId="58F044D1"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2B6CC24E" w14:textId="77777777" w:rsidR="00000906" w:rsidRPr="009229B3" w:rsidRDefault="00000906" w:rsidP="00000906">
            <w:pPr>
              <w:pStyle w:val="TableText"/>
            </w:pPr>
            <w:r w:rsidRPr="009229B3">
              <w:t>Value (based on $980 per visit)</w:t>
            </w:r>
          </w:p>
        </w:tc>
        <w:tc>
          <w:tcPr>
            <w:tcW w:w="1510" w:type="dxa"/>
            <w:noWrap/>
            <w:hideMark/>
          </w:tcPr>
          <w:p w14:paraId="0666FC89"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$151,918</w:t>
            </w:r>
          </w:p>
        </w:tc>
        <w:tc>
          <w:tcPr>
            <w:tcW w:w="1791" w:type="dxa"/>
            <w:noWrap/>
            <w:hideMark/>
          </w:tcPr>
          <w:p w14:paraId="37F2D136"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$336,652</w:t>
            </w:r>
          </w:p>
        </w:tc>
        <w:tc>
          <w:tcPr>
            <w:tcW w:w="1790" w:type="dxa"/>
            <w:noWrap/>
            <w:hideMark/>
          </w:tcPr>
          <w:p w14:paraId="7950DC5B"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$407,059</w:t>
            </w:r>
          </w:p>
        </w:tc>
        <w:tc>
          <w:tcPr>
            <w:tcW w:w="1791" w:type="dxa"/>
            <w:noWrap/>
            <w:hideMark/>
          </w:tcPr>
          <w:p w14:paraId="2E2283CC"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$855,458</w:t>
            </w:r>
          </w:p>
        </w:tc>
        <w:tc>
          <w:tcPr>
            <w:tcW w:w="1790" w:type="dxa"/>
            <w:noWrap/>
            <w:hideMark/>
          </w:tcPr>
          <w:p w14:paraId="7D2702F2"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$901,106</w:t>
            </w:r>
          </w:p>
        </w:tc>
        <w:tc>
          <w:tcPr>
            <w:tcW w:w="1791" w:type="dxa"/>
            <w:noWrap/>
            <w:hideMark/>
          </w:tcPr>
          <w:p w14:paraId="5CA8F5F3" w14:textId="77777777" w:rsidR="00000906" w:rsidRPr="00B1694D"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$2,652,192</w:t>
            </w:r>
          </w:p>
        </w:tc>
      </w:tr>
      <w:tr w:rsidR="00000906" w:rsidRPr="00CC7B06" w14:paraId="5F71F519"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tcPr>
          <w:p w14:paraId="148CE217" w14:textId="20E1555E" w:rsidR="00000906" w:rsidRPr="009229B3" w:rsidRDefault="00000906" w:rsidP="00000906">
            <w:pPr>
              <w:pStyle w:val="TableText"/>
            </w:pPr>
            <w:r w:rsidRPr="009229B3">
              <w:t xml:space="preserve">With a </w:t>
            </w:r>
            <w:r>
              <w:t>10.5</w:t>
            </w:r>
            <w:r w:rsidRPr="009229B3">
              <w:t>% attribution</w:t>
            </w:r>
          </w:p>
        </w:tc>
        <w:tc>
          <w:tcPr>
            <w:tcW w:w="1510" w:type="dxa"/>
            <w:noWrap/>
          </w:tcPr>
          <w:p w14:paraId="7BCA4FDD" w14:textId="3989305D"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$15,951</w:t>
            </w:r>
          </w:p>
        </w:tc>
        <w:tc>
          <w:tcPr>
            <w:tcW w:w="1791" w:type="dxa"/>
            <w:noWrap/>
          </w:tcPr>
          <w:p w14:paraId="1B66C461" w14:textId="30E8574D"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$35,348</w:t>
            </w:r>
          </w:p>
        </w:tc>
        <w:tc>
          <w:tcPr>
            <w:tcW w:w="1790" w:type="dxa"/>
            <w:noWrap/>
          </w:tcPr>
          <w:p w14:paraId="508870B7" w14:textId="6789D871"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$42,741</w:t>
            </w:r>
          </w:p>
        </w:tc>
        <w:tc>
          <w:tcPr>
            <w:tcW w:w="1791" w:type="dxa"/>
            <w:noWrap/>
          </w:tcPr>
          <w:p w14:paraId="1D58EE28" w14:textId="1BDE5469"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$89,823</w:t>
            </w:r>
          </w:p>
        </w:tc>
        <w:tc>
          <w:tcPr>
            <w:tcW w:w="1790" w:type="dxa"/>
            <w:noWrap/>
          </w:tcPr>
          <w:p w14:paraId="77B5278E" w14:textId="627ABEE9"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$94,616</w:t>
            </w:r>
          </w:p>
        </w:tc>
        <w:tc>
          <w:tcPr>
            <w:tcW w:w="1791" w:type="dxa"/>
            <w:noWrap/>
          </w:tcPr>
          <w:p w14:paraId="7BBB672C" w14:textId="46397D14" w:rsidR="00000906" w:rsidRPr="00CC7B06"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C7B06">
              <w:rPr>
                <w:rFonts w:asciiTheme="majorHAnsi" w:hAnsiTheme="majorHAnsi"/>
              </w:rPr>
              <w:t>$278,480</w:t>
            </w:r>
          </w:p>
        </w:tc>
      </w:tr>
    </w:tbl>
    <w:p w14:paraId="31D4B280" w14:textId="77234A7E" w:rsidR="003A5E86" w:rsidRDefault="003A5E86" w:rsidP="003A5E86">
      <w:pPr>
        <w:pStyle w:val="Tablenotes"/>
      </w:pPr>
      <w:r w:rsidRPr="00B948B7">
        <w:t>^Harrison et al</w:t>
      </w:r>
      <w:r w:rsidR="003D1B4C">
        <w:t>.</w:t>
      </w:r>
      <w:r w:rsidRPr="00B948B7">
        <w:t xml:space="preserve"> 2024, Australian Health Review 48(2), 182–190</w:t>
      </w:r>
      <w:r w:rsidR="001302EC">
        <w:t xml:space="preserve"> </w:t>
      </w:r>
      <w:sdt>
        <w:sdtPr>
          <w:id w:val="-1038583577"/>
          <w:citation/>
        </w:sdtPr>
        <w:sdtContent>
          <w:r w:rsidR="001302EC">
            <w:fldChar w:fldCharType="begin"/>
          </w:r>
          <w:r w:rsidR="001302EC">
            <w:rPr>
              <w:lang w:val="en-US"/>
            </w:rPr>
            <w:instrText xml:space="preserve"> CITATION Har24 \l 1033 </w:instrText>
          </w:r>
          <w:r w:rsidR="001302EC">
            <w:fldChar w:fldCharType="separate"/>
          </w:r>
          <w:r w:rsidR="00513E81" w:rsidRPr="00513E81">
            <w:rPr>
              <w:noProof/>
              <w:lang w:val="en-US"/>
            </w:rPr>
            <w:t>[33]</w:t>
          </w:r>
          <w:r w:rsidR="001302EC">
            <w:fldChar w:fldCharType="end"/>
          </w:r>
        </w:sdtContent>
      </w:sdt>
      <w:r w:rsidRPr="00B948B7">
        <w:t>. *</w:t>
      </w:r>
      <w:r>
        <w:t xml:space="preserve">An average value of acute, non-acute, and subacute care </w:t>
      </w:r>
      <w:r w:rsidRPr="003444C6">
        <w:t>based on the National Hospital Cost Data Collection</w:t>
      </w:r>
      <w:r w:rsidR="002B1D4B">
        <w:t>.</w:t>
      </w:r>
    </w:p>
    <w:bookmarkEnd w:id="241"/>
    <w:p w14:paraId="6FC21763" w14:textId="77777777" w:rsidR="00C413D9" w:rsidRPr="00C413D9" w:rsidRDefault="00C413D9" w:rsidP="00C413D9"/>
    <w:p w14:paraId="2CB9F2AE" w14:textId="31198D06" w:rsidR="00C413D9" w:rsidRPr="00C413D9" w:rsidRDefault="00C413D9" w:rsidP="00C413D9">
      <w:pPr>
        <w:sectPr w:rsidR="00C413D9" w:rsidRPr="00C413D9" w:rsidSect="00EA3413">
          <w:type w:val="continuous"/>
          <w:pgSz w:w="16838" w:h="11906" w:orient="landscape" w:code="9"/>
          <w:pgMar w:top="851" w:right="851" w:bottom="851" w:left="851" w:header="709" w:footer="567" w:gutter="0"/>
          <w:cols w:space="709"/>
          <w:docGrid w:linePitch="360"/>
        </w:sectPr>
      </w:pPr>
    </w:p>
    <w:p w14:paraId="0ED06170" w14:textId="00D463C1" w:rsidR="00E96C93" w:rsidRDefault="00CC1E93" w:rsidP="007B6231">
      <w:pPr>
        <w:pStyle w:val="Heading-Appendix"/>
      </w:pPr>
      <w:bookmarkStart w:id="242" w:name="_Toc232685939"/>
      <w:r>
        <w:lastRenderedPageBreak/>
        <w:t>References</w:t>
      </w:r>
      <w:bookmarkEnd w:id="141"/>
      <w:bookmarkEnd w:id="242"/>
    </w:p>
    <w:sdt>
      <w:sdtPr>
        <w:id w:val="-1035723174"/>
        <w:docPartObj>
          <w:docPartGallery w:val="Bibliographies"/>
          <w:docPartUnique/>
        </w:docPartObj>
      </w:sdtPr>
      <w:sdtContent>
        <w:sdt>
          <w:sdtPr>
            <w:id w:val="-573587230"/>
            <w:bibliography/>
          </w:sdtPr>
          <w:sdtContent>
            <w:p w14:paraId="324096A9" w14:textId="77777777" w:rsidR="00FB6FB3" w:rsidRDefault="003B02A4" w:rsidP="00CD7440">
              <w:pPr>
                <w:spacing w:after="0"/>
                <w:rPr>
                  <w:noProof/>
                  <w:sz w:val="22"/>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4"/>
                <w:gridCol w:w="6739"/>
              </w:tblGrid>
              <w:tr w:rsidR="00FB6FB3" w14:paraId="3E28FBC0" w14:textId="77777777">
                <w:trPr>
                  <w:divId w:val="719552384"/>
                  <w:tblCellSpacing w:w="15" w:type="dxa"/>
                </w:trPr>
                <w:tc>
                  <w:tcPr>
                    <w:tcW w:w="50" w:type="pct"/>
                    <w:hideMark/>
                  </w:tcPr>
                  <w:p w14:paraId="727BDB1E" w14:textId="32383B1D" w:rsidR="00FB6FB3" w:rsidRDefault="00FB6FB3">
                    <w:pPr>
                      <w:pStyle w:val="Bibliography"/>
                      <w:rPr>
                        <w:noProof/>
                        <w:sz w:val="24"/>
                        <w:szCs w:val="24"/>
                      </w:rPr>
                    </w:pPr>
                    <w:r>
                      <w:rPr>
                        <w:noProof/>
                      </w:rPr>
                      <w:t xml:space="preserve">[1] </w:t>
                    </w:r>
                  </w:p>
                </w:tc>
                <w:tc>
                  <w:tcPr>
                    <w:tcW w:w="0" w:type="auto"/>
                    <w:hideMark/>
                  </w:tcPr>
                  <w:p w14:paraId="1491F321" w14:textId="77777777" w:rsidR="00FB6FB3" w:rsidRDefault="00FB6FB3" w:rsidP="00FB6FB3">
                    <w:pPr>
                      <w:pStyle w:val="Bibliography"/>
                      <w:spacing w:after="80"/>
                      <w:rPr>
                        <w:noProof/>
                      </w:rPr>
                    </w:pPr>
                    <w:r>
                      <w:rPr>
                        <w:noProof/>
                      </w:rPr>
                      <w:t>Australian Government Department of Health and Aged Care, “National Palliative Care Strategy 2018,” 2019.</w:t>
                    </w:r>
                  </w:p>
                </w:tc>
              </w:tr>
              <w:tr w:rsidR="00FB6FB3" w14:paraId="209BBB4A" w14:textId="77777777">
                <w:trPr>
                  <w:divId w:val="719552384"/>
                  <w:tblCellSpacing w:w="15" w:type="dxa"/>
                </w:trPr>
                <w:tc>
                  <w:tcPr>
                    <w:tcW w:w="50" w:type="pct"/>
                    <w:hideMark/>
                  </w:tcPr>
                  <w:p w14:paraId="454EC885" w14:textId="77777777" w:rsidR="00FB6FB3" w:rsidRDefault="00FB6FB3">
                    <w:pPr>
                      <w:pStyle w:val="Bibliography"/>
                      <w:rPr>
                        <w:noProof/>
                      </w:rPr>
                    </w:pPr>
                    <w:r>
                      <w:rPr>
                        <w:noProof/>
                      </w:rPr>
                      <w:t xml:space="preserve">[2] </w:t>
                    </w:r>
                  </w:p>
                </w:tc>
                <w:tc>
                  <w:tcPr>
                    <w:tcW w:w="0" w:type="auto"/>
                    <w:hideMark/>
                  </w:tcPr>
                  <w:p w14:paraId="7A6F7300" w14:textId="77777777" w:rsidR="00FB6FB3" w:rsidRDefault="00FB6FB3" w:rsidP="00FB6FB3">
                    <w:pPr>
                      <w:pStyle w:val="Bibliography"/>
                      <w:spacing w:after="80"/>
                      <w:rPr>
                        <w:noProof/>
                      </w:rPr>
                    </w:pPr>
                    <w:r>
                      <w:rPr>
                        <w:noProof/>
                      </w:rPr>
                      <w:t>NSW Ministry of Health, “NSW Health End of Life and Palliative Care Framework 2019-2024,” NSW Ministry of Health, 2019.</w:t>
                    </w:r>
                  </w:p>
                </w:tc>
              </w:tr>
              <w:tr w:rsidR="00FB6FB3" w14:paraId="404EEF60" w14:textId="77777777">
                <w:trPr>
                  <w:divId w:val="719552384"/>
                  <w:tblCellSpacing w:w="15" w:type="dxa"/>
                </w:trPr>
                <w:tc>
                  <w:tcPr>
                    <w:tcW w:w="50" w:type="pct"/>
                    <w:hideMark/>
                  </w:tcPr>
                  <w:p w14:paraId="116CDC21" w14:textId="77777777" w:rsidR="00FB6FB3" w:rsidRDefault="00FB6FB3">
                    <w:pPr>
                      <w:pStyle w:val="Bibliography"/>
                      <w:rPr>
                        <w:noProof/>
                      </w:rPr>
                    </w:pPr>
                    <w:r>
                      <w:rPr>
                        <w:noProof/>
                      </w:rPr>
                      <w:t xml:space="preserve">[3] </w:t>
                    </w:r>
                  </w:p>
                </w:tc>
                <w:tc>
                  <w:tcPr>
                    <w:tcW w:w="0" w:type="auto"/>
                    <w:hideMark/>
                  </w:tcPr>
                  <w:p w14:paraId="18459417" w14:textId="77777777" w:rsidR="00FB6FB3" w:rsidRDefault="00FB6FB3" w:rsidP="00FB6FB3">
                    <w:pPr>
                      <w:pStyle w:val="Bibliography"/>
                      <w:spacing w:after="80"/>
                      <w:rPr>
                        <w:noProof/>
                      </w:rPr>
                    </w:pPr>
                    <w:r>
                      <w:rPr>
                        <w:noProof/>
                      </w:rPr>
                      <w:t>State of Victoria Department of Health and Human Services, “Victoria’s end of life and palliative care framework,” State of Victoria, 2016.</w:t>
                    </w:r>
                  </w:p>
                </w:tc>
              </w:tr>
              <w:tr w:rsidR="00FB6FB3" w14:paraId="690463C3" w14:textId="77777777">
                <w:trPr>
                  <w:divId w:val="719552384"/>
                  <w:tblCellSpacing w:w="15" w:type="dxa"/>
                </w:trPr>
                <w:tc>
                  <w:tcPr>
                    <w:tcW w:w="50" w:type="pct"/>
                    <w:hideMark/>
                  </w:tcPr>
                  <w:p w14:paraId="2F42187B" w14:textId="77777777" w:rsidR="00FB6FB3" w:rsidRDefault="00FB6FB3">
                    <w:pPr>
                      <w:pStyle w:val="Bibliography"/>
                      <w:rPr>
                        <w:noProof/>
                      </w:rPr>
                    </w:pPr>
                    <w:r>
                      <w:rPr>
                        <w:noProof/>
                      </w:rPr>
                      <w:t xml:space="preserve">[4] </w:t>
                    </w:r>
                  </w:p>
                </w:tc>
                <w:tc>
                  <w:tcPr>
                    <w:tcW w:w="0" w:type="auto"/>
                    <w:hideMark/>
                  </w:tcPr>
                  <w:p w14:paraId="15B20206" w14:textId="77777777" w:rsidR="00FB6FB3" w:rsidRDefault="00FB6FB3" w:rsidP="00FB6FB3">
                    <w:pPr>
                      <w:pStyle w:val="Bibliography"/>
                      <w:spacing w:after="80"/>
                      <w:rPr>
                        <w:noProof/>
                      </w:rPr>
                    </w:pPr>
                    <w:r>
                      <w:rPr>
                        <w:noProof/>
                      </w:rPr>
                      <w:t>State of Queensland - Queensland Health, “Queensland Health Palliative and End-of-Life Care Strategy,” State of Queensland, 2022.</w:t>
                    </w:r>
                  </w:p>
                </w:tc>
              </w:tr>
              <w:tr w:rsidR="00FB6FB3" w14:paraId="5D2D797A" w14:textId="77777777">
                <w:trPr>
                  <w:divId w:val="719552384"/>
                  <w:tblCellSpacing w:w="15" w:type="dxa"/>
                </w:trPr>
                <w:tc>
                  <w:tcPr>
                    <w:tcW w:w="50" w:type="pct"/>
                    <w:hideMark/>
                  </w:tcPr>
                  <w:p w14:paraId="687429E5" w14:textId="77777777" w:rsidR="00FB6FB3" w:rsidRDefault="00FB6FB3">
                    <w:pPr>
                      <w:pStyle w:val="Bibliography"/>
                      <w:rPr>
                        <w:noProof/>
                      </w:rPr>
                    </w:pPr>
                    <w:r>
                      <w:rPr>
                        <w:noProof/>
                      </w:rPr>
                      <w:t xml:space="preserve">[5] </w:t>
                    </w:r>
                  </w:p>
                </w:tc>
                <w:tc>
                  <w:tcPr>
                    <w:tcW w:w="0" w:type="auto"/>
                    <w:hideMark/>
                  </w:tcPr>
                  <w:p w14:paraId="4B783246" w14:textId="77777777" w:rsidR="00FB6FB3" w:rsidRDefault="00FB6FB3" w:rsidP="00FB6FB3">
                    <w:pPr>
                      <w:pStyle w:val="Bibliography"/>
                      <w:spacing w:after="80"/>
                      <w:rPr>
                        <w:noProof/>
                      </w:rPr>
                    </w:pPr>
                    <w:r>
                      <w:rPr>
                        <w:noProof/>
                      </w:rPr>
                      <w:t>Government of South Australia - SA Health, “South Australia's Palliative Care Strategic Framework 2022-2027,” Government of South Australia, 2022.</w:t>
                    </w:r>
                  </w:p>
                </w:tc>
              </w:tr>
              <w:tr w:rsidR="00FB6FB3" w14:paraId="25ED14DD" w14:textId="77777777">
                <w:trPr>
                  <w:divId w:val="719552384"/>
                  <w:tblCellSpacing w:w="15" w:type="dxa"/>
                </w:trPr>
                <w:tc>
                  <w:tcPr>
                    <w:tcW w:w="50" w:type="pct"/>
                    <w:hideMark/>
                  </w:tcPr>
                  <w:p w14:paraId="349A1330" w14:textId="77777777" w:rsidR="00FB6FB3" w:rsidRDefault="00FB6FB3">
                    <w:pPr>
                      <w:pStyle w:val="Bibliography"/>
                      <w:rPr>
                        <w:noProof/>
                      </w:rPr>
                    </w:pPr>
                    <w:r>
                      <w:rPr>
                        <w:noProof/>
                      </w:rPr>
                      <w:t xml:space="preserve">[6] </w:t>
                    </w:r>
                  </w:p>
                </w:tc>
                <w:tc>
                  <w:tcPr>
                    <w:tcW w:w="0" w:type="auto"/>
                    <w:hideMark/>
                  </w:tcPr>
                  <w:p w14:paraId="15DEF86C" w14:textId="77777777" w:rsidR="00FB6FB3" w:rsidRDefault="00FB6FB3" w:rsidP="00FB6FB3">
                    <w:pPr>
                      <w:pStyle w:val="Bibliography"/>
                      <w:spacing w:after="80"/>
                      <w:rPr>
                        <w:noProof/>
                      </w:rPr>
                    </w:pPr>
                    <w:r>
                      <w:rPr>
                        <w:noProof/>
                      </w:rPr>
                      <w:t>Government of Western Australia - Department of Health, “Western Australia’s End-of-Life and Palliative Care Strategy 2018–2028,” Government of Western Australia, 2018.</w:t>
                    </w:r>
                  </w:p>
                </w:tc>
              </w:tr>
              <w:tr w:rsidR="00FB6FB3" w14:paraId="62B7A7EB" w14:textId="77777777">
                <w:trPr>
                  <w:divId w:val="719552384"/>
                  <w:tblCellSpacing w:w="15" w:type="dxa"/>
                </w:trPr>
                <w:tc>
                  <w:tcPr>
                    <w:tcW w:w="50" w:type="pct"/>
                    <w:hideMark/>
                  </w:tcPr>
                  <w:p w14:paraId="13461CA8" w14:textId="77777777" w:rsidR="00FB6FB3" w:rsidRDefault="00FB6FB3">
                    <w:pPr>
                      <w:pStyle w:val="Bibliography"/>
                      <w:rPr>
                        <w:noProof/>
                      </w:rPr>
                    </w:pPr>
                    <w:r>
                      <w:rPr>
                        <w:noProof/>
                      </w:rPr>
                      <w:t xml:space="preserve">[7] </w:t>
                    </w:r>
                  </w:p>
                </w:tc>
                <w:tc>
                  <w:tcPr>
                    <w:tcW w:w="0" w:type="auto"/>
                    <w:hideMark/>
                  </w:tcPr>
                  <w:p w14:paraId="03C61F9E" w14:textId="77777777" w:rsidR="00FB6FB3" w:rsidRDefault="00FB6FB3" w:rsidP="00FB6FB3">
                    <w:pPr>
                      <w:pStyle w:val="Bibliography"/>
                      <w:spacing w:after="80"/>
                      <w:rPr>
                        <w:noProof/>
                      </w:rPr>
                    </w:pPr>
                    <w:r>
                      <w:rPr>
                        <w:noProof/>
                      </w:rPr>
                      <w:t>State of Tasmania - Department of Health, “Tasmanian Palliative and End of Life Care Policy Framework 2022–27,” State of Tasmania, 2022.</w:t>
                    </w:r>
                  </w:p>
                </w:tc>
              </w:tr>
              <w:tr w:rsidR="00FB6FB3" w14:paraId="7F8359EC" w14:textId="77777777">
                <w:trPr>
                  <w:divId w:val="719552384"/>
                  <w:tblCellSpacing w:w="15" w:type="dxa"/>
                </w:trPr>
                <w:tc>
                  <w:tcPr>
                    <w:tcW w:w="50" w:type="pct"/>
                    <w:hideMark/>
                  </w:tcPr>
                  <w:p w14:paraId="3AB1D310" w14:textId="77777777" w:rsidR="00FB6FB3" w:rsidRDefault="00FB6FB3">
                    <w:pPr>
                      <w:pStyle w:val="Bibliography"/>
                      <w:rPr>
                        <w:noProof/>
                      </w:rPr>
                    </w:pPr>
                    <w:r>
                      <w:rPr>
                        <w:noProof/>
                      </w:rPr>
                      <w:t xml:space="preserve">[8] </w:t>
                    </w:r>
                  </w:p>
                </w:tc>
                <w:tc>
                  <w:tcPr>
                    <w:tcW w:w="0" w:type="auto"/>
                    <w:hideMark/>
                  </w:tcPr>
                  <w:p w14:paraId="52FAEDD8" w14:textId="77777777" w:rsidR="00FB6FB3" w:rsidRDefault="00FB6FB3" w:rsidP="00FB6FB3">
                    <w:pPr>
                      <w:pStyle w:val="Bibliography"/>
                      <w:spacing w:after="80"/>
                      <w:rPr>
                        <w:noProof/>
                      </w:rPr>
                    </w:pPr>
                    <w:r>
                      <w:rPr>
                        <w:noProof/>
                      </w:rPr>
                      <w:t>ACT Government, “ACT Health Services Plan 2022-2030,” 2022.</w:t>
                    </w:r>
                  </w:p>
                </w:tc>
              </w:tr>
              <w:tr w:rsidR="00FB6FB3" w14:paraId="1EAB7169" w14:textId="77777777">
                <w:trPr>
                  <w:divId w:val="719552384"/>
                  <w:tblCellSpacing w:w="15" w:type="dxa"/>
                </w:trPr>
                <w:tc>
                  <w:tcPr>
                    <w:tcW w:w="50" w:type="pct"/>
                    <w:hideMark/>
                  </w:tcPr>
                  <w:p w14:paraId="6D1DA67F" w14:textId="77777777" w:rsidR="00FB6FB3" w:rsidRDefault="00FB6FB3">
                    <w:pPr>
                      <w:pStyle w:val="Bibliography"/>
                      <w:rPr>
                        <w:noProof/>
                      </w:rPr>
                    </w:pPr>
                    <w:r>
                      <w:rPr>
                        <w:noProof/>
                      </w:rPr>
                      <w:t xml:space="preserve">[9] </w:t>
                    </w:r>
                  </w:p>
                </w:tc>
                <w:tc>
                  <w:tcPr>
                    <w:tcW w:w="0" w:type="auto"/>
                    <w:hideMark/>
                  </w:tcPr>
                  <w:p w14:paraId="25894868" w14:textId="77777777" w:rsidR="00FB6FB3" w:rsidRDefault="00FB6FB3" w:rsidP="00FB6FB3">
                    <w:pPr>
                      <w:pStyle w:val="Bibliography"/>
                      <w:spacing w:after="80"/>
                      <w:rPr>
                        <w:noProof/>
                      </w:rPr>
                    </w:pPr>
                    <w:r>
                      <w:rPr>
                        <w:noProof/>
                      </w:rPr>
                      <w:t>Palliative Care Australia, “National Palliative Care Standards for All Health Professionals and Aged Care Services,” Palliative Care Australia, 2022.</w:t>
                    </w:r>
                  </w:p>
                </w:tc>
              </w:tr>
              <w:tr w:rsidR="00FB6FB3" w14:paraId="5800A24B" w14:textId="77777777">
                <w:trPr>
                  <w:divId w:val="719552384"/>
                  <w:tblCellSpacing w:w="15" w:type="dxa"/>
                </w:trPr>
                <w:tc>
                  <w:tcPr>
                    <w:tcW w:w="50" w:type="pct"/>
                    <w:hideMark/>
                  </w:tcPr>
                  <w:p w14:paraId="322A8264" w14:textId="77777777" w:rsidR="00FB6FB3" w:rsidRDefault="00FB6FB3">
                    <w:pPr>
                      <w:pStyle w:val="Bibliography"/>
                      <w:rPr>
                        <w:noProof/>
                      </w:rPr>
                    </w:pPr>
                    <w:r>
                      <w:rPr>
                        <w:noProof/>
                      </w:rPr>
                      <w:t xml:space="preserve">[10] </w:t>
                    </w:r>
                  </w:p>
                </w:tc>
                <w:tc>
                  <w:tcPr>
                    <w:tcW w:w="0" w:type="auto"/>
                    <w:hideMark/>
                  </w:tcPr>
                  <w:p w14:paraId="23D9077A" w14:textId="77777777" w:rsidR="00FB6FB3" w:rsidRDefault="00FB6FB3" w:rsidP="00FB6FB3">
                    <w:pPr>
                      <w:pStyle w:val="Bibliography"/>
                      <w:spacing w:after="80"/>
                      <w:rPr>
                        <w:noProof/>
                      </w:rPr>
                    </w:pPr>
                    <w:r>
                      <w:rPr>
                        <w:noProof/>
                      </w:rPr>
                      <w:t>Australian Commission on Safety and Quality in Health Care, “National Consensus Statement: Essential elements for safe, high-quality end-of-life care,” Australian Commission on Safety and Quality in Health Care, 2023.</w:t>
                    </w:r>
                  </w:p>
                </w:tc>
              </w:tr>
              <w:tr w:rsidR="00FB6FB3" w14:paraId="5C0A3800" w14:textId="77777777">
                <w:trPr>
                  <w:divId w:val="719552384"/>
                  <w:tblCellSpacing w:w="15" w:type="dxa"/>
                </w:trPr>
                <w:tc>
                  <w:tcPr>
                    <w:tcW w:w="50" w:type="pct"/>
                    <w:hideMark/>
                  </w:tcPr>
                  <w:p w14:paraId="2B5F0252" w14:textId="77777777" w:rsidR="00FB6FB3" w:rsidRDefault="00FB6FB3">
                    <w:pPr>
                      <w:pStyle w:val="Bibliography"/>
                      <w:rPr>
                        <w:noProof/>
                      </w:rPr>
                    </w:pPr>
                    <w:r>
                      <w:rPr>
                        <w:noProof/>
                      </w:rPr>
                      <w:t xml:space="preserve">[11] </w:t>
                    </w:r>
                  </w:p>
                </w:tc>
                <w:tc>
                  <w:tcPr>
                    <w:tcW w:w="0" w:type="auto"/>
                    <w:hideMark/>
                  </w:tcPr>
                  <w:p w14:paraId="76E8CCEB" w14:textId="77777777" w:rsidR="00FB6FB3" w:rsidRDefault="00FB6FB3" w:rsidP="00FB6FB3">
                    <w:pPr>
                      <w:pStyle w:val="Bibliography"/>
                      <w:spacing w:after="80"/>
                      <w:rPr>
                        <w:noProof/>
                      </w:rPr>
                    </w:pPr>
                    <w:r>
                      <w:rPr>
                        <w:noProof/>
                      </w:rPr>
                      <w:t>Australian Government Department of Health and Aged Care, “National framework for advance care planning documents,” Commonwealth of Australia, 2021.</w:t>
                    </w:r>
                  </w:p>
                </w:tc>
              </w:tr>
              <w:tr w:rsidR="00FB6FB3" w14:paraId="2A67D4BF" w14:textId="77777777">
                <w:trPr>
                  <w:divId w:val="719552384"/>
                  <w:tblCellSpacing w:w="15" w:type="dxa"/>
                </w:trPr>
                <w:tc>
                  <w:tcPr>
                    <w:tcW w:w="50" w:type="pct"/>
                    <w:hideMark/>
                  </w:tcPr>
                  <w:p w14:paraId="0F132FBF" w14:textId="77777777" w:rsidR="00FB6FB3" w:rsidRDefault="00FB6FB3">
                    <w:pPr>
                      <w:pStyle w:val="Bibliography"/>
                      <w:rPr>
                        <w:noProof/>
                      </w:rPr>
                    </w:pPr>
                    <w:r>
                      <w:rPr>
                        <w:noProof/>
                      </w:rPr>
                      <w:t xml:space="preserve">[12] </w:t>
                    </w:r>
                  </w:p>
                </w:tc>
                <w:tc>
                  <w:tcPr>
                    <w:tcW w:w="0" w:type="auto"/>
                    <w:hideMark/>
                  </w:tcPr>
                  <w:p w14:paraId="6E1B5A65" w14:textId="77777777" w:rsidR="00FB6FB3" w:rsidRDefault="00FB6FB3" w:rsidP="00FB6FB3">
                    <w:pPr>
                      <w:pStyle w:val="Bibliography"/>
                      <w:spacing w:after="80"/>
                      <w:rPr>
                        <w:noProof/>
                      </w:rPr>
                    </w:pPr>
                    <w:r>
                      <w:rPr>
                        <w:noProof/>
                      </w:rPr>
                      <w:t>Australian Government Department of Health and Aged Care, “Comprehensive Palliative Care in Aged Care measure,” 2024. [Online]. Available: https://www.health.gov.au/our-work/comprehensive-palliative-care-in-aged-care-measure?language=en.</w:t>
                    </w:r>
                  </w:p>
                </w:tc>
              </w:tr>
              <w:tr w:rsidR="00FB6FB3" w14:paraId="64F4158E" w14:textId="77777777">
                <w:trPr>
                  <w:divId w:val="719552384"/>
                  <w:tblCellSpacing w:w="15" w:type="dxa"/>
                </w:trPr>
                <w:tc>
                  <w:tcPr>
                    <w:tcW w:w="50" w:type="pct"/>
                    <w:hideMark/>
                  </w:tcPr>
                  <w:p w14:paraId="6C596732" w14:textId="77777777" w:rsidR="00FB6FB3" w:rsidRDefault="00FB6FB3">
                    <w:pPr>
                      <w:pStyle w:val="Bibliography"/>
                      <w:rPr>
                        <w:noProof/>
                      </w:rPr>
                    </w:pPr>
                    <w:r>
                      <w:rPr>
                        <w:noProof/>
                      </w:rPr>
                      <w:t xml:space="preserve">[13] </w:t>
                    </w:r>
                  </w:p>
                </w:tc>
                <w:tc>
                  <w:tcPr>
                    <w:tcW w:w="0" w:type="auto"/>
                    <w:hideMark/>
                  </w:tcPr>
                  <w:p w14:paraId="3CD8D1C4" w14:textId="77777777" w:rsidR="00FB6FB3" w:rsidRDefault="00FB6FB3" w:rsidP="00FB6FB3">
                    <w:pPr>
                      <w:pStyle w:val="Bibliography"/>
                      <w:spacing w:after="80"/>
                      <w:rPr>
                        <w:noProof/>
                      </w:rPr>
                    </w:pPr>
                    <w:r>
                      <w:rPr>
                        <w:noProof/>
                      </w:rPr>
                      <w:t>Australian Government Department of Health and Aged Care, “Greater Choice for At Home Palliative Care Program,” 2025. [Online]. Available: https://www.health.gov.au/our-work/greater-choice-for-at-home-palliative-care-program.</w:t>
                    </w:r>
                  </w:p>
                </w:tc>
              </w:tr>
              <w:tr w:rsidR="00FB6FB3" w14:paraId="1626A536" w14:textId="77777777">
                <w:trPr>
                  <w:divId w:val="719552384"/>
                  <w:tblCellSpacing w:w="15" w:type="dxa"/>
                </w:trPr>
                <w:tc>
                  <w:tcPr>
                    <w:tcW w:w="50" w:type="pct"/>
                    <w:hideMark/>
                  </w:tcPr>
                  <w:p w14:paraId="02EBE220" w14:textId="77777777" w:rsidR="00FB6FB3" w:rsidRDefault="00FB6FB3">
                    <w:pPr>
                      <w:pStyle w:val="Bibliography"/>
                      <w:rPr>
                        <w:noProof/>
                      </w:rPr>
                    </w:pPr>
                    <w:r>
                      <w:rPr>
                        <w:noProof/>
                      </w:rPr>
                      <w:t xml:space="preserve">[14] </w:t>
                    </w:r>
                  </w:p>
                </w:tc>
                <w:tc>
                  <w:tcPr>
                    <w:tcW w:w="0" w:type="auto"/>
                    <w:hideMark/>
                  </w:tcPr>
                  <w:p w14:paraId="2E4E8A91" w14:textId="77777777" w:rsidR="00FB6FB3" w:rsidRDefault="00FB6FB3" w:rsidP="00FB6FB3">
                    <w:pPr>
                      <w:pStyle w:val="Bibliography"/>
                      <w:spacing w:after="80"/>
                      <w:rPr>
                        <w:noProof/>
                      </w:rPr>
                    </w:pPr>
                    <w:r>
                      <w:rPr>
                        <w:noProof/>
                      </w:rPr>
                      <w:t>End of Life Directions for Aged Care, “About us,” 2025. [Online]. Available: https://www.eldac.com.au/About-Us.</w:t>
                    </w:r>
                  </w:p>
                </w:tc>
              </w:tr>
              <w:tr w:rsidR="00FB6FB3" w14:paraId="66E689C5" w14:textId="77777777">
                <w:trPr>
                  <w:divId w:val="719552384"/>
                  <w:tblCellSpacing w:w="15" w:type="dxa"/>
                </w:trPr>
                <w:tc>
                  <w:tcPr>
                    <w:tcW w:w="50" w:type="pct"/>
                    <w:hideMark/>
                  </w:tcPr>
                  <w:p w14:paraId="639CCC80" w14:textId="77777777" w:rsidR="00FB6FB3" w:rsidRDefault="00FB6FB3">
                    <w:pPr>
                      <w:pStyle w:val="Bibliography"/>
                      <w:rPr>
                        <w:noProof/>
                      </w:rPr>
                    </w:pPr>
                    <w:r>
                      <w:rPr>
                        <w:noProof/>
                      </w:rPr>
                      <w:t xml:space="preserve">[15] </w:t>
                    </w:r>
                  </w:p>
                </w:tc>
                <w:tc>
                  <w:tcPr>
                    <w:tcW w:w="0" w:type="auto"/>
                    <w:hideMark/>
                  </w:tcPr>
                  <w:p w14:paraId="115E3A12" w14:textId="77777777" w:rsidR="00FB6FB3" w:rsidRDefault="00FB6FB3" w:rsidP="00FB6FB3">
                    <w:pPr>
                      <w:pStyle w:val="Bibliography"/>
                      <w:spacing w:after="80"/>
                      <w:rPr>
                        <w:noProof/>
                      </w:rPr>
                    </w:pPr>
                    <w:r>
                      <w:rPr>
                        <w:noProof/>
                      </w:rPr>
                      <w:t>Palliative Care Australia, “End of Life Directions for Aged Care (ELDAC),” 2025. [Online]. Available: https://palliativecare.org.au/project/end-of-life-directions-for-aged-care-eldac/.</w:t>
                    </w:r>
                  </w:p>
                </w:tc>
              </w:tr>
              <w:tr w:rsidR="00FB6FB3" w14:paraId="0F62F3BD" w14:textId="77777777">
                <w:trPr>
                  <w:divId w:val="719552384"/>
                  <w:tblCellSpacing w:w="15" w:type="dxa"/>
                </w:trPr>
                <w:tc>
                  <w:tcPr>
                    <w:tcW w:w="50" w:type="pct"/>
                    <w:hideMark/>
                  </w:tcPr>
                  <w:p w14:paraId="3540447A" w14:textId="77777777" w:rsidR="00FB6FB3" w:rsidRDefault="00FB6FB3">
                    <w:pPr>
                      <w:pStyle w:val="Bibliography"/>
                      <w:rPr>
                        <w:noProof/>
                      </w:rPr>
                    </w:pPr>
                    <w:r>
                      <w:rPr>
                        <w:noProof/>
                      </w:rPr>
                      <w:t xml:space="preserve">[16] </w:t>
                    </w:r>
                  </w:p>
                </w:tc>
                <w:tc>
                  <w:tcPr>
                    <w:tcW w:w="0" w:type="auto"/>
                    <w:hideMark/>
                  </w:tcPr>
                  <w:p w14:paraId="7D8FC419" w14:textId="77777777" w:rsidR="00FB6FB3" w:rsidRDefault="00FB6FB3" w:rsidP="00FB6FB3">
                    <w:pPr>
                      <w:pStyle w:val="Bibliography"/>
                      <w:spacing w:after="80"/>
                      <w:rPr>
                        <w:noProof/>
                      </w:rPr>
                    </w:pPr>
                    <w:r>
                      <w:rPr>
                        <w:noProof/>
                      </w:rPr>
                      <w:t>“New funding for palliative care projects,” 26 May 2026. [Online]. Available: https://www.markbutler.net.au/news/media-releases/new-funding-for-palliative-care-projects.</w:t>
                    </w:r>
                  </w:p>
                </w:tc>
              </w:tr>
              <w:tr w:rsidR="00FB6FB3" w14:paraId="64684F22" w14:textId="77777777">
                <w:trPr>
                  <w:divId w:val="719552384"/>
                  <w:tblCellSpacing w:w="15" w:type="dxa"/>
                </w:trPr>
                <w:tc>
                  <w:tcPr>
                    <w:tcW w:w="50" w:type="pct"/>
                    <w:hideMark/>
                  </w:tcPr>
                  <w:p w14:paraId="622D487D" w14:textId="77777777" w:rsidR="00FB6FB3" w:rsidRDefault="00FB6FB3">
                    <w:pPr>
                      <w:pStyle w:val="Bibliography"/>
                      <w:rPr>
                        <w:noProof/>
                      </w:rPr>
                    </w:pPr>
                    <w:r>
                      <w:rPr>
                        <w:noProof/>
                      </w:rPr>
                      <w:t xml:space="preserve">[17] </w:t>
                    </w:r>
                  </w:p>
                </w:tc>
                <w:tc>
                  <w:tcPr>
                    <w:tcW w:w="0" w:type="auto"/>
                    <w:hideMark/>
                  </w:tcPr>
                  <w:p w14:paraId="7E42D167" w14:textId="77777777" w:rsidR="00FB6FB3" w:rsidRDefault="00FB6FB3" w:rsidP="00FB6FB3">
                    <w:pPr>
                      <w:pStyle w:val="Bibliography"/>
                      <w:spacing w:after="80"/>
                      <w:rPr>
                        <w:noProof/>
                      </w:rPr>
                    </w:pPr>
                    <w:r>
                      <w:rPr>
                        <w:noProof/>
                      </w:rPr>
                      <w:t>G. Pagone and L. Briggs, “Royal Commission into aged care quality and safety final report: care, Dignity and Respect,” Commonwealth Government of Australia, Canberra, 2021.</w:t>
                    </w:r>
                  </w:p>
                </w:tc>
              </w:tr>
              <w:tr w:rsidR="00FB6FB3" w14:paraId="3C3E4819" w14:textId="77777777">
                <w:trPr>
                  <w:divId w:val="719552384"/>
                  <w:tblCellSpacing w:w="15" w:type="dxa"/>
                </w:trPr>
                <w:tc>
                  <w:tcPr>
                    <w:tcW w:w="50" w:type="pct"/>
                    <w:hideMark/>
                  </w:tcPr>
                  <w:p w14:paraId="10B0A8CA" w14:textId="77777777" w:rsidR="00FB6FB3" w:rsidRDefault="00FB6FB3">
                    <w:pPr>
                      <w:pStyle w:val="Bibliography"/>
                      <w:rPr>
                        <w:noProof/>
                      </w:rPr>
                    </w:pPr>
                    <w:r>
                      <w:rPr>
                        <w:noProof/>
                      </w:rPr>
                      <w:lastRenderedPageBreak/>
                      <w:t xml:space="preserve">[18] </w:t>
                    </w:r>
                  </w:p>
                </w:tc>
                <w:tc>
                  <w:tcPr>
                    <w:tcW w:w="0" w:type="auto"/>
                    <w:hideMark/>
                  </w:tcPr>
                  <w:p w14:paraId="64481443" w14:textId="77777777" w:rsidR="00FB6FB3" w:rsidRDefault="00FB6FB3" w:rsidP="00FB6FB3">
                    <w:pPr>
                      <w:pStyle w:val="Bibliography"/>
                      <w:spacing w:after="80"/>
                      <w:rPr>
                        <w:noProof/>
                      </w:rPr>
                    </w:pPr>
                    <w:r>
                      <w:rPr>
                        <w:noProof/>
                      </w:rPr>
                      <w:t>Queensland University of Technology, “PEPA Aged Care 2021-2024 Activity Work Plan,” QUT, 2021.</w:t>
                    </w:r>
                  </w:p>
                </w:tc>
              </w:tr>
              <w:tr w:rsidR="00FB6FB3" w14:paraId="55AF6AE0" w14:textId="77777777">
                <w:trPr>
                  <w:divId w:val="719552384"/>
                  <w:tblCellSpacing w:w="15" w:type="dxa"/>
                </w:trPr>
                <w:tc>
                  <w:tcPr>
                    <w:tcW w:w="50" w:type="pct"/>
                    <w:hideMark/>
                  </w:tcPr>
                  <w:p w14:paraId="3C60C74A" w14:textId="77777777" w:rsidR="00FB6FB3" w:rsidRDefault="00FB6FB3">
                    <w:pPr>
                      <w:pStyle w:val="Bibliography"/>
                      <w:rPr>
                        <w:noProof/>
                      </w:rPr>
                    </w:pPr>
                    <w:r>
                      <w:rPr>
                        <w:noProof/>
                      </w:rPr>
                      <w:t xml:space="preserve">[19] </w:t>
                    </w:r>
                  </w:p>
                </w:tc>
                <w:tc>
                  <w:tcPr>
                    <w:tcW w:w="0" w:type="auto"/>
                    <w:hideMark/>
                  </w:tcPr>
                  <w:p w14:paraId="67CA4469" w14:textId="77777777" w:rsidR="00FB6FB3" w:rsidRDefault="00FB6FB3" w:rsidP="00FB6FB3">
                    <w:pPr>
                      <w:pStyle w:val="Bibliography"/>
                      <w:spacing w:after="80"/>
                      <w:rPr>
                        <w:noProof/>
                      </w:rPr>
                    </w:pPr>
                    <w:r>
                      <w:rPr>
                        <w:noProof/>
                      </w:rPr>
                      <w:t>Queensland University of Technology, “PEPA Aged Care 2021-2025 Activity Work Plan,” QUT, 2024.</w:t>
                    </w:r>
                  </w:p>
                </w:tc>
              </w:tr>
              <w:tr w:rsidR="00FB6FB3" w14:paraId="66F81689" w14:textId="77777777">
                <w:trPr>
                  <w:divId w:val="719552384"/>
                  <w:tblCellSpacing w:w="15" w:type="dxa"/>
                </w:trPr>
                <w:tc>
                  <w:tcPr>
                    <w:tcW w:w="50" w:type="pct"/>
                    <w:hideMark/>
                  </w:tcPr>
                  <w:p w14:paraId="45A40172" w14:textId="77777777" w:rsidR="00FB6FB3" w:rsidRDefault="00FB6FB3">
                    <w:pPr>
                      <w:pStyle w:val="Bibliography"/>
                      <w:rPr>
                        <w:noProof/>
                      </w:rPr>
                    </w:pPr>
                    <w:r>
                      <w:rPr>
                        <w:noProof/>
                      </w:rPr>
                      <w:t xml:space="preserve">[20] </w:t>
                    </w:r>
                  </w:p>
                </w:tc>
                <w:tc>
                  <w:tcPr>
                    <w:tcW w:w="0" w:type="auto"/>
                    <w:hideMark/>
                  </w:tcPr>
                  <w:p w14:paraId="3FD845BC" w14:textId="77777777" w:rsidR="00FB6FB3" w:rsidRDefault="00FB6FB3" w:rsidP="00FB6FB3">
                    <w:pPr>
                      <w:pStyle w:val="Bibliography"/>
                      <w:spacing w:after="80"/>
                      <w:rPr>
                        <w:noProof/>
                      </w:rPr>
                    </w:pPr>
                    <w:r>
                      <w:rPr>
                        <w:noProof/>
                      </w:rPr>
                      <w:t>Queensland University of Technology, “PEPA Aged Care 2025-2026 Activity Work Plan,” QUT, 2025.</w:t>
                    </w:r>
                  </w:p>
                </w:tc>
              </w:tr>
              <w:tr w:rsidR="00FB6FB3" w14:paraId="468F85A9" w14:textId="77777777">
                <w:trPr>
                  <w:divId w:val="719552384"/>
                  <w:tblCellSpacing w:w="15" w:type="dxa"/>
                </w:trPr>
                <w:tc>
                  <w:tcPr>
                    <w:tcW w:w="50" w:type="pct"/>
                    <w:hideMark/>
                  </w:tcPr>
                  <w:p w14:paraId="56856C6C" w14:textId="77777777" w:rsidR="00FB6FB3" w:rsidRDefault="00FB6FB3">
                    <w:pPr>
                      <w:pStyle w:val="Bibliography"/>
                      <w:rPr>
                        <w:noProof/>
                      </w:rPr>
                    </w:pPr>
                    <w:r>
                      <w:rPr>
                        <w:noProof/>
                      </w:rPr>
                      <w:t xml:space="preserve">[21] </w:t>
                    </w:r>
                  </w:p>
                </w:tc>
                <w:tc>
                  <w:tcPr>
                    <w:tcW w:w="0" w:type="auto"/>
                    <w:hideMark/>
                  </w:tcPr>
                  <w:p w14:paraId="579D3F3A" w14:textId="77777777" w:rsidR="00FB6FB3" w:rsidRDefault="00FB6FB3" w:rsidP="00FB6FB3">
                    <w:pPr>
                      <w:pStyle w:val="Bibliography"/>
                      <w:spacing w:after="80"/>
                      <w:rPr>
                        <w:noProof/>
                      </w:rPr>
                    </w:pPr>
                    <w:r>
                      <w:rPr>
                        <w:noProof/>
                      </w:rPr>
                      <w:t>Palliative Care Outcomes Collaboration, “About PCOC,” 2025. [Online]. Available: https://www.uow.edu.au/australasian-health-outcomes-consortium/pcoc/about/.</w:t>
                    </w:r>
                  </w:p>
                </w:tc>
              </w:tr>
              <w:tr w:rsidR="00FB6FB3" w14:paraId="5D62B96D" w14:textId="77777777">
                <w:trPr>
                  <w:divId w:val="719552384"/>
                  <w:tblCellSpacing w:w="15" w:type="dxa"/>
                </w:trPr>
                <w:tc>
                  <w:tcPr>
                    <w:tcW w:w="50" w:type="pct"/>
                    <w:hideMark/>
                  </w:tcPr>
                  <w:p w14:paraId="0B078C53" w14:textId="77777777" w:rsidR="00FB6FB3" w:rsidRDefault="00FB6FB3">
                    <w:pPr>
                      <w:pStyle w:val="Bibliography"/>
                      <w:rPr>
                        <w:noProof/>
                      </w:rPr>
                    </w:pPr>
                    <w:r>
                      <w:rPr>
                        <w:noProof/>
                      </w:rPr>
                      <w:t xml:space="preserve">[22] </w:t>
                    </w:r>
                  </w:p>
                </w:tc>
                <w:tc>
                  <w:tcPr>
                    <w:tcW w:w="0" w:type="auto"/>
                    <w:hideMark/>
                  </w:tcPr>
                  <w:p w14:paraId="3B9EFD28" w14:textId="77777777" w:rsidR="00FB6FB3" w:rsidRDefault="00FB6FB3" w:rsidP="00FB6FB3">
                    <w:pPr>
                      <w:pStyle w:val="Bibliography"/>
                      <w:spacing w:after="80"/>
                      <w:rPr>
                        <w:noProof/>
                      </w:rPr>
                    </w:pPr>
                    <w:r>
                      <w:rPr>
                        <w:noProof/>
                      </w:rPr>
                      <w:t>University of Wollongong, “PACOP Activity Work Plan 2021-2024,” University of Wollongong, 2021.</w:t>
                    </w:r>
                  </w:p>
                </w:tc>
              </w:tr>
              <w:tr w:rsidR="00FB6FB3" w14:paraId="47E104F6" w14:textId="77777777">
                <w:trPr>
                  <w:divId w:val="719552384"/>
                  <w:tblCellSpacing w:w="15" w:type="dxa"/>
                </w:trPr>
                <w:tc>
                  <w:tcPr>
                    <w:tcW w:w="50" w:type="pct"/>
                    <w:hideMark/>
                  </w:tcPr>
                  <w:p w14:paraId="2F7078E5" w14:textId="77777777" w:rsidR="00FB6FB3" w:rsidRDefault="00FB6FB3">
                    <w:pPr>
                      <w:pStyle w:val="Bibliography"/>
                      <w:rPr>
                        <w:noProof/>
                      </w:rPr>
                    </w:pPr>
                    <w:r>
                      <w:rPr>
                        <w:noProof/>
                      </w:rPr>
                      <w:t xml:space="preserve">[23] </w:t>
                    </w:r>
                  </w:p>
                </w:tc>
                <w:tc>
                  <w:tcPr>
                    <w:tcW w:w="0" w:type="auto"/>
                    <w:hideMark/>
                  </w:tcPr>
                  <w:p w14:paraId="08DAAB0F" w14:textId="77777777" w:rsidR="00FB6FB3" w:rsidRDefault="00FB6FB3" w:rsidP="00FB6FB3">
                    <w:pPr>
                      <w:pStyle w:val="Bibliography"/>
                      <w:spacing w:after="80"/>
                      <w:rPr>
                        <w:noProof/>
                      </w:rPr>
                    </w:pPr>
                    <w:r>
                      <w:rPr>
                        <w:noProof/>
                      </w:rPr>
                      <w:t>University of Wollongong, “PACOP Activity Work Plan, 2024-25 to 2025-26,” 2025.</w:t>
                    </w:r>
                  </w:p>
                </w:tc>
              </w:tr>
              <w:tr w:rsidR="00FB6FB3" w14:paraId="3B588A27" w14:textId="77777777">
                <w:trPr>
                  <w:divId w:val="719552384"/>
                  <w:tblCellSpacing w:w="15" w:type="dxa"/>
                </w:trPr>
                <w:tc>
                  <w:tcPr>
                    <w:tcW w:w="50" w:type="pct"/>
                    <w:hideMark/>
                  </w:tcPr>
                  <w:p w14:paraId="1E883925" w14:textId="77777777" w:rsidR="00FB6FB3" w:rsidRDefault="00FB6FB3">
                    <w:pPr>
                      <w:pStyle w:val="Bibliography"/>
                      <w:rPr>
                        <w:noProof/>
                      </w:rPr>
                    </w:pPr>
                    <w:r>
                      <w:rPr>
                        <w:noProof/>
                      </w:rPr>
                      <w:t xml:space="preserve">[24] </w:t>
                    </w:r>
                  </w:p>
                </w:tc>
                <w:tc>
                  <w:tcPr>
                    <w:tcW w:w="0" w:type="auto"/>
                    <w:hideMark/>
                  </w:tcPr>
                  <w:p w14:paraId="6B0509DE" w14:textId="77777777" w:rsidR="00FB6FB3" w:rsidRDefault="00FB6FB3" w:rsidP="00FB6FB3">
                    <w:pPr>
                      <w:pStyle w:val="Bibliography"/>
                      <w:spacing w:after="80"/>
                      <w:rPr>
                        <w:noProof/>
                      </w:rPr>
                    </w:pPr>
                    <w:r>
                      <w:rPr>
                        <w:noProof/>
                      </w:rPr>
                      <w:t>University of Wollongong, “PACOP Final Report, 31 January 2025,” University of Wollongong, 2025.</w:t>
                    </w:r>
                  </w:p>
                </w:tc>
              </w:tr>
              <w:tr w:rsidR="00FB6FB3" w14:paraId="7CBFE78E" w14:textId="77777777">
                <w:trPr>
                  <w:divId w:val="719552384"/>
                  <w:tblCellSpacing w:w="15" w:type="dxa"/>
                </w:trPr>
                <w:tc>
                  <w:tcPr>
                    <w:tcW w:w="50" w:type="pct"/>
                    <w:hideMark/>
                  </w:tcPr>
                  <w:p w14:paraId="4EB8C16D" w14:textId="77777777" w:rsidR="00FB6FB3" w:rsidRDefault="00FB6FB3">
                    <w:pPr>
                      <w:pStyle w:val="Bibliography"/>
                      <w:rPr>
                        <w:noProof/>
                      </w:rPr>
                    </w:pPr>
                    <w:r>
                      <w:rPr>
                        <w:noProof/>
                      </w:rPr>
                      <w:t xml:space="preserve">[25] </w:t>
                    </w:r>
                  </w:p>
                </w:tc>
                <w:tc>
                  <w:tcPr>
                    <w:tcW w:w="0" w:type="auto"/>
                    <w:hideMark/>
                  </w:tcPr>
                  <w:p w14:paraId="20E14279" w14:textId="77777777" w:rsidR="00FB6FB3" w:rsidRDefault="00FB6FB3" w:rsidP="00FB6FB3">
                    <w:pPr>
                      <w:pStyle w:val="Bibliography"/>
                      <w:spacing w:after="80"/>
                      <w:rPr>
                        <w:noProof/>
                      </w:rPr>
                    </w:pPr>
                    <w:r>
                      <w:rPr>
                        <w:noProof/>
                      </w:rPr>
                      <w:t>University of Wollongong, “PACOP Performance Report, 31 July 2025,” 2025.</w:t>
                    </w:r>
                  </w:p>
                </w:tc>
              </w:tr>
              <w:tr w:rsidR="00FB6FB3" w14:paraId="7274E20E" w14:textId="77777777">
                <w:trPr>
                  <w:divId w:val="719552384"/>
                  <w:tblCellSpacing w:w="15" w:type="dxa"/>
                </w:trPr>
                <w:tc>
                  <w:tcPr>
                    <w:tcW w:w="50" w:type="pct"/>
                    <w:hideMark/>
                  </w:tcPr>
                  <w:p w14:paraId="69233D5A" w14:textId="77777777" w:rsidR="00FB6FB3" w:rsidRDefault="00FB6FB3">
                    <w:pPr>
                      <w:pStyle w:val="Bibliography"/>
                      <w:rPr>
                        <w:noProof/>
                      </w:rPr>
                    </w:pPr>
                    <w:r>
                      <w:rPr>
                        <w:noProof/>
                      </w:rPr>
                      <w:t xml:space="preserve">[26] </w:t>
                    </w:r>
                  </w:p>
                </w:tc>
                <w:tc>
                  <w:tcPr>
                    <w:tcW w:w="0" w:type="auto"/>
                    <w:hideMark/>
                  </w:tcPr>
                  <w:p w14:paraId="07F58ED3" w14:textId="77777777" w:rsidR="00FB6FB3" w:rsidRDefault="00FB6FB3" w:rsidP="00FB6FB3">
                    <w:pPr>
                      <w:pStyle w:val="Bibliography"/>
                      <w:spacing w:after="80"/>
                      <w:rPr>
                        <w:noProof/>
                      </w:rPr>
                    </w:pPr>
                    <w:r>
                      <w:rPr>
                        <w:noProof/>
                      </w:rPr>
                      <w:t>Queensland University of Technology, “PEPA Aged Care Final Report, 31 January 2025,” QUT, 2025.</w:t>
                    </w:r>
                  </w:p>
                </w:tc>
              </w:tr>
              <w:tr w:rsidR="00FB6FB3" w14:paraId="3BE00BB1" w14:textId="77777777">
                <w:trPr>
                  <w:divId w:val="719552384"/>
                  <w:tblCellSpacing w:w="15" w:type="dxa"/>
                </w:trPr>
                <w:tc>
                  <w:tcPr>
                    <w:tcW w:w="50" w:type="pct"/>
                    <w:hideMark/>
                  </w:tcPr>
                  <w:p w14:paraId="09113624" w14:textId="77777777" w:rsidR="00FB6FB3" w:rsidRDefault="00FB6FB3">
                    <w:pPr>
                      <w:pStyle w:val="Bibliography"/>
                      <w:rPr>
                        <w:noProof/>
                      </w:rPr>
                    </w:pPr>
                    <w:r>
                      <w:rPr>
                        <w:noProof/>
                      </w:rPr>
                      <w:t xml:space="preserve">[27] </w:t>
                    </w:r>
                  </w:p>
                </w:tc>
                <w:tc>
                  <w:tcPr>
                    <w:tcW w:w="0" w:type="auto"/>
                    <w:hideMark/>
                  </w:tcPr>
                  <w:p w14:paraId="7456AAB6" w14:textId="77777777" w:rsidR="00FB6FB3" w:rsidRDefault="00FB6FB3" w:rsidP="00FB6FB3">
                    <w:pPr>
                      <w:pStyle w:val="Bibliography"/>
                      <w:spacing w:after="80"/>
                      <w:rPr>
                        <w:noProof/>
                      </w:rPr>
                    </w:pPr>
                    <w:r>
                      <w:rPr>
                        <w:noProof/>
                      </w:rPr>
                      <w:t>Queensland University of Technology, “Performance Report, 31 July 2025,” QUT, 2025.</w:t>
                    </w:r>
                  </w:p>
                </w:tc>
              </w:tr>
              <w:tr w:rsidR="00FB6FB3" w14:paraId="500D8E53" w14:textId="77777777">
                <w:trPr>
                  <w:divId w:val="719552384"/>
                  <w:tblCellSpacing w:w="15" w:type="dxa"/>
                </w:trPr>
                <w:tc>
                  <w:tcPr>
                    <w:tcW w:w="50" w:type="pct"/>
                    <w:hideMark/>
                  </w:tcPr>
                  <w:p w14:paraId="1D2D5DA5" w14:textId="77777777" w:rsidR="00FB6FB3" w:rsidRDefault="00FB6FB3">
                    <w:pPr>
                      <w:pStyle w:val="Bibliography"/>
                      <w:rPr>
                        <w:noProof/>
                      </w:rPr>
                    </w:pPr>
                    <w:r>
                      <w:rPr>
                        <w:noProof/>
                      </w:rPr>
                      <w:t xml:space="preserve">[28] </w:t>
                    </w:r>
                  </w:p>
                </w:tc>
                <w:tc>
                  <w:tcPr>
                    <w:tcW w:w="0" w:type="auto"/>
                    <w:hideMark/>
                  </w:tcPr>
                  <w:p w14:paraId="706E3C55" w14:textId="77777777" w:rsidR="00FB6FB3" w:rsidRDefault="00FB6FB3" w:rsidP="00FB6FB3">
                    <w:pPr>
                      <w:pStyle w:val="Bibliography"/>
                      <w:spacing w:after="80"/>
                      <w:rPr>
                        <w:noProof/>
                      </w:rPr>
                    </w:pPr>
                    <w:r>
                      <w:rPr>
                        <w:noProof/>
                      </w:rPr>
                      <w:t>University of Wollongong, “PACOP Performance Report, 30 July 2022,” University of Wollongong, 2022.</w:t>
                    </w:r>
                  </w:p>
                </w:tc>
              </w:tr>
              <w:tr w:rsidR="00FB6FB3" w14:paraId="46FCA918" w14:textId="77777777">
                <w:trPr>
                  <w:divId w:val="719552384"/>
                  <w:tblCellSpacing w:w="15" w:type="dxa"/>
                </w:trPr>
                <w:tc>
                  <w:tcPr>
                    <w:tcW w:w="50" w:type="pct"/>
                    <w:hideMark/>
                  </w:tcPr>
                  <w:p w14:paraId="3319F353" w14:textId="77777777" w:rsidR="00FB6FB3" w:rsidRDefault="00FB6FB3">
                    <w:pPr>
                      <w:pStyle w:val="Bibliography"/>
                      <w:rPr>
                        <w:noProof/>
                      </w:rPr>
                    </w:pPr>
                    <w:r>
                      <w:rPr>
                        <w:noProof/>
                      </w:rPr>
                      <w:t xml:space="preserve">[29] </w:t>
                    </w:r>
                  </w:p>
                </w:tc>
                <w:tc>
                  <w:tcPr>
                    <w:tcW w:w="0" w:type="auto"/>
                    <w:hideMark/>
                  </w:tcPr>
                  <w:p w14:paraId="05988395" w14:textId="77777777" w:rsidR="00FB6FB3" w:rsidRDefault="00FB6FB3" w:rsidP="00FB6FB3">
                    <w:pPr>
                      <w:pStyle w:val="Bibliography"/>
                      <w:spacing w:after="80"/>
                      <w:rPr>
                        <w:noProof/>
                      </w:rPr>
                    </w:pPr>
                    <w:r>
                      <w:rPr>
                        <w:noProof/>
                      </w:rPr>
                      <w:t>University of Wollongong, “PACOP Performance Report, 31 January 2023,” University of Wollongong, 2023.</w:t>
                    </w:r>
                  </w:p>
                </w:tc>
              </w:tr>
              <w:tr w:rsidR="00FB6FB3" w14:paraId="60824903" w14:textId="77777777">
                <w:trPr>
                  <w:divId w:val="719552384"/>
                  <w:tblCellSpacing w:w="15" w:type="dxa"/>
                </w:trPr>
                <w:tc>
                  <w:tcPr>
                    <w:tcW w:w="50" w:type="pct"/>
                    <w:hideMark/>
                  </w:tcPr>
                  <w:p w14:paraId="65EFDFDF" w14:textId="77777777" w:rsidR="00FB6FB3" w:rsidRDefault="00FB6FB3">
                    <w:pPr>
                      <w:pStyle w:val="Bibliography"/>
                      <w:rPr>
                        <w:noProof/>
                      </w:rPr>
                    </w:pPr>
                    <w:r>
                      <w:rPr>
                        <w:noProof/>
                      </w:rPr>
                      <w:t xml:space="preserve">[30] </w:t>
                    </w:r>
                  </w:p>
                </w:tc>
                <w:tc>
                  <w:tcPr>
                    <w:tcW w:w="0" w:type="auto"/>
                    <w:hideMark/>
                  </w:tcPr>
                  <w:p w14:paraId="3E6C6C44" w14:textId="77777777" w:rsidR="00FB6FB3" w:rsidRDefault="00FB6FB3" w:rsidP="00FB6FB3">
                    <w:pPr>
                      <w:pStyle w:val="Bibliography"/>
                      <w:spacing w:after="80"/>
                      <w:rPr>
                        <w:noProof/>
                      </w:rPr>
                    </w:pPr>
                    <w:r>
                      <w:rPr>
                        <w:noProof/>
                      </w:rPr>
                      <w:t>University of Wollongong, “PACOP Performance Report, 31 July 2023,” University of Wollongong, 2023.</w:t>
                    </w:r>
                  </w:p>
                </w:tc>
              </w:tr>
              <w:tr w:rsidR="00FB6FB3" w14:paraId="153C8B03" w14:textId="77777777">
                <w:trPr>
                  <w:divId w:val="719552384"/>
                  <w:tblCellSpacing w:w="15" w:type="dxa"/>
                </w:trPr>
                <w:tc>
                  <w:tcPr>
                    <w:tcW w:w="50" w:type="pct"/>
                    <w:hideMark/>
                  </w:tcPr>
                  <w:p w14:paraId="0137EFE8" w14:textId="77777777" w:rsidR="00FB6FB3" w:rsidRDefault="00FB6FB3">
                    <w:pPr>
                      <w:pStyle w:val="Bibliography"/>
                      <w:rPr>
                        <w:noProof/>
                      </w:rPr>
                    </w:pPr>
                    <w:r>
                      <w:rPr>
                        <w:noProof/>
                      </w:rPr>
                      <w:t xml:space="preserve">[31] </w:t>
                    </w:r>
                  </w:p>
                </w:tc>
                <w:tc>
                  <w:tcPr>
                    <w:tcW w:w="0" w:type="auto"/>
                    <w:hideMark/>
                  </w:tcPr>
                  <w:p w14:paraId="59FB3567" w14:textId="77777777" w:rsidR="00FB6FB3" w:rsidRDefault="00FB6FB3" w:rsidP="00FB6FB3">
                    <w:pPr>
                      <w:pStyle w:val="Bibliography"/>
                      <w:spacing w:after="80"/>
                      <w:rPr>
                        <w:noProof/>
                      </w:rPr>
                    </w:pPr>
                    <w:r>
                      <w:rPr>
                        <w:noProof/>
                      </w:rPr>
                      <w:t>University of Wollongong, “PACOP Performance Report, 31 July 2024,” University of Wollongong, 2024.</w:t>
                    </w:r>
                  </w:p>
                </w:tc>
              </w:tr>
              <w:tr w:rsidR="00FB6FB3" w14:paraId="21D5EA31" w14:textId="77777777">
                <w:trPr>
                  <w:divId w:val="719552384"/>
                  <w:tblCellSpacing w:w="15" w:type="dxa"/>
                </w:trPr>
                <w:tc>
                  <w:tcPr>
                    <w:tcW w:w="50" w:type="pct"/>
                    <w:hideMark/>
                  </w:tcPr>
                  <w:p w14:paraId="4EADA1D2" w14:textId="77777777" w:rsidR="00FB6FB3" w:rsidRDefault="00FB6FB3">
                    <w:pPr>
                      <w:pStyle w:val="Bibliography"/>
                      <w:rPr>
                        <w:noProof/>
                      </w:rPr>
                    </w:pPr>
                    <w:r>
                      <w:rPr>
                        <w:noProof/>
                      </w:rPr>
                      <w:t xml:space="preserve">[32] </w:t>
                    </w:r>
                  </w:p>
                </w:tc>
                <w:tc>
                  <w:tcPr>
                    <w:tcW w:w="0" w:type="auto"/>
                    <w:hideMark/>
                  </w:tcPr>
                  <w:p w14:paraId="7625C3D0" w14:textId="77777777" w:rsidR="00FB6FB3" w:rsidRDefault="00FB6FB3" w:rsidP="00FB6FB3">
                    <w:pPr>
                      <w:pStyle w:val="Bibliography"/>
                      <w:spacing w:after="80"/>
                      <w:rPr>
                        <w:noProof/>
                      </w:rPr>
                    </w:pPr>
                    <w:r>
                      <w:rPr>
                        <w:noProof/>
                      </w:rPr>
                      <w:t>Queensland University of Technology, “PEPA Aged Care Performance Report January 2024 - June 2024,” Department of Health, 2024.</w:t>
                    </w:r>
                  </w:p>
                </w:tc>
              </w:tr>
              <w:tr w:rsidR="00FB6FB3" w14:paraId="5D9010CF" w14:textId="77777777">
                <w:trPr>
                  <w:divId w:val="719552384"/>
                  <w:tblCellSpacing w:w="15" w:type="dxa"/>
                </w:trPr>
                <w:tc>
                  <w:tcPr>
                    <w:tcW w:w="50" w:type="pct"/>
                    <w:hideMark/>
                  </w:tcPr>
                  <w:p w14:paraId="2686155F" w14:textId="77777777" w:rsidR="00FB6FB3" w:rsidRDefault="00FB6FB3">
                    <w:pPr>
                      <w:pStyle w:val="Bibliography"/>
                      <w:rPr>
                        <w:noProof/>
                      </w:rPr>
                    </w:pPr>
                    <w:r>
                      <w:rPr>
                        <w:noProof/>
                      </w:rPr>
                      <w:t xml:space="preserve">[33] </w:t>
                    </w:r>
                  </w:p>
                </w:tc>
                <w:tc>
                  <w:tcPr>
                    <w:tcW w:w="0" w:type="auto"/>
                    <w:hideMark/>
                  </w:tcPr>
                  <w:p w14:paraId="00EEA080" w14:textId="77777777" w:rsidR="00FB6FB3" w:rsidRDefault="00FB6FB3" w:rsidP="00FB6FB3">
                    <w:pPr>
                      <w:pStyle w:val="Bibliography"/>
                      <w:spacing w:after="80"/>
                      <w:rPr>
                        <w:noProof/>
                      </w:rPr>
                    </w:pPr>
                    <w:r>
                      <w:rPr>
                        <w:noProof/>
                      </w:rPr>
                      <w:t xml:space="preserve">S. Harrison, C. Lang, T. Eshetie, M. Crotty, C. Whitehead, K. Evans, M. Corlis, S. Wesselingh, G. Caughey and M. Inacio, “Hospitalisations and emergency department presentations by older individuals accessing long-term aged care in Australia,” </w:t>
                    </w:r>
                    <w:r>
                      <w:rPr>
                        <w:i/>
                        <w:iCs/>
                        <w:noProof/>
                      </w:rPr>
                      <w:t xml:space="preserve">Australian Health Review, </w:t>
                    </w:r>
                    <w:r>
                      <w:rPr>
                        <w:noProof/>
                      </w:rPr>
                      <w:t xml:space="preserve">vol. 48, no. 2, p. 182–190, 2024. </w:t>
                    </w:r>
                  </w:p>
                </w:tc>
              </w:tr>
              <w:tr w:rsidR="00FB6FB3" w14:paraId="135469D9" w14:textId="77777777">
                <w:trPr>
                  <w:divId w:val="719552384"/>
                  <w:tblCellSpacing w:w="15" w:type="dxa"/>
                </w:trPr>
                <w:tc>
                  <w:tcPr>
                    <w:tcW w:w="50" w:type="pct"/>
                    <w:hideMark/>
                  </w:tcPr>
                  <w:p w14:paraId="7AE1CBE2" w14:textId="77777777" w:rsidR="00FB6FB3" w:rsidRDefault="00FB6FB3">
                    <w:pPr>
                      <w:pStyle w:val="Bibliography"/>
                      <w:rPr>
                        <w:noProof/>
                      </w:rPr>
                    </w:pPr>
                    <w:r>
                      <w:rPr>
                        <w:noProof/>
                      </w:rPr>
                      <w:t xml:space="preserve">[34] </w:t>
                    </w:r>
                  </w:p>
                </w:tc>
                <w:tc>
                  <w:tcPr>
                    <w:tcW w:w="0" w:type="auto"/>
                    <w:hideMark/>
                  </w:tcPr>
                  <w:p w14:paraId="43579DFA" w14:textId="77777777" w:rsidR="00FB6FB3" w:rsidRDefault="00FB6FB3" w:rsidP="00FB6FB3">
                    <w:pPr>
                      <w:pStyle w:val="Bibliography"/>
                      <w:spacing w:after="80"/>
                      <w:rPr>
                        <w:noProof/>
                      </w:rPr>
                    </w:pPr>
                    <w:r>
                      <w:rPr>
                        <w:noProof/>
                      </w:rPr>
                      <w:t>Independent Health and Aged Care Pricing Authority, “National Hospital Cost Data Collection Public Sector Report, 2022-23,” 2023.</w:t>
                    </w:r>
                  </w:p>
                </w:tc>
              </w:tr>
              <w:tr w:rsidR="00FB6FB3" w14:paraId="378DAFB3" w14:textId="77777777">
                <w:trPr>
                  <w:divId w:val="719552384"/>
                  <w:tblCellSpacing w:w="15" w:type="dxa"/>
                </w:trPr>
                <w:tc>
                  <w:tcPr>
                    <w:tcW w:w="50" w:type="pct"/>
                    <w:hideMark/>
                  </w:tcPr>
                  <w:p w14:paraId="286D5E22" w14:textId="77777777" w:rsidR="00FB6FB3" w:rsidRDefault="00FB6FB3">
                    <w:pPr>
                      <w:pStyle w:val="Bibliography"/>
                      <w:rPr>
                        <w:noProof/>
                      </w:rPr>
                    </w:pPr>
                    <w:r>
                      <w:rPr>
                        <w:noProof/>
                      </w:rPr>
                      <w:t xml:space="preserve">[35] </w:t>
                    </w:r>
                  </w:p>
                </w:tc>
                <w:tc>
                  <w:tcPr>
                    <w:tcW w:w="0" w:type="auto"/>
                    <w:hideMark/>
                  </w:tcPr>
                  <w:p w14:paraId="06C10FF4" w14:textId="77777777" w:rsidR="00FB6FB3" w:rsidRDefault="00FB6FB3" w:rsidP="00FB6FB3">
                    <w:pPr>
                      <w:pStyle w:val="Bibliography"/>
                      <w:spacing w:after="80"/>
                      <w:rPr>
                        <w:noProof/>
                      </w:rPr>
                    </w:pPr>
                    <w:r>
                      <w:rPr>
                        <w:noProof/>
                      </w:rPr>
                      <w:t>Australian Institute of Health and Welfare, “Palliative care services in Australia – Palliative care for people living in residential aged care,” 30 October 2025. [Online]. Available: https://www.aihw.gov.au/reports/palliative-care-services/palliative-care-services-in-australia/contents/palliative-care-in-residential-aged-care. [Accessed 16 December 2025].</w:t>
                    </w:r>
                  </w:p>
                </w:tc>
              </w:tr>
            </w:tbl>
            <w:p w14:paraId="519A385F" w14:textId="77777777" w:rsidR="00FB6FB3" w:rsidRDefault="00FB6FB3">
              <w:pPr>
                <w:divId w:val="719552384"/>
                <w:rPr>
                  <w:rFonts w:eastAsia="Times New Roman"/>
                  <w:noProof/>
                </w:rPr>
              </w:pPr>
            </w:p>
            <w:p w14:paraId="24B6F869" w14:textId="40106D67" w:rsidR="003C6A19" w:rsidRPr="003C6A19" w:rsidRDefault="003B02A4" w:rsidP="00CD7440">
              <w:pPr>
                <w:spacing w:after="0"/>
              </w:pPr>
              <w:r>
                <w:rPr>
                  <w:b/>
                  <w:bCs/>
                  <w:noProof/>
                </w:rPr>
                <w:fldChar w:fldCharType="end"/>
              </w:r>
            </w:p>
          </w:sdtContent>
        </w:sdt>
      </w:sdtContent>
    </w:sdt>
    <w:sectPr w:rsidR="003C6A19" w:rsidRPr="003C6A19" w:rsidSect="005E34A8">
      <w:pgSz w:w="16838" w:h="11906" w:orient="landscape" w:code="9"/>
      <w:pgMar w:top="851" w:right="851" w:bottom="851" w:left="851" w:header="709" w:footer="567"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909C5" w14:textId="77777777" w:rsidR="00126CCA" w:rsidRDefault="00126CCA" w:rsidP="00C37A29">
      <w:pPr>
        <w:spacing w:after="0"/>
      </w:pPr>
      <w:r>
        <w:separator/>
      </w:r>
    </w:p>
  </w:endnote>
  <w:endnote w:type="continuationSeparator" w:id="0">
    <w:p w14:paraId="4D0E8897" w14:textId="77777777" w:rsidR="00126CCA" w:rsidRDefault="00126CCA"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eue Haas Grotesk Text Pro">
    <w:charset w:val="00"/>
    <w:family w:val="swiss"/>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Franklin Gothic Demi">
    <w:panose1 w:val="020B07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1B4A" w14:textId="1E30903B" w:rsidR="008F76D9" w:rsidRDefault="009F54DA">
    <w:pPr>
      <w:pStyle w:val="Footer"/>
    </w:pPr>
    <w:r>
      <w:rPr>
        <w:noProof/>
      </w:rPr>
      <mc:AlternateContent>
        <mc:Choice Requires="wps">
          <w:drawing>
            <wp:anchor distT="0" distB="0" distL="0" distR="0" simplePos="0" relativeHeight="251667470" behindDoc="0" locked="0" layoutInCell="1" allowOverlap="1" wp14:anchorId="4819F2A9" wp14:editId="6413C5DF">
              <wp:simplePos x="635" y="635"/>
              <wp:positionH relativeFrom="page">
                <wp:align>center</wp:align>
              </wp:positionH>
              <wp:positionV relativeFrom="page">
                <wp:align>bottom</wp:align>
              </wp:positionV>
              <wp:extent cx="622300" cy="427355"/>
              <wp:effectExtent l="0" t="0" r="6350" b="0"/>
              <wp:wrapNone/>
              <wp:docPr id="653050535"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76C79227" w14:textId="613EDA6D"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19F2A9" id="_x0000_t202" coordsize="21600,21600" o:spt="202" path="m,l,21600r21600,l21600,xe">
              <v:stroke joinstyle="miter"/>
              <v:path gradientshapeok="t" o:connecttype="rect"/>
            </v:shapetype>
            <v:shape id="Text Box 26" o:spid="_x0000_s1028" type="#_x0000_t202" alt="OFFICIAL" style="position:absolute;margin-left:0;margin-top:0;width:49pt;height:33.65pt;z-index:2516674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QnDgIAABwEAAAOAAAAZHJzL2Uyb0RvYy54bWysU8Fu2zAMvQ/YPwi6L3bcpWuNOEXWIsOA&#10;oC2QFj0rshQbkERBUmJnXz9KjpOt22nYRaZJ6pF8fJrf9VqRg3C+BVPR6SSnRBgOdWt2FX19WX26&#10;ocQHZmqmwIiKHoWnd4uPH+adLUUBDahaOIIgxpedrWgTgi2zzPNGaOYnYIXBoASnWcBft8tqxzpE&#10;1yor8vw668DV1gEX3qP3YQjSRcKXUvDwJKUXgaiKYm8hnS6d23hmizkrd47ZpuWnNtg/dKFZa7Do&#10;GeqBBUb2rv0DSrfcgQcZJhx0BlK2XKQZcJpp/m6aTcOsSLMgOd6eafL/D5Y/Hjb22ZHQf4UeFxgJ&#10;6awvPTrjPL10On6xU4JxpPB4pk30gXB0XhfFVY4RjqHPxZer2SyiZJfL1vnwTYAm0aiow60ksthh&#10;7cOQOqbEWgZWrVJpM8r85kDM6MkuHUYr9NuetHVFi7H7LdRHHMrBsG9v+arF0mvmwzNzuGDsFkUb&#10;nvCQCrqKwsmipAH342/+mI+8Y5SSDgVTUYOKpkR9N7iPqK3RcKOxTcb0Np9Fesxe3wPKcIovwvJk&#10;otcFNZrSgX5DOS9jIQwxw7FcRbejeR8G5eJz4GK5TEkoI8vC2mwsj9CRrsjlS//GnD0RHnBTjzCq&#10;iZXveB9y401vl/uA7KelRGoHIk+MowTTWk/PJWr81/+UdXnUi58A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C+1oQnDgIAABwE&#10;AAAOAAAAAAAAAAAAAAAAAC4CAABkcnMvZTJvRG9jLnhtbFBLAQItABQABgAIAAAAIQDtQT1t2gAA&#10;AAMBAAAPAAAAAAAAAAAAAAAAAGgEAABkcnMvZG93bnJldi54bWxQSwUGAAAAAAQABADzAAAAbwUA&#10;AAAA&#10;" filled="f" stroked="f">
              <v:textbox style="mso-fit-shape-to-text:t" inset="0,0,0,15pt">
                <w:txbxContent>
                  <w:p w14:paraId="76C79227" w14:textId="613EDA6D"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AC04" w14:textId="0315DAD3" w:rsidR="000D7EE8" w:rsidRDefault="009F54DA" w:rsidP="00531096">
    <w:pPr>
      <w:pStyle w:val="FooterLeft"/>
      <w:framePr w:wrap="around"/>
    </w:pPr>
    <w:r>
      <w:rPr>
        <w:noProof/>
      </w:rPr>
      <mc:AlternateContent>
        <mc:Choice Requires="wps">
          <w:drawing>
            <wp:anchor distT="0" distB="0" distL="0" distR="0" simplePos="0" relativeHeight="251668494" behindDoc="0" locked="0" layoutInCell="1" allowOverlap="1" wp14:anchorId="78787F68" wp14:editId="65EE3578">
              <wp:simplePos x="635" y="635"/>
              <wp:positionH relativeFrom="page">
                <wp:align>center</wp:align>
              </wp:positionH>
              <wp:positionV relativeFrom="page">
                <wp:align>bottom</wp:align>
              </wp:positionV>
              <wp:extent cx="622300" cy="427355"/>
              <wp:effectExtent l="0" t="0" r="6350" b="0"/>
              <wp:wrapNone/>
              <wp:docPr id="52583542" name="Text Box 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7C4BAFAC" w14:textId="7E9F53C4"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787F68" id="_x0000_t202" coordsize="21600,21600" o:spt="202" path="m,l,21600r21600,l21600,xe">
              <v:stroke joinstyle="miter"/>
              <v:path gradientshapeok="t" o:connecttype="rect"/>
            </v:shapetype>
            <v:shape id="Text Box 27" o:spid="_x0000_s1029" type="#_x0000_t202" alt="OFFICIAL" style="position:absolute;margin-left:0;margin-top:0;width:49pt;height:33.65pt;z-index:25166849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TYaDgIAABwEAAAOAAAAZHJzL2Uyb0RvYy54bWysU8Fu2zAMvQ/YPwi6L3aSpeuMOEXWIsOA&#10;oC2QDj3LshQbkERBUmJnXz9KjpOt22nYRaZJ6pF8fFre9VqRo3C+BVPS6SSnRBgOdWv2Jf3+svlw&#10;S4kPzNRMgRElPQlP71bv3y07W4gZNKBq4QiCGF90tqRNCLbIMs8boZmfgBUGgxKcZgF/3T6rHesQ&#10;Xatsluc3WQeutg648B69D0OQrhK+lIKHJym9CESVFHsL6XTprOKZrZas2Dtmm5af22D/0IVmrcGi&#10;F6gHFhg5uPYPKN1yBx5kmHDQGUjZcpFmwGmm+Ztpdg2zIs2C5Hh7ocn/P1j+eNzZZ0dC/wV6XGAk&#10;pLO+8OiM8/TS6fjFTgnGkcLThTbRB8LReTObzXOMcAx9nH2aLxYRJbtets6HrwI0iUZJHW4lkcWO&#10;Wx+G1DEl1jKwaZVKm1HmNwdiRk927TBaoa960tYlnY/dV1CfcCgHw7695ZsWS2+ZD8/M4YKxWxRt&#10;eMJDKuhKCmeLkgbcj7/5Yz7yjlFKOhRMSQ0qmhL1zeA+orZGw41GlYzp53wR6TEHfQ8owym+CMuT&#10;iV4X1GhKB/oV5byOhTDEDMdyJa1G8z4MysXnwMV6nZJQRpaFrdlZHqEjXZHLl/6VOXsmPOCmHmFU&#10;Eyve8D7kxpverg8B2U9LidQORJ4ZRwmmtZ6fS9T4r/8p6/qoVz8B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DTaTYaDgIAABwE&#10;AAAOAAAAAAAAAAAAAAAAAC4CAABkcnMvZTJvRG9jLnhtbFBLAQItABQABgAIAAAAIQDtQT1t2gAA&#10;AAMBAAAPAAAAAAAAAAAAAAAAAGgEAABkcnMvZG93bnJldi54bWxQSwUGAAAAAAQABADzAAAAbwUA&#10;AAAA&#10;" filled="f" stroked="f">
              <v:textbox style="mso-fit-shape-to-text:t" inset="0,0,0,15pt">
                <w:txbxContent>
                  <w:p w14:paraId="7C4BAFAC" w14:textId="7E9F53C4"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p>
  <w:p w14:paraId="6000E879" w14:textId="77777777" w:rsidR="00531096" w:rsidRPr="00531096" w:rsidRDefault="00531096" w:rsidP="00531096">
    <w:pPr>
      <w:pStyle w:val="FooterRight"/>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0F64" w14:textId="5A8A33D5" w:rsidR="008F76D9" w:rsidRDefault="009F54DA">
    <w:pPr>
      <w:pStyle w:val="Footer"/>
    </w:pPr>
    <w:r>
      <w:rPr>
        <w:noProof/>
      </w:rPr>
      <mc:AlternateContent>
        <mc:Choice Requires="wps">
          <w:drawing>
            <wp:anchor distT="0" distB="0" distL="0" distR="0" simplePos="0" relativeHeight="251666446" behindDoc="0" locked="0" layoutInCell="1" allowOverlap="1" wp14:anchorId="02F36759" wp14:editId="4B455F89">
              <wp:simplePos x="635" y="635"/>
              <wp:positionH relativeFrom="page">
                <wp:align>center</wp:align>
              </wp:positionH>
              <wp:positionV relativeFrom="page">
                <wp:align>bottom</wp:align>
              </wp:positionV>
              <wp:extent cx="622300" cy="427355"/>
              <wp:effectExtent l="0" t="0" r="6350" b="0"/>
              <wp:wrapNone/>
              <wp:docPr id="1571341569"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2B7A7944" w14:textId="148AF91A"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F36759" id="_x0000_t202" coordsize="21600,21600" o:spt="202" path="m,l,21600r21600,l21600,xe">
              <v:stroke joinstyle="miter"/>
              <v:path gradientshapeok="t" o:connecttype="rect"/>
            </v:shapetype>
            <v:shape id="Text Box 25" o:spid="_x0000_s1031" type="#_x0000_t202" alt="OFFICIAL" style="position:absolute;margin-left:0;margin-top:0;width:49pt;height:33.65pt;z-index:2516664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mXDAIAABwEAAAOAAAAZHJzL2Uyb0RvYy54bWysU8Fu2zAMvQ/YPwi6L3bSpWuNOEXWIsOA&#10;oC2QFj0rshwbkESBUmJnXz9KiZOt22nYRaZJ6pF8fJrd9UazvULfgi35eJRzpqyEqrXbkr++LD/d&#10;cOaDsJXQYFXJD8rzu/nHD7POFWoCDehKISMQ64vOlbwJwRVZ5mWjjPAjcMpSsAY0ItAvbrMKRUfo&#10;RmeTPL/OOsDKIUjlPXkfjkE+T/h1rWR4qmuvAtMlp95COjGdm3hm85kotihc08pTG+IfujCitVT0&#10;DPUggmA7bP+AMq1E8FCHkQSTQV23UqUZaJpx/m6adSOcSrMQOd6dafL/D1Y+7tfuGVnov0JPC4yE&#10;dM4Xnpxxnr5GE7/UKaM4UXg406b6wCQ5ryeTq5wikkKfJ1+uptOIkl0uO/ThmwLDolFypK0kssR+&#10;5cMxdUiJtSwsW63TZrT9zUGY0ZNdOoxW6Dc9a6uSp7rRs4HqQEMhHPftnVy2VHolfHgWSAumbkm0&#10;4YmOWkNXcjhZnDWAP/7mj/nEO0U560gwJbekaM70d0v7iNoaDByMTTLGt/k00mN35h5IhmN6EU4m&#10;k7wY9GDWCOaN5LyIhSgkrKRyJd8M5n04Kpeeg1SLRUoiGTkRVnbtZISOdEUuX/o3ge5EeKBNPcKg&#10;JlG84/2YG296t9gFYj8t5ULkiXGSYFrr6blEjf/6n7Iuj3r+EwAA//8DAFBLAwQUAAYACAAAACEA&#10;7UE9bd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D2moIscnnPXvwAAAD//wMAUEsBAi0AFAAGAAgAAAAhALaDOJL+AAAA4QEAABMAAAAAAAAA&#10;AAAAAAAAAAAAAFtDb250ZW50X1R5cGVzXS54bWxQSwECLQAUAAYACAAAACEAOP0h/9YAAACUAQAA&#10;CwAAAAAAAAAAAAAAAAAvAQAAX3JlbHMvLnJlbHNQSwECLQAUAAYACAAAACEAveqZlwwCAAAcBAAA&#10;DgAAAAAAAAAAAAAAAAAuAgAAZHJzL2Uyb0RvYy54bWxQSwECLQAUAAYACAAAACEA7UE9bdoAAAAD&#10;AQAADwAAAAAAAAAAAAAAAABmBAAAZHJzL2Rvd25yZXYueG1sUEsFBgAAAAAEAAQA8wAAAG0FAAAA&#10;AA==&#10;" filled="f" stroked="f">
              <v:textbox style="mso-fit-shape-to-text:t" inset="0,0,0,15pt">
                <w:txbxContent>
                  <w:p w14:paraId="2B7A7944" w14:textId="148AF91A"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C8F3" w14:textId="7BD4D270" w:rsidR="00531096" w:rsidRDefault="009F54DA" w:rsidP="00531096">
    <w:pPr>
      <w:pStyle w:val="FooterLeft"/>
      <w:framePr w:wrap="around"/>
      <w:rPr>
        <w:noProof/>
        <w:lang w:eastAsia="en-AU"/>
      </w:rPr>
    </w:pPr>
    <w:r>
      <w:rPr>
        <w:rFonts w:ascii="Franklin Gothic Demi" w:hAnsi="Franklin Gothic Demi" w:cs="Times New Roman"/>
        <w:noProof/>
        <w:color w:val="000000" w:themeColor="text1"/>
        <w:spacing w:val="-2"/>
        <w:sz w:val="14"/>
        <w:szCs w:val="20"/>
      </w:rPr>
      <mc:AlternateContent>
        <mc:Choice Requires="wps">
          <w:drawing>
            <wp:anchor distT="0" distB="0" distL="0" distR="0" simplePos="0" relativeHeight="251669518" behindDoc="0" locked="0" layoutInCell="1" allowOverlap="1" wp14:anchorId="2E9A0A80" wp14:editId="59F6A176">
              <wp:simplePos x="635" y="635"/>
              <wp:positionH relativeFrom="page">
                <wp:align>center</wp:align>
              </wp:positionH>
              <wp:positionV relativeFrom="page">
                <wp:align>bottom</wp:align>
              </wp:positionV>
              <wp:extent cx="622300" cy="427355"/>
              <wp:effectExtent l="0" t="0" r="6350" b="0"/>
              <wp:wrapNone/>
              <wp:docPr id="183764545"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7A104201" w14:textId="5CC10D3C"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9A0A80" id="_x0000_t202" coordsize="21600,21600" o:spt="202" path="m,l,21600r21600,l21600,xe">
              <v:stroke joinstyle="miter"/>
              <v:path gradientshapeok="t" o:connecttype="rect"/>
            </v:shapetype>
            <v:shape id="Text Box 28" o:spid="_x0000_s1033" type="#_x0000_t202" alt="OFFICIAL" style="position:absolute;margin-left:0;margin-top:0;width:49pt;height:33.65pt;z-index:2516695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zsDgIAABwEAAAOAAAAZHJzL2Uyb0RvYy54bWysU8Fu2zAMvQ/YPwi6L3bSpd2MOEXWIsOA&#10;oi2QDj0rshwbkESBUmJnXz9KjpOt22nYRaZJ6pF8fFrc9kazg0Lfgi35dJJzpqyEqrW7kn9/WX/4&#10;xJkPwlZCg1UlPyrPb5fv3y06V6gZNKArhYxArC86V/ImBFdkmZeNMsJPwClLwRrQiEC/uMsqFB2h&#10;G53N8vw66wArhyCV9+S9H4J8mfDrWsnwVNdeBaZLTr2FdGI6t/HMlgtR7FC4ppWnNsQ/dGFEa6no&#10;GepeBMH22P4BZVqJ4KEOEwkmg7pupUoz0DTT/M00m0Y4lWYhcrw70+T/H6x8PGzcM7LQf4GeFhgJ&#10;6ZwvPDnjPH2NJn6pU0ZxovB4pk31gUlyXs9mVzlFJIU+zm6u5vOIkl0uO/ThqwLDolFypK0kssTh&#10;wYchdUyJtSysW63TZrT9zUGY0ZNdOoxW6Lc9a6uS34zdb6E60lAIw769k+uWSj8IH54F0oKpWxJt&#10;eKKj1tCVHE4WZw3gj7/5Yz7xTlHOOhJMyS0pmjP9zdI+orZGA0djm4zp53we6bF7cwckwym9CCeT&#10;SV4MejRrBPNKcl7FQhQSVlK5km9H8y4MyqXnINVqlZJIRk6EB7txMkJHuiKXL/2rQHciPNCmHmFU&#10;kyje8D7kxpverfaB2E9LidQORJ4YJwmmtZ6eS9T4r/8p6/Kolz8B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BnlPzsDgIAABwE&#10;AAAOAAAAAAAAAAAAAAAAAC4CAABkcnMvZTJvRG9jLnhtbFBLAQItABQABgAIAAAAIQDtQT1t2gAA&#10;AAMBAAAPAAAAAAAAAAAAAAAAAGgEAABkcnMvZG93bnJldi54bWxQSwUGAAAAAAQABADzAAAAbwUA&#10;AAAA&#10;" filled="f" stroked="f">
              <v:textbox style="mso-fit-shape-to-text:t" inset="0,0,0,15pt">
                <w:txbxContent>
                  <w:p w14:paraId="7A104201" w14:textId="5CC10D3C"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r w:rsidR="003F21EE">
      <w:rPr>
        <w:rStyle w:val="FooterProjectTitleChar"/>
      </w:rPr>
      <w:t>Department of Health, Disability and Ageing</w:t>
    </w:r>
    <w:r w:rsidR="00531096">
      <w:rPr>
        <w:rStyle w:val="FooterProjectTitleChar"/>
      </w:rPr>
      <w:t xml:space="preserve"> •</w:t>
    </w:r>
    <w:r w:rsidR="00531096" w:rsidRPr="00840813">
      <w:rPr>
        <w:rStyle w:val="FooterProjectTitleChar"/>
      </w:rPr>
      <w:t xml:space="preserve"> </w:t>
    </w:r>
    <w:r w:rsidR="003F21EE">
      <w:rPr>
        <w:rStyle w:val="FooterProjectTitleChar"/>
      </w:rPr>
      <w:t>Improving Palliative Care Training and Outcomes in Aged Care Evaluation</w:t>
    </w:r>
    <w:r w:rsidR="00531096">
      <w:rPr>
        <w:noProof/>
        <w:lang w:eastAsia="en-AU"/>
      </w:rPr>
      <w:t xml:space="preserve"> </w:t>
    </w:r>
  </w:p>
  <w:p w14:paraId="23EE0884" w14:textId="4CD7AB89" w:rsidR="00531096" w:rsidRPr="0042508F" w:rsidRDefault="00351CEB" w:rsidP="00531096">
    <w:pPr>
      <w:pStyle w:val="FooterRight"/>
      <w:framePr w:wrap="around"/>
    </w:pPr>
    <w:r>
      <w:t>Final Evaluation Report</w:t>
    </w:r>
  </w:p>
  <w:p w14:paraId="7DC97B8D" w14:textId="77777777" w:rsidR="00531096" w:rsidRPr="00531096" w:rsidRDefault="00531096" w:rsidP="005310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5F1B7" w14:textId="55D3ACB3" w:rsidR="00531096" w:rsidRDefault="009F54DA" w:rsidP="00531096">
    <w:pPr>
      <w:pStyle w:val="FooterLeft"/>
      <w:framePr w:wrap="around"/>
      <w:rPr>
        <w:noProof/>
        <w:lang w:eastAsia="en-AU"/>
      </w:rPr>
    </w:pPr>
    <w:r>
      <w:rPr>
        <w:rFonts w:ascii="Franklin Gothic Demi" w:hAnsi="Franklin Gothic Demi"/>
        <w:noProof/>
        <w:color w:val="266655" w:themeColor="background2" w:themeShade="80"/>
      </w:rPr>
      <mc:AlternateContent>
        <mc:Choice Requires="wps">
          <w:drawing>
            <wp:anchor distT="0" distB="0" distL="0" distR="0" simplePos="0" relativeHeight="251670542" behindDoc="0" locked="0" layoutInCell="1" allowOverlap="1" wp14:anchorId="3495269F" wp14:editId="0D7F22D1">
              <wp:simplePos x="635" y="635"/>
              <wp:positionH relativeFrom="page">
                <wp:align>center</wp:align>
              </wp:positionH>
              <wp:positionV relativeFrom="page">
                <wp:align>bottom</wp:align>
              </wp:positionV>
              <wp:extent cx="622300" cy="427355"/>
              <wp:effectExtent l="0" t="0" r="6350" b="0"/>
              <wp:wrapNone/>
              <wp:docPr id="2026100185"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257F2076" w14:textId="190D11DB"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95269F" id="_x0000_t202" coordsize="21600,21600" o:spt="202" path="m,l,21600r21600,l21600,xe">
              <v:stroke joinstyle="miter"/>
              <v:path gradientshapeok="t" o:connecttype="rect"/>
            </v:shapetype>
            <v:shape id="Text Box 29" o:spid="_x0000_s1035" type="#_x0000_t202" alt="OFFICIAL" style="position:absolute;margin-left:0;margin-top:0;width:49pt;height:33.65pt;z-index:2516705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rdXDgIAABwEAAAOAAAAZHJzL2Uyb0RvYy54bWysU8Fu2zAMvQ/YPwi6L3bSpVuNOEXWIsOA&#10;oi2QDj0rshwbkESBUmJnXz9KjpOt22nYRaZJ6pF8fFrc9kazg0Lfgi35dJJzpqyEqrW7kn9/WX/4&#10;zJkPwlZCg1UlPyrPb5fv3y06V6gZNKArhYxArC86V/ImBFdkmZeNMsJPwClLwRrQiEC/uMsqFB2h&#10;G53N8vw66wArhyCV9+S9H4J8mfDrWsnwVNdeBaZLTr2FdGI6t/HMlgtR7FC4ppWnNsQ/dGFEa6no&#10;GepeBMH22P4BZVqJ4KEOEwkmg7pupUoz0DTT/M00m0Y4lWYhcrw70+T/H6x8PGzcM7LQf4GeFhgJ&#10;6ZwvPDnjPH2NJn6pU0ZxovB4pk31gUlyXs9mVzlFJIU+zj5dzecRJbtcdujDVwWGRaPkSFtJZInD&#10;gw9D6pgSa1lYt1qnzWj7m4Mwoye7dBit0G971lYlvxm730J1pKEQhn17J9ctlX4QPjwLpAVTtyTa&#10;8ERHraErOZwszhrAH3/zx3zinaKcdSSYkltSNGf6m6V9RG2NBo7GNhnTm3we6bF7cwckwym9CCeT&#10;SV4MejRrBPNKcl7FQhQSVlK5km9H8y4MyqXnINVqlZJIRk6EB7txMkJHuiKXL/2rQHciPNCmHmFU&#10;kyje8D7kxpverfaB2E9LidQORJ4YJwmmtZ6eS9T4r/8p6/Kolz8B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Ag6rdXDgIAABwE&#10;AAAOAAAAAAAAAAAAAAAAAC4CAABkcnMvZTJvRG9jLnhtbFBLAQItABQABgAIAAAAIQDtQT1t2gAA&#10;AAMBAAAPAAAAAAAAAAAAAAAAAGgEAABkcnMvZG93bnJldi54bWxQSwUGAAAAAAQABADzAAAAbwUA&#10;AAAA&#10;" filled="f" stroked="f">
              <v:textbox style="mso-fit-shape-to-text:t" inset="0,0,0,15pt">
                <w:txbxContent>
                  <w:p w14:paraId="257F2076" w14:textId="190D11DB"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r w:rsidR="00531096" w:rsidRPr="00A026C3">
      <w:rPr>
        <w:rStyle w:val="PageNumber"/>
      </w:rPr>
      <w:fldChar w:fldCharType="begin"/>
    </w:r>
    <w:r w:rsidR="00531096" w:rsidRPr="00A026C3">
      <w:rPr>
        <w:rStyle w:val="PageNumber"/>
      </w:rPr>
      <w:instrText>PAGE   \* MERGEFORMAT</w:instrText>
    </w:r>
    <w:r w:rsidR="00531096" w:rsidRPr="00A026C3">
      <w:rPr>
        <w:rStyle w:val="PageNumber"/>
      </w:rPr>
      <w:fldChar w:fldCharType="separate"/>
    </w:r>
    <w:proofErr w:type="spellStart"/>
    <w:r w:rsidR="00531096">
      <w:rPr>
        <w:rStyle w:val="PageNumber"/>
      </w:rPr>
      <w:t>i</w:t>
    </w:r>
    <w:proofErr w:type="spellEnd"/>
    <w:r w:rsidR="00531096" w:rsidRPr="00A026C3">
      <w:rPr>
        <w:rStyle w:val="PageNumber"/>
      </w:rPr>
      <w:fldChar w:fldCharType="end"/>
    </w:r>
    <w:r w:rsidR="00531096" w:rsidRPr="00A026C3">
      <w:rPr>
        <w:rStyle w:val="FooterProjectTitleChar"/>
      </w:rPr>
      <w:t xml:space="preserve"> </w:t>
    </w:r>
    <w:r w:rsidR="00531096">
      <w:rPr>
        <w:rStyle w:val="FooterProjectTitleChar"/>
      </w:rPr>
      <w:t>•</w:t>
    </w:r>
    <w:r w:rsidR="00531096" w:rsidRPr="00840813">
      <w:rPr>
        <w:rStyle w:val="FooterProjectTitleChar"/>
      </w:rPr>
      <w:t xml:space="preserve"> </w:t>
    </w:r>
    <w:r w:rsidR="003F21EE">
      <w:rPr>
        <w:rStyle w:val="FooterProjectTitleChar"/>
      </w:rPr>
      <w:t>Department of Health, Disability and Ageing</w:t>
    </w:r>
    <w:r w:rsidR="00531096">
      <w:rPr>
        <w:rStyle w:val="FooterProjectTitleChar"/>
      </w:rPr>
      <w:t xml:space="preserve"> •</w:t>
    </w:r>
    <w:r w:rsidR="00531096" w:rsidRPr="00840813">
      <w:rPr>
        <w:rStyle w:val="FooterProjectTitleChar"/>
      </w:rPr>
      <w:t xml:space="preserve"> </w:t>
    </w:r>
    <w:r w:rsidR="003F21EE">
      <w:rPr>
        <w:rStyle w:val="FooterProjectTitleChar"/>
      </w:rPr>
      <w:t>Improving Palliative Care Training and Outcomes in Aged Care Evaluation</w:t>
    </w:r>
    <w:r w:rsidR="00531096">
      <w:rPr>
        <w:noProof/>
        <w:lang w:eastAsia="en-AU"/>
      </w:rPr>
      <w:t xml:space="preserve"> </w:t>
    </w:r>
  </w:p>
  <w:p w14:paraId="3586CFB9" w14:textId="0E5B710E" w:rsidR="00531096" w:rsidRPr="0042508F" w:rsidRDefault="00351CEB" w:rsidP="00531096">
    <w:pPr>
      <w:pStyle w:val="FooterRight"/>
      <w:framePr w:wrap="around"/>
    </w:pPr>
    <w:r>
      <w:t>Final Evaluation Report</w:t>
    </w:r>
  </w:p>
  <w:p w14:paraId="0FDBC8AC" w14:textId="77777777" w:rsidR="00531096" w:rsidRPr="00531096" w:rsidRDefault="00531096" w:rsidP="005310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175A" w14:textId="54E94DEB" w:rsidR="00866123" w:rsidRDefault="009F54DA" w:rsidP="00531096">
    <w:pPr>
      <w:pStyle w:val="FooterLeft"/>
      <w:framePr w:wrap="around"/>
      <w:rPr>
        <w:noProof/>
        <w:lang w:eastAsia="en-AU"/>
      </w:rPr>
    </w:pPr>
    <w:r>
      <w:rPr>
        <w:rFonts w:ascii="Franklin Gothic Demi" w:hAnsi="Franklin Gothic Demi"/>
        <w:noProof/>
        <w:color w:val="266655" w:themeColor="background2" w:themeShade="80"/>
      </w:rPr>
      <mc:AlternateContent>
        <mc:Choice Requires="wps">
          <w:drawing>
            <wp:anchor distT="0" distB="0" distL="0" distR="0" simplePos="0" relativeHeight="251671566" behindDoc="0" locked="0" layoutInCell="1" allowOverlap="1" wp14:anchorId="155F100F" wp14:editId="1FB71D05">
              <wp:simplePos x="635" y="635"/>
              <wp:positionH relativeFrom="page">
                <wp:align>center</wp:align>
              </wp:positionH>
              <wp:positionV relativeFrom="page">
                <wp:align>bottom</wp:align>
              </wp:positionV>
              <wp:extent cx="622300" cy="427355"/>
              <wp:effectExtent l="0" t="0" r="6350" b="0"/>
              <wp:wrapNone/>
              <wp:docPr id="293246113"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0DBBB2BF" w14:textId="74C50E8B"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5F100F" id="_x0000_t202" coordsize="21600,21600" o:spt="202" path="m,l,21600r21600,l21600,xe">
              <v:stroke joinstyle="miter"/>
              <v:path gradientshapeok="t" o:connecttype="rect"/>
            </v:shapetype>
            <v:shape id="Text Box 30" o:spid="_x0000_s1037" type="#_x0000_t202" alt="OFFICIAL" style="position:absolute;margin-left:0;margin-top:0;width:49pt;height:33.65pt;z-index:2516715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J/bDQ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Z5+u5vOIkl0uO/ThqwLDolFypK0kssTh&#10;wYchdUyJtSysW63TZrT9zUGY0ZNdOoxW6Lc9ayvq/tz+FqojTYUwLNw7uW6p9oPw4VkgbZjaJdWG&#10;JzpqDV3J4WRx1gD++Js/5hPxFOWsI8WU3JKkOdPfLC0kims0cDS2yZh+zueRH7s3d0A6nNKTcDKZ&#10;5MWgR7NGMK+k51UsRCFhJZUr+XY078IgXXoPUq1WKYl05ER4sBsnI3TkK5L50r8KdCfGA63qEUY5&#10;ieIN8UNuvOndah+I/rSVyO1A5Ily0mDa6+m9RJH/+p+yLq96+RMAAP//AwBQSwMEFAAGAAgAAAAh&#10;AO1BPW3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9pqCLHJ5z178AAAA//8DAFBLAQItABQABgAIAAAAIQC2gziS/gAAAOEBAAATAAAAAAAA&#10;AAAAAAAAAAAAAABbQ29udGVudF9UeXBlc10ueG1sUEsBAi0AFAAGAAgAAAAhADj9If/WAAAAlAEA&#10;AAsAAAAAAAAAAAAAAAAALwEAAF9yZWxzLy5yZWxzUEsBAi0AFAAGAAgAAAAhAO0wn9sNAgAAHQQA&#10;AA4AAAAAAAAAAAAAAAAALgIAAGRycy9lMm9Eb2MueG1sUEsBAi0AFAAGAAgAAAAhAO1BPW3aAAAA&#10;AwEAAA8AAAAAAAAAAAAAAAAAZwQAAGRycy9kb3ducmV2LnhtbFBLBQYAAAAABAAEAPMAAABuBQAA&#10;AAA=&#10;" filled="f" stroked="f">
              <v:textbox style="mso-fit-shape-to-text:t" inset="0,0,0,15pt">
                <w:txbxContent>
                  <w:p w14:paraId="0DBBB2BF" w14:textId="74C50E8B"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r w:rsidR="00866123" w:rsidRPr="00A026C3">
      <w:rPr>
        <w:rStyle w:val="PageNumber"/>
      </w:rPr>
      <w:fldChar w:fldCharType="begin"/>
    </w:r>
    <w:r w:rsidR="00866123" w:rsidRPr="00A026C3">
      <w:rPr>
        <w:rStyle w:val="PageNumber"/>
      </w:rPr>
      <w:instrText>PAGE   \* MERGEFORMAT</w:instrText>
    </w:r>
    <w:r w:rsidR="00866123" w:rsidRPr="00A026C3">
      <w:rPr>
        <w:rStyle w:val="PageNumber"/>
      </w:rPr>
      <w:fldChar w:fldCharType="separate"/>
    </w:r>
    <w:proofErr w:type="spellStart"/>
    <w:r w:rsidR="00866123">
      <w:rPr>
        <w:rStyle w:val="PageNumber"/>
      </w:rPr>
      <w:t>i</w:t>
    </w:r>
    <w:proofErr w:type="spellEnd"/>
    <w:r w:rsidR="00866123" w:rsidRPr="00A026C3">
      <w:rPr>
        <w:rStyle w:val="PageNumber"/>
      </w:rPr>
      <w:fldChar w:fldCharType="end"/>
    </w:r>
    <w:r w:rsidR="00866123" w:rsidRPr="00A026C3">
      <w:rPr>
        <w:rStyle w:val="FooterProjectTitleChar"/>
      </w:rPr>
      <w:t xml:space="preserve"> </w:t>
    </w:r>
    <w:r w:rsidR="00866123">
      <w:rPr>
        <w:rStyle w:val="FooterProjectTitleChar"/>
      </w:rPr>
      <w:t>•</w:t>
    </w:r>
    <w:r w:rsidR="00866123" w:rsidRPr="00840813">
      <w:rPr>
        <w:rStyle w:val="FooterProjectTitleChar"/>
      </w:rPr>
      <w:t xml:space="preserve"> </w:t>
    </w:r>
    <w:r w:rsidR="00866123">
      <w:rPr>
        <w:rStyle w:val="FooterProjectTitleChar"/>
      </w:rPr>
      <w:t>Department of Health, Disability and Ageing •</w:t>
    </w:r>
    <w:r w:rsidR="00866123" w:rsidRPr="00840813">
      <w:rPr>
        <w:rStyle w:val="FooterProjectTitleChar"/>
      </w:rPr>
      <w:t xml:space="preserve"> </w:t>
    </w:r>
    <w:r w:rsidR="00866123">
      <w:rPr>
        <w:rStyle w:val="FooterProjectTitleChar"/>
      </w:rPr>
      <w:t>Improving Palliative Care Training and Outcomes in Aged Care Evaluation</w:t>
    </w:r>
    <w:r w:rsidR="00866123">
      <w:rPr>
        <w:noProof/>
        <w:lang w:eastAsia="en-AU"/>
      </w:rPr>
      <w:t xml:space="preserve"> </w:t>
    </w:r>
  </w:p>
  <w:p w14:paraId="7EE99595" w14:textId="3884C0AD" w:rsidR="00866123" w:rsidRPr="0042508F" w:rsidRDefault="00351CEB" w:rsidP="00531096">
    <w:pPr>
      <w:pStyle w:val="FooterRight"/>
      <w:framePr w:wrap="around"/>
    </w:pPr>
    <w:r>
      <w:t>Final Evaluation Report</w:t>
    </w:r>
  </w:p>
  <w:p w14:paraId="621C76AE" w14:textId="77777777" w:rsidR="00866123" w:rsidRPr="00531096" w:rsidRDefault="00866123" w:rsidP="0053109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8D086" w14:textId="2AEA9C03" w:rsidR="007C373F" w:rsidRDefault="009F54DA" w:rsidP="00531096">
    <w:pPr>
      <w:pStyle w:val="FooterLeft"/>
      <w:framePr w:wrap="around"/>
      <w:rPr>
        <w:noProof/>
        <w:lang w:eastAsia="en-AU"/>
      </w:rPr>
    </w:pPr>
    <w:r>
      <w:rPr>
        <w:rFonts w:ascii="Franklin Gothic Demi" w:hAnsi="Franklin Gothic Demi"/>
        <w:noProof/>
        <w:color w:val="266655" w:themeColor="background2" w:themeShade="80"/>
      </w:rPr>
      <mc:AlternateContent>
        <mc:Choice Requires="wps">
          <w:drawing>
            <wp:anchor distT="0" distB="0" distL="0" distR="0" simplePos="0" relativeHeight="251672590" behindDoc="0" locked="0" layoutInCell="1" allowOverlap="1" wp14:anchorId="056FDEA2" wp14:editId="40A182D1">
              <wp:simplePos x="635" y="635"/>
              <wp:positionH relativeFrom="page">
                <wp:align>center</wp:align>
              </wp:positionH>
              <wp:positionV relativeFrom="page">
                <wp:align>bottom</wp:align>
              </wp:positionV>
              <wp:extent cx="622300" cy="427355"/>
              <wp:effectExtent l="0" t="0" r="6350" b="0"/>
              <wp:wrapNone/>
              <wp:docPr id="57795147"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728D861E" w14:textId="3A5F1114"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6FDEA2" id="_x0000_t202" coordsize="21600,21600" o:spt="202" path="m,l,21600r21600,l21600,xe">
              <v:stroke joinstyle="miter"/>
              <v:path gradientshapeok="t" o:connecttype="rect"/>
            </v:shapetype>
            <v:shape id="Text Box 31" o:spid="_x0000_s1039" type="#_x0000_t202" alt="OFFICIAL" style="position:absolute;margin-left:0;margin-top:0;width:49pt;height:33.65pt;z-index:2516725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vqgDgIAAB0EAAAOAAAAZHJzL2Uyb0RvYy54bWysU8Fu2zAMvQ/YPwi6L3aSpeuMOEXWIsOA&#10;oC2QDj3LshQbkERBUmJnXz9KjpOt22nYRaZJ6pF8fFre9VqRo3C+BVPS6SSnRBgOdWv2Jf3+svlw&#10;S4kPzNRMgRElPQlP71bv3y07W4gZNKBq4QiCGF90tqRNCLbIMs8boZmfgBUGgxKcZgF/3T6rHesQ&#10;Xatsluc3WQeutg648B69D0OQrhK+lIKHJym9CESVFHsL6XTprOKZrZas2Dtmm5af22D/0IVmrcGi&#10;F6gHFhg5uPYPKN1yBx5kmHDQGUjZcpFmwGmm+Ztpdg2zIs2C5Hh7ocn/P1j+eNzZZ0dC/wV6XGAk&#10;pLO+8OiM8/TS6fjFTgnGkcLThTbRB8LReTObzXOMcAx9nH2aLxYRJbtets6HrwI0iUZJHW4lkcWO&#10;Wx+G1DEl1jKwaZVKm1HmNwdiRk927TBaoa960tbY/Xxsv4L6hFM5GBbuLd+0WHvLfHhmDjeM7aJq&#10;wxMeUkFXUjhblDTgfvzNH/OReIxS0qFiSmpQ0pSobwYXEsU1Gm40qmRMP+eLyI856HtAHU7xSVie&#10;TPS6oEZTOtCvqOd1LIQhZjiWK2k1mvdhkC6+By7W65SEOrIsbM3O8ggd+YpkvvSvzNkz4wFX9Qij&#10;nFjxhvghN970dn0ISH/aSuR2IPJMOWow7fX8XqLIf/1PWddXvfoJ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A3TvqgDgIAAB0E&#10;AAAOAAAAAAAAAAAAAAAAAC4CAABkcnMvZTJvRG9jLnhtbFBLAQItABQABgAIAAAAIQDtQT1t2gAA&#10;AAMBAAAPAAAAAAAAAAAAAAAAAGgEAABkcnMvZG93bnJldi54bWxQSwUGAAAAAAQABADzAAAAbwUA&#10;AAAA&#10;" filled="f" stroked="f">
              <v:textbox style="mso-fit-shape-to-text:t" inset="0,0,0,15pt">
                <w:txbxContent>
                  <w:p w14:paraId="728D861E" w14:textId="3A5F1114"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r w:rsidR="007C373F" w:rsidRPr="00A026C3">
      <w:rPr>
        <w:rStyle w:val="PageNumber"/>
      </w:rPr>
      <w:fldChar w:fldCharType="begin"/>
    </w:r>
    <w:r w:rsidR="007C373F" w:rsidRPr="00A026C3">
      <w:rPr>
        <w:rStyle w:val="PageNumber"/>
      </w:rPr>
      <w:instrText>PAGE   \* MERGEFORMAT</w:instrText>
    </w:r>
    <w:r w:rsidR="007C373F" w:rsidRPr="00A026C3">
      <w:rPr>
        <w:rStyle w:val="PageNumber"/>
      </w:rPr>
      <w:fldChar w:fldCharType="separate"/>
    </w:r>
    <w:proofErr w:type="spellStart"/>
    <w:r w:rsidR="007C373F">
      <w:rPr>
        <w:rStyle w:val="PageNumber"/>
      </w:rPr>
      <w:t>i</w:t>
    </w:r>
    <w:proofErr w:type="spellEnd"/>
    <w:r w:rsidR="007C373F" w:rsidRPr="00A026C3">
      <w:rPr>
        <w:rStyle w:val="PageNumber"/>
      </w:rPr>
      <w:fldChar w:fldCharType="end"/>
    </w:r>
    <w:r w:rsidR="007C373F" w:rsidRPr="00A026C3">
      <w:rPr>
        <w:rStyle w:val="FooterProjectTitleChar"/>
      </w:rPr>
      <w:t xml:space="preserve"> </w:t>
    </w:r>
    <w:r w:rsidR="007C373F">
      <w:rPr>
        <w:rStyle w:val="FooterProjectTitleChar"/>
      </w:rPr>
      <w:t>•</w:t>
    </w:r>
    <w:r w:rsidR="007C373F" w:rsidRPr="00840813">
      <w:rPr>
        <w:rStyle w:val="FooterProjectTitleChar"/>
      </w:rPr>
      <w:t xml:space="preserve"> </w:t>
    </w:r>
    <w:r w:rsidR="003F21EE">
      <w:rPr>
        <w:rStyle w:val="FooterProjectTitleChar"/>
      </w:rPr>
      <w:t>Department of Health, Disability and Ageing</w:t>
    </w:r>
    <w:r w:rsidR="007C373F">
      <w:rPr>
        <w:rStyle w:val="FooterProjectTitleChar"/>
      </w:rPr>
      <w:t xml:space="preserve"> •</w:t>
    </w:r>
    <w:r w:rsidR="007C373F" w:rsidRPr="00840813">
      <w:rPr>
        <w:rStyle w:val="FooterProjectTitleChar"/>
      </w:rPr>
      <w:t xml:space="preserve"> </w:t>
    </w:r>
    <w:r w:rsidR="003F21EE">
      <w:rPr>
        <w:rStyle w:val="FooterProjectTitleChar"/>
      </w:rPr>
      <w:t>Improving Palliative Care Training and Outcomes in Aged Care Evaluation</w:t>
    </w:r>
    <w:r w:rsidR="007C373F">
      <w:rPr>
        <w:noProof/>
        <w:lang w:eastAsia="en-AU"/>
      </w:rPr>
      <w:t xml:space="preserve"> </w:t>
    </w:r>
  </w:p>
  <w:p w14:paraId="0CE48C02" w14:textId="59F8327D" w:rsidR="007C373F" w:rsidRPr="0042508F" w:rsidRDefault="00351CEB" w:rsidP="00531096">
    <w:pPr>
      <w:pStyle w:val="FooterRight"/>
      <w:framePr w:wrap="around"/>
    </w:pPr>
    <w:r>
      <w:t>Final Evaluation Report</w:t>
    </w:r>
  </w:p>
  <w:p w14:paraId="36DBEEB6" w14:textId="77777777" w:rsidR="007C373F" w:rsidRPr="00531096" w:rsidRDefault="007C373F" w:rsidP="00531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16B48" w14:textId="77777777" w:rsidR="00126CCA" w:rsidRDefault="00126CCA" w:rsidP="00C37A29">
      <w:pPr>
        <w:spacing w:after="0"/>
      </w:pPr>
      <w:r>
        <w:separator/>
      </w:r>
    </w:p>
  </w:footnote>
  <w:footnote w:type="continuationSeparator" w:id="0">
    <w:p w14:paraId="7B8B14C8" w14:textId="77777777" w:rsidR="00126CCA" w:rsidRDefault="00126CCA" w:rsidP="00C37A29">
      <w:pPr>
        <w:spacing w:after="0"/>
      </w:pPr>
      <w:r>
        <w:continuationSeparator/>
      </w:r>
    </w:p>
  </w:footnote>
  <w:footnote w:id="1">
    <w:p w14:paraId="7D14BFE8" w14:textId="77777777" w:rsidR="00866123" w:rsidRPr="003015C4" w:rsidRDefault="00866123" w:rsidP="00866123">
      <w:pPr>
        <w:pStyle w:val="FootnoteText"/>
        <w:rPr>
          <w:lang w:val="en-US"/>
        </w:rPr>
      </w:pPr>
      <w:r>
        <w:rPr>
          <w:rStyle w:val="FootnoteReference"/>
        </w:rPr>
        <w:footnoteRef/>
      </w:r>
      <w:r>
        <w:t xml:space="preserve"> </w:t>
      </w:r>
      <w:r w:rsidRPr="00D9430D">
        <w:rPr>
          <w:sz w:val="14"/>
          <w:szCs w:val="14"/>
        </w:rPr>
        <w:t>Providers, services and places in aged care, GEN Aged Care Data, 2025.</w:t>
      </w:r>
    </w:p>
  </w:footnote>
  <w:footnote w:id="2">
    <w:p w14:paraId="4EFB0CF9" w14:textId="43DCEEAD" w:rsidR="003A50B6" w:rsidRDefault="003A50B6" w:rsidP="003A50B6">
      <w:pPr>
        <w:pStyle w:val="Tablenotes"/>
        <w:spacing w:before="0" w:after="0"/>
      </w:pPr>
      <w:r>
        <w:rPr>
          <w:rStyle w:val="FootnoteReference"/>
        </w:rPr>
        <w:footnoteRef/>
      </w:r>
      <w:r>
        <w:t xml:space="preserve"> </w:t>
      </w:r>
      <w:r w:rsidR="007C555E" w:rsidRPr="00D9430D">
        <w:rPr>
          <w:szCs w:val="14"/>
        </w:rPr>
        <w:t>Providers, services and places in aged care, GEN Aged Care Data, 2025.</w:t>
      </w:r>
      <w:r w:rsidR="007C555E">
        <w:rPr>
          <w:szCs w:val="14"/>
        </w:rPr>
        <w:t xml:space="preserve"> </w:t>
      </w:r>
      <w:r>
        <w:t>Proxy estimate based on the total number of aged care providers operating in 2024 across all service types (home support, home care, residential care, transition and short-term restorative care, and other flexible care). The true number of unique aged care providers may be slightly lower, as some organisations deliver multiple service types under a single entity. These estimates exclude primary care organisations that may also be eligible for PEPA Aged Care (e.g. general practice, ACCHO)</w:t>
      </w:r>
      <w:r w:rsidR="007C555E">
        <w:t>,</w:t>
      </w:r>
      <w:r>
        <w:t xml:space="preserve"> meaning the figures likely underrepresent the total eligible provider population.</w:t>
      </w:r>
    </w:p>
    <w:p w14:paraId="102D85A0" w14:textId="77777777" w:rsidR="003A50B6" w:rsidRPr="00886368" w:rsidRDefault="003A50B6" w:rsidP="003A50B6">
      <w:pPr>
        <w:pStyle w:val="FootnoteText"/>
        <w:rPr>
          <w:lang w:val="en-US"/>
        </w:rPr>
      </w:pPr>
    </w:p>
  </w:footnote>
  <w:footnote w:id="3">
    <w:p w14:paraId="026DF75A" w14:textId="77777777" w:rsidR="00C3487B" w:rsidRPr="004A2628" w:rsidRDefault="00C3487B" w:rsidP="00C3487B">
      <w:pPr>
        <w:pStyle w:val="FootnoteText"/>
        <w:rPr>
          <w:sz w:val="18"/>
          <w:szCs w:val="18"/>
          <w:lang w:val="en-US"/>
        </w:rPr>
      </w:pPr>
      <w:r w:rsidRPr="004A2628">
        <w:rPr>
          <w:rStyle w:val="FootnoteReference"/>
          <w:sz w:val="18"/>
          <w:szCs w:val="18"/>
        </w:rPr>
        <w:footnoteRef/>
      </w:r>
      <w:r w:rsidRPr="004A2628">
        <w:rPr>
          <w:sz w:val="18"/>
          <w:szCs w:val="18"/>
        </w:rPr>
        <w:t xml:space="preserve"> </w:t>
      </w:r>
      <w:r w:rsidRPr="004A2628">
        <w:rPr>
          <w:sz w:val="14"/>
          <w:szCs w:val="14"/>
        </w:rPr>
        <w:t>Providers, services and places in aged care, GEN Aged Care Data, 2025</w:t>
      </w:r>
      <w:r>
        <w:rPr>
          <w:sz w:val="14"/>
          <w:szCs w:val="14"/>
        </w:rPr>
        <w:t>.</w:t>
      </w:r>
    </w:p>
  </w:footnote>
  <w:footnote w:id="4">
    <w:p w14:paraId="43524C91" w14:textId="77777777" w:rsidR="002B2DAA" w:rsidRPr="00BA6157" w:rsidRDefault="002B2DAA" w:rsidP="002B2DAA">
      <w:pPr>
        <w:pStyle w:val="FootnoteText"/>
        <w:rPr>
          <w:lang w:val="en-US"/>
        </w:rPr>
      </w:pPr>
      <w:r w:rsidRPr="00BA6157">
        <w:rPr>
          <w:rStyle w:val="FootnoteReference"/>
          <w:sz w:val="14"/>
          <w:szCs w:val="14"/>
        </w:rPr>
        <w:footnoteRef/>
      </w:r>
      <w:r w:rsidRPr="00BA6157">
        <w:rPr>
          <w:sz w:val="14"/>
          <w:szCs w:val="14"/>
        </w:rPr>
        <w:t xml:space="preserve"> Providers, services and places in aged care, GEN Aged Care Data, 2025.</w:t>
      </w:r>
      <w:r>
        <w:rPr>
          <w:szCs w:val="14"/>
        </w:rPr>
        <w:t xml:space="preserve"> </w:t>
      </w:r>
    </w:p>
  </w:footnote>
  <w:footnote w:id="5">
    <w:p w14:paraId="203465B7" w14:textId="2A6A4BF7" w:rsidR="009030A8" w:rsidRPr="00F27151" w:rsidRDefault="009030A8" w:rsidP="009030A8">
      <w:pPr>
        <w:pStyle w:val="FootnoteText"/>
        <w:rPr>
          <w:sz w:val="16"/>
          <w:szCs w:val="16"/>
        </w:rPr>
      </w:pPr>
      <w:r w:rsidRPr="00F27151">
        <w:rPr>
          <w:rStyle w:val="FootnoteReference"/>
          <w:sz w:val="16"/>
          <w:szCs w:val="16"/>
        </w:rPr>
        <w:footnoteRef/>
      </w:r>
      <w:r w:rsidRPr="00F27151">
        <w:rPr>
          <w:sz w:val="16"/>
          <w:szCs w:val="16"/>
        </w:rPr>
        <w:t xml:space="preserve"> Defined as </w:t>
      </w:r>
      <w:r w:rsidR="003863F5">
        <w:rPr>
          <w:sz w:val="16"/>
          <w:szCs w:val="16"/>
        </w:rPr>
        <w:t>‘</w:t>
      </w:r>
      <w:r w:rsidRPr="00F27151">
        <w:rPr>
          <w:sz w:val="16"/>
          <w:szCs w:val="16"/>
        </w:rPr>
        <w:t>a short-term stay in hospital of at least one night, which does not involve permanent discharge from permanent residential aged care</w:t>
      </w:r>
      <w:r w:rsidR="003863F5">
        <w:rPr>
          <w:sz w:val="16"/>
          <w:szCs w:val="16"/>
        </w:rPr>
        <w:t>’</w:t>
      </w:r>
    </w:p>
  </w:footnote>
  <w:footnote w:id="6">
    <w:p w14:paraId="01F9A90C" w14:textId="242F8226" w:rsidR="00656608" w:rsidRDefault="00656608">
      <w:pPr>
        <w:pStyle w:val="FootnoteText"/>
      </w:pPr>
      <w:r>
        <w:rPr>
          <w:rStyle w:val="FootnoteReference"/>
        </w:rPr>
        <w:footnoteRef/>
      </w:r>
      <w:r>
        <w:t xml:space="preserve"> </w:t>
      </w:r>
      <w:r w:rsidR="00FA4E03" w:rsidRPr="00FA4E03">
        <w:rPr>
          <w:sz w:val="16"/>
          <w:szCs w:val="16"/>
        </w:rPr>
        <w:t xml:space="preserve">HMA </w:t>
      </w:r>
      <w:r w:rsidR="00A76D4E">
        <w:rPr>
          <w:sz w:val="16"/>
          <w:szCs w:val="16"/>
        </w:rPr>
        <w:t>has</w:t>
      </w:r>
      <w:r w:rsidR="00FA4E03" w:rsidRPr="00FA4E03">
        <w:rPr>
          <w:sz w:val="16"/>
          <w:szCs w:val="16"/>
        </w:rPr>
        <w:t xml:space="preserve"> assumed that the definitions of unplanned hospitalisation are consistent across both PACOP and the Harrison study, and that Harrison et al</w:t>
      </w:r>
      <w:r w:rsidR="00A76D4E">
        <w:rPr>
          <w:sz w:val="16"/>
          <w:szCs w:val="16"/>
        </w:rPr>
        <w:t>.</w:t>
      </w:r>
      <w:r w:rsidR="00FA4E03" w:rsidRPr="00FA4E03">
        <w:rPr>
          <w:sz w:val="16"/>
          <w:szCs w:val="16"/>
        </w:rPr>
        <w:t xml:space="preserve"> 2024 includes </w:t>
      </w:r>
      <w:r w:rsidR="00BF6640">
        <w:rPr>
          <w:sz w:val="16"/>
          <w:szCs w:val="16"/>
        </w:rPr>
        <w:t>relevant</w:t>
      </w:r>
      <w:r w:rsidR="00FA4E03" w:rsidRPr="00FA4E03">
        <w:rPr>
          <w:sz w:val="16"/>
          <w:szCs w:val="16"/>
        </w:rPr>
        <w:t xml:space="preserve"> potentially preventable hospitalisations </w:t>
      </w:r>
      <w:r w:rsidR="00BF6640">
        <w:rPr>
          <w:sz w:val="16"/>
          <w:szCs w:val="16"/>
        </w:rPr>
        <w:t>within the total number of</w:t>
      </w:r>
      <w:r w:rsidR="00FA4E03" w:rsidRPr="00FA4E03">
        <w:rPr>
          <w:sz w:val="16"/>
          <w:szCs w:val="16"/>
        </w:rPr>
        <w:t xml:space="preserve"> unplanned hospitalisations.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A0353" w14:textId="4053143C" w:rsidR="008F76D9" w:rsidRDefault="009F54DA">
    <w:pPr>
      <w:pStyle w:val="Header"/>
    </w:pPr>
    <w:r>
      <w:rPr>
        <w:noProof/>
      </w:rPr>
      <mc:AlternateContent>
        <mc:Choice Requires="wps">
          <w:drawing>
            <wp:anchor distT="0" distB="0" distL="0" distR="0" simplePos="0" relativeHeight="251660302" behindDoc="0" locked="0" layoutInCell="1" allowOverlap="1" wp14:anchorId="4E3C0DA0" wp14:editId="0BBCBED4">
              <wp:simplePos x="635" y="635"/>
              <wp:positionH relativeFrom="page">
                <wp:align>center</wp:align>
              </wp:positionH>
              <wp:positionV relativeFrom="page">
                <wp:align>top</wp:align>
              </wp:positionV>
              <wp:extent cx="622300" cy="427355"/>
              <wp:effectExtent l="0" t="0" r="6350" b="10795"/>
              <wp:wrapNone/>
              <wp:docPr id="526799517"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639B3D4C" w14:textId="558B8804"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3C0DA0" id="_x0000_t202" coordsize="21600,21600" o:spt="202" path="m,l,21600r21600,l21600,xe">
              <v:stroke joinstyle="miter"/>
              <v:path gradientshapeok="t" o:connecttype="rect"/>
            </v:shapetype>
            <v:shape id="Text Box 19" o:spid="_x0000_s1026" type="#_x0000_t202" alt="OFFICIAL" style="position:absolute;margin-left:0;margin-top:0;width:49pt;height:33.65pt;z-index:25166030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uBCQIAABUEAAAOAAAAZHJzL2Uyb0RvYy54bWysU8Fu2zAMvQ/YPwi6L3bSpWuNOEXWIsOA&#10;oC2QFj0rshQbkERBUmJnXz9KtpOt22nYRaZJ6pF8fFrcdVqRo3C+AVPS6SSnRBgOVWP2JX19WX+6&#10;ocQHZiqmwIiSnoSnd8uPHxatLcQMalCVcARBjC9aW9I6BFtkmee10MxPwAqDQQlOs4C/bp9VjrWI&#10;rlU2y/PrrAVXWQdceI/ehz5IlwlfSsHDk5ReBKJKir2FdLp07uKZLRes2Dtm64YPbbB/6EKzxmDR&#10;M9QDC4wcXPMHlG64Aw8yTDjoDKRsuEgz4DTT/N0025pZkWZBcrw90+T/Hyx/PG7tsyOh+wodLjAS&#10;0lpfeHTGeTrpdPxipwTjSOHpTJvoAuHovJ7NrnKMcAx9nn25ms8jSna5bJ0P3wRoEo2SOtxKIosd&#10;Nz70qWNKrGVg3SiVNqPMbw7EjJ7s0mG0QrfrhrZ3UJ1wGgf9or3l6wZrbpgPz8zhZrFNVGt4wkMq&#10;aEsKg0VJDe7H3/wxHwnHKCUtKqWkBqVMifpucBFRVMmY3ubzyIIb3bvRMAd9D6i/KT4Fy5MZ84Ia&#10;TelAv6GOV7EQhpjhWK6kYTTvQy9ZfAdcrFYpCfVjWdiYreUROvIUSXzp3pizA9MBV/QIo4xY8Y7w&#10;Pjfe9HZ1CEh72kbktCdyoBq1l/Y5vJMo7l//U9blNS9/AgAA//8DAFBLAwQUAAYACAAAACEADrLh&#10;0t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J8eQRe5/s9e/AIAAP//AwBQSwECLQAUAAYACAAAACEAtoM4kv4AAADhAQAAEwAAAAAAAAAAAAAA&#10;AAAAAAAAW0NvbnRlbnRfVHlwZXNdLnhtbFBLAQItABQABgAIAAAAIQA4/SH/1gAAAJQBAAALAAAA&#10;AAAAAAAAAAAAAC8BAABfcmVscy8ucmVsc1BLAQItABQABgAIAAAAIQB9jeuBCQIAABUEAAAOAAAA&#10;AAAAAAAAAAAAAC4CAABkcnMvZTJvRG9jLnhtbFBLAQItABQABgAIAAAAIQAOsuHS2QAAAAMBAAAP&#10;AAAAAAAAAAAAAAAAAGMEAABkcnMvZG93bnJldi54bWxQSwUGAAAAAAQABADzAAAAaQUAAAAA&#10;" filled="f" stroked="f">
              <v:textbox style="mso-fit-shape-to-text:t" inset="0,15pt,0,0">
                <w:txbxContent>
                  <w:p w14:paraId="639B3D4C" w14:textId="558B8804"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69F6" w14:textId="634413D3" w:rsidR="008F76D9" w:rsidRDefault="009F54DA">
    <w:pPr>
      <w:pStyle w:val="Header"/>
    </w:pPr>
    <w:r>
      <w:rPr>
        <w:noProof/>
      </w:rPr>
      <mc:AlternateContent>
        <mc:Choice Requires="wps">
          <w:drawing>
            <wp:anchor distT="0" distB="0" distL="0" distR="0" simplePos="0" relativeHeight="251661326" behindDoc="0" locked="0" layoutInCell="1" allowOverlap="1" wp14:anchorId="45B9821C" wp14:editId="42FE88FE">
              <wp:simplePos x="635" y="635"/>
              <wp:positionH relativeFrom="page">
                <wp:align>center</wp:align>
              </wp:positionH>
              <wp:positionV relativeFrom="page">
                <wp:align>top</wp:align>
              </wp:positionV>
              <wp:extent cx="622300" cy="427355"/>
              <wp:effectExtent l="0" t="0" r="6350" b="10795"/>
              <wp:wrapNone/>
              <wp:docPr id="115160679"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27F5A64B" w14:textId="15F946D1"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B9821C" id="_x0000_t202" coordsize="21600,21600" o:spt="202" path="m,l,21600r21600,l21600,xe">
              <v:stroke joinstyle="miter"/>
              <v:path gradientshapeok="t" o:connecttype="rect"/>
            </v:shapetype>
            <v:shape id="Text Box 20" o:spid="_x0000_s1027" type="#_x0000_t202" alt="OFFICIAL" style="position:absolute;margin-left:0;margin-top:0;width:49pt;height:33.65pt;z-index:25166132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ALVCwIAABwEAAAOAAAAZHJzL2Uyb0RvYy54bWysU8Fu2zAMvQ/YPwi6L3bSpduMOEXWIsOA&#10;oi2QDj0rshwbkERBYmJnXz9KjpOu22nYRaZJ6pF8fFrc9Eazg/KhBVvy6STnTFkJVWt3Jf/xvP7w&#10;mbOAwlZCg1UlP6rAb5bv3y06V6gZNKAr5RmB2FB0ruQNoiuyLMhGGREm4JSlYA3eCKRfv8sqLzpC&#10;Nzqb5fl11oGvnAepQiDv3RDky4Rf10riY10HhUyXnHrDdPp0buOZLRei2Hnhmlae2hD/0IURraWi&#10;Z6g7gYLtffsHlGmlhwA1TiSYDOq6lSrNQNNM8zfTbBrhVJqFyAnuTFP4f7Dy4bBxT55h/xV6WmAk&#10;pHOhCOSM8/S1N/FLnTKKE4XHM22qRybJeT2bXeUUkRT6OPt0NZ9HlOxy2fmA3xQYFo2Se9pKIksc&#10;7gMOqWNKrGVh3WqdNqPtbw7CjJ7s0mG0sN/2rK1edb+F6khDeRj2HZxct1T6XgR8Ep4WTN2SaPGR&#10;jlpDV3I4WZw14H/+zR/ziXeKctaRYEpuSdGc6e+W9hG1lYzpl3weyfCjezsadm9ugWQ4pRfhZDJj&#10;HurRrD2YF5LzKhaikLCSypUcR/MWB+XSc5BqtUpJJCMn8N5unIzQka7I5XP/Irw7EY60qQcY1SSK&#10;N7wPufFmcKs9EvtpKZHagcgT4yTBtNbTc4kaf/2fsi6PevkLAAD//wMAUEsDBBQABgAIAAAAIQAO&#10;suHS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nx5BF7n+z178AgAA//8DAFBLAQItABQABgAIAAAAIQC2gziS/gAAAOEBAAATAAAAAAAAAAAA&#10;AAAAAAAAAABbQ29udGVudF9UeXBlc10ueG1sUEsBAi0AFAAGAAgAAAAhADj9If/WAAAAlAEAAAsA&#10;AAAAAAAAAAAAAAAALwEAAF9yZWxzLy5yZWxzUEsBAi0AFAAGAAgAAAAhAJfQAtULAgAAHAQAAA4A&#10;AAAAAAAAAAAAAAAALgIAAGRycy9lMm9Eb2MueG1sUEsBAi0AFAAGAAgAAAAhAA6y4dLZAAAAAwEA&#10;AA8AAAAAAAAAAAAAAAAAZQQAAGRycy9kb3ducmV2LnhtbFBLBQYAAAAABAAEAPMAAABrBQAAAAA=&#10;" filled="f" stroked="f">
              <v:textbox style="mso-fit-shape-to-text:t" inset="0,15pt,0,0">
                <w:txbxContent>
                  <w:p w14:paraId="27F5A64B" w14:textId="15F946D1"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6EDA" w14:textId="550BDA39" w:rsidR="008F76D9" w:rsidRDefault="009F54DA">
    <w:pPr>
      <w:pStyle w:val="Header"/>
    </w:pPr>
    <w:r>
      <w:rPr>
        <w:noProof/>
      </w:rPr>
      <mc:AlternateContent>
        <mc:Choice Requires="wps">
          <w:drawing>
            <wp:anchor distT="0" distB="0" distL="0" distR="0" simplePos="0" relativeHeight="251659278" behindDoc="0" locked="0" layoutInCell="1" allowOverlap="1" wp14:anchorId="42BF8FBA" wp14:editId="317D1BB5">
              <wp:simplePos x="635" y="635"/>
              <wp:positionH relativeFrom="page">
                <wp:align>center</wp:align>
              </wp:positionH>
              <wp:positionV relativeFrom="page">
                <wp:align>top</wp:align>
              </wp:positionV>
              <wp:extent cx="622300" cy="427355"/>
              <wp:effectExtent l="0" t="0" r="6350" b="10795"/>
              <wp:wrapNone/>
              <wp:docPr id="1449797683"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0BD378C0" w14:textId="4ACC09E2"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BF8FBA" id="_x0000_t202" coordsize="21600,21600" o:spt="202" path="m,l,21600r21600,l21600,xe">
              <v:stroke joinstyle="miter"/>
              <v:path gradientshapeok="t" o:connecttype="rect"/>
            </v:shapetype>
            <v:shape id="Text Box 18" o:spid="_x0000_s1030" type="#_x0000_t202" alt="OFFICIAL" style="position:absolute;margin-left:0;margin-top:0;width:49pt;height:33.65pt;z-index:25165927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noe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j5dzecRJbtcdj7gVwUti0bJPW0lkSUO&#10;DwGH1DEl1rKwboxJmzH2NwdhRk926TBa2G971lRUfOx+C9WRhvIw7Ds4uW6o9IMI+Cw8LZi6JdHi&#10;Ex3aQFdyOFmc1eB//M0f84l3inLWkWBKbknRnJlvlvYRtZWM6ed8Hsnwo3s7Gnbf3gHJcEovwslk&#10;xjw0o6k9tK8k51UsRCFhJZUrOY7mHQ7Kpecg1WqVkkhGTuCD3TgZoSNdkcuX/lV4dyIcaVOPMKpJ&#10;FG94H3LjzeBWeyT201IitQORJ8ZJgmmtp+cSNf7rf8q6POrlTwAAAP//AwBQSwMEFAAGAAgAAAAh&#10;AA6y4dL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yfHkEXuf7PXvwCAAD//wMAUEsBAi0AFAAGAAgAAAAhALaDOJL+AAAA4QEAABMAAAAAAAAA&#10;AAAAAAAAAAAAAFtDb250ZW50X1R5cGVzXS54bWxQSwECLQAUAAYACAAAACEAOP0h/9YAAACUAQAA&#10;CwAAAAAAAAAAAAAAAAAvAQAAX3JlbHMvLnJlbHNQSwECLQAUAAYACAAAACEATpJ6Hg0CAAAcBAAA&#10;DgAAAAAAAAAAAAAAAAAuAgAAZHJzL2Uyb0RvYy54bWxQSwECLQAUAAYACAAAACEADrLh0tkAAAAD&#10;AQAADwAAAAAAAAAAAAAAAABnBAAAZHJzL2Rvd25yZXYueG1sUEsFBgAAAAAEAAQA8wAAAG0FAAAA&#10;AA==&#10;" filled="f" stroked="f">
              <v:textbox style="mso-fit-shape-to-text:t" inset="0,15pt,0,0">
                <w:txbxContent>
                  <w:p w14:paraId="0BD378C0" w14:textId="4ACC09E2"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29B6" w14:textId="093940F1" w:rsidR="008F3F46" w:rsidRPr="00E523BB" w:rsidRDefault="009F54DA" w:rsidP="008F3F46">
    <w:pPr>
      <w:pStyle w:val="HeaderA"/>
      <w:rPr>
        <w:rStyle w:val="HeaderBChar"/>
        <w:rFonts w:eastAsia="Garamond"/>
        <w:caps w:val="0"/>
        <w:color w:val="auto"/>
      </w:rPr>
    </w:pPr>
    <w:r>
      <w:rPr>
        <w:noProof/>
      </w:rPr>
      <mc:AlternateContent>
        <mc:Choice Requires="wps">
          <w:drawing>
            <wp:anchor distT="0" distB="0" distL="0" distR="0" simplePos="0" relativeHeight="251662350" behindDoc="0" locked="0" layoutInCell="1" allowOverlap="1" wp14:anchorId="747D1059" wp14:editId="644309E4">
              <wp:simplePos x="635" y="635"/>
              <wp:positionH relativeFrom="page">
                <wp:align>center</wp:align>
              </wp:positionH>
              <wp:positionV relativeFrom="page">
                <wp:align>top</wp:align>
              </wp:positionV>
              <wp:extent cx="622300" cy="427355"/>
              <wp:effectExtent l="0" t="0" r="6350" b="10795"/>
              <wp:wrapNone/>
              <wp:docPr id="1290722535"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18585D6E" w14:textId="110516DC"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7D1059" id="_x0000_t202" coordsize="21600,21600" o:spt="202" path="m,l,21600r21600,l21600,xe">
              <v:stroke joinstyle="miter"/>
              <v:path gradientshapeok="t" o:connecttype="rect"/>
            </v:shapetype>
            <v:shape id="Text Box 21" o:spid="_x0000_s1032" type="#_x0000_t202" alt="OFFICIAL" style="position:absolute;margin-left:0;margin-top:0;width:49pt;height:33.65pt;z-index:2516623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B9l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j5dzecRJbtcdj7gVwUti0bJPW0lkSUO&#10;DwGH1DEl1rKwboxJmzH2NwdhRk926TBa2G971lTUyNj9FqojDeVh2Hdwct1Q6QcR8Fl4WjB1S6LF&#10;Jzq0ga7kcLI4q8H/+Js/5hPvFOWsI8GU3JKiOTPfLO0jaisZ08/5PJLhR/d2NOy+vQOS4ZRehJPJ&#10;jHloRlN7aF9JzqtYiELCSipXchzNOxyUS89BqtUqJZGMnMAHu3EyQke6Ipcv/avw7kQ40qYeYVST&#10;KN7wPuTGm8Gt9kjsp6VEagciT4yTBNNaT88lavzX/5R1edTLnwAAAP//AwBQSwMEFAAGAAgAAAAh&#10;AA6y4dL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yfHkEXuf7PXvwCAAD//wMAUEsBAi0AFAAGAAgAAAAhALaDOJL+AAAA4QEAABMAAAAAAAAA&#10;AAAAAAAAAAAAAFtDb250ZW50X1R5cGVzXS54bWxQSwECLQAUAAYACAAAACEAOP0h/9YAAACUAQAA&#10;CwAAAAAAAAAAAAAAAAAvAQAAX3JlbHMvLnJlbHNQSwECLQAUAAYACAAAACEAlOwfZQ0CAAAcBAAA&#10;DgAAAAAAAAAAAAAAAAAuAgAAZHJzL2Uyb0RvYy54bWxQSwECLQAUAAYACAAAACEADrLh0tkAAAAD&#10;AQAADwAAAAAAAAAAAAAAAABnBAAAZHJzL2Rvd25yZXYueG1sUEsFBgAAAAAEAAQA8wAAAG0FAAAA&#10;AA==&#10;" filled="f" stroked="f">
              <v:textbox style="mso-fit-shape-to-text:t" inset="0,15pt,0,0">
                <w:txbxContent>
                  <w:p w14:paraId="18585D6E" w14:textId="110516DC"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r w:rsidR="008F3F46" w:rsidRPr="00555292">
      <w:t>HEALTHCARE MANAGEMENT ADVISORS</w:t>
    </w:r>
    <w:r w:rsidR="008F3F46" w:rsidRPr="00555292">
      <w:tab/>
    </w:r>
    <w:r w:rsidR="008F3F46" w:rsidRPr="00E523BB">
      <w:rPr>
        <w:rStyle w:val="HeaderBChar"/>
        <w:rFonts w:eastAsia="Garamond"/>
        <w:caps w:val="0"/>
        <w:color w:val="auto"/>
      </w:rPr>
      <w:t xml:space="preserve">Helping create better health services </w:t>
    </w:r>
  </w:p>
  <w:p w14:paraId="03D4FD9E" w14:textId="5BEE8107" w:rsidR="008F3F46" w:rsidRPr="00D36AF1" w:rsidRDefault="008F3F46" w:rsidP="00D36AF1">
    <w:pPr>
      <w:pStyle w:val="HeaderSectionTitle-nonumber"/>
    </w:pPr>
    <w:r w:rsidRPr="00D36AF1">
      <w:fldChar w:fldCharType="begin"/>
    </w:r>
    <w:r w:rsidRPr="00D36AF1">
      <w:instrText xml:space="preserve"> STYLEREF  "</w:instrText>
    </w:r>
    <w:r w:rsidR="00742350">
      <w:instrText xml:space="preserve">TOC </w:instrText>
    </w:r>
    <w:r w:rsidRPr="00D36AF1">
      <w:instrText xml:space="preserve">Heading"  \* MERGEFORMAT </w:instrText>
    </w:r>
    <w:r w:rsidRPr="00D36AF1">
      <w:fldChar w:fldCharType="separate"/>
    </w:r>
    <w:r w:rsidR="001F1918" w:rsidRPr="001F1918">
      <w:rPr>
        <w:b/>
        <w:bCs/>
        <w:lang w:val="en-US"/>
      </w:rPr>
      <w:t>Table of Contents</w:t>
    </w:r>
    <w:r w:rsidRPr="00D36AF1">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0509" w14:textId="660DF4C7" w:rsidR="001150FB" w:rsidRPr="008277DE" w:rsidRDefault="009F54DA" w:rsidP="008F3F46">
    <w:pPr>
      <w:pStyle w:val="HeaderA"/>
      <w:rPr>
        <w:rStyle w:val="HeaderBChar"/>
        <w:rFonts w:eastAsia="Garamond"/>
        <w:caps w:val="0"/>
        <w:color w:val="auto"/>
      </w:rPr>
    </w:pPr>
    <w:r>
      <w:rPr>
        <w:noProof/>
      </w:rPr>
      <mc:AlternateContent>
        <mc:Choice Requires="wps">
          <w:drawing>
            <wp:anchor distT="0" distB="0" distL="0" distR="0" simplePos="0" relativeHeight="251663374" behindDoc="0" locked="0" layoutInCell="1" allowOverlap="1" wp14:anchorId="40746C75" wp14:editId="4CA34839">
              <wp:simplePos x="635" y="635"/>
              <wp:positionH relativeFrom="page">
                <wp:align>center</wp:align>
              </wp:positionH>
              <wp:positionV relativeFrom="page">
                <wp:align>top</wp:align>
              </wp:positionV>
              <wp:extent cx="622300" cy="427355"/>
              <wp:effectExtent l="0" t="0" r="6350" b="10795"/>
              <wp:wrapNone/>
              <wp:docPr id="63187762"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17A6EC3E" w14:textId="79C1C8E8"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746C75" id="_x0000_t202" coordsize="21600,21600" o:spt="202" path="m,l,21600r21600,l21600,xe">
              <v:stroke joinstyle="miter"/>
              <v:path gradientshapeok="t" o:connecttype="rect"/>
            </v:shapetype>
            <v:shape id="Text Box 22" o:spid="_x0000_s1034" type="#_x0000_t202" alt="OFFICIAL" style="position:absolute;margin-left:0;margin-top:0;width:49pt;height:33.65pt;z-index:2516633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lTeDQIAABwEAAAOAAAAZHJzL2Uyb0RvYy54bWysU8Fu2zAMvQ/YPwi6L3bSpeuMOEXWIsOA&#10;oi2QDj0rshwbkERBYmJnXz9KjpOt22nYRaZJ6pF8fFrc9kazg/KhBVvy6STnTFkJVWt3Jf/+sv5w&#10;w1lAYSuhwaqSH1Xgt8v37xadK9QMGtCV8oxAbCg6V/IG0RVZFmSjjAgTcMpSsAZvBNKv32WVFx2h&#10;G53N8vw668BXzoNUIZD3fgjyZcKvayXxqa6DQqZLTr1hOn06t/HMlgtR7LxwTStPbYh/6MKI1lLR&#10;M9S9QMH2vv0DyrTSQ4AaJxJMBnXdSpVmoGmm+ZtpNo1wKs1C5AR3pin8P1j5eNi4Z8+w/wI9LTAS&#10;0rlQBHLGefram/ilThnFicLjmTbVI5PkvJ7NrnKKSAp9nH26ms8jSna57HzArwoMi0bJPW0lkSUO&#10;DwGH1DEl1rKwbrVOm9H2NwdhRk926TBa2G971lYlvxm730J1pKE8DPsOTq5bKv0gAj4LTwumbkm0&#10;+ERHraErOZwszhrwP/7mj/nEO0U560gwJbekaM70N0v7iNpKxvRzPo9k+NG9HQ27N3dAMpzSi3Ay&#10;mTEP9WjWHswryXkVC1FIWEnlSo6jeYeDcuk5SLVapSSSkRP4YDdORuhIV+TypX8V3p0IR9rUI4xq&#10;EsUb3ofceDO41R6J/bSUSO1A5IlxkmBa6+m5RI3/+p+yLo96+RMAAP//AwBQSwMEFAAGAAgAAAAh&#10;AA6y4dL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yfHkEXuf7PXvwCAAD//wMAUEsBAi0AFAAGAAgAAAAhALaDOJL+AAAA4QEAABMAAAAAAAAA&#10;AAAAAAAAAAAAAFtDb250ZW50X1R5cGVzXS54bWxQSwECLQAUAAYACAAAACEAOP0h/9YAAACUAQAA&#10;CwAAAAAAAAAAAAAAAAAvAQAAX3JlbHMvLnJlbHNQSwECLQAUAAYACAAAACEA05JU3g0CAAAcBAAA&#10;DgAAAAAAAAAAAAAAAAAuAgAAZHJzL2Uyb0RvYy54bWxQSwECLQAUAAYACAAAACEADrLh0tkAAAAD&#10;AQAADwAAAAAAAAAAAAAAAABnBAAAZHJzL2Rvd25yZXYueG1sUEsFBgAAAAAEAAQA8wAAAG0FAAAA&#10;AA==&#10;" filled="f" stroked="f">
              <v:textbox style="mso-fit-shape-to-text:t" inset="0,15pt,0,0">
                <w:txbxContent>
                  <w:p w14:paraId="17A6EC3E" w14:textId="79C1C8E8"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r w:rsidR="001150FB" w:rsidRPr="00555292">
      <w:t>HEALTHCARE MANAGEMENT ADVISORS</w:t>
    </w:r>
    <w:r w:rsidR="001150FB" w:rsidRPr="00555292">
      <w:tab/>
    </w:r>
    <w:r w:rsidR="001150FB" w:rsidRPr="008277DE">
      <w:rPr>
        <w:rStyle w:val="HeaderBChar"/>
        <w:rFonts w:eastAsia="Garamond"/>
        <w:caps w:val="0"/>
        <w:color w:val="auto"/>
      </w:rPr>
      <w:t xml:space="preserve">Helping create better health services </w:t>
    </w:r>
  </w:p>
  <w:p w14:paraId="6270FE0A" w14:textId="35A3CE6D" w:rsidR="001150FB" w:rsidRPr="00597301" w:rsidRDefault="001150FB" w:rsidP="008F3F46">
    <w:pPr>
      <w:pStyle w:val="HeaderSectionTitle-nonumber"/>
      <w:tabs>
        <w:tab w:val="left" w:pos="720"/>
        <w:tab w:val="left" w:pos="1440"/>
        <w:tab w:val="left" w:pos="2160"/>
        <w:tab w:val="left" w:pos="10528"/>
      </w:tabs>
    </w:pPr>
    <w:r w:rsidRPr="004D564C">
      <w:rPr>
        <w:lang w:val="en-US"/>
      </w:rPr>
      <w:fldChar w:fldCharType="begin"/>
    </w:r>
    <w:r w:rsidRPr="004D564C">
      <w:rPr>
        <w:lang w:val="en-US"/>
      </w:rPr>
      <w:instrText xml:space="preserve"> STYLEREF  "Heading 1</w:instrText>
    </w:r>
    <w:r w:rsidR="007C373F" w:rsidRPr="004D564C">
      <w:rPr>
        <w:lang w:val="en-US"/>
      </w:rPr>
      <w:instrText>-No Number</w:instrText>
    </w:r>
    <w:r w:rsidRPr="004D564C">
      <w:rPr>
        <w:lang w:val="en-US"/>
      </w:rPr>
      <w:instrText xml:space="preserve">"  \* MERGEFORMAT </w:instrText>
    </w:r>
    <w:r w:rsidRPr="004D564C">
      <w:rPr>
        <w:lang w:val="en-US"/>
      </w:rPr>
      <w:fldChar w:fldCharType="separate"/>
    </w:r>
    <w:r w:rsidR="001F1918">
      <w:rPr>
        <w:lang w:val="en-US"/>
      </w:rPr>
      <w:t>Executive summary</w:t>
    </w:r>
    <w:r w:rsidRPr="004D564C">
      <w:rPr>
        <w:lang w:val="en-U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2ED4" w14:textId="0E68708E" w:rsidR="00866123" w:rsidRPr="0092018D" w:rsidRDefault="009F54DA" w:rsidP="008F3F46">
    <w:pPr>
      <w:pStyle w:val="HeaderA"/>
      <w:rPr>
        <w:rStyle w:val="HeaderBChar"/>
        <w:rFonts w:eastAsia="Garamond"/>
        <w:caps w:val="0"/>
        <w:color w:val="auto"/>
      </w:rPr>
    </w:pPr>
    <w:r>
      <w:rPr>
        <w:noProof/>
      </w:rPr>
      <mc:AlternateContent>
        <mc:Choice Requires="wps">
          <w:drawing>
            <wp:anchor distT="0" distB="0" distL="0" distR="0" simplePos="0" relativeHeight="251664398" behindDoc="0" locked="0" layoutInCell="1" allowOverlap="1" wp14:anchorId="57B29D93" wp14:editId="4B3DACD0">
              <wp:simplePos x="635" y="635"/>
              <wp:positionH relativeFrom="page">
                <wp:align>center</wp:align>
              </wp:positionH>
              <wp:positionV relativeFrom="page">
                <wp:align>top</wp:align>
              </wp:positionV>
              <wp:extent cx="622300" cy="427355"/>
              <wp:effectExtent l="0" t="0" r="6350" b="10795"/>
              <wp:wrapNone/>
              <wp:docPr id="220561014"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00D5381F" w14:textId="0ED6AE7E"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B29D93" id="_x0000_t202" coordsize="21600,21600" o:spt="202" path="m,l,21600r21600,l21600,xe">
              <v:stroke joinstyle="miter"/>
              <v:path gradientshapeok="t" o:connecttype="rect"/>
            </v:shapetype>
            <v:shape id="Text Box 23" o:spid="_x0000_s1036" type="#_x0000_t202" alt="OFFICIAL" style="position:absolute;margin-left:0;margin-top:0;width:49pt;height:33.65pt;z-index:2516643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xSDQIAAB0EAAAOAAAAZHJzL2Uyb0RvYy54bWysU01v2zAMvQ/YfxB0X+ykS9cacYqsRYYB&#10;QVsgLXpWZCk2IIuCxMTOfv0oJU62bqdhF5kmKX689zS761vD9sqHBmzJx6OcM2UlVI3dlvz1Zfnp&#10;hrOAwlbCgFUlP6jA7+YfP8w6V6gJ1GAq5RkVsaHoXMlrRFdkWZC1akUYgVOWghp8K5B+/TarvOio&#10;emuySZ5fZx34ynmQKgTyPhyDfJ7qa60kPmkdFDJTcpoN0+nTuYlnNp+JYuuFqxt5GkP8wxStaCw1&#10;PZd6ECjYzjd/lGob6SGAxpGENgOtG6nSDrTNOH+3zboWTqVdCJzgzjCF/1dWPu7X7tkz7L9CTwRG&#10;QDoXikDOuE+vfRu/NCmjOEF4OMOmemSSnNeTyVVOEUmhz5MvV9NprJJdLjsf8JuClkWj5J5YSWCJ&#10;/SrgMXVIib0sLBtjEjPG/uagmtGTXSaMFvabnjUVTZ/4jK4NVAfaysOR8ODksqHeKxHwWXhimMYl&#10;1eITHdpAV3I4WZzV4H/8zR/zCXiKctaRYkpuSdKcme+WCIniSsb4Np9GNPzg3gyG3bX3QDoc05Nw&#10;MpkxD81gag/tG+l5ERtRSFhJ7UqOg3mPR+nSe5BqsUhJpCMncGXXTsbSEa8I5kv/Jrw7IY5E1SMM&#10;chLFO+CPufFmcIsdEvyJlQuQJ8hJg4nX03uJIv/1P2VdXvX8JwAAAP//AwBQSwMEFAAGAAgAAAAh&#10;AA6y4dL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yfHkEXuf7PXvwCAAD//wMAUEsBAi0AFAAGAAgAAAAhALaDOJL+AAAA4QEAABMAAAAAAAAA&#10;AAAAAAAAAAAAAFtDb250ZW50X1R5cGVzXS54bWxQSwECLQAUAAYACAAAACEAOP0h/9YAAACUAQAA&#10;CwAAAAAAAAAAAAAAAAAvAQAAX3JlbHMvLnJlbHNQSwECLQAUAAYACAAAACEAHkh8Ug0CAAAdBAAA&#10;DgAAAAAAAAAAAAAAAAAuAgAAZHJzL2Uyb0RvYy54bWxQSwECLQAUAAYACAAAACEADrLh0tkAAAAD&#10;AQAADwAAAAAAAAAAAAAAAABnBAAAZHJzL2Rvd25yZXYueG1sUEsFBgAAAAAEAAQA8wAAAG0FAAAA&#10;AA==&#10;" filled="f" stroked="f">
              <v:textbox style="mso-fit-shape-to-text:t" inset="0,15pt,0,0">
                <w:txbxContent>
                  <w:p w14:paraId="00D5381F" w14:textId="0ED6AE7E"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r w:rsidR="00866123" w:rsidRPr="00555292">
      <w:t>HEALTHCARE MANAGEMENT ADVISORS</w:t>
    </w:r>
    <w:r w:rsidR="00866123" w:rsidRPr="00555292">
      <w:tab/>
    </w:r>
    <w:r w:rsidR="00866123" w:rsidRPr="0092018D">
      <w:rPr>
        <w:rStyle w:val="HeaderBChar"/>
        <w:rFonts w:eastAsia="Garamond"/>
        <w:caps w:val="0"/>
        <w:color w:val="auto"/>
      </w:rPr>
      <w:t xml:space="preserve">Helping create better health services </w:t>
    </w:r>
  </w:p>
  <w:p w14:paraId="1AF8451F" w14:textId="6FD4A201" w:rsidR="00866123" w:rsidRPr="00597301" w:rsidRDefault="00AC630D" w:rsidP="008F3F46">
    <w:pPr>
      <w:pStyle w:val="HeaderSectionTitle-nonumber"/>
      <w:tabs>
        <w:tab w:val="left" w:pos="720"/>
        <w:tab w:val="left" w:pos="1440"/>
        <w:tab w:val="left" w:pos="2160"/>
        <w:tab w:val="left" w:pos="10528"/>
      </w:tabs>
    </w:pPr>
    <w:fldSimple w:instr=" STYLEREF  &quot;Heading 1&quot; \n  \* MERGEFORMAT ">
      <w:r w:rsidR="001F1918">
        <w:t>2</w:t>
      </w:r>
    </w:fldSimple>
    <w:r w:rsidR="00866123">
      <w:tab/>
    </w:r>
    <w:r w:rsidR="00866123">
      <w:rPr>
        <w:lang w:val="en-US"/>
      </w:rPr>
      <w:fldChar w:fldCharType="begin"/>
    </w:r>
    <w:r w:rsidR="00866123">
      <w:rPr>
        <w:lang w:val="en-US"/>
      </w:rPr>
      <w:instrText xml:space="preserve"> STYLEREF  "Heading 1"  \* MERGEFORMAT </w:instrText>
    </w:r>
    <w:r w:rsidR="00866123">
      <w:rPr>
        <w:lang w:val="en-US"/>
      </w:rPr>
      <w:fldChar w:fldCharType="separate"/>
    </w:r>
    <w:r w:rsidR="001F1918">
      <w:rPr>
        <w:lang w:val="en-US"/>
      </w:rPr>
      <w:t>Evaluation approach and method</w:t>
    </w:r>
    <w:r w:rsidR="00866123">
      <w:rPr>
        <w:lang w:val="en-U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2127" w14:textId="725FBCAA" w:rsidR="007C373F" w:rsidRPr="00A92D11" w:rsidRDefault="009F54DA" w:rsidP="008F3F46">
    <w:pPr>
      <w:pStyle w:val="HeaderA"/>
      <w:rPr>
        <w:rStyle w:val="HeaderBChar"/>
        <w:rFonts w:eastAsia="Garamond"/>
        <w:caps w:val="0"/>
        <w:color w:val="505050"/>
      </w:rPr>
    </w:pPr>
    <w:r>
      <w:rPr>
        <w:noProof/>
      </w:rPr>
      <mc:AlternateContent>
        <mc:Choice Requires="wps">
          <w:drawing>
            <wp:anchor distT="0" distB="0" distL="0" distR="0" simplePos="0" relativeHeight="251665422" behindDoc="0" locked="0" layoutInCell="1" allowOverlap="1" wp14:anchorId="5DD5BE8A" wp14:editId="4891CB50">
              <wp:simplePos x="635" y="635"/>
              <wp:positionH relativeFrom="page">
                <wp:align>center</wp:align>
              </wp:positionH>
              <wp:positionV relativeFrom="page">
                <wp:align>top</wp:align>
              </wp:positionV>
              <wp:extent cx="622300" cy="427355"/>
              <wp:effectExtent l="0" t="0" r="6350" b="10795"/>
              <wp:wrapNone/>
              <wp:docPr id="772276241"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3122A5D9" w14:textId="1941457C"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D5BE8A" id="_x0000_t202" coordsize="21600,21600" o:spt="202" path="m,l,21600r21600,l21600,xe">
              <v:stroke joinstyle="miter"/>
              <v:path gradientshapeok="t" o:connecttype="rect"/>
            </v:shapetype>
            <v:shape id="Text Box 24" o:spid="_x0000_s1038" type="#_x0000_t202" alt="OFFICIAL" style="position:absolute;margin-left:0;margin-top:0;width:49pt;height:33.65pt;z-index:25166542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kpDgIAAB0EAAAOAAAAZHJzL2Uyb0RvYy54bWysU8Fu2zAMvQ/YPwi6L3bcpWuNOEXWIsOA&#10;oC2QFj0rshQbkERBUmJnXz9KjpOt22nYRaZJ6pF8fJrf9VqRg3C+BVPR6SSnRBgOdWt2FX19WX26&#10;ocQHZmqmwIiKHoWnd4uPH+adLUUBDahaOIIgxpedrWgTgi2zzPNGaOYnYIXBoASnWcBft8tqxzpE&#10;1yor8vw668DV1gEX3qP3YQjSRcKXUvDwJKUXgaiKYm8hnS6d23hmizkrd47ZpuWnNtg/dKFZa7Do&#10;GeqBBUb2rv0DSrfcgQcZJhx0BlK2XKQZcJpp/m6aTcOsSLMgOd6eafL/D5Y/Hjb22ZHQf4UeFxgJ&#10;6awvPTrjPL10On6xU4JxpPB4pk30gXB0XhfFVY4RjqHPxZer2SyiZJfL1vnwTYAm0aiow60ksthh&#10;7cOQOqbEWgZWrVJpM8r85kDM6MkuHUYr9NuetDV2X4ztb6E+4lQOhoV7y1ct1l4zH56Zww1ju6ja&#10;8ISHVNBVFE4WJQ24H3/zx3wkHqOUdKiYihqUNCXqu8GFRHElY3qbzyIbbnRvR8Ps9T2gDqf4JCxP&#10;ZswLajSlA/2Gel7GQhhihmO5iobRvA+DdPE9cLFcpiTUkWVhbTaWR+jIVyTzpX9jzp4YD7iqRxjl&#10;xMp3xA+58aa3y31A+tNWIrcDkSfKUYNpr6f3EkX+63/KurzqxU8AAAD//wMAUEsDBBQABgAIAAAA&#10;IQAOsuHS2QAAAAMBAAAPAAAAZHJzL2Rvd25yZXYueG1sTI9BT8JAEIXvJv6HzZB4k201INZuCTHh&#10;wA1BPS/dsa10Z5ruApVf78BFLy95eZP3vsnng2/VEfvQMBlIxwkopJJdQ5WB9+3yfgYqREvOtkxo&#10;4AcDzIvbm9xmjk/0hsdNrJSUUMisgTrGLtM6lDV6G8bcIUn2xb23UWxfadfbk5T7Vj8kyVR725As&#10;1LbD1xrL/ebgDTSTBccUP1bL70+fcnperybntTF3o2HxAiriEP+O4YIv6FAI044P5IJqDcgj8aqS&#10;Pc/E7QxMnx5BF7n+z178AgAA//8DAFBLAQItABQABgAIAAAAIQC2gziS/gAAAOEBAAATAAAAAAAA&#10;AAAAAAAAAAAAAABbQ29udGVudF9UeXBlc10ueG1sUEsBAi0AFAAGAAgAAAAhADj9If/WAAAAlAEA&#10;AAsAAAAAAAAAAAAAAAAALwEAAF9yZWxzLy5yZWxzUEsBAi0AFAAGAAgAAAAhAMQ2GSkOAgAAHQQA&#10;AA4AAAAAAAAAAAAAAAAALgIAAGRycy9lMm9Eb2MueG1sUEsBAi0AFAAGAAgAAAAhAA6y4dLZAAAA&#10;AwEAAA8AAAAAAAAAAAAAAAAAaAQAAGRycy9kb3ducmV2LnhtbFBLBQYAAAAABAAEAPMAAABuBQAA&#10;AAA=&#10;" filled="f" stroked="f">
              <v:textbox style="mso-fit-shape-to-text:t" inset="0,15pt,0,0">
                <w:txbxContent>
                  <w:p w14:paraId="3122A5D9" w14:textId="1941457C" w:rsidR="009F54DA" w:rsidRPr="009F54DA" w:rsidRDefault="009F54DA" w:rsidP="009F54DA">
                    <w:pPr>
                      <w:spacing w:after="0"/>
                      <w:rPr>
                        <w:rFonts w:ascii="Aptos" w:eastAsia="Aptos" w:hAnsi="Aptos" w:cs="Aptos"/>
                        <w:noProof/>
                        <w:color w:val="FF0000"/>
                        <w:sz w:val="24"/>
                        <w:szCs w:val="24"/>
                      </w:rPr>
                    </w:pPr>
                    <w:r w:rsidRPr="009F54DA">
                      <w:rPr>
                        <w:rFonts w:ascii="Aptos" w:eastAsia="Aptos" w:hAnsi="Aptos" w:cs="Aptos"/>
                        <w:noProof/>
                        <w:color w:val="FF0000"/>
                        <w:sz w:val="24"/>
                        <w:szCs w:val="24"/>
                      </w:rPr>
                      <w:t>OFFICIAL</w:t>
                    </w:r>
                  </w:p>
                </w:txbxContent>
              </v:textbox>
              <w10:wrap anchorx="page" anchory="page"/>
            </v:shape>
          </w:pict>
        </mc:Fallback>
      </mc:AlternateContent>
    </w:r>
    <w:r w:rsidR="007C373F" w:rsidRPr="00555292">
      <w:t>HEALTHCARE MANAGEMENT ADVISORS</w:t>
    </w:r>
    <w:r w:rsidR="007C373F" w:rsidRPr="00555292">
      <w:tab/>
    </w:r>
    <w:r w:rsidR="007C373F" w:rsidRPr="00A92D11">
      <w:rPr>
        <w:rStyle w:val="HeaderBChar"/>
        <w:rFonts w:eastAsia="Garamond"/>
        <w:caps w:val="0"/>
        <w:color w:val="505050"/>
      </w:rPr>
      <w:t xml:space="preserve">Helping create better health services </w:t>
    </w:r>
  </w:p>
  <w:p w14:paraId="164E98D5" w14:textId="2CB09F6C" w:rsidR="007C373F" w:rsidRPr="00597301" w:rsidRDefault="009F54DA" w:rsidP="008F3F46">
    <w:pPr>
      <w:pStyle w:val="HeaderSectionTitle-nonumber"/>
      <w:tabs>
        <w:tab w:val="left" w:pos="720"/>
        <w:tab w:val="left" w:pos="1440"/>
        <w:tab w:val="left" w:pos="2160"/>
        <w:tab w:val="left" w:pos="10528"/>
      </w:tabs>
    </w:pPr>
    <w:fldSimple w:instr=" STYLEREF  &quot;Heading 1&quot; \n  \* MERGEFORMAT ">
      <w:r w:rsidR="001F1918">
        <w:t>9</w:t>
      </w:r>
    </w:fldSimple>
    <w:r w:rsidR="007C373F">
      <w:tab/>
    </w:r>
    <w:r w:rsidR="007C373F">
      <w:rPr>
        <w:lang w:val="en-US"/>
      </w:rPr>
      <w:fldChar w:fldCharType="begin"/>
    </w:r>
    <w:r w:rsidR="007C373F">
      <w:rPr>
        <w:lang w:val="en-US"/>
      </w:rPr>
      <w:instrText xml:space="preserve"> STYLEREF  "Heading 1"  \* MERGEFORMAT </w:instrText>
    </w:r>
    <w:r w:rsidR="007C373F">
      <w:rPr>
        <w:lang w:val="en-US"/>
      </w:rPr>
      <w:fldChar w:fldCharType="separate"/>
    </w:r>
    <w:r w:rsidR="001F1918">
      <w:rPr>
        <w:lang w:val="en-US"/>
      </w:rPr>
      <w:t>Appendices</w:t>
    </w:r>
    <w:r w:rsidR="007C373F">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4B6CDB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0F575F"/>
    <w:multiLevelType w:val="multilevel"/>
    <w:tmpl w:val="25F8F0EE"/>
    <w:styleLink w:val="TableBullets"/>
    <w:lvl w:ilvl="0">
      <w:start w:val="1"/>
      <w:numFmt w:val="bullet"/>
      <w:lvlText w:val="•"/>
      <w:lvlJc w:val="left"/>
      <w:pPr>
        <w:ind w:left="227" w:hanging="170"/>
      </w:pPr>
      <w:rPr>
        <w:rFonts w:ascii="Garamond" w:hAnsi="Garamond" w:hint="default"/>
        <w:color w:val="000000" w:themeColor="text1"/>
        <w:sz w:val="22"/>
      </w:rPr>
    </w:lvl>
    <w:lvl w:ilvl="1">
      <w:start w:val="1"/>
      <w:numFmt w:val="bullet"/>
      <w:lvlText w:val="–"/>
      <w:lvlJc w:val="left"/>
      <w:pPr>
        <w:ind w:left="227" w:hanging="170"/>
      </w:pPr>
      <w:rPr>
        <w:rFonts w:ascii="Garamond" w:hAnsi="Garamond" w:hint="default"/>
        <w:color w:val="54565B" w:themeColor="text2"/>
      </w:rPr>
    </w:lvl>
    <w:lvl w:ilvl="2">
      <w:start w:val="1"/>
      <w:numFmt w:val="bullet"/>
      <w:lvlText w:val="–"/>
      <w:lvlJc w:val="left"/>
      <w:pPr>
        <w:ind w:left="624" w:hanging="170"/>
      </w:pPr>
      <w:rPr>
        <w:rFonts w:ascii="Garamond" w:hAnsi="Garamond" w:hint="default"/>
        <w:color w:val="54565B" w:themeColor="text2"/>
      </w:rPr>
    </w:lvl>
    <w:lvl w:ilvl="3">
      <w:start w:val="1"/>
      <w:numFmt w:val="decimal"/>
      <w:lvlText w:val="%4."/>
      <w:lvlJc w:val="left"/>
      <w:pPr>
        <w:ind w:left="227" w:hanging="170"/>
      </w:pPr>
      <w:rPr>
        <w:rFonts w:hint="default"/>
        <w:color w:val="54565B" w:themeColor="text2"/>
      </w:rPr>
    </w:lvl>
    <w:lvl w:ilvl="4">
      <w:start w:val="1"/>
      <w:numFmt w:val="bullet"/>
      <w:lvlText w:val="•"/>
      <w:lvlJc w:val="left"/>
      <w:pPr>
        <w:ind w:left="227" w:hanging="170"/>
      </w:pPr>
      <w:rPr>
        <w:rFonts w:ascii="Garamond" w:hAnsi="Garamond" w:hint="default"/>
        <w:color w:val="000000" w:themeColor="text1"/>
      </w:rPr>
    </w:lvl>
    <w:lvl w:ilvl="5">
      <w:start w:val="1"/>
      <w:numFmt w:val="bullet"/>
      <w:lvlText w:val="–"/>
      <w:lvlJc w:val="left"/>
      <w:pPr>
        <w:ind w:left="454" w:hanging="227"/>
      </w:pPr>
      <w:rPr>
        <w:rFonts w:ascii="Garamond" w:hAnsi="Garamond" w:hint="default"/>
        <w:color w:val="54565B" w:themeColor="text2"/>
      </w:rPr>
    </w:lvl>
    <w:lvl w:ilvl="6">
      <w:start w:val="1"/>
      <w:numFmt w:val="bullet"/>
      <w:lvlText w:val="–"/>
      <w:lvlJc w:val="left"/>
      <w:pPr>
        <w:ind w:left="624" w:hanging="170"/>
      </w:pPr>
      <w:rPr>
        <w:rFonts w:ascii="Garamond" w:hAnsi="Garamond" w:hint="default"/>
        <w:color w:val="54565B" w:themeColor="text2"/>
      </w:rPr>
    </w:lvl>
    <w:lvl w:ilvl="7">
      <w:start w:val="1"/>
      <w:numFmt w:val="bullet"/>
      <w:lvlText w:val="-"/>
      <w:lvlJc w:val="left"/>
      <w:pPr>
        <w:ind w:left="765" w:hanging="141"/>
      </w:pPr>
      <w:rPr>
        <w:rFonts w:ascii="Garamond" w:hAnsi="Garamond" w:hint="default"/>
        <w:color w:val="54565B" w:themeColor="text2"/>
      </w:rPr>
    </w:lvl>
    <w:lvl w:ilvl="8">
      <w:start w:val="1"/>
      <w:numFmt w:val="bullet"/>
      <w:lvlText w:val="•"/>
      <w:lvlJc w:val="left"/>
      <w:pPr>
        <w:ind w:left="170" w:hanging="170"/>
      </w:pPr>
      <w:rPr>
        <w:rFonts w:ascii="Garamond" w:hAnsi="Garamond" w:hint="default"/>
        <w:color w:val="000000" w:themeColor="text1"/>
      </w:rPr>
    </w:lvl>
  </w:abstractNum>
  <w:abstractNum w:abstractNumId="2" w15:restartNumberingAfterBreak="0">
    <w:nsid w:val="0AC2735F"/>
    <w:multiLevelType w:val="multilevel"/>
    <w:tmpl w:val="DE24CCC0"/>
    <w:styleLink w:val="ListHeadings"/>
    <w:lvl w:ilvl="0">
      <w:start w:val="1"/>
      <w:numFmt w:val="decimal"/>
      <w:pStyle w:val="Heading1"/>
      <w:lvlText w:val="%1"/>
      <w:lvlJc w:val="left"/>
      <w:pPr>
        <w:ind w:left="907" w:hanging="907"/>
      </w:pPr>
      <w:rPr>
        <w:rFonts w:hint="default"/>
      </w:rPr>
    </w:lvl>
    <w:lvl w:ilvl="1">
      <w:start w:val="1"/>
      <w:numFmt w:val="decimal"/>
      <w:pStyle w:val="Heading2"/>
      <w:lvlText w:val="%1.%2"/>
      <w:lvlJc w:val="left"/>
      <w:pPr>
        <w:ind w:left="907" w:hanging="907"/>
      </w:pPr>
      <w:rPr>
        <w:rFonts w:hint="default"/>
      </w:rPr>
    </w:lvl>
    <w:lvl w:ilvl="2">
      <w:start w:val="1"/>
      <w:numFmt w:val="decimal"/>
      <w:pStyle w:val="Heading3"/>
      <w:lvlText w:val="%1.%2.%3"/>
      <w:lvlJc w:val="left"/>
      <w:pPr>
        <w:ind w:left="907" w:hanging="907"/>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AC83D66"/>
    <w:multiLevelType w:val="hybridMultilevel"/>
    <w:tmpl w:val="D422DE6C"/>
    <w:lvl w:ilvl="0" w:tplc="B5C4B44E">
      <w:start w:val="1"/>
      <w:numFmt w:val="bullet"/>
      <w:pStyle w:val="ListBullet3"/>
      <w:lvlText w:val="—"/>
      <w:lvlJc w:val="left"/>
      <w:pPr>
        <w:ind w:left="927" w:hanging="360"/>
      </w:pPr>
      <w:rPr>
        <w:rFonts w:ascii="Neue Haas Grotesk Text Pro" w:hAnsi="Neue Haas Grotesk Text Pr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C87674"/>
    <w:multiLevelType w:val="hybridMultilevel"/>
    <w:tmpl w:val="81D8D3DA"/>
    <w:lvl w:ilvl="0" w:tplc="0332CD12">
      <w:start w:val="1"/>
      <w:numFmt w:val="bullet"/>
      <w:pStyle w:val="TableBulletssmall2"/>
      <w:lvlText w:val="—"/>
      <w:lvlJc w:val="left"/>
      <w:pPr>
        <w:ind w:left="720" w:hanging="360"/>
      </w:pPr>
      <w:rPr>
        <w:rFonts w:ascii="Neue Haas Grotesk Text Pro" w:hAnsi="Neue Haas Grotesk Text Pr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6F37EA"/>
    <w:multiLevelType w:val="multilevel"/>
    <w:tmpl w:val="B532EB14"/>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247" w:hanging="1247"/>
      </w:pPr>
      <w:rPr>
        <w:rFonts w:hint="default"/>
      </w:rPr>
    </w:lvl>
    <w:lvl w:ilvl="4">
      <w:start w:val="1"/>
      <w:numFmt w:val="decimal"/>
      <w:pStyle w:val="ListNumber5"/>
      <w:lvlText w:val="%1.%2.%3.%4.%5"/>
      <w:lvlJc w:val="left"/>
      <w:pPr>
        <w:ind w:left="1588" w:hanging="158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6155739"/>
    <w:multiLevelType w:val="multilevel"/>
    <w:tmpl w:val="3E1C08E6"/>
    <w:styleLink w:val="Lettered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7" w15:restartNumberingAfterBreak="0">
    <w:nsid w:val="16FB52BA"/>
    <w:multiLevelType w:val="hybridMultilevel"/>
    <w:tmpl w:val="5EEE5C1E"/>
    <w:lvl w:ilvl="0" w:tplc="9A622650">
      <w:start w:val="1"/>
      <w:numFmt w:val="bullet"/>
      <w:pStyle w:val="TableBulletssmall1"/>
      <w:lvlText w:val="•"/>
      <w:lvlJc w:val="left"/>
      <w:pPr>
        <w:ind w:left="720" w:hanging="360"/>
      </w:pPr>
      <w:rPr>
        <w:rFonts w:ascii="Neue Haas Grotesk Text Pro" w:hAnsi="Neue Haas Grotesk Text Pr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7777EA"/>
    <w:multiLevelType w:val="hybridMultilevel"/>
    <w:tmpl w:val="A28A09B4"/>
    <w:lvl w:ilvl="0" w:tplc="EDF22248">
      <w:start w:val="1"/>
      <w:numFmt w:val="decimal"/>
      <w:pStyle w:val="Findings"/>
      <w:lvlText w:val="FINDING %1"/>
      <w:lvlJc w:val="left"/>
      <w:pPr>
        <w:ind w:left="360" w:hanging="360"/>
      </w:pPr>
      <w:rPr>
        <w:rFonts w:ascii="Franklin Gothic Medium" w:hAnsi="Franklin Gothic Medium" w:hint="default"/>
      </w:rPr>
    </w:lvl>
    <w:lvl w:ilvl="1" w:tplc="0C090019" w:tentative="1">
      <w:start w:val="1"/>
      <w:numFmt w:val="lowerLetter"/>
      <w:lvlText w:val="%2."/>
      <w:lvlJc w:val="left"/>
      <w:pPr>
        <w:ind w:left="1610" w:hanging="360"/>
      </w:pPr>
    </w:lvl>
    <w:lvl w:ilvl="2" w:tplc="0C09001B" w:tentative="1">
      <w:start w:val="1"/>
      <w:numFmt w:val="lowerRoman"/>
      <w:lvlText w:val="%3."/>
      <w:lvlJc w:val="right"/>
      <w:pPr>
        <w:ind w:left="2330" w:hanging="180"/>
      </w:pPr>
    </w:lvl>
    <w:lvl w:ilvl="3" w:tplc="0C09000F" w:tentative="1">
      <w:start w:val="1"/>
      <w:numFmt w:val="decimal"/>
      <w:lvlText w:val="%4."/>
      <w:lvlJc w:val="left"/>
      <w:pPr>
        <w:ind w:left="3050" w:hanging="360"/>
      </w:pPr>
    </w:lvl>
    <w:lvl w:ilvl="4" w:tplc="0C090019" w:tentative="1">
      <w:start w:val="1"/>
      <w:numFmt w:val="lowerLetter"/>
      <w:lvlText w:val="%5."/>
      <w:lvlJc w:val="left"/>
      <w:pPr>
        <w:ind w:left="3770" w:hanging="360"/>
      </w:pPr>
    </w:lvl>
    <w:lvl w:ilvl="5" w:tplc="0C09001B" w:tentative="1">
      <w:start w:val="1"/>
      <w:numFmt w:val="lowerRoman"/>
      <w:lvlText w:val="%6."/>
      <w:lvlJc w:val="right"/>
      <w:pPr>
        <w:ind w:left="4490" w:hanging="180"/>
      </w:pPr>
    </w:lvl>
    <w:lvl w:ilvl="6" w:tplc="0C09000F" w:tentative="1">
      <w:start w:val="1"/>
      <w:numFmt w:val="decimal"/>
      <w:lvlText w:val="%7."/>
      <w:lvlJc w:val="left"/>
      <w:pPr>
        <w:ind w:left="5210" w:hanging="360"/>
      </w:pPr>
    </w:lvl>
    <w:lvl w:ilvl="7" w:tplc="0C090019" w:tentative="1">
      <w:start w:val="1"/>
      <w:numFmt w:val="lowerLetter"/>
      <w:lvlText w:val="%8."/>
      <w:lvlJc w:val="left"/>
      <w:pPr>
        <w:ind w:left="5930" w:hanging="360"/>
      </w:pPr>
    </w:lvl>
    <w:lvl w:ilvl="8" w:tplc="0C09001B" w:tentative="1">
      <w:start w:val="1"/>
      <w:numFmt w:val="lowerRoman"/>
      <w:lvlText w:val="%9."/>
      <w:lvlJc w:val="right"/>
      <w:pPr>
        <w:ind w:left="6650" w:hanging="180"/>
      </w:pPr>
    </w:lvl>
  </w:abstractNum>
  <w:abstractNum w:abstractNumId="9" w15:restartNumberingAfterBreak="0">
    <w:nsid w:val="1D004A50"/>
    <w:multiLevelType w:val="multilevel"/>
    <w:tmpl w:val="C5A6FCAE"/>
    <w:styleLink w:val="TableBullets0"/>
    <w:lvl w:ilvl="0">
      <w:start w:val="1"/>
      <w:numFmt w:val="bullet"/>
      <w:lvlText w:val="•"/>
      <w:lvlJc w:val="left"/>
      <w:pPr>
        <w:ind w:left="227" w:hanging="170"/>
      </w:pPr>
      <w:rPr>
        <w:rFonts w:ascii="Garamond" w:hAnsi="Garamond" w:hint="default"/>
        <w:color w:val="000000" w:themeColor="text1"/>
        <w:sz w:val="22"/>
      </w:rPr>
    </w:lvl>
    <w:lvl w:ilvl="1">
      <w:start w:val="1"/>
      <w:numFmt w:val="bullet"/>
      <w:lvlText w:val="–"/>
      <w:lvlJc w:val="left"/>
      <w:pPr>
        <w:ind w:left="227" w:hanging="170"/>
      </w:pPr>
      <w:rPr>
        <w:rFonts w:ascii="Garamond" w:hAnsi="Garamond" w:hint="default"/>
        <w:color w:val="54565B" w:themeColor="text2"/>
      </w:rPr>
    </w:lvl>
    <w:lvl w:ilvl="2">
      <w:start w:val="1"/>
      <w:numFmt w:val="bullet"/>
      <w:lvlText w:val="–"/>
      <w:lvlJc w:val="left"/>
      <w:pPr>
        <w:ind w:left="624" w:hanging="170"/>
      </w:pPr>
      <w:rPr>
        <w:rFonts w:ascii="Garamond" w:hAnsi="Garamond" w:hint="default"/>
        <w:color w:val="54565B" w:themeColor="text2"/>
      </w:rPr>
    </w:lvl>
    <w:lvl w:ilvl="3">
      <w:start w:val="1"/>
      <w:numFmt w:val="decimal"/>
      <w:lvlText w:val="%4."/>
      <w:lvlJc w:val="left"/>
      <w:pPr>
        <w:ind w:left="227" w:hanging="170"/>
      </w:pPr>
      <w:rPr>
        <w:rFonts w:hint="default"/>
        <w:color w:val="54565B" w:themeColor="text2"/>
      </w:rPr>
    </w:lvl>
    <w:lvl w:ilvl="4">
      <w:start w:val="1"/>
      <w:numFmt w:val="bullet"/>
      <w:lvlText w:val="•"/>
      <w:lvlJc w:val="left"/>
      <w:pPr>
        <w:ind w:left="227" w:hanging="170"/>
      </w:pPr>
      <w:rPr>
        <w:rFonts w:ascii="Garamond" w:hAnsi="Garamond" w:hint="default"/>
        <w:color w:val="000000" w:themeColor="text1"/>
      </w:rPr>
    </w:lvl>
    <w:lvl w:ilvl="5">
      <w:start w:val="1"/>
      <w:numFmt w:val="bullet"/>
      <w:lvlText w:val="–"/>
      <w:lvlJc w:val="left"/>
      <w:pPr>
        <w:ind w:left="454" w:hanging="227"/>
      </w:pPr>
      <w:rPr>
        <w:rFonts w:ascii="Garamond" w:hAnsi="Garamond" w:hint="default"/>
        <w:color w:val="54565B" w:themeColor="text2"/>
      </w:rPr>
    </w:lvl>
    <w:lvl w:ilvl="6">
      <w:start w:val="1"/>
      <w:numFmt w:val="bullet"/>
      <w:lvlText w:val="–"/>
      <w:lvlJc w:val="left"/>
      <w:pPr>
        <w:ind w:left="624" w:hanging="170"/>
      </w:pPr>
      <w:rPr>
        <w:rFonts w:ascii="Garamond" w:hAnsi="Garamond" w:hint="default"/>
        <w:color w:val="54565B" w:themeColor="text2"/>
      </w:rPr>
    </w:lvl>
    <w:lvl w:ilvl="7">
      <w:start w:val="1"/>
      <w:numFmt w:val="bullet"/>
      <w:lvlText w:val="-"/>
      <w:lvlJc w:val="left"/>
      <w:pPr>
        <w:ind w:left="765" w:hanging="141"/>
      </w:pPr>
      <w:rPr>
        <w:rFonts w:ascii="Garamond" w:hAnsi="Garamond" w:hint="default"/>
        <w:color w:val="54565B" w:themeColor="text2"/>
      </w:rPr>
    </w:lvl>
    <w:lvl w:ilvl="8">
      <w:start w:val="1"/>
      <w:numFmt w:val="bullet"/>
      <w:lvlText w:val="•"/>
      <w:lvlJc w:val="left"/>
      <w:pPr>
        <w:ind w:left="170" w:hanging="170"/>
      </w:pPr>
      <w:rPr>
        <w:rFonts w:ascii="Garamond" w:hAnsi="Garamond" w:hint="default"/>
        <w:color w:val="000000" w:themeColor="text1"/>
      </w:rPr>
    </w:lvl>
  </w:abstractNum>
  <w:abstractNum w:abstractNumId="10" w15:restartNumberingAfterBreak="0">
    <w:nsid w:val="22FF4F3A"/>
    <w:multiLevelType w:val="multilevel"/>
    <w:tmpl w:val="B8CA9C86"/>
    <w:styleLink w:val="SectionList"/>
    <w:lvl w:ilvl="0">
      <w:start w:val="1"/>
      <w:numFmt w:val="upperLetter"/>
      <w:pStyle w:val="SectionTitle"/>
      <w:lvlText w:val="Section %1"/>
      <w:lvlJc w:val="left"/>
      <w:pPr>
        <w:ind w:left="1871" w:hanging="1871"/>
      </w:pPr>
      <w:rPr>
        <w:rFonts w:hint="default"/>
      </w:rPr>
    </w:lvl>
    <w:lvl w:ilvl="1">
      <w:start w:val="1"/>
      <w:numFmt w:val="none"/>
      <w:lvlText w:val="Section %1"/>
      <w:lvlJc w:val="left"/>
      <w:pPr>
        <w:ind w:left="1871" w:hanging="1871"/>
      </w:pPr>
      <w:rPr>
        <w:rFonts w:hint="default"/>
      </w:rPr>
    </w:lvl>
    <w:lvl w:ilvl="2">
      <w:start w:val="1"/>
      <w:numFmt w:val="none"/>
      <w:lvlText w:val="Section %1"/>
      <w:lvlJc w:val="left"/>
      <w:pPr>
        <w:ind w:left="1871" w:hanging="1871"/>
      </w:pPr>
      <w:rPr>
        <w:rFonts w:hint="default"/>
      </w:rPr>
    </w:lvl>
    <w:lvl w:ilvl="3">
      <w:start w:val="1"/>
      <w:numFmt w:val="none"/>
      <w:lvlText w:val="Section %1"/>
      <w:lvlJc w:val="left"/>
      <w:pPr>
        <w:ind w:left="1871" w:hanging="1871"/>
      </w:pPr>
      <w:rPr>
        <w:rFonts w:hint="default"/>
      </w:rPr>
    </w:lvl>
    <w:lvl w:ilvl="4">
      <w:start w:val="1"/>
      <w:numFmt w:val="none"/>
      <w:lvlText w:val="Section %1"/>
      <w:lvlJc w:val="left"/>
      <w:pPr>
        <w:ind w:left="1871" w:hanging="1871"/>
      </w:pPr>
      <w:rPr>
        <w:rFonts w:hint="default"/>
      </w:rPr>
    </w:lvl>
    <w:lvl w:ilvl="5">
      <w:start w:val="1"/>
      <w:numFmt w:val="none"/>
      <w:lvlText w:val="Section %1"/>
      <w:lvlJc w:val="left"/>
      <w:pPr>
        <w:ind w:left="1871" w:hanging="1871"/>
      </w:pPr>
      <w:rPr>
        <w:rFonts w:hint="default"/>
      </w:rPr>
    </w:lvl>
    <w:lvl w:ilvl="6">
      <w:start w:val="1"/>
      <w:numFmt w:val="none"/>
      <w:lvlText w:val="Section %1"/>
      <w:lvlJc w:val="left"/>
      <w:pPr>
        <w:ind w:left="1871" w:hanging="1871"/>
      </w:pPr>
      <w:rPr>
        <w:rFonts w:hint="default"/>
      </w:rPr>
    </w:lvl>
    <w:lvl w:ilvl="7">
      <w:start w:val="1"/>
      <w:numFmt w:val="none"/>
      <w:lvlText w:val="Section %1"/>
      <w:lvlJc w:val="left"/>
      <w:pPr>
        <w:ind w:left="1871" w:hanging="1871"/>
      </w:pPr>
      <w:rPr>
        <w:rFonts w:hint="default"/>
      </w:rPr>
    </w:lvl>
    <w:lvl w:ilvl="8">
      <w:start w:val="1"/>
      <w:numFmt w:val="none"/>
      <w:lvlText w:val="Section %1"/>
      <w:lvlJc w:val="left"/>
      <w:pPr>
        <w:ind w:left="1871" w:hanging="1871"/>
      </w:pPr>
      <w:rPr>
        <w:rFonts w:hint="default"/>
      </w:rPr>
    </w:lvl>
  </w:abstractNum>
  <w:abstractNum w:abstractNumId="11" w15:restartNumberingAfterBreak="0">
    <w:nsid w:val="24435EB6"/>
    <w:multiLevelType w:val="hybridMultilevel"/>
    <w:tmpl w:val="548AA062"/>
    <w:lvl w:ilvl="0" w:tplc="5D866318">
      <w:start w:val="1"/>
      <w:numFmt w:val="decimal"/>
      <w:pStyle w:val="List"/>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DFC6476"/>
    <w:multiLevelType w:val="hybridMultilevel"/>
    <w:tmpl w:val="26388BAA"/>
    <w:lvl w:ilvl="0" w:tplc="146007F0">
      <w:start w:val="1"/>
      <w:numFmt w:val="bullet"/>
      <w:pStyle w:val="ListBullet2"/>
      <w:lvlText w:val="—"/>
      <w:lvlJc w:val="left"/>
      <w:pPr>
        <w:ind w:left="644" w:hanging="360"/>
      </w:pPr>
      <w:rPr>
        <w:rFonts w:ascii="Neue Haas Grotesk Text Pro" w:hAnsi="Neue Haas Grotesk Text Pr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84A0D46"/>
    <w:multiLevelType w:val="hybridMultilevel"/>
    <w:tmpl w:val="04A4667A"/>
    <w:lvl w:ilvl="0" w:tplc="433CC670">
      <w:start w:val="1"/>
      <w:numFmt w:val="decimal"/>
      <w:pStyle w:val="Recommendations"/>
      <w:lvlText w:val="Recommendation %1"/>
      <w:lvlJc w:val="left"/>
      <w:pPr>
        <w:ind w:left="360" w:hanging="360"/>
      </w:pPr>
      <w:rPr>
        <w:rFonts w:ascii="Franklin Gothic Medium" w:hAnsi="Franklin Gothic Medium" w:cs="Franklin Gothic Medium"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A8F0B99"/>
    <w:multiLevelType w:val="hybridMultilevel"/>
    <w:tmpl w:val="A7A27A38"/>
    <w:lvl w:ilvl="0" w:tplc="670EE0E8">
      <w:start w:val="1"/>
      <w:numFmt w:val="bullet"/>
      <w:pStyle w:val="List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CEA706F"/>
    <w:multiLevelType w:val="hybridMultilevel"/>
    <w:tmpl w:val="0E22933A"/>
    <w:lvl w:ilvl="0" w:tplc="C94CDFBE">
      <w:start w:val="1"/>
      <w:numFmt w:val="decimal"/>
      <w:pStyle w:val="Table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3DC5917"/>
    <w:multiLevelType w:val="hybridMultilevel"/>
    <w:tmpl w:val="7732552E"/>
    <w:lvl w:ilvl="0" w:tplc="E88006A2">
      <w:start w:val="1"/>
      <w:numFmt w:val="lowerRoman"/>
      <w:pStyle w:val="List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69274E3"/>
    <w:multiLevelType w:val="hybridMultilevel"/>
    <w:tmpl w:val="48BCA572"/>
    <w:lvl w:ilvl="0" w:tplc="B11E6968">
      <w:start w:val="1"/>
      <w:numFmt w:val="lowerLetter"/>
      <w:pStyle w:val="List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0E1502C"/>
    <w:multiLevelType w:val="multilevel"/>
    <w:tmpl w:val="EBE8C360"/>
    <w:styleLink w:va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9" w15:restartNumberingAfterBreak="0">
    <w:nsid w:val="613455CC"/>
    <w:multiLevelType w:val="multilevel"/>
    <w:tmpl w:val="7428BAD4"/>
    <w:styleLink w:val="PartList"/>
    <w:lvl w:ilvl="0">
      <w:start w:val="1"/>
      <w:numFmt w:val="upperLetter"/>
      <w:pStyle w:val="PARTSectionHeading"/>
      <w:lvlText w:val="Part %1"/>
      <w:lvlJc w:val="left"/>
      <w:pPr>
        <w:tabs>
          <w:tab w:val="num" w:pos="5103"/>
        </w:tabs>
        <w:ind w:left="5103" w:hanging="5103"/>
      </w:pPr>
      <w:rPr>
        <w:rFonts w:hint="default"/>
      </w:rPr>
    </w:lvl>
    <w:lvl w:ilvl="1">
      <w:start w:val="1"/>
      <w:numFmt w:val="none"/>
      <w:lvlText w:val="Part %1"/>
      <w:lvlJc w:val="left"/>
      <w:pPr>
        <w:ind w:left="5103" w:hanging="5103"/>
      </w:pPr>
      <w:rPr>
        <w:rFonts w:hint="default"/>
      </w:rPr>
    </w:lvl>
    <w:lvl w:ilvl="2">
      <w:start w:val="1"/>
      <w:numFmt w:val="none"/>
      <w:lvlText w:val="Part %1"/>
      <w:lvlJc w:val="left"/>
      <w:pPr>
        <w:ind w:left="5103" w:hanging="5103"/>
      </w:pPr>
      <w:rPr>
        <w:rFonts w:hint="default"/>
      </w:rPr>
    </w:lvl>
    <w:lvl w:ilvl="3">
      <w:start w:val="1"/>
      <w:numFmt w:val="none"/>
      <w:lvlText w:val="Part %1"/>
      <w:lvlJc w:val="left"/>
      <w:pPr>
        <w:ind w:left="5103" w:hanging="5103"/>
      </w:pPr>
      <w:rPr>
        <w:rFonts w:hint="default"/>
      </w:rPr>
    </w:lvl>
    <w:lvl w:ilvl="4">
      <w:start w:val="1"/>
      <w:numFmt w:val="none"/>
      <w:lvlText w:val="Part %1"/>
      <w:lvlJc w:val="left"/>
      <w:pPr>
        <w:ind w:left="5103" w:hanging="5103"/>
      </w:pPr>
      <w:rPr>
        <w:rFonts w:hint="default"/>
      </w:rPr>
    </w:lvl>
    <w:lvl w:ilvl="5">
      <w:start w:val="1"/>
      <w:numFmt w:val="none"/>
      <w:lvlText w:val="Part %1"/>
      <w:lvlJc w:val="left"/>
      <w:pPr>
        <w:ind w:left="5103" w:hanging="5103"/>
      </w:pPr>
      <w:rPr>
        <w:rFonts w:hint="default"/>
      </w:rPr>
    </w:lvl>
    <w:lvl w:ilvl="6">
      <w:start w:val="1"/>
      <w:numFmt w:val="none"/>
      <w:lvlText w:val="Part %1"/>
      <w:lvlJc w:val="left"/>
      <w:pPr>
        <w:ind w:left="5103" w:hanging="5103"/>
      </w:pPr>
      <w:rPr>
        <w:rFonts w:hint="default"/>
      </w:rPr>
    </w:lvl>
    <w:lvl w:ilvl="7">
      <w:start w:val="1"/>
      <w:numFmt w:val="none"/>
      <w:lvlText w:val="Part %1"/>
      <w:lvlJc w:val="left"/>
      <w:pPr>
        <w:ind w:left="5103" w:hanging="5103"/>
      </w:pPr>
      <w:rPr>
        <w:rFonts w:hint="default"/>
      </w:rPr>
    </w:lvl>
    <w:lvl w:ilvl="8">
      <w:start w:val="1"/>
      <w:numFmt w:val="none"/>
      <w:lvlText w:val="Part %1"/>
      <w:lvlJc w:val="left"/>
      <w:pPr>
        <w:ind w:left="5103" w:hanging="5103"/>
      </w:pPr>
      <w:rPr>
        <w:rFonts w:hint="default"/>
      </w:rPr>
    </w:lvl>
  </w:abstractNum>
  <w:abstractNum w:abstractNumId="20" w15:restartNumberingAfterBreak="0">
    <w:nsid w:val="6A1205E8"/>
    <w:multiLevelType w:val="hybridMultilevel"/>
    <w:tmpl w:val="D82A75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CF71C55"/>
    <w:multiLevelType w:val="hybridMultilevel"/>
    <w:tmpl w:val="091CC1E4"/>
    <w:lvl w:ilvl="0" w:tplc="14AC5246">
      <w:start w:val="1"/>
      <w:numFmt w:val="bullet"/>
      <w:pStyle w:val="TableBullets2"/>
      <w:lvlText w:val="—"/>
      <w:lvlJc w:val="left"/>
      <w:pPr>
        <w:ind w:left="720" w:hanging="360"/>
      </w:pPr>
      <w:rPr>
        <w:rFonts w:ascii="Neue Haas Grotesk Text Pro" w:hAnsi="Neue Haas Grotesk Text Pro" w:hint="default"/>
      </w:rPr>
    </w:lvl>
    <w:lvl w:ilvl="1" w:tplc="0C090003" w:tentative="1">
      <w:start w:val="1"/>
      <w:numFmt w:val="bullet"/>
      <w:lvlText w:val="o"/>
      <w:lvlJc w:val="left"/>
      <w:pPr>
        <w:ind w:left="1743" w:hanging="360"/>
      </w:pPr>
      <w:rPr>
        <w:rFonts w:ascii="Courier New" w:hAnsi="Courier New" w:cs="Courier New" w:hint="default"/>
      </w:rPr>
    </w:lvl>
    <w:lvl w:ilvl="2" w:tplc="0C090005" w:tentative="1">
      <w:start w:val="1"/>
      <w:numFmt w:val="bullet"/>
      <w:lvlText w:val=""/>
      <w:lvlJc w:val="left"/>
      <w:pPr>
        <w:ind w:left="2463" w:hanging="360"/>
      </w:pPr>
      <w:rPr>
        <w:rFonts w:ascii="Wingdings" w:hAnsi="Wingdings" w:hint="default"/>
      </w:rPr>
    </w:lvl>
    <w:lvl w:ilvl="3" w:tplc="0C090001">
      <w:start w:val="1"/>
      <w:numFmt w:val="bullet"/>
      <w:lvlText w:val=""/>
      <w:lvlJc w:val="left"/>
      <w:pPr>
        <w:ind w:left="3183" w:hanging="360"/>
      </w:pPr>
      <w:rPr>
        <w:rFonts w:ascii="Symbol" w:hAnsi="Symbol" w:hint="default"/>
      </w:rPr>
    </w:lvl>
    <w:lvl w:ilvl="4" w:tplc="0C090003" w:tentative="1">
      <w:start w:val="1"/>
      <w:numFmt w:val="bullet"/>
      <w:lvlText w:val="o"/>
      <w:lvlJc w:val="left"/>
      <w:pPr>
        <w:ind w:left="3903" w:hanging="360"/>
      </w:pPr>
      <w:rPr>
        <w:rFonts w:ascii="Courier New" w:hAnsi="Courier New" w:cs="Courier New" w:hint="default"/>
      </w:rPr>
    </w:lvl>
    <w:lvl w:ilvl="5" w:tplc="0C090005" w:tentative="1">
      <w:start w:val="1"/>
      <w:numFmt w:val="bullet"/>
      <w:lvlText w:val=""/>
      <w:lvlJc w:val="left"/>
      <w:pPr>
        <w:ind w:left="4623" w:hanging="360"/>
      </w:pPr>
      <w:rPr>
        <w:rFonts w:ascii="Wingdings" w:hAnsi="Wingdings" w:hint="default"/>
      </w:rPr>
    </w:lvl>
    <w:lvl w:ilvl="6" w:tplc="0C090001" w:tentative="1">
      <w:start w:val="1"/>
      <w:numFmt w:val="bullet"/>
      <w:lvlText w:val=""/>
      <w:lvlJc w:val="left"/>
      <w:pPr>
        <w:ind w:left="5343" w:hanging="360"/>
      </w:pPr>
      <w:rPr>
        <w:rFonts w:ascii="Symbol" w:hAnsi="Symbol" w:hint="default"/>
      </w:rPr>
    </w:lvl>
    <w:lvl w:ilvl="7" w:tplc="0C090003" w:tentative="1">
      <w:start w:val="1"/>
      <w:numFmt w:val="bullet"/>
      <w:lvlText w:val="o"/>
      <w:lvlJc w:val="left"/>
      <w:pPr>
        <w:ind w:left="6063" w:hanging="360"/>
      </w:pPr>
      <w:rPr>
        <w:rFonts w:ascii="Courier New" w:hAnsi="Courier New" w:cs="Courier New" w:hint="default"/>
      </w:rPr>
    </w:lvl>
    <w:lvl w:ilvl="8" w:tplc="0C090005" w:tentative="1">
      <w:start w:val="1"/>
      <w:numFmt w:val="bullet"/>
      <w:lvlText w:val=""/>
      <w:lvlJc w:val="left"/>
      <w:pPr>
        <w:ind w:left="6783" w:hanging="360"/>
      </w:pPr>
      <w:rPr>
        <w:rFonts w:ascii="Wingdings" w:hAnsi="Wingdings" w:hint="default"/>
      </w:rPr>
    </w:lvl>
  </w:abstractNum>
  <w:abstractNum w:abstractNumId="22" w15:restartNumberingAfterBreak="0">
    <w:nsid w:val="6F322CAB"/>
    <w:multiLevelType w:val="hybridMultilevel"/>
    <w:tmpl w:val="7744075A"/>
    <w:lvl w:ilvl="0" w:tplc="674C5692">
      <w:start w:val="1"/>
      <w:numFmt w:val="bullet"/>
      <w:pStyle w:val="TableBullets1"/>
      <w:lvlText w:val="•"/>
      <w:lvlJc w:val="left"/>
      <w:pPr>
        <w:ind w:left="720" w:hanging="360"/>
      </w:pPr>
      <w:rPr>
        <w:rFonts w:ascii="Neue Haas Grotesk Text Pro" w:hAnsi="Neue Haas Grotesk Text Pr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6741C77"/>
    <w:multiLevelType w:val="multilevel"/>
    <w:tmpl w:val="5E288740"/>
    <w:styleLink w:val="AppendixHeadingList"/>
    <w:lvl w:ilvl="0">
      <w:start w:val="1"/>
      <w:numFmt w:val="upperLetter"/>
      <w:pStyle w:val="Heading-Appendix"/>
      <w:lvlText w:val="Appendix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03418277">
    <w:abstractNumId w:val="18"/>
  </w:num>
  <w:num w:numId="2" w16cid:durableId="846598071">
    <w:abstractNumId w:val="5"/>
  </w:num>
  <w:num w:numId="3" w16cid:durableId="659580476">
    <w:abstractNumId w:val="2"/>
  </w:num>
  <w:num w:numId="4" w16cid:durableId="444039133">
    <w:abstractNumId w:val="6"/>
  </w:num>
  <w:num w:numId="5" w16cid:durableId="100730259">
    <w:abstractNumId w:val="9"/>
  </w:num>
  <w:num w:numId="6" w16cid:durableId="1785298186">
    <w:abstractNumId w:val="19"/>
  </w:num>
  <w:num w:numId="7" w16cid:durableId="1069504136">
    <w:abstractNumId w:val="10"/>
  </w:num>
  <w:num w:numId="8" w16cid:durableId="173226504">
    <w:abstractNumId w:val="23"/>
  </w:num>
  <w:num w:numId="9" w16cid:durableId="553347944">
    <w:abstractNumId w:val="8"/>
  </w:num>
  <w:num w:numId="10" w16cid:durableId="1880314456">
    <w:abstractNumId w:val="23"/>
  </w:num>
  <w:num w:numId="11" w16cid:durableId="680472901">
    <w:abstractNumId w:val="11"/>
  </w:num>
  <w:num w:numId="12" w16cid:durableId="83647004">
    <w:abstractNumId w:val="17"/>
  </w:num>
  <w:num w:numId="13" w16cid:durableId="1562911073">
    <w:abstractNumId w:val="16"/>
  </w:num>
  <w:num w:numId="14" w16cid:durableId="200938882">
    <w:abstractNumId w:val="14"/>
  </w:num>
  <w:num w:numId="15" w16cid:durableId="328561995">
    <w:abstractNumId w:val="12"/>
  </w:num>
  <w:num w:numId="16" w16cid:durableId="853498348">
    <w:abstractNumId w:val="3"/>
  </w:num>
  <w:num w:numId="17" w16cid:durableId="824276444">
    <w:abstractNumId w:val="2"/>
  </w:num>
  <w:num w:numId="18" w16cid:durableId="1375613993">
    <w:abstractNumId w:val="5"/>
  </w:num>
  <w:num w:numId="19" w16cid:durableId="475418076">
    <w:abstractNumId w:val="19"/>
  </w:num>
  <w:num w:numId="20" w16cid:durableId="621418266">
    <w:abstractNumId w:val="13"/>
  </w:num>
  <w:num w:numId="21" w16cid:durableId="1437021044">
    <w:abstractNumId w:val="10"/>
  </w:num>
  <w:num w:numId="22" w16cid:durableId="569462229">
    <w:abstractNumId w:val="1"/>
  </w:num>
  <w:num w:numId="23" w16cid:durableId="854266464">
    <w:abstractNumId w:val="7"/>
  </w:num>
  <w:num w:numId="24" w16cid:durableId="703872872">
    <w:abstractNumId w:val="4"/>
  </w:num>
  <w:num w:numId="25" w16cid:durableId="1940017751">
    <w:abstractNumId w:val="22"/>
  </w:num>
  <w:num w:numId="26" w16cid:durableId="1917744502">
    <w:abstractNumId w:val="21"/>
  </w:num>
  <w:num w:numId="27" w16cid:durableId="1917664049">
    <w:abstractNumId w:val="15"/>
  </w:num>
  <w:num w:numId="28" w16cid:durableId="1814593370">
    <w:abstractNumId w:val="20"/>
  </w:num>
  <w:num w:numId="29" w16cid:durableId="991636497">
    <w:abstractNumId w:val="11"/>
    <w:lvlOverride w:ilvl="0">
      <w:startOverride w:val="1"/>
    </w:lvlOverride>
  </w:num>
  <w:num w:numId="30" w16cid:durableId="696929831">
    <w:abstractNumId w:val="11"/>
    <w:lvlOverride w:ilvl="0">
      <w:startOverride w:val="1"/>
    </w:lvlOverride>
  </w:num>
  <w:num w:numId="31" w16cid:durableId="521436738">
    <w:abstractNumId w:val="11"/>
    <w:lvlOverride w:ilvl="0">
      <w:startOverride w:val="1"/>
    </w:lvlOverride>
  </w:num>
  <w:num w:numId="32" w16cid:durableId="1374427631">
    <w:abstractNumId w:val="11"/>
    <w:lvlOverride w:ilvl="0">
      <w:startOverride w:val="1"/>
    </w:lvlOverride>
  </w:num>
  <w:num w:numId="33" w16cid:durableId="132990212">
    <w:abstractNumId w:val="11"/>
    <w:lvlOverride w:ilvl="0">
      <w:startOverride w:val="1"/>
    </w:lvlOverride>
  </w:num>
  <w:num w:numId="34" w16cid:durableId="498429191">
    <w:abstractNumId w:val="11"/>
    <w:lvlOverride w:ilvl="0">
      <w:startOverride w:val="1"/>
    </w:lvlOverride>
  </w:num>
  <w:num w:numId="35" w16cid:durableId="1859390128">
    <w:abstractNumId w:val="15"/>
    <w:lvlOverride w:ilvl="0">
      <w:startOverride w:val="1"/>
    </w:lvlOverride>
  </w:num>
  <w:num w:numId="36" w16cid:durableId="1109082089">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20"/>
    <w:rsid w:val="00000011"/>
    <w:rsid w:val="000000D1"/>
    <w:rsid w:val="00000284"/>
    <w:rsid w:val="0000043F"/>
    <w:rsid w:val="00000673"/>
    <w:rsid w:val="000006D8"/>
    <w:rsid w:val="00000906"/>
    <w:rsid w:val="0000091B"/>
    <w:rsid w:val="00000B46"/>
    <w:rsid w:val="00001081"/>
    <w:rsid w:val="000010D9"/>
    <w:rsid w:val="000010FE"/>
    <w:rsid w:val="000011D5"/>
    <w:rsid w:val="00001256"/>
    <w:rsid w:val="0000185A"/>
    <w:rsid w:val="00001C67"/>
    <w:rsid w:val="00001DBA"/>
    <w:rsid w:val="00001E67"/>
    <w:rsid w:val="00001E84"/>
    <w:rsid w:val="00001F88"/>
    <w:rsid w:val="0000214B"/>
    <w:rsid w:val="00002514"/>
    <w:rsid w:val="0000269E"/>
    <w:rsid w:val="000027A5"/>
    <w:rsid w:val="000029AC"/>
    <w:rsid w:val="00002AF5"/>
    <w:rsid w:val="00002DFC"/>
    <w:rsid w:val="00002E31"/>
    <w:rsid w:val="00002F19"/>
    <w:rsid w:val="000030E1"/>
    <w:rsid w:val="000031EA"/>
    <w:rsid w:val="00003230"/>
    <w:rsid w:val="00003525"/>
    <w:rsid w:val="000035E2"/>
    <w:rsid w:val="000036DA"/>
    <w:rsid w:val="000038DC"/>
    <w:rsid w:val="00003A51"/>
    <w:rsid w:val="00003A97"/>
    <w:rsid w:val="00003AC5"/>
    <w:rsid w:val="00003BB5"/>
    <w:rsid w:val="00003C96"/>
    <w:rsid w:val="00003F7E"/>
    <w:rsid w:val="00004097"/>
    <w:rsid w:val="000043FA"/>
    <w:rsid w:val="00004456"/>
    <w:rsid w:val="000044AF"/>
    <w:rsid w:val="0000475F"/>
    <w:rsid w:val="00004839"/>
    <w:rsid w:val="0000499E"/>
    <w:rsid w:val="00004B11"/>
    <w:rsid w:val="00004CD2"/>
    <w:rsid w:val="00004EE1"/>
    <w:rsid w:val="000053C9"/>
    <w:rsid w:val="00005758"/>
    <w:rsid w:val="0000583F"/>
    <w:rsid w:val="000059E1"/>
    <w:rsid w:val="00005A33"/>
    <w:rsid w:val="00005C4C"/>
    <w:rsid w:val="00006003"/>
    <w:rsid w:val="000061C3"/>
    <w:rsid w:val="0000684B"/>
    <w:rsid w:val="00006855"/>
    <w:rsid w:val="00006960"/>
    <w:rsid w:val="00006A51"/>
    <w:rsid w:val="00006AEE"/>
    <w:rsid w:val="00006C32"/>
    <w:rsid w:val="00007046"/>
    <w:rsid w:val="00007062"/>
    <w:rsid w:val="00007073"/>
    <w:rsid w:val="0000724E"/>
    <w:rsid w:val="000073C3"/>
    <w:rsid w:val="000076FF"/>
    <w:rsid w:val="0000770C"/>
    <w:rsid w:val="0000781B"/>
    <w:rsid w:val="000078DD"/>
    <w:rsid w:val="000078E9"/>
    <w:rsid w:val="00007929"/>
    <w:rsid w:val="00007B0D"/>
    <w:rsid w:val="00007B54"/>
    <w:rsid w:val="00007B9C"/>
    <w:rsid w:val="00007C83"/>
    <w:rsid w:val="00007E31"/>
    <w:rsid w:val="00007E76"/>
    <w:rsid w:val="00010021"/>
    <w:rsid w:val="000100CB"/>
    <w:rsid w:val="000100D9"/>
    <w:rsid w:val="0001014E"/>
    <w:rsid w:val="000104F3"/>
    <w:rsid w:val="000106E0"/>
    <w:rsid w:val="00010771"/>
    <w:rsid w:val="00010811"/>
    <w:rsid w:val="00010C44"/>
    <w:rsid w:val="00010D7B"/>
    <w:rsid w:val="00010E2F"/>
    <w:rsid w:val="00010E6B"/>
    <w:rsid w:val="0001111F"/>
    <w:rsid w:val="000111D2"/>
    <w:rsid w:val="0001132E"/>
    <w:rsid w:val="0001144D"/>
    <w:rsid w:val="00011641"/>
    <w:rsid w:val="0001165C"/>
    <w:rsid w:val="00011E9E"/>
    <w:rsid w:val="00011F39"/>
    <w:rsid w:val="000120F4"/>
    <w:rsid w:val="000122B2"/>
    <w:rsid w:val="0001233A"/>
    <w:rsid w:val="0001239B"/>
    <w:rsid w:val="00012489"/>
    <w:rsid w:val="0001251C"/>
    <w:rsid w:val="0001254C"/>
    <w:rsid w:val="000125BD"/>
    <w:rsid w:val="000125BE"/>
    <w:rsid w:val="00012679"/>
    <w:rsid w:val="00012699"/>
    <w:rsid w:val="000126DB"/>
    <w:rsid w:val="00012875"/>
    <w:rsid w:val="00012BED"/>
    <w:rsid w:val="00012BFA"/>
    <w:rsid w:val="00012C86"/>
    <w:rsid w:val="00012D0A"/>
    <w:rsid w:val="00012E10"/>
    <w:rsid w:val="00012F0E"/>
    <w:rsid w:val="000130B2"/>
    <w:rsid w:val="00013169"/>
    <w:rsid w:val="000132E7"/>
    <w:rsid w:val="00013390"/>
    <w:rsid w:val="00013458"/>
    <w:rsid w:val="000134C4"/>
    <w:rsid w:val="0001358D"/>
    <w:rsid w:val="000136AE"/>
    <w:rsid w:val="000136D4"/>
    <w:rsid w:val="0001374B"/>
    <w:rsid w:val="0001376A"/>
    <w:rsid w:val="00013858"/>
    <w:rsid w:val="00013A43"/>
    <w:rsid w:val="00013B6A"/>
    <w:rsid w:val="00013D42"/>
    <w:rsid w:val="00014127"/>
    <w:rsid w:val="0001420A"/>
    <w:rsid w:val="0001431D"/>
    <w:rsid w:val="00014351"/>
    <w:rsid w:val="0001448B"/>
    <w:rsid w:val="000144B0"/>
    <w:rsid w:val="0001451C"/>
    <w:rsid w:val="00014528"/>
    <w:rsid w:val="00014554"/>
    <w:rsid w:val="0001457A"/>
    <w:rsid w:val="000145FB"/>
    <w:rsid w:val="00014616"/>
    <w:rsid w:val="00014CD3"/>
    <w:rsid w:val="00014F1C"/>
    <w:rsid w:val="00015029"/>
    <w:rsid w:val="0001507F"/>
    <w:rsid w:val="000150F5"/>
    <w:rsid w:val="00015144"/>
    <w:rsid w:val="0001520E"/>
    <w:rsid w:val="00015267"/>
    <w:rsid w:val="0001531F"/>
    <w:rsid w:val="0001557B"/>
    <w:rsid w:val="000155CF"/>
    <w:rsid w:val="00015691"/>
    <w:rsid w:val="000156D2"/>
    <w:rsid w:val="000157E6"/>
    <w:rsid w:val="00015960"/>
    <w:rsid w:val="000159C8"/>
    <w:rsid w:val="00015B2C"/>
    <w:rsid w:val="00015C3F"/>
    <w:rsid w:val="00015D76"/>
    <w:rsid w:val="00015E92"/>
    <w:rsid w:val="00015FAB"/>
    <w:rsid w:val="0001612D"/>
    <w:rsid w:val="00016189"/>
    <w:rsid w:val="00016290"/>
    <w:rsid w:val="000162F4"/>
    <w:rsid w:val="0001640A"/>
    <w:rsid w:val="000164AF"/>
    <w:rsid w:val="00016580"/>
    <w:rsid w:val="00016630"/>
    <w:rsid w:val="00016740"/>
    <w:rsid w:val="000167C4"/>
    <w:rsid w:val="000167D8"/>
    <w:rsid w:val="0001682C"/>
    <w:rsid w:val="0001697E"/>
    <w:rsid w:val="00016B98"/>
    <w:rsid w:val="00016EE2"/>
    <w:rsid w:val="00016FB4"/>
    <w:rsid w:val="00017038"/>
    <w:rsid w:val="00017288"/>
    <w:rsid w:val="00017446"/>
    <w:rsid w:val="0001751E"/>
    <w:rsid w:val="000178CF"/>
    <w:rsid w:val="00017936"/>
    <w:rsid w:val="00017968"/>
    <w:rsid w:val="00017A94"/>
    <w:rsid w:val="00017B10"/>
    <w:rsid w:val="00017B36"/>
    <w:rsid w:val="00017B5C"/>
    <w:rsid w:val="00017D60"/>
    <w:rsid w:val="00017D6B"/>
    <w:rsid w:val="00017DB3"/>
    <w:rsid w:val="00017FB4"/>
    <w:rsid w:val="00017FBA"/>
    <w:rsid w:val="00020022"/>
    <w:rsid w:val="00020103"/>
    <w:rsid w:val="0002022F"/>
    <w:rsid w:val="00020335"/>
    <w:rsid w:val="00020686"/>
    <w:rsid w:val="000207E3"/>
    <w:rsid w:val="000208FB"/>
    <w:rsid w:val="0002093A"/>
    <w:rsid w:val="000209C0"/>
    <w:rsid w:val="00020A84"/>
    <w:rsid w:val="00020B16"/>
    <w:rsid w:val="00020DD5"/>
    <w:rsid w:val="00020EC2"/>
    <w:rsid w:val="00020F70"/>
    <w:rsid w:val="0002100A"/>
    <w:rsid w:val="000210CB"/>
    <w:rsid w:val="000212DA"/>
    <w:rsid w:val="0002138D"/>
    <w:rsid w:val="00021403"/>
    <w:rsid w:val="000214BE"/>
    <w:rsid w:val="00021583"/>
    <w:rsid w:val="000215B5"/>
    <w:rsid w:val="00021687"/>
    <w:rsid w:val="000218C8"/>
    <w:rsid w:val="00021908"/>
    <w:rsid w:val="000219FE"/>
    <w:rsid w:val="00021AA1"/>
    <w:rsid w:val="00021B37"/>
    <w:rsid w:val="00021CC0"/>
    <w:rsid w:val="00021E2B"/>
    <w:rsid w:val="0002203D"/>
    <w:rsid w:val="00022374"/>
    <w:rsid w:val="000223E6"/>
    <w:rsid w:val="00022630"/>
    <w:rsid w:val="0002267C"/>
    <w:rsid w:val="00022766"/>
    <w:rsid w:val="000229C4"/>
    <w:rsid w:val="00022D56"/>
    <w:rsid w:val="000232B5"/>
    <w:rsid w:val="000235B9"/>
    <w:rsid w:val="00023862"/>
    <w:rsid w:val="00023A30"/>
    <w:rsid w:val="00023B2B"/>
    <w:rsid w:val="00023D82"/>
    <w:rsid w:val="00023ED8"/>
    <w:rsid w:val="00024049"/>
    <w:rsid w:val="0002409E"/>
    <w:rsid w:val="000242C7"/>
    <w:rsid w:val="000243D1"/>
    <w:rsid w:val="000244AC"/>
    <w:rsid w:val="00024540"/>
    <w:rsid w:val="00024883"/>
    <w:rsid w:val="000248A5"/>
    <w:rsid w:val="00024936"/>
    <w:rsid w:val="00024BA0"/>
    <w:rsid w:val="00024D85"/>
    <w:rsid w:val="00024E8C"/>
    <w:rsid w:val="00024FE3"/>
    <w:rsid w:val="00025025"/>
    <w:rsid w:val="00025388"/>
    <w:rsid w:val="0002554C"/>
    <w:rsid w:val="000255C4"/>
    <w:rsid w:val="000255F7"/>
    <w:rsid w:val="0002583F"/>
    <w:rsid w:val="00025C6A"/>
    <w:rsid w:val="00025D28"/>
    <w:rsid w:val="00025F4F"/>
    <w:rsid w:val="000260BC"/>
    <w:rsid w:val="0002629E"/>
    <w:rsid w:val="000262C7"/>
    <w:rsid w:val="00026301"/>
    <w:rsid w:val="000263F6"/>
    <w:rsid w:val="00026866"/>
    <w:rsid w:val="000269FF"/>
    <w:rsid w:val="00026A68"/>
    <w:rsid w:val="00026B55"/>
    <w:rsid w:val="00026B7B"/>
    <w:rsid w:val="00026C06"/>
    <w:rsid w:val="00026C85"/>
    <w:rsid w:val="00026CC8"/>
    <w:rsid w:val="00026D1A"/>
    <w:rsid w:val="00026D4A"/>
    <w:rsid w:val="000270ED"/>
    <w:rsid w:val="00027207"/>
    <w:rsid w:val="00027252"/>
    <w:rsid w:val="000272C8"/>
    <w:rsid w:val="00027C8B"/>
    <w:rsid w:val="00027D24"/>
    <w:rsid w:val="00027E19"/>
    <w:rsid w:val="00027F64"/>
    <w:rsid w:val="00027FEE"/>
    <w:rsid w:val="000300A5"/>
    <w:rsid w:val="000300AF"/>
    <w:rsid w:val="000300E5"/>
    <w:rsid w:val="000301B7"/>
    <w:rsid w:val="00030404"/>
    <w:rsid w:val="00030433"/>
    <w:rsid w:val="0003045A"/>
    <w:rsid w:val="00030552"/>
    <w:rsid w:val="0003087E"/>
    <w:rsid w:val="00030889"/>
    <w:rsid w:val="00030999"/>
    <w:rsid w:val="00030A8B"/>
    <w:rsid w:val="00030A9E"/>
    <w:rsid w:val="00030C35"/>
    <w:rsid w:val="00030D82"/>
    <w:rsid w:val="00030EDB"/>
    <w:rsid w:val="00031051"/>
    <w:rsid w:val="000310D3"/>
    <w:rsid w:val="000310DC"/>
    <w:rsid w:val="0003123E"/>
    <w:rsid w:val="000312AD"/>
    <w:rsid w:val="000313CD"/>
    <w:rsid w:val="000313F1"/>
    <w:rsid w:val="00031522"/>
    <w:rsid w:val="0003170A"/>
    <w:rsid w:val="00031A1E"/>
    <w:rsid w:val="00031B7C"/>
    <w:rsid w:val="00031D0A"/>
    <w:rsid w:val="00031D43"/>
    <w:rsid w:val="00031F9A"/>
    <w:rsid w:val="00032155"/>
    <w:rsid w:val="00032162"/>
    <w:rsid w:val="00032181"/>
    <w:rsid w:val="000321CC"/>
    <w:rsid w:val="00032365"/>
    <w:rsid w:val="00032398"/>
    <w:rsid w:val="0003259C"/>
    <w:rsid w:val="000327F8"/>
    <w:rsid w:val="0003282B"/>
    <w:rsid w:val="00032987"/>
    <w:rsid w:val="00032A0F"/>
    <w:rsid w:val="00032A8A"/>
    <w:rsid w:val="00032A9F"/>
    <w:rsid w:val="00032B3A"/>
    <w:rsid w:val="00032C7F"/>
    <w:rsid w:val="00032CB3"/>
    <w:rsid w:val="00032D41"/>
    <w:rsid w:val="00032D5F"/>
    <w:rsid w:val="00032EEE"/>
    <w:rsid w:val="00032FF7"/>
    <w:rsid w:val="0003301B"/>
    <w:rsid w:val="000331C6"/>
    <w:rsid w:val="0003338A"/>
    <w:rsid w:val="0003345F"/>
    <w:rsid w:val="000335AF"/>
    <w:rsid w:val="00033632"/>
    <w:rsid w:val="00033762"/>
    <w:rsid w:val="00033AA5"/>
    <w:rsid w:val="00033AB4"/>
    <w:rsid w:val="00033B51"/>
    <w:rsid w:val="00033B57"/>
    <w:rsid w:val="00034094"/>
    <w:rsid w:val="0003416D"/>
    <w:rsid w:val="00034553"/>
    <w:rsid w:val="000348E0"/>
    <w:rsid w:val="00034CCD"/>
    <w:rsid w:val="00034D53"/>
    <w:rsid w:val="00034D65"/>
    <w:rsid w:val="000351F5"/>
    <w:rsid w:val="0003524A"/>
    <w:rsid w:val="0003533E"/>
    <w:rsid w:val="0003551C"/>
    <w:rsid w:val="00035550"/>
    <w:rsid w:val="00035623"/>
    <w:rsid w:val="00035730"/>
    <w:rsid w:val="000358A7"/>
    <w:rsid w:val="00035A71"/>
    <w:rsid w:val="00035B28"/>
    <w:rsid w:val="00035DC8"/>
    <w:rsid w:val="00035E90"/>
    <w:rsid w:val="00035EC6"/>
    <w:rsid w:val="00035FA8"/>
    <w:rsid w:val="00036118"/>
    <w:rsid w:val="000362A5"/>
    <w:rsid w:val="0003639E"/>
    <w:rsid w:val="00036490"/>
    <w:rsid w:val="000367A4"/>
    <w:rsid w:val="00036861"/>
    <w:rsid w:val="000369ED"/>
    <w:rsid w:val="00036B27"/>
    <w:rsid w:val="00036D1B"/>
    <w:rsid w:val="00036DC4"/>
    <w:rsid w:val="00036E31"/>
    <w:rsid w:val="00036EA8"/>
    <w:rsid w:val="00036EE3"/>
    <w:rsid w:val="00036F32"/>
    <w:rsid w:val="00036F51"/>
    <w:rsid w:val="0003708D"/>
    <w:rsid w:val="000373B3"/>
    <w:rsid w:val="0003742D"/>
    <w:rsid w:val="00037639"/>
    <w:rsid w:val="00037A43"/>
    <w:rsid w:val="00037AEA"/>
    <w:rsid w:val="00037B2E"/>
    <w:rsid w:val="00037BE8"/>
    <w:rsid w:val="00037BF0"/>
    <w:rsid w:val="00037CDA"/>
    <w:rsid w:val="00037E92"/>
    <w:rsid w:val="0004000D"/>
    <w:rsid w:val="00040132"/>
    <w:rsid w:val="0004028E"/>
    <w:rsid w:val="00040316"/>
    <w:rsid w:val="000403B7"/>
    <w:rsid w:val="00040518"/>
    <w:rsid w:val="0004068D"/>
    <w:rsid w:val="00040690"/>
    <w:rsid w:val="00040719"/>
    <w:rsid w:val="000407C6"/>
    <w:rsid w:val="00040ADF"/>
    <w:rsid w:val="00040B5F"/>
    <w:rsid w:val="00040C14"/>
    <w:rsid w:val="00040EA6"/>
    <w:rsid w:val="00040F2D"/>
    <w:rsid w:val="00041287"/>
    <w:rsid w:val="000413C6"/>
    <w:rsid w:val="000413D8"/>
    <w:rsid w:val="0004142F"/>
    <w:rsid w:val="00041460"/>
    <w:rsid w:val="000414D5"/>
    <w:rsid w:val="00041524"/>
    <w:rsid w:val="0004155C"/>
    <w:rsid w:val="0004166E"/>
    <w:rsid w:val="000418D0"/>
    <w:rsid w:val="00041967"/>
    <w:rsid w:val="00041B05"/>
    <w:rsid w:val="00041D3C"/>
    <w:rsid w:val="00041DEF"/>
    <w:rsid w:val="00041E00"/>
    <w:rsid w:val="00041ECB"/>
    <w:rsid w:val="00042009"/>
    <w:rsid w:val="00042022"/>
    <w:rsid w:val="0004205F"/>
    <w:rsid w:val="000421FB"/>
    <w:rsid w:val="00042489"/>
    <w:rsid w:val="00042645"/>
    <w:rsid w:val="0004276C"/>
    <w:rsid w:val="00042784"/>
    <w:rsid w:val="0004288C"/>
    <w:rsid w:val="000428FD"/>
    <w:rsid w:val="00042CC6"/>
    <w:rsid w:val="00042FC1"/>
    <w:rsid w:val="00043093"/>
    <w:rsid w:val="0004333F"/>
    <w:rsid w:val="000434AB"/>
    <w:rsid w:val="000437D4"/>
    <w:rsid w:val="000437E7"/>
    <w:rsid w:val="000437F1"/>
    <w:rsid w:val="00043C9F"/>
    <w:rsid w:val="00043CD6"/>
    <w:rsid w:val="0004435B"/>
    <w:rsid w:val="00044629"/>
    <w:rsid w:val="00044978"/>
    <w:rsid w:val="0004499A"/>
    <w:rsid w:val="000449B1"/>
    <w:rsid w:val="00044B70"/>
    <w:rsid w:val="00044FCB"/>
    <w:rsid w:val="000451CB"/>
    <w:rsid w:val="00045209"/>
    <w:rsid w:val="0004528D"/>
    <w:rsid w:val="00045434"/>
    <w:rsid w:val="00045469"/>
    <w:rsid w:val="000454C5"/>
    <w:rsid w:val="0004571D"/>
    <w:rsid w:val="00045B17"/>
    <w:rsid w:val="00045C13"/>
    <w:rsid w:val="00045D55"/>
    <w:rsid w:val="00045E69"/>
    <w:rsid w:val="000465F1"/>
    <w:rsid w:val="000465F4"/>
    <w:rsid w:val="00046745"/>
    <w:rsid w:val="00046988"/>
    <w:rsid w:val="000469FB"/>
    <w:rsid w:val="00046A63"/>
    <w:rsid w:val="00046CA5"/>
    <w:rsid w:val="00046CCD"/>
    <w:rsid w:val="00046F40"/>
    <w:rsid w:val="00046F56"/>
    <w:rsid w:val="000471B0"/>
    <w:rsid w:val="00047300"/>
    <w:rsid w:val="00047757"/>
    <w:rsid w:val="00047930"/>
    <w:rsid w:val="00047AED"/>
    <w:rsid w:val="00050113"/>
    <w:rsid w:val="00050322"/>
    <w:rsid w:val="000503CA"/>
    <w:rsid w:val="0005050B"/>
    <w:rsid w:val="000505D6"/>
    <w:rsid w:val="00050910"/>
    <w:rsid w:val="00050961"/>
    <w:rsid w:val="00050C76"/>
    <w:rsid w:val="00050CE6"/>
    <w:rsid w:val="00050D99"/>
    <w:rsid w:val="00050E3F"/>
    <w:rsid w:val="00051073"/>
    <w:rsid w:val="00051180"/>
    <w:rsid w:val="000511B9"/>
    <w:rsid w:val="0005121C"/>
    <w:rsid w:val="00051223"/>
    <w:rsid w:val="00051239"/>
    <w:rsid w:val="00051435"/>
    <w:rsid w:val="00051439"/>
    <w:rsid w:val="0005146E"/>
    <w:rsid w:val="0005173B"/>
    <w:rsid w:val="00051793"/>
    <w:rsid w:val="000517A7"/>
    <w:rsid w:val="000517D8"/>
    <w:rsid w:val="000517FB"/>
    <w:rsid w:val="0005182D"/>
    <w:rsid w:val="000518DE"/>
    <w:rsid w:val="0005192A"/>
    <w:rsid w:val="00051A15"/>
    <w:rsid w:val="00051B09"/>
    <w:rsid w:val="00051B34"/>
    <w:rsid w:val="00051B59"/>
    <w:rsid w:val="00051BF7"/>
    <w:rsid w:val="00051CE5"/>
    <w:rsid w:val="00051E31"/>
    <w:rsid w:val="00052082"/>
    <w:rsid w:val="00052143"/>
    <w:rsid w:val="00052154"/>
    <w:rsid w:val="00052260"/>
    <w:rsid w:val="0005228D"/>
    <w:rsid w:val="000523D6"/>
    <w:rsid w:val="000524AC"/>
    <w:rsid w:val="000524DD"/>
    <w:rsid w:val="000525A3"/>
    <w:rsid w:val="000528A2"/>
    <w:rsid w:val="00052C55"/>
    <w:rsid w:val="00052FD4"/>
    <w:rsid w:val="0005325D"/>
    <w:rsid w:val="0005325E"/>
    <w:rsid w:val="00053371"/>
    <w:rsid w:val="0005337A"/>
    <w:rsid w:val="0005343A"/>
    <w:rsid w:val="00053661"/>
    <w:rsid w:val="0005380E"/>
    <w:rsid w:val="00053966"/>
    <w:rsid w:val="00053CBC"/>
    <w:rsid w:val="00053F32"/>
    <w:rsid w:val="000541F4"/>
    <w:rsid w:val="00054485"/>
    <w:rsid w:val="000544B6"/>
    <w:rsid w:val="00054511"/>
    <w:rsid w:val="00054682"/>
    <w:rsid w:val="000546B7"/>
    <w:rsid w:val="000546C2"/>
    <w:rsid w:val="00054754"/>
    <w:rsid w:val="0005487B"/>
    <w:rsid w:val="000548A8"/>
    <w:rsid w:val="00054950"/>
    <w:rsid w:val="000549C3"/>
    <w:rsid w:val="00054A43"/>
    <w:rsid w:val="00054BC5"/>
    <w:rsid w:val="00054C6A"/>
    <w:rsid w:val="00054D18"/>
    <w:rsid w:val="00054D1D"/>
    <w:rsid w:val="00054FD1"/>
    <w:rsid w:val="000550A8"/>
    <w:rsid w:val="00055280"/>
    <w:rsid w:val="00055287"/>
    <w:rsid w:val="000553B0"/>
    <w:rsid w:val="0005555F"/>
    <w:rsid w:val="00055579"/>
    <w:rsid w:val="000557BB"/>
    <w:rsid w:val="00055B84"/>
    <w:rsid w:val="00055C88"/>
    <w:rsid w:val="00055E29"/>
    <w:rsid w:val="00055E3E"/>
    <w:rsid w:val="00055E63"/>
    <w:rsid w:val="00055E75"/>
    <w:rsid w:val="0005613D"/>
    <w:rsid w:val="000561A0"/>
    <w:rsid w:val="000565F6"/>
    <w:rsid w:val="00056AFB"/>
    <w:rsid w:val="00056B12"/>
    <w:rsid w:val="00056C83"/>
    <w:rsid w:val="00056CD8"/>
    <w:rsid w:val="00056D3B"/>
    <w:rsid w:val="00056D7F"/>
    <w:rsid w:val="00056F02"/>
    <w:rsid w:val="00057241"/>
    <w:rsid w:val="000572D7"/>
    <w:rsid w:val="0005761C"/>
    <w:rsid w:val="00057699"/>
    <w:rsid w:val="0005772F"/>
    <w:rsid w:val="0005774D"/>
    <w:rsid w:val="00060176"/>
    <w:rsid w:val="000601B8"/>
    <w:rsid w:val="000601D1"/>
    <w:rsid w:val="000601D7"/>
    <w:rsid w:val="0006035D"/>
    <w:rsid w:val="000603A2"/>
    <w:rsid w:val="00060875"/>
    <w:rsid w:val="000608C1"/>
    <w:rsid w:val="00060A3A"/>
    <w:rsid w:val="00060AAE"/>
    <w:rsid w:val="00060B92"/>
    <w:rsid w:val="00060C01"/>
    <w:rsid w:val="00060CCA"/>
    <w:rsid w:val="00060D4F"/>
    <w:rsid w:val="00060D51"/>
    <w:rsid w:val="00060D5B"/>
    <w:rsid w:val="00061302"/>
    <w:rsid w:val="0006130D"/>
    <w:rsid w:val="000613C0"/>
    <w:rsid w:val="0006159A"/>
    <w:rsid w:val="0006161D"/>
    <w:rsid w:val="00061654"/>
    <w:rsid w:val="0006179B"/>
    <w:rsid w:val="000618D3"/>
    <w:rsid w:val="0006197A"/>
    <w:rsid w:val="00061D48"/>
    <w:rsid w:val="00062053"/>
    <w:rsid w:val="000620C1"/>
    <w:rsid w:val="000622BD"/>
    <w:rsid w:val="0006235C"/>
    <w:rsid w:val="0006253A"/>
    <w:rsid w:val="00062706"/>
    <w:rsid w:val="000628FE"/>
    <w:rsid w:val="000629DA"/>
    <w:rsid w:val="00062A23"/>
    <w:rsid w:val="00062CDF"/>
    <w:rsid w:val="00062E4A"/>
    <w:rsid w:val="0006315B"/>
    <w:rsid w:val="00063336"/>
    <w:rsid w:val="000634BB"/>
    <w:rsid w:val="00063556"/>
    <w:rsid w:val="00063617"/>
    <w:rsid w:val="000636B5"/>
    <w:rsid w:val="0006374A"/>
    <w:rsid w:val="00063FC6"/>
    <w:rsid w:val="000641F4"/>
    <w:rsid w:val="000644F1"/>
    <w:rsid w:val="000645B2"/>
    <w:rsid w:val="0006486A"/>
    <w:rsid w:val="00064906"/>
    <w:rsid w:val="00064AAA"/>
    <w:rsid w:val="00064B0E"/>
    <w:rsid w:val="00064B44"/>
    <w:rsid w:val="00064BC1"/>
    <w:rsid w:val="00064BEA"/>
    <w:rsid w:val="00065133"/>
    <w:rsid w:val="0006527D"/>
    <w:rsid w:val="00065440"/>
    <w:rsid w:val="00065453"/>
    <w:rsid w:val="000654D7"/>
    <w:rsid w:val="00065555"/>
    <w:rsid w:val="0006561F"/>
    <w:rsid w:val="000658A0"/>
    <w:rsid w:val="00065927"/>
    <w:rsid w:val="00065FFC"/>
    <w:rsid w:val="00066085"/>
    <w:rsid w:val="000660B2"/>
    <w:rsid w:val="000661E6"/>
    <w:rsid w:val="0006634E"/>
    <w:rsid w:val="000663AF"/>
    <w:rsid w:val="0006669C"/>
    <w:rsid w:val="000666FA"/>
    <w:rsid w:val="000667BB"/>
    <w:rsid w:val="0006689D"/>
    <w:rsid w:val="00066A4F"/>
    <w:rsid w:val="00066AC0"/>
    <w:rsid w:val="00066DE3"/>
    <w:rsid w:val="00066E55"/>
    <w:rsid w:val="000671DA"/>
    <w:rsid w:val="000672EA"/>
    <w:rsid w:val="00067358"/>
    <w:rsid w:val="000673CD"/>
    <w:rsid w:val="0006748D"/>
    <w:rsid w:val="0006749E"/>
    <w:rsid w:val="000675D5"/>
    <w:rsid w:val="0006766F"/>
    <w:rsid w:val="000676E4"/>
    <w:rsid w:val="00067882"/>
    <w:rsid w:val="000678F7"/>
    <w:rsid w:val="00067ACC"/>
    <w:rsid w:val="00067DF2"/>
    <w:rsid w:val="00067FA4"/>
    <w:rsid w:val="00070019"/>
    <w:rsid w:val="0007007D"/>
    <w:rsid w:val="000700D1"/>
    <w:rsid w:val="000700D4"/>
    <w:rsid w:val="000702C2"/>
    <w:rsid w:val="00070458"/>
    <w:rsid w:val="00070488"/>
    <w:rsid w:val="000704B0"/>
    <w:rsid w:val="00070560"/>
    <w:rsid w:val="00070605"/>
    <w:rsid w:val="00070C09"/>
    <w:rsid w:val="00070E04"/>
    <w:rsid w:val="00070F43"/>
    <w:rsid w:val="00070FDD"/>
    <w:rsid w:val="000712DD"/>
    <w:rsid w:val="000715EF"/>
    <w:rsid w:val="00071779"/>
    <w:rsid w:val="00071789"/>
    <w:rsid w:val="000719B3"/>
    <w:rsid w:val="00071A16"/>
    <w:rsid w:val="00071B96"/>
    <w:rsid w:val="00071D4B"/>
    <w:rsid w:val="0007208E"/>
    <w:rsid w:val="00072112"/>
    <w:rsid w:val="0007223A"/>
    <w:rsid w:val="00072257"/>
    <w:rsid w:val="000722DD"/>
    <w:rsid w:val="000724AE"/>
    <w:rsid w:val="000726BC"/>
    <w:rsid w:val="00072816"/>
    <w:rsid w:val="00072857"/>
    <w:rsid w:val="00072994"/>
    <w:rsid w:val="0007299F"/>
    <w:rsid w:val="00072CA0"/>
    <w:rsid w:val="00072EC1"/>
    <w:rsid w:val="00072EC7"/>
    <w:rsid w:val="00073031"/>
    <w:rsid w:val="0007304F"/>
    <w:rsid w:val="00073095"/>
    <w:rsid w:val="0007322F"/>
    <w:rsid w:val="000732F0"/>
    <w:rsid w:val="0007354F"/>
    <w:rsid w:val="00073560"/>
    <w:rsid w:val="00073608"/>
    <w:rsid w:val="0007361D"/>
    <w:rsid w:val="000737E1"/>
    <w:rsid w:val="0007380F"/>
    <w:rsid w:val="00073AC2"/>
    <w:rsid w:val="0007404C"/>
    <w:rsid w:val="0007405D"/>
    <w:rsid w:val="00074122"/>
    <w:rsid w:val="00074133"/>
    <w:rsid w:val="000741B7"/>
    <w:rsid w:val="00074563"/>
    <w:rsid w:val="00074648"/>
    <w:rsid w:val="00074657"/>
    <w:rsid w:val="000746A1"/>
    <w:rsid w:val="0007473F"/>
    <w:rsid w:val="00074868"/>
    <w:rsid w:val="000748A0"/>
    <w:rsid w:val="00074947"/>
    <w:rsid w:val="000749FE"/>
    <w:rsid w:val="00074A15"/>
    <w:rsid w:val="00074A1D"/>
    <w:rsid w:val="00074BF9"/>
    <w:rsid w:val="00074C15"/>
    <w:rsid w:val="00074D67"/>
    <w:rsid w:val="00074D7A"/>
    <w:rsid w:val="00074DCF"/>
    <w:rsid w:val="00074DF9"/>
    <w:rsid w:val="00074E88"/>
    <w:rsid w:val="00074E95"/>
    <w:rsid w:val="00074F09"/>
    <w:rsid w:val="00074F5B"/>
    <w:rsid w:val="000750BB"/>
    <w:rsid w:val="00075148"/>
    <w:rsid w:val="000751A2"/>
    <w:rsid w:val="000752B3"/>
    <w:rsid w:val="000752B8"/>
    <w:rsid w:val="0007543D"/>
    <w:rsid w:val="00075473"/>
    <w:rsid w:val="00075580"/>
    <w:rsid w:val="00075760"/>
    <w:rsid w:val="000758AA"/>
    <w:rsid w:val="00075A92"/>
    <w:rsid w:val="00076017"/>
    <w:rsid w:val="00076056"/>
    <w:rsid w:val="000767E4"/>
    <w:rsid w:val="00076815"/>
    <w:rsid w:val="00076901"/>
    <w:rsid w:val="000769BB"/>
    <w:rsid w:val="00076CE8"/>
    <w:rsid w:val="00076D2D"/>
    <w:rsid w:val="00076EED"/>
    <w:rsid w:val="00077011"/>
    <w:rsid w:val="000770CB"/>
    <w:rsid w:val="00077155"/>
    <w:rsid w:val="00077209"/>
    <w:rsid w:val="000773A8"/>
    <w:rsid w:val="000775CE"/>
    <w:rsid w:val="00077622"/>
    <w:rsid w:val="000776FE"/>
    <w:rsid w:val="00077702"/>
    <w:rsid w:val="00077737"/>
    <w:rsid w:val="000777A0"/>
    <w:rsid w:val="00077839"/>
    <w:rsid w:val="00077B79"/>
    <w:rsid w:val="00077B9B"/>
    <w:rsid w:val="00077DB3"/>
    <w:rsid w:val="00077EA9"/>
    <w:rsid w:val="0008004F"/>
    <w:rsid w:val="00080128"/>
    <w:rsid w:val="0008012F"/>
    <w:rsid w:val="00080161"/>
    <w:rsid w:val="000801C9"/>
    <w:rsid w:val="0008037D"/>
    <w:rsid w:val="000803C6"/>
    <w:rsid w:val="00080530"/>
    <w:rsid w:val="00080620"/>
    <w:rsid w:val="0008092A"/>
    <w:rsid w:val="00080DB2"/>
    <w:rsid w:val="00080E2F"/>
    <w:rsid w:val="00080F1E"/>
    <w:rsid w:val="00080F43"/>
    <w:rsid w:val="00080F4E"/>
    <w:rsid w:val="00080F68"/>
    <w:rsid w:val="00081181"/>
    <w:rsid w:val="000811E7"/>
    <w:rsid w:val="000812E6"/>
    <w:rsid w:val="00081430"/>
    <w:rsid w:val="00081488"/>
    <w:rsid w:val="000815F9"/>
    <w:rsid w:val="00081864"/>
    <w:rsid w:val="0008191E"/>
    <w:rsid w:val="00081A53"/>
    <w:rsid w:val="00081CB4"/>
    <w:rsid w:val="00081E24"/>
    <w:rsid w:val="00081EBD"/>
    <w:rsid w:val="00081ED3"/>
    <w:rsid w:val="000820D6"/>
    <w:rsid w:val="000821CA"/>
    <w:rsid w:val="00082291"/>
    <w:rsid w:val="0008245A"/>
    <w:rsid w:val="00082582"/>
    <w:rsid w:val="0008260E"/>
    <w:rsid w:val="00082672"/>
    <w:rsid w:val="000827FC"/>
    <w:rsid w:val="0008285A"/>
    <w:rsid w:val="00082959"/>
    <w:rsid w:val="00082968"/>
    <w:rsid w:val="00082B37"/>
    <w:rsid w:val="00082CBD"/>
    <w:rsid w:val="00082D6B"/>
    <w:rsid w:val="00082DA1"/>
    <w:rsid w:val="00082DBB"/>
    <w:rsid w:val="00082E4E"/>
    <w:rsid w:val="00082E70"/>
    <w:rsid w:val="00083277"/>
    <w:rsid w:val="0008346D"/>
    <w:rsid w:val="0008347C"/>
    <w:rsid w:val="00083501"/>
    <w:rsid w:val="00083541"/>
    <w:rsid w:val="00083970"/>
    <w:rsid w:val="0008399D"/>
    <w:rsid w:val="00083A28"/>
    <w:rsid w:val="00083B49"/>
    <w:rsid w:val="00083B8C"/>
    <w:rsid w:val="000841B3"/>
    <w:rsid w:val="0008436C"/>
    <w:rsid w:val="0008465E"/>
    <w:rsid w:val="0008469D"/>
    <w:rsid w:val="00084B64"/>
    <w:rsid w:val="00084CBF"/>
    <w:rsid w:val="00084CE9"/>
    <w:rsid w:val="00084D83"/>
    <w:rsid w:val="00084E59"/>
    <w:rsid w:val="00084F53"/>
    <w:rsid w:val="00084FB0"/>
    <w:rsid w:val="00085010"/>
    <w:rsid w:val="00085303"/>
    <w:rsid w:val="0008560B"/>
    <w:rsid w:val="00085682"/>
    <w:rsid w:val="00085C11"/>
    <w:rsid w:val="00085C8C"/>
    <w:rsid w:val="00085D54"/>
    <w:rsid w:val="00085ED4"/>
    <w:rsid w:val="000860D0"/>
    <w:rsid w:val="0008613E"/>
    <w:rsid w:val="000862AD"/>
    <w:rsid w:val="00086411"/>
    <w:rsid w:val="0008649D"/>
    <w:rsid w:val="000865EC"/>
    <w:rsid w:val="00086783"/>
    <w:rsid w:val="00086838"/>
    <w:rsid w:val="000869CD"/>
    <w:rsid w:val="000869EF"/>
    <w:rsid w:val="00086A4D"/>
    <w:rsid w:val="00086BCC"/>
    <w:rsid w:val="00086D20"/>
    <w:rsid w:val="00086DDC"/>
    <w:rsid w:val="00086EBE"/>
    <w:rsid w:val="000871EF"/>
    <w:rsid w:val="0008721D"/>
    <w:rsid w:val="000875A7"/>
    <w:rsid w:val="000876B6"/>
    <w:rsid w:val="00087780"/>
    <w:rsid w:val="0008794C"/>
    <w:rsid w:val="00087A6A"/>
    <w:rsid w:val="00087CE1"/>
    <w:rsid w:val="00087F50"/>
    <w:rsid w:val="00090002"/>
    <w:rsid w:val="00090383"/>
    <w:rsid w:val="000903C8"/>
    <w:rsid w:val="00090404"/>
    <w:rsid w:val="0009046D"/>
    <w:rsid w:val="000906B6"/>
    <w:rsid w:val="00090A26"/>
    <w:rsid w:val="00090A4F"/>
    <w:rsid w:val="00090A8C"/>
    <w:rsid w:val="00090E11"/>
    <w:rsid w:val="000910F0"/>
    <w:rsid w:val="00091135"/>
    <w:rsid w:val="00091207"/>
    <w:rsid w:val="0009152C"/>
    <w:rsid w:val="00091628"/>
    <w:rsid w:val="000916BE"/>
    <w:rsid w:val="000916D9"/>
    <w:rsid w:val="000918A2"/>
    <w:rsid w:val="00091A24"/>
    <w:rsid w:val="00091D14"/>
    <w:rsid w:val="00091F1D"/>
    <w:rsid w:val="00091FDF"/>
    <w:rsid w:val="0009242D"/>
    <w:rsid w:val="00092488"/>
    <w:rsid w:val="000924E3"/>
    <w:rsid w:val="00092A28"/>
    <w:rsid w:val="00092A9E"/>
    <w:rsid w:val="00092B5B"/>
    <w:rsid w:val="00092F55"/>
    <w:rsid w:val="00092FA7"/>
    <w:rsid w:val="0009319D"/>
    <w:rsid w:val="000931B6"/>
    <w:rsid w:val="00093397"/>
    <w:rsid w:val="0009343B"/>
    <w:rsid w:val="000937F3"/>
    <w:rsid w:val="0009380B"/>
    <w:rsid w:val="000938C7"/>
    <w:rsid w:val="000938CE"/>
    <w:rsid w:val="000939B2"/>
    <w:rsid w:val="00093A94"/>
    <w:rsid w:val="00093ACB"/>
    <w:rsid w:val="00093AD6"/>
    <w:rsid w:val="00093B43"/>
    <w:rsid w:val="00093C3D"/>
    <w:rsid w:val="00093E20"/>
    <w:rsid w:val="00093EBE"/>
    <w:rsid w:val="0009400E"/>
    <w:rsid w:val="00094027"/>
    <w:rsid w:val="00094060"/>
    <w:rsid w:val="000946A8"/>
    <w:rsid w:val="0009494D"/>
    <w:rsid w:val="00094A96"/>
    <w:rsid w:val="00094D93"/>
    <w:rsid w:val="00094FA2"/>
    <w:rsid w:val="00095066"/>
    <w:rsid w:val="0009507D"/>
    <w:rsid w:val="0009516D"/>
    <w:rsid w:val="0009534C"/>
    <w:rsid w:val="0009539A"/>
    <w:rsid w:val="000955CE"/>
    <w:rsid w:val="00095707"/>
    <w:rsid w:val="00095754"/>
    <w:rsid w:val="0009576B"/>
    <w:rsid w:val="00095783"/>
    <w:rsid w:val="000957BE"/>
    <w:rsid w:val="0009591E"/>
    <w:rsid w:val="00095B1C"/>
    <w:rsid w:val="00095B4F"/>
    <w:rsid w:val="00095CDB"/>
    <w:rsid w:val="00095F07"/>
    <w:rsid w:val="000960AA"/>
    <w:rsid w:val="000961FB"/>
    <w:rsid w:val="000963ED"/>
    <w:rsid w:val="0009647B"/>
    <w:rsid w:val="000964CF"/>
    <w:rsid w:val="00096550"/>
    <w:rsid w:val="00096564"/>
    <w:rsid w:val="00096592"/>
    <w:rsid w:val="000965A9"/>
    <w:rsid w:val="000967F9"/>
    <w:rsid w:val="00096839"/>
    <w:rsid w:val="00096A79"/>
    <w:rsid w:val="00096B65"/>
    <w:rsid w:val="00096BD3"/>
    <w:rsid w:val="00096D50"/>
    <w:rsid w:val="00096D5D"/>
    <w:rsid w:val="00096DBA"/>
    <w:rsid w:val="00096E39"/>
    <w:rsid w:val="00096F80"/>
    <w:rsid w:val="00096F94"/>
    <w:rsid w:val="000971DA"/>
    <w:rsid w:val="00097717"/>
    <w:rsid w:val="000979CB"/>
    <w:rsid w:val="00097EC1"/>
    <w:rsid w:val="00097FF8"/>
    <w:rsid w:val="000A0283"/>
    <w:rsid w:val="000A02E1"/>
    <w:rsid w:val="000A036D"/>
    <w:rsid w:val="000A038A"/>
    <w:rsid w:val="000A0747"/>
    <w:rsid w:val="000A08AB"/>
    <w:rsid w:val="000A0CB5"/>
    <w:rsid w:val="000A0CD7"/>
    <w:rsid w:val="000A0D4B"/>
    <w:rsid w:val="000A0E60"/>
    <w:rsid w:val="000A0F7C"/>
    <w:rsid w:val="000A11B2"/>
    <w:rsid w:val="000A12E0"/>
    <w:rsid w:val="000A163A"/>
    <w:rsid w:val="000A178B"/>
    <w:rsid w:val="000A1933"/>
    <w:rsid w:val="000A1976"/>
    <w:rsid w:val="000A198E"/>
    <w:rsid w:val="000A1A2D"/>
    <w:rsid w:val="000A1C00"/>
    <w:rsid w:val="000A1DFF"/>
    <w:rsid w:val="000A1F14"/>
    <w:rsid w:val="000A2012"/>
    <w:rsid w:val="000A236B"/>
    <w:rsid w:val="000A2603"/>
    <w:rsid w:val="000A2685"/>
    <w:rsid w:val="000A279C"/>
    <w:rsid w:val="000A2805"/>
    <w:rsid w:val="000A2999"/>
    <w:rsid w:val="000A2B01"/>
    <w:rsid w:val="000A2CC0"/>
    <w:rsid w:val="000A325C"/>
    <w:rsid w:val="000A3352"/>
    <w:rsid w:val="000A34C4"/>
    <w:rsid w:val="000A352F"/>
    <w:rsid w:val="000A3582"/>
    <w:rsid w:val="000A35AA"/>
    <w:rsid w:val="000A35BC"/>
    <w:rsid w:val="000A3814"/>
    <w:rsid w:val="000A384A"/>
    <w:rsid w:val="000A3A89"/>
    <w:rsid w:val="000A3A9B"/>
    <w:rsid w:val="000A3B4D"/>
    <w:rsid w:val="000A3BA4"/>
    <w:rsid w:val="000A3DBE"/>
    <w:rsid w:val="000A3EB2"/>
    <w:rsid w:val="000A4332"/>
    <w:rsid w:val="000A433D"/>
    <w:rsid w:val="000A44DE"/>
    <w:rsid w:val="000A4635"/>
    <w:rsid w:val="000A4637"/>
    <w:rsid w:val="000A464B"/>
    <w:rsid w:val="000A46A0"/>
    <w:rsid w:val="000A48B4"/>
    <w:rsid w:val="000A4A54"/>
    <w:rsid w:val="000A4A70"/>
    <w:rsid w:val="000A4D26"/>
    <w:rsid w:val="000A4D4D"/>
    <w:rsid w:val="000A5187"/>
    <w:rsid w:val="000A5341"/>
    <w:rsid w:val="000A5370"/>
    <w:rsid w:val="000A5718"/>
    <w:rsid w:val="000A5822"/>
    <w:rsid w:val="000A5A13"/>
    <w:rsid w:val="000A5EC2"/>
    <w:rsid w:val="000A6267"/>
    <w:rsid w:val="000A63E3"/>
    <w:rsid w:val="000A64FB"/>
    <w:rsid w:val="000A6503"/>
    <w:rsid w:val="000A6529"/>
    <w:rsid w:val="000A655B"/>
    <w:rsid w:val="000A6809"/>
    <w:rsid w:val="000A69FD"/>
    <w:rsid w:val="000A6A67"/>
    <w:rsid w:val="000A6DE8"/>
    <w:rsid w:val="000A6E88"/>
    <w:rsid w:val="000A709C"/>
    <w:rsid w:val="000A721A"/>
    <w:rsid w:val="000A7230"/>
    <w:rsid w:val="000A7538"/>
    <w:rsid w:val="000A772A"/>
    <w:rsid w:val="000A781A"/>
    <w:rsid w:val="000A78AE"/>
    <w:rsid w:val="000A7946"/>
    <w:rsid w:val="000A7962"/>
    <w:rsid w:val="000A7BE0"/>
    <w:rsid w:val="000A7C58"/>
    <w:rsid w:val="000A7D12"/>
    <w:rsid w:val="000A7D4A"/>
    <w:rsid w:val="000A7E48"/>
    <w:rsid w:val="000A7F3F"/>
    <w:rsid w:val="000A7FA6"/>
    <w:rsid w:val="000B00BF"/>
    <w:rsid w:val="000B020B"/>
    <w:rsid w:val="000B028A"/>
    <w:rsid w:val="000B042A"/>
    <w:rsid w:val="000B04F0"/>
    <w:rsid w:val="000B053F"/>
    <w:rsid w:val="000B0681"/>
    <w:rsid w:val="000B07A6"/>
    <w:rsid w:val="000B0AAC"/>
    <w:rsid w:val="000B0B40"/>
    <w:rsid w:val="000B0BFC"/>
    <w:rsid w:val="000B0CB6"/>
    <w:rsid w:val="000B0EB2"/>
    <w:rsid w:val="000B108E"/>
    <w:rsid w:val="000B15F8"/>
    <w:rsid w:val="000B1756"/>
    <w:rsid w:val="000B1779"/>
    <w:rsid w:val="000B1844"/>
    <w:rsid w:val="000B1861"/>
    <w:rsid w:val="000B1ED8"/>
    <w:rsid w:val="000B1F1E"/>
    <w:rsid w:val="000B1F9A"/>
    <w:rsid w:val="000B232C"/>
    <w:rsid w:val="000B232F"/>
    <w:rsid w:val="000B2365"/>
    <w:rsid w:val="000B23D2"/>
    <w:rsid w:val="000B2506"/>
    <w:rsid w:val="000B27DE"/>
    <w:rsid w:val="000B27FF"/>
    <w:rsid w:val="000B2850"/>
    <w:rsid w:val="000B2983"/>
    <w:rsid w:val="000B2B6D"/>
    <w:rsid w:val="000B2C6C"/>
    <w:rsid w:val="000B2F04"/>
    <w:rsid w:val="000B2F8C"/>
    <w:rsid w:val="000B3099"/>
    <w:rsid w:val="000B343E"/>
    <w:rsid w:val="000B34DA"/>
    <w:rsid w:val="000B3566"/>
    <w:rsid w:val="000B363C"/>
    <w:rsid w:val="000B3648"/>
    <w:rsid w:val="000B3699"/>
    <w:rsid w:val="000B3BC0"/>
    <w:rsid w:val="000B3BC7"/>
    <w:rsid w:val="000B3C2B"/>
    <w:rsid w:val="000B3DA1"/>
    <w:rsid w:val="000B3FD6"/>
    <w:rsid w:val="000B4642"/>
    <w:rsid w:val="000B46B0"/>
    <w:rsid w:val="000B47C7"/>
    <w:rsid w:val="000B497F"/>
    <w:rsid w:val="000B49E6"/>
    <w:rsid w:val="000B4C7C"/>
    <w:rsid w:val="000B4CB4"/>
    <w:rsid w:val="000B4DC5"/>
    <w:rsid w:val="000B4DDE"/>
    <w:rsid w:val="000B4E29"/>
    <w:rsid w:val="000B4ED8"/>
    <w:rsid w:val="000B533C"/>
    <w:rsid w:val="000B548C"/>
    <w:rsid w:val="000B5618"/>
    <w:rsid w:val="000B576E"/>
    <w:rsid w:val="000B5854"/>
    <w:rsid w:val="000B592A"/>
    <w:rsid w:val="000B5950"/>
    <w:rsid w:val="000B5D01"/>
    <w:rsid w:val="000B5D09"/>
    <w:rsid w:val="000B5E72"/>
    <w:rsid w:val="000B6003"/>
    <w:rsid w:val="000B6231"/>
    <w:rsid w:val="000B62E0"/>
    <w:rsid w:val="000B6398"/>
    <w:rsid w:val="000B6445"/>
    <w:rsid w:val="000B6559"/>
    <w:rsid w:val="000B65EC"/>
    <w:rsid w:val="000B6816"/>
    <w:rsid w:val="000B697C"/>
    <w:rsid w:val="000B6B5A"/>
    <w:rsid w:val="000B6D22"/>
    <w:rsid w:val="000B6D67"/>
    <w:rsid w:val="000B6D89"/>
    <w:rsid w:val="000B70D1"/>
    <w:rsid w:val="000B71BE"/>
    <w:rsid w:val="000B73EC"/>
    <w:rsid w:val="000B7443"/>
    <w:rsid w:val="000B74B7"/>
    <w:rsid w:val="000B7593"/>
    <w:rsid w:val="000B779C"/>
    <w:rsid w:val="000B78AE"/>
    <w:rsid w:val="000B78C4"/>
    <w:rsid w:val="000B7B03"/>
    <w:rsid w:val="000B7BA8"/>
    <w:rsid w:val="000B7C3C"/>
    <w:rsid w:val="000B7D25"/>
    <w:rsid w:val="000B7D57"/>
    <w:rsid w:val="000B7DDA"/>
    <w:rsid w:val="000B7E5D"/>
    <w:rsid w:val="000B7EC6"/>
    <w:rsid w:val="000B7EDB"/>
    <w:rsid w:val="000B7F30"/>
    <w:rsid w:val="000C0000"/>
    <w:rsid w:val="000C0327"/>
    <w:rsid w:val="000C0380"/>
    <w:rsid w:val="000C06FA"/>
    <w:rsid w:val="000C0964"/>
    <w:rsid w:val="000C09F4"/>
    <w:rsid w:val="000C0BAE"/>
    <w:rsid w:val="000C0C22"/>
    <w:rsid w:val="000C0D8A"/>
    <w:rsid w:val="000C1030"/>
    <w:rsid w:val="000C1059"/>
    <w:rsid w:val="000C1218"/>
    <w:rsid w:val="000C123B"/>
    <w:rsid w:val="000C1329"/>
    <w:rsid w:val="000C16B8"/>
    <w:rsid w:val="000C1719"/>
    <w:rsid w:val="000C17B3"/>
    <w:rsid w:val="000C1FAB"/>
    <w:rsid w:val="000C21D2"/>
    <w:rsid w:val="000C2402"/>
    <w:rsid w:val="000C2445"/>
    <w:rsid w:val="000C3709"/>
    <w:rsid w:val="000C39B3"/>
    <w:rsid w:val="000C3B43"/>
    <w:rsid w:val="000C3B98"/>
    <w:rsid w:val="000C3F26"/>
    <w:rsid w:val="000C3FA3"/>
    <w:rsid w:val="000C40ED"/>
    <w:rsid w:val="000C4186"/>
    <w:rsid w:val="000C424E"/>
    <w:rsid w:val="000C4326"/>
    <w:rsid w:val="000C4330"/>
    <w:rsid w:val="000C4445"/>
    <w:rsid w:val="000C449E"/>
    <w:rsid w:val="000C458C"/>
    <w:rsid w:val="000C48F6"/>
    <w:rsid w:val="000C494C"/>
    <w:rsid w:val="000C4967"/>
    <w:rsid w:val="000C4ADA"/>
    <w:rsid w:val="000C4D49"/>
    <w:rsid w:val="000C4FA6"/>
    <w:rsid w:val="000C500C"/>
    <w:rsid w:val="000C5148"/>
    <w:rsid w:val="000C52F2"/>
    <w:rsid w:val="000C55D9"/>
    <w:rsid w:val="000C5613"/>
    <w:rsid w:val="000C573B"/>
    <w:rsid w:val="000C5828"/>
    <w:rsid w:val="000C58CA"/>
    <w:rsid w:val="000C59A5"/>
    <w:rsid w:val="000C5A14"/>
    <w:rsid w:val="000C5A77"/>
    <w:rsid w:val="000C5B0F"/>
    <w:rsid w:val="000C5B5B"/>
    <w:rsid w:val="000C5B60"/>
    <w:rsid w:val="000C5C37"/>
    <w:rsid w:val="000C5E11"/>
    <w:rsid w:val="000C60B2"/>
    <w:rsid w:val="000C614E"/>
    <w:rsid w:val="000C6542"/>
    <w:rsid w:val="000C663F"/>
    <w:rsid w:val="000C66A1"/>
    <w:rsid w:val="000C671A"/>
    <w:rsid w:val="000C6728"/>
    <w:rsid w:val="000C6887"/>
    <w:rsid w:val="000C69F3"/>
    <w:rsid w:val="000C6A0E"/>
    <w:rsid w:val="000C6C4B"/>
    <w:rsid w:val="000C6D82"/>
    <w:rsid w:val="000C6DB3"/>
    <w:rsid w:val="000C6F64"/>
    <w:rsid w:val="000C6FB3"/>
    <w:rsid w:val="000C6FCD"/>
    <w:rsid w:val="000C70B5"/>
    <w:rsid w:val="000C70E2"/>
    <w:rsid w:val="000C7143"/>
    <w:rsid w:val="000C733B"/>
    <w:rsid w:val="000C76F0"/>
    <w:rsid w:val="000C7857"/>
    <w:rsid w:val="000C78DA"/>
    <w:rsid w:val="000C7913"/>
    <w:rsid w:val="000C7AB3"/>
    <w:rsid w:val="000C7B51"/>
    <w:rsid w:val="000C7BFA"/>
    <w:rsid w:val="000C7C1E"/>
    <w:rsid w:val="000C7E84"/>
    <w:rsid w:val="000C7FAE"/>
    <w:rsid w:val="000D01BA"/>
    <w:rsid w:val="000D01E9"/>
    <w:rsid w:val="000D0267"/>
    <w:rsid w:val="000D03B5"/>
    <w:rsid w:val="000D054D"/>
    <w:rsid w:val="000D0558"/>
    <w:rsid w:val="000D083D"/>
    <w:rsid w:val="000D0B87"/>
    <w:rsid w:val="000D0BE7"/>
    <w:rsid w:val="000D0CAF"/>
    <w:rsid w:val="000D0D0D"/>
    <w:rsid w:val="000D0DFE"/>
    <w:rsid w:val="000D0E6E"/>
    <w:rsid w:val="000D0EC0"/>
    <w:rsid w:val="000D0ED5"/>
    <w:rsid w:val="000D10AE"/>
    <w:rsid w:val="000D11A1"/>
    <w:rsid w:val="000D14EC"/>
    <w:rsid w:val="000D15DB"/>
    <w:rsid w:val="000D17DB"/>
    <w:rsid w:val="000D1BD8"/>
    <w:rsid w:val="000D1D57"/>
    <w:rsid w:val="000D1E08"/>
    <w:rsid w:val="000D1F7E"/>
    <w:rsid w:val="000D1FB8"/>
    <w:rsid w:val="000D2221"/>
    <w:rsid w:val="000D2257"/>
    <w:rsid w:val="000D2333"/>
    <w:rsid w:val="000D2334"/>
    <w:rsid w:val="000D245A"/>
    <w:rsid w:val="000D2701"/>
    <w:rsid w:val="000D2708"/>
    <w:rsid w:val="000D2732"/>
    <w:rsid w:val="000D2842"/>
    <w:rsid w:val="000D28CD"/>
    <w:rsid w:val="000D30D1"/>
    <w:rsid w:val="000D322F"/>
    <w:rsid w:val="000D33C2"/>
    <w:rsid w:val="000D33E4"/>
    <w:rsid w:val="000D3409"/>
    <w:rsid w:val="000D3529"/>
    <w:rsid w:val="000D36AC"/>
    <w:rsid w:val="000D39CE"/>
    <w:rsid w:val="000D3D11"/>
    <w:rsid w:val="000D3FC0"/>
    <w:rsid w:val="000D4218"/>
    <w:rsid w:val="000D429A"/>
    <w:rsid w:val="000D4437"/>
    <w:rsid w:val="000D44D5"/>
    <w:rsid w:val="000D44DC"/>
    <w:rsid w:val="000D44EE"/>
    <w:rsid w:val="000D4548"/>
    <w:rsid w:val="000D454D"/>
    <w:rsid w:val="000D488E"/>
    <w:rsid w:val="000D48AC"/>
    <w:rsid w:val="000D4924"/>
    <w:rsid w:val="000D4B7D"/>
    <w:rsid w:val="000D4B9E"/>
    <w:rsid w:val="000D4CEF"/>
    <w:rsid w:val="000D510F"/>
    <w:rsid w:val="000D51E7"/>
    <w:rsid w:val="000D5205"/>
    <w:rsid w:val="000D53A7"/>
    <w:rsid w:val="000D550E"/>
    <w:rsid w:val="000D55BE"/>
    <w:rsid w:val="000D5994"/>
    <w:rsid w:val="000D59AD"/>
    <w:rsid w:val="000D5BBD"/>
    <w:rsid w:val="000D5C4E"/>
    <w:rsid w:val="000D5D3E"/>
    <w:rsid w:val="000D5D53"/>
    <w:rsid w:val="000D5EA1"/>
    <w:rsid w:val="000D5FEE"/>
    <w:rsid w:val="000D600F"/>
    <w:rsid w:val="000D6137"/>
    <w:rsid w:val="000D637A"/>
    <w:rsid w:val="000D662A"/>
    <w:rsid w:val="000D694E"/>
    <w:rsid w:val="000D6B74"/>
    <w:rsid w:val="000D6B9B"/>
    <w:rsid w:val="000D6BCF"/>
    <w:rsid w:val="000D6D36"/>
    <w:rsid w:val="000D6DD2"/>
    <w:rsid w:val="000D7030"/>
    <w:rsid w:val="000D71A7"/>
    <w:rsid w:val="000D7291"/>
    <w:rsid w:val="000D7347"/>
    <w:rsid w:val="000D7483"/>
    <w:rsid w:val="000D75EA"/>
    <w:rsid w:val="000D7604"/>
    <w:rsid w:val="000D7803"/>
    <w:rsid w:val="000D7846"/>
    <w:rsid w:val="000D7961"/>
    <w:rsid w:val="000D7D85"/>
    <w:rsid w:val="000D7DEC"/>
    <w:rsid w:val="000D7EE8"/>
    <w:rsid w:val="000E00A3"/>
    <w:rsid w:val="000E00FE"/>
    <w:rsid w:val="000E0174"/>
    <w:rsid w:val="000E02EA"/>
    <w:rsid w:val="000E053B"/>
    <w:rsid w:val="000E05B4"/>
    <w:rsid w:val="000E091B"/>
    <w:rsid w:val="000E0BD7"/>
    <w:rsid w:val="000E183B"/>
    <w:rsid w:val="000E1905"/>
    <w:rsid w:val="000E1A6E"/>
    <w:rsid w:val="000E1B22"/>
    <w:rsid w:val="000E1B79"/>
    <w:rsid w:val="000E1DE3"/>
    <w:rsid w:val="000E1E55"/>
    <w:rsid w:val="000E2226"/>
    <w:rsid w:val="000E22A7"/>
    <w:rsid w:val="000E22DA"/>
    <w:rsid w:val="000E22E7"/>
    <w:rsid w:val="000E2483"/>
    <w:rsid w:val="000E248C"/>
    <w:rsid w:val="000E27F1"/>
    <w:rsid w:val="000E28A8"/>
    <w:rsid w:val="000E3216"/>
    <w:rsid w:val="000E345A"/>
    <w:rsid w:val="000E34F3"/>
    <w:rsid w:val="000E35E9"/>
    <w:rsid w:val="000E375A"/>
    <w:rsid w:val="000E381F"/>
    <w:rsid w:val="000E3A10"/>
    <w:rsid w:val="000E3A28"/>
    <w:rsid w:val="000E3D4E"/>
    <w:rsid w:val="000E3FEC"/>
    <w:rsid w:val="000E40FF"/>
    <w:rsid w:val="000E445F"/>
    <w:rsid w:val="000E4890"/>
    <w:rsid w:val="000E48BB"/>
    <w:rsid w:val="000E48FD"/>
    <w:rsid w:val="000E4A41"/>
    <w:rsid w:val="000E4A92"/>
    <w:rsid w:val="000E4ABE"/>
    <w:rsid w:val="000E4DEE"/>
    <w:rsid w:val="000E4EDD"/>
    <w:rsid w:val="000E4F9B"/>
    <w:rsid w:val="000E5078"/>
    <w:rsid w:val="000E516B"/>
    <w:rsid w:val="000E5484"/>
    <w:rsid w:val="000E5574"/>
    <w:rsid w:val="000E59BB"/>
    <w:rsid w:val="000E5A94"/>
    <w:rsid w:val="000E5B70"/>
    <w:rsid w:val="000E5D01"/>
    <w:rsid w:val="000E5E4D"/>
    <w:rsid w:val="000E5F10"/>
    <w:rsid w:val="000E5F42"/>
    <w:rsid w:val="000E5F87"/>
    <w:rsid w:val="000E60FE"/>
    <w:rsid w:val="000E61C8"/>
    <w:rsid w:val="000E64FE"/>
    <w:rsid w:val="000E6506"/>
    <w:rsid w:val="000E6612"/>
    <w:rsid w:val="000E66E9"/>
    <w:rsid w:val="000E6712"/>
    <w:rsid w:val="000E683C"/>
    <w:rsid w:val="000E6959"/>
    <w:rsid w:val="000E69B5"/>
    <w:rsid w:val="000E69F8"/>
    <w:rsid w:val="000E6A7B"/>
    <w:rsid w:val="000E6BDB"/>
    <w:rsid w:val="000E6BEE"/>
    <w:rsid w:val="000E6C47"/>
    <w:rsid w:val="000E6EB6"/>
    <w:rsid w:val="000E702D"/>
    <w:rsid w:val="000E70CD"/>
    <w:rsid w:val="000E748E"/>
    <w:rsid w:val="000E78AC"/>
    <w:rsid w:val="000E78E4"/>
    <w:rsid w:val="000E7944"/>
    <w:rsid w:val="000E79D8"/>
    <w:rsid w:val="000E7B18"/>
    <w:rsid w:val="000E7B46"/>
    <w:rsid w:val="000E7DC8"/>
    <w:rsid w:val="000E7E7D"/>
    <w:rsid w:val="000E7FFD"/>
    <w:rsid w:val="000F0336"/>
    <w:rsid w:val="000F03E0"/>
    <w:rsid w:val="000F0557"/>
    <w:rsid w:val="000F05D6"/>
    <w:rsid w:val="000F06F6"/>
    <w:rsid w:val="000F070E"/>
    <w:rsid w:val="000F0880"/>
    <w:rsid w:val="000F08CC"/>
    <w:rsid w:val="000F0A97"/>
    <w:rsid w:val="000F0EEA"/>
    <w:rsid w:val="000F0EF2"/>
    <w:rsid w:val="000F0F11"/>
    <w:rsid w:val="000F0F2D"/>
    <w:rsid w:val="000F0F56"/>
    <w:rsid w:val="000F0F92"/>
    <w:rsid w:val="000F0FB7"/>
    <w:rsid w:val="000F103F"/>
    <w:rsid w:val="000F152B"/>
    <w:rsid w:val="000F15F6"/>
    <w:rsid w:val="000F1638"/>
    <w:rsid w:val="000F1982"/>
    <w:rsid w:val="000F1BA4"/>
    <w:rsid w:val="000F1C25"/>
    <w:rsid w:val="000F1CB9"/>
    <w:rsid w:val="000F2260"/>
    <w:rsid w:val="000F27D8"/>
    <w:rsid w:val="000F27E5"/>
    <w:rsid w:val="000F2836"/>
    <w:rsid w:val="000F2852"/>
    <w:rsid w:val="000F291A"/>
    <w:rsid w:val="000F2A29"/>
    <w:rsid w:val="000F2C66"/>
    <w:rsid w:val="000F2D3C"/>
    <w:rsid w:val="000F2DAE"/>
    <w:rsid w:val="000F2F62"/>
    <w:rsid w:val="000F2F7E"/>
    <w:rsid w:val="000F2FFA"/>
    <w:rsid w:val="000F31D5"/>
    <w:rsid w:val="000F321A"/>
    <w:rsid w:val="000F32F9"/>
    <w:rsid w:val="000F3365"/>
    <w:rsid w:val="000F3431"/>
    <w:rsid w:val="000F34C8"/>
    <w:rsid w:val="000F360E"/>
    <w:rsid w:val="000F374A"/>
    <w:rsid w:val="000F384C"/>
    <w:rsid w:val="000F3984"/>
    <w:rsid w:val="000F399C"/>
    <w:rsid w:val="000F3AD0"/>
    <w:rsid w:val="000F3AD3"/>
    <w:rsid w:val="000F3E3E"/>
    <w:rsid w:val="000F3F69"/>
    <w:rsid w:val="000F4070"/>
    <w:rsid w:val="000F439E"/>
    <w:rsid w:val="000F4556"/>
    <w:rsid w:val="000F4805"/>
    <w:rsid w:val="000F4814"/>
    <w:rsid w:val="000F4ACE"/>
    <w:rsid w:val="000F4BE0"/>
    <w:rsid w:val="000F4C12"/>
    <w:rsid w:val="000F4CBD"/>
    <w:rsid w:val="000F4CC7"/>
    <w:rsid w:val="000F4E3E"/>
    <w:rsid w:val="000F5082"/>
    <w:rsid w:val="000F513A"/>
    <w:rsid w:val="000F5485"/>
    <w:rsid w:val="000F558E"/>
    <w:rsid w:val="000F560A"/>
    <w:rsid w:val="000F5644"/>
    <w:rsid w:val="000F57B1"/>
    <w:rsid w:val="000F5851"/>
    <w:rsid w:val="000F58E3"/>
    <w:rsid w:val="000F5B88"/>
    <w:rsid w:val="000F5C90"/>
    <w:rsid w:val="000F5F6F"/>
    <w:rsid w:val="000F5F8F"/>
    <w:rsid w:val="000F61E7"/>
    <w:rsid w:val="000F6289"/>
    <w:rsid w:val="000F6325"/>
    <w:rsid w:val="000F6363"/>
    <w:rsid w:val="000F6543"/>
    <w:rsid w:val="000F67F4"/>
    <w:rsid w:val="000F6895"/>
    <w:rsid w:val="000F6953"/>
    <w:rsid w:val="000F698E"/>
    <w:rsid w:val="000F69FD"/>
    <w:rsid w:val="000F6A13"/>
    <w:rsid w:val="000F6B6D"/>
    <w:rsid w:val="000F6BC7"/>
    <w:rsid w:val="000F6CEA"/>
    <w:rsid w:val="000F6D5B"/>
    <w:rsid w:val="000F6F22"/>
    <w:rsid w:val="000F6F50"/>
    <w:rsid w:val="000F7184"/>
    <w:rsid w:val="000F7337"/>
    <w:rsid w:val="000F753C"/>
    <w:rsid w:val="000F77D8"/>
    <w:rsid w:val="000F7863"/>
    <w:rsid w:val="000F7973"/>
    <w:rsid w:val="000F7A27"/>
    <w:rsid w:val="000F7C83"/>
    <w:rsid w:val="000F7E17"/>
    <w:rsid w:val="000F7E47"/>
    <w:rsid w:val="000F7E6F"/>
    <w:rsid w:val="000F7F0A"/>
    <w:rsid w:val="00100045"/>
    <w:rsid w:val="001001F0"/>
    <w:rsid w:val="0010028F"/>
    <w:rsid w:val="00100409"/>
    <w:rsid w:val="00100525"/>
    <w:rsid w:val="00100687"/>
    <w:rsid w:val="00100861"/>
    <w:rsid w:val="001009F7"/>
    <w:rsid w:val="00100A87"/>
    <w:rsid w:val="00100EDB"/>
    <w:rsid w:val="00101227"/>
    <w:rsid w:val="001012D6"/>
    <w:rsid w:val="00101335"/>
    <w:rsid w:val="00101457"/>
    <w:rsid w:val="0010156F"/>
    <w:rsid w:val="001015CB"/>
    <w:rsid w:val="001015D5"/>
    <w:rsid w:val="001016BE"/>
    <w:rsid w:val="001019C9"/>
    <w:rsid w:val="001019D3"/>
    <w:rsid w:val="001019F2"/>
    <w:rsid w:val="00101A73"/>
    <w:rsid w:val="00101C00"/>
    <w:rsid w:val="00101C2F"/>
    <w:rsid w:val="0010210E"/>
    <w:rsid w:val="00102261"/>
    <w:rsid w:val="00102699"/>
    <w:rsid w:val="001027CD"/>
    <w:rsid w:val="00102ADE"/>
    <w:rsid w:val="00102D66"/>
    <w:rsid w:val="00102DBE"/>
    <w:rsid w:val="00102DE7"/>
    <w:rsid w:val="00102F1B"/>
    <w:rsid w:val="0010325E"/>
    <w:rsid w:val="00103361"/>
    <w:rsid w:val="00103366"/>
    <w:rsid w:val="001033C5"/>
    <w:rsid w:val="0010361C"/>
    <w:rsid w:val="00103660"/>
    <w:rsid w:val="00103716"/>
    <w:rsid w:val="0010395F"/>
    <w:rsid w:val="00103A2A"/>
    <w:rsid w:val="00103BF0"/>
    <w:rsid w:val="00103BF7"/>
    <w:rsid w:val="00103C47"/>
    <w:rsid w:val="00103CCE"/>
    <w:rsid w:val="00103DCC"/>
    <w:rsid w:val="00103E15"/>
    <w:rsid w:val="00104028"/>
    <w:rsid w:val="00104221"/>
    <w:rsid w:val="0010442E"/>
    <w:rsid w:val="001044EF"/>
    <w:rsid w:val="00104601"/>
    <w:rsid w:val="001046B4"/>
    <w:rsid w:val="001047F5"/>
    <w:rsid w:val="0010483B"/>
    <w:rsid w:val="001048DF"/>
    <w:rsid w:val="0010499C"/>
    <w:rsid w:val="001049AD"/>
    <w:rsid w:val="00104A56"/>
    <w:rsid w:val="00104E87"/>
    <w:rsid w:val="00105059"/>
    <w:rsid w:val="00105148"/>
    <w:rsid w:val="00105153"/>
    <w:rsid w:val="0010517E"/>
    <w:rsid w:val="0010520D"/>
    <w:rsid w:val="0010544F"/>
    <w:rsid w:val="00105562"/>
    <w:rsid w:val="001055DB"/>
    <w:rsid w:val="001057F3"/>
    <w:rsid w:val="00105A2F"/>
    <w:rsid w:val="00105A4E"/>
    <w:rsid w:val="00105B63"/>
    <w:rsid w:val="00105CDC"/>
    <w:rsid w:val="00105D17"/>
    <w:rsid w:val="00105D52"/>
    <w:rsid w:val="00105F63"/>
    <w:rsid w:val="001061BF"/>
    <w:rsid w:val="00106225"/>
    <w:rsid w:val="001063ED"/>
    <w:rsid w:val="001065A6"/>
    <w:rsid w:val="00106870"/>
    <w:rsid w:val="00106997"/>
    <w:rsid w:val="00106D1A"/>
    <w:rsid w:val="00106D27"/>
    <w:rsid w:val="00106D8D"/>
    <w:rsid w:val="00106DB9"/>
    <w:rsid w:val="00106EE0"/>
    <w:rsid w:val="00106F6A"/>
    <w:rsid w:val="001071D7"/>
    <w:rsid w:val="001071E1"/>
    <w:rsid w:val="0010722B"/>
    <w:rsid w:val="00107545"/>
    <w:rsid w:val="00107652"/>
    <w:rsid w:val="00107665"/>
    <w:rsid w:val="001077AF"/>
    <w:rsid w:val="0010786A"/>
    <w:rsid w:val="001078E5"/>
    <w:rsid w:val="00107D47"/>
    <w:rsid w:val="00107F71"/>
    <w:rsid w:val="0011004D"/>
    <w:rsid w:val="00110074"/>
    <w:rsid w:val="001100A0"/>
    <w:rsid w:val="00110284"/>
    <w:rsid w:val="00110444"/>
    <w:rsid w:val="0011070E"/>
    <w:rsid w:val="001107C2"/>
    <w:rsid w:val="0011081D"/>
    <w:rsid w:val="001109F3"/>
    <w:rsid w:val="00110AFC"/>
    <w:rsid w:val="00110BBE"/>
    <w:rsid w:val="00110C23"/>
    <w:rsid w:val="00110D54"/>
    <w:rsid w:val="00110DE9"/>
    <w:rsid w:val="00110F0A"/>
    <w:rsid w:val="0011108A"/>
    <w:rsid w:val="0011114F"/>
    <w:rsid w:val="0011116F"/>
    <w:rsid w:val="00111485"/>
    <w:rsid w:val="00111512"/>
    <w:rsid w:val="001116CA"/>
    <w:rsid w:val="001118DE"/>
    <w:rsid w:val="00111EE2"/>
    <w:rsid w:val="00111FEC"/>
    <w:rsid w:val="001122CC"/>
    <w:rsid w:val="00112469"/>
    <w:rsid w:val="001125B4"/>
    <w:rsid w:val="0011287C"/>
    <w:rsid w:val="00112929"/>
    <w:rsid w:val="0011292B"/>
    <w:rsid w:val="00112C7D"/>
    <w:rsid w:val="00112E5B"/>
    <w:rsid w:val="00112E5C"/>
    <w:rsid w:val="00112E7B"/>
    <w:rsid w:val="00112E8F"/>
    <w:rsid w:val="00112E98"/>
    <w:rsid w:val="0011302F"/>
    <w:rsid w:val="0011311C"/>
    <w:rsid w:val="001132F8"/>
    <w:rsid w:val="00113419"/>
    <w:rsid w:val="001135C0"/>
    <w:rsid w:val="001135D7"/>
    <w:rsid w:val="001135EC"/>
    <w:rsid w:val="00113602"/>
    <w:rsid w:val="00113679"/>
    <w:rsid w:val="0011367D"/>
    <w:rsid w:val="001136E6"/>
    <w:rsid w:val="00113730"/>
    <w:rsid w:val="00113925"/>
    <w:rsid w:val="0011392C"/>
    <w:rsid w:val="00113BC9"/>
    <w:rsid w:val="00113CC4"/>
    <w:rsid w:val="00113F1F"/>
    <w:rsid w:val="00113F91"/>
    <w:rsid w:val="00114075"/>
    <w:rsid w:val="00114852"/>
    <w:rsid w:val="00114AFA"/>
    <w:rsid w:val="00114BDB"/>
    <w:rsid w:val="00114CBA"/>
    <w:rsid w:val="00114CCB"/>
    <w:rsid w:val="00114E09"/>
    <w:rsid w:val="00114FF0"/>
    <w:rsid w:val="001150FB"/>
    <w:rsid w:val="00115216"/>
    <w:rsid w:val="00115516"/>
    <w:rsid w:val="001155CF"/>
    <w:rsid w:val="00115980"/>
    <w:rsid w:val="00115986"/>
    <w:rsid w:val="00115AD4"/>
    <w:rsid w:val="00115B9D"/>
    <w:rsid w:val="00115D1A"/>
    <w:rsid w:val="00115DC2"/>
    <w:rsid w:val="00115F1B"/>
    <w:rsid w:val="00115F8A"/>
    <w:rsid w:val="0011605A"/>
    <w:rsid w:val="001160D5"/>
    <w:rsid w:val="001161F9"/>
    <w:rsid w:val="0011634C"/>
    <w:rsid w:val="001166FB"/>
    <w:rsid w:val="00116762"/>
    <w:rsid w:val="00116938"/>
    <w:rsid w:val="0011695B"/>
    <w:rsid w:val="00116BA5"/>
    <w:rsid w:val="00116CAC"/>
    <w:rsid w:val="00116E3B"/>
    <w:rsid w:val="00117186"/>
    <w:rsid w:val="001172E5"/>
    <w:rsid w:val="0011743E"/>
    <w:rsid w:val="00117540"/>
    <w:rsid w:val="001179DA"/>
    <w:rsid w:val="00117BCE"/>
    <w:rsid w:val="00117BEB"/>
    <w:rsid w:val="00117D58"/>
    <w:rsid w:val="0012007D"/>
    <w:rsid w:val="001201C8"/>
    <w:rsid w:val="00120305"/>
    <w:rsid w:val="00120512"/>
    <w:rsid w:val="001205C4"/>
    <w:rsid w:val="001207DD"/>
    <w:rsid w:val="001209F2"/>
    <w:rsid w:val="00120A80"/>
    <w:rsid w:val="00120DA5"/>
    <w:rsid w:val="00120E73"/>
    <w:rsid w:val="00120F34"/>
    <w:rsid w:val="00120FA5"/>
    <w:rsid w:val="00121036"/>
    <w:rsid w:val="00121037"/>
    <w:rsid w:val="001210E6"/>
    <w:rsid w:val="00121124"/>
    <w:rsid w:val="0012124C"/>
    <w:rsid w:val="0012139F"/>
    <w:rsid w:val="001213EC"/>
    <w:rsid w:val="001213EF"/>
    <w:rsid w:val="00121560"/>
    <w:rsid w:val="00121588"/>
    <w:rsid w:val="00121656"/>
    <w:rsid w:val="001219ED"/>
    <w:rsid w:val="00121A29"/>
    <w:rsid w:val="00121A52"/>
    <w:rsid w:val="00121AB7"/>
    <w:rsid w:val="00121DF4"/>
    <w:rsid w:val="00121E15"/>
    <w:rsid w:val="00121E24"/>
    <w:rsid w:val="00121F5E"/>
    <w:rsid w:val="0012202E"/>
    <w:rsid w:val="001220A7"/>
    <w:rsid w:val="001223CD"/>
    <w:rsid w:val="001223E9"/>
    <w:rsid w:val="001224C1"/>
    <w:rsid w:val="0012291C"/>
    <w:rsid w:val="00122AA4"/>
    <w:rsid w:val="00122B9F"/>
    <w:rsid w:val="00122C55"/>
    <w:rsid w:val="00122F0C"/>
    <w:rsid w:val="00122FC4"/>
    <w:rsid w:val="001231E7"/>
    <w:rsid w:val="0012377E"/>
    <w:rsid w:val="0012378A"/>
    <w:rsid w:val="00123AFE"/>
    <w:rsid w:val="00124248"/>
    <w:rsid w:val="00124489"/>
    <w:rsid w:val="001244A3"/>
    <w:rsid w:val="001246F2"/>
    <w:rsid w:val="001248A1"/>
    <w:rsid w:val="0012497F"/>
    <w:rsid w:val="00124A71"/>
    <w:rsid w:val="00124C66"/>
    <w:rsid w:val="00124E89"/>
    <w:rsid w:val="00125031"/>
    <w:rsid w:val="00125139"/>
    <w:rsid w:val="00125193"/>
    <w:rsid w:val="0012527D"/>
    <w:rsid w:val="00125340"/>
    <w:rsid w:val="0012547A"/>
    <w:rsid w:val="0012547E"/>
    <w:rsid w:val="001258F5"/>
    <w:rsid w:val="001258FE"/>
    <w:rsid w:val="00125BC5"/>
    <w:rsid w:val="00125C21"/>
    <w:rsid w:val="00125D26"/>
    <w:rsid w:val="00125DFB"/>
    <w:rsid w:val="00125E7C"/>
    <w:rsid w:val="00125F65"/>
    <w:rsid w:val="00125F72"/>
    <w:rsid w:val="001260E7"/>
    <w:rsid w:val="00126104"/>
    <w:rsid w:val="00126180"/>
    <w:rsid w:val="001266CE"/>
    <w:rsid w:val="001267DD"/>
    <w:rsid w:val="0012689C"/>
    <w:rsid w:val="001268BC"/>
    <w:rsid w:val="00126A64"/>
    <w:rsid w:val="00126B14"/>
    <w:rsid w:val="00126C8D"/>
    <w:rsid w:val="00126CCA"/>
    <w:rsid w:val="00126ECD"/>
    <w:rsid w:val="00127080"/>
    <w:rsid w:val="00127129"/>
    <w:rsid w:val="0012712A"/>
    <w:rsid w:val="001272CB"/>
    <w:rsid w:val="00127747"/>
    <w:rsid w:val="00127872"/>
    <w:rsid w:val="00127889"/>
    <w:rsid w:val="0012792D"/>
    <w:rsid w:val="00127A7C"/>
    <w:rsid w:val="00127AAD"/>
    <w:rsid w:val="00127AB5"/>
    <w:rsid w:val="00127CAD"/>
    <w:rsid w:val="00127CB8"/>
    <w:rsid w:val="00127CD5"/>
    <w:rsid w:val="00127E88"/>
    <w:rsid w:val="00127F06"/>
    <w:rsid w:val="00130176"/>
    <w:rsid w:val="001302EC"/>
    <w:rsid w:val="001304C4"/>
    <w:rsid w:val="001308B4"/>
    <w:rsid w:val="001308FD"/>
    <w:rsid w:val="00130B44"/>
    <w:rsid w:val="00130BEB"/>
    <w:rsid w:val="00130DB7"/>
    <w:rsid w:val="00130E28"/>
    <w:rsid w:val="001310C0"/>
    <w:rsid w:val="001311E0"/>
    <w:rsid w:val="00131263"/>
    <w:rsid w:val="00131671"/>
    <w:rsid w:val="00131893"/>
    <w:rsid w:val="001318BB"/>
    <w:rsid w:val="00131A71"/>
    <w:rsid w:val="00131A80"/>
    <w:rsid w:val="00131B1F"/>
    <w:rsid w:val="00131D99"/>
    <w:rsid w:val="00131EEE"/>
    <w:rsid w:val="00131F40"/>
    <w:rsid w:val="00131FE0"/>
    <w:rsid w:val="0013238B"/>
    <w:rsid w:val="00132876"/>
    <w:rsid w:val="00132CA5"/>
    <w:rsid w:val="00132E65"/>
    <w:rsid w:val="00132FAB"/>
    <w:rsid w:val="00133203"/>
    <w:rsid w:val="0013352F"/>
    <w:rsid w:val="001335DE"/>
    <w:rsid w:val="001339CA"/>
    <w:rsid w:val="00133A9B"/>
    <w:rsid w:val="00133BE6"/>
    <w:rsid w:val="00133C48"/>
    <w:rsid w:val="00133E72"/>
    <w:rsid w:val="00133E7E"/>
    <w:rsid w:val="00133FA4"/>
    <w:rsid w:val="00133FAD"/>
    <w:rsid w:val="00134412"/>
    <w:rsid w:val="00134491"/>
    <w:rsid w:val="0013475E"/>
    <w:rsid w:val="00134917"/>
    <w:rsid w:val="00134B1B"/>
    <w:rsid w:val="00134BAD"/>
    <w:rsid w:val="00134BB1"/>
    <w:rsid w:val="00134BF9"/>
    <w:rsid w:val="00134D7D"/>
    <w:rsid w:val="0013513D"/>
    <w:rsid w:val="00135241"/>
    <w:rsid w:val="00135293"/>
    <w:rsid w:val="0013556C"/>
    <w:rsid w:val="001355B0"/>
    <w:rsid w:val="001355B7"/>
    <w:rsid w:val="001355EC"/>
    <w:rsid w:val="001356A9"/>
    <w:rsid w:val="0013572A"/>
    <w:rsid w:val="00135757"/>
    <w:rsid w:val="00135DF0"/>
    <w:rsid w:val="00135EB7"/>
    <w:rsid w:val="00135FAB"/>
    <w:rsid w:val="00135FE2"/>
    <w:rsid w:val="00136049"/>
    <w:rsid w:val="00136131"/>
    <w:rsid w:val="0013631D"/>
    <w:rsid w:val="001366BD"/>
    <w:rsid w:val="00136774"/>
    <w:rsid w:val="0013679B"/>
    <w:rsid w:val="001368BF"/>
    <w:rsid w:val="001368CE"/>
    <w:rsid w:val="00136AA7"/>
    <w:rsid w:val="00136AD7"/>
    <w:rsid w:val="00136B87"/>
    <w:rsid w:val="00137111"/>
    <w:rsid w:val="00137177"/>
    <w:rsid w:val="00137283"/>
    <w:rsid w:val="00137834"/>
    <w:rsid w:val="00137A63"/>
    <w:rsid w:val="001401F0"/>
    <w:rsid w:val="00140230"/>
    <w:rsid w:val="0014037D"/>
    <w:rsid w:val="0014050C"/>
    <w:rsid w:val="0014052E"/>
    <w:rsid w:val="001406D7"/>
    <w:rsid w:val="00140982"/>
    <w:rsid w:val="00140ACA"/>
    <w:rsid w:val="00140B18"/>
    <w:rsid w:val="00140E23"/>
    <w:rsid w:val="001412D1"/>
    <w:rsid w:val="00141329"/>
    <w:rsid w:val="00141673"/>
    <w:rsid w:val="00141803"/>
    <w:rsid w:val="0014181D"/>
    <w:rsid w:val="001419FB"/>
    <w:rsid w:val="00141A4A"/>
    <w:rsid w:val="00141BD8"/>
    <w:rsid w:val="00141C61"/>
    <w:rsid w:val="00141D7F"/>
    <w:rsid w:val="00141E96"/>
    <w:rsid w:val="00141FF9"/>
    <w:rsid w:val="0014203B"/>
    <w:rsid w:val="00142268"/>
    <w:rsid w:val="001422C0"/>
    <w:rsid w:val="00142369"/>
    <w:rsid w:val="00142879"/>
    <w:rsid w:val="0014295F"/>
    <w:rsid w:val="00142A58"/>
    <w:rsid w:val="00142CA2"/>
    <w:rsid w:val="00142EC9"/>
    <w:rsid w:val="00142F85"/>
    <w:rsid w:val="00142FAA"/>
    <w:rsid w:val="00143076"/>
    <w:rsid w:val="001430AA"/>
    <w:rsid w:val="0014314C"/>
    <w:rsid w:val="0014315C"/>
    <w:rsid w:val="00143217"/>
    <w:rsid w:val="0014332E"/>
    <w:rsid w:val="00143703"/>
    <w:rsid w:val="00143E84"/>
    <w:rsid w:val="00143F95"/>
    <w:rsid w:val="00143FD1"/>
    <w:rsid w:val="00144040"/>
    <w:rsid w:val="0014409C"/>
    <w:rsid w:val="0014444A"/>
    <w:rsid w:val="001447C1"/>
    <w:rsid w:val="0014487C"/>
    <w:rsid w:val="001448BF"/>
    <w:rsid w:val="00144984"/>
    <w:rsid w:val="00144CBA"/>
    <w:rsid w:val="00144CEC"/>
    <w:rsid w:val="00144E56"/>
    <w:rsid w:val="00144ED2"/>
    <w:rsid w:val="00144EDD"/>
    <w:rsid w:val="00144F88"/>
    <w:rsid w:val="0014526F"/>
    <w:rsid w:val="00145315"/>
    <w:rsid w:val="00145376"/>
    <w:rsid w:val="001453E4"/>
    <w:rsid w:val="001454E5"/>
    <w:rsid w:val="00145565"/>
    <w:rsid w:val="001455F0"/>
    <w:rsid w:val="0014562C"/>
    <w:rsid w:val="00145634"/>
    <w:rsid w:val="00145693"/>
    <w:rsid w:val="00145713"/>
    <w:rsid w:val="00145A44"/>
    <w:rsid w:val="00145D86"/>
    <w:rsid w:val="00145F16"/>
    <w:rsid w:val="00145FE4"/>
    <w:rsid w:val="00146017"/>
    <w:rsid w:val="0014643F"/>
    <w:rsid w:val="0014646E"/>
    <w:rsid w:val="001464EB"/>
    <w:rsid w:val="001466A4"/>
    <w:rsid w:val="00146716"/>
    <w:rsid w:val="00146753"/>
    <w:rsid w:val="0014683E"/>
    <w:rsid w:val="0014687D"/>
    <w:rsid w:val="00146890"/>
    <w:rsid w:val="00146924"/>
    <w:rsid w:val="00146985"/>
    <w:rsid w:val="001469ED"/>
    <w:rsid w:val="00146A73"/>
    <w:rsid w:val="00146AD9"/>
    <w:rsid w:val="00146AF5"/>
    <w:rsid w:val="00146B05"/>
    <w:rsid w:val="00146E03"/>
    <w:rsid w:val="00147005"/>
    <w:rsid w:val="00147077"/>
    <w:rsid w:val="0014731F"/>
    <w:rsid w:val="0014745D"/>
    <w:rsid w:val="00147588"/>
    <w:rsid w:val="00147669"/>
    <w:rsid w:val="001476C7"/>
    <w:rsid w:val="001477FF"/>
    <w:rsid w:val="0014784C"/>
    <w:rsid w:val="00147862"/>
    <w:rsid w:val="001479ED"/>
    <w:rsid w:val="00147A03"/>
    <w:rsid w:val="00147AEF"/>
    <w:rsid w:val="00147B48"/>
    <w:rsid w:val="00147D1B"/>
    <w:rsid w:val="00150018"/>
    <w:rsid w:val="001502BA"/>
    <w:rsid w:val="00150365"/>
    <w:rsid w:val="00150477"/>
    <w:rsid w:val="001505AF"/>
    <w:rsid w:val="00150648"/>
    <w:rsid w:val="0015093F"/>
    <w:rsid w:val="00150B1E"/>
    <w:rsid w:val="00150C08"/>
    <w:rsid w:val="00150C11"/>
    <w:rsid w:val="00150C17"/>
    <w:rsid w:val="00150F4C"/>
    <w:rsid w:val="00150FE8"/>
    <w:rsid w:val="00151031"/>
    <w:rsid w:val="00151140"/>
    <w:rsid w:val="00151240"/>
    <w:rsid w:val="0015141F"/>
    <w:rsid w:val="00151445"/>
    <w:rsid w:val="0015152D"/>
    <w:rsid w:val="0015154C"/>
    <w:rsid w:val="00151597"/>
    <w:rsid w:val="001515FE"/>
    <w:rsid w:val="0015164F"/>
    <w:rsid w:val="0015169B"/>
    <w:rsid w:val="001517CE"/>
    <w:rsid w:val="0015198D"/>
    <w:rsid w:val="00151AAE"/>
    <w:rsid w:val="00151C4A"/>
    <w:rsid w:val="00151CDA"/>
    <w:rsid w:val="00151CFC"/>
    <w:rsid w:val="0015206C"/>
    <w:rsid w:val="00152231"/>
    <w:rsid w:val="00152266"/>
    <w:rsid w:val="00152374"/>
    <w:rsid w:val="00152441"/>
    <w:rsid w:val="001525B5"/>
    <w:rsid w:val="001525C3"/>
    <w:rsid w:val="001525FB"/>
    <w:rsid w:val="00152715"/>
    <w:rsid w:val="0015276C"/>
    <w:rsid w:val="001527FF"/>
    <w:rsid w:val="001528FC"/>
    <w:rsid w:val="0015291F"/>
    <w:rsid w:val="001529C5"/>
    <w:rsid w:val="00152A80"/>
    <w:rsid w:val="00152CB6"/>
    <w:rsid w:val="00152D08"/>
    <w:rsid w:val="00152DA7"/>
    <w:rsid w:val="00152DDF"/>
    <w:rsid w:val="00152E24"/>
    <w:rsid w:val="0015302D"/>
    <w:rsid w:val="0015309F"/>
    <w:rsid w:val="001531F5"/>
    <w:rsid w:val="00153259"/>
    <w:rsid w:val="00153388"/>
    <w:rsid w:val="0015342E"/>
    <w:rsid w:val="001534BA"/>
    <w:rsid w:val="00153599"/>
    <w:rsid w:val="001535B8"/>
    <w:rsid w:val="00153702"/>
    <w:rsid w:val="0015391F"/>
    <w:rsid w:val="00153CA1"/>
    <w:rsid w:val="00153D19"/>
    <w:rsid w:val="00153EF9"/>
    <w:rsid w:val="00154069"/>
    <w:rsid w:val="001544F8"/>
    <w:rsid w:val="001547F4"/>
    <w:rsid w:val="001548B2"/>
    <w:rsid w:val="00154BD2"/>
    <w:rsid w:val="00154D6F"/>
    <w:rsid w:val="0015512F"/>
    <w:rsid w:val="001551A8"/>
    <w:rsid w:val="00155257"/>
    <w:rsid w:val="00155314"/>
    <w:rsid w:val="00155585"/>
    <w:rsid w:val="00155672"/>
    <w:rsid w:val="001556F4"/>
    <w:rsid w:val="00155B59"/>
    <w:rsid w:val="00155B8E"/>
    <w:rsid w:val="00155BAE"/>
    <w:rsid w:val="00155BFA"/>
    <w:rsid w:val="00155E12"/>
    <w:rsid w:val="00155F53"/>
    <w:rsid w:val="0015627D"/>
    <w:rsid w:val="00156282"/>
    <w:rsid w:val="00156606"/>
    <w:rsid w:val="00156853"/>
    <w:rsid w:val="00156862"/>
    <w:rsid w:val="00156892"/>
    <w:rsid w:val="001569A8"/>
    <w:rsid w:val="00156D65"/>
    <w:rsid w:val="00156F45"/>
    <w:rsid w:val="001571C9"/>
    <w:rsid w:val="0015723B"/>
    <w:rsid w:val="00157269"/>
    <w:rsid w:val="00157462"/>
    <w:rsid w:val="00157469"/>
    <w:rsid w:val="001575B0"/>
    <w:rsid w:val="00157861"/>
    <w:rsid w:val="001578E5"/>
    <w:rsid w:val="00157A17"/>
    <w:rsid w:val="00157B9A"/>
    <w:rsid w:val="00157C67"/>
    <w:rsid w:val="00157C72"/>
    <w:rsid w:val="00157D48"/>
    <w:rsid w:val="00157D92"/>
    <w:rsid w:val="00157F63"/>
    <w:rsid w:val="00160059"/>
    <w:rsid w:val="0016006D"/>
    <w:rsid w:val="00160123"/>
    <w:rsid w:val="001603CD"/>
    <w:rsid w:val="00160484"/>
    <w:rsid w:val="00160579"/>
    <w:rsid w:val="0016068E"/>
    <w:rsid w:val="001608A5"/>
    <w:rsid w:val="00160950"/>
    <w:rsid w:val="001609A6"/>
    <w:rsid w:val="001609E4"/>
    <w:rsid w:val="00160C85"/>
    <w:rsid w:val="00160F0F"/>
    <w:rsid w:val="0016143F"/>
    <w:rsid w:val="00161667"/>
    <w:rsid w:val="00161710"/>
    <w:rsid w:val="001619C4"/>
    <w:rsid w:val="00161AE3"/>
    <w:rsid w:val="00161B0E"/>
    <w:rsid w:val="00161BEF"/>
    <w:rsid w:val="00161C03"/>
    <w:rsid w:val="00161F91"/>
    <w:rsid w:val="00161FE9"/>
    <w:rsid w:val="001623B1"/>
    <w:rsid w:val="0016255B"/>
    <w:rsid w:val="00162643"/>
    <w:rsid w:val="001627A6"/>
    <w:rsid w:val="00163078"/>
    <w:rsid w:val="001630C3"/>
    <w:rsid w:val="001631B6"/>
    <w:rsid w:val="0016338C"/>
    <w:rsid w:val="0016339E"/>
    <w:rsid w:val="001634E0"/>
    <w:rsid w:val="00163708"/>
    <w:rsid w:val="001639EE"/>
    <w:rsid w:val="00163A8D"/>
    <w:rsid w:val="00163CCD"/>
    <w:rsid w:val="0016428A"/>
    <w:rsid w:val="00164326"/>
    <w:rsid w:val="0016436E"/>
    <w:rsid w:val="0016441F"/>
    <w:rsid w:val="0016443A"/>
    <w:rsid w:val="001645E2"/>
    <w:rsid w:val="00164686"/>
    <w:rsid w:val="0016477B"/>
    <w:rsid w:val="001647FE"/>
    <w:rsid w:val="00164835"/>
    <w:rsid w:val="00164AD0"/>
    <w:rsid w:val="00164B72"/>
    <w:rsid w:val="00164D74"/>
    <w:rsid w:val="00164E72"/>
    <w:rsid w:val="00164E8E"/>
    <w:rsid w:val="00164F0F"/>
    <w:rsid w:val="0016504B"/>
    <w:rsid w:val="0016523E"/>
    <w:rsid w:val="001655AA"/>
    <w:rsid w:val="001658BA"/>
    <w:rsid w:val="00165AA9"/>
    <w:rsid w:val="00165DE2"/>
    <w:rsid w:val="00165E05"/>
    <w:rsid w:val="00165E31"/>
    <w:rsid w:val="00165EB8"/>
    <w:rsid w:val="00165FA6"/>
    <w:rsid w:val="00166032"/>
    <w:rsid w:val="00166167"/>
    <w:rsid w:val="00166497"/>
    <w:rsid w:val="001664BD"/>
    <w:rsid w:val="00166535"/>
    <w:rsid w:val="001665D9"/>
    <w:rsid w:val="00166718"/>
    <w:rsid w:val="00166BC0"/>
    <w:rsid w:val="00166C60"/>
    <w:rsid w:val="00166D37"/>
    <w:rsid w:val="00166DC4"/>
    <w:rsid w:val="00166F34"/>
    <w:rsid w:val="00166FC1"/>
    <w:rsid w:val="001672BE"/>
    <w:rsid w:val="001672C8"/>
    <w:rsid w:val="00167421"/>
    <w:rsid w:val="0016743C"/>
    <w:rsid w:val="00167471"/>
    <w:rsid w:val="001674C8"/>
    <w:rsid w:val="001678DC"/>
    <w:rsid w:val="00167A3C"/>
    <w:rsid w:val="00167ACE"/>
    <w:rsid w:val="00167BA0"/>
    <w:rsid w:val="00167D5C"/>
    <w:rsid w:val="00167F2F"/>
    <w:rsid w:val="00170090"/>
    <w:rsid w:val="00170261"/>
    <w:rsid w:val="0017029A"/>
    <w:rsid w:val="00170745"/>
    <w:rsid w:val="00170858"/>
    <w:rsid w:val="001709E2"/>
    <w:rsid w:val="00170B68"/>
    <w:rsid w:val="00170C59"/>
    <w:rsid w:val="00170D1E"/>
    <w:rsid w:val="00170ED7"/>
    <w:rsid w:val="00170FD6"/>
    <w:rsid w:val="00171081"/>
    <w:rsid w:val="001711E2"/>
    <w:rsid w:val="00171319"/>
    <w:rsid w:val="0017143E"/>
    <w:rsid w:val="00171464"/>
    <w:rsid w:val="001716FD"/>
    <w:rsid w:val="00171901"/>
    <w:rsid w:val="00171985"/>
    <w:rsid w:val="00171A7E"/>
    <w:rsid w:val="00171B34"/>
    <w:rsid w:val="00171C73"/>
    <w:rsid w:val="00171E22"/>
    <w:rsid w:val="00171F22"/>
    <w:rsid w:val="0017217B"/>
    <w:rsid w:val="00172397"/>
    <w:rsid w:val="001723F1"/>
    <w:rsid w:val="00172653"/>
    <w:rsid w:val="00172691"/>
    <w:rsid w:val="0017269B"/>
    <w:rsid w:val="001726B9"/>
    <w:rsid w:val="001727F7"/>
    <w:rsid w:val="0017291A"/>
    <w:rsid w:val="00172AD7"/>
    <w:rsid w:val="00172C22"/>
    <w:rsid w:val="0017301A"/>
    <w:rsid w:val="001730A2"/>
    <w:rsid w:val="001730C6"/>
    <w:rsid w:val="00173270"/>
    <w:rsid w:val="001732CF"/>
    <w:rsid w:val="00173593"/>
    <w:rsid w:val="0017369F"/>
    <w:rsid w:val="001736AC"/>
    <w:rsid w:val="00173885"/>
    <w:rsid w:val="001738ED"/>
    <w:rsid w:val="00173B2E"/>
    <w:rsid w:val="00173B61"/>
    <w:rsid w:val="00173B74"/>
    <w:rsid w:val="00173DD2"/>
    <w:rsid w:val="00173DEE"/>
    <w:rsid w:val="00173E94"/>
    <w:rsid w:val="00173EC4"/>
    <w:rsid w:val="0017412E"/>
    <w:rsid w:val="0017427C"/>
    <w:rsid w:val="001742AC"/>
    <w:rsid w:val="001743FD"/>
    <w:rsid w:val="00174613"/>
    <w:rsid w:val="00174634"/>
    <w:rsid w:val="001746E2"/>
    <w:rsid w:val="0017498B"/>
    <w:rsid w:val="00174FDB"/>
    <w:rsid w:val="001750F2"/>
    <w:rsid w:val="001751AD"/>
    <w:rsid w:val="00175250"/>
    <w:rsid w:val="0017553A"/>
    <w:rsid w:val="00175602"/>
    <w:rsid w:val="00175674"/>
    <w:rsid w:val="001756C0"/>
    <w:rsid w:val="001758BB"/>
    <w:rsid w:val="001758F6"/>
    <w:rsid w:val="00175BAC"/>
    <w:rsid w:val="00175C2F"/>
    <w:rsid w:val="00175D18"/>
    <w:rsid w:val="00175F7F"/>
    <w:rsid w:val="00175F95"/>
    <w:rsid w:val="00175FCD"/>
    <w:rsid w:val="0017653E"/>
    <w:rsid w:val="001765B5"/>
    <w:rsid w:val="00176986"/>
    <w:rsid w:val="00176AD3"/>
    <w:rsid w:val="00176CF7"/>
    <w:rsid w:val="00176E14"/>
    <w:rsid w:val="00177290"/>
    <w:rsid w:val="001773DA"/>
    <w:rsid w:val="001774E3"/>
    <w:rsid w:val="0017751B"/>
    <w:rsid w:val="0017751C"/>
    <w:rsid w:val="00177C48"/>
    <w:rsid w:val="00177CF0"/>
    <w:rsid w:val="00177D94"/>
    <w:rsid w:val="00177EED"/>
    <w:rsid w:val="00177F38"/>
    <w:rsid w:val="0018015C"/>
    <w:rsid w:val="0018031E"/>
    <w:rsid w:val="00180552"/>
    <w:rsid w:val="0018076F"/>
    <w:rsid w:val="001807B3"/>
    <w:rsid w:val="001807F8"/>
    <w:rsid w:val="001808C8"/>
    <w:rsid w:val="001809E9"/>
    <w:rsid w:val="00180A37"/>
    <w:rsid w:val="00180E09"/>
    <w:rsid w:val="00180F8F"/>
    <w:rsid w:val="00181069"/>
    <w:rsid w:val="001810F3"/>
    <w:rsid w:val="00181150"/>
    <w:rsid w:val="00181298"/>
    <w:rsid w:val="0018142F"/>
    <w:rsid w:val="001814D4"/>
    <w:rsid w:val="00181528"/>
    <w:rsid w:val="0018177F"/>
    <w:rsid w:val="00181C45"/>
    <w:rsid w:val="00181DCD"/>
    <w:rsid w:val="00181DE5"/>
    <w:rsid w:val="00181E58"/>
    <w:rsid w:val="00181F5A"/>
    <w:rsid w:val="00182094"/>
    <w:rsid w:val="001820DD"/>
    <w:rsid w:val="00182158"/>
    <w:rsid w:val="001827A5"/>
    <w:rsid w:val="001828CE"/>
    <w:rsid w:val="001829A4"/>
    <w:rsid w:val="00182EE5"/>
    <w:rsid w:val="00182F45"/>
    <w:rsid w:val="00182F5E"/>
    <w:rsid w:val="0018315F"/>
    <w:rsid w:val="0018320C"/>
    <w:rsid w:val="00183274"/>
    <w:rsid w:val="00183423"/>
    <w:rsid w:val="00183608"/>
    <w:rsid w:val="0018361A"/>
    <w:rsid w:val="00183951"/>
    <w:rsid w:val="00183AC7"/>
    <w:rsid w:val="00183D5D"/>
    <w:rsid w:val="00183E6A"/>
    <w:rsid w:val="001840EA"/>
    <w:rsid w:val="00184244"/>
    <w:rsid w:val="001843DB"/>
    <w:rsid w:val="00184414"/>
    <w:rsid w:val="0018444C"/>
    <w:rsid w:val="00184AFB"/>
    <w:rsid w:val="00184C38"/>
    <w:rsid w:val="00184CB1"/>
    <w:rsid w:val="00184DE6"/>
    <w:rsid w:val="00185082"/>
    <w:rsid w:val="001850B8"/>
    <w:rsid w:val="0018510F"/>
    <w:rsid w:val="00185115"/>
    <w:rsid w:val="00185148"/>
    <w:rsid w:val="00185162"/>
    <w:rsid w:val="00185237"/>
    <w:rsid w:val="001852A7"/>
    <w:rsid w:val="0018535C"/>
    <w:rsid w:val="00185472"/>
    <w:rsid w:val="001854C7"/>
    <w:rsid w:val="0018551D"/>
    <w:rsid w:val="00185559"/>
    <w:rsid w:val="0018562D"/>
    <w:rsid w:val="001858A9"/>
    <w:rsid w:val="00185A4A"/>
    <w:rsid w:val="00185AA4"/>
    <w:rsid w:val="00185D00"/>
    <w:rsid w:val="00185F4F"/>
    <w:rsid w:val="00185FDE"/>
    <w:rsid w:val="001860A0"/>
    <w:rsid w:val="00186252"/>
    <w:rsid w:val="001862DC"/>
    <w:rsid w:val="001863FF"/>
    <w:rsid w:val="001865A8"/>
    <w:rsid w:val="001867E7"/>
    <w:rsid w:val="001868CE"/>
    <w:rsid w:val="001868DC"/>
    <w:rsid w:val="001868EE"/>
    <w:rsid w:val="00186ACB"/>
    <w:rsid w:val="00186B5F"/>
    <w:rsid w:val="00186B62"/>
    <w:rsid w:val="00186E46"/>
    <w:rsid w:val="00186F17"/>
    <w:rsid w:val="00187025"/>
    <w:rsid w:val="001870B3"/>
    <w:rsid w:val="001870CC"/>
    <w:rsid w:val="001872DC"/>
    <w:rsid w:val="00187689"/>
    <w:rsid w:val="00187849"/>
    <w:rsid w:val="0018797C"/>
    <w:rsid w:val="00187B68"/>
    <w:rsid w:val="00187DBE"/>
    <w:rsid w:val="001900C8"/>
    <w:rsid w:val="00190113"/>
    <w:rsid w:val="001901EC"/>
    <w:rsid w:val="001902C1"/>
    <w:rsid w:val="00190340"/>
    <w:rsid w:val="00190342"/>
    <w:rsid w:val="00190411"/>
    <w:rsid w:val="00190457"/>
    <w:rsid w:val="00190A00"/>
    <w:rsid w:val="00190DFA"/>
    <w:rsid w:val="00190ECD"/>
    <w:rsid w:val="00190EFA"/>
    <w:rsid w:val="00190FA2"/>
    <w:rsid w:val="00191105"/>
    <w:rsid w:val="001911F4"/>
    <w:rsid w:val="00191363"/>
    <w:rsid w:val="0019139A"/>
    <w:rsid w:val="0019143C"/>
    <w:rsid w:val="00191618"/>
    <w:rsid w:val="00191650"/>
    <w:rsid w:val="001916B7"/>
    <w:rsid w:val="001918F5"/>
    <w:rsid w:val="0019196A"/>
    <w:rsid w:val="00191A7A"/>
    <w:rsid w:val="00191B47"/>
    <w:rsid w:val="00191CDB"/>
    <w:rsid w:val="00191D4E"/>
    <w:rsid w:val="00191D61"/>
    <w:rsid w:val="00191DAA"/>
    <w:rsid w:val="00191E1D"/>
    <w:rsid w:val="00191E76"/>
    <w:rsid w:val="00191EAF"/>
    <w:rsid w:val="00191FC1"/>
    <w:rsid w:val="00192120"/>
    <w:rsid w:val="0019213D"/>
    <w:rsid w:val="001923CF"/>
    <w:rsid w:val="0019256C"/>
    <w:rsid w:val="00192738"/>
    <w:rsid w:val="0019293A"/>
    <w:rsid w:val="00192B72"/>
    <w:rsid w:val="00192CA5"/>
    <w:rsid w:val="001930F4"/>
    <w:rsid w:val="00193186"/>
    <w:rsid w:val="00193238"/>
    <w:rsid w:val="001934C0"/>
    <w:rsid w:val="00193562"/>
    <w:rsid w:val="001935B5"/>
    <w:rsid w:val="001935C8"/>
    <w:rsid w:val="00193607"/>
    <w:rsid w:val="0019375C"/>
    <w:rsid w:val="00193772"/>
    <w:rsid w:val="00193968"/>
    <w:rsid w:val="0019398B"/>
    <w:rsid w:val="00193A88"/>
    <w:rsid w:val="00193B41"/>
    <w:rsid w:val="00193FAB"/>
    <w:rsid w:val="001940F2"/>
    <w:rsid w:val="0019423E"/>
    <w:rsid w:val="0019424B"/>
    <w:rsid w:val="00194489"/>
    <w:rsid w:val="001945FD"/>
    <w:rsid w:val="00194699"/>
    <w:rsid w:val="00194796"/>
    <w:rsid w:val="001948CF"/>
    <w:rsid w:val="00194A64"/>
    <w:rsid w:val="00194B32"/>
    <w:rsid w:val="00194C47"/>
    <w:rsid w:val="00194CBA"/>
    <w:rsid w:val="00194E9D"/>
    <w:rsid w:val="00194EA1"/>
    <w:rsid w:val="00194EAA"/>
    <w:rsid w:val="00194F12"/>
    <w:rsid w:val="00195119"/>
    <w:rsid w:val="001951AE"/>
    <w:rsid w:val="0019522C"/>
    <w:rsid w:val="0019527D"/>
    <w:rsid w:val="001953BC"/>
    <w:rsid w:val="001953FA"/>
    <w:rsid w:val="00195536"/>
    <w:rsid w:val="0019558C"/>
    <w:rsid w:val="001956EF"/>
    <w:rsid w:val="00195746"/>
    <w:rsid w:val="00195747"/>
    <w:rsid w:val="00195933"/>
    <w:rsid w:val="00195A39"/>
    <w:rsid w:val="00195ABE"/>
    <w:rsid w:val="00195B21"/>
    <w:rsid w:val="00195BC5"/>
    <w:rsid w:val="00195C3E"/>
    <w:rsid w:val="00195CD3"/>
    <w:rsid w:val="00195DE4"/>
    <w:rsid w:val="00195EF7"/>
    <w:rsid w:val="001960FA"/>
    <w:rsid w:val="0019644D"/>
    <w:rsid w:val="0019648A"/>
    <w:rsid w:val="0019648C"/>
    <w:rsid w:val="0019674F"/>
    <w:rsid w:val="00196A64"/>
    <w:rsid w:val="00196C5A"/>
    <w:rsid w:val="00196CEA"/>
    <w:rsid w:val="00196DF9"/>
    <w:rsid w:val="00196F17"/>
    <w:rsid w:val="0019700D"/>
    <w:rsid w:val="00197029"/>
    <w:rsid w:val="00197403"/>
    <w:rsid w:val="0019760C"/>
    <w:rsid w:val="0019761F"/>
    <w:rsid w:val="0019776D"/>
    <w:rsid w:val="00197A4A"/>
    <w:rsid w:val="00197A63"/>
    <w:rsid w:val="00197A96"/>
    <w:rsid w:val="00197BD6"/>
    <w:rsid w:val="00197D3E"/>
    <w:rsid w:val="00197D75"/>
    <w:rsid w:val="00197EB8"/>
    <w:rsid w:val="001A09AA"/>
    <w:rsid w:val="001A0A3A"/>
    <w:rsid w:val="001A0ABC"/>
    <w:rsid w:val="001A0C30"/>
    <w:rsid w:val="001A0CF8"/>
    <w:rsid w:val="001A0D29"/>
    <w:rsid w:val="001A0D77"/>
    <w:rsid w:val="001A0E04"/>
    <w:rsid w:val="001A0E74"/>
    <w:rsid w:val="001A131B"/>
    <w:rsid w:val="001A1652"/>
    <w:rsid w:val="001A168D"/>
    <w:rsid w:val="001A1846"/>
    <w:rsid w:val="001A1973"/>
    <w:rsid w:val="001A19FA"/>
    <w:rsid w:val="001A1ABA"/>
    <w:rsid w:val="001A1B11"/>
    <w:rsid w:val="001A1BE6"/>
    <w:rsid w:val="001A1C25"/>
    <w:rsid w:val="001A1C9B"/>
    <w:rsid w:val="001A1D22"/>
    <w:rsid w:val="001A1DD0"/>
    <w:rsid w:val="001A1DF6"/>
    <w:rsid w:val="001A2015"/>
    <w:rsid w:val="001A20A9"/>
    <w:rsid w:val="001A2250"/>
    <w:rsid w:val="001A22BD"/>
    <w:rsid w:val="001A245B"/>
    <w:rsid w:val="001A277F"/>
    <w:rsid w:val="001A283C"/>
    <w:rsid w:val="001A2A0C"/>
    <w:rsid w:val="001A2C1B"/>
    <w:rsid w:val="001A2D7A"/>
    <w:rsid w:val="001A2E76"/>
    <w:rsid w:val="001A2E8A"/>
    <w:rsid w:val="001A2F9F"/>
    <w:rsid w:val="001A3157"/>
    <w:rsid w:val="001A31AA"/>
    <w:rsid w:val="001A323A"/>
    <w:rsid w:val="001A327A"/>
    <w:rsid w:val="001A34D0"/>
    <w:rsid w:val="001A356A"/>
    <w:rsid w:val="001A388B"/>
    <w:rsid w:val="001A38E7"/>
    <w:rsid w:val="001A3A5C"/>
    <w:rsid w:val="001A3A61"/>
    <w:rsid w:val="001A3A7E"/>
    <w:rsid w:val="001A3C4B"/>
    <w:rsid w:val="001A3D31"/>
    <w:rsid w:val="001A3D75"/>
    <w:rsid w:val="001A3EC4"/>
    <w:rsid w:val="001A4144"/>
    <w:rsid w:val="001A4243"/>
    <w:rsid w:val="001A4397"/>
    <w:rsid w:val="001A43DA"/>
    <w:rsid w:val="001A43F2"/>
    <w:rsid w:val="001A4584"/>
    <w:rsid w:val="001A49E6"/>
    <w:rsid w:val="001A49F4"/>
    <w:rsid w:val="001A4C3C"/>
    <w:rsid w:val="001A5115"/>
    <w:rsid w:val="001A5271"/>
    <w:rsid w:val="001A557C"/>
    <w:rsid w:val="001A5586"/>
    <w:rsid w:val="001A566F"/>
    <w:rsid w:val="001A58A1"/>
    <w:rsid w:val="001A5D18"/>
    <w:rsid w:val="001A5D89"/>
    <w:rsid w:val="001A615C"/>
    <w:rsid w:val="001A61FA"/>
    <w:rsid w:val="001A6429"/>
    <w:rsid w:val="001A6510"/>
    <w:rsid w:val="001A655C"/>
    <w:rsid w:val="001A6661"/>
    <w:rsid w:val="001A6792"/>
    <w:rsid w:val="001A6911"/>
    <w:rsid w:val="001A6A7F"/>
    <w:rsid w:val="001A6A8E"/>
    <w:rsid w:val="001A6B6C"/>
    <w:rsid w:val="001A6BEA"/>
    <w:rsid w:val="001A6C48"/>
    <w:rsid w:val="001A6C88"/>
    <w:rsid w:val="001A6E1C"/>
    <w:rsid w:val="001A7106"/>
    <w:rsid w:val="001A7500"/>
    <w:rsid w:val="001A7621"/>
    <w:rsid w:val="001A776D"/>
    <w:rsid w:val="001A7DB1"/>
    <w:rsid w:val="001A7E18"/>
    <w:rsid w:val="001A7EEA"/>
    <w:rsid w:val="001A7F73"/>
    <w:rsid w:val="001A7FC4"/>
    <w:rsid w:val="001B012A"/>
    <w:rsid w:val="001B0196"/>
    <w:rsid w:val="001B02BE"/>
    <w:rsid w:val="001B039C"/>
    <w:rsid w:val="001B055C"/>
    <w:rsid w:val="001B05B4"/>
    <w:rsid w:val="001B071E"/>
    <w:rsid w:val="001B076A"/>
    <w:rsid w:val="001B0790"/>
    <w:rsid w:val="001B083A"/>
    <w:rsid w:val="001B093C"/>
    <w:rsid w:val="001B0F4E"/>
    <w:rsid w:val="001B1060"/>
    <w:rsid w:val="001B10F9"/>
    <w:rsid w:val="001B1100"/>
    <w:rsid w:val="001B1203"/>
    <w:rsid w:val="001B1577"/>
    <w:rsid w:val="001B179F"/>
    <w:rsid w:val="001B1949"/>
    <w:rsid w:val="001B1981"/>
    <w:rsid w:val="001B1B45"/>
    <w:rsid w:val="001B1BC5"/>
    <w:rsid w:val="001B2035"/>
    <w:rsid w:val="001B2175"/>
    <w:rsid w:val="001B2188"/>
    <w:rsid w:val="001B21C0"/>
    <w:rsid w:val="001B2647"/>
    <w:rsid w:val="001B2752"/>
    <w:rsid w:val="001B277A"/>
    <w:rsid w:val="001B2800"/>
    <w:rsid w:val="001B2BAE"/>
    <w:rsid w:val="001B2BDB"/>
    <w:rsid w:val="001B3075"/>
    <w:rsid w:val="001B3329"/>
    <w:rsid w:val="001B3412"/>
    <w:rsid w:val="001B35E3"/>
    <w:rsid w:val="001B3628"/>
    <w:rsid w:val="001B3996"/>
    <w:rsid w:val="001B3BAE"/>
    <w:rsid w:val="001B3CB9"/>
    <w:rsid w:val="001B3DCE"/>
    <w:rsid w:val="001B3FA3"/>
    <w:rsid w:val="001B4105"/>
    <w:rsid w:val="001B42D7"/>
    <w:rsid w:val="001B482A"/>
    <w:rsid w:val="001B4878"/>
    <w:rsid w:val="001B49D7"/>
    <w:rsid w:val="001B4CDF"/>
    <w:rsid w:val="001B4D9D"/>
    <w:rsid w:val="001B5157"/>
    <w:rsid w:val="001B5173"/>
    <w:rsid w:val="001B557E"/>
    <w:rsid w:val="001B57F1"/>
    <w:rsid w:val="001B5908"/>
    <w:rsid w:val="001B5964"/>
    <w:rsid w:val="001B5F1A"/>
    <w:rsid w:val="001B5F7A"/>
    <w:rsid w:val="001B5F83"/>
    <w:rsid w:val="001B6084"/>
    <w:rsid w:val="001B6102"/>
    <w:rsid w:val="001B6202"/>
    <w:rsid w:val="001B6228"/>
    <w:rsid w:val="001B627C"/>
    <w:rsid w:val="001B629D"/>
    <w:rsid w:val="001B6367"/>
    <w:rsid w:val="001B6548"/>
    <w:rsid w:val="001B6982"/>
    <w:rsid w:val="001B69C4"/>
    <w:rsid w:val="001B6A73"/>
    <w:rsid w:val="001B6B2B"/>
    <w:rsid w:val="001B6C36"/>
    <w:rsid w:val="001B6CE6"/>
    <w:rsid w:val="001B6E65"/>
    <w:rsid w:val="001B6EAE"/>
    <w:rsid w:val="001B6F5A"/>
    <w:rsid w:val="001B6F70"/>
    <w:rsid w:val="001B7030"/>
    <w:rsid w:val="001B7053"/>
    <w:rsid w:val="001B712B"/>
    <w:rsid w:val="001B7456"/>
    <w:rsid w:val="001B75D4"/>
    <w:rsid w:val="001B7911"/>
    <w:rsid w:val="001B7A6B"/>
    <w:rsid w:val="001B7AA5"/>
    <w:rsid w:val="001B7B4B"/>
    <w:rsid w:val="001B7CE2"/>
    <w:rsid w:val="001B7E1F"/>
    <w:rsid w:val="001B7F52"/>
    <w:rsid w:val="001B7F98"/>
    <w:rsid w:val="001C002E"/>
    <w:rsid w:val="001C0061"/>
    <w:rsid w:val="001C010E"/>
    <w:rsid w:val="001C0553"/>
    <w:rsid w:val="001C060D"/>
    <w:rsid w:val="001C0768"/>
    <w:rsid w:val="001C07A7"/>
    <w:rsid w:val="001C08BD"/>
    <w:rsid w:val="001C08EF"/>
    <w:rsid w:val="001C09B5"/>
    <w:rsid w:val="001C09E9"/>
    <w:rsid w:val="001C0A7C"/>
    <w:rsid w:val="001C0B02"/>
    <w:rsid w:val="001C0C04"/>
    <w:rsid w:val="001C0D5A"/>
    <w:rsid w:val="001C1071"/>
    <w:rsid w:val="001C11ED"/>
    <w:rsid w:val="001C1427"/>
    <w:rsid w:val="001C153B"/>
    <w:rsid w:val="001C154F"/>
    <w:rsid w:val="001C1590"/>
    <w:rsid w:val="001C160C"/>
    <w:rsid w:val="001C1782"/>
    <w:rsid w:val="001C17A7"/>
    <w:rsid w:val="001C184A"/>
    <w:rsid w:val="001C1A07"/>
    <w:rsid w:val="001C1A58"/>
    <w:rsid w:val="001C1CC8"/>
    <w:rsid w:val="001C1E02"/>
    <w:rsid w:val="001C21AB"/>
    <w:rsid w:val="001C2876"/>
    <w:rsid w:val="001C2A48"/>
    <w:rsid w:val="001C2BD5"/>
    <w:rsid w:val="001C2C3A"/>
    <w:rsid w:val="001C2D10"/>
    <w:rsid w:val="001C2F87"/>
    <w:rsid w:val="001C2FE4"/>
    <w:rsid w:val="001C322C"/>
    <w:rsid w:val="001C32A2"/>
    <w:rsid w:val="001C32CE"/>
    <w:rsid w:val="001C3367"/>
    <w:rsid w:val="001C3400"/>
    <w:rsid w:val="001C352A"/>
    <w:rsid w:val="001C36D4"/>
    <w:rsid w:val="001C3899"/>
    <w:rsid w:val="001C38FA"/>
    <w:rsid w:val="001C3901"/>
    <w:rsid w:val="001C3B4A"/>
    <w:rsid w:val="001C3C90"/>
    <w:rsid w:val="001C3EC5"/>
    <w:rsid w:val="001C3F1B"/>
    <w:rsid w:val="001C4027"/>
    <w:rsid w:val="001C40A1"/>
    <w:rsid w:val="001C4113"/>
    <w:rsid w:val="001C4134"/>
    <w:rsid w:val="001C41AA"/>
    <w:rsid w:val="001C4245"/>
    <w:rsid w:val="001C4309"/>
    <w:rsid w:val="001C4687"/>
    <w:rsid w:val="001C4966"/>
    <w:rsid w:val="001C4B1E"/>
    <w:rsid w:val="001C4B87"/>
    <w:rsid w:val="001C4CA3"/>
    <w:rsid w:val="001C4CDC"/>
    <w:rsid w:val="001C4D3D"/>
    <w:rsid w:val="001C4DB2"/>
    <w:rsid w:val="001C4F23"/>
    <w:rsid w:val="001C4F68"/>
    <w:rsid w:val="001C508D"/>
    <w:rsid w:val="001C51A1"/>
    <w:rsid w:val="001C51F6"/>
    <w:rsid w:val="001C520F"/>
    <w:rsid w:val="001C5242"/>
    <w:rsid w:val="001C52B6"/>
    <w:rsid w:val="001C53D8"/>
    <w:rsid w:val="001C54D7"/>
    <w:rsid w:val="001C5570"/>
    <w:rsid w:val="001C55F4"/>
    <w:rsid w:val="001C567C"/>
    <w:rsid w:val="001C5681"/>
    <w:rsid w:val="001C5750"/>
    <w:rsid w:val="001C57AB"/>
    <w:rsid w:val="001C587B"/>
    <w:rsid w:val="001C5C27"/>
    <w:rsid w:val="001C5CEE"/>
    <w:rsid w:val="001C5E02"/>
    <w:rsid w:val="001C5EC6"/>
    <w:rsid w:val="001C60F0"/>
    <w:rsid w:val="001C630D"/>
    <w:rsid w:val="001C637A"/>
    <w:rsid w:val="001C663E"/>
    <w:rsid w:val="001C674B"/>
    <w:rsid w:val="001C686F"/>
    <w:rsid w:val="001C68EA"/>
    <w:rsid w:val="001C6A0B"/>
    <w:rsid w:val="001C6ACF"/>
    <w:rsid w:val="001C6C9C"/>
    <w:rsid w:val="001C7177"/>
    <w:rsid w:val="001C758D"/>
    <w:rsid w:val="001C7767"/>
    <w:rsid w:val="001C77DA"/>
    <w:rsid w:val="001C7835"/>
    <w:rsid w:val="001C7ADE"/>
    <w:rsid w:val="001C7CDA"/>
    <w:rsid w:val="001C7D03"/>
    <w:rsid w:val="001C7D1A"/>
    <w:rsid w:val="001C7E3A"/>
    <w:rsid w:val="001C7ECC"/>
    <w:rsid w:val="001D000D"/>
    <w:rsid w:val="001D0074"/>
    <w:rsid w:val="001D008B"/>
    <w:rsid w:val="001D00E2"/>
    <w:rsid w:val="001D01CD"/>
    <w:rsid w:val="001D0268"/>
    <w:rsid w:val="001D0296"/>
    <w:rsid w:val="001D02C4"/>
    <w:rsid w:val="001D06A2"/>
    <w:rsid w:val="001D071A"/>
    <w:rsid w:val="001D07A8"/>
    <w:rsid w:val="001D088C"/>
    <w:rsid w:val="001D09DF"/>
    <w:rsid w:val="001D0C92"/>
    <w:rsid w:val="001D0CA9"/>
    <w:rsid w:val="001D0CCD"/>
    <w:rsid w:val="001D0E75"/>
    <w:rsid w:val="001D114D"/>
    <w:rsid w:val="001D1245"/>
    <w:rsid w:val="001D12F5"/>
    <w:rsid w:val="001D14BB"/>
    <w:rsid w:val="001D14ED"/>
    <w:rsid w:val="001D1583"/>
    <w:rsid w:val="001D169B"/>
    <w:rsid w:val="001D1D47"/>
    <w:rsid w:val="001D1F20"/>
    <w:rsid w:val="001D1F47"/>
    <w:rsid w:val="001D1F95"/>
    <w:rsid w:val="001D1FEC"/>
    <w:rsid w:val="001D2063"/>
    <w:rsid w:val="001D211B"/>
    <w:rsid w:val="001D2245"/>
    <w:rsid w:val="001D22B9"/>
    <w:rsid w:val="001D24A4"/>
    <w:rsid w:val="001D2602"/>
    <w:rsid w:val="001D285B"/>
    <w:rsid w:val="001D2880"/>
    <w:rsid w:val="001D2915"/>
    <w:rsid w:val="001D29C5"/>
    <w:rsid w:val="001D2A89"/>
    <w:rsid w:val="001D2B3B"/>
    <w:rsid w:val="001D2B8E"/>
    <w:rsid w:val="001D2C1C"/>
    <w:rsid w:val="001D2D5C"/>
    <w:rsid w:val="001D2E60"/>
    <w:rsid w:val="001D3030"/>
    <w:rsid w:val="001D31B5"/>
    <w:rsid w:val="001D334D"/>
    <w:rsid w:val="001D34EB"/>
    <w:rsid w:val="001D350E"/>
    <w:rsid w:val="001D35B5"/>
    <w:rsid w:val="001D3716"/>
    <w:rsid w:val="001D371E"/>
    <w:rsid w:val="001D3879"/>
    <w:rsid w:val="001D38FD"/>
    <w:rsid w:val="001D3904"/>
    <w:rsid w:val="001D3BA2"/>
    <w:rsid w:val="001D3FDC"/>
    <w:rsid w:val="001D4372"/>
    <w:rsid w:val="001D43AD"/>
    <w:rsid w:val="001D45F9"/>
    <w:rsid w:val="001D4697"/>
    <w:rsid w:val="001D4980"/>
    <w:rsid w:val="001D4B56"/>
    <w:rsid w:val="001D4B8D"/>
    <w:rsid w:val="001D4C20"/>
    <w:rsid w:val="001D4E1C"/>
    <w:rsid w:val="001D4E68"/>
    <w:rsid w:val="001D4FC0"/>
    <w:rsid w:val="001D5169"/>
    <w:rsid w:val="001D517F"/>
    <w:rsid w:val="001D531F"/>
    <w:rsid w:val="001D5485"/>
    <w:rsid w:val="001D55A7"/>
    <w:rsid w:val="001D5633"/>
    <w:rsid w:val="001D57E7"/>
    <w:rsid w:val="001D583F"/>
    <w:rsid w:val="001D5A7B"/>
    <w:rsid w:val="001D5AAA"/>
    <w:rsid w:val="001D5CCC"/>
    <w:rsid w:val="001D5E68"/>
    <w:rsid w:val="001D6289"/>
    <w:rsid w:val="001D6488"/>
    <w:rsid w:val="001D64DA"/>
    <w:rsid w:val="001D6508"/>
    <w:rsid w:val="001D6924"/>
    <w:rsid w:val="001D6A25"/>
    <w:rsid w:val="001D6AB2"/>
    <w:rsid w:val="001D6B91"/>
    <w:rsid w:val="001D6C6A"/>
    <w:rsid w:val="001D6D98"/>
    <w:rsid w:val="001D6DD8"/>
    <w:rsid w:val="001D7161"/>
    <w:rsid w:val="001D7197"/>
    <w:rsid w:val="001D71D1"/>
    <w:rsid w:val="001D721F"/>
    <w:rsid w:val="001D728B"/>
    <w:rsid w:val="001D72F3"/>
    <w:rsid w:val="001D7984"/>
    <w:rsid w:val="001D7A18"/>
    <w:rsid w:val="001D7B3E"/>
    <w:rsid w:val="001E009C"/>
    <w:rsid w:val="001E014F"/>
    <w:rsid w:val="001E019C"/>
    <w:rsid w:val="001E041B"/>
    <w:rsid w:val="001E05C3"/>
    <w:rsid w:val="001E0671"/>
    <w:rsid w:val="001E084A"/>
    <w:rsid w:val="001E0897"/>
    <w:rsid w:val="001E0978"/>
    <w:rsid w:val="001E0ADF"/>
    <w:rsid w:val="001E0DCC"/>
    <w:rsid w:val="001E0F1B"/>
    <w:rsid w:val="001E102F"/>
    <w:rsid w:val="001E1061"/>
    <w:rsid w:val="001E111A"/>
    <w:rsid w:val="001E1403"/>
    <w:rsid w:val="001E15E3"/>
    <w:rsid w:val="001E163B"/>
    <w:rsid w:val="001E1707"/>
    <w:rsid w:val="001E1853"/>
    <w:rsid w:val="001E18CF"/>
    <w:rsid w:val="001E19D4"/>
    <w:rsid w:val="001E1B0C"/>
    <w:rsid w:val="001E1B3F"/>
    <w:rsid w:val="001E1F69"/>
    <w:rsid w:val="001E2086"/>
    <w:rsid w:val="001E22A8"/>
    <w:rsid w:val="001E2451"/>
    <w:rsid w:val="001E251C"/>
    <w:rsid w:val="001E2592"/>
    <w:rsid w:val="001E274F"/>
    <w:rsid w:val="001E29CF"/>
    <w:rsid w:val="001E2B22"/>
    <w:rsid w:val="001E2DC9"/>
    <w:rsid w:val="001E2DD6"/>
    <w:rsid w:val="001E2F0A"/>
    <w:rsid w:val="001E3010"/>
    <w:rsid w:val="001E304D"/>
    <w:rsid w:val="001E316B"/>
    <w:rsid w:val="001E31A4"/>
    <w:rsid w:val="001E32AB"/>
    <w:rsid w:val="001E351A"/>
    <w:rsid w:val="001E3694"/>
    <w:rsid w:val="001E3AB4"/>
    <w:rsid w:val="001E3D3D"/>
    <w:rsid w:val="001E415B"/>
    <w:rsid w:val="001E4290"/>
    <w:rsid w:val="001E439E"/>
    <w:rsid w:val="001E43F8"/>
    <w:rsid w:val="001E4457"/>
    <w:rsid w:val="001E45D1"/>
    <w:rsid w:val="001E4769"/>
    <w:rsid w:val="001E486A"/>
    <w:rsid w:val="001E4945"/>
    <w:rsid w:val="001E4AE7"/>
    <w:rsid w:val="001E4C19"/>
    <w:rsid w:val="001E4F57"/>
    <w:rsid w:val="001E4F73"/>
    <w:rsid w:val="001E5176"/>
    <w:rsid w:val="001E5316"/>
    <w:rsid w:val="001E5346"/>
    <w:rsid w:val="001E55DF"/>
    <w:rsid w:val="001E5672"/>
    <w:rsid w:val="001E571C"/>
    <w:rsid w:val="001E576D"/>
    <w:rsid w:val="001E5826"/>
    <w:rsid w:val="001E58F1"/>
    <w:rsid w:val="001E5903"/>
    <w:rsid w:val="001E5A48"/>
    <w:rsid w:val="001E5B2E"/>
    <w:rsid w:val="001E5B31"/>
    <w:rsid w:val="001E5CA0"/>
    <w:rsid w:val="001E5E83"/>
    <w:rsid w:val="001E5F4D"/>
    <w:rsid w:val="001E5FCF"/>
    <w:rsid w:val="001E605C"/>
    <w:rsid w:val="001E606A"/>
    <w:rsid w:val="001E64B4"/>
    <w:rsid w:val="001E6675"/>
    <w:rsid w:val="001E667F"/>
    <w:rsid w:val="001E66D2"/>
    <w:rsid w:val="001E67C6"/>
    <w:rsid w:val="001E682C"/>
    <w:rsid w:val="001E6D26"/>
    <w:rsid w:val="001E6D92"/>
    <w:rsid w:val="001E6E0F"/>
    <w:rsid w:val="001E6EB4"/>
    <w:rsid w:val="001E6F02"/>
    <w:rsid w:val="001E7132"/>
    <w:rsid w:val="001E724D"/>
    <w:rsid w:val="001E73C1"/>
    <w:rsid w:val="001E73F0"/>
    <w:rsid w:val="001E763A"/>
    <w:rsid w:val="001E7BCE"/>
    <w:rsid w:val="001E7C15"/>
    <w:rsid w:val="001E7CA9"/>
    <w:rsid w:val="001E7F01"/>
    <w:rsid w:val="001E7FF5"/>
    <w:rsid w:val="001F001C"/>
    <w:rsid w:val="001F01A2"/>
    <w:rsid w:val="001F0264"/>
    <w:rsid w:val="001F04EB"/>
    <w:rsid w:val="001F05FD"/>
    <w:rsid w:val="001F0ADC"/>
    <w:rsid w:val="001F0B73"/>
    <w:rsid w:val="001F0C85"/>
    <w:rsid w:val="001F0EB3"/>
    <w:rsid w:val="001F0ED9"/>
    <w:rsid w:val="001F0F6B"/>
    <w:rsid w:val="001F1169"/>
    <w:rsid w:val="001F11A7"/>
    <w:rsid w:val="001F1201"/>
    <w:rsid w:val="001F1258"/>
    <w:rsid w:val="001F12ED"/>
    <w:rsid w:val="001F13C1"/>
    <w:rsid w:val="001F14D1"/>
    <w:rsid w:val="001F1679"/>
    <w:rsid w:val="001F16A8"/>
    <w:rsid w:val="001F16A9"/>
    <w:rsid w:val="001F17B5"/>
    <w:rsid w:val="001F1918"/>
    <w:rsid w:val="001F1953"/>
    <w:rsid w:val="001F1A3D"/>
    <w:rsid w:val="001F1BB7"/>
    <w:rsid w:val="001F200D"/>
    <w:rsid w:val="001F28E4"/>
    <w:rsid w:val="001F2908"/>
    <w:rsid w:val="001F297D"/>
    <w:rsid w:val="001F2C8E"/>
    <w:rsid w:val="001F2D35"/>
    <w:rsid w:val="001F2DBB"/>
    <w:rsid w:val="001F2DCA"/>
    <w:rsid w:val="001F2EAA"/>
    <w:rsid w:val="001F2EBA"/>
    <w:rsid w:val="001F2F04"/>
    <w:rsid w:val="001F30A0"/>
    <w:rsid w:val="001F3378"/>
    <w:rsid w:val="001F33AD"/>
    <w:rsid w:val="001F3450"/>
    <w:rsid w:val="001F3510"/>
    <w:rsid w:val="001F364B"/>
    <w:rsid w:val="001F387A"/>
    <w:rsid w:val="001F38D6"/>
    <w:rsid w:val="001F39E6"/>
    <w:rsid w:val="001F3A22"/>
    <w:rsid w:val="001F3AD3"/>
    <w:rsid w:val="001F3B8B"/>
    <w:rsid w:val="001F3F09"/>
    <w:rsid w:val="001F3FD8"/>
    <w:rsid w:val="001F4036"/>
    <w:rsid w:val="001F40FF"/>
    <w:rsid w:val="001F434A"/>
    <w:rsid w:val="001F4370"/>
    <w:rsid w:val="001F446D"/>
    <w:rsid w:val="001F449A"/>
    <w:rsid w:val="001F4551"/>
    <w:rsid w:val="001F46DF"/>
    <w:rsid w:val="001F4779"/>
    <w:rsid w:val="001F4987"/>
    <w:rsid w:val="001F49C2"/>
    <w:rsid w:val="001F4BBE"/>
    <w:rsid w:val="001F4C54"/>
    <w:rsid w:val="001F4CA8"/>
    <w:rsid w:val="001F5020"/>
    <w:rsid w:val="001F5069"/>
    <w:rsid w:val="001F50A2"/>
    <w:rsid w:val="001F50DA"/>
    <w:rsid w:val="001F5183"/>
    <w:rsid w:val="001F5194"/>
    <w:rsid w:val="001F5201"/>
    <w:rsid w:val="001F5304"/>
    <w:rsid w:val="001F54FB"/>
    <w:rsid w:val="001F5563"/>
    <w:rsid w:val="001F5707"/>
    <w:rsid w:val="001F573A"/>
    <w:rsid w:val="001F573F"/>
    <w:rsid w:val="001F578E"/>
    <w:rsid w:val="001F59AE"/>
    <w:rsid w:val="001F5A12"/>
    <w:rsid w:val="001F5B1E"/>
    <w:rsid w:val="001F5B6B"/>
    <w:rsid w:val="001F5C71"/>
    <w:rsid w:val="001F5E17"/>
    <w:rsid w:val="001F5ED4"/>
    <w:rsid w:val="001F6084"/>
    <w:rsid w:val="001F61F0"/>
    <w:rsid w:val="001F62DC"/>
    <w:rsid w:val="001F6314"/>
    <w:rsid w:val="001F6388"/>
    <w:rsid w:val="001F63EF"/>
    <w:rsid w:val="001F66C9"/>
    <w:rsid w:val="001F6746"/>
    <w:rsid w:val="001F6A2E"/>
    <w:rsid w:val="001F6A9D"/>
    <w:rsid w:val="001F6BD2"/>
    <w:rsid w:val="001F6CB6"/>
    <w:rsid w:val="001F6E04"/>
    <w:rsid w:val="001F70B1"/>
    <w:rsid w:val="001F70BC"/>
    <w:rsid w:val="001F7232"/>
    <w:rsid w:val="001F7242"/>
    <w:rsid w:val="001F72C1"/>
    <w:rsid w:val="001F7366"/>
    <w:rsid w:val="001F78FE"/>
    <w:rsid w:val="001F79C9"/>
    <w:rsid w:val="001F7A0D"/>
    <w:rsid w:val="001F7C41"/>
    <w:rsid w:val="001F7C5C"/>
    <w:rsid w:val="001F7C95"/>
    <w:rsid w:val="001F7DD9"/>
    <w:rsid w:val="001F7E30"/>
    <w:rsid w:val="002000BE"/>
    <w:rsid w:val="002001C6"/>
    <w:rsid w:val="002003FD"/>
    <w:rsid w:val="00200447"/>
    <w:rsid w:val="00200537"/>
    <w:rsid w:val="0020057B"/>
    <w:rsid w:val="002005DA"/>
    <w:rsid w:val="00200B45"/>
    <w:rsid w:val="00200CEB"/>
    <w:rsid w:val="00200DA2"/>
    <w:rsid w:val="00200E72"/>
    <w:rsid w:val="00200F61"/>
    <w:rsid w:val="00201156"/>
    <w:rsid w:val="002013A8"/>
    <w:rsid w:val="002015E8"/>
    <w:rsid w:val="0020178E"/>
    <w:rsid w:val="002017A2"/>
    <w:rsid w:val="002019C6"/>
    <w:rsid w:val="00201C01"/>
    <w:rsid w:val="00201D49"/>
    <w:rsid w:val="00201FA1"/>
    <w:rsid w:val="00202215"/>
    <w:rsid w:val="0020244B"/>
    <w:rsid w:val="00202579"/>
    <w:rsid w:val="00202580"/>
    <w:rsid w:val="0020267D"/>
    <w:rsid w:val="00202949"/>
    <w:rsid w:val="00202A0A"/>
    <w:rsid w:val="00202A62"/>
    <w:rsid w:val="00202B8E"/>
    <w:rsid w:val="00202C47"/>
    <w:rsid w:val="00202CC5"/>
    <w:rsid w:val="00202CF2"/>
    <w:rsid w:val="00202EA5"/>
    <w:rsid w:val="0020337E"/>
    <w:rsid w:val="002033A6"/>
    <w:rsid w:val="002034C4"/>
    <w:rsid w:val="002036BB"/>
    <w:rsid w:val="00203A6E"/>
    <w:rsid w:val="00203A94"/>
    <w:rsid w:val="00203C3D"/>
    <w:rsid w:val="00203C97"/>
    <w:rsid w:val="00204314"/>
    <w:rsid w:val="0020432F"/>
    <w:rsid w:val="00204454"/>
    <w:rsid w:val="0020448F"/>
    <w:rsid w:val="0020460A"/>
    <w:rsid w:val="002046C6"/>
    <w:rsid w:val="002046FF"/>
    <w:rsid w:val="00204768"/>
    <w:rsid w:val="002048DD"/>
    <w:rsid w:val="0020490F"/>
    <w:rsid w:val="00204A81"/>
    <w:rsid w:val="00204B46"/>
    <w:rsid w:val="00204B5E"/>
    <w:rsid w:val="00204C0D"/>
    <w:rsid w:val="00204CD9"/>
    <w:rsid w:val="00204D87"/>
    <w:rsid w:val="00204EDA"/>
    <w:rsid w:val="00204F62"/>
    <w:rsid w:val="0020511D"/>
    <w:rsid w:val="002051C5"/>
    <w:rsid w:val="0020569B"/>
    <w:rsid w:val="00205796"/>
    <w:rsid w:val="00205842"/>
    <w:rsid w:val="00205974"/>
    <w:rsid w:val="00205979"/>
    <w:rsid w:val="00205989"/>
    <w:rsid w:val="00205A8B"/>
    <w:rsid w:val="00205AF1"/>
    <w:rsid w:val="00205D5F"/>
    <w:rsid w:val="00205D70"/>
    <w:rsid w:val="00205D81"/>
    <w:rsid w:val="00205F11"/>
    <w:rsid w:val="00205F64"/>
    <w:rsid w:val="0020631D"/>
    <w:rsid w:val="002063DA"/>
    <w:rsid w:val="002064AE"/>
    <w:rsid w:val="00206770"/>
    <w:rsid w:val="00206852"/>
    <w:rsid w:val="002068CA"/>
    <w:rsid w:val="00206987"/>
    <w:rsid w:val="00206BA0"/>
    <w:rsid w:val="00206CDB"/>
    <w:rsid w:val="00206D03"/>
    <w:rsid w:val="00206DDB"/>
    <w:rsid w:val="00207066"/>
    <w:rsid w:val="00207135"/>
    <w:rsid w:val="002071F9"/>
    <w:rsid w:val="002074A1"/>
    <w:rsid w:val="00207605"/>
    <w:rsid w:val="0020770B"/>
    <w:rsid w:val="00207BAF"/>
    <w:rsid w:val="00207D93"/>
    <w:rsid w:val="00207F83"/>
    <w:rsid w:val="00207FD0"/>
    <w:rsid w:val="00207FD4"/>
    <w:rsid w:val="00210047"/>
    <w:rsid w:val="002101CB"/>
    <w:rsid w:val="002105DD"/>
    <w:rsid w:val="002106C4"/>
    <w:rsid w:val="00210826"/>
    <w:rsid w:val="00210AC5"/>
    <w:rsid w:val="00210B00"/>
    <w:rsid w:val="00210B31"/>
    <w:rsid w:val="00210C97"/>
    <w:rsid w:val="00210CA8"/>
    <w:rsid w:val="00210D26"/>
    <w:rsid w:val="00210D83"/>
    <w:rsid w:val="00210ED9"/>
    <w:rsid w:val="00210EDB"/>
    <w:rsid w:val="00210F13"/>
    <w:rsid w:val="00210F17"/>
    <w:rsid w:val="00210F39"/>
    <w:rsid w:val="00210FAC"/>
    <w:rsid w:val="0021109D"/>
    <w:rsid w:val="002112A1"/>
    <w:rsid w:val="002114A4"/>
    <w:rsid w:val="0021161C"/>
    <w:rsid w:val="00211811"/>
    <w:rsid w:val="00211857"/>
    <w:rsid w:val="00211960"/>
    <w:rsid w:val="0021197F"/>
    <w:rsid w:val="002119E8"/>
    <w:rsid w:val="00211A71"/>
    <w:rsid w:val="00211AE1"/>
    <w:rsid w:val="00211E09"/>
    <w:rsid w:val="002121BD"/>
    <w:rsid w:val="00212216"/>
    <w:rsid w:val="002125A9"/>
    <w:rsid w:val="00212612"/>
    <w:rsid w:val="00212690"/>
    <w:rsid w:val="002127FA"/>
    <w:rsid w:val="00212A71"/>
    <w:rsid w:val="00212F15"/>
    <w:rsid w:val="0021318D"/>
    <w:rsid w:val="002131BD"/>
    <w:rsid w:val="002131CD"/>
    <w:rsid w:val="00213296"/>
    <w:rsid w:val="002132C1"/>
    <w:rsid w:val="00213338"/>
    <w:rsid w:val="0021348D"/>
    <w:rsid w:val="0021349B"/>
    <w:rsid w:val="002134B7"/>
    <w:rsid w:val="0021352E"/>
    <w:rsid w:val="002136B7"/>
    <w:rsid w:val="00213777"/>
    <w:rsid w:val="002138C7"/>
    <w:rsid w:val="002138E4"/>
    <w:rsid w:val="00213B1B"/>
    <w:rsid w:val="00213B65"/>
    <w:rsid w:val="00213C03"/>
    <w:rsid w:val="00213C67"/>
    <w:rsid w:val="00213CB6"/>
    <w:rsid w:val="00213DAF"/>
    <w:rsid w:val="00213E82"/>
    <w:rsid w:val="00213FF3"/>
    <w:rsid w:val="00214030"/>
    <w:rsid w:val="002141F2"/>
    <w:rsid w:val="002143FE"/>
    <w:rsid w:val="002145D3"/>
    <w:rsid w:val="00214904"/>
    <w:rsid w:val="00214A02"/>
    <w:rsid w:val="00214ACE"/>
    <w:rsid w:val="00214C7F"/>
    <w:rsid w:val="00214D37"/>
    <w:rsid w:val="00214FCB"/>
    <w:rsid w:val="00215020"/>
    <w:rsid w:val="00215042"/>
    <w:rsid w:val="002150D3"/>
    <w:rsid w:val="0021519A"/>
    <w:rsid w:val="0021555C"/>
    <w:rsid w:val="002155AC"/>
    <w:rsid w:val="002155F8"/>
    <w:rsid w:val="0021566F"/>
    <w:rsid w:val="002156E1"/>
    <w:rsid w:val="002156EF"/>
    <w:rsid w:val="002158A3"/>
    <w:rsid w:val="00215A40"/>
    <w:rsid w:val="00215B68"/>
    <w:rsid w:val="00215E19"/>
    <w:rsid w:val="00215EE8"/>
    <w:rsid w:val="002162E8"/>
    <w:rsid w:val="0021635B"/>
    <w:rsid w:val="0021635E"/>
    <w:rsid w:val="0021641C"/>
    <w:rsid w:val="002164D5"/>
    <w:rsid w:val="00216609"/>
    <w:rsid w:val="002168D6"/>
    <w:rsid w:val="00216B33"/>
    <w:rsid w:val="00216DEC"/>
    <w:rsid w:val="00216E4A"/>
    <w:rsid w:val="00216F6D"/>
    <w:rsid w:val="0021702C"/>
    <w:rsid w:val="0021709A"/>
    <w:rsid w:val="002170F3"/>
    <w:rsid w:val="00217190"/>
    <w:rsid w:val="002173B6"/>
    <w:rsid w:val="00217400"/>
    <w:rsid w:val="002175F7"/>
    <w:rsid w:val="00217798"/>
    <w:rsid w:val="002177D7"/>
    <w:rsid w:val="002177D8"/>
    <w:rsid w:val="00217990"/>
    <w:rsid w:val="00217D18"/>
    <w:rsid w:val="00217DB0"/>
    <w:rsid w:val="00217F41"/>
    <w:rsid w:val="002200E1"/>
    <w:rsid w:val="00220240"/>
    <w:rsid w:val="002202B8"/>
    <w:rsid w:val="002203E0"/>
    <w:rsid w:val="002204A6"/>
    <w:rsid w:val="002206A9"/>
    <w:rsid w:val="0022071E"/>
    <w:rsid w:val="00220C20"/>
    <w:rsid w:val="00220CF6"/>
    <w:rsid w:val="00220D99"/>
    <w:rsid w:val="00220DE0"/>
    <w:rsid w:val="00220E80"/>
    <w:rsid w:val="002212A5"/>
    <w:rsid w:val="002215CE"/>
    <w:rsid w:val="002217EE"/>
    <w:rsid w:val="00221AB7"/>
    <w:rsid w:val="00221B07"/>
    <w:rsid w:val="00221D4A"/>
    <w:rsid w:val="00221D4F"/>
    <w:rsid w:val="00221DC2"/>
    <w:rsid w:val="00221EBA"/>
    <w:rsid w:val="0022201F"/>
    <w:rsid w:val="00222268"/>
    <w:rsid w:val="00222623"/>
    <w:rsid w:val="0022267D"/>
    <w:rsid w:val="002227FF"/>
    <w:rsid w:val="00222B79"/>
    <w:rsid w:val="00222CD6"/>
    <w:rsid w:val="00222D58"/>
    <w:rsid w:val="0022309D"/>
    <w:rsid w:val="002232F8"/>
    <w:rsid w:val="002234D9"/>
    <w:rsid w:val="002234E9"/>
    <w:rsid w:val="00223533"/>
    <w:rsid w:val="00223545"/>
    <w:rsid w:val="00223792"/>
    <w:rsid w:val="00223921"/>
    <w:rsid w:val="00223969"/>
    <w:rsid w:val="00223A6B"/>
    <w:rsid w:val="00223C1C"/>
    <w:rsid w:val="00223C64"/>
    <w:rsid w:val="00223CD6"/>
    <w:rsid w:val="00224093"/>
    <w:rsid w:val="002240FA"/>
    <w:rsid w:val="00224693"/>
    <w:rsid w:val="002248D5"/>
    <w:rsid w:val="00224914"/>
    <w:rsid w:val="00224956"/>
    <w:rsid w:val="00224A50"/>
    <w:rsid w:val="00224AEE"/>
    <w:rsid w:val="00224DC5"/>
    <w:rsid w:val="002251C8"/>
    <w:rsid w:val="002251F0"/>
    <w:rsid w:val="002252F2"/>
    <w:rsid w:val="0022562B"/>
    <w:rsid w:val="0022563D"/>
    <w:rsid w:val="002257CC"/>
    <w:rsid w:val="002258B0"/>
    <w:rsid w:val="002259C5"/>
    <w:rsid w:val="00225E59"/>
    <w:rsid w:val="00226081"/>
    <w:rsid w:val="0022622F"/>
    <w:rsid w:val="00226373"/>
    <w:rsid w:val="0022648C"/>
    <w:rsid w:val="0022655F"/>
    <w:rsid w:val="00226658"/>
    <w:rsid w:val="0022669E"/>
    <w:rsid w:val="00226790"/>
    <w:rsid w:val="00226818"/>
    <w:rsid w:val="00226836"/>
    <w:rsid w:val="002268E5"/>
    <w:rsid w:val="00226A63"/>
    <w:rsid w:val="00226AA7"/>
    <w:rsid w:val="00226AED"/>
    <w:rsid w:val="00226B18"/>
    <w:rsid w:val="00226B2A"/>
    <w:rsid w:val="00226BF8"/>
    <w:rsid w:val="00226D92"/>
    <w:rsid w:val="00226E0F"/>
    <w:rsid w:val="0022717B"/>
    <w:rsid w:val="00227458"/>
    <w:rsid w:val="002274F5"/>
    <w:rsid w:val="002277E1"/>
    <w:rsid w:val="00227861"/>
    <w:rsid w:val="00227C3A"/>
    <w:rsid w:val="00227DCB"/>
    <w:rsid w:val="002300ED"/>
    <w:rsid w:val="00230136"/>
    <w:rsid w:val="00230182"/>
    <w:rsid w:val="002302A2"/>
    <w:rsid w:val="0023081D"/>
    <w:rsid w:val="0023085B"/>
    <w:rsid w:val="00230861"/>
    <w:rsid w:val="0023087F"/>
    <w:rsid w:val="002308E2"/>
    <w:rsid w:val="002309FA"/>
    <w:rsid w:val="00230B04"/>
    <w:rsid w:val="00230C35"/>
    <w:rsid w:val="00231095"/>
    <w:rsid w:val="0023114F"/>
    <w:rsid w:val="0023154F"/>
    <w:rsid w:val="002315EC"/>
    <w:rsid w:val="002316E8"/>
    <w:rsid w:val="00231969"/>
    <w:rsid w:val="00231A84"/>
    <w:rsid w:val="00231AFC"/>
    <w:rsid w:val="00231B31"/>
    <w:rsid w:val="00231BAB"/>
    <w:rsid w:val="00231C56"/>
    <w:rsid w:val="002321A9"/>
    <w:rsid w:val="00232453"/>
    <w:rsid w:val="00232631"/>
    <w:rsid w:val="002326DF"/>
    <w:rsid w:val="00232785"/>
    <w:rsid w:val="002327F2"/>
    <w:rsid w:val="0023286E"/>
    <w:rsid w:val="00232C74"/>
    <w:rsid w:val="00232E0C"/>
    <w:rsid w:val="00233024"/>
    <w:rsid w:val="0023307F"/>
    <w:rsid w:val="002330D1"/>
    <w:rsid w:val="0023314E"/>
    <w:rsid w:val="0023351B"/>
    <w:rsid w:val="002335D8"/>
    <w:rsid w:val="00233766"/>
    <w:rsid w:val="002339EF"/>
    <w:rsid w:val="00233B17"/>
    <w:rsid w:val="00233BA1"/>
    <w:rsid w:val="00233BFA"/>
    <w:rsid w:val="00233D4A"/>
    <w:rsid w:val="00234005"/>
    <w:rsid w:val="00234352"/>
    <w:rsid w:val="00234385"/>
    <w:rsid w:val="002343A8"/>
    <w:rsid w:val="002344D4"/>
    <w:rsid w:val="002345F4"/>
    <w:rsid w:val="002346C7"/>
    <w:rsid w:val="00234915"/>
    <w:rsid w:val="00234A34"/>
    <w:rsid w:val="00234B1B"/>
    <w:rsid w:val="00234BD6"/>
    <w:rsid w:val="00234D7F"/>
    <w:rsid w:val="00234E43"/>
    <w:rsid w:val="00234EB6"/>
    <w:rsid w:val="00234F06"/>
    <w:rsid w:val="00234FD4"/>
    <w:rsid w:val="00235232"/>
    <w:rsid w:val="0023533D"/>
    <w:rsid w:val="002354C2"/>
    <w:rsid w:val="002355FA"/>
    <w:rsid w:val="00235620"/>
    <w:rsid w:val="00235695"/>
    <w:rsid w:val="0023585B"/>
    <w:rsid w:val="002360A8"/>
    <w:rsid w:val="002361D6"/>
    <w:rsid w:val="0023636E"/>
    <w:rsid w:val="002365BE"/>
    <w:rsid w:val="0023667B"/>
    <w:rsid w:val="00236802"/>
    <w:rsid w:val="00236D9C"/>
    <w:rsid w:val="0023709A"/>
    <w:rsid w:val="0023734A"/>
    <w:rsid w:val="002375B8"/>
    <w:rsid w:val="002375C8"/>
    <w:rsid w:val="002376EF"/>
    <w:rsid w:val="00237843"/>
    <w:rsid w:val="0023793A"/>
    <w:rsid w:val="00237955"/>
    <w:rsid w:val="00237A4E"/>
    <w:rsid w:val="00237AF9"/>
    <w:rsid w:val="00237BE6"/>
    <w:rsid w:val="00237C8D"/>
    <w:rsid w:val="00237E4B"/>
    <w:rsid w:val="00237F0B"/>
    <w:rsid w:val="00240011"/>
    <w:rsid w:val="00240091"/>
    <w:rsid w:val="0024014B"/>
    <w:rsid w:val="0024016C"/>
    <w:rsid w:val="0024063F"/>
    <w:rsid w:val="00240861"/>
    <w:rsid w:val="00240A12"/>
    <w:rsid w:val="00240A1E"/>
    <w:rsid w:val="00240B3A"/>
    <w:rsid w:val="00240B4E"/>
    <w:rsid w:val="00240BD1"/>
    <w:rsid w:val="00240DED"/>
    <w:rsid w:val="00240E29"/>
    <w:rsid w:val="00241349"/>
    <w:rsid w:val="002414F7"/>
    <w:rsid w:val="00241AB5"/>
    <w:rsid w:val="00241B03"/>
    <w:rsid w:val="00241CAD"/>
    <w:rsid w:val="00241DB5"/>
    <w:rsid w:val="00242047"/>
    <w:rsid w:val="0024211E"/>
    <w:rsid w:val="00242186"/>
    <w:rsid w:val="00242203"/>
    <w:rsid w:val="00242387"/>
    <w:rsid w:val="0024239D"/>
    <w:rsid w:val="002423E2"/>
    <w:rsid w:val="0024278B"/>
    <w:rsid w:val="00242924"/>
    <w:rsid w:val="002429A0"/>
    <w:rsid w:val="00242B21"/>
    <w:rsid w:val="00242B30"/>
    <w:rsid w:val="00242B9F"/>
    <w:rsid w:val="00242F78"/>
    <w:rsid w:val="00242FB9"/>
    <w:rsid w:val="002431CC"/>
    <w:rsid w:val="0024322E"/>
    <w:rsid w:val="00243236"/>
    <w:rsid w:val="00243314"/>
    <w:rsid w:val="0024364B"/>
    <w:rsid w:val="00243651"/>
    <w:rsid w:val="002436FC"/>
    <w:rsid w:val="00243902"/>
    <w:rsid w:val="00243C9E"/>
    <w:rsid w:val="002440FE"/>
    <w:rsid w:val="00244127"/>
    <w:rsid w:val="00244159"/>
    <w:rsid w:val="0024465A"/>
    <w:rsid w:val="002446EB"/>
    <w:rsid w:val="00244786"/>
    <w:rsid w:val="002448A5"/>
    <w:rsid w:val="00244990"/>
    <w:rsid w:val="00244999"/>
    <w:rsid w:val="00244DFC"/>
    <w:rsid w:val="00244E02"/>
    <w:rsid w:val="002450FD"/>
    <w:rsid w:val="00245195"/>
    <w:rsid w:val="00245428"/>
    <w:rsid w:val="002455A1"/>
    <w:rsid w:val="0024568C"/>
    <w:rsid w:val="002459CC"/>
    <w:rsid w:val="002459CF"/>
    <w:rsid w:val="00245A77"/>
    <w:rsid w:val="00245CF3"/>
    <w:rsid w:val="00245E51"/>
    <w:rsid w:val="002462CD"/>
    <w:rsid w:val="00246341"/>
    <w:rsid w:val="00246435"/>
    <w:rsid w:val="0024643C"/>
    <w:rsid w:val="0024661F"/>
    <w:rsid w:val="0024674A"/>
    <w:rsid w:val="002467DE"/>
    <w:rsid w:val="0024683C"/>
    <w:rsid w:val="00246A94"/>
    <w:rsid w:val="00246ACF"/>
    <w:rsid w:val="00246BCF"/>
    <w:rsid w:val="00246BDF"/>
    <w:rsid w:val="00246F2E"/>
    <w:rsid w:val="00246F8E"/>
    <w:rsid w:val="002471A1"/>
    <w:rsid w:val="00247205"/>
    <w:rsid w:val="00247378"/>
    <w:rsid w:val="002474F0"/>
    <w:rsid w:val="002475BF"/>
    <w:rsid w:val="002478FC"/>
    <w:rsid w:val="00247911"/>
    <w:rsid w:val="00247914"/>
    <w:rsid w:val="002479CF"/>
    <w:rsid w:val="00247A63"/>
    <w:rsid w:val="00247A69"/>
    <w:rsid w:val="00247AE5"/>
    <w:rsid w:val="00247B95"/>
    <w:rsid w:val="00247BDB"/>
    <w:rsid w:val="00247C4F"/>
    <w:rsid w:val="00247D84"/>
    <w:rsid w:val="00247E3E"/>
    <w:rsid w:val="00250016"/>
    <w:rsid w:val="0025008E"/>
    <w:rsid w:val="002502AA"/>
    <w:rsid w:val="00250524"/>
    <w:rsid w:val="0025095C"/>
    <w:rsid w:val="00250DC2"/>
    <w:rsid w:val="002512DC"/>
    <w:rsid w:val="00251301"/>
    <w:rsid w:val="00251318"/>
    <w:rsid w:val="00251515"/>
    <w:rsid w:val="00251574"/>
    <w:rsid w:val="00251656"/>
    <w:rsid w:val="00251659"/>
    <w:rsid w:val="00251D36"/>
    <w:rsid w:val="00251EDD"/>
    <w:rsid w:val="00251F2A"/>
    <w:rsid w:val="002520A8"/>
    <w:rsid w:val="00252261"/>
    <w:rsid w:val="002523B9"/>
    <w:rsid w:val="00252483"/>
    <w:rsid w:val="002526DB"/>
    <w:rsid w:val="00252731"/>
    <w:rsid w:val="002528EE"/>
    <w:rsid w:val="00252A5E"/>
    <w:rsid w:val="00252CE4"/>
    <w:rsid w:val="00252D57"/>
    <w:rsid w:val="00252E89"/>
    <w:rsid w:val="00253062"/>
    <w:rsid w:val="002530EE"/>
    <w:rsid w:val="0025310F"/>
    <w:rsid w:val="00253175"/>
    <w:rsid w:val="002534F3"/>
    <w:rsid w:val="00253518"/>
    <w:rsid w:val="00253559"/>
    <w:rsid w:val="002535B9"/>
    <w:rsid w:val="00253605"/>
    <w:rsid w:val="00253AE0"/>
    <w:rsid w:val="00253BF4"/>
    <w:rsid w:val="00253D05"/>
    <w:rsid w:val="00253D51"/>
    <w:rsid w:val="00253DA3"/>
    <w:rsid w:val="00253DD8"/>
    <w:rsid w:val="00254041"/>
    <w:rsid w:val="00254128"/>
    <w:rsid w:val="00254366"/>
    <w:rsid w:val="002544E9"/>
    <w:rsid w:val="002545D1"/>
    <w:rsid w:val="0025473E"/>
    <w:rsid w:val="002547D9"/>
    <w:rsid w:val="0025486E"/>
    <w:rsid w:val="00254963"/>
    <w:rsid w:val="002549AE"/>
    <w:rsid w:val="00254BBB"/>
    <w:rsid w:val="00254CE9"/>
    <w:rsid w:val="00254D5B"/>
    <w:rsid w:val="002550C6"/>
    <w:rsid w:val="0025511F"/>
    <w:rsid w:val="00255302"/>
    <w:rsid w:val="002554A7"/>
    <w:rsid w:val="00255505"/>
    <w:rsid w:val="00255619"/>
    <w:rsid w:val="00255822"/>
    <w:rsid w:val="00255943"/>
    <w:rsid w:val="00255A06"/>
    <w:rsid w:val="00255BC9"/>
    <w:rsid w:val="00255D5F"/>
    <w:rsid w:val="00255D61"/>
    <w:rsid w:val="00255F3B"/>
    <w:rsid w:val="00256018"/>
    <w:rsid w:val="0025605A"/>
    <w:rsid w:val="00256149"/>
    <w:rsid w:val="002561A1"/>
    <w:rsid w:val="002561F5"/>
    <w:rsid w:val="00256208"/>
    <w:rsid w:val="002562CE"/>
    <w:rsid w:val="0025639A"/>
    <w:rsid w:val="0025639F"/>
    <w:rsid w:val="00256550"/>
    <w:rsid w:val="00256688"/>
    <w:rsid w:val="002566E7"/>
    <w:rsid w:val="00256734"/>
    <w:rsid w:val="00256A4D"/>
    <w:rsid w:val="00256A95"/>
    <w:rsid w:val="00256B5E"/>
    <w:rsid w:val="00256C24"/>
    <w:rsid w:val="00256CBF"/>
    <w:rsid w:val="00256DAE"/>
    <w:rsid w:val="00256DF8"/>
    <w:rsid w:val="002570DE"/>
    <w:rsid w:val="0025724F"/>
    <w:rsid w:val="0025746B"/>
    <w:rsid w:val="00257538"/>
    <w:rsid w:val="0025775E"/>
    <w:rsid w:val="00257C58"/>
    <w:rsid w:val="00257DDF"/>
    <w:rsid w:val="00257E11"/>
    <w:rsid w:val="00257ECF"/>
    <w:rsid w:val="00260059"/>
    <w:rsid w:val="002600E3"/>
    <w:rsid w:val="002603EE"/>
    <w:rsid w:val="00260473"/>
    <w:rsid w:val="00260499"/>
    <w:rsid w:val="002604B9"/>
    <w:rsid w:val="00260526"/>
    <w:rsid w:val="0026055A"/>
    <w:rsid w:val="0026057C"/>
    <w:rsid w:val="00260688"/>
    <w:rsid w:val="002606A1"/>
    <w:rsid w:val="0026074B"/>
    <w:rsid w:val="00260AB1"/>
    <w:rsid w:val="00260ABA"/>
    <w:rsid w:val="00260CF7"/>
    <w:rsid w:val="00260DA9"/>
    <w:rsid w:val="00261040"/>
    <w:rsid w:val="0026108E"/>
    <w:rsid w:val="0026124C"/>
    <w:rsid w:val="002612DE"/>
    <w:rsid w:val="00261355"/>
    <w:rsid w:val="00261420"/>
    <w:rsid w:val="00261514"/>
    <w:rsid w:val="0026156C"/>
    <w:rsid w:val="002615AE"/>
    <w:rsid w:val="002615F8"/>
    <w:rsid w:val="00261742"/>
    <w:rsid w:val="002617A0"/>
    <w:rsid w:val="00261855"/>
    <w:rsid w:val="00261880"/>
    <w:rsid w:val="00261899"/>
    <w:rsid w:val="00261949"/>
    <w:rsid w:val="00261D06"/>
    <w:rsid w:val="00261E55"/>
    <w:rsid w:val="00262019"/>
    <w:rsid w:val="002622B9"/>
    <w:rsid w:val="002623B8"/>
    <w:rsid w:val="0026253F"/>
    <w:rsid w:val="00262778"/>
    <w:rsid w:val="002627D1"/>
    <w:rsid w:val="002629E7"/>
    <w:rsid w:val="00262A9E"/>
    <w:rsid w:val="00262AEF"/>
    <w:rsid w:val="00262B23"/>
    <w:rsid w:val="0026302C"/>
    <w:rsid w:val="0026316B"/>
    <w:rsid w:val="00263174"/>
    <w:rsid w:val="0026339E"/>
    <w:rsid w:val="00263451"/>
    <w:rsid w:val="0026373D"/>
    <w:rsid w:val="002637BF"/>
    <w:rsid w:val="00263838"/>
    <w:rsid w:val="0026389F"/>
    <w:rsid w:val="00263907"/>
    <w:rsid w:val="00263991"/>
    <w:rsid w:val="00263C6C"/>
    <w:rsid w:val="00263E46"/>
    <w:rsid w:val="0026421A"/>
    <w:rsid w:val="00264224"/>
    <w:rsid w:val="0026429C"/>
    <w:rsid w:val="00264319"/>
    <w:rsid w:val="0026432E"/>
    <w:rsid w:val="00264432"/>
    <w:rsid w:val="002644B0"/>
    <w:rsid w:val="00264542"/>
    <w:rsid w:val="0026465E"/>
    <w:rsid w:val="00264820"/>
    <w:rsid w:val="002648EC"/>
    <w:rsid w:val="00264A2E"/>
    <w:rsid w:val="00264AB4"/>
    <w:rsid w:val="00264ABB"/>
    <w:rsid w:val="00264C55"/>
    <w:rsid w:val="00264C78"/>
    <w:rsid w:val="00264DAB"/>
    <w:rsid w:val="00264F2A"/>
    <w:rsid w:val="00265215"/>
    <w:rsid w:val="002653D4"/>
    <w:rsid w:val="002654AE"/>
    <w:rsid w:val="0026556D"/>
    <w:rsid w:val="002655D3"/>
    <w:rsid w:val="00265737"/>
    <w:rsid w:val="00265912"/>
    <w:rsid w:val="00265A1C"/>
    <w:rsid w:val="00265B37"/>
    <w:rsid w:val="00265BEC"/>
    <w:rsid w:val="00265E53"/>
    <w:rsid w:val="00266066"/>
    <w:rsid w:val="002660A6"/>
    <w:rsid w:val="002661DA"/>
    <w:rsid w:val="00266213"/>
    <w:rsid w:val="002662B7"/>
    <w:rsid w:val="00266448"/>
    <w:rsid w:val="002665FA"/>
    <w:rsid w:val="002667E0"/>
    <w:rsid w:val="00266ADF"/>
    <w:rsid w:val="00267140"/>
    <w:rsid w:val="00267306"/>
    <w:rsid w:val="0026730B"/>
    <w:rsid w:val="0026735F"/>
    <w:rsid w:val="00267383"/>
    <w:rsid w:val="00267397"/>
    <w:rsid w:val="00267406"/>
    <w:rsid w:val="0026746E"/>
    <w:rsid w:val="00267486"/>
    <w:rsid w:val="00267561"/>
    <w:rsid w:val="00267672"/>
    <w:rsid w:val="002677A3"/>
    <w:rsid w:val="00267837"/>
    <w:rsid w:val="00267BF3"/>
    <w:rsid w:val="00267CB1"/>
    <w:rsid w:val="00267DF1"/>
    <w:rsid w:val="00267ECF"/>
    <w:rsid w:val="002704DC"/>
    <w:rsid w:val="0027054A"/>
    <w:rsid w:val="00270834"/>
    <w:rsid w:val="0027093B"/>
    <w:rsid w:val="0027094C"/>
    <w:rsid w:val="002709C2"/>
    <w:rsid w:val="00270ACD"/>
    <w:rsid w:val="00270B40"/>
    <w:rsid w:val="00270BC9"/>
    <w:rsid w:val="00270C34"/>
    <w:rsid w:val="00270E8C"/>
    <w:rsid w:val="00270EC8"/>
    <w:rsid w:val="00271086"/>
    <w:rsid w:val="00271341"/>
    <w:rsid w:val="00271598"/>
    <w:rsid w:val="0027165F"/>
    <w:rsid w:val="002716D2"/>
    <w:rsid w:val="0027196F"/>
    <w:rsid w:val="00271A2A"/>
    <w:rsid w:val="00271A68"/>
    <w:rsid w:val="00271E20"/>
    <w:rsid w:val="002720A7"/>
    <w:rsid w:val="00272127"/>
    <w:rsid w:val="0027225B"/>
    <w:rsid w:val="00272551"/>
    <w:rsid w:val="002726E0"/>
    <w:rsid w:val="0027293C"/>
    <w:rsid w:val="00272A2F"/>
    <w:rsid w:val="00272E47"/>
    <w:rsid w:val="0027314E"/>
    <w:rsid w:val="00273377"/>
    <w:rsid w:val="0027387F"/>
    <w:rsid w:val="00273913"/>
    <w:rsid w:val="002739C7"/>
    <w:rsid w:val="00273A5B"/>
    <w:rsid w:val="00273AC9"/>
    <w:rsid w:val="00273B8F"/>
    <w:rsid w:val="00273BBD"/>
    <w:rsid w:val="00273D89"/>
    <w:rsid w:val="00273E18"/>
    <w:rsid w:val="0027413E"/>
    <w:rsid w:val="00274203"/>
    <w:rsid w:val="00274378"/>
    <w:rsid w:val="00274491"/>
    <w:rsid w:val="002745A7"/>
    <w:rsid w:val="00274659"/>
    <w:rsid w:val="0027498C"/>
    <w:rsid w:val="002749C4"/>
    <w:rsid w:val="00274AEE"/>
    <w:rsid w:val="00274B2A"/>
    <w:rsid w:val="00274B86"/>
    <w:rsid w:val="00274E5F"/>
    <w:rsid w:val="00274EC5"/>
    <w:rsid w:val="00274EE1"/>
    <w:rsid w:val="002751FD"/>
    <w:rsid w:val="00275247"/>
    <w:rsid w:val="0027549E"/>
    <w:rsid w:val="00275958"/>
    <w:rsid w:val="00275AC0"/>
    <w:rsid w:val="00275B69"/>
    <w:rsid w:val="00275BA2"/>
    <w:rsid w:val="00275BFD"/>
    <w:rsid w:val="00275E76"/>
    <w:rsid w:val="00275ECE"/>
    <w:rsid w:val="00275F47"/>
    <w:rsid w:val="00275F8B"/>
    <w:rsid w:val="00275F90"/>
    <w:rsid w:val="0027615D"/>
    <w:rsid w:val="00276389"/>
    <w:rsid w:val="00276551"/>
    <w:rsid w:val="00276604"/>
    <w:rsid w:val="00276667"/>
    <w:rsid w:val="002767C6"/>
    <w:rsid w:val="00276849"/>
    <w:rsid w:val="00276851"/>
    <w:rsid w:val="0027687F"/>
    <w:rsid w:val="00276982"/>
    <w:rsid w:val="00276D43"/>
    <w:rsid w:val="00276F45"/>
    <w:rsid w:val="00276F55"/>
    <w:rsid w:val="00276FED"/>
    <w:rsid w:val="0027714F"/>
    <w:rsid w:val="0027723A"/>
    <w:rsid w:val="00277575"/>
    <w:rsid w:val="0027764C"/>
    <w:rsid w:val="00277795"/>
    <w:rsid w:val="00277C45"/>
    <w:rsid w:val="00277DB0"/>
    <w:rsid w:val="00277E33"/>
    <w:rsid w:val="00277EA1"/>
    <w:rsid w:val="0028007F"/>
    <w:rsid w:val="002800EE"/>
    <w:rsid w:val="002802D2"/>
    <w:rsid w:val="002803AC"/>
    <w:rsid w:val="002803C9"/>
    <w:rsid w:val="002803F2"/>
    <w:rsid w:val="00280458"/>
    <w:rsid w:val="0028048C"/>
    <w:rsid w:val="00280677"/>
    <w:rsid w:val="002806CE"/>
    <w:rsid w:val="00280768"/>
    <w:rsid w:val="002807BC"/>
    <w:rsid w:val="00280831"/>
    <w:rsid w:val="002809EA"/>
    <w:rsid w:val="00280A52"/>
    <w:rsid w:val="00280C12"/>
    <w:rsid w:val="00280E0A"/>
    <w:rsid w:val="00280E29"/>
    <w:rsid w:val="0028126B"/>
    <w:rsid w:val="0028132C"/>
    <w:rsid w:val="0028140C"/>
    <w:rsid w:val="002814E6"/>
    <w:rsid w:val="002815DB"/>
    <w:rsid w:val="0028191D"/>
    <w:rsid w:val="002819AA"/>
    <w:rsid w:val="00281F56"/>
    <w:rsid w:val="00281FBD"/>
    <w:rsid w:val="0028200F"/>
    <w:rsid w:val="00282188"/>
    <w:rsid w:val="002821B7"/>
    <w:rsid w:val="00282711"/>
    <w:rsid w:val="00282712"/>
    <w:rsid w:val="00282AC3"/>
    <w:rsid w:val="00282ADC"/>
    <w:rsid w:val="002831AB"/>
    <w:rsid w:val="00283356"/>
    <w:rsid w:val="002833F8"/>
    <w:rsid w:val="0028340E"/>
    <w:rsid w:val="002834F8"/>
    <w:rsid w:val="0028351C"/>
    <w:rsid w:val="0028362E"/>
    <w:rsid w:val="0028365E"/>
    <w:rsid w:val="0028369F"/>
    <w:rsid w:val="00283748"/>
    <w:rsid w:val="00283816"/>
    <w:rsid w:val="00283AC6"/>
    <w:rsid w:val="00283BCA"/>
    <w:rsid w:val="00283D2D"/>
    <w:rsid w:val="00283DF1"/>
    <w:rsid w:val="00283FE8"/>
    <w:rsid w:val="00284048"/>
    <w:rsid w:val="0028407F"/>
    <w:rsid w:val="00284158"/>
    <w:rsid w:val="00284249"/>
    <w:rsid w:val="002842EB"/>
    <w:rsid w:val="00284692"/>
    <w:rsid w:val="00284709"/>
    <w:rsid w:val="002847CD"/>
    <w:rsid w:val="002847F0"/>
    <w:rsid w:val="00284823"/>
    <w:rsid w:val="002848E1"/>
    <w:rsid w:val="002849AD"/>
    <w:rsid w:val="00284A5C"/>
    <w:rsid w:val="00284B31"/>
    <w:rsid w:val="00284EBE"/>
    <w:rsid w:val="00284F83"/>
    <w:rsid w:val="0028502A"/>
    <w:rsid w:val="002853B1"/>
    <w:rsid w:val="002854DC"/>
    <w:rsid w:val="002855F7"/>
    <w:rsid w:val="0028560C"/>
    <w:rsid w:val="0028594E"/>
    <w:rsid w:val="00285AD5"/>
    <w:rsid w:val="00285AD6"/>
    <w:rsid w:val="00285B87"/>
    <w:rsid w:val="00285BD9"/>
    <w:rsid w:val="00285C17"/>
    <w:rsid w:val="00285D1F"/>
    <w:rsid w:val="00285D4B"/>
    <w:rsid w:val="00285F10"/>
    <w:rsid w:val="0028621E"/>
    <w:rsid w:val="00286371"/>
    <w:rsid w:val="0028662E"/>
    <w:rsid w:val="0028689B"/>
    <w:rsid w:val="002868B3"/>
    <w:rsid w:val="00286960"/>
    <w:rsid w:val="00286A86"/>
    <w:rsid w:val="00286ADB"/>
    <w:rsid w:val="00286C20"/>
    <w:rsid w:val="00286D22"/>
    <w:rsid w:val="00286E3A"/>
    <w:rsid w:val="00286FB2"/>
    <w:rsid w:val="00287361"/>
    <w:rsid w:val="0028756E"/>
    <w:rsid w:val="00287684"/>
    <w:rsid w:val="00287728"/>
    <w:rsid w:val="00287C9A"/>
    <w:rsid w:val="00287D47"/>
    <w:rsid w:val="00287E12"/>
    <w:rsid w:val="00287E44"/>
    <w:rsid w:val="00287EA8"/>
    <w:rsid w:val="00287F80"/>
    <w:rsid w:val="0029049B"/>
    <w:rsid w:val="0029058A"/>
    <w:rsid w:val="0029059E"/>
    <w:rsid w:val="002905D9"/>
    <w:rsid w:val="002906AA"/>
    <w:rsid w:val="00290A42"/>
    <w:rsid w:val="00290A58"/>
    <w:rsid w:val="00291047"/>
    <w:rsid w:val="00291318"/>
    <w:rsid w:val="0029136B"/>
    <w:rsid w:val="002915B7"/>
    <w:rsid w:val="0029165B"/>
    <w:rsid w:val="00291758"/>
    <w:rsid w:val="00291811"/>
    <w:rsid w:val="002918F4"/>
    <w:rsid w:val="00291B0B"/>
    <w:rsid w:val="00291C0F"/>
    <w:rsid w:val="00291C60"/>
    <w:rsid w:val="00291CB7"/>
    <w:rsid w:val="00291D4A"/>
    <w:rsid w:val="00291E77"/>
    <w:rsid w:val="00291EAF"/>
    <w:rsid w:val="0029208D"/>
    <w:rsid w:val="00292237"/>
    <w:rsid w:val="0029231B"/>
    <w:rsid w:val="00292726"/>
    <w:rsid w:val="00292876"/>
    <w:rsid w:val="002928B0"/>
    <w:rsid w:val="0029298D"/>
    <w:rsid w:val="00292B0C"/>
    <w:rsid w:val="00292D35"/>
    <w:rsid w:val="00292E2A"/>
    <w:rsid w:val="00292F8D"/>
    <w:rsid w:val="00293234"/>
    <w:rsid w:val="00293470"/>
    <w:rsid w:val="002935B9"/>
    <w:rsid w:val="002937B9"/>
    <w:rsid w:val="0029393D"/>
    <w:rsid w:val="002939AF"/>
    <w:rsid w:val="00293AC7"/>
    <w:rsid w:val="00293BB2"/>
    <w:rsid w:val="00293C53"/>
    <w:rsid w:val="00293D10"/>
    <w:rsid w:val="00293D39"/>
    <w:rsid w:val="00294054"/>
    <w:rsid w:val="00294235"/>
    <w:rsid w:val="0029424F"/>
    <w:rsid w:val="002942DD"/>
    <w:rsid w:val="002944AA"/>
    <w:rsid w:val="0029494E"/>
    <w:rsid w:val="002949C2"/>
    <w:rsid w:val="002949D3"/>
    <w:rsid w:val="00294B40"/>
    <w:rsid w:val="00294BB8"/>
    <w:rsid w:val="00294BD8"/>
    <w:rsid w:val="00294D65"/>
    <w:rsid w:val="00294EAA"/>
    <w:rsid w:val="00294EC9"/>
    <w:rsid w:val="00294FA5"/>
    <w:rsid w:val="002950E8"/>
    <w:rsid w:val="002953BF"/>
    <w:rsid w:val="00295478"/>
    <w:rsid w:val="00295809"/>
    <w:rsid w:val="002958DB"/>
    <w:rsid w:val="00295B47"/>
    <w:rsid w:val="00295BF8"/>
    <w:rsid w:val="00295D38"/>
    <w:rsid w:val="00295D72"/>
    <w:rsid w:val="00295D9E"/>
    <w:rsid w:val="00295E3F"/>
    <w:rsid w:val="00296324"/>
    <w:rsid w:val="0029646A"/>
    <w:rsid w:val="002964AD"/>
    <w:rsid w:val="00296569"/>
    <w:rsid w:val="002965AC"/>
    <w:rsid w:val="002965C0"/>
    <w:rsid w:val="002966E5"/>
    <w:rsid w:val="0029686F"/>
    <w:rsid w:val="00296CD3"/>
    <w:rsid w:val="00297082"/>
    <w:rsid w:val="002970AD"/>
    <w:rsid w:val="00297314"/>
    <w:rsid w:val="00297344"/>
    <w:rsid w:val="002974F1"/>
    <w:rsid w:val="00297549"/>
    <w:rsid w:val="002978CE"/>
    <w:rsid w:val="00297A11"/>
    <w:rsid w:val="00297B4C"/>
    <w:rsid w:val="00297B64"/>
    <w:rsid w:val="00297D90"/>
    <w:rsid w:val="00297E27"/>
    <w:rsid w:val="00297E8A"/>
    <w:rsid w:val="00297F8C"/>
    <w:rsid w:val="002A0029"/>
    <w:rsid w:val="002A00C5"/>
    <w:rsid w:val="002A0243"/>
    <w:rsid w:val="002A0287"/>
    <w:rsid w:val="002A032D"/>
    <w:rsid w:val="002A045F"/>
    <w:rsid w:val="002A059B"/>
    <w:rsid w:val="002A0756"/>
    <w:rsid w:val="002A07BF"/>
    <w:rsid w:val="002A08A8"/>
    <w:rsid w:val="002A096F"/>
    <w:rsid w:val="002A0A0A"/>
    <w:rsid w:val="002A0BFB"/>
    <w:rsid w:val="002A0D5D"/>
    <w:rsid w:val="002A0E14"/>
    <w:rsid w:val="002A0FF3"/>
    <w:rsid w:val="002A1061"/>
    <w:rsid w:val="002A16C5"/>
    <w:rsid w:val="002A16D3"/>
    <w:rsid w:val="002A1772"/>
    <w:rsid w:val="002A1870"/>
    <w:rsid w:val="002A19CB"/>
    <w:rsid w:val="002A19E7"/>
    <w:rsid w:val="002A1B59"/>
    <w:rsid w:val="002A1B75"/>
    <w:rsid w:val="002A1C9E"/>
    <w:rsid w:val="002A1CA2"/>
    <w:rsid w:val="002A1F70"/>
    <w:rsid w:val="002A23CA"/>
    <w:rsid w:val="002A25D1"/>
    <w:rsid w:val="002A261B"/>
    <w:rsid w:val="002A2751"/>
    <w:rsid w:val="002A275F"/>
    <w:rsid w:val="002A2A2D"/>
    <w:rsid w:val="002A2A32"/>
    <w:rsid w:val="002A2A69"/>
    <w:rsid w:val="002A2B09"/>
    <w:rsid w:val="002A2B67"/>
    <w:rsid w:val="002A2C23"/>
    <w:rsid w:val="002A2DE2"/>
    <w:rsid w:val="002A2DE7"/>
    <w:rsid w:val="002A2F7F"/>
    <w:rsid w:val="002A307D"/>
    <w:rsid w:val="002A30F6"/>
    <w:rsid w:val="002A30FF"/>
    <w:rsid w:val="002A31AB"/>
    <w:rsid w:val="002A3326"/>
    <w:rsid w:val="002A333C"/>
    <w:rsid w:val="002A369C"/>
    <w:rsid w:val="002A3907"/>
    <w:rsid w:val="002A390B"/>
    <w:rsid w:val="002A3E04"/>
    <w:rsid w:val="002A4095"/>
    <w:rsid w:val="002A40DE"/>
    <w:rsid w:val="002A416E"/>
    <w:rsid w:val="002A42F0"/>
    <w:rsid w:val="002A434F"/>
    <w:rsid w:val="002A43B1"/>
    <w:rsid w:val="002A43F3"/>
    <w:rsid w:val="002A4469"/>
    <w:rsid w:val="002A45EA"/>
    <w:rsid w:val="002A4696"/>
    <w:rsid w:val="002A469F"/>
    <w:rsid w:val="002A46FF"/>
    <w:rsid w:val="002A470C"/>
    <w:rsid w:val="002A474E"/>
    <w:rsid w:val="002A4751"/>
    <w:rsid w:val="002A47AC"/>
    <w:rsid w:val="002A47F5"/>
    <w:rsid w:val="002A4843"/>
    <w:rsid w:val="002A4891"/>
    <w:rsid w:val="002A48EE"/>
    <w:rsid w:val="002A4AF0"/>
    <w:rsid w:val="002A4B05"/>
    <w:rsid w:val="002A4C93"/>
    <w:rsid w:val="002A4C95"/>
    <w:rsid w:val="002A4CAD"/>
    <w:rsid w:val="002A5009"/>
    <w:rsid w:val="002A5061"/>
    <w:rsid w:val="002A529B"/>
    <w:rsid w:val="002A52F4"/>
    <w:rsid w:val="002A5334"/>
    <w:rsid w:val="002A5352"/>
    <w:rsid w:val="002A5595"/>
    <w:rsid w:val="002A5769"/>
    <w:rsid w:val="002A595C"/>
    <w:rsid w:val="002A596A"/>
    <w:rsid w:val="002A5AAC"/>
    <w:rsid w:val="002A5B0D"/>
    <w:rsid w:val="002A5B84"/>
    <w:rsid w:val="002A6018"/>
    <w:rsid w:val="002A60BB"/>
    <w:rsid w:val="002A63BC"/>
    <w:rsid w:val="002A63FA"/>
    <w:rsid w:val="002A681B"/>
    <w:rsid w:val="002A68EA"/>
    <w:rsid w:val="002A693D"/>
    <w:rsid w:val="002A6965"/>
    <w:rsid w:val="002A69A0"/>
    <w:rsid w:val="002A6C16"/>
    <w:rsid w:val="002A6DDA"/>
    <w:rsid w:val="002A6DFD"/>
    <w:rsid w:val="002A700C"/>
    <w:rsid w:val="002A727B"/>
    <w:rsid w:val="002A7543"/>
    <w:rsid w:val="002A756C"/>
    <w:rsid w:val="002A7683"/>
    <w:rsid w:val="002A773E"/>
    <w:rsid w:val="002A79F9"/>
    <w:rsid w:val="002A7AC3"/>
    <w:rsid w:val="002A7B84"/>
    <w:rsid w:val="002B002B"/>
    <w:rsid w:val="002B0148"/>
    <w:rsid w:val="002B0224"/>
    <w:rsid w:val="002B02AC"/>
    <w:rsid w:val="002B02B8"/>
    <w:rsid w:val="002B02EA"/>
    <w:rsid w:val="002B04DD"/>
    <w:rsid w:val="002B0698"/>
    <w:rsid w:val="002B0989"/>
    <w:rsid w:val="002B0A81"/>
    <w:rsid w:val="002B0E6A"/>
    <w:rsid w:val="002B0EAC"/>
    <w:rsid w:val="002B0EB3"/>
    <w:rsid w:val="002B0F91"/>
    <w:rsid w:val="002B10D3"/>
    <w:rsid w:val="002B10DA"/>
    <w:rsid w:val="002B1441"/>
    <w:rsid w:val="002B17A4"/>
    <w:rsid w:val="002B1A2C"/>
    <w:rsid w:val="002B1D4B"/>
    <w:rsid w:val="002B1DA8"/>
    <w:rsid w:val="002B1E25"/>
    <w:rsid w:val="002B1E74"/>
    <w:rsid w:val="002B1FC1"/>
    <w:rsid w:val="002B20B0"/>
    <w:rsid w:val="002B20E7"/>
    <w:rsid w:val="002B2155"/>
    <w:rsid w:val="002B21B5"/>
    <w:rsid w:val="002B24D1"/>
    <w:rsid w:val="002B27B2"/>
    <w:rsid w:val="002B2857"/>
    <w:rsid w:val="002B291B"/>
    <w:rsid w:val="002B2A5F"/>
    <w:rsid w:val="002B2A72"/>
    <w:rsid w:val="002B2B7D"/>
    <w:rsid w:val="002B2C51"/>
    <w:rsid w:val="002B2DAA"/>
    <w:rsid w:val="002B2F9D"/>
    <w:rsid w:val="002B3053"/>
    <w:rsid w:val="002B327B"/>
    <w:rsid w:val="002B3345"/>
    <w:rsid w:val="002B3764"/>
    <w:rsid w:val="002B3781"/>
    <w:rsid w:val="002B37BD"/>
    <w:rsid w:val="002B3A31"/>
    <w:rsid w:val="002B3C62"/>
    <w:rsid w:val="002B3E21"/>
    <w:rsid w:val="002B4029"/>
    <w:rsid w:val="002B4050"/>
    <w:rsid w:val="002B4052"/>
    <w:rsid w:val="002B4090"/>
    <w:rsid w:val="002B41EE"/>
    <w:rsid w:val="002B4299"/>
    <w:rsid w:val="002B42B9"/>
    <w:rsid w:val="002B44E6"/>
    <w:rsid w:val="002B46D2"/>
    <w:rsid w:val="002B47F8"/>
    <w:rsid w:val="002B488B"/>
    <w:rsid w:val="002B48CC"/>
    <w:rsid w:val="002B49E5"/>
    <w:rsid w:val="002B5080"/>
    <w:rsid w:val="002B5086"/>
    <w:rsid w:val="002B5119"/>
    <w:rsid w:val="002B511D"/>
    <w:rsid w:val="002B5291"/>
    <w:rsid w:val="002B53F6"/>
    <w:rsid w:val="002B558E"/>
    <w:rsid w:val="002B572F"/>
    <w:rsid w:val="002B5735"/>
    <w:rsid w:val="002B59B4"/>
    <w:rsid w:val="002B5B31"/>
    <w:rsid w:val="002B5CF0"/>
    <w:rsid w:val="002B5EAA"/>
    <w:rsid w:val="002B63BB"/>
    <w:rsid w:val="002B641C"/>
    <w:rsid w:val="002B6687"/>
    <w:rsid w:val="002B67CB"/>
    <w:rsid w:val="002B6AF9"/>
    <w:rsid w:val="002B6D81"/>
    <w:rsid w:val="002B6D9C"/>
    <w:rsid w:val="002B6DB0"/>
    <w:rsid w:val="002B7410"/>
    <w:rsid w:val="002B7478"/>
    <w:rsid w:val="002B7736"/>
    <w:rsid w:val="002B78FE"/>
    <w:rsid w:val="002B7A29"/>
    <w:rsid w:val="002B7CEF"/>
    <w:rsid w:val="002C00CC"/>
    <w:rsid w:val="002C01C9"/>
    <w:rsid w:val="002C01ED"/>
    <w:rsid w:val="002C0394"/>
    <w:rsid w:val="002C0610"/>
    <w:rsid w:val="002C062C"/>
    <w:rsid w:val="002C06E1"/>
    <w:rsid w:val="002C08CE"/>
    <w:rsid w:val="002C09DA"/>
    <w:rsid w:val="002C0AAB"/>
    <w:rsid w:val="002C0EF9"/>
    <w:rsid w:val="002C0FCF"/>
    <w:rsid w:val="002C1002"/>
    <w:rsid w:val="002C1018"/>
    <w:rsid w:val="002C10CF"/>
    <w:rsid w:val="002C1564"/>
    <w:rsid w:val="002C1726"/>
    <w:rsid w:val="002C1919"/>
    <w:rsid w:val="002C19BD"/>
    <w:rsid w:val="002C1C5D"/>
    <w:rsid w:val="002C1D44"/>
    <w:rsid w:val="002C1D9F"/>
    <w:rsid w:val="002C1EE8"/>
    <w:rsid w:val="002C208D"/>
    <w:rsid w:val="002C20CB"/>
    <w:rsid w:val="002C2362"/>
    <w:rsid w:val="002C236C"/>
    <w:rsid w:val="002C23CC"/>
    <w:rsid w:val="002C24D1"/>
    <w:rsid w:val="002C24D7"/>
    <w:rsid w:val="002C2501"/>
    <w:rsid w:val="002C256B"/>
    <w:rsid w:val="002C2596"/>
    <w:rsid w:val="002C268F"/>
    <w:rsid w:val="002C26FC"/>
    <w:rsid w:val="002C2759"/>
    <w:rsid w:val="002C2BC0"/>
    <w:rsid w:val="002C2BFA"/>
    <w:rsid w:val="002C2C9D"/>
    <w:rsid w:val="002C2D73"/>
    <w:rsid w:val="002C2DE7"/>
    <w:rsid w:val="002C3085"/>
    <w:rsid w:val="002C30B9"/>
    <w:rsid w:val="002C32C9"/>
    <w:rsid w:val="002C359B"/>
    <w:rsid w:val="002C3666"/>
    <w:rsid w:val="002C36D0"/>
    <w:rsid w:val="002C36F0"/>
    <w:rsid w:val="002C3720"/>
    <w:rsid w:val="002C37D8"/>
    <w:rsid w:val="002C384C"/>
    <w:rsid w:val="002C3967"/>
    <w:rsid w:val="002C3B02"/>
    <w:rsid w:val="002C3D0B"/>
    <w:rsid w:val="002C3DAB"/>
    <w:rsid w:val="002C3E1C"/>
    <w:rsid w:val="002C3E28"/>
    <w:rsid w:val="002C3EE2"/>
    <w:rsid w:val="002C3F73"/>
    <w:rsid w:val="002C3F90"/>
    <w:rsid w:val="002C4046"/>
    <w:rsid w:val="002C426D"/>
    <w:rsid w:val="002C4288"/>
    <w:rsid w:val="002C4298"/>
    <w:rsid w:val="002C4414"/>
    <w:rsid w:val="002C45ED"/>
    <w:rsid w:val="002C4696"/>
    <w:rsid w:val="002C4736"/>
    <w:rsid w:val="002C4AF6"/>
    <w:rsid w:val="002C4BD0"/>
    <w:rsid w:val="002C4CAD"/>
    <w:rsid w:val="002C4F46"/>
    <w:rsid w:val="002C4FD7"/>
    <w:rsid w:val="002C50D1"/>
    <w:rsid w:val="002C50DD"/>
    <w:rsid w:val="002C54B9"/>
    <w:rsid w:val="002C56E4"/>
    <w:rsid w:val="002C56F6"/>
    <w:rsid w:val="002C56F7"/>
    <w:rsid w:val="002C5777"/>
    <w:rsid w:val="002C5830"/>
    <w:rsid w:val="002C5BC6"/>
    <w:rsid w:val="002C5E18"/>
    <w:rsid w:val="002C5EB6"/>
    <w:rsid w:val="002C5F39"/>
    <w:rsid w:val="002C5FBC"/>
    <w:rsid w:val="002C6069"/>
    <w:rsid w:val="002C6189"/>
    <w:rsid w:val="002C61FB"/>
    <w:rsid w:val="002C62CB"/>
    <w:rsid w:val="002C6311"/>
    <w:rsid w:val="002C6389"/>
    <w:rsid w:val="002C643F"/>
    <w:rsid w:val="002C66B9"/>
    <w:rsid w:val="002C6838"/>
    <w:rsid w:val="002C695F"/>
    <w:rsid w:val="002C69B1"/>
    <w:rsid w:val="002C69E0"/>
    <w:rsid w:val="002C6CEF"/>
    <w:rsid w:val="002C6E06"/>
    <w:rsid w:val="002C6ED2"/>
    <w:rsid w:val="002C6F24"/>
    <w:rsid w:val="002C70B4"/>
    <w:rsid w:val="002C7217"/>
    <w:rsid w:val="002C727F"/>
    <w:rsid w:val="002C72A9"/>
    <w:rsid w:val="002C72D2"/>
    <w:rsid w:val="002C73DB"/>
    <w:rsid w:val="002C742D"/>
    <w:rsid w:val="002C7566"/>
    <w:rsid w:val="002C759D"/>
    <w:rsid w:val="002C75D3"/>
    <w:rsid w:val="002C777F"/>
    <w:rsid w:val="002C7AFB"/>
    <w:rsid w:val="002C7B91"/>
    <w:rsid w:val="002C7C49"/>
    <w:rsid w:val="002C7CA3"/>
    <w:rsid w:val="002C7CA9"/>
    <w:rsid w:val="002C7CD2"/>
    <w:rsid w:val="002C7D29"/>
    <w:rsid w:val="002D013B"/>
    <w:rsid w:val="002D0355"/>
    <w:rsid w:val="002D056F"/>
    <w:rsid w:val="002D0678"/>
    <w:rsid w:val="002D06F4"/>
    <w:rsid w:val="002D07C8"/>
    <w:rsid w:val="002D0A00"/>
    <w:rsid w:val="002D0A9B"/>
    <w:rsid w:val="002D0CB6"/>
    <w:rsid w:val="002D0E0A"/>
    <w:rsid w:val="002D0E26"/>
    <w:rsid w:val="002D0F4E"/>
    <w:rsid w:val="002D0FB0"/>
    <w:rsid w:val="002D1046"/>
    <w:rsid w:val="002D1055"/>
    <w:rsid w:val="002D11DE"/>
    <w:rsid w:val="002D1259"/>
    <w:rsid w:val="002D1405"/>
    <w:rsid w:val="002D14D7"/>
    <w:rsid w:val="002D14D9"/>
    <w:rsid w:val="002D1AC5"/>
    <w:rsid w:val="002D1AE3"/>
    <w:rsid w:val="002D1CBE"/>
    <w:rsid w:val="002D1DD0"/>
    <w:rsid w:val="002D21D4"/>
    <w:rsid w:val="002D21E1"/>
    <w:rsid w:val="002D2385"/>
    <w:rsid w:val="002D2443"/>
    <w:rsid w:val="002D24E8"/>
    <w:rsid w:val="002D2859"/>
    <w:rsid w:val="002D2BA2"/>
    <w:rsid w:val="002D2C17"/>
    <w:rsid w:val="002D2D27"/>
    <w:rsid w:val="002D2DDA"/>
    <w:rsid w:val="002D2F0B"/>
    <w:rsid w:val="002D302F"/>
    <w:rsid w:val="002D3224"/>
    <w:rsid w:val="002D3375"/>
    <w:rsid w:val="002D3404"/>
    <w:rsid w:val="002D3420"/>
    <w:rsid w:val="002D347D"/>
    <w:rsid w:val="002D3491"/>
    <w:rsid w:val="002D3502"/>
    <w:rsid w:val="002D35A7"/>
    <w:rsid w:val="002D369F"/>
    <w:rsid w:val="002D3810"/>
    <w:rsid w:val="002D3872"/>
    <w:rsid w:val="002D38DF"/>
    <w:rsid w:val="002D39BE"/>
    <w:rsid w:val="002D39C1"/>
    <w:rsid w:val="002D3A6D"/>
    <w:rsid w:val="002D3C0D"/>
    <w:rsid w:val="002D3CCA"/>
    <w:rsid w:val="002D3D0F"/>
    <w:rsid w:val="002D3D5A"/>
    <w:rsid w:val="002D3E89"/>
    <w:rsid w:val="002D4487"/>
    <w:rsid w:val="002D4659"/>
    <w:rsid w:val="002D46EA"/>
    <w:rsid w:val="002D4844"/>
    <w:rsid w:val="002D499A"/>
    <w:rsid w:val="002D49AF"/>
    <w:rsid w:val="002D4D1C"/>
    <w:rsid w:val="002D4D83"/>
    <w:rsid w:val="002D5045"/>
    <w:rsid w:val="002D50B5"/>
    <w:rsid w:val="002D5211"/>
    <w:rsid w:val="002D523D"/>
    <w:rsid w:val="002D52A1"/>
    <w:rsid w:val="002D5412"/>
    <w:rsid w:val="002D5500"/>
    <w:rsid w:val="002D5932"/>
    <w:rsid w:val="002D5B3F"/>
    <w:rsid w:val="002D5B51"/>
    <w:rsid w:val="002D5D05"/>
    <w:rsid w:val="002D5E02"/>
    <w:rsid w:val="002D5E7D"/>
    <w:rsid w:val="002D6019"/>
    <w:rsid w:val="002D6086"/>
    <w:rsid w:val="002D60A9"/>
    <w:rsid w:val="002D622F"/>
    <w:rsid w:val="002D6443"/>
    <w:rsid w:val="002D6704"/>
    <w:rsid w:val="002D6917"/>
    <w:rsid w:val="002D6933"/>
    <w:rsid w:val="002D69FC"/>
    <w:rsid w:val="002D6C2A"/>
    <w:rsid w:val="002D6DD5"/>
    <w:rsid w:val="002D6E8C"/>
    <w:rsid w:val="002D6FB5"/>
    <w:rsid w:val="002D70A7"/>
    <w:rsid w:val="002D7198"/>
    <w:rsid w:val="002D71FF"/>
    <w:rsid w:val="002D72F6"/>
    <w:rsid w:val="002D7410"/>
    <w:rsid w:val="002D74B5"/>
    <w:rsid w:val="002D7865"/>
    <w:rsid w:val="002D7936"/>
    <w:rsid w:val="002D7D95"/>
    <w:rsid w:val="002D7F18"/>
    <w:rsid w:val="002D7F58"/>
    <w:rsid w:val="002E002C"/>
    <w:rsid w:val="002E033B"/>
    <w:rsid w:val="002E0407"/>
    <w:rsid w:val="002E040A"/>
    <w:rsid w:val="002E053B"/>
    <w:rsid w:val="002E06B2"/>
    <w:rsid w:val="002E06F0"/>
    <w:rsid w:val="002E088F"/>
    <w:rsid w:val="002E08D6"/>
    <w:rsid w:val="002E08ED"/>
    <w:rsid w:val="002E093E"/>
    <w:rsid w:val="002E0CC5"/>
    <w:rsid w:val="002E0DE2"/>
    <w:rsid w:val="002E0E6F"/>
    <w:rsid w:val="002E0EDA"/>
    <w:rsid w:val="002E110F"/>
    <w:rsid w:val="002E1151"/>
    <w:rsid w:val="002E12C4"/>
    <w:rsid w:val="002E141B"/>
    <w:rsid w:val="002E1561"/>
    <w:rsid w:val="002E1643"/>
    <w:rsid w:val="002E168E"/>
    <w:rsid w:val="002E16B2"/>
    <w:rsid w:val="002E16C7"/>
    <w:rsid w:val="002E171A"/>
    <w:rsid w:val="002E184A"/>
    <w:rsid w:val="002E1914"/>
    <w:rsid w:val="002E1926"/>
    <w:rsid w:val="002E1933"/>
    <w:rsid w:val="002E1CC2"/>
    <w:rsid w:val="002E1E3B"/>
    <w:rsid w:val="002E1E7B"/>
    <w:rsid w:val="002E1E7D"/>
    <w:rsid w:val="002E1FF2"/>
    <w:rsid w:val="002E2251"/>
    <w:rsid w:val="002E2439"/>
    <w:rsid w:val="002E24B5"/>
    <w:rsid w:val="002E2559"/>
    <w:rsid w:val="002E26BE"/>
    <w:rsid w:val="002E2739"/>
    <w:rsid w:val="002E2813"/>
    <w:rsid w:val="002E2A83"/>
    <w:rsid w:val="002E2B98"/>
    <w:rsid w:val="002E2C10"/>
    <w:rsid w:val="002E2D78"/>
    <w:rsid w:val="002E2FA1"/>
    <w:rsid w:val="002E2FAD"/>
    <w:rsid w:val="002E31E8"/>
    <w:rsid w:val="002E3244"/>
    <w:rsid w:val="002E32B2"/>
    <w:rsid w:val="002E3563"/>
    <w:rsid w:val="002E36AC"/>
    <w:rsid w:val="002E3853"/>
    <w:rsid w:val="002E39A3"/>
    <w:rsid w:val="002E3B1E"/>
    <w:rsid w:val="002E3E6F"/>
    <w:rsid w:val="002E4562"/>
    <w:rsid w:val="002E456D"/>
    <w:rsid w:val="002E4880"/>
    <w:rsid w:val="002E4A5C"/>
    <w:rsid w:val="002E4B8C"/>
    <w:rsid w:val="002E4C30"/>
    <w:rsid w:val="002E4CD1"/>
    <w:rsid w:val="002E4D16"/>
    <w:rsid w:val="002E4D30"/>
    <w:rsid w:val="002E4FFC"/>
    <w:rsid w:val="002E5134"/>
    <w:rsid w:val="002E5696"/>
    <w:rsid w:val="002E57FA"/>
    <w:rsid w:val="002E5A59"/>
    <w:rsid w:val="002E5AE3"/>
    <w:rsid w:val="002E5B12"/>
    <w:rsid w:val="002E5C2F"/>
    <w:rsid w:val="002E5C9D"/>
    <w:rsid w:val="002E5D2C"/>
    <w:rsid w:val="002E5D3B"/>
    <w:rsid w:val="002E5DCE"/>
    <w:rsid w:val="002E5F51"/>
    <w:rsid w:val="002E5FEE"/>
    <w:rsid w:val="002E5FF8"/>
    <w:rsid w:val="002E6094"/>
    <w:rsid w:val="002E6134"/>
    <w:rsid w:val="002E63DE"/>
    <w:rsid w:val="002E640E"/>
    <w:rsid w:val="002E64A3"/>
    <w:rsid w:val="002E66F3"/>
    <w:rsid w:val="002E6836"/>
    <w:rsid w:val="002E68BF"/>
    <w:rsid w:val="002E6929"/>
    <w:rsid w:val="002E6A62"/>
    <w:rsid w:val="002E6AD2"/>
    <w:rsid w:val="002E6BE7"/>
    <w:rsid w:val="002E6BEE"/>
    <w:rsid w:val="002E6C86"/>
    <w:rsid w:val="002E6CC2"/>
    <w:rsid w:val="002E6DDF"/>
    <w:rsid w:val="002E6E6F"/>
    <w:rsid w:val="002E706D"/>
    <w:rsid w:val="002E7085"/>
    <w:rsid w:val="002E70BB"/>
    <w:rsid w:val="002E7424"/>
    <w:rsid w:val="002E744A"/>
    <w:rsid w:val="002E778D"/>
    <w:rsid w:val="002E790C"/>
    <w:rsid w:val="002E794D"/>
    <w:rsid w:val="002E79C7"/>
    <w:rsid w:val="002E7A9E"/>
    <w:rsid w:val="002E7B7C"/>
    <w:rsid w:val="002E7CFE"/>
    <w:rsid w:val="002E7D95"/>
    <w:rsid w:val="002F000F"/>
    <w:rsid w:val="002F0194"/>
    <w:rsid w:val="002F0609"/>
    <w:rsid w:val="002F0759"/>
    <w:rsid w:val="002F0786"/>
    <w:rsid w:val="002F0961"/>
    <w:rsid w:val="002F09C7"/>
    <w:rsid w:val="002F09D5"/>
    <w:rsid w:val="002F0C09"/>
    <w:rsid w:val="002F0C6D"/>
    <w:rsid w:val="002F0CC3"/>
    <w:rsid w:val="002F0D6D"/>
    <w:rsid w:val="002F0EBD"/>
    <w:rsid w:val="002F0ED2"/>
    <w:rsid w:val="002F11D3"/>
    <w:rsid w:val="002F11E2"/>
    <w:rsid w:val="002F141A"/>
    <w:rsid w:val="002F1663"/>
    <w:rsid w:val="002F167E"/>
    <w:rsid w:val="002F169A"/>
    <w:rsid w:val="002F1872"/>
    <w:rsid w:val="002F189B"/>
    <w:rsid w:val="002F1AED"/>
    <w:rsid w:val="002F1B86"/>
    <w:rsid w:val="002F1C28"/>
    <w:rsid w:val="002F1DD5"/>
    <w:rsid w:val="002F1F2A"/>
    <w:rsid w:val="002F200F"/>
    <w:rsid w:val="002F2029"/>
    <w:rsid w:val="002F203A"/>
    <w:rsid w:val="002F20F7"/>
    <w:rsid w:val="002F21CE"/>
    <w:rsid w:val="002F2228"/>
    <w:rsid w:val="002F22EC"/>
    <w:rsid w:val="002F23E3"/>
    <w:rsid w:val="002F2450"/>
    <w:rsid w:val="002F2509"/>
    <w:rsid w:val="002F2654"/>
    <w:rsid w:val="002F2BEE"/>
    <w:rsid w:val="002F2C6D"/>
    <w:rsid w:val="002F2C7A"/>
    <w:rsid w:val="002F2CA3"/>
    <w:rsid w:val="002F3224"/>
    <w:rsid w:val="002F333A"/>
    <w:rsid w:val="002F334E"/>
    <w:rsid w:val="002F3359"/>
    <w:rsid w:val="002F362B"/>
    <w:rsid w:val="002F36CD"/>
    <w:rsid w:val="002F39BD"/>
    <w:rsid w:val="002F3DC0"/>
    <w:rsid w:val="002F3F82"/>
    <w:rsid w:val="002F4043"/>
    <w:rsid w:val="002F459E"/>
    <w:rsid w:val="002F4945"/>
    <w:rsid w:val="002F4B52"/>
    <w:rsid w:val="002F4BAF"/>
    <w:rsid w:val="002F4F88"/>
    <w:rsid w:val="002F4F91"/>
    <w:rsid w:val="002F50B3"/>
    <w:rsid w:val="002F5146"/>
    <w:rsid w:val="002F515E"/>
    <w:rsid w:val="002F5255"/>
    <w:rsid w:val="002F571E"/>
    <w:rsid w:val="002F575B"/>
    <w:rsid w:val="002F576F"/>
    <w:rsid w:val="002F5A1E"/>
    <w:rsid w:val="002F5A5F"/>
    <w:rsid w:val="002F5AD7"/>
    <w:rsid w:val="002F5B21"/>
    <w:rsid w:val="002F5BC8"/>
    <w:rsid w:val="002F6100"/>
    <w:rsid w:val="002F610C"/>
    <w:rsid w:val="002F63AF"/>
    <w:rsid w:val="002F6548"/>
    <w:rsid w:val="002F65BA"/>
    <w:rsid w:val="002F66BC"/>
    <w:rsid w:val="002F6B3A"/>
    <w:rsid w:val="002F6B93"/>
    <w:rsid w:val="002F6BC8"/>
    <w:rsid w:val="002F6DC8"/>
    <w:rsid w:val="002F6F16"/>
    <w:rsid w:val="002F6FA0"/>
    <w:rsid w:val="002F70A1"/>
    <w:rsid w:val="002F710A"/>
    <w:rsid w:val="002F71E9"/>
    <w:rsid w:val="002F7281"/>
    <w:rsid w:val="002F73C4"/>
    <w:rsid w:val="002F73D7"/>
    <w:rsid w:val="002F76D4"/>
    <w:rsid w:val="002F76EC"/>
    <w:rsid w:val="002F781C"/>
    <w:rsid w:val="002F7A64"/>
    <w:rsid w:val="002F7A65"/>
    <w:rsid w:val="002F7A85"/>
    <w:rsid w:val="002F7C5A"/>
    <w:rsid w:val="002F7CBE"/>
    <w:rsid w:val="002F7D73"/>
    <w:rsid w:val="002F7F04"/>
    <w:rsid w:val="00300352"/>
    <w:rsid w:val="0030037F"/>
    <w:rsid w:val="003003D0"/>
    <w:rsid w:val="00300404"/>
    <w:rsid w:val="003004ED"/>
    <w:rsid w:val="0030053B"/>
    <w:rsid w:val="003005E2"/>
    <w:rsid w:val="003005F7"/>
    <w:rsid w:val="0030072D"/>
    <w:rsid w:val="00300808"/>
    <w:rsid w:val="0030088F"/>
    <w:rsid w:val="003008D5"/>
    <w:rsid w:val="00300A7C"/>
    <w:rsid w:val="00300B6B"/>
    <w:rsid w:val="00300C2B"/>
    <w:rsid w:val="00300D67"/>
    <w:rsid w:val="00300DB7"/>
    <w:rsid w:val="00300E9C"/>
    <w:rsid w:val="00300F4D"/>
    <w:rsid w:val="00301115"/>
    <w:rsid w:val="00301173"/>
    <w:rsid w:val="00301311"/>
    <w:rsid w:val="00301357"/>
    <w:rsid w:val="0030138A"/>
    <w:rsid w:val="003015C4"/>
    <w:rsid w:val="003016F9"/>
    <w:rsid w:val="00301821"/>
    <w:rsid w:val="003018DB"/>
    <w:rsid w:val="00301980"/>
    <w:rsid w:val="00301DA3"/>
    <w:rsid w:val="003021B2"/>
    <w:rsid w:val="00302245"/>
    <w:rsid w:val="003022C8"/>
    <w:rsid w:val="00302423"/>
    <w:rsid w:val="003026FE"/>
    <w:rsid w:val="003028BD"/>
    <w:rsid w:val="003028D2"/>
    <w:rsid w:val="00302AB6"/>
    <w:rsid w:val="00302AE2"/>
    <w:rsid w:val="00302B23"/>
    <w:rsid w:val="00302B43"/>
    <w:rsid w:val="00302C6F"/>
    <w:rsid w:val="00302C72"/>
    <w:rsid w:val="00302C8B"/>
    <w:rsid w:val="00303054"/>
    <w:rsid w:val="003030CC"/>
    <w:rsid w:val="0030319B"/>
    <w:rsid w:val="00303258"/>
    <w:rsid w:val="0030363A"/>
    <w:rsid w:val="003036E7"/>
    <w:rsid w:val="00303717"/>
    <w:rsid w:val="00303809"/>
    <w:rsid w:val="0030390B"/>
    <w:rsid w:val="00303A14"/>
    <w:rsid w:val="00303A1B"/>
    <w:rsid w:val="00303C48"/>
    <w:rsid w:val="00303C58"/>
    <w:rsid w:val="00303D7E"/>
    <w:rsid w:val="00303E4C"/>
    <w:rsid w:val="00303FEF"/>
    <w:rsid w:val="00304146"/>
    <w:rsid w:val="003041D7"/>
    <w:rsid w:val="00304595"/>
    <w:rsid w:val="003046B6"/>
    <w:rsid w:val="00304A65"/>
    <w:rsid w:val="00304B04"/>
    <w:rsid w:val="00304FCE"/>
    <w:rsid w:val="00304FE2"/>
    <w:rsid w:val="00305027"/>
    <w:rsid w:val="00305171"/>
    <w:rsid w:val="003051BB"/>
    <w:rsid w:val="003051E1"/>
    <w:rsid w:val="0030526F"/>
    <w:rsid w:val="003052A1"/>
    <w:rsid w:val="003054F6"/>
    <w:rsid w:val="00305505"/>
    <w:rsid w:val="0030550B"/>
    <w:rsid w:val="00305556"/>
    <w:rsid w:val="003056F7"/>
    <w:rsid w:val="0030579F"/>
    <w:rsid w:val="003057E2"/>
    <w:rsid w:val="00305EC6"/>
    <w:rsid w:val="00305FB0"/>
    <w:rsid w:val="00306248"/>
    <w:rsid w:val="003062AA"/>
    <w:rsid w:val="003063C2"/>
    <w:rsid w:val="003063F7"/>
    <w:rsid w:val="00306434"/>
    <w:rsid w:val="00306538"/>
    <w:rsid w:val="00306563"/>
    <w:rsid w:val="00306576"/>
    <w:rsid w:val="0030675C"/>
    <w:rsid w:val="00306877"/>
    <w:rsid w:val="00306CF5"/>
    <w:rsid w:val="00306E80"/>
    <w:rsid w:val="00306EF3"/>
    <w:rsid w:val="00306FA9"/>
    <w:rsid w:val="0030702B"/>
    <w:rsid w:val="003070E0"/>
    <w:rsid w:val="003071D2"/>
    <w:rsid w:val="003071EA"/>
    <w:rsid w:val="00307420"/>
    <w:rsid w:val="00307498"/>
    <w:rsid w:val="003075AC"/>
    <w:rsid w:val="0030792E"/>
    <w:rsid w:val="00307BD0"/>
    <w:rsid w:val="00307EF6"/>
    <w:rsid w:val="00307F6D"/>
    <w:rsid w:val="00310058"/>
    <w:rsid w:val="0031030F"/>
    <w:rsid w:val="00310369"/>
    <w:rsid w:val="0031039F"/>
    <w:rsid w:val="003103F5"/>
    <w:rsid w:val="0031047E"/>
    <w:rsid w:val="003106EB"/>
    <w:rsid w:val="00310AC6"/>
    <w:rsid w:val="00310BF1"/>
    <w:rsid w:val="00310CDA"/>
    <w:rsid w:val="00310CDD"/>
    <w:rsid w:val="0031101B"/>
    <w:rsid w:val="003110B0"/>
    <w:rsid w:val="0031118C"/>
    <w:rsid w:val="00311264"/>
    <w:rsid w:val="0031127B"/>
    <w:rsid w:val="0031140C"/>
    <w:rsid w:val="003114CC"/>
    <w:rsid w:val="00311514"/>
    <w:rsid w:val="00311599"/>
    <w:rsid w:val="0031184D"/>
    <w:rsid w:val="00311D08"/>
    <w:rsid w:val="00311F9E"/>
    <w:rsid w:val="00311FE2"/>
    <w:rsid w:val="003120DF"/>
    <w:rsid w:val="00312174"/>
    <w:rsid w:val="003121DB"/>
    <w:rsid w:val="003123D7"/>
    <w:rsid w:val="0031256E"/>
    <w:rsid w:val="0031258E"/>
    <w:rsid w:val="003125A2"/>
    <w:rsid w:val="0031279A"/>
    <w:rsid w:val="003129E5"/>
    <w:rsid w:val="00312A48"/>
    <w:rsid w:val="00312A78"/>
    <w:rsid w:val="00312A7A"/>
    <w:rsid w:val="00312BAD"/>
    <w:rsid w:val="00312C8D"/>
    <w:rsid w:val="00312D99"/>
    <w:rsid w:val="0031346B"/>
    <w:rsid w:val="003134D4"/>
    <w:rsid w:val="003134E2"/>
    <w:rsid w:val="003135E3"/>
    <w:rsid w:val="003136F6"/>
    <w:rsid w:val="003138CD"/>
    <w:rsid w:val="00313C05"/>
    <w:rsid w:val="00313D73"/>
    <w:rsid w:val="00313E14"/>
    <w:rsid w:val="00314012"/>
    <w:rsid w:val="00314092"/>
    <w:rsid w:val="0031426F"/>
    <w:rsid w:val="00314270"/>
    <w:rsid w:val="0031435D"/>
    <w:rsid w:val="00314377"/>
    <w:rsid w:val="0031486A"/>
    <w:rsid w:val="003149F0"/>
    <w:rsid w:val="00314ABF"/>
    <w:rsid w:val="00314B0B"/>
    <w:rsid w:val="00314B91"/>
    <w:rsid w:val="00314CA9"/>
    <w:rsid w:val="00314E85"/>
    <w:rsid w:val="00314F51"/>
    <w:rsid w:val="00314F9E"/>
    <w:rsid w:val="003150D3"/>
    <w:rsid w:val="0031541E"/>
    <w:rsid w:val="00315572"/>
    <w:rsid w:val="00315594"/>
    <w:rsid w:val="00315737"/>
    <w:rsid w:val="003157E5"/>
    <w:rsid w:val="003159FB"/>
    <w:rsid w:val="00315A4C"/>
    <w:rsid w:val="00315AA4"/>
    <w:rsid w:val="00315B11"/>
    <w:rsid w:val="00315BA3"/>
    <w:rsid w:val="00315C4D"/>
    <w:rsid w:val="00315DA4"/>
    <w:rsid w:val="00315E36"/>
    <w:rsid w:val="00315EB7"/>
    <w:rsid w:val="00315EBB"/>
    <w:rsid w:val="0031604C"/>
    <w:rsid w:val="003160A9"/>
    <w:rsid w:val="0031614D"/>
    <w:rsid w:val="003161F2"/>
    <w:rsid w:val="00316372"/>
    <w:rsid w:val="003164CD"/>
    <w:rsid w:val="0031656D"/>
    <w:rsid w:val="003167DE"/>
    <w:rsid w:val="00316913"/>
    <w:rsid w:val="00316AAE"/>
    <w:rsid w:val="00316D51"/>
    <w:rsid w:val="00316F43"/>
    <w:rsid w:val="00317062"/>
    <w:rsid w:val="00317115"/>
    <w:rsid w:val="00317351"/>
    <w:rsid w:val="00317380"/>
    <w:rsid w:val="00317414"/>
    <w:rsid w:val="00317490"/>
    <w:rsid w:val="00317676"/>
    <w:rsid w:val="00317711"/>
    <w:rsid w:val="00317919"/>
    <w:rsid w:val="00317E49"/>
    <w:rsid w:val="003201A4"/>
    <w:rsid w:val="0032023F"/>
    <w:rsid w:val="00320501"/>
    <w:rsid w:val="00320929"/>
    <w:rsid w:val="003209A4"/>
    <w:rsid w:val="00320C20"/>
    <w:rsid w:val="00320D3E"/>
    <w:rsid w:val="00320DBD"/>
    <w:rsid w:val="00320DF6"/>
    <w:rsid w:val="00320E0B"/>
    <w:rsid w:val="0032112E"/>
    <w:rsid w:val="0032116A"/>
    <w:rsid w:val="003212CA"/>
    <w:rsid w:val="00321388"/>
    <w:rsid w:val="0032156B"/>
    <w:rsid w:val="003216D2"/>
    <w:rsid w:val="00321752"/>
    <w:rsid w:val="003217BA"/>
    <w:rsid w:val="003219BB"/>
    <w:rsid w:val="00321C77"/>
    <w:rsid w:val="00321DBE"/>
    <w:rsid w:val="00321DFF"/>
    <w:rsid w:val="00321E08"/>
    <w:rsid w:val="00321E89"/>
    <w:rsid w:val="00321FCF"/>
    <w:rsid w:val="003220FB"/>
    <w:rsid w:val="00322448"/>
    <w:rsid w:val="00322536"/>
    <w:rsid w:val="00322694"/>
    <w:rsid w:val="00322794"/>
    <w:rsid w:val="00322A45"/>
    <w:rsid w:val="00322B0F"/>
    <w:rsid w:val="00322B26"/>
    <w:rsid w:val="00322C70"/>
    <w:rsid w:val="00322E46"/>
    <w:rsid w:val="00322F5A"/>
    <w:rsid w:val="00323015"/>
    <w:rsid w:val="0032307B"/>
    <w:rsid w:val="00323454"/>
    <w:rsid w:val="003235ED"/>
    <w:rsid w:val="0032367C"/>
    <w:rsid w:val="003236F8"/>
    <w:rsid w:val="00323702"/>
    <w:rsid w:val="00323852"/>
    <w:rsid w:val="00323910"/>
    <w:rsid w:val="0032398B"/>
    <w:rsid w:val="003239E9"/>
    <w:rsid w:val="00323A0A"/>
    <w:rsid w:val="00323DA8"/>
    <w:rsid w:val="00323FDC"/>
    <w:rsid w:val="0032409B"/>
    <w:rsid w:val="003242D1"/>
    <w:rsid w:val="0032459C"/>
    <w:rsid w:val="003245AF"/>
    <w:rsid w:val="00324612"/>
    <w:rsid w:val="0032465C"/>
    <w:rsid w:val="0032486A"/>
    <w:rsid w:val="00324919"/>
    <w:rsid w:val="003252EE"/>
    <w:rsid w:val="00325374"/>
    <w:rsid w:val="003255A3"/>
    <w:rsid w:val="00325778"/>
    <w:rsid w:val="003258F9"/>
    <w:rsid w:val="00325C6D"/>
    <w:rsid w:val="00325CB3"/>
    <w:rsid w:val="0032618B"/>
    <w:rsid w:val="00326309"/>
    <w:rsid w:val="00326614"/>
    <w:rsid w:val="0032669E"/>
    <w:rsid w:val="0032676E"/>
    <w:rsid w:val="00326A75"/>
    <w:rsid w:val="00326EBE"/>
    <w:rsid w:val="00326EEE"/>
    <w:rsid w:val="00326F9D"/>
    <w:rsid w:val="0032709B"/>
    <w:rsid w:val="0032732C"/>
    <w:rsid w:val="0032737B"/>
    <w:rsid w:val="003274CE"/>
    <w:rsid w:val="00327741"/>
    <w:rsid w:val="003277F0"/>
    <w:rsid w:val="003277F8"/>
    <w:rsid w:val="00327953"/>
    <w:rsid w:val="003279D3"/>
    <w:rsid w:val="00327CC5"/>
    <w:rsid w:val="00327D61"/>
    <w:rsid w:val="00327F9F"/>
    <w:rsid w:val="00330069"/>
    <w:rsid w:val="00330453"/>
    <w:rsid w:val="0033050C"/>
    <w:rsid w:val="003306F9"/>
    <w:rsid w:val="00330D39"/>
    <w:rsid w:val="00330DAF"/>
    <w:rsid w:val="00330ECD"/>
    <w:rsid w:val="00330F27"/>
    <w:rsid w:val="0033135D"/>
    <w:rsid w:val="003313B4"/>
    <w:rsid w:val="003315EE"/>
    <w:rsid w:val="0033165A"/>
    <w:rsid w:val="00331973"/>
    <w:rsid w:val="00331A36"/>
    <w:rsid w:val="00331BCF"/>
    <w:rsid w:val="00331F34"/>
    <w:rsid w:val="0033216F"/>
    <w:rsid w:val="0033226B"/>
    <w:rsid w:val="00332551"/>
    <w:rsid w:val="00332572"/>
    <w:rsid w:val="00332669"/>
    <w:rsid w:val="0033267C"/>
    <w:rsid w:val="0033283A"/>
    <w:rsid w:val="00332845"/>
    <w:rsid w:val="003328E6"/>
    <w:rsid w:val="00332B4D"/>
    <w:rsid w:val="00332C7E"/>
    <w:rsid w:val="00332CA3"/>
    <w:rsid w:val="00332D21"/>
    <w:rsid w:val="00332FB4"/>
    <w:rsid w:val="003332EF"/>
    <w:rsid w:val="00333438"/>
    <w:rsid w:val="00333467"/>
    <w:rsid w:val="003335E9"/>
    <w:rsid w:val="003335FF"/>
    <w:rsid w:val="00333626"/>
    <w:rsid w:val="00333868"/>
    <w:rsid w:val="00333950"/>
    <w:rsid w:val="00333B56"/>
    <w:rsid w:val="00333BF8"/>
    <w:rsid w:val="00333D8D"/>
    <w:rsid w:val="00333DBA"/>
    <w:rsid w:val="00334018"/>
    <w:rsid w:val="003340E8"/>
    <w:rsid w:val="003342F2"/>
    <w:rsid w:val="003348A5"/>
    <w:rsid w:val="00334996"/>
    <w:rsid w:val="00334BD4"/>
    <w:rsid w:val="00334BFA"/>
    <w:rsid w:val="00334DFA"/>
    <w:rsid w:val="003351C3"/>
    <w:rsid w:val="003353B6"/>
    <w:rsid w:val="00335535"/>
    <w:rsid w:val="00335606"/>
    <w:rsid w:val="0033592E"/>
    <w:rsid w:val="00335A99"/>
    <w:rsid w:val="00335B3F"/>
    <w:rsid w:val="00335B69"/>
    <w:rsid w:val="00335C68"/>
    <w:rsid w:val="00335E11"/>
    <w:rsid w:val="00335EBB"/>
    <w:rsid w:val="00335FB2"/>
    <w:rsid w:val="0033639A"/>
    <w:rsid w:val="0033642B"/>
    <w:rsid w:val="00336447"/>
    <w:rsid w:val="00336465"/>
    <w:rsid w:val="003365BD"/>
    <w:rsid w:val="0033662D"/>
    <w:rsid w:val="00336716"/>
    <w:rsid w:val="00336A11"/>
    <w:rsid w:val="00336A9B"/>
    <w:rsid w:val="00336E34"/>
    <w:rsid w:val="00336EDB"/>
    <w:rsid w:val="00337455"/>
    <w:rsid w:val="003374FA"/>
    <w:rsid w:val="00337640"/>
    <w:rsid w:val="00337782"/>
    <w:rsid w:val="003377E1"/>
    <w:rsid w:val="003379FD"/>
    <w:rsid w:val="00337C60"/>
    <w:rsid w:val="00337D4C"/>
    <w:rsid w:val="00337DEE"/>
    <w:rsid w:val="0034002F"/>
    <w:rsid w:val="00340111"/>
    <w:rsid w:val="00340250"/>
    <w:rsid w:val="00340267"/>
    <w:rsid w:val="003402BB"/>
    <w:rsid w:val="003402C1"/>
    <w:rsid w:val="00340316"/>
    <w:rsid w:val="003404AD"/>
    <w:rsid w:val="00340AE2"/>
    <w:rsid w:val="00340B08"/>
    <w:rsid w:val="00340CFA"/>
    <w:rsid w:val="00340F75"/>
    <w:rsid w:val="0034103E"/>
    <w:rsid w:val="0034127C"/>
    <w:rsid w:val="0034148D"/>
    <w:rsid w:val="003414A5"/>
    <w:rsid w:val="00341681"/>
    <w:rsid w:val="003417C0"/>
    <w:rsid w:val="00341951"/>
    <w:rsid w:val="00341E52"/>
    <w:rsid w:val="00341FEB"/>
    <w:rsid w:val="00342054"/>
    <w:rsid w:val="003420B6"/>
    <w:rsid w:val="0034218A"/>
    <w:rsid w:val="003422D5"/>
    <w:rsid w:val="00342662"/>
    <w:rsid w:val="00342674"/>
    <w:rsid w:val="003426C3"/>
    <w:rsid w:val="0034274D"/>
    <w:rsid w:val="00342802"/>
    <w:rsid w:val="003429AA"/>
    <w:rsid w:val="003429E2"/>
    <w:rsid w:val="00342A68"/>
    <w:rsid w:val="00342A72"/>
    <w:rsid w:val="0034360E"/>
    <w:rsid w:val="00343663"/>
    <w:rsid w:val="003436F9"/>
    <w:rsid w:val="0034381F"/>
    <w:rsid w:val="003438A2"/>
    <w:rsid w:val="003438E4"/>
    <w:rsid w:val="00343A34"/>
    <w:rsid w:val="00343A35"/>
    <w:rsid w:val="00343DB1"/>
    <w:rsid w:val="00343DDE"/>
    <w:rsid w:val="0034419D"/>
    <w:rsid w:val="003442EC"/>
    <w:rsid w:val="00344357"/>
    <w:rsid w:val="00344630"/>
    <w:rsid w:val="0034464C"/>
    <w:rsid w:val="003446A1"/>
    <w:rsid w:val="00344831"/>
    <w:rsid w:val="00344B75"/>
    <w:rsid w:val="00345246"/>
    <w:rsid w:val="003452F5"/>
    <w:rsid w:val="0034530D"/>
    <w:rsid w:val="003456FB"/>
    <w:rsid w:val="00345739"/>
    <w:rsid w:val="00345899"/>
    <w:rsid w:val="0034597A"/>
    <w:rsid w:val="003459BA"/>
    <w:rsid w:val="00345C1B"/>
    <w:rsid w:val="00345E48"/>
    <w:rsid w:val="003460EC"/>
    <w:rsid w:val="0034614A"/>
    <w:rsid w:val="003461B9"/>
    <w:rsid w:val="00346258"/>
    <w:rsid w:val="00346352"/>
    <w:rsid w:val="00346400"/>
    <w:rsid w:val="00346598"/>
    <w:rsid w:val="00346680"/>
    <w:rsid w:val="003466A8"/>
    <w:rsid w:val="003466DC"/>
    <w:rsid w:val="0034680A"/>
    <w:rsid w:val="00346A1A"/>
    <w:rsid w:val="00346C21"/>
    <w:rsid w:val="00346DB3"/>
    <w:rsid w:val="00346E13"/>
    <w:rsid w:val="0034709A"/>
    <w:rsid w:val="003471B9"/>
    <w:rsid w:val="00347426"/>
    <w:rsid w:val="00347518"/>
    <w:rsid w:val="003475B6"/>
    <w:rsid w:val="00347783"/>
    <w:rsid w:val="00347AF6"/>
    <w:rsid w:val="00347D55"/>
    <w:rsid w:val="00347EDD"/>
    <w:rsid w:val="00347FF6"/>
    <w:rsid w:val="0035001A"/>
    <w:rsid w:val="0035011B"/>
    <w:rsid w:val="00350190"/>
    <w:rsid w:val="0035038A"/>
    <w:rsid w:val="003504E0"/>
    <w:rsid w:val="00350588"/>
    <w:rsid w:val="003506D7"/>
    <w:rsid w:val="00350734"/>
    <w:rsid w:val="0035087A"/>
    <w:rsid w:val="00350C32"/>
    <w:rsid w:val="00350D64"/>
    <w:rsid w:val="00350DA5"/>
    <w:rsid w:val="00350E66"/>
    <w:rsid w:val="00351037"/>
    <w:rsid w:val="0035107B"/>
    <w:rsid w:val="003510C6"/>
    <w:rsid w:val="003512DE"/>
    <w:rsid w:val="0035136E"/>
    <w:rsid w:val="003515EA"/>
    <w:rsid w:val="00351684"/>
    <w:rsid w:val="003516D2"/>
    <w:rsid w:val="00351736"/>
    <w:rsid w:val="0035179C"/>
    <w:rsid w:val="003519AD"/>
    <w:rsid w:val="00351B95"/>
    <w:rsid w:val="00351C89"/>
    <w:rsid w:val="00351CEB"/>
    <w:rsid w:val="00351F5F"/>
    <w:rsid w:val="00352139"/>
    <w:rsid w:val="0035214A"/>
    <w:rsid w:val="003522FF"/>
    <w:rsid w:val="00352335"/>
    <w:rsid w:val="00352346"/>
    <w:rsid w:val="003524C1"/>
    <w:rsid w:val="0035253C"/>
    <w:rsid w:val="00352753"/>
    <w:rsid w:val="003527E8"/>
    <w:rsid w:val="00352889"/>
    <w:rsid w:val="00352927"/>
    <w:rsid w:val="0035294B"/>
    <w:rsid w:val="00352D63"/>
    <w:rsid w:val="00352DDE"/>
    <w:rsid w:val="00352E24"/>
    <w:rsid w:val="00352E95"/>
    <w:rsid w:val="00352EFE"/>
    <w:rsid w:val="00353008"/>
    <w:rsid w:val="00353066"/>
    <w:rsid w:val="00353140"/>
    <w:rsid w:val="003532F9"/>
    <w:rsid w:val="0035334E"/>
    <w:rsid w:val="0035367F"/>
    <w:rsid w:val="003536D0"/>
    <w:rsid w:val="003539A4"/>
    <w:rsid w:val="00353B00"/>
    <w:rsid w:val="00353BB5"/>
    <w:rsid w:val="00353C1A"/>
    <w:rsid w:val="00353DB3"/>
    <w:rsid w:val="00353DDE"/>
    <w:rsid w:val="0035401A"/>
    <w:rsid w:val="00354051"/>
    <w:rsid w:val="003540C6"/>
    <w:rsid w:val="00354291"/>
    <w:rsid w:val="0035431D"/>
    <w:rsid w:val="00354950"/>
    <w:rsid w:val="00354AD0"/>
    <w:rsid w:val="00354B04"/>
    <w:rsid w:val="00354BF8"/>
    <w:rsid w:val="00354C46"/>
    <w:rsid w:val="00354DD1"/>
    <w:rsid w:val="00354E56"/>
    <w:rsid w:val="00354F94"/>
    <w:rsid w:val="0035520A"/>
    <w:rsid w:val="003553E2"/>
    <w:rsid w:val="003554E9"/>
    <w:rsid w:val="003555AF"/>
    <w:rsid w:val="003556AF"/>
    <w:rsid w:val="00355790"/>
    <w:rsid w:val="003559B6"/>
    <w:rsid w:val="00355AF9"/>
    <w:rsid w:val="00355CBE"/>
    <w:rsid w:val="00355D2C"/>
    <w:rsid w:val="00355E57"/>
    <w:rsid w:val="00355ECC"/>
    <w:rsid w:val="0035619F"/>
    <w:rsid w:val="0035657F"/>
    <w:rsid w:val="003568E1"/>
    <w:rsid w:val="003569D0"/>
    <w:rsid w:val="00356AB8"/>
    <w:rsid w:val="00356BE0"/>
    <w:rsid w:val="00356D6A"/>
    <w:rsid w:val="00356ED5"/>
    <w:rsid w:val="00356F6C"/>
    <w:rsid w:val="003570AB"/>
    <w:rsid w:val="0035721B"/>
    <w:rsid w:val="0035728F"/>
    <w:rsid w:val="003572C0"/>
    <w:rsid w:val="0035732F"/>
    <w:rsid w:val="003576A0"/>
    <w:rsid w:val="0035787C"/>
    <w:rsid w:val="003578AE"/>
    <w:rsid w:val="0035796B"/>
    <w:rsid w:val="00357AF0"/>
    <w:rsid w:val="00357BD3"/>
    <w:rsid w:val="00357C6E"/>
    <w:rsid w:val="00357C7A"/>
    <w:rsid w:val="00357E62"/>
    <w:rsid w:val="00357F63"/>
    <w:rsid w:val="00360064"/>
    <w:rsid w:val="003600FB"/>
    <w:rsid w:val="00360293"/>
    <w:rsid w:val="0036051B"/>
    <w:rsid w:val="003606AD"/>
    <w:rsid w:val="00360825"/>
    <w:rsid w:val="003608C3"/>
    <w:rsid w:val="0036099B"/>
    <w:rsid w:val="003609CF"/>
    <w:rsid w:val="00360A40"/>
    <w:rsid w:val="00360AC1"/>
    <w:rsid w:val="00360B9D"/>
    <w:rsid w:val="00360CA7"/>
    <w:rsid w:val="00360E76"/>
    <w:rsid w:val="00360E89"/>
    <w:rsid w:val="00360F1B"/>
    <w:rsid w:val="00361441"/>
    <w:rsid w:val="00361462"/>
    <w:rsid w:val="00361852"/>
    <w:rsid w:val="00361A8D"/>
    <w:rsid w:val="003621E3"/>
    <w:rsid w:val="00362381"/>
    <w:rsid w:val="003623B0"/>
    <w:rsid w:val="003623E6"/>
    <w:rsid w:val="0036242D"/>
    <w:rsid w:val="00362591"/>
    <w:rsid w:val="00362725"/>
    <w:rsid w:val="00362790"/>
    <w:rsid w:val="0036280B"/>
    <w:rsid w:val="0036283C"/>
    <w:rsid w:val="003628B0"/>
    <w:rsid w:val="00362B83"/>
    <w:rsid w:val="00362C25"/>
    <w:rsid w:val="00362F97"/>
    <w:rsid w:val="0036338A"/>
    <w:rsid w:val="003635E3"/>
    <w:rsid w:val="003636DC"/>
    <w:rsid w:val="00363734"/>
    <w:rsid w:val="00363897"/>
    <w:rsid w:val="00363CA7"/>
    <w:rsid w:val="00363CD7"/>
    <w:rsid w:val="00363D1C"/>
    <w:rsid w:val="00363FF8"/>
    <w:rsid w:val="00364039"/>
    <w:rsid w:val="0036412D"/>
    <w:rsid w:val="00364360"/>
    <w:rsid w:val="003644BE"/>
    <w:rsid w:val="00364589"/>
    <w:rsid w:val="00364696"/>
    <w:rsid w:val="003647A5"/>
    <w:rsid w:val="003648A5"/>
    <w:rsid w:val="003648B2"/>
    <w:rsid w:val="00364992"/>
    <w:rsid w:val="00364A0F"/>
    <w:rsid w:val="00364DDC"/>
    <w:rsid w:val="00364E4B"/>
    <w:rsid w:val="003652D9"/>
    <w:rsid w:val="003654EC"/>
    <w:rsid w:val="003654EE"/>
    <w:rsid w:val="00365619"/>
    <w:rsid w:val="0036584A"/>
    <w:rsid w:val="003658F2"/>
    <w:rsid w:val="003659B8"/>
    <w:rsid w:val="00365A18"/>
    <w:rsid w:val="00365A60"/>
    <w:rsid w:val="00365C93"/>
    <w:rsid w:val="00365E1D"/>
    <w:rsid w:val="00365FC3"/>
    <w:rsid w:val="003660E2"/>
    <w:rsid w:val="003660E4"/>
    <w:rsid w:val="00366111"/>
    <w:rsid w:val="0036620B"/>
    <w:rsid w:val="00366269"/>
    <w:rsid w:val="00366506"/>
    <w:rsid w:val="00366536"/>
    <w:rsid w:val="003666FC"/>
    <w:rsid w:val="00366844"/>
    <w:rsid w:val="00366BDB"/>
    <w:rsid w:val="00366E97"/>
    <w:rsid w:val="00366EA8"/>
    <w:rsid w:val="00366F4C"/>
    <w:rsid w:val="00366FCF"/>
    <w:rsid w:val="00367227"/>
    <w:rsid w:val="003673B0"/>
    <w:rsid w:val="00367636"/>
    <w:rsid w:val="003677F3"/>
    <w:rsid w:val="00367EE0"/>
    <w:rsid w:val="0037004B"/>
    <w:rsid w:val="003700E5"/>
    <w:rsid w:val="00370392"/>
    <w:rsid w:val="003704C5"/>
    <w:rsid w:val="0037067E"/>
    <w:rsid w:val="0037077C"/>
    <w:rsid w:val="003707C6"/>
    <w:rsid w:val="00370A54"/>
    <w:rsid w:val="00370A5E"/>
    <w:rsid w:val="00370A7E"/>
    <w:rsid w:val="00370B72"/>
    <w:rsid w:val="00370E57"/>
    <w:rsid w:val="00371080"/>
    <w:rsid w:val="00371195"/>
    <w:rsid w:val="003712C7"/>
    <w:rsid w:val="0037130C"/>
    <w:rsid w:val="0037141F"/>
    <w:rsid w:val="00371428"/>
    <w:rsid w:val="00371878"/>
    <w:rsid w:val="00371895"/>
    <w:rsid w:val="003718A1"/>
    <w:rsid w:val="00371A0D"/>
    <w:rsid w:val="00371A52"/>
    <w:rsid w:val="00371FDB"/>
    <w:rsid w:val="0037202B"/>
    <w:rsid w:val="0037219C"/>
    <w:rsid w:val="003721C0"/>
    <w:rsid w:val="0037234F"/>
    <w:rsid w:val="003725BF"/>
    <w:rsid w:val="00372603"/>
    <w:rsid w:val="0037288B"/>
    <w:rsid w:val="003728CC"/>
    <w:rsid w:val="00372E88"/>
    <w:rsid w:val="003732E6"/>
    <w:rsid w:val="00373442"/>
    <w:rsid w:val="003738A0"/>
    <w:rsid w:val="003738FF"/>
    <w:rsid w:val="0037395A"/>
    <w:rsid w:val="00373A27"/>
    <w:rsid w:val="00373C90"/>
    <w:rsid w:val="00373D6B"/>
    <w:rsid w:val="00373E78"/>
    <w:rsid w:val="00373F8B"/>
    <w:rsid w:val="003740DE"/>
    <w:rsid w:val="00374315"/>
    <w:rsid w:val="003745B6"/>
    <w:rsid w:val="0037463D"/>
    <w:rsid w:val="00374780"/>
    <w:rsid w:val="00374847"/>
    <w:rsid w:val="00374AF9"/>
    <w:rsid w:val="00374C9A"/>
    <w:rsid w:val="00374D22"/>
    <w:rsid w:val="00374D3D"/>
    <w:rsid w:val="00374E07"/>
    <w:rsid w:val="00374E44"/>
    <w:rsid w:val="00374EFE"/>
    <w:rsid w:val="00374FB1"/>
    <w:rsid w:val="003750B6"/>
    <w:rsid w:val="003750CA"/>
    <w:rsid w:val="00375338"/>
    <w:rsid w:val="00375365"/>
    <w:rsid w:val="0037544C"/>
    <w:rsid w:val="0037546E"/>
    <w:rsid w:val="00375611"/>
    <w:rsid w:val="00375B5A"/>
    <w:rsid w:val="00375C43"/>
    <w:rsid w:val="00375C75"/>
    <w:rsid w:val="00375DAE"/>
    <w:rsid w:val="00375E33"/>
    <w:rsid w:val="00375E3C"/>
    <w:rsid w:val="00375F4D"/>
    <w:rsid w:val="0037607F"/>
    <w:rsid w:val="00376257"/>
    <w:rsid w:val="00376469"/>
    <w:rsid w:val="0037677C"/>
    <w:rsid w:val="00376826"/>
    <w:rsid w:val="003768D9"/>
    <w:rsid w:val="003769C9"/>
    <w:rsid w:val="00376A42"/>
    <w:rsid w:val="00376A5E"/>
    <w:rsid w:val="00376B53"/>
    <w:rsid w:val="00376B73"/>
    <w:rsid w:val="00376C15"/>
    <w:rsid w:val="00376CA5"/>
    <w:rsid w:val="00376CA9"/>
    <w:rsid w:val="00376CEC"/>
    <w:rsid w:val="00376F1B"/>
    <w:rsid w:val="00376FB3"/>
    <w:rsid w:val="003770D4"/>
    <w:rsid w:val="00377183"/>
    <w:rsid w:val="003771E1"/>
    <w:rsid w:val="0037721D"/>
    <w:rsid w:val="003773BB"/>
    <w:rsid w:val="00377864"/>
    <w:rsid w:val="00377A22"/>
    <w:rsid w:val="00377A86"/>
    <w:rsid w:val="00377ACF"/>
    <w:rsid w:val="00377B90"/>
    <w:rsid w:val="00377C63"/>
    <w:rsid w:val="00377EF7"/>
    <w:rsid w:val="00377FA6"/>
    <w:rsid w:val="00377FBB"/>
    <w:rsid w:val="003800ED"/>
    <w:rsid w:val="0038021B"/>
    <w:rsid w:val="003805EA"/>
    <w:rsid w:val="00380761"/>
    <w:rsid w:val="003807DB"/>
    <w:rsid w:val="003809DD"/>
    <w:rsid w:val="003809DE"/>
    <w:rsid w:val="00380AF4"/>
    <w:rsid w:val="00380CE0"/>
    <w:rsid w:val="00380D2A"/>
    <w:rsid w:val="00380FA6"/>
    <w:rsid w:val="0038102A"/>
    <w:rsid w:val="003812C4"/>
    <w:rsid w:val="003812EE"/>
    <w:rsid w:val="00381443"/>
    <w:rsid w:val="00381641"/>
    <w:rsid w:val="00381660"/>
    <w:rsid w:val="00381710"/>
    <w:rsid w:val="0038172E"/>
    <w:rsid w:val="0038180E"/>
    <w:rsid w:val="00381C0A"/>
    <w:rsid w:val="00381CEA"/>
    <w:rsid w:val="00381D8B"/>
    <w:rsid w:val="00382109"/>
    <w:rsid w:val="0038218F"/>
    <w:rsid w:val="003822A5"/>
    <w:rsid w:val="00382410"/>
    <w:rsid w:val="003824B0"/>
    <w:rsid w:val="003827C3"/>
    <w:rsid w:val="00382928"/>
    <w:rsid w:val="00382DC6"/>
    <w:rsid w:val="00382FEF"/>
    <w:rsid w:val="00383071"/>
    <w:rsid w:val="003831A1"/>
    <w:rsid w:val="003831B2"/>
    <w:rsid w:val="00383476"/>
    <w:rsid w:val="00383556"/>
    <w:rsid w:val="00383597"/>
    <w:rsid w:val="003835EB"/>
    <w:rsid w:val="0038366D"/>
    <w:rsid w:val="00383833"/>
    <w:rsid w:val="00383890"/>
    <w:rsid w:val="00383B70"/>
    <w:rsid w:val="003840F5"/>
    <w:rsid w:val="0038450B"/>
    <w:rsid w:val="00384546"/>
    <w:rsid w:val="003848D3"/>
    <w:rsid w:val="003849EE"/>
    <w:rsid w:val="00384B06"/>
    <w:rsid w:val="00384CF5"/>
    <w:rsid w:val="00384D8A"/>
    <w:rsid w:val="00384DA0"/>
    <w:rsid w:val="00384DD4"/>
    <w:rsid w:val="00384E6D"/>
    <w:rsid w:val="00384E77"/>
    <w:rsid w:val="00384E89"/>
    <w:rsid w:val="0038550E"/>
    <w:rsid w:val="0038558D"/>
    <w:rsid w:val="003855DE"/>
    <w:rsid w:val="00385679"/>
    <w:rsid w:val="003859E8"/>
    <w:rsid w:val="00385B96"/>
    <w:rsid w:val="00385CE2"/>
    <w:rsid w:val="00385D7B"/>
    <w:rsid w:val="00385E60"/>
    <w:rsid w:val="003860ED"/>
    <w:rsid w:val="00386195"/>
    <w:rsid w:val="003862AD"/>
    <w:rsid w:val="003863F5"/>
    <w:rsid w:val="003864CD"/>
    <w:rsid w:val="00386653"/>
    <w:rsid w:val="003866C3"/>
    <w:rsid w:val="0038672F"/>
    <w:rsid w:val="00386733"/>
    <w:rsid w:val="0038687F"/>
    <w:rsid w:val="003868C0"/>
    <w:rsid w:val="00386CBC"/>
    <w:rsid w:val="00386D9F"/>
    <w:rsid w:val="00386DC0"/>
    <w:rsid w:val="00386F30"/>
    <w:rsid w:val="00387205"/>
    <w:rsid w:val="003872FD"/>
    <w:rsid w:val="00387646"/>
    <w:rsid w:val="0038764D"/>
    <w:rsid w:val="003876B8"/>
    <w:rsid w:val="00387779"/>
    <w:rsid w:val="00387780"/>
    <w:rsid w:val="003877E9"/>
    <w:rsid w:val="003877F1"/>
    <w:rsid w:val="00387B1E"/>
    <w:rsid w:val="00387BAA"/>
    <w:rsid w:val="00387BB5"/>
    <w:rsid w:val="00387ED3"/>
    <w:rsid w:val="00387F56"/>
    <w:rsid w:val="00387FDC"/>
    <w:rsid w:val="003902E5"/>
    <w:rsid w:val="00390359"/>
    <w:rsid w:val="003903AD"/>
    <w:rsid w:val="003903E3"/>
    <w:rsid w:val="003907C3"/>
    <w:rsid w:val="00390C2F"/>
    <w:rsid w:val="00390C70"/>
    <w:rsid w:val="00390D64"/>
    <w:rsid w:val="00390EF1"/>
    <w:rsid w:val="00390F01"/>
    <w:rsid w:val="00390F47"/>
    <w:rsid w:val="00390F7A"/>
    <w:rsid w:val="003910E7"/>
    <w:rsid w:val="00391183"/>
    <w:rsid w:val="0039128B"/>
    <w:rsid w:val="00391378"/>
    <w:rsid w:val="003913A4"/>
    <w:rsid w:val="00391426"/>
    <w:rsid w:val="00391583"/>
    <w:rsid w:val="00391652"/>
    <w:rsid w:val="0039198F"/>
    <w:rsid w:val="00391A0E"/>
    <w:rsid w:val="003922A1"/>
    <w:rsid w:val="00392336"/>
    <w:rsid w:val="00392395"/>
    <w:rsid w:val="003923F0"/>
    <w:rsid w:val="00392431"/>
    <w:rsid w:val="00392560"/>
    <w:rsid w:val="00392690"/>
    <w:rsid w:val="003926C9"/>
    <w:rsid w:val="00392898"/>
    <w:rsid w:val="003929BA"/>
    <w:rsid w:val="00392C03"/>
    <w:rsid w:val="00392D58"/>
    <w:rsid w:val="00392E30"/>
    <w:rsid w:val="00392E57"/>
    <w:rsid w:val="00393104"/>
    <w:rsid w:val="0039311E"/>
    <w:rsid w:val="0039318A"/>
    <w:rsid w:val="00393192"/>
    <w:rsid w:val="0039324E"/>
    <w:rsid w:val="003933CE"/>
    <w:rsid w:val="003933FA"/>
    <w:rsid w:val="00393500"/>
    <w:rsid w:val="00393502"/>
    <w:rsid w:val="00393592"/>
    <w:rsid w:val="00393698"/>
    <w:rsid w:val="00393790"/>
    <w:rsid w:val="00393851"/>
    <w:rsid w:val="00393B79"/>
    <w:rsid w:val="00393D91"/>
    <w:rsid w:val="00393F29"/>
    <w:rsid w:val="00394153"/>
    <w:rsid w:val="003944DB"/>
    <w:rsid w:val="00394565"/>
    <w:rsid w:val="003945D9"/>
    <w:rsid w:val="00394613"/>
    <w:rsid w:val="00394650"/>
    <w:rsid w:val="003948BB"/>
    <w:rsid w:val="00394A23"/>
    <w:rsid w:val="00394A27"/>
    <w:rsid w:val="00394CF3"/>
    <w:rsid w:val="00394D72"/>
    <w:rsid w:val="00394E0D"/>
    <w:rsid w:val="00394EF0"/>
    <w:rsid w:val="00394F2F"/>
    <w:rsid w:val="00394FAA"/>
    <w:rsid w:val="00394FD4"/>
    <w:rsid w:val="003953A4"/>
    <w:rsid w:val="00395654"/>
    <w:rsid w:val="0039566A"/>
    <w:rsid w:val="00395679"/>
    <w:rsid w:val="003957F5"/>
    <w:rsid w:val="00395B99"/>
    <w:rsid w:val="00395CB7"/>
    <w:rsid w:val="00395CB8"/>
    <w:rsid w:val="00395F39"/>
    <w:rsid w:val="00395FBC"/>
    <w:rsid w:val="0039603C"/>
    <w:rsid w:val="003960CA"/>
    <w:rsid w:val="00396551"/>
    <w:rsid w:val="0039659F"/>
    <w:rsid w:val="003965B6"/>
    <w:rsid w:val="00396647"/>
    <w:rsid w:val="0039672B"/>
    <w:rsid w:val="00396817"/>
    <w:rsid w:val="00396A9C"/>
    <w:rsid w:val="00396AAB"/>
    <w:rsid w:val="00396F89"/>
    <w:rsid w:val="0039700F"/>
    <w:rsid w:val="00397119"/>
    <w:rsid w:val="003972CA"/>
    <w:rsid w:val="00397690"/>
    <w:rsid w:val="00397780"/>
    <w:rsid w:val="003978DB"/>
    <w:rsid w:val="003979B3"/>
    <w:rsid w:val="003979EC"/>
    <w:rsid w:val="00397D4A"/>
    <w:rsid w:val="00397FEF"/>
    <w:rsid w:val="003A026D"/>
    <w:rsid w:val="003A026E"/>
    <w:rsid w:val="003A04B9"/>
    <w:rsid w:val="003A0750"/>
    <w:rsid w:val="003A0801"/>
    <w:rsid w:val="003A087E"/>
    <w:rsid w:val="003A08C4"/>
    <w:rsid w:val="003A0A53"/>
    <w:rsid w:val="003A0AC9"/>
    <w:rsid w:val="003A0B6E"/>
    <w:rsid w:val="003A0F08"/>
    <w:rsid w:val="003A1122"/>
    <w:rsid w:val="003A1224"/>
    <w:rsid w:val="003A122C"/>
    <w:rsid w:val="003A15FC"/>
    <w:rsid w:val="003A16DE"/>
    <w:rsid w:val="003A17C9"/>
    <w:rsid w:val="003A1AD7"/>
    <w:rsid w:val="003A1BC6"/>
    <w:rsid w:val="003A1CC3"/>
    <w:rsid w:val="003A1D87"/>
    <w:rsid w:val="003A1DF7"/>
    <w:rsid w:val="003A206D"/>
    <w:rsid w:val="003A20B3"/>
    <w:rsid w:val="003A223A"/>
    <w:rsid w:val="003A252A"/>
    <w:rsid w:val="003A255F"/>
    <w:rsid w:val="003A279F"/>
    <w:rsid w:val="003A27D5"/>
    <w:rsid w:val="003A27F5"/>
    <w:rsid w:val="003A292E"/>
    <w:rsid w:val="003A2936"/>
    <w:rsid w:val="003A29FA"/>
    <w:rsid w:val="003A2BBF"/>
    <w:rsid w:val="003A2EB5"/>
    <w:rsid w:val="003A308E"/>
    <w:rsid w:val="003A3298"/>
    <w:rsid w:val="003A35CA"/>
    <w:rsid w:val="003A3631"/>
    <w:rsid w:val="003A385F"/>
    <w:rsid w:val="003A3BDB"/>
    <w:rsid w:val="003A3F53"/>
    <w:rsid w:val="003A3F9E"/>
    <w:rsid w:val="003A4079"/>
    <w:rsid w:val="003A411C"/>
    <w:rsid w:val="003A418C"/>
    <w:rsid w:val="003A42F2"/>
    <w:rsid w:val="003A43B1"/>
    <w:rsid w:val="003A4432"/>
    <w:rsid w:val="003A45AD"/>
    <w:rsid w:val="003A46E8"/>
    <w:rsid w:val="003A4A10"/>
    <w:rsid w:val="003A4ACB"/>
    <w:rsid w:val="003A4AD9"/>
    <w:rsid w:val="003A4B5C"/>
    <w:rsid w:val="003A4CC6"/>
    <w:rsid w:val="003A4EFB"/>
    <w:rsid w:val="003A4FAA"/>
    <w:rsid w:val="003A5018"/>
    <w:rsid w:val="003A50B6"/>
    <w:rsid w:val="003A50C3"/>
    <w:rsid w:val="003A510C"/>
    <w:rsid w:val="003A54C7"/>
    <w:rsid w:val="003A551C"/>
    <w:rsid w:val="003A5592"/>
    <w:rsid w:val="003A5700"/>
    <w:rsid w:val="003A5B4B"/>
    <w:rsid w:val="003A5B51"/>
    <w:rsid w:val="003A5BA7"/>
    <w:rsid w:val="003A5D78"/>
    <w:rsid w:val="003A5DD0"/>
    <w:rsid w:val="003A5E86"/>
    <w:rsid w:val="003A6064"/>
    <w:rsid w:val="003A63B8"/>
    <w:rsid w:val="003A63F4"/>
    <w:rsid w:val="003A641E"/>
    <w:rsid w:val="003A64D7"/>
    <w:rsid w:val="003A656C"/>
    <w:rsid w:val="003A686B"/>
    <w:rsid w:val="003A687F"/>
    <w:rsid w:val="003A689A"/>
    <w:rsid w:val="003A6A77"/>
    <w:rsid w:val="003A6B42"/>
    <w:rsid w:val="003A6BE1"/>
    <w:rsid w:val="003A6C1E"/>
    <w:rsid w:val="003A6D08"/>
    <w:rsid w:val="003A6E41"/>
    <w:rsid w:val="003A6F03"/>
    <w:rsid w:val="003A6FC1"/>
    <w:rsid w:val="003A700D"/>
    <w:rsid w:val="003A7250"/>
    <w:rsid w:val="003A7354"/>
    <w:rsid w:val="003A746E"/>
    <w:rsid w:val="003A74A5"/>
    <w:rsid w:val="003A7635"/>
    <w:rsid w:val="003A7679"/>
    <w:rsid w:val="003A7873"/>
    <w:rsid w:val="003A7A03"/>
    <w:rsid w:val="003A7C95"/>
    <w:rsid w:val="003A7E49"/>
    <w:rsid w:val="003A7FE2"/>
    <w:rsid w:val="003B01DB"/>
    <w:rsid w:val="003B02A4"/>
    <w:rsid w:val="003B0309"/>
    <w:rsid w:val="003B0615"/>
    <w:rsid w:val="003B0886"/>
    <w:rsid w:val="003B08B2"/>
    <w:rsid w:val="003B09D8"/>
    <w:rsid w:val="003B0A51"/>
    <w:rsid w:val="003B0C7D"/>
    <w:rsid w:val="003B0CC7"/>
    <w:rsid w:val="003B0CFB"/>
    <w:rsid w:val="003B0EF1"/>
    <w:rsid w:val="003B1400"/>
    <w:rsid w:val="003B1428"/>
    <w:rsid w:val="003B14C8"/>
    <w:rsid w:val="003B153B"/>
    <w:rsid w:val="003B15D3"/>
    <w:rsid w:val="003B16A6"/>
    <w:rsid w:val="003B17DE"/>
    <w:rsid w:val="003B18E7"/>
    <w:rsid w:val="003B19C3"/>
    <w:rsid w:val="003B1B51"/>
    <w:rsid w:val="003B1D05"/>
    <w:rsid w:val="003B1E6C"/>
    <w:rsid w:val="003B20F3"/>
    <w:rsid w:val="003B2131"/>
    <w:rsid w:val="003B24F8"/>
    <w:rsid w:val="003B25A0"/>
    <w:rsid w:val="003B2785"/>
    <w:rsid w:val="003B2816"/>
    <w:rsid w:val="003B2853"/>
    <w:rsid w:val="003B299A"/>
    <w:rsid w:val="003B2BF0"/>
    <w:rsid w:val="003B2C5E"/>
    <w:rsid w:val="003B2E5A"/>
    <w:rsid w:val="003B3103"/>
    <w:rsid w:val="003B311E"/>
    <w:rsid w:val="003B3626"/>
    <w:rsid w:val="003B3B4B"/>
    <w:rsid w:val="003B3D5A"/>
    <w:rsid w:val="003B3F0D"/>
    <w:rsid w:val="003B406F"/>
    <w:rsid w:val="003B41BC"/>
    <w:rsid w:val="003B41FA"/>
    <w:rsid w:val="003B4263"/>
    <w:rsid w:val="003B436E"/>
    <w:rsid w:val="003B4A90"/>
    <w:rsid w:val="003B4B26"/>
    <w:rsid w:val="003B4C03"/>
    <w:rsid w:val="003B4E42"/>
    <w:rsid w:val="003B4E94"/>
    <w:rsid w:val="003B5047"/>
    <w:rsid w:val="003B5092"/>
    <w:rsid w:val="003B53CC"/>
    <w:rsid w:val="003B5790"/>
    <w:rsid w:val="003B59D6"/>
    <w:rsid w:val="003B5A08"/>
    <w:rsid w:val="003B5A4F"/>
    <w:rsid w:val="003B5C88"/>
    <w:rsid w:val="003B5CB0"/>
    <w:rsid w:val="003B5CE2"/>
    <w:rsid w:val="003B5E43"/>
    <w:rsid w:val="003B5E96"/>
    <w:rsid w:val="003B60B5"/>
    <w:rsid w:val="003B6115"/>
    <w:rsid w:val="003B6192"/>
    <w:rsid w:val="003B626E"/>
    <w:rsid w:val="003B63BA"/>
    <w:rsid w:val="003B6742"/>
    <w:rsid w:val="003B6750"/>
    <w:rsid w:val="003B67C8"/>
    <w:rsid w:val="003B67D9"/>
    <w:rsid w:val="003B6B6A"/>
    <w:rsid w:val="003B6B6E"/>
    <w:rsid w:val="003B6BEB"/>
    <w:rsid w:val="003B6C98"/>
    <w:rsid w:val="003B6CCF"/>
    <w:rsid w:val="003B6ED5"/>
    <w:rsid w:val="003B6EE1"/>
    <w:rsid w:val="003B6EF0"/>
    <w:rsid w:val="003B6F34"/>
    <w:rsid w:val="003B6F79"/>
    <w:rsid w:val="003B70FE"/>
    <w:rsid w:val="003B71C7"/>
    <w:rsid w:val="003B72F7"/>
    <w:rsid w:val="003B7404"/>
    <w:rsid w:val="003B74E6"/>
    <w:rsid w:val="003B758C"/>
    <w:rsid w:val="003B75D6"/>
    <w:rsid w:val="003B7664"/>
    <w:rsid w:val="003B7799"/>
    <w:rsid w:val="003B7875"/>
    <w:rsid w:val="003B7AB0"/>
    <w:rsid w:val="003B7AE2"/>
    <w:rsid w:val="003C0007"/>
    <w:rsid w:val="003C005C"/>
    <w:rsid w:val="003C0547"/>
    <w:rsid w:val="003C05ED"/>
    <w:rsid w:val="003C0692"/>
    <w:rsid w:val="003C0733"/>
    <w:rsid w:val="003C07B7"/>
    <w:rsid w:val="003C07D6"/>
    <w:rsid w:val="003C07FE"/>
    <w:rsid w:val="003C0905"/>
    <w:rsid w:val="003C0ADA"/>
    <w:rsid w:val="003C0C63"/>
    <w:rsid w:val="003C0D41"/>
    <w:rsid w:val="003C10F1"/>
    <w:rsid w:val="003C1138"/>
    <w:rsid w:val="003C16C3"/>
    <w:rsid w:val="003C1732"/>
    <w:rsid w:val="003C17C0"/>
    <w:rsid w:val="003C198A"/>
    <w:rsid w:val="003C1A4A"/>
    <w:rsid w:val="003C1B64"/>
    <w:rsid w:val="003C1BF6"/>
    <w:rsid w:val="003C1CCE"/>
    <w:rsid w:val="003C1CF4"/>
    <w:rsid w:val="003C1D12"/>
    <w:rsid w:val="003C1DAE"/>
    <w:rsid w:val="003C1FEC"/>
    <w:rsid w:val="003C211F"/>
    <w:rsid w:val="003C2164"/>
    <w:rsid w:val="003C216C"/>
    <w:rsid w:val="003C2246"/>
    <w:rsid w:val="003C24A1"/>
    <w:rsid w:val="003C24FD"/>
    <w:rsid w:val="003C2615"/>
    <w:rsid w:val="003C2682"/>
    <w:rsid w:val="003C282B"/>
    <w:rsid w:val="003C2831"/>
    <w:rsid w:val="003C2B94"/>
    <w:rsid w:val="003C2CDA"/>
    <w:rsid w:val="003C2D79"/>
    <w:rsid w:val="003C2EB0"/>
    <w:rsid w:val="003C2F82"/>
    <w:rsid w:val="003C3051"/>
    <w:rsid w:val="003C3137"/>
    <w:rsid w:val="003C319E"/>
    <w:rsid w:val="003C370D"/>
    <w:rsid w:val="003C37AF"/>
    <w:rsid w:val="003C37B4"/>
    <w:rsid w:val="003C3B36"/>
    <w:rsid w:val="003C40A2"/>
    <w:rsid w:val="003C4327"/>
    <w:rsid w:val="003C4498"/>
    <w:rsid w:val="003C456C"/>
    <w:rsid w:val="003C4649"/>
    <w:rsid w:val="003C4964"/>
    <w:rsid w:val="003C4974"/>
    <w:rsid w:val="003C4A2E"/>
    <w:rsid w:val="003C4AEC"/>
    <w:rsid w:val="003C4B40"/>
    <w:rsid w:val="003C4E01"/>
    <w:rsid w:val="003C516C"/>
    <w:rsid w:val="003C51BC"/>
    <w:rsid w:val="003C52A8"/>
    <w:rsid w:val="003C5566"/>
    <w:rsid w:val="003C5576"/>
    <w:rsid w:val="003C55F5"/>
    <w:rsid w:val="003C5710"/>
    <w:rsid w:val="003C57EA"/>
    <w:rsid w:val="003C58AA"/>
    <w:rsid w:val="003C5958"/>
    <w:rsid w:val="003C5A96"/>
    <w:rsid w:val="003C5C6D"/>
    <w:rsid w:val="003C5E17"/>
    <w:rsid w:val="003C5E5E"/>
    <w:rsid w:val="003C5F91"/>
    <w:rsid w:val="003C5FBD"/>
    <w:rsid w:val="003C5FBE"/>
    <w:rsid w:val="003C62B8"/>
    <w:rsid w:val="003C652C"/>
    <w:rsid w:val="003C6620"/>
    <w:rsid w:val="003C6754"/>
    <w:rsid w:val="003C68A1"/>
    <w:rsid w:val="003C6999"/>
    <w:rsid w:val="003C6A19"/>
    <w:rsid w:val="003C6A28"/>
    <w:rsid w:val="003C6B46"/>
    <w:rsid w:val="003C6B6A"/>
    <w:rsid w:val="003C6BCF"/>
    <w:rsid w:val="003C6C0C"/>
    <w:rsid w:val="003C6C85"/>
    <w:rsid w:val="003C6DBD"/>
    <w:rsid w:val="003C703A"/>
    <w:rsid w:val="003C7127"/>
    <w:rsid w:val="003C72EE"/>
    <w:rsid w:val="003C72FA"/>
    <w:rsid w:val="003C7525"/>
    <w:rsid w:val="003C7769"/>
    <w:rsid w:val="003C77CD"/>
    <w:rsid w:val="003C785C"/>
    <w:rsid w:val="003C79C5"/>
    <w:rsid w:val="003C7A51"/>
    <w:rsid w:val="003C7AF2"/>
    <w:rsid w:val="003C7ECB"/>
    <w:rsid w:val="003D001B"/>
    <w:rsid w:val="003D00CA"/>
    <w:rsid w:val="003D020F"/>
    <w:rsid w:val="003D0266"/>
    <w:rsid w:val="003D033E"/>
    <w:rsid w:val="003D047A"/>
    <w:rsid w:val="003D05BE"/>
    <w:rsid w:val="003D05DE"/>
    <w:rsid w:val="003D067E"/>
    <w:rsid w:val="003D072A"/>
    <w:rsid w:val="003D0756"/>
    <w:rsid w:val="003D077E"/>
    <w:rsid w:val="003D08D1"/>
    <w:rsid w:val="003D09F0"/>
    <w:rsid w:val="003D0C02"/>
    <w:rsid w:val="003D0F33"/>
    <w:rsid w:val="003D11DC"/>
    <w:rsid w:val="003D1210"/>
    <w:rsid w:val="003D1214"/>
    <w:rsid w:val="003D13A2"/>
    <w:rsid w:val="003D1418"/>
    <w:rsid w:val="003D1741"/>
    <w:rsid w:val="003D1844"/>
    <w:rsid w:val="003D19A8"/>
    <w:rsid w:val="003D1A63"/>
    <w:rsid w:val="003D1B4C"/>
    <w:rsid w:val="003D1D91"/>
    <w:rsid w:val="003D1EDC"/>
    <w:rsid w:val="003D209B"/>
    <w:rsid w:val="003D223F"/>
    <w:rsid w:val="003D23A3"/>
    <w:rsid w:val="003D23F6"/>
    <w:rsid w:val="003D24A3"/>
    <w:rsid w:val="003D25AB"/>
    <w:rsid w:val="003D26C3"/>
    <w:rsid w:val="003D2712"/>
    <w:rsid w:val="003D2863"/>
    <w:rsid w:val="003D2901"/>
    <w:rsid w:val="003D2ABC"/>
    <w:rsid w:val="003D2B86"/>
    <w:rsid w:val="003D2CA8"/>
    <w:rsid w:val="003D2DB7"/>
    <w:rsid w:val="003D2DE1"/>
    <w:rsid w:val="003D2E1F"/>
    <w:rsid w:val="003D2E29"/>
    <w:rsid w:val="003D3021"/>
    <w:rsid w:val="003D3162"/>
    <w:rsid w:val="003D3199"/>
    <w:rsid w:val="003D31B9"/>
    <w:rsid w:val="003D31EB"/>
    <w:rsid w:val="003D3324"/>
    <w:rsid w:val="003D3423"/>
    <w:rsid w:val="003D3585"/>
    <w:rsid w:val="003D35A7"/>
    <w:rsid w:val="003D3729"/>
    <w:rsid w:val="003D37AB"/>
    <w:rsid w:val="003D392E"/>
    <w:rsid w:val="003D393E"/>
    <w:rsid w:val="003D3B9E"/>
    <w:rsid w:val="003D3C05"/>
    <w:rsid w:val="003D3C71"/>
    <w:rsid w:val="003D3C78"/>
    <w:rsid w:val="003D3CD9"/>
    <w:rsid w:val="003D3D4F"/>
    <w:rsid w:val="003D3EF8"/>
    <w:rsid w:val="003D4004"/>
    <w:rsid w:val="003D4026"/>
    <w:rsid w:val="003D4308"/>
    <w:rsid w:val="003D4480"/>
    <w:rsid w:val="003D4657"/>
    <w:rsid w:val="003D46D9"/>
    <w:rsid w:val="003D4895"/>
    <w:rsid w:val="003D4983"/>
    <w:rsid w:val="003D4A4E"/>
    <w:rsid w:val="003D4C46"/>
    <w:rsid w:val="003D5021"/>
    <w:rsid w:val="003D5070"/>
    <w:rsid w:val="003D5071"/>
    <w:rsid w:val="003D5098"/>
    <w:rsid w:val="003D5125"/>
    <w:rsid w:val="003D51A2"/>
    <w:rsid w:val="003D549F"/>
    <w:rsid w:val="003D54E3"/>
    <w:rsid w:val="003D55F7"/>
    <w:rsid w:val="003D5767"/>
    <w:rsid w:val="003D5856"/>
    <w:rsid w:val="003D58C7"/>
    <w:rsid w:val="003D597C"/>
    <w:rsid w:val="003D5D1A"/>
    <w:rsid w:val="003D5D97"/>
    <w:rsid w:val="003D5DA3"/>
    <w:rsid w:val="003D5DC9"/>
    <w:rsid w:val="003D5E8B"/>
    <w:rsid w:val="003D5EDA"/>
    <w:rsid w:val="003D5FB9"/>
    <w:rsid w:val="003D6184"/>
    <w:rsid w:val="003D6337"/>
    <w:rsid w:val="003D6770"/>
    <w:rsid w:val="003D67E1"/>
    <w:rsid w:val="003D6919"/>
    <w:rsid w:val="003D69E1"/>
    <w:rsid w:val="003D6B1E"/>
    <w:rsid w:val="003D6D83"/>
    <w:rsid w:val="003D6EDA"/>
    <w:rsid w:val="003D6F31"/>
    <w:rsid w:val="003D6F94"/>
    <w:rsid w:val="003D7140"/>
    <w:rsid w:val="003D75DF"/>
    <w:rsid w:val="003D78B5"/>
    <w:rsid w:val="003D7C7C"/>
    <w:rsid w:val="003E00DC"/>
    <w:rsid w:val="003E0158"/>
    <w:rsid w:val="003E05DC"/>
    <w:rsid w:val="003E0656"/>
    <w:rsid w:val="003E0874"/>
    <w:rsid w:val="003E087B"/>
    <w:rsid w:val="003E0882"/>
    <w:rsid w:val="003E0AB0"/>
    <w:rsid w:val="003E0AB3"/>
    <w:rsid w:val="003E0B96"/>
    <w:rsid w:val="003E0D9E"/>
    <w:rsid w:val="003E0DAE"/>
    <w:rsid w:val="003E0EAB"/>
    <w:rsid w:val="003E10C7"/>
    <w:rsid w:val="003E1232"/>
    <w:rsid w:val="003E14EF"/>
    <w:rsid w:val="003E15A1"/>
    <w:rsid w:val="003E15AD"/>
    <w:rsid w:val="003E1628"/>
    <w:rsid w:val="003E1672"/>
    <w:rsid w:val="003E18E9"/>
    <w:rsid w:val="003E1CAA"/>
    <w:rsid w:val="003E1D28"/>
    <w:rsid w:val="003E1DC3"/>
    <w:rsid w:val="003E1F9C"/>
    <w:rsid w:val="003E20B2"/>
    <w:rsid w:val="003E20B5"/>
    <w:rsid w:val="003E2546"/>
    <w:rsid w:val="003E28A0"/>
    <w:rsid w:val="003E2B6C"/>
    <w:rsid w:val="003E2D2B"/>
    <w:rsid w:val="003E3093"/>
    <w:rsid w:val="003E30B8"/>
    <w:rsid w:val="003E3181"/>
    <w:rsid w:val="003E327A"/>
    <w:rsid w:val="003E33B2"/>
    <w:rsid w:val="003E3557"/>
    <w:rsid w:val="003E35B3"/>
    <w:rsid w:val="003E370F"/>
    <w:rsid w:val="003E3728"/>
    <w:rsid w:val="003E3BBD"/>
    <w:rsid w:val="003E3C01"/>
    <w:rsid w:val="003E3CD1"/>
    <w:rsid w:val="003E3D14"/>
    <w:rsid w:val="003E3D5C"/>
    <w:rsid w:val="003E3E54"/>
    <w:rsid w:val="003E3F08"/>
    <w:rsid w:val="003E4150"/>
    <w:rsid w:val="003E42F5"/>
    <w:rsid w:val="003E43CC"/>
    <w:rsid w:val="003E442E"/>
    <w:rsid w:val="003E447A"/>
    <w:rsid w:val="003E4891"/>
    <w:rsid w:val="003E4DC9"/>
    <w:rsid w:val="003E4E5C"/>
    <w:rsid w:val="003E5011"/>
    <w:rsid w:val="003E50D2"/>
    <w:rsid w:val="003E510B"/>
    <w:rsid w:val="003E51B4"/>
    <w:rsid w:val="003E5337"/>
    <w:rsid w:val="003E53BF"/>
    <w:rsid w:val="003E5439"/>
    <w:rsid w:val="003E5813"/>
    <w:rsid w:val="003E58AB"/>
    <w:rsid w:val="003E5A54"/>
    <w:rsid w:val="003E5A57"/>
    <w:rsid w:val="003E5BC8"/>
    <w:rsid w:val="003E5CB5"/>
    <w:rsid w:val="003E5D80"/>
    <w:rsid w:val="003E5E1E"/>
    <w:rsid w:val="003E60C1"/>
    <w:rsid w:val="003E60EB"/>
    <w:rsid w:val="003E61EE"/>
    <w:rsid w:val="003E644E"/>
    <w:rsid w:val="003E682C"/>
    <w:rsid w:val="003E6C02"/>
    <w:rsid w:val="003E6D8F"/>
    <w:rsid w:val="003E6E2C"/>
    <w:rsid w:val="003E6F27"/>
    <w:rsid w:val="003E6FF3"/>
    <w:rsid w:val="003E702B"/>
    <w:rsid w:val="003E702E"/>
    <w:rsid w:val="003E7105"/>
    <w:rsid w:val="003E71F2"/>
    <w:rsid w:val="003E723C"/>
    <w:rsid w:val="003E7298"/>
    <w:rsid w:val="003E72C4"/>
    <w:rsid w:val="003E73C6"/>
    <w:rsid w:val="003E7419"/>
    <w:rsid w:val="003E741C"/>
    <w:rsid w:val="003E782C"/>
    <w:rsid w:val="003E79A7"/>
    <w:rsid w:val="003E7B2A"/>
    <w:rsid w:val="003E7D32"/>
    <w:rsid w:val="003F01FE"/>
    <w:rsid w:val="003F03C2"/>
    <w:rsid w:val="003F03CF"/>
    <w:rsid w:val="003F054A"/>
    <w:rsid w:val="003F056D"/>
    <w:rsid w:val="003F085B"/>
    <w:rsid w:val="003F0892"/>
    <w:rsid w:val="003F0893"/>
    <w:rsid w:val="003F095E"/>
    <w:rsid w:val="003F09AC"/>
    <w:rsid w:val="003F0A96"/>
    <w:rsid w:val="003F0A98"/>
    <w:rsid w:val="003F0B48"/>
    <w:rsid w:val="003F0B83"/>
    <w:rsid w:val="003F0C3B"/>
    <w:rsid w:val="003F0CE6"/>
    <w:rsid w:val="003F0D59"/>
    <w:rsid w:val="003F0F85"/>
    <w:rsid w:val="003F1285"/>
    <w:rsid w:val="003F13C1"/>
    <w:rsid w:val="003F14A0"/>
    <w:rsid w:val="003F1632"/>
    <w:rsid w:val="003F16BA"/>
    <w:rsid w:val="003F16DA"/>
    <w:rsid w:val="003F172E"/>
    <w:rsid w:val="003F1855"/>
    <w:rsid w:val="003F1913"/>
    <w:rsid w:val="003F1944"/>
    <w:rsid w:val="003F1AD5"/>
    <w:rsid w:val="003F2147"/>
    <w:rsid w:val="003F2157"/>
    <w:rsid w:val="003F21EE"/>
    <w:rsid w:val="003F22A2"/>
    <w:rsid w:val="003F22C3"/>
    <w:rsid w:val="003F2327"/>
    <w:rsid w:val="003F240C"/>
    <w:rsid w:val="003F2789"/>
    <w:rsid w:val="003F28AE"/>
    <w:rsid w:val="003F2A7F"/>
    <w:rsid w:val="003F2C39"/>
    <w:rsid w:val="003F2E08"/>
    <w:rsid w:val="003F2E21"/>
    <w:rsid w:val="003F31F4"/>
    <w:rsid w:val="003F3224"/>
    <w:rsid w:val="003F336C"/>
    <w:rsid w:val="003F3399"/>
    <w:rsid w:val="003F33A5"/>
    <w:rsid w:val="003F3593"/>
    <w:rsid w:val="003F35D6"/>
    <w:rsid w:val="003F3758"/>
    <w:rsid w:val="003F3865"/>
    <w:rsid w:val="003F3886"/>
    <w:rsid w:val="003F3ADB"/>
    <w:rsid w:val="003F3AF0"/>
    <w:rsid w:val="003F3BAD"/>
    <w:rsid w:val="003F3BE4"/>
    <w:rsid w:val="003F47B0"/>
    <w:rsid w:val="003F4924"/>
    <w:rsid w:val="003F4EE2"/>
    <w:rsid w:val="003F520D"/>
    <w:rsid w:val="003F5258"/>
    <w:rsid w:val="003F5329"/>
    <w:rsid w:val="003F535E"/>
    <w:rsid w:val="003F5409"/>
    <w:rsid w:val="003F5552"/>
    <w:rsid w:val="003F56D3"/>
    <w:rsid w:val="003F58EF"/>
    <w:rsid w:val="003F5925"/>
    <w:rsid w:val="003F5BFF"/>
    <w:rsid w:val="003F5C13"/>
    <w:rsid w:val="003F5C82"/>
    <w:rsid w:val="003F5CA8"/>
    <w:rsid w:val="003F5CAB"/>
    <w:rsid w:val="003F5D8D"/>
    <w:rsid w:val="003F5DF3"/>
    <w:rsid w:val="003F5FFB"/>
    <w:rsid w:val="003F603F"/>
    <w:rsid w:val="003F6126"/>
    <w:rsid w:val="003F630A"/>
    <w:rsid w:val="003F638E"/>
    <w:rsid w:val="003F66C4"/>
    <w:rsid w:val="003F6980"/>
    <w:rsid w:val="003F69D4"/>
    <w:rsid w:val="003F69ED"/>
    <w:rsid w:val="003F6B19"/>
    <w:rsid w:val="003F6F59"/>
    <w:rsid w:val="003F71C6"/>
    <w:rsid w:val="003F726D"/>
    <w:rsid w:val="003F732F"/>
    <w:rsid w:val="003F7821"/>
    <w:rsid w:val="003F7976"/>
    <w:rsid w:val="003F7BD1"/>
    <w:rsid w:val="003F7D7A"/>
    <w:rsid w:val="003F7E92"/>
    <w:rsid w:val="004001F8"/>
    <w:rsid w:val="00400274"/>
    <w:rsid w:val="004003A4"/>
    <w:rsid w:val="004008C4"/>
    <w:rsid w:val="004008D3"/>
    <w:rsid w:val="00400A1F"/>
    <w:rsid w:val="00400D08"/>
    <w:rsid w:val="00400EE9"/>
    <w:rsid w:val="00400F16"/>
    <w:rsid w:val="00401424"/>
    <w:rsid w:val="00401639"/>
    <w:rsid w:val="00401940"/>
    <w:rsid w:val="00401B09"/>
    <w:rsid w:val="00401BD1"/>
    <w:rsid w:val="00401C26"/>
    <w:rsid w:val="00401C27"/>
    <w:rsid w:val="00401CCB"/>
    <w:rsid w:val="00401DB9"/>
    <w:rsid w:val="00401EC6"/>
    <w:rsid w:val="00401F0B"/>
    <w:rsid w:val="00401F3C"/>
    <w:rsid w:val="0040215F"/>
    <w:rsid w:val="004021A7"/>
    <w:rsid w:val="004022B9"/>
    <w:rsid w:val="004023F5"/>
    <w:rsid w:val="00402555"/>
    <w:rsid w:val="0040268C"/>
    <w:rsid w:val="00402692"/>
    <w:rsid w:val="00402830"/>
    <w:rsid w:val="00402944"/>
    <w:rsid w:val="00402BB6"/>
    <w:rsid w:val="00402C2E"/>
    <w:rsid w:val="00402FF2"/>
    <w:rsid w:val="0040309C"/>
    <w:rsid w:val="00403136"/>
    <w:rsid w:val="004031EE"/>
    <w:rsid w:val="00403202"/>
    <w:rsid w:val="004032C5"/>
    <w:rsid w:val="0040345D"/>
    <w:rsid w:val="004034C9"/>
    <w:rsid w:val="00403BF5"/>
    <w:rsid w:val="00403CFD"/>
    <w:rsid w:val="00403EB4"/>
    <w:rsid w:val="00403EC7"/>
    <w:rsid w:val="00403F6C"/>
    <w:rsid w:val="00403F86"/>
    <w:rsid w:val="004041A8"/>
    <w:rsid w:val="004044E7"/>
    <w:rsid w:val="0040450A"/>
    <w:rsid w:val="0040461E"/>
    <w:rsid w:val="004046C6"/>
    <w:rsid w:val="004048C8"/>
    <w:rsid w:val="00404AA6"/>
    <w:rsid w:val="00404BC9"/>
    <w:rsid w:val="00404DCC"/>
    <w:rsid w:val="00404E4F"/>
    <w:rsid w:val="00404F5C"/>
    <w:rsid w:val="00404FB3"/>
    <w:rsid w:val="00405025"/>
    <w:rsid w:val="00405267"/>
    <w:rsid w:val="0040554F"/>
    <w:rsid w:val="00405673"/>
    <w:rsid w:val="0040584F"/>
    <w:rsid w:val="00405903"/>
    <w:rsid w:val="00405C4B"/>
    <w:rsid w:val="00405EEE"/>
    <w:rsid w:val="00405FB0"/>
    <w:rsid w:val="00406001"/>
    <w:rsid w:val="004061DB"/>
    <w:rsid w:val="00406450"/>
    <w:rsid w:val="00406564"/>
    <w:rsid w:val="004066FA"/>
    <w:rsid w:val="004067C9"/>
    <w:rsid w:val="004067D8"/>
    <w:rsid w:val="004068F7"/>
    <w:rsid w:val="0040697B"/>
    <w:rsid w:val="00406997"/>
    <w:rsid w:val="00406AD6"/>
    <w:rsid w:val="00406E78"/>
    <w:rsid w:val="00406F2B"/>
    <w:rsid w:val="0040710F"/>
    <w:rsid w:val="00407202"/>
    <w:rsid w:val="0040724B"/>
    <w:rsid w:val="004073B3"/>
    <w:rsid w:val="0040773C"/>
    <w:rsid w:val="00407756"/>
    <w:rsid w:val="004077E6"/>
    <w:rsid w:val="004078E0"/>
    <w:rsid w:val="00407930"/>
    <w:rsid w:val="004079E5"/>
    <w:rsid w:val="00407C2C"/>
    <w:rsid w:val="00407C84"/>
    <w:rsid w:val="00407CD0"/>
    <w:rsid w:val="00407D55"/>
    <w:rsid w:val="00410114"/>
    <w:rsid w:val="00410147"/>
    <w:rsid w:val="004103B8"/>
    <w:rsid w:val="0041046A"/>
    <w:rsid w:val="0041046F"/>
    <w:rsid w:val="004105E1"/>
    <w:rsid w:val="004107DA"/>
    <w:rsid w:val="004109E7"/>
    <w:rsid w:val="00410AB4"/>
    <w:rsid w:val="00410BAC"/>
    <w:rsid w:val="00410BC9"/>
    <w:rsid w:val="00410BCB"/>
    <w:rsid w:val="00410C83"/>
    <w:rsid w:val="00410D7B"/>
    <w:rsid w:val="00410D8D"/>
    <w:rsid w:val="00410F3D"/>
    <w:rsid w:val="00411143"/>
    <w:rsid w:val="00411180"/>
    <w:rsid w:val="00411225"/>
    <w:rsid w:val="004113A3"/>
    <w:rsid w:val="0041150E"/>
    <w:rsid w:val="004116B7"/>
    <w:rsid w:val="00411741"/>
    <w:rsid w:val="004117F1"/>
    <w:rsid w:val="00411872"/>
    <w:rsid w:val="00411A80"/>
    <w:rsid w:val="00411E19"/>
    <w:rsid w:val="00411E3E"/>
    <w:rsid w:val="0041217A"/>
    <w:rsid w:val="004121CB"/>
    <w:rsid w:val="004122E5"/>
    <w:rsid w:val="004123AC"/>
    <w:rsid w:val="00412586"/>
    <w:rsid w:val="00412656"/>
    <w:rsid w:val="00412688"/>
    <w:rsid w:val="00412AEA"/>
    <w:rsid w:val="00412B42"/>
    <w:rsid w:val="00412B8E"/>
    <w:rsid w:val="00412BC6"/>
    <w:rsid w:val="00412C3E"/>
    <w:rsid w:val="00412C5F"/>
    <w:rsid w:val="00412CDA"/>
    <w:rsid w:val="00412F75"/>
    <w:rsid w:val="00413367"/>
    <w:rsid w:val="0041365A"/>
    <w:rsid w:val="004136F9"/>
    <w:rsid w:val="00413729"/>
    <w:rsid w:val="004138BB"/>
    <w:rsid w:val="004138E7"/>
    <w:rsid w:val="00413BC6"/>
    <w:rsid w:val="00413D81"/>
    <w:rsid w:val="00413D8C"/>
    <w:rsid w:val="0041411B"/>
    <w:rsid w:val="004141CD"/>
    <w:rsid w:val="00414220"/>
    <w:rsid w:val="004143C8"/>
    <w:rsid w:val="004143E3"/>
    <w:rsid w:val="00414416"/>
    <w:rsid w:val="00414487"/>
    <w:rsid w:val="00414830"/>
    <w:rsid w:val="004148B8"/>
    <w:rsid w:val="00414BE4"/>
    <w:rsid w:val="00415020"/>
    <w:rsid w:val="00415286"/>
    <w:rsid w:val="004152C5"/>
    <w:rsid w:val="004154C3"/>
    <w:rsid w:val="004154FC"/>
    <w:rsid w:val="00415502"/>
    <w:rsid w:val="00415568"/>
    <w:rsid w:val="004155E5"/>
    <w:rsid w:val="004155E7"/>
    <w:rsid w:val="0041589B"/>
    <w:rsid w:val="00415984"/>
    <w:rsid w:val="00415AC1"/>
    <w:rsid w:val="00415FDD"/>
    <w:rsid w:val="00416139"/>
    <w:rsid w:val="0041617F"/>
    <w:rsid w:val="00416271"/>
    <w:rsid w:val="0041649A"/>
    <w:rsid w:val="004164BC"/>
    <w:rsid w:val="0041673A"/>
    <w:rsid w:val="0041682E"/>
    <w:rsid w:val="00416940"/>
    <w:rsid w:val="00416977"/>
    <w:rsid w:val="00416BD7"/>
    <w:rsid w:val="00416BE4"/>
    <w:rsid w:val="00416C07"/>
    <w:rsid w:val="00416C4C"/>
    <w:rsid w:val="004171C7"/>
    <w:rsid w:val="004171FD"/>
    <w:rsid w:val="004173B3"/>
    <w:rsid w:val="004175F6"/>
    <w:rsid w:val="00417709"/>
    <w:rsid w:val="00417BCF"/>
    <w:rsid w:val="00417C55"/>
    <w:rsid w:val="00420100"/>
    <w:rsid w:val="004202DD"/>
    <w:rsid w:val="00420815"/>
    <w:rsid w:val="004208A1"/>
    <w:rsid w:val="00420B46"/>
    <w:rsid w:val="00420E0F"/>
    <w:rsid w:val="0042122D"/>
    <w:rsid w:val="004213DB"/>
    <w:rsid w:val="004215BF"/>
    <w:rsid w:val="004215F9"/>
    <w:rsid w:val="00421703"/>
    <w:rsid w:val="004218C7"/>
    <w:rsid w:val="00421971"/>
    <w:rsid w:val="00421A39"/>
    <w:rsid w:val="00421B8E"/>
    <w:rsid w:val="00421BA0"/>
    <w:rsid w:val="00421BC5"/>
    <w:rsid w:val="00421BFA"/>
    <w:rsid w:val="00421C68"/>
    <w:rsid w:val="00421D12"/>
    <w:rsid w:val="00421D43"/>
    <w:rsid w:val="00421FBE"/>
    <w:rsid w:val="00422353"/>
    <w:rsid w:val="004224DE"/>
    <w:rsid w:val="00422519"/>
    <w:rsid w:val="00422579"/>
    <w:rsid w:val="0042260B"/>
    <w:rsid w:val="00422654"/>
    <w:rsid w:val="004228D7"/>
    <w:rsid w:val="0042295B"/>
    <w:rsid w:val="004229E3"/>
    <w:rsid w:val="00422CB1"/>
    <w:rsid w:val="00422F65"/>
    <w:rsid w:val="00423103"/>
    <w:rsid w:val="0042320D"/>
    <w:rsid w:val="004232F1"/>
    <w:rsid w:val="0042339A"/>
    <w:rsid w:val="004233EB"/>
    <w:rsid w:val="00423407"/>
    <w:rsid w:val="004234AD"/>
    <w:rsid w:val="004236A4"/>
    <w:rsid w:val="004236DB"/>
    <w:rsid w:val="004237BD"/>
    <w:rsid w:val="00423826"/>
    <w:rsid w:val="004239C7"/>
    <w:rsid w:val="004239E9"/>
    <w:rsid w:val="00423A1F"/>
    <w:rsid w:val="00423B3F"/>
    <w:rsid w:val="00423DA1"/>
    <w:rsid w:val="00423DC5"/>
    <w:rsid w:val="00423FB8"/>
    <w:rsid w:val="004240C0"/>
    <w:rsid w:val="00424217"/>
    <w:rsid w:val="00424427"/>
    <w:rsid w:val="004247DF"/>
    <w:rsid w:val="00424817"/>
    <w:rsid w:val="004248BB"/>
    <w:rsid w:val="00424A12"/>
    <w:rsid w:val="00424A78"/>
    <w:rsid w:val="00424A92"/>
    <w:rsid w:val="00424B30"/>
    <w:rsid w:val="00424B94"/>
    <w:rsid w:val="00424F82"/>
    <w:rsid w:val="00424F96"/>
    <w:rsid w:val="0042508F"/>
    <w:rsid w:val="0042518E"/>
    <w:rsid w:val="004253F8"/>
    <w:rsid w:val="004254B7"/>
    <w:rsid w:val="0042582D"/>
    <w:rsid w:val="004258F0"/>
    <w:rsid w:val="004259A6"/>
    <w:rsid w:val="00425A9E"/>
    <w:rsid w:val="00425AE3"/>
    <w:rsid w:val="00425B82"/>
    <w:rsid w:val="00425BF2"/>
    <w:rsid w:val="00425C9F"/>
    <w:rsid w:val="004260B1"/>
    <w:rsid w:val="00426547"/>
    <w:rsid w:val="004268CD"/>
    <w:rsid w:val="00426BBE"/>
    <w:rsid w:val="00426C0F"/>
    <w:rsid w:val="00426D5A"/>
    <w:rsid w:val="00426E3E"/>
    <w:rsid w:val="00426F4A"/>
    <w:rsid w:val="00427090"/>
    <w:rsid w:val="004270EC"/>
    <w:rsid w:val="004271ED"/>
    <w:rsid w:val="00427224"/>
    <w:rsid w:val="00427473"/>
    <w:rsid w:val="004276FF"/>
    <w:rsid w:val="004279AD"/>
    <w:rsid w:val="004279CC"/>
    <w:rsid w:val="00427ABC"/>
    <w:rsid w:val="00427CA6"/>
    <w:rsid w:val="00427D19"/>
    <w:rsid w:val="0043008B"/>
    <w:rsid w:val="00430150"/>
    <w:rsid w:val="00430250"/>
    <w:rsid w:val="004307A3"/>
    <w:rsid w:val="0043081C"/>
    <w:rsid w:val="0043085D"/>
    <w:rsid w:val="00430ADC"/>
    <w:rsid w:val="00430C86"/>
    <w:rsid w:val="00430CC9"/>
    <w:rsid w:val="00430D20"/>
    <w:rsid w:val="00431161"/>
    <w:rsid w:val="004314FA"/>
    <w:rsid w:val="00431600"/>
    <w:rsid w:val="0043174C"/>
    <w:rsid w:val="004319CC"/>
    <w:rsid w:val="00431A60"/>
    <w:rsid w:val="00431BBA"/>
    <w:rsid w:val="00431BC1"/>
    <w:rsid w:val="00431BFA"/>
    <w:rsid w:val="00431DEF"/>
    <w:rsid w:val="00431FF7"/>
    <w:rsid w:val="0043205F"/>
    <w:rsid w:val="00432072"/>
    <w:rsid w:val="004321E7"/>
    <w:rsid w:val="0043232A"/>
    <w:rsid w:val="00432369"/>
    <w:rsid w:val="0043243C"/>
    <w:rsid w:val="004324B9"/>
    <w:rsid w:val="00432577"/>
    <w:rsid w:val="004326A6"/>
    <w:rsid w:val="00432951"/>
    <w:rsid w:val="004334A7"/>
    <w:rsid w:val="00433558"/>
    <w:rsid w:val="0043358B"/>
    <w:rsid w:val="004335A6"/>
    <w:rsid w:val="004335C1"/>
    <w:rsid w:val="0043361B"/>
    <w:rsid w:val="004337AF"/>
    <w:rsid w:val="00433BCF"/>
    <w:rsid w:val="00433C8C"/>
    <w:rsid w:val="00433D64"/>
    <w:rsid w:val="00433DE0"/>
    <w:rsid w:val="00433E00"/>
    <w:rsid w:val="00433FC0"/>
    <w:rsid w:val="0043405A"/>
    <w:rsid w:val="004340F0"/>
    <w:rsid w:val="00434196"/>
    <w:rsid w:val="004341BF"/>
    <w:rsid w:val="004344C9"/>
    <w:rsid w:val="0043455B"/>
    <w:rsid w:val="00434589"/>
    <w:rsid w:val="0043475C"/>
    <w:rsid w:val="00434826"/>
    <w:rsid w:val="0043483A"/>
    <w:rsid w:val="004348DC"/>
    <w:rsid w:val="004349D9"/>
    <w:rsid w:val="00434AF6"/>
    <w:rsid w:val="00435227"/>
    <w:rsid w:val="0043526E"/>
    <w:rsid w:val="00435330"/>
    <w:rsid w:val="00435338"/>
    <w:rsid w:val="004354A3"/>
    <w:rsid w:val="004355F0"/>
    <w:rsid w:val="00435648"/>
    <w:rsid w:val="00435857"/>
    <w:rsid w:val="004358CE"/>
    <w:rsid w:val="004359F8"/>
    <w:rsid w:val="00435B3B"/>
    <w:rsid w:val="00435BC9"/>
    <w:rsid w:val="00435CB5"/>
    <w:rsid w:val="00435D0F"/>
    <w:rsid w:val="00435FD1"/>
    <w:rsid w:val="0043623D"/>
    <w:rsid w:val="0043632B"/>
    <w:rsid w:val="00436396"/>
    <w:rsid w:val="004364BE"/>
    <w:rsid w:val="004366D8"/>
    <w:rsid w:val="004367DD"/>
    <w:rsid w:val="0043685A"/>
    <w:rsid w:val="004369DB"/>
    <w:rsid w:val="004369F9"/>
    <w:rsid w:val="00436C49"/>
    <w:rsid w:val="00436EFE"/>
    <w:rsid w:val="00436FC8"/>
    <w:rsid w:val="0043705A"/>
    <w:rsid w:val="0043714C"/>
    <w:rsid w:val="004371FB"/>
    <w:rsid w:val="0043721A"/>
    <w:rsid w:val="004376EF"/>
    <w:rsid w:val="004376F3"/>
    <w:rsid w:val="00437B18"/>
    <w:rsid w:val="00437B61"/>
    <w:rsid w:val="00437C4F"/>
    <w:rsid w:val="00437E12"/>
    <w:rsid w:val="00437EDA"/>
    <w:rsid w:val="00440076"/>
    <w:rsid w:val="0044046F"/>
    <w:rsid w:val="00440581"/>
    <w:rsid w:val="00440646"/>
    <w:rsid w:val="00440A3E"/>
    <w:rsid w:val="00440A53"/>
    <w:rsid w:val="00440D16"/>
    <w:rsid w:val="00441124"/>
    <w:rsid w:val="00441130"/>
    <w:rsid w:val="00441528"/>
    <w:rsid w:val="004415CE"/>
    <w:rsid w:val="0044177B"/>
    <w:rsid w:val="00441967"/>
    <w:rsid w:val="004419E0"/>
    <w:rsid w:val="00441A32"/>
    <w:rsid w:val="00441E2C"/>
    <w:rsid w:val="00441EE9"/>
    <w:rsid w:val="00442228"/>
    <w:rsid w:val="004422DA"/>
    <w:rsid w:val="004425DE"/>
    <w:rsid w:val="00442747"/>
    <w:rsid w:val="00442787"/>
    <w:rsid w:val="004429F7"/>
    <w:rsid w:val="00442D85"/>
    <w:rsid w:val="00442DC6"/>
    <w:rsid w:val="00442EFA"/>
    <w:rsid w:val="00442F99"/>
    <w:rsid w:val="00443182"/>
    <w:rsid w:val="0044322A"/>
    <w:rsid w:val="00443305"/>
    <w:rsid w:val="00443440"/>
    <w:rsid w:val="004434C6"/>
    <w:rsid w:val="004435DA"/>
    <w:rsid w:val="00443AF9"/>
    <w:rsid w:val="00443B07"/>
    <w:rsid w:val="00443D40"/>
    <w:rsid w:val="00443DD8"/>
    <w:rsid w:val="00443DE7"/>
    <w:rsid w:val="00443F52"/>
    <w:rsid w:val="004444A3"/>
    <w:rsid w:val="004445B9"/>
    <w:rsid w:val="0044490D"/>
    <w:rsid w:val="0044493E"/>
    <w:rsid w:val="00444995"/>
    <w:rsid w:val="00444C14"/>
    <w:rsid w:val="00444CD2"/>
    <w:rsid w:val="00444D0C"/>
    <w:rsid w:val="00444DDA"/>
    <w:rsid w:val="00444F65"/>
    <w:rsid w:val="00445528"/>
    <w:rsid w:val="0044553D"/>
    <w:rsid w:val="00445663"/>
    <w:rsid w:val="0044596C"/>
    <w:rsid w:val="004459FE"/>
    <w:rsid w:val="00445A1F"/>
    <w:rsid w:val="00445B21"/>
    <w:rsid w:val="00445DA2"/>
    <w:rsid w:val="00445EFC"/>
    <w:rsid w:val="00445F59"/>
    <w:rsid w:val="0044622E"/>
    <w:rsid w:val="004462E9"/>
    <w:rsid w:val="00446437"/>
    <w:rsid w:val="004464B5"/>
    <w:rsid w:val="0044658C"/>
    <w:rsid w:val="004467BF"/>
    <w:rsid w:val="00446855"/>
    <w:rsid w:val="00446888"/>
    <w:rsid w:val="00446C30"/>
    <w:rsid w:val="00446F8F"/>
    <w:rsid w:val="00446FE4"/>
    <w:rsid w:val="0044703E"/>
    <w:rsid w:val="0044704E"/>
    <w:rsid w:val="004472AC"/>
    <w:rsid w:val="004474A2"/>
    <w:rsid w:val="00447580"/>
    <w:rsid w:val="0044769F"/>
    <w:rsid w:val="00447708"/>
    <w:rsid w:val="004478B7"/>
    <w:rsid w:val="00447A2D"/>
    <w:rsid w:val="00447A53"/>
    <w:rsid w:val="00447CC9"/>
    <w:rsid w:val="00447CCF"/>
    <w:rsid w:val="00447DA5"/>
    <w:rsid w:val="00447F9F"/>
    <w:rsid w:val="00450056"/>
    <w:rsid w:val="004500D8"/>
    <w:rsid w:val="00450240"/>
    <w:rsid w:val="004504E5"/>
    <w:rsid w:val="00450511"/>
    <w:rsid w:val="00450788"/>
    <w:rsid w:val="00450929"/>
    <w:rsid w:val="00450998"/>
    <w:rsid w:val="004509D7"/>
    <w:rsid w:val="00450A8D"/>
    <w:rsid w:val="00450C1E"/>
    <w:rsid w:val="00450D34"/>
    <w:rsid w:val="00450E0B"/>
    <w:rsid w:val="00451735"/>
    <w:rsid w:val="004517CD"/>
    <w:rsid w:val="004517E6"/>
    <w:rsid w:val="00451845"/>
    <w:rsid w:val="00451A3F"/>
    <w:rsid w:val="00451A60"/>
    <w:rsid w:val="00451DBB"/>
    <w:rsid w:val="00451DF8"/>
    <w:rsid w:val="00451FB8"/>
    <w:rsid w:val="00451FCE"/>
    <w:rsid w:val="00452304"/>
    <w:rsid w:val="0045247D"/>
    <w:rsid w:val="00452550"/>
    <w:rsid w:val="004525B5"/>
    <w:rsid w:val="004526DC"/>
    <w:rsid w:val="00452A7D"/>
    <w:rsid w:val="00452B1A"/>
    <w:rsid w:val="00452E97"/>
    <w:rsid w:val="00452F41"/>
    <w:rsid w:val="00452F96"/>
    <w:rsid w:val="00453042"/>
    <w:rsid w:val="0045327F"/>
    <w:rsid w:val="0045332B"/>
    <w:rsid w:val="0045339D"/>
    <w:rsid w:val="004533F9"/>
    <w:rsid w:val="0045369B"/>
    <w:rsid w:val="004536E6"/>
    <w:rsid w:val="004536F9"/>
    <w:rsid w:val="0045381B"/>
    <w:rsid w:val="00453882"/>
    <w:rsid w:val="004538FD"/>
    <w:rsid w:val="00453C2E"/>
    <w:rsid w:val="00453CDC"/>
    <w:rsid w:val="00453D17"/>
    <w:rsid w:val="00453EDB"/>
    <w:rsid w:val="00453F47"/>
    <w:rsid w:val="00453FE0"/>
    <w:rsid w:val="004541B6"/>
    <w:rsid w:val="0045430E"/>
    <w:rsid w:val="004543C8"/>
    <w:rsid w:val="0045442F"/>
    <w:rsid w:val="00454437"/>
    <w:rsid w:val="00454498"/>
    <w:rsid w:val="004545AC"/>
    <w:rsid w:val="0045465D"/>
    <w:rsid w:val="0045482D"/>
    <w:rsid w:val="004548F9"/>
    <w:rsid w:val="00454A65"/>
    <w:rsid w:val="00454B95"/>
    <w:rsid w:val="00454CEC"/>
    <w:rsid w:val="00455307"/>
    <w:rsid w:val="004553BA"/>
    <w:rsid w:val="00455471"/>
    <w:rsid w:val="004556A3"/>
    <w:rsid w:val="00455780"/>
    <w:rsid w:val="0045585A"/>
    <w:rsid w:val="00455999"/>
    <w:rsid w:val="00455B80"/>
    <w:rsid w:val="00455E94"/>
    <w:rsid w:val="0045602B"/>
    <w:rsid w:val="0045606A"/>
    <w:rsid w:val="004560DC"/>
    <w:rsid w:val="00456352"/>
    <w:rsid w:val="00456621"/>
    <w:rsid w:val="0045664F"/>
    <w:rsid w:val="0045698B"/>
    <w:rsid w:val="004569A8"/>
    <w:rsid w:val="004569E9"/>
    <w:rsid w:val="00456AF2"/>
    <w:rsid w:val="00456DAD"/>
    <w:rsid w:val="00456DFD"/>
    <w:rsid w:val="004570FF"/>
    <w:rsid w:val="004571B5"/>
    <w:rsid w:val="0045727C"/>
    <w:rsid w:val="00457407"/>
    <w:rsid w:val="004574A9"/>
    <w:rsid w:val="004575C5"/>
    <w:rsid w:val="0045764C"/>
    <w:rsid w:val="00457791"/>
    <w:rsid w:val="004578E2"/>
    <w:rsid w:val="00457988"/>
    <w:rsid w:val="00457A05"/>
    <w:rsid w:val="00457A96"/>
    <w:rsid w:val="00457AAC"/>
    <w:rsid w:val="00457CD2"/>
    <w:rsid w:val="00457E96"/>
    <w:rsid w:val="00457F53"/>
    <w:rsid w:val="00460069"/>
    <w:rsid w:val="00460079"/>
    <w:rsid w:val="0046007E"/>
    <w:rsid w:val="00460099"/>
    <w:rsid w:val="00460269"/>
    <w:rsid w:val="004602D9"/>
    <w:rsid w:val="0046041A"/>
    <w:rsid w:val="00460609"/>
    <w:rsid w:val="00460745"/>
    <w:rsid w:val="004607D4"/>
    <w:rsid w:val="0046081C"/>
    <w:rsid w:val="004608E3"/>
    <w:rsid w:val="004608F5"/>
    <w:rsid w:val="004609B2"/>
    <w:rsid w:val="00460D04"/>
    <w:rsid w:val="004610CE"/>
    <w:rsid w:val="004611C8"/>
    <w:rsid w:val="0046149A"/>
    <w:rsid w:val="004617C2"/>
    <w:rsid w:val="00461B84"/>
    <w:rsid w:val="00461CC0"/>
    <w:rsid w:val="00461D15"/>
    <w:rsid w:val="00461F70"/>
    <w:rsid w:val="00461FA0"/>
    <w:rsid w:val="004620D1"/>
    <w:rsid w:val="00462271"/>
    <w:rsid w:val="00462315"/>
    <w:rsid w:val="00462454"/>
    <w:rsid w:val="0046246F"/>
    <w:rsid w:val="004624DB"/>
    <w:rsid w:val="004626F4"/>
    <w:rsid w:val="0046283D"/>
    <w:rsid w:val="004628FA"/>
    <w:rsid w:val="00462D33"/>
    <w:rsid w:val="00462D64"/>
    <w:rsid w:val="00462EE1"/>
    <w:rsid w:val="00462F52"/>
    <w:rsid w:val="004632F1"/>
    <w:rsid w:val="00463302"/>
    <w:rsid w:val="0046338C"/>
    <w:rsid w:val="00463405"/>
    <w:rsid w:val="00463428"/>
    <w:rsid w:val="004635FD"/>
    <w:rsid w:val="00463669"/>
    <w:rsid w:val="004636FD"/>
    <w:rsid w:val="004637E6"/>
    <w:rsid w:val="0046399A"/>
    <w:rsid w:val="00463B07"/>
    <w:rsid w:val="00463C14"/>
    <w:rsid w:val="00463D58"/>
    <w:rsid w:val="00463E8F"/>
    <w:rsid w:val="00463FDB"/>
    <w:rsid w:val="0046409B"/>
    <w:rsid w:val="004640C2"/>
    <w:rsid w:val="004641CA"/>
    <w:rsid w:val="0046420F"/>
    <w:rsid w:val="004643AC"/>
    <w:rsid w:val="004643AF"/>
    <w:rsid w:val="0046449C"/>
    <w:rsid w:val="00464673"/>
    <w:rsid w:val="00464ADB"/>
    <w:rsid w:val="00464B23"/>
    <w:rsid w:val="00464C23"/>
    <w:rsid w:val="00464CA7"/>
    <w:rsid w:val="00464D31"/>
    <w:rsid w:val="00464F0B"/>
    <w:rsid w:val="00465190"/>
    <w:rsid w:val="00465313"/>
    <w:rsid w:val="00465704"/>
    <w:rsid w:val="00465906"/>
    <w:rsid w:val="00465B06"/>
    <w:rsid w:val="00465B82"/>
    <w:rsid w:val="00465F0D"/>
    <w:rsid w:val="00466063"/>
    <w:rsid w:val="00466298"/>
    <w:rsid w:val="0046642A"/>
    <w:rsid w:val="0046669B"/>
    <w:rsid w:val="0046671A"/>
    <w:rsid w:val="0046677F"/>
    <w:rsid w:val="00466ABF"/>
    <w:rsid w:val="00466B3A"/>
    <w:rsid w:val="00466CC5"/>
    <w:rsid w:val="00466E55"/>
    <w:rsid w:val="00466E61"/>
    <w:rsid w:val="00467031"/>
    <w:rsid w:val="00467144"/>
    <w:rsid w:val="004671EF"/>
    <w:rsid w:val="00467237"/>
    <w:rsid w:val="00467346"/>
    <w:rsid w:val="004673FD"/>
    <w:rsid w:val="004674B9"/>
    <w:rsid w:val="00467651"/>
    <w:rsid w:val="00467E11"/>
    <w:rsid w:val="00467F65"/>
    <w:rsid w:val="004700CB"/>
    <w:rsid w:val="00470349"/>
    <w:rsid w:val="00470488"/>
    <w:rsid w:val="004704B5"/>
    <w:rsid w:val="00470657"/>
    <w:rsid w:val="00470736"/>
    <w:rsid w:val="00470ABD"/>
    <w:rsid w:val="00470B3F"/>
    <w:rsid w:val="00470C89"/>
    <w:rsid w:val="00470E0C"/>
    <w:rsid w:val="00470E38"/>
    <w:rsid w:val="00470F75"/>
    <w:rsid w:val="00470F85"/>
    <w:rsid w:val="0047108D"/>
    <w:rsid w:val="00471166"/>
    <w:rsid w:val="00471298"/>
    <w:rsid w:val="0047138A"/>
    <w:rsid w:val="00471AB2"/>
    <w:rsid w:val="00471B35"/>
    <w:rsid w:val="00471D27"/>
    <w:rsid w:val="00471E77"/>
    <w:rsid w:val="0047212B"/>
    <w:rsid w:val="004723DC"/>
    <w:rsid w:val="004723F2"/>
    <w:rsid w:val="004724FD"/>
    <w:rsid w:val="004725C5"/>
    <w:rsid w:val="004726A7"/>
    <w:rsid w:val="00472A70"/>
    <w:rsid w:val="00472BA0"/>
    <w:rsid w:val="00472E58"/>
    <w:rsid w:val="00472E9D"/>
    <w:rsid w:val="004730D1"/>
    <w:rsid w:val="00473114"/>
    <w:rsid w:val="004731B3"/>
    <w:rsid w:val="00473392"/>
    <w:rsid w:val="004734B5"/>
    <w:rsid w:val="00473A2B"/>
    <w:rsid w:val="00473BCD"/>
    <w:rsid w:val="00473CE0"/>
    <w:rsid w:val="00473E2D"/>
    <w:rsid w:val="00474548"/>
    <w:rsid w:val="004747EB"/>
    <w:rsid w:val="004748C8"/>
    <w:rsid w:val="004748E4"/>
    <w:rsid w:val="004749EE"/>
    <w:rsid w:val="00474BD4"/>
    <w:rsid w:val="00474DFD"/>
    <w:rsid w:val="00474E52"/>
    <w:rsid w:val="00474F8F"/>
    <w:rsid w:val="00475141"/>
    <w:rsid w:val="0047520A"/>
    <w:rsid w:val="004753EF"/>
    <w:rsid w:val="0047544C"/>
    <w:rsid w:val="0047548C"/>
    <w:rsid w:val="004754CA"/>
    <w:rsid w:val="00475614"/>
    <w:rsid w:val="004757BB"/>
    <w:rsid w:val="00475830"/>
    <w:rsid w:val="00475A1C"/>
    <w:rsid w:val="00475D54"/>
    <w:rsid w:val="00475E3D"/>
    <w:rsid w:val="00475F00"/>
    <w:rsid w:val="00476076"/>
    <w:rsid w:val="004760D3"/>
    <w:rsid w:val="004762A9"/>
    <w:rsid w:val="0047636B"/>
    <w:rsid w:val="0047640A"/>
    <w:rsid w:val="00476553"/>
    <w:rsid w:val="004765A3"/>
    <w:rsid w:val="00476690"/>
    <w:rsid w:val="0047677D"/>
    <w:rsid w:val="0047686C"/>
    <w:rsid w:val="00476BE3"/>
    <w:rsid w:val="00476EB8"/>
    <w:rsid w:val="0047708A"/>
    <w:rsid w:val="00477419"/>
    <w:rsid w:val="004774A3"/>
    <w:rsid w:val="004775AE"/>
    <w:rsid w:val="00477677"/>
    <w:rsid w:val="0047777A"/>
    <w:rsid w:val="004778D1"/>
    <w:rsid w:val="00477A2C"/>
    <w:rsid w:val="00477B9E"/>
    <w:rsid w:val="00477C21"/>
    <w:rsid w:val="00477C2B"/>
    <w:rsid w:val="00477CAD"/>
    <w:rsid w:val="00477D3C"/>
    <w:rsid w:val="00477DDD"/>
    <w:rsid w:val="00480069"/>
    <w:rsid w:val="00480336"/>
    <w:rsid w:val="00480380"/>
    <w:rsid w:val="0048038D"/>
    <w:rsid w:val="0048048C"/>
    <w:rsid w:val="0048057F"/>
    <w:rsid w:val="004805D3"/>
    <w:rsid w:val="00480751"/>
    <w:rsid w:val="00480ACF"/>
    <w:rsid w:val="00480D12"/>
    <w:rsid w:val="00480D8E"/>
    <w:rsid w:val="00481098"/>
    <w:rsid w:val="004810A9"/>
    <w:rsid w:val="00481222"/>
    <w:rsid w:val="004813FE"/>
    <w:rsid w:val="004814F1"/>
    <w:rsid w:val="004814FF"/>
    <w:rsid w:val="00481561"/>
    <w:rsid w:val="0048165D"/>
    <w:rsid w:val="00481942"/>
    <w:rsid w:val="00481E51"/>
    <w:rsid w:val="00481F91"/>
    <w:rsid w:val="0048234C"/>
    <w:rsid w:val="00482454"/>
    <w:rsid w:val="0048245E"/>
    <w:rsid w:val="00482472"/>
    <w:rsid w:val="004824CD"/>
    <w:rsid w:val="0048251D"/>
    <w:rsid w:val="0048279E"/>
    <w:rsid w:val="004827E0"/>
    <w:rsid w:val="004828D5"/>
    <w:rsid w:val="00482A81"/>
    <w:rsid w:val="00482F70"/>
    <w:rsid w:val="00483143"/>
    <w:rsid w:val="0048373B"/>
    <w:rsid w:val="00483928"/>
    <w:rsid w:val="0048399A"/>
    <w:rsid w:val="00483A27"/>
    <w:rsid w:val="00483A8E"/>
    <w:rsid w:val="00483C46"/>
    <w:rsid w:val="00483C82"/>
    <w:rsid w:val="00483CEF"/>
    <w:rsid w:val="00483D6C"/>
    <w:rsid w:val="00483E2D"/>
    <w:rsid w:val="00483F19"/>
    <w:rsid w:val="004842B0"/>
    <w:rsid w:val="00484356"/>
    <w:rsid w:val="004844DB"/>
    <w:rsid w:val="004844FE"/>
    <w:rsid w:val="00484707"/>
    <w:rsid w:val="00484721"/>
    <w:rsid w:val="004849D5"/>
    <w:rsid w:val="00484A29"/>
    <w:rsid w:val="00484A45"/>
    <w:rsid w:val="00484BF6"/>
    <w:rsid w:val="00484D45"/>
    <w:rsid w:val="00484E8D"/>
    <w:rsid w:val="00484EAB"/>
    <w:rsid w:val="004850B0"/>
    <w:rsid w:val="004851C9"/>
    <w:rsid w:val="00485776"/>
    <w:rsid w:val="00485862"/>
    <w:rsid w:val="00485904"/>
    <w:rsid w:val="00485996"/>
    <w:rsid w:val="00485C19"/>
    <w:rsid w:val="00485D99"/>
    <w:rsid w:val="00485FD5"/>
    <w:rsid w:val="004860EE"/>
    <w:rsid w:val="004862C5"/>
    <w:rsid w:val="004863D6"/>
    <w:rsid w:val="00486496"/>
    <w:rsid w:val="0048666D"/>
    <w:rsid w:val="00486777"/>
    <w:rsid w:val="004869AA"/>
    <w:rsid w:val="00486A56"/>
    <w:rsid w:val="00486D68"/>
    <w:rsid w:val="00486D85"/>
    <w:rsid w:val="004870E1"/>
    <w:rsid w:val="004870F8"/>
    <w:rsid w:val="00487140"/>
    <w:rsid w:val="00487496"/>
    <w:rsid w:val="004874AF"/>
    <w:rsid w:val="00487614"/>
    <w:rsid w:val="004876B3"/>
    <w:rsid w:val="00487751"/>
    <w:rsid w:val="0048787F"/>
    <w:rsid w:val="004878AB"/>
    <w:rsid w:val="00487FBE"/>
    <w:rsid w:val="0049001D"/>
    <w:rsid w:val="004900CA"/>
    <w:rsid w:val="004902EC"/>
    <w:rsid w:val="004903E1"/>
    <w:rsid w:val="00490491"/>
    <w:rsid w:val="004905C2"/>
    <w:rsid w:val="0049061D"/>
    <w:rsid w:val="0049073F"/>
    <w:rsid w:val="00490AD2"/>
    <w:rsid w:val="00490ADF"/>
    <w:rsid w:val="00490BDC"/>
    <w:rsid w:val="00490D4E"/>
    <w:rsid w:val="00490D58"/>
    <w:rsid w:val="00490ECA"/>
    <w:rsid w:val="00491074"/>
    <w:rsid w:val="004912BF"/>
    <w:rsid w:val="00491416"/>
    <w:rsid w:val="004914E6"/>
    <w:rsid w:val="004915A7"/>
    <w:rsid w:val="0049162F"/>
    <w:rsid w:val="0049168C"/>
    <w:rsid w:val="004917DF"/>
    <w:rsid w:val="004919E5"/>
    <w:rsid w:val="00491AC7"/>
    <w:rsid w:val="00491B42"/>
    <w:rsid w:val="00491C32"/>
    <w:rsid w:val="00491C74"/>
    <w:rsid w:val="00491C78"/>
    <w:rsid w:val="00491DFA"/>
    <w:rsid w:val="004920AF"/>
    <w:rsid w:val="00492175"/>
    <w:rsid w:val="0049219B"/>
    <w:rsid w:val="004921EA"/>
    <w:rsid w:val="00492251"/>
    <w:rsid w:val="0049256A"/>
    <w:rsid w:val="004926AB"/>
    <w:rsid w:val="0049284D"/>
    <w:rsid w:val="00492888"/>
    <w:rsid w:val="004928F5"/>
    <w:rsid w:val="00492CAB"/>
    <w:rsid w:val="00492EFE"/>
    <w:rsid w:val="00492FF3"/>
    <w:rsid w:val="00493167"/>
    <w:rsid w:val="004931C6"/>
    <w:rsid w:val="00493219"/>
    <w:rsid w:val="00493742"/>
    <w:rsid w:val="00493931"/>
    <w:rsid w:val="00493BE6"/>
    <w:rsid w:val="00493BF8"/>
    <w:rsid w:val="00493C3D"/>
    <w:rsid w:val="00493D30"/>
    <w:rsid w:val="00493FAA"/>
    <w:rsid w:val="00493FD1"/>
    <w:rsid w:val="00494032"/>
    <w:rsid w:val="00494256"/>
    <w:rsid w:val="004942A7"/>
    <w:rsid w:val="00494320"/>
    <w:rsid w:val="004944FE"/>
    <w:rsid w:val="00494513"/>
    <w:rsid w:val="0049453A"/>
    <w:rsid w:val="00494540"/>
    <w:rsid w:val="00494778"/>
    <w:rsid w:val="004949A1"/>
    <w:rsid w:val="004949AE"/>
    <w:rsid w:val="00494A3B"/>
    <w:rsid w:val="00494B1F"/>
    <w:rsid w:val="00494B4C"/>
    <w:rsid w:val="00494D40"/>
    <w:rsid w:val="00494D5E"/>
    <w:rsid w:val="00495010"/>
    <w:rsid w:val="0049546A"/>
    <w:rsid w:val="00495509"/>
    <w:rsid w:val="0049550C"/>
    <w:rsid w:val="00495536"/>
    <w:rsid w:val="00495689"/>
    <w:rsid w:val="004956FD"/>
    <w:rsid w:val="0049580B"/>
    <w:rsid w:val="0049583C"/>
    <w:rsid w:val="0049587C"/>
    <w:rsid w:val="00495BEA"/>
    <w:rsid w:val="00495DB4"/>
    <w:rsid w:val="00495F1F"/>
    <w:rsid w:val="0049618A"/>
    <w:rsid w:val="00496194"/>
    <w:rsid w:val="00496201"/>
    <w:rsid w:val="00496207"/>
    <w:rsid w:val="00496463"/>
    <w:rsid w:val="004964AA"/>
    <w:rsid w:val="004966D8"/>
    <w:rsid w:val="00496794"/>
    <w:rsid w:val="00496B34"/>
    <w:rsid w:val="00496B44"/>
    <w:rsid w:val="00496B5B"/>
    <w:rsid w:val="00496BC7"/>
    <w:rsid w:val="00497191"/>
    <w:rsid w:val="00497797"/>
    <w:rsid w:val="00497A51"/>
    <w:rsid w:val="00497BC6"/>
    <w:rsid w:val="00497C31"/>
    <w:rsid w:val="00497F94"/>
    <w:rsid w:val="004A045B"/>
    <w:rsid w:val="004A0593"/>
    <w:rsid w:val="004A061E"/>
    <w:rsid w:val="004A074A"/>
    <w:rsid w:val="004A080B"/>
    <w:rsid w:val="004A082E"/>
    <w:rsid w:val="004A086C"/>
    <w:rsid w:val="004A0CA9"/>
    <w:rsid w:val="004A0D01"/>
    <w:rsid w:val="004A0D97"/>
    <w:rsid w:val="004A0FC7"/>
    <w:rsid w:val="004A1217"/>
    <w:rsid w:val="004A1393"/>
    <w:rsid w:val="004A160B"/>
    <w:rsid w:val="004A1635"/>
    <w:rsid w:val="004A1671"/>
    <w:rsid w:val="004A169D"/>
    <w:rsid w:val="004A16F0"/>
    <w:rsid w:val="004A1B25"/>
    <w:rsid w:val="004A1B65"/>
    <w:rsid w:val="004A1BD2"/>
    <w:rsid w:val="004A1DF6"/>
    <w:rsid w:val="004A1F19"/>
    <w:rsid w:val="004A1FDC"/>
    <w:rsid w:val="004A200B"/>
    <w:rsid w:val="004A210D"/>
    <w:rsid w:val="004A2119"/>
    <w:rsid w:val="004A211B"/>
    <w:rsid w:val="004A225A"/>
    <w:rsid w:val="004A2276"/>
    <w:rsid w:val="004A2281"/>
    <w:rsid w:val="004A2628"/>
    <w:rsid w:val="004A2789"/>
    <w:rsid w:val="004A2810"/>
    <w:rsid w:val="004A2E7E"/>
    <w:rsid w:val="004A2EC2"/>
    <w:rsid w:val="004A2FC9"/>
    <w:rsid w:val="004A31A2"/>
    <w:rsid w:val="004A3350"/>
    <w:rsid w:val="004A34D6"/>
    <w:rsid w:val="004A34DA"/>
    <w:rsid w:val="004A3517"/>
    <w:rsid w:val="004A3627"/>
    <w:rsid w:val="004A383A"/>
    <w:rsid w:val="004A389C"/>
    <w:rsid w:val="004A3971"/>
    <w:rsid w:val="004A3A83"/>
    <w:rsid w:val="004A3C6F"/>
    <w:rsid w:val="004A3C7C"/>
    <w:rsid w:val="004A3E19"/>
    <w:rsid w:val="004A3F22"/>
    <w:rsid w:val="004A40BD"/>
    <w:rsid w:val="004A41E2"/>
    <w:rsid w:val="004A423E"/>
    <w:rsid w:val="004A4636"/>
    <w:rsid w:val="004A4723"/>
    <w:rsid w:val="004A47BB"/>
    <w:rsid w:val="004A4918"/>
    <w:rsid w:val="004A493F"/>
    <w:rsid w:val="004A4B19"/>
    <w:rsid w:val="004A4B2F"/>
    <w:rsid w:val="004A4BAB"/>
    <w:rsid w:val="004A4CB9"/>
    <w:rsid w:val="004A4CDF"/>
    <w:rsid w:val="004A504E"/>
    <w:rsid w:val="004A53C6"/>
    <w:rsid w:val="004A5414"/>
    <w:rsid w:val="004A5550"/>
    <w:rsid w:val="004A5576"/>
    <w:rsid w:val="004A5613"/>
    <w:rsid w:val="004A5842"/>
    <w:rsid w:val="004A5860"/>
    <w:rsid w:val="004A5879"/>
    <w:rsid w:val="004A58F4"/>
    <w:rsid w:val="004A5A84"/>
    <w:rsid w:val="004A5AF6"/>
    <w:rsid w:val="004A5C97"/>
    <w:rsid w:val="004A5EDF"/>
    <w:rsid w:val="004A5F7B"/>
    <w:rsid w:val="004A6138"/>
    <w:rsid w:val="004A61A3"/>
    <w:rsid w:val="004A6340"/>
    <w:rsid w:val="004A6436"/>
    <w:rsid w:val="004A6463"/>
    <w:rsid w:val="004A64F1"/>
    <w:rsid w:val="004A6590"/>
    <w:rsid w:val="004A66D1"/>
    <w:rsid w:val="004A6A66"/>
    <w:rsid w:val="004A6D8B"/>
    <w:rsid w:val="004A6DB0"/>
    <w:rsid w:val="004A7007"/>
    <w:rsid w:val="004A70FC"/>
    <w:rsid w:val="004A715C"/>
    <w:rsid w:val="004A72FD"/>
    <w:rsid w:val="004A7400"/>
    <w:rsid w:val="004A7401"/>
    <w:rsid w:val="004A74FF"/>
    <w:rsid w:val="004A77F0"/>
    <w:rsid w:val="004A790F"/>
    <w:rsid w:val="004A7BEB"/>
    <w:rsid w:val="004A7CCC"/>
    <w:rsid w:val="004A7D5B"/>
    <w:rsid w:val="004A7F4B"/>
    <w:rsid w:val="004A7FF1"/>
    <w:rsid w:val="004B0080"/>
    <w:rsid w:val="004B0596"/>
    <w:rsid w:val="004B0811"/>
    <w:rsid w:val="004B0910"/>
    <w:rsid w:val="004B0998"/>
    <w:rsid w:val="004B0B1A"/>
    <w:rsid w:val="004B0D63"/>
    <w:rsid w:val="004B0E65"/>
    <w:rsid w:val="004B0FC4"/>
    <w:rsid w:val="004B1273"/>
    <w:rsid w:val="004B134B"/>
    <w:rsid w:val="004B151B"/>
    <w:rsid w:val="004B1767"/>
    <w:rsid w:val="004B19D7"/>
    <w:rsid w:val="004B1AA1"/>
    <w:rsid w:val="004B1F3F"/>
    <w:rsid w:val="004B1FAA"/>
    <w:rsid w:val="004B1FF4"/>
    <w:rsid w:val="004B2235"/>
    <w:rsid w:val="004B2267"/>
    <w:rsid w:val="004B2332"/>
    <w:rsid w:val="004B2373"/>
    <w:rsid w:val="004B23C1"/>
    <w:rsid w:val="004B253A"/>
    <w:rsid w:val="004B25A4"/>
    <w:rsid w:val="004B260D"/>
    <w:rsid w:val="004B2612"/>
    <w:rsid w:val="004B2716"/>
    <w:rsid w:val="004B274C"/>
    <w:rsid w:val="004B2946"/>
    <w:rsid w:val="004B2A4B"/>
    <w:rsid w:val="004B2D4A"/>
    <w:rsid w:val="004B2F37"/>
    <w:rsid w:val="004B2F71"/>
    <w:rsid w:val="004B2F83"/>
    <w:rsid w:val="004B2F8E"/>
    <w:rsid w:val="004B2FB2"/>
    <w:rsid w:val="004B3292"/>
    <w:rsid w:val="004B3751"/>
    <w:rsid w:val="004B3766"/>
    <w:rsid w:val="004B386F"/>
    <w:rsid w:val="004B3919"/>
    <w:rsid w:val="004B3984"/>
    <w:rsid w:val="004B3AF1"/>
    <w:rsid w:val="004B3B09"/>
    <w:rsid w:val="004B3D30"/>
    <w:rsid w:val="004B3F10"/>
    <w:rsid w:val="004B3F39"/>
    <w:rsid w:val="004B40BC"/>
    <w:rsid w:val="004B4423"/>
    <w:rsid w:val="004B450D"/>
    <w:rsid w:val="004B46D7"/>
    <w:rsid w:val="004B47AE"/>
    <w:rsid w:val="004B4AEF"/>
    <w:rsid w:val="004B4CE9"/>
    <w:rsid w:val="004B4FB7"/>
    <w:rsid w:val="004B5220"/>
    <w:rsid w:val="004B52FB"/>
    <w:rsid w:val="004B53E6"/>
    <w:rsid w:val="004B54DB"/>
    <w:rsid w:val="004B5512"/>
    <w:rsid w:val="004B5B3C"/>
    <w:rsid w:val="004B5BD2"/>
    <w:rsid w:val="004B5C54"/>
    <w:rsid w:val="004B5C64"/>
    <w:rsid w:val="004B5C84"/>
    <w:rsid w:val="004B5CBC"/>
    <w:rsid w:val="004B5D54"/>
    <w:rsid w:val="004B5D95"/>
    <w:rsid w:val="004B5EF7"/>
    <w:rsid w:val="004B5F81"/>
    <w:rsid w:val="004B5F8C"/>
    <w:rsid w:val="004B6020"/>
    <w:rsid w:val="004B609E"/>
    <w:rsid w:val="004B60F8"/>
    <w:rsid w:val="004B6111"/>
    <w:rsid w:val="004B6392"/>
    <w:rsid w:val="004B6462"/>
    <w:rsid w:val="004B648C"/>
    <w:rsid w:val="004B6516"/>
    <w:rsid w:val="004B680E"/>
    <w:rsid w:val="004B6963"/>
    <w:rsid w:val="004B6A1B"/>
    <w:rsid w:val="004B6E79"/>
    <w:rsid w:val="004B6FE6"/>
    <w:rsid w:val="004B7074"/>
    <w:rsid w:val="004B710B"/>
    <w:rsid w:val="004B7129"/>
    <w:rsid w:val="004B7412"/>
    <w:rsid w:val="004B742F"/>
    <w:rsid w:val="004B7494"/>
    <w:rsid w:val="004B760A"/>
    <w:rsid w:val="004B77A0"/>
    <w:rsid w:val="004B782D"/>
    <w:rsid w:val="004C005C"/>
    <w:rsid w:val="004C025E"/>
    <w:rsid w:val="004C0782"/>
    <w:rsid w:val="004C07F1"/>
    <w:rsid w:val="004C0A45"/>
    <w:rsid w:val="004C0B75"/>
    <w:rsid w:val="004C0D1A"/>
    <w:rsid w:val="004C0E54"/>
    <w:rsid w:val="004C1004"/>
    <w:rsid w:val="004C1267"/>
    <w:rsid w:val="004C13C5"/>
    <w:rsid w:val="004C1417"/>
    <w:rsid w:val="004C1B83"/>
    <w:rsid w:val="004C1E7E"/>
    <w:rsid w:val="004C1EFE"/>
    <w:rsid w:val="004C2094"/>
    <w:rsid w:val="004C2187"/>
    <w:rsid w:val="004C229F"/>
    <w:rsid w:val="004C22B2"/>
    <w:rsid w:val="004C265C"/>
    <w:rsid w:val="004C2686"/>
    <w:rsid w:val="004C26E0"/>
    <w:rsid w:val="004C271F"/>
    <w:rsid w:val="004C2735"/>
    <w:rsid w:val="004C27F3"/>
    <w:rsid w:val="004C2BC7"/>
    <w:rsid w:val="004C2C95"/>
    <w:rsid w:val="004C2EF7"/>
    <w:rsid w:val="004C3286"/>
    <w:rsid w:val="004C336E"/>
    <w:rsid w:val="004C3588"/>
    <w:rsid w:val="004C3612"/>
    <w:rsid w:val="004C3859"/>
    <w:rsid w:val="004C3875"/>
    <w:rsid w:val="004C3FB0"/>
    <w:rsid w:val="004C4132"/>
    <w:rsid w:val="004C419A"/>
    <w:rsid w:val="004C43E0"/>
    <w:rsid w:val="004C4531"/>
    <w:rsid w:val="004C47B9"/>
    <w:rsid w:val="004C49F6"/>
    <w:rsid w:val="004C4A00"/>
    <w:rsid w:val="004C4A9A"/>
    <w:rsid w:val="004C4AE8"/>
    <w:rsid w:val="004C4B08"/>
    <w:rsid w:val="004C4B9D"/>
    <w:rsid w:val="004C4BA1"/>
    <w:rsid w:val="004C4CD5"/>
    <w:rsid w:val="004C4DE8"/>
    <w:rsid w:val="004C4E1F"/>
    <w:rsid w:val="004C4ED2"/>
    <w:rsid w:val="004C4F06"/>
    <w:rsid w:val="004C5000"/>
    <w:rsid w:val="004C51B3"/>
    <w:rsid w:val="004C5286"/>
    <w:rsid w:val="004C531C"/>
    <w:rsid w:val="004C54D0"/>
    <w:rsid w:val="004C5623"/>
    <w:rsid w:val="004C5919"/>
    <w:rsid w:val="004C59E1"/>
    <w:rsid w:val="004C5C44"/>
    <w:rsid w:val="004C5CB5"/>
    <w:rsid w:val="004C5CF2"/>
    <w:rsid w:val="004C5E6F"/>
    <w:rsid w:val="004C5E80"/>
    <w:rsid w:val="004C5FCE"/>
    <w:rsid w:val="004C6055"/>
    <w:rsid w:val="004C60A7"/>
    <w:rsid w:val="004C6251"/>
    <w:rsid w:val="004C64C7"/>
    <w:rsid w:val="004C67F3"/>
    <w:rsid w:val="004C68A3"/>
    <w:rsid w:val="004C69A3"/>
    <w:rsid w:val="004C706D"/>
    <w:rsid w:val="004C74AC"/>
    <w:rsid w:val="004C7785"/>
    <w:rsid w:val="004C78CE"/>
    <w:rsid w:val="004C7C6C"/>
    <w:rsid w:val="004C7CBA"/>
    <w:rsid w:val="004C7D97"/>
    <w:rsid w:val="004C7E87"/>
    <w:rsid w:val="004D0084"/>
    <w:rsid w:val="004D02B7"/>
    <w:rsid w:val="004D02F7"/>
    <w:rsid w:val="004D0322"/>
    <w:rsid w:val="004D03F5"/>
    <w:rsid w:val="004D0422"/>
    <w:rsid w:val="004D0574"/>
    <w:rsid w:val="004D05AB"/>
    <w:rsid w:val="004D07A3"/>
    <w:rsid w:val="004D0B90"/>
    <w:rsid w:val="004D0B9B"/>
    <w:rsid w:val="004D0BA2"/>
    <w:rsid w:val="004D0C27"/>
    <w:rsid w:val="004D0EC4"/>
    <w:rsid w:val="004D0F0A"/>
    <w:rsid w:val="004D112D"/>
    <w:rsid w:val="004D15A4"/>
    <w:rsid w:val="004D18AD"/>
    <w:rsid w:val="004D18E6"/>
    <w:rsid w:val="004D1B8F"/>
    <w:rsid w:val="004D1C5F"/>
    <w:rsid w:val="004D1D4F"/>
    <w:rsid w:val="004D1E5E"/>
    <w:rsid w:val="004D1E7F"/>
    <w:rsid w:val="004D1FAB"/>
    <w:rsid w:val="004D20F3"/>
    <w:rsid w:val="004D2111"/>
    <w:rsid w:val="004D22A7"/>
    <w:rsid w:val="004D233A"/>
    <w:rsid w:val="004D2463"/>
    <w:rsid w:val="004D247E"/>
    <w:rsid w:val="004D2593"/>
    <w:rsid w:val="004D27CB"/>
    <w:rsid w:val="004D27FD"/>
    <w:rsid w:val="004D28B6"/>
    <w:rsid w:val="004D2A09"/>
    <w:rsid w:val="004D2AE7"/>
    <w:rsid w:val="004D2E5D"/>
    <w:rsid w:val="004D2F77"/>
    <w:rsid w:val="004D3295"/>
    <w:rsid w:val="004D3381"/>
    <w:rsid w:val="004D338A"/>
    <w:rsid w:val="004D360F"/>
    <w:rsid w:val="004D3730"/>
    <w:rsid w:val="004D3835"/>
    <w:rsid w:val="004D396B"/>
    <w:rsid w:val="004D3B46"/>
    <w:rsid w:val="004D3D27"/>
    <w:rsid w:val="004D3EB4"/>
    <w:rsid w:val="004D3EDF"/>
    <w:rsid w:val="004D4027"/>
    <w:rsid w:val="004D405E"/>
    <w:rsid w:val="004D4242"/>
    <w:rsid w:val="004D430C"/>
    <w:rsid w:val="004D4346"/>
    <w:rsid w:val="004D436D"/>
    <w:rsid w:val="004D4387"/>
    <w:rsid w:val="004D43D6"/>
    <w:rsid w:val="004D444C"/>
    <w:rsid w:val="004D4913"/>
    <w:rsid w:val="004D4CE8"/>
    <w:rsid w:val="004D4D02"/>
    <w:rsid w:val="004D4EA4"/>
    <w:rsid w:val="004D564C"/>
    <w:rsid w:val="004D574F"/>
    <w:rsid w:val="004D5767"/>
    <w:rsid w:val="004D576F"/>
    <w:rsid w:val="004D57B3"/>
    <w:rsid w:val="004D591C"/>
    <w:rsid w:val="004D596C"/>
    <w:rsid w:val="004D5B65"/>
    <w:rsid w:val="004D5B94"/>
    <w:rsid w:val="004D5C5C"/>
    <w:rsid w:val="004D5DBF"/>
    <w:rsid w:val="004D5E99"/>
    <w:rsid w:val="004D60E4"/>
    <w:rsid w:val="004D646B"/>
    <w:rsid w:val="004D65BE"/>
    <w:rsid w:val="004D698F"/>
    <w:rsid w:val="004D6A6A"/>
    <w:rsid w:val="004D6BBE"/>
    <w:rsid w:val="004D6C00"/>
    <w:rsid w:val="004D6C1F"/>
    <w:rsid w:val="004D6CDF"/>
    <w:rsid w:val="004D6CE5"/>
    <w:rsid w:val="004D6E3F"/>
    <w:rsid w:val="004D6F7F"/>
    <w:rsid w:val="004D71A3"/>
    <w:rsid w:val="004D754C"/>
    <w:rsid w:val="004D75A5"/>
    <w:rsid w:val="004D778B"/>
    <w:rsid w:val="004D77CD"/>
    <w:rsid w:val="004D78AC"/>
    <w:rsid w:val="004D78CE"/>
    <w:rsid w:val="004D7B33"/>
    <w:rsid w:val="004D7BA5"/>
    <w:rsid w:val="004D7BA8"/>
    <w:rsid w:val="004D7BC5"/>
    <w:rsid w:val="004D7D80"/>
    <w:rsid w:val="004D7DF4"/>
    <w:rsid w:val="004D7F95"/>
    <w:rsid w:val="004D7FAD"/>
    <w:rsid w:val="004E011A"/>
    <w:rsid w:val="004E028A"/>
    <w:rsid w:val="004E04E4"/>
    <w:rsid w:val="004E055A"/>
    <w:rsid w:val="004E0833"/>
    <w:rsid w:val="004E0846"/>
    <w:rsid w:val="004E08CC"/>
    <w:rsid w:val="004E0C9E"/>
    <w:rsid w:val="004E0D44"/>
    <w:rsid w:val="004E0ECD"/>
    <w:rsid w:val="004E0F6B"/>
    <w:rsid w:val="004E0FE6"/>
    <w:rsid w:val="004E1058"/>
    <w:rsid w:val="004E13C6"/>
    <w:rsid w:val="004E1481"/>
    <w:rsid w:val="004E1533"/>
    <w:rsid w:val="004E1A50"/>
    <w:rsid w:val="004E1B54"/>
    <w:rsid w:val="004E1EA4"/>
    <w:rsid w:val="004E1FE9"/>
    <w:rsid w:val="004E22B1"/>
    <w:rsid w:val="004E245E"/>
    <w:rsid w:val="004E24F6"/>
    <w:rsid w:val="004E266E"/>
    <w:rsid w:val="004E2757"/>
    <w:rsid w:val="004E280C"/>
    <w:rsid w:val="004E28C6"/>
    <w:rsid w:val="004E293F"/>
    <w:rsid w:val="004E2A88"/>
    <w:rsid w:val="004E2B1A"/>
    <w:rsid w:val="004E2E17"/>
    <w:rsid w:val="004E2E62"/>
    <w:rsid w:val="004E2F55"/>
    <w:rsid w:val="004E2FB9"/>
    <w:rsid w:val="004E30F3"/>
    <w:rsid w:val="004E315F"/>
    <w:rsid w:val="004E32AE"/>
    <w:rsid w:val="004E3448"/>
    <w:rsid w:val="004E35EF"/>
    <w:rsid w:val="004E3648"/>
    <w:rsid w:val="004E369C"/>
    <w:rsid w:val="004E3863"/>
    <w:rsid w:val="004E3A00"/>
    <w:rsid w:val="004E3AB7"/>
    <w:rsid w:val="004E3C18"/>
    <w:rsid w:val="004E3D26"/>
    <w:rsid w:val="004E3E01"/>
    <w:rsid w:val="004E404D"/>
    <w:rsid w:val="004E4199"/>
    <w:rsid w:val="004E42B9"/>
    <w:rsid w:val="004E43C8"/>
    <w:rsid w:val="004E4795"/>
    <w:rsid w:val="004E4874"/>
    <w:rsid w:val="004E48B0"/>
    <w:rsid w:val="004E4943"/>
    <w:rsid w:val="004E4BD3"/>
    <w:rsid w:val="004E4F57"/>
    <w:rsid w:val="004E4FA0"/>
    <w:rsid w:val="004E52DB"/>
    <w:rsid w:val="004E5387"/>
    <w:rsid w:val="004E548A"/>
    <w:rsid w:val="004E5504"/>
    <w:rsid w:val="004E5587"/>
    <w:rsid w:val="004E5942"/>
    <w:rsid w:val="004E5D42"/>
    <w:rsid w:val="004E5E64"/>
    <w:rsid w:val="004E5F90"/>
    <w:rsid w:val="004E602A"/>
    <w:rsid w:val="004E6184"/>
    <w:rsid w:val="004E6391"/>
    <w:rsid w:val="004E63D0"/>
    <w:rsid w:val="004E64DD"/>
    <w:rsid w:val="004E64EE"/>
    <w:rsid w:val="004E655B"/>
    <w:rsid w:val="004E669F"/>
    <w:rsid w:val="004E66AC"/>
    <w:rsid w:val="004E67DE"/>
    <w:rsid w:val="004E688F"/>
    <w:rsid w:val="004E6AD6"/>
    <w:rsid w:val="004E6BBE"/>
    <w:rsid w:val="004E6C8A"/>
    <w:rsid w:val="004E6CC6"/>
    <w:rsid w:val="004E6DDF"/>
    <w:rsid w:val="004E7100"/>
    <w:rsid w:val="004E7273"/>
    <w:rsid w:val="004E737A"/>
    <w:rsid w:val="004E737E"/>
    <w:rsid w:val="004E7562"/>
    <w:rsid w:val="004E75CE"/>
    <w:rsid w:val="004E7606"/>
    <w:rsid w:val="004E76E3"/>
    <w:rsid w:val="004E77AF"/>
    <w:rsid w:val="004E780A"/>
    <w:rsid w:val="004E7827"/>
    <w:rsid w:val="004E7854"/>
    <w:rsid w:val="004E78C7"/>
    <w:rsid w:val="004E794F"/>
    <w:rsid w:val="004E7960"/>
    <w:rsid w:val="004E7C7A"/>
    <w:rsid w:val="004E7D24"/>
    <w:rsid w:val="004F0005"/>
    <w:rsid w:val="004F003B"/>
    <w:rsid w:val="004F0476"/>
    <w:rsid w:val="004F07C6"/>
    <w:rsid w:val="004F0917"/>
    <w:rsid w:val="004F09ED"/>
    <w:rsid w:val="004F0B76"/>
    <w:rsid w:val="004F0D45"/>
    <w:rsid w:val="004F0FA6"/>
    <w:rsid w:val="004F113D"/>
    <w:rsid w:val="004F1196"/>
    <w:rsid w:val="004F138F"/>
    <w:rsid w:val="004F146C"/>
    <w:rsid w:val="004F159B"/>
    <w:rsid w:val="004F15DB"/>
    <w:rsid w:val="004F1910"/>
    <w:rsid w:val="004F1A1C"/>
    <w:rsid w:val="004F1A22"/>
    <w:rsid w:val="004F1B67"/>
    <w:rsid w:val="004F1CE3"/>
    <w:rsid w:val="004F1D68"/>
    <w:rsid w:val="004F1E76"/>
    <w:rsid w:val="004F1F22"/>
    <w:rsid w:val="004F24C8"/>
    <w:rsid w:val="004F26A3"/>
    <w:rsid w:val="004F271B"/>
    <w:rsid w:val="004F27C3"/>
    <w:rsid w:val="004F292D"/>
    <w:rsid w:val="004F29AC"/>
    <w:rsid w:val="004F2C06"/>
    <w:rsid w:val="004F2CD2"/>
    <w:rsid w:val="004F2D0B"/>
    <w:rsid w:val="004F3060"/>
    <w:rsid w:val="004F3259"/>
    <w:rsid w:val="004F3440"/>
    <w:rsid w:val="004F346E"/>
    <w:rsid w:val="004F35DB"/>
    <w:rsid w:val="004F372E"/>
    <w:rsid w:val="004F37A1"/>
    <w:rsid w:val="004F3976"/>
    <w:rsid w:val="004F3B0F"/>
    <w:rsid w:val="004F3D41"/>
    <w:rsid w:val="004F3DEC"/>
    <w:rsid w:val="004F3FB6"/>
    <w:rsid w:val="004F4092"/>
    <w:rsid w:val="004F40F0"/>
    <w:rsid w:val="004F40F2"/>
    <w:rsid w:val="004F4627"/>
    <w:rsid w:val="004F47FE"/>
    <w:rsid w:val="004F4875"/>
    <w:rsid w:val="004F48AD"/>
    <w:rsid w:val="004F48DB"/>
    <w:rsid w:val="004F4BA1"/>
    <w:rsid w:val="004F4E52"/>
    <w:rsid w:val="004F4EB5"/>
    <w:rsid w:val="004F4F4E"/>
    <w:rsid w:val="004F5216"/>
    <w:rsid w:val="004F5293"/>
    <w:rsid w:val="004F530E"/>
    <w:rsid w:val="004F5463"/>
    <w:rsid w:val="004F57F2"/>
    <w:rsid w:val="004F5AC3"/>
    <w:rsid w:val="004F5C2F"/>
    <w:rsid w:val="004F5CA6"/>
    <w:rsid w:val="004F5CAF"/>
    <w:rsid w:val="004F5E72"/>
    <w:rsid w:val="004F6192"/>
    <w:rsid w:val="004F63BC"/>
    <w:rsid w:val="004F64BF"/>
    <w:rsid w:val="004F678E"/>
    <w:rsid w:val="004F67E5"/>
    <w:rsid w:val="004F685B"/>
    <w:rsid w:val="004F695A"/>
    <w:rsid w:val="004F6A40"/>
    <w:rsid w:val="004F6A6E"/>
    <w:rsid w:val="004F6B2B"/>
    <w:rsid w:val="004F6D6B"/>
    <w:rsid w:val="004F6EA0"/>
    <w:rsid w:val="004F6EBC"/>
    <w:rsid w:val="004F6F2A"/>
    <w:rsid w:val="004F7097"/>
    <w:rsid w:val="004F71A9"/>
    <w:rsid w:val="004F722A"/>
    <w:rsid w:val="004F7505"/>
    <w:rsid w:val="004F75D3"/>
    <w:rsid w:val="004F77FD"/>
    <w:rsid w:val="004F78B1"/>
    <w:rsid w:val="004F7928"/>
    <w:rsid w:val="004F796B"/>
    <w:rsid w:val="004F7C0F"/>
    <w:rsid w:val="004F7C97"/>
    <w:rsid w:val="004F7EFF"/>
    <w:rsid w:val="004F7FD9"/>
    <w:rsid w:val="00500171"/>
    <w:rsid w:val="00500497"/>
    <w:rsid w:val="0050051E"/>
    <w:rsid w:val="00500609"/>
    <w:rsid w:val="00500641"/>
    <w:rsid w:val="00500A29"/>
    <w:rsid w:val="00500AB6"/>
    <w:rsid w:val="00500C1D"/>
    <w:rsid w:val="00500C61"/>
    <w:rsid w:val="00500D32"/>
    <w:rsid w:val="00500D6F"/>
    <w:rsid w:val="00500DFC"/>
    <w:rsid w:val="0050113C"/>
    <w:rsid w:val="00501184"/>
    <w:rsid w:val="005011AD"/>
    <w:rsid w:val="00501221"/>
    <w:rsid w:val="0050143C"/>
    <w:rsid w:val="00501461"/>
    <w:rsid w:val="00501574"/>
    <w:rsid w:val="00501AFE"/>
    <w:rsid w:val="00501B7E"/>
    <w:rsid w:val="00501D93"/>
    <w:rsid w:val="00501E19"/>
    <w:rsid w:val="00502059"/>
    <w:rsid w:val="00502144"/>
    <w:rsid w:val="0050220C"/>
    <w:rsid w:val="0050230F"/>
    <w:rsid w:val="00502323"/>
    <w:rsid w:val="005024AE"/>
    <w:rsid w:val="005024B0"/>
    <w:rsid w:val="0050264B"/>
    <w:rsid w:val="00502666"/>
    <w:rsid w:val="0050277D"/>
    <w:rsid w:val="0050282B"/>
    <w:rsid w:val="00502A58"/>
    <w:rsid w:val="00502DAC"/>
    <w:rsid w:val="00502F40"/>
    <w:rsid w:val="005030A8"/>
    <w:rsid w:val="00503135"/>
    <w:rsid w:val="00503171"/>
    <w:rsid w:val="00503488"/>
    <w:rsid w:val="00503607"/>
    <w:rsid w:val="00503849"/>
    <w:rsid w:val="0050388A"/>
    <w:rsid w:val="00503981"/>
    <w:rsid w:val="00503B8B"/>
    <w:rsid w:val="00503C62"/>
    <w:rsid w:val="00503CC6"/>
    <w:rsid w:val="00503DA8"/>
    <w:rsid w:val="00503ECB"/>
    <w:rsid w:val="005041D1"/>
    <w:rsid w:val="00504324"/>
    <w:rsid w:val="0050450F"/>
    <w:rsid w:val="00504578"/>
    <w:rsid w:val="0050465A"/>
    <w:rsid w:val="0050467D"/>
    <w:rsid w:val="00504B3A"/>
    <w:rsid w:val="00504B45"/>
    <w:rsid w:val="00504C73"/>
    <w:rsid w:val="00504EDC"/>
    <w:rsid w:val="00504FE3"/>
    <w:rsid w:val="005054DC"/>
    <w:rsid w:val="005054F5"/>
    <w:rsid w:val="00505507"/>
    <w:rsid w:val="00505788"/>
    <w:rsid w:val="005057E2"/>
    <w:rsid w:val="00505D2F"/>
    <w:rsid w:val="00505DA6"/>
    <w:rsid w:val="00505E34"/>
    <w:rsid w:val="00505E5F"/>
    <w:rsid w:val="00505E9C"/>
    <w:rsid w:val="0050623F"/>
    <w:rsid w:val="005063AD"/>
    <w:rsid w:val="005063CC"/>
    <w:rsid w:val="00506413"/>
    <w:rsid w:val="005064A2"/>
    <w:rsid w:val="005064F8"/>
    <w:rsid w:val="005065A6"/>
    <w:rsid w:val="0050670B"/>
    <w:rsid w:val="00506962"/>
    <w:rsid w:val="00506A53"/>
    <w:rsid w:val="00506B06"/>
    <w:rsid w:val="00506B32"/>
    <w:rsid w:val="00506B4D"/>
    <w:rsid w:val="00506C7F"/>
    <w:rsid w:val="00506EAD"/>
    <w:rsid w:val="0050709E"/>
    <w:rsid w:val="00507737"/>
    <w:rsid w:val="005077E6"/>
    <w:rsid w:val="00507A06"/>
    <w:rsid w:val="00507B4F"/>
    <w:rsid w:val="00507D2A"/>
    <w:rsid w:val="00507D6B"/>
    <w:rsid w:val="00507E2B"/>
    <w:rsid w:val="00507EB3"/>
    <w:rsid w:val="00507F09"/>
    <w:rsid w:val="00507F87"/>
    <w:rsid w:val="005101B6"/>
    <w:rsid w:val="005101CD"/>
    <w:rsid w:val="005101FC"/>
    <w:rsid w:val="0051028C"/>
    <w:rsid w:val="005102B4"/>
    <w:rsid w:val="005102C0"/>
    <w:rsid w:val="005103C5"/>
    <w:rsid w:val="005104F1"/>
    <w:rsid w:val="005106B9"/>
    <w:rsid w:val="005106F8"/>
    <w:rsid w:val="005108AD"/>
    <w:rsid w:val="005108E8"/>
    <w:rsid w:val="00510976"/>
    <w:rsid w:val="00510AB6"/>
    <w:rsid w:val="00510B50"/>
    <w:rsid w:val="00510CDA"/>
    <w:rsid w:val="00510D22"/>
    <w:rsid w:val="00511212"/>
    <w:rsid w:val="00511227"/>
    <w:rsid w:val="00511585"/>
    <w:rsid w:val="005115A8"/>
    <w:rsid w:val="00511621"/>
    <w:rsid w:val="005116C4"/>
    <w:rsid w:val="0051171B"/>
    <w:rsid w:val="00511729"/>
    <w:rsid w:val="0051183D"/>
    <w:rsid w:val="00511880"/>
    <w:rsid w:val="005118BC"/>
    <w:rsid w:val="00511911"/>
    <w:rsid w:val="00511B6A"/>
    <w:rsid w:val="00512103"/>
    <w:rsid w:val="00512223"/>
    <w:rsid w:val="0051225C"/>
    <w:rsid w:val="005127CE"/>
    <w:rsid w:val="005128F4"/>
    <w:rsid w:val="005129CF"/>
    <w:rsid w:val="00512B1A"/>
    <w:rsid w:val="00512ED2"/>
    <w:rsid w:val="00512EF7"/>
    <w:rsid w:val="00512FC8"/>
    <w:rsid w:val="005132B9"/>
    <w:rsid w:val="00513503"/>
    <w:rsid w:val="005136BA"/>
    <w:rsid w:val="00513744"/>
    <w:rsid w:val="00513B32"/>
    <w:rsid w:val="00513BC8"/>
    <w:rsid w:val="00513C03"/>
    <w:rsid w:val="00513D6C"/>
    <w:rsid w:val="00513E81"/>
    <w:rsid w:val="0051401E"/>
    <w:rsid w:val="005140E4"/>
    <w:rsid w:val="005140F3"/>
    <w:rsid w:val="005141E8"/>
    <w:rsid w:val="0051427F"/>
    <w:rsid w:val="00514290"/>
    <w:rsid w:val="005142AD"/>
    <w:rsid w:val="005142BF"/>
    <w:rsid w:val="0051446B"/>
    <w:rsid w:val="005144A6"/>
    <w:rsid w:val="005145C6"/>
    <w:rsid w:val="0051467B"/>
    <w:rsid w:val="00514845"/>
    <w:rsid w:val="00514A67"/>
    <w:rsid w:val="00514B0C"/>
    <w:rsid w:val="00514BB2"/>
    <w:rsid w:val="00514C7A"/>
    <w:rsid w:val="00514D7F"/>
    <w:rsid w:val="00514ED1"/>
    <w:rsid w:val="00514F0B"/>
    <w:rsid w:val="00515294"/>
    <w:rsid w:val="005152B3"/>
    <w:rsid w:val="005158D0"/>
    <w:rsid w:val="0051597C"/>
    <w:rsid w:val="005159AA"/>
    <w:rsid w:val="005159EF"/>
    <w:rsid w:val="00515E39"/>
    <w:rsid w:val="00515E6E"/>
    <w:rsid w:val="00515F38"/>
    <w:rsid w:val="00516109"/>
    <w:rsid w:val="005161AB"/>
    <w:rsid w:val="005163FF"/>
    <w:rsid w:val="005164F3"/>
    <w:rsid w:val="00516689"/>
    <w:rsid w:val="00516699"/>
    <w:rsid w:val="005167B7"/>
    <w:rsid w:val="005167EF"/>
    <w:rsid w:val="0051694F"/>
    <w:rsid w:val="00516A44"/>
    <w:rsid w:val="00516B18"/>
    <w:rsid w:val="00516D96"/>
    <w:rsid w:val="005172BB"/>
    <w:rsid w:val="00517567"/>
    <w:rsid w:val="005175A5"/>
    <w:rsid w:val="00517655"/>
    <w:rsid w:val="005177DE"/>
    <w:rsid w:val="00517C74"/>
    <w:rsid w:val="00517F21"/>
    <w:rsid w:val="00517F42"/>
    <w:rsid w:val="00520138"/>
    <w:rsid w:val="005204B8"/>
    <w:rsid w:val="005205AC"/>
    <w:rsid w:val="00520665"/>
    <w:rsid w:val="0052077F"/>
    <w:rsid w:val="00520783"/>
    <w:rsid w:val="005207B5"/>
    <w:rsid w:val="005207E0"/>
    <w:rsid w:val="0052092E"/>
    <w:rsid w:val="00520A96"/>
    <w:rsid w:val="00520C04"/>
    <w:rsid w:val="00520CA2"/>
    <w:rsid w:val="00521119"/>
    <w:rsid w:val="0052120B"/>
    <w:rsid w:val="005213D5"/>
    <w:rsid w:val="0052166E"/>
    <w:rsid w:val="005219C7"/>
    <w:rsid w:val="00521A06"/>
    <w:rsid w:val="00521C11"/>
    <w:rsid w:val="00521C39"/>
    <w:rsid w:val="00521CAD"/>
    <w:rsid w:val="00521CAF"/>
    <w:rsid w:val="005220A2"/>
    <w:rsid w:val="0052217A"/>
    <w:rsid w:val="0052238D"/>
    <w:rsid w:val="005226AB"/>
    <w:rsid w:val="0052274E"/>
    <w:rsid w:val="005227A5"/>
    <w:rsid w:val="00522829"/>
    <w:rsid w:val="005228D4"/>
    <w:rsid w:val="0052295B"/>
    <w:rsid w:val="00522A94"/>
    <w:rsid w:val="00522AE0"/>
    <w:rsid w:val="00522B3C"/>
    <w:rsid w:val="00522FE9"/>
    <w:rsid w:val="005232C3"/>
    <w:rsid w:val="0052331C"/>
    <w:rsid w:val="005234F8"/>
    <w:rsid w:val="00523538"/>
    <w:rsid w:val="005235B4"/>
    <w:rsid w:val="0052366A"/>
    <w:rsid w:val="00523746"/>
    <w:rsid w:val="00523984"/>
    <w:rsid w:val="00523AAC"/>
    <w:rsid w:val="00523BD8"/>
    <w:rsid w:val="00523C30"/>
    <w:rsid w:val="00523C38"/>
    <w:rsid w:val="00523CC2"/>
    <w:rsid w:val="00523DF6"/>
    <w:rsid w:val="00523E7E"/>
    <w:rsid w:val="00523F5B"/>
    <w:rsid w:val="00524314"/>
    <w:rsid w:val="0052448C"/>
    <w:rsid w:val="00524583"/>
    <w:rsid w:val="005248B8"/>
    <w:rsid w:val="005248F2"/>
    <w:rsid w:val="00524956"/>
    <w:rsid w:val="00524A35"/>
    <w:rsid w:val="00524B42"/>
    <w:rsid w:val="00524F33"/>
    <w:rsid w:val="005250E9"/>
    <w:rsid w:val="005250F2"/>
    <w:rsid w:val="005251D5"/>
    <w:rsid w:val="005252A0"/>
    <w:rsid w:val="0052536F"/>
    <w:rsid w:val="0052558F"/>
    <w:rsid w:val="005256C0"/>
    <w:rsid w:val="0052580D"/>
    <w:rsid w:val="00525998"/>
    <w:rsid w:val="005259AC"/>
    <w:rsid w:val="00525A75"/>
    <w:rsid w:val="00525B12"/>
    <w:rsid w:val="00525BBE"/>
    <w:rsid w:val="00525DBA"/>
    <w:rsid w:val="00526067"/>
    <w:rsid w:val="00526158"/>
    <w:rsid w:val="005261E4"/>
    <w:rsid w:val="005263FA"/>
    <w:rsid w:val="00526453"/>
    <w:rsid w:val="0052654D"/>
    <w:rsid w:val="0052657F"/>
    <w:rsid w:val="00526625"/>
    <w:rsid w:val="00526648"/>
    <w:rsid w:val="00526719"/>
    <w:rsid w:val="00526723"/>
    <w:rsid w:val="00526778"/>
    <w:rsid w:val="005269FF"/>
    <w:rsid w:val="00526B03"/>
    <w:rsid w:val="00526BA3"/>
    <w:rsid w:val="00526CEA"/>
    <w:rsid w:val="00526CFA"/>
    <w:rsid w:val="00526DA3"/>
    <w:rsid w:val="00526EFE"/>
    <w:rsid w:val="00526F0E"/>
    <w:rsid w:val="0052724E"/>
    <w:rsid w:val="005272C8"/>
    <w:rsid w:val="005273E5"/>
    <w:rsid w:val="00527619"/>
    <w:rsid w:val="00527620"/>
    <w:rsid w:val="0052780D"/>
    <w:rsid w:val="00527A36"/>
    <w:rsid w:val="00527ACB"/>
    <w:rsid w:val="00527CD5"/>
    <w:rsid w:val="00527DA1"/>
    <w:rsid w:val="00527F07"/>
    <w:rsid w:val="00527F0F"/>
    <w:rsid w:val="00527F6E"/>
    <w:rsid w:val="00530181"/>
    <w:rsid w:val="00530232"/>
    <w:rsid w:val="00530347"/>
    <w:rsid w:val="00530389"/>
    <w:rsid w:val="00530421"/>
    <w:rsid w:val="00530443"/>
    <w:rsid w:val="005304B9"/>
    <w:rsid w:val="005304E0"/>
    <w:rsid w:val="0053053E"/>
    <w:rsid w:val="005305A5"/>
    <w:rsid w:val="00530632"/>
    <w:rsid w:val="00530726"/>
    <w:rsid w:val="00530787"/>
    <w:rsid w:val="00530812"/>
    <w:rsid w:val="005308A4"/>
    <w:rsid w:val="005308CE"/>
    <w:rsid w:val="00530A58"/>
    <w:rsid w:val="00530AE3"/>
    <w:rsid w:val="00530F2D"/>
    <w:rsid w:val="00530F32"/>
    <w:rsid w:val="00530F6F"/>
    <w:rsid w:val="00531096"/>
    <w:rsid w:val="005313DA"/>
    <w:rsid w:val="00531479"/>
    <w:rsid w:val="005314D9"/>
    <w:rsid w:val="005317E0"/>
    <w:rsid w:val="00531863"/>
    <w:rsid w:val="00531BE3"/>
    <w:rsid w:val="00531D5A"/>
    <w:rsid w:val="00532034"/>
    <w:rsid w:val="00532896"/>
    <w:rsid w:val="005328C4"/>
    <w:rsid w:val="0053295C"/>
    <w:rsid w:val="00532CB8"/>
    <w:rsid w:val="00532D56"/>
    <w:rsid w:val="00532D87"/>
    <w:rsid w:val="00532F4C"/>
    <w:rsid w:val="00532F81"/>
    <w:rsid w:val="00533019"/>
    <w:rsid w:val="005330F5"/>
    <w:rsid w:val="0053325B"/>
    <w:rsid w:val="0053332E"/>
    <w:rsid w:val="00533377"/>
    <w:rsid w:val="005333B4"/>
    <w:rsid w:val="00533517"/>
    <w:rsid w:val="0053367A"/>
    <w:rsid w:val="00533929"/>
    <w:rsid w:val="00533973"/>
    <w:rsid w:val="00533CB6"/>
    <w:rsid w:val="00533D88"/>
    <w:rsid w:val="005340C6"/>
    <w:rsid w:val="005342B9"/>
    <w:rsid w:val="005344D9"/>
    <w:rsid w:val="00534633"/>
    <w:rsid w:val="00534845"/>
    <w:rsid w:val="00534B07"/>
    <w:rsid w:val="00534C13"/>
    <w:rsid w:val="00534D4F"/>
    <w:rsid w:val="00534D5F"/>
    <w:rsid w:val="00534EBE"/>
    <w:rsid w:val="005350BC"/>
    <w:rsid w:val="005351FC"/>
    <w:rsid w:val="005352B0"/>
    <w:rsid w:val="00535363"/>
    <w:rsid w:val="005355EE"/>
    <w:rsid w:val="00535CD6"/>
    <w:rsid w:val="00535CE6"/>
    <w:rsid w:val="00535EC8"/>
    <w:rsid w:val="00535F3E"/>
    <w:rsid w:val="0053602A"/>
    <w:rsid w:val="00536312"/>
    <w:rsid w:val="0053635A"/>
    <w:rsid w:val="00536791"/>
    <w:rsid w:val="00536976"/>
    <w:rsid w:val="00536A5E"/>
    <w:rsid w:val="00536D4A"/>
    <w:rsid w:val="00536EB1"/>
    <w:rsid w:val="00536F62"/>
    <w:rsid w:val="00537069"/>
    <w:rsid w:val="0053709D"/>
    <w:rsid w:val="0053717B"/>
    <w:rsid w:val="005374DC"/>
    <w:rsid w:val="005374E2"/>
    <w:rsid w:val="0053751D"/>
    <w:rsid w:val="005375EF"/>
    <w:rsid w:val="0053761F"/>
    <w:rsid w:val="005376DA"/>
    <w:rsid w:val="00537941"/>
    <w:rsid w:val="0053797A"/>
    <w:rsid w:val="005379AA"/>
    <w:rsid w:val="005379C4"/>
    <w:rsid w:val="005379D8"/>
    <w:rsid w:val="00537CB7"/>
    <w:rsid w:val="00537DE7"/>
    <w:rsid w:val="00537F6B"/>
    <w:rsid w:val="0054004D"/>
    <w:rsid w:val="005400CA"/>
    <w:rsid w:val="005401A6"/>
    <w:rsid w:val="005403B7"/>
    <w:rsid w:val="00540769"/>
    <w:rsid w:val="0054098C"/>
    <w:rsid w:val="005409BE"/>
    <w:rsid w:val="005409E0"/>
    <w:rsid w:val="00540AB6"/>
    <w:rsid w:val="00540ACC"/>
    <w:rsid w:val="00540D5E"/>
    <w:rsid w:val="00540DD9"/>
    <w:rsid w:val="00540E7D"/>
    <w:rsid w:val="00540EB4"/>
    <w:rsid w:val="00540FD4"/>
    <w:rsid w:val="0054103A"/>
    <w:rsid w:val="005410A1"/>
    <w:rsid w:val="0054117F"/>
    <w:rsid w:val="00541306"/>
    <w:rsid w:val="005413CF"/>
    <w:rsid w:val="0054147C"/>
    <w:rsid w:val="00541631"/>
    <w:rsid w:val="005417B8"/>
    <w:rsid w:val="005418D2"/>
    <w:rsid w:val="00541993"/>
    <w:rsid w:val="00541C6F"/>
    <w:rsid w:val="00541E01"/>
    <w:rsid w:val="00541E15"/>
    <w:rsid w:val="00541EDB"/>
    <w:rsid w:val="005420F6"/>
    <w:rsid w:val="00542244"/>
    <w:rsid w:val="005422C2"/>
    <w:rsid w:val="00542369"/>
    <w:rsid w:val="005425B1"/>
    <w:rsid w:val="00542602"/>
    <w:rsid w:val="005426D8"/>
    <w:rsid w:val="00542705"/>
    <w:rsid w:val="00542894"/>
    <w:rsid w:val="00542B62"/>
    <w:rsid w:val="00542BD6"/>
    <w:rsid w:val="00542CCC"/>
    <w:rsid w:val="00542ECD"/>
    <w:rsid w:val="00542F2D"/>
    <w:rsid w:val="005433FA"/>
    <w:rsid w:val="005434BC"/>
    <w:rsid w:val="00543524"/>
    <w:rsid w:val="0054362C"/>
    <w:rsid w:val="005436C5"/>
    <w:rsid w:val="0054377B"/>
    <w:rsid w:val="00543910"/>
    <w:rsid w:val="00543B23"/>
    <w:rsid w:val="00543CAD"/>
    <w:rsid w:val="00543DA5"/>
    <w:rsid w:val="00543DFD"/>
    <w:rsid w:val="00544055"/>
    <w:rsid w:val="0054409B"/>
    <w:rsid w:val="005444DF"/>
    <w:rsid w:val="005445AF"/>
    <w:rsid w:val="005445F3"/>
    <w:rsid w:val="00544884"/>
    <w:rsid w:val="00544971"/>
    <w:rsid w:val="00544BDF"/>
    <w:rsid w:val="00544E27"/>
    <w:rsid w:val="00544E37"/>
    <w:rsid w:val="00544FA7"/>
    <w:rsid w:val="0054543A"/>
    <w:rsid w:val="005457AF"/>
    <w:rsid w:val="005457DE"/>
    <w:rsid w:val="00545855"/>
    <w:rsid w:val="00545924"/>
    <w:rsid w:val="005459CA"/>
    <w:rsid w:val="005459E9"/>
    <w:rsid w:val="00545A16"/>
    <w:rsid w:val="00545A62"/>
    <w:rsid w:val="00545BDA"/>
    <w:rsid w:val="00545D6B"/>
    <w:rsid w:val="00545F02"/>
    <w:rsid w:val="00545FC6"/>
    <w:rsid w:val="00545FF2"/>
    <w:rsid w:val="005464B7"/>
    <w:rsid w:val="0054652E"/>
    <w:rsid w:val="00546604"/>
    <w:rsid w:val="00546AA8"/>
    <w:rsid w:val="00546BCF"/>
    <w:rsid w:val="00546DBC"/>
    <w:rsid w:val="00546DEB"/>
    <w:rsid w:val="00546E8C"/>
    <w:rsid w:val="00546EAE"/>
    <w:rsid w:val="00546F0B"/>
    <w:rsid w:val="00546F82"/>
    <w:rsid w:val="005470AE"/>
    <w:rsid w:val="0054710F"/>
    <w:rsid w:val="00547274"/>
    <w:rsid w:val="0054765D"/>
    <w:rsid w:val="005476FC"/>
    <w:rsid w:val="00547706"/>
    <w:rsid w:val="00547882"/>
    <w:rsid w:val="005479B2"/>
    <w:rsid w:val="00547A6F"/>
    <w:rsid w:val="00547D77"/>
    <w:rsid w:val="00547DC5"/>
    <w:rsid w:val="0055009A"/>
    <w:rsid w:val="005501FA"/>
    <w:rsid w:val="00550223"/>
    <w:rsid w:val="00550412"/>
    <w:rsid w:val="00550627"/>
    <w:rsid w:val="00550731"/>
    <w:rsid w:val="005507DC"/>
    <w:rsid w:val="00550A33"/>
    <w:rsid w:val="00550AF8"/>
    <w:rsid w:val="00550BEC"/>
    <w:rsid w:val="00550C99"/>
    <w:rsid w:val="00550CC1"/>
    <w:rsid w:val="00550CF9"/>
    <w:rsid w:val="00550D03"/>
    <w:rsid w:val="00550D22"/>
    <w:rsid w:val="005511EC"/>
    <w:rsid w:val="0055143F"/>
    <w:rsid w:val="00551554"/>
    <w:rsid w:val="0055177C"/>
    <w:rsid w:val="00551892"/>
    <w:rsid w:val="005518BB"/>
    <w:rsid w:val="005518D2"/>
    <w:rsid w:val="00551A00"/>
    <w:rsid w:val="00551B1A"/>
    <w:rsid w:val="00551F8C"/>
    <w:rsid w:val="00551FB1"/>
    <w:rsid w:val="005522AF"/>
    <w:rsid w:val="00552666"/>
    <w:rsid w:val="00552B0B"/>
    <w:rsid w:val="00552C73"/>
    <w:rsid w:val="00553047"/>
    <w:rsid w:val="005530BE"/>
    <w:rsid w:val="00553260"/>
    <w:rsid w:val="00553413"/>
    <w:rsid w:val="0055361C"/>
    <w:rsid w:val="0055365A"/>
    <w:rsid w:val="00553716"/>
    <w:rsid w:val="00553861"/>
    <w:rsid w:val="005538B7"/>
    <w:rsid w:val="005538E4"/>
    <w:rsid w:val="00553949"/>
    <w:rsid w:val="00553B0D"/>
    <w:rsid w:val="00553B58"/>
    <w:rsid w:val="00553CF4"/>
    <w:rsid w:val="00553D4D"/>
    <w:rsid w:val="00553EF7"/>
    <w:rsid w:val="00553F66"/>
    <w:rsid w:val="00554010"/>
    <w:rsid w:val="00554232"/>
    <w:rsid w:val="005542DD"/>
    <w:rsid w:val="00554531"/>
    <w:rsid w:val="00554572"/>
    <w:rsid w:val="00554789"/>
    <w:rsid w:val="00554796"/>
    <w:rsid w:val="00554961"/>
    <w:rsid w:val="005549C5"/>
    <w:rsid w:val="00554AE3"/>
    <w:rsid w:val="00554BD1"/>
    <w:rsid w:val="00554C65"/>
    <w:rsid w:val="00554CC2"/>
    <w:rsid w:val="00554D44"/>
    <w:rsid w:val="00554D8D"/>
    <w:rsid w:val="00554DD8"/>
    <w:rsid w:val="0055513E"/>
    <w:rsid w:val="0055522E"/>
    <w:rsid w:val="0055548F"/>
    <w:rsid w:val="00555551"/>
    <w:rsid w:val="005555D5"/>
    <w:rsid w:val="0055565E"/>
    <w:rsid w:val="00555678"/>
    <w:rsid w:val="00555794"/>
    <w:rsid w:val="0055594D"/>
    <w:rsid w:val="00555AE1"/>
    <w:rsid w:val="00555B6E"/>
    <w:rsid w:val="00555BBD"/>
    <w:rsid w:val="00555F15"/>
    <w:rsid w:val="00556058"/>
    <w:rsid w:val="0055605D"/>
    <w:rsid w:val="0055613A"/>
    <w:rsid w:val="0055613D"/>
    <w:rsid w:val="005561F3"/>
    <w:rsid w:val="0055642B"/>
    <w:rsid w:val="0055643A"/>
    <w:rsid w:val="005566AF"/>
    <w:rsid w:val="005569FB"/>
    <w:rsid w:val="00556A8F"/>
    <w:rsid w:val="00556A94"/>
    <w:rsid w:val="0055703A"/>
    <w:rsid w:val="005571B8"/>
    <w:rsid w:val="00557214"/>
    <w:rsid w:val="0055725C"/>
    <w:rsid w:val="0055743E"/>
    <w:rsid w:val="00557564"/>
    <w:rsid w:val="005575FB"/>
    <w:rsid w:val="005576B8"/>
    <w:rsid w:val="00557802"/>
    <w:rsid w:val="00557823"/>
    <w:rsid w:val="00557B1B"/>
    <w:rsid w:val="00557D3C"/>
    <w:rsid w:val="00557DA7"/>
    <w:rsid w:val="00557E74"/>
    <w:rsid w:val="00557F36"/>
    <w:rsid w:val="00557FEB"/>
    <w:rsid w:val="0056000A"/>
    <w:rsid w:val="005600EB"/>
    <w:rsid w:val="00560328"/>
    <w:rsid w:val="0056050C"/>
    <w:rsid w:val="00560F40"/>
    <w:rsid w:val="005611D6"/>
    <w:rsid w:val="005613DC"/>
    <w:rsid w:val="00561613"/>
    <w:rsid w:val="005616A9"/>
    <w:rsid w:val="00561B09"/>
    <w:rsid w:val="00561F7D"/>
    <w:rsid w:val="0056204E"/>
    <w:rsid w:val="0056215F"/>
    <w:rsid w:val="00562407"/>
    <w:rsid w:val="005624B6"/>
    <w:rsid w:val="00562681"/>
    <w:rsid w:val="005628A4"/>
    <w:rsid w:val="00562955"/>
    <w:rsid w:val="00562B34"/>
    <w:rsid w:val="00562D2E"/>
    <w:rsid w:val="00562FEA"/>
    <w:rsid w:val="005630BD"/>
    <w:rsid w:val="005633E7"/>
    <w:rsid w:val="00563426"/>
    <w:rsid w:val="0056381F"/>
    <w:rsid w:val="0056386B"/>
    <w:rsid w:val="005638A3"/>
    <w:rsid w:val="005639C6"/>
    <w:rsid w:val="00563A0E"/>
    <w:rsid w:val="00563BE5"/>
    <w:rsid w:val="00563DBE"/>
    <w:rsid w:val="00564441"/>
    <w:rsid w:val="005644F0"/>
    <w:rsid w:val="005646CC"/>
    <w:rsid w:val="0056495B"/>
    <w:rsid w:val="00564D00"/>
    <w:rsid w:val="00564F69"/>
    <w:rsid w:val="00564FFC"/>
    <w:rsid w:val="00565102"/>
    <w:rsid w:val="0056525F"/>
    <w:rsid w:val="005652FC"/>
    <w:rsid w:val="005656D1"/>
    <w:rsid w:val="00565858"/>
    <w:rsid w:val="005658B2"/>
    <w:rsid w:val="00565970"/>
    <w:rsid w:val="00565C08"/>
    <w:rsid w:val="00565C3A"/>
    <w:rsid w:val="00565D15"/>
    <w:rsid w:val="00565EF8"/>
    <w:rsid w:val="00565F7C"/>
    <w:rsid w:val="00566687"/>
    <w:rsid w:val="0056668A"/>
    <w:rsid w:val="00566762"/>
    <w:rsid w:val="005669C0"/>
    <w:rsid w:val="00566B16"/>
    <w:rsid w:val="00566ED9"/>
    <w:rsid w:val="0056716C"/>
    <w:rsid w:val="00567229"/>
    <w:rsid w:val="00567329"/>
    <w:rsid w:val="0056733D"/>
    <w:rsid w:val="00567451"/>
    <w:rsid w:val="005674A9"/>
    <w:rsid w:val="0056759F"/>
    <w:rsid w:val="00567647"/>
    <w:rsid w:val="0056793F"/>
    <w:rsid w:val="00567A38"/>
    <w:rsid w:val="00567A6A"/>
    <w:rsid w:val="00567C2F"/>
    <w:rsid w:val="00567EA7"/>
    <w:rsid w:val="00567EF6"/>
    <w:rsid w:val="00567F5D"/>
    <w:rsid w:val="005702B5"/>
    <w:rsid w:val="00570422"/>
    <w:rsid w:val="00570587"/>
    <w:rsid w:val="0057080E"/>
    <w:rsid w:val="005708DB"/>
    <w:rsid w:val="005709A2"/>
    <w:rsid w:val="005709E2"/>
    <w:rsid w:val="00570A7C"/>
    <w:rsid w:val="00570B97"/>
    <w:rsid w:val="00570D37"/>
    <w:rsid w:val="00570E1A"/>
    <w:rsid w:val="00570FE1"/>
    <w:rsid w:val="00570FF3"/>
    <w:rsid w:val="0057100B"/>
    <w:rsid w:val="0057110E"/>
    <w:rsid w:val="005711CB"/>
    <w:rsid w:val="00571298"/>
    <w:rsid w:val="00571312"/>
    <w:rsid w:val="005713FF"/>
    <w:rsid w:val="0057177B"/>
    <w:rsid w:val="00571C5E"/>
    <w:rsid w:val="00571CF8"/>
    <w:rsid w:val="00571EC7"/>
    <w:rsid w:val="00571F4D"/>
    <w:rsid w:val="005720A7"/>
    <w:rsid w:val="005721C2"/>
    <w:rsid w:val="0057236F"/>
    <w:rsid w:val="005723E1"/>
    <w:rsid w:val="0057251C"/>
    <w:rsid w:val="00572774"/>
    <w:rsid w:val="00572B1D"/>
    <w:rsid w:val="00572BF1"/>
    <w:rsid w:val="00572C84"/>
    <w:rsid w:val="00572E45"/>
    <w:rsid w:val="0057300B"/>
    <w:rsid w:val="0057319E"/>
    <w:rsid w:val="00573555"/>
    <w:rsid w:val="00573650"/>
    <w:rsid w:val="0057365C"/>
    <w:rsid w:val="00573823"/>
    <w:rsid w:val="00573CC6"/>
    <w:rsid w:val="00573CCA"/>
    <w:rsid w:val="00573E77"/>
    <w:rsid w:val="00573F24"/>
    <w:rsid w:val="00574027"/>
    <w:rsid w:val="005740C7"/>
    <w:rsid w:val="00574177"/>
    <w:rsid w:val="00574346"/>
    <w:rsid w:val="005745E6"/>
    <w:rsid w:val="00574634"/>
    <w:rsid w:val="00574768"/>
    <w:rsid w:val="0057482B"/>
    <w:rsid w:val="00574B5A"/>
    <w:rsid w:val="00574CC8"/>
    <w:rsid w:val="00574CDC"/>
    <w:rsid w:val="0057500E"/>
    <w:rsid w:val="00575203"/>
    <w:rsid w:val="005752CB"/>
    <w:rsid w:val="00575318"/>
    <w:rsid w:val="005755F7"/>
    <w:rsid w:val="00575657"/>
    <w:rsid w:val="00575791"/>
    <w:rsid w:val="00575954"/>
    <w:rsid w:val="00575993"/>
    <w:rsid w:val="005759AB"/>
    <w:rsid w:val="00575A27"/>
    <w:rsid w:val="00575C0C"/>
    <w:rsid w:val="005761B9"/>
    <w:rsid w:val="0057628E"/>
    <w:rsid w:val="00576301"/>
    <w:rsid w:val="00576327"/>
    <w:rsid w:val="00576347"/>
    <w:rsid w:val="0057663C"/>
    <w:rsid w:val="0057674E"/>
    <w:rsid w:val="0057681C"/>
    <w:rsid w:val="005769B4"/>
    <w:rsid w:val="00576A5A"/>
    <w:rsid w:val="00576ABE"/>
    <w:rsid w:val="00576B2E"/>
    <w:rsid w:val="00576FA8"/>
    <w:rsid w:val="00577175"/>
    <w:rsid w:val="0057720D"/>
    <w:rsid w:val="0057721E"/>
    <w:rsid w:val="00577319"/>
    <w:rsid w:val="00577324"/>
    <w:rsid w:val="00577331"/>
    <w:rsid w:val="005773BD"/>
    <w:rsid w:val="00577487"/>
    <w:rsid w:val="00577509"/>
    <w:rsid w:val="00577641"/>
    <w:rsid w:val="00577861"/>
    <w:rsid w:val="0057789C"/>
    <w:rsid w:val="005778D3"/>
    <w:rsid w:val="005778E1"/>
    <w:rsid w:val="00577A92"/>
    <w:rsid w:val="00577C9B"/>
    <w:rsid w:val="00577CE8"/>
    <w:rsid w:val="00577D3F"/>
    <w:rsid w:val="00577DB8"/>
    <w:rsid w:val="00577E2E"/>
    <w:rsid w:val="00577E77"/>
    <w:rsid w:val="00577F34"/>
    <w:rsid w:val="00580003"/>
    <w:rsid w:val="005800AA"/>
    <w:rsid w:val="0058011A"/>
    <w:rsid w:val="0058035C"/>
    <w:rsid w:val="0058036C"/>
    <w:rsid w:val="0058056B"/>
    <w:rsid w:val="005807A4"/>
    <w:rsid w:val="005808A4"/>
    <w:rsid w:val="00580CDB"/>
    <w:rsid w:val="00580D1B"/>
    <w:rsid w:val="00580E55"/>
    <w:rsid w:val="00580F2E"/>
    <w:rsid w:val="005810D7"/>
    <w:rsid w:val="00581154"/>
    <w:rsid w:val="005812CF"/>
    <w:rsid w:val="0058132E"/>
    <w:rsid w:val="00581429"/>
    <w:rsid w:val="005817B3"/>
    <w:rsid w:val="00581AAE"/>
    <w:rsid w:val="00581BCB"/>
    <w:rsid w:val="00581C96"/>
    <w:rsid w:val="00582102"/>
    <w:rsid w:val="005821D4"/>
    <w:rsid w:val="0058223E"/>
    <w:rsid w:val="00582441"/>
    <w:rsid w:val="00582465"/>
    <w:rsid w:val="005824D8"/>
    <w:rsid w:val="00582535"/>
    <w:rsid w:val="00582758"/>
    <w:rsid w:val="0058279B"/>
    <w:rsid w:val="00582846"/>
    <w:rsid w:val="00582CA9"/>
    <w:rsid w:val="00582D7C"/>
    <w:rsid w:val="00582ED7"/>
    <w:rsid w:val="00583239"/>
    <w:rsid w:val="00583402"/>
    <w:rsid w:val="005834B8"/>
    <w:rsid w:val="005834FC"/>
    <w:rsid w:val="005835A9"/>
    <w:rsid w:val="005835DD"/>
    <w:rsid w:val="0058369E"/>
    <w:rsid w:val="005836A1"/>
    <w:rsid w:val="005836A4"/>
    <w:rsid w:val="00583747"/>
    <w:rsid w:val="0058397E"/>
    <w:rsid w:val="005839FC"/>
    <w:rsid w:val="00583A36"/>
    <w:rsid w:val="00583C94"/>
    <w:rsid w:val="00583D8D"/>
    <w:rsid w:val="00583E64"/>
    <w:rsid w:val="00583E98"/>
    <w:rsid w:val="00584009"/>
    <w:rsid w:val="005841A0"/>
    <w:rsid w:val="0058443F"/>
    <w:rsid w:val="0058457C"/>
    <w:rsid w:val="005845E2"/>
    <w:rsid w:val="00584707"/>
    <w:rsid w:val="005848CF"/>
    <w:rsid w:val="00584908"/>
    <w:rsid w:val="0058499B"/>
    <w:rsid w:val="00584B4C"/>
    <w:rsid w:val="00584EFD"/>
    <w:rsid w:val="00584FD2"/>
    <w:rsid w:val="0058508A"/>
    <w:rsid w:val="005850AE"/>
    <w:rsid w:val="005852DC"/>
    <w:rsid w:val="0058539A"/>
    <w:rsid w:val="00585428"/>
    <w:rsid w:val="005854B8"/>
    <w:rsid w:val="005856A7"/>
    <w:rsid w:val="00585771"/>
    <w:rsid w:val="005857F7"/>
    <w:rsid w:val="00585B24"/>
    <w:rsid w:val="00585D95"/>
    <w:rsid w:val="00585F94"/>
    <w:rsid w:val="0058614A"/>
    <w:rsid w:val="00586193"/>
    <w:rsid w:val="005861BD"/>
    <w:rsid w:val="00586354"/>
    <w:rsid w:val="00586603"/>
    <w:rsid w:val="00586614"/>
    <w:rsid w:val="00586904"/>
    <w:rsid w:val="005869B2"/>
    <w:rsid w:val="00586FE0"/>
    <w:rsid w:val="00586FE3"/>
    <w:rsid w:val="00587017"/>
    <w:rsid w:val="005872F3"/>
    <w:rsid w:val="00587332"/>
    <w:rsid w:val="0058751B"/>
    <w:rsid w:val="005875E0"/>
    <w:rsid w:val="005876F0"/>
    <w:rsid w:val="0058778A"/>
    <w:rsid w:val="00587B6B"/>
    <w:rsid w:val="00587C4C"/>
    <w:rsid w:val="00587D90"/>
    <w:rsid w:val="00587EE7"/>
    <w:rsid w:val="00590068"/>
    <w:rsid w:val="00590126"/>
    <w:rsid w:val="0059030E"/>
    <w:rsid w:val="005904AD"/>
    <w:rsid w:val="005904EA"/>
    <w:rsid w:val="005906C2"/>
    <w:rsid w:val="00590910"/>
    <w:rsid w:val="0059098A"/>
    <w:rsid w:val="00590A69"/>
    <w:rsid w:val="00590C34"/>
    <w:rsid w:val="00590CBB"/>
    <w:rsid w:val="00590E68"/>
    <w:rsid w:val="00590ED8"/>
    <w:rsid w:val="00591000"/>
    <w:rsid w:val="005913AC"/>
    <w:rsid w:val="005915DC"/>
    <w:rsid w:val="005916AE"/>
    <w:rsid w:val="00591740"/>
    <w:rsid w:val="00591800"/>
    <w:rsid w:val="00591A06"/>
    <w:rsid w:val="00591B4E"/>
    <w:rsid w:val="00591CED"/>
    <w:rsid w:val="00591CF7"/>
    <w:rsid w:val="00591D0D"/>
    <w:rsid w:val="0059203A"/>
    <w:rsid w:val="00592044"/>
    <w:rsid w:val="00592578"/>
    <w:rsid w:val="00592627"/>
    <w:rsid w:val="0059272E"/>
    <w:rsid w:val="00592852"/>
    <w:rsid w:val="0059290F"/>
    <w:rsid w:val="00592C9C"/>
    <w:rsid w:val="00592E72"/>
    <w:rsid w:val="00592EF4"/>
    <w:rsid w:val="00592FF9"/>
    <w:rsid w:val="00593118"/>
    <w:rsid w:val="00593314"/>
    <w:rsid w:val="005933D9"/>
    <w:rsid w:val="00593471"/>
    <w:rsid w:val="0059361A"/>
    <w:rsid w:val="00593A35"/>
    <w:rsid w:val="00593A52"/>
    <w:rsid w:val="00593A5D"/>
    <w:rsid w:val="00593C13"/>
    <w:rsid w:val="00593CF3"/>
    <w:rsid w:val="00593D8B"/>
    <w:rsid w:val="00593E79"/>
    <w:rsid w:val="00593F70"/>
    <w:rsid w:val="00593FEE"/>
    <w:rsid w:val="00594496"/>
    <w:rsid w:val="00594500"/>
    <w:rsid w:val="00594590"/>
    <w:rsid w:val="005945A0"/>
    <w:rsid w:val="005945FD"/>
    <w:rsid w:val="00594698"/>
    <w:rsid w:val="005947C0"/>
    <w:rsid w:val="00594AC4"/>
    <w:rsid w:val="00594C6C"/>
    <w:rsid w:val="00594D14"/>
    <w:rsid w:val="00594E23"/>
    <w:rsid w:val="005954DB"/>
    <w:rsid w:val="00595832"/>
    <w:rsid w:val="00595AB0"/>
    <w:rsid w:val="00595BEB"/>
    <w:rsid w:val="00595D2D"/>
    <w:rsid w:val="00595DAD"/>
    <w:rsid w:val="00595DB4"/>
    <w:rsid w:val="00595E12"/>
    <w:rsid w:val="00595ECF"/>
    <w:rsid w:val="005962C3"/>
    <w:rsid w:val="00596300"/>
    <w:rsid w:val="00596369"/>
    <w:rsid w:val="00596390"/>
    <w:rsid w:val="00596546"/>
    <w:rsid w:val="0059668D"/>
    <w:rsid w:val="005966BC"/>
    <w:rsid w:val="005969B3"/>
    <w:rsid w:val="00596AEB"/>
    <w:rsid w:val="00596CBA"/>
    <w:rsid w:val="00596D2C"/>
    <w:rsid w:val="00596EF8"/>
    <w:rsid w:val="00596EFD"/>
    <w:rsid w:val="00596FAB"/>
    <w:rsid w:val="0059709A"/>
    <w:rsid w:val="0059726B"/>
    <w:rsid w:val="005972C8"/>
    <w:rsid w:val="005974C4"/>
    <w:rsid w:val="005974C8"/>
    <w:rsid w:val="0059759C"/>
    <w:rsid w:val="00597636"/>
    <w:rsid w:val="005977AD"/>
    <w:rsid w:val="0059780A"/>
    <w:rsid w:val="00597933"/>
    <w:rsid w:val="00597972"/>
    <w:rsid w:val="00597C32"/>
    <w:rsid w:val="00597C82"/>
    <w:rsid w:val="00597DDA"/>
    <w:rsid w:val="005A003A"/>
    <w:rsid w:val="005A0051"/>
    <w:rsid w:val="005A007C"/>
    <w:rsid w:val="005A0256"/>
    <w:rsid w:val="005A03BB"/>
    <w:rsid w:val="005A0435"/>
    <w:rsid w:val="005A0496"/>
    <w:rsid w:val="005A0745"/>
    <w:rsid w:val="005A0851"/>
    <w:rsid w:val="005A0A42"/>
    <w:rsid w:val="005A0ACF"/>
    <w:rsid w:val="005A0B3B"/>
    <w:rsid w:val="005A0BF3"/>
    <w:rsid w:val="005A0C62"/>
    <w:rsid w:val="005A0CC1"/>
    <w:rsid w:val="005A0D41"/>
    <w:rsid w:val="005A0E17"/>
    <w:rsid w:val="005A10E8"/>
    <w:rsid w:val="005A11DC"/>
    <w:rsid w:val="005A12E7"/>
    <w:rsid w:val="005A15C2"/>
    <w:rsid w:val="005A200D"/>
    <w:rsid w:val="005A22D3"/>
    <w:rsid w:val="005A245E"/>
    <w:rsid w:val="005A27CF"/>
    <w:rsid w:val="005A2A2F"/>
    <w:rsid w:val="005A2A90"/>
    <w:rsid w:val="005A2C49"/>
    <w:rsid w:val="005A2C9E"/>
    <w:rsid w:val="005A2EB9"/>
    <w:rsid w:val="005A2EF4"/>
    <w:rsid w:val="005A2FE2"/>
    <w:rsid w:val="005A30FC"/>
    <w:rsid w:val="005A334B"/>
    <w:rsid w:val="005A3AB6"/>
    <w:rsid w:val="005A3D56"/>
    <w:rsid w:val="005A3DDE"/>
    <w:rsid w:val="005A3F9F"/>
    <w:rsid w:val="005A4130"/>
    <w:rsid w:val="005A4413"/>
    <w:rsid w:val="005A4514"/>
    <w:rsid w:val="005A461C"/>
    <w:rsid w:val="005A4832"/>
    <w:rsid w:val="005A48D7"/>
    <w:rsid w:val="005A4C45"/>
    <w:rsid w:val="005A4FBB"/>
    <w:rsid w:val="005A518B"/>
    <w:rsid w:val="005A54B1"/>
    <w:rsid w:val="005A562F"/>
    <w:rsid w:val="005A585D"/>
    <w:rsid w:val="005A5973"/>
    <w:rsid w:val="005A5BAB"/>
    <w:rsid w:val="005A5D92"/>
    <w:rsid w:val="005A5E4B"/>
    <w:rsid w:val="005A60DA"/>
    <w:rsid w:val="005A6206"/>
    <w:rsid w:val="005A623C"/>
    <w:rsid w:val="005A639E"/>
    <w:rsid w:val="005A6446"/>
    <w:rsid w:val="005A64B9"/>
    <w:rsid w:val="005A6512"/>
    <w:rsid w:val="005A666E"/>
    <w:rsid w:val="005A66A0"/>
    <w:rsid w:val="005A683A"/>
    <w:rsid w:val="005A689F"/>
    <w:rsid w:val="005A6AF5"/>
    <w:rsid w:val="005A6D9D"/>
    <w:rsid w:val="005A6F56"/>
    <w:rsid w:val="005A6FA3"/>
    <w:rsid w:val="005A714A"/>
    <w:rsid w:val="005A7391"/>
    <w:rsid w:val="005A742A"/>
    <w:rsid w:val="005A75A3"/>
    <w:rsid w:val="005A76C5"/>
    <w:rsid w:val="005A7789"/>
    <w:rsid w:val="005A786C"/>
    <w:rsid w:val="005A791F"/>
    <w:rsid w:val="005A7924"/>
    <w:rsid w:val="005A7A2F"/>
    <w:rsid w:val="005A7A34"/>
    <w:rsid w:val="005A7AEA"/>
    <w:rsid w:val="005A7B08"/>
    <w:rsid w:val="005A7B79"/>
    <w:rsid w:val="005A7BAD"/>
    <w:rsid w:val="005A7C12"/>
    <w:rsid w:val="005A7CBD"/>
    <w:rsid w:val="005A7DAC"/>
    <w:rsid w:val="005A7EF4"/>
    <w:rsid w:val="005A7F3A"/>
    <w:rsid w:val="005B0272"/>
    <w:rsid w:val="005B0302"/>
    <w:rsid w:val="005B032C"/>
    <w:rsid w:val="005B042B"/>
    <w:rsid w:val="005B0795"/>
    <w:rsid w:val="005B0884"/>
    <w:rsid w:val="005B089A"/>
    <w:rsid w:val="005B0930"/>
    <w:rsid w:val="005B09B7"/>
    <w:rsid w:val="005B09EF"/>
    <w:rsid w:val="005B0A8A"/>
    <w:rsid w:val="005B0AD5"/>
    <w:rsid w:val="005B0AFB"/>
    <w:rsid w:val="005B0B74"/>
    <w:rsid w:val="005B0D46"/>
    <w:rsid w:val="005B0E20"/>
    <w:rsid w:val="005B0E84"/>
    <w:rsid w:val="005B0F5A"/>
    <w:rsid w:val="005B105B"/>
    <w:rsid w:val="005B12CA"/>
    <w:rsid w:val="005B145F"/>
    <w:rsid w:val="005B14C1"/>
    <w:rsid w:val="005B16E4"/>
    <w:rsid w:val="005B187B"/>
    <w:rsid w:val="005B1987"/>
    <w:rsid w:val="005B1B48"/>
    <w:rsid w:val="005B1BF4"/>
    <w:rsid w:val="005B1BFB"/>
    <w:rsid w:val="005B1FFA"/>
    <w:rsid w:val="005B2298"/>
    <w:rsid w:val="005B22D9"/>
    <w:rsid w:val="005B24D5"/>
    <w:rsid w:val="005B267B"/>
    <w:rsid w:val="005B2859"/>
    <w:rsid w:val="005B2C23"/>
    <w:rsid w:val="005B2E00"/>
    <w:rsid w:val="005B2FC7"/>
    <w:rsid w:val="005B3003"/>
    <w:rsid w:val="005B3053"/>
    <w:rsid w:val="005B31C2"/>
    <w:rsid w:val="005B3224"/>
    <w:rsid w:val="005B3297"/>
    <w:rsid w:val="005B3384"/>
    <w:rsid w:val="005B3484"/>
    <w:rsid w:val="005B3778"/>
    <w:rsid w:val="005B3B74"/>
    <w:rsid w:val="005B3B8A"/>
    <w:rsid w:val="005B3BC8"/>
    <w:rsid w:val="005B3C0E"/>
    <w:rsid w:val="005B3CAB"/>
    <w:rsid w:val="005B3D0D"/>
    <w:rsid w:val="005B3D95"/>
    <w:rsid w:val="005B400C"/>
    <w:rsid w:val="005B40D4"/>
    <w:rsid w:val="005B41E1"/>
    <w:rsid w:val="005B4429"/>
    <w:rsid w:val="005B445A"/>
    <w:rsid w:val="005B450A"/>
    <w:rsid w:val="005B4904"/>
    <w:rsid w:val="005B4967"/>
    <w:rsid w:val="005B4BB8"/>
    <w:rsid w:val="005B4C56"/>
    <w:rsid w:val="005B4E82"/>
    <w:rsid w:val="005B5138"/>
    <w:rsid w:val="005B517E"/>
    <w:rsid w:val="005B5389"/>
    <w:rsid w:val="005B5569"/>
    <w:rsid w:val="005B55BA"/>
    <w:rsid w:val="005B588A"/>
    <w:rsid w:val="005B5A5C"/>
    <w:rsid w:val="005B5BD0"/>
    <w:rsid w:val="005B5C15"/>
    <w:rsid w:val="005B5FC2"/>
    <w:rsid w:val="005B608E"/>
    <w:rsid w:val="005B61D3"/>
    <w:rsid w:val="005B626E"/>
    <w:rsid w:val="005B6376"/>
    <w:rsid w:val="005B66C5"/>
    <w:rsid w:val="005B67DA"/>
    <w:rsid w:val="005B6879"/>
    <w:rsid w:val="005B68B1"/>
    <w:rsid w:val="005B6A74"/>
    <w:rsid w:val="005B6CDB"/>
    <w:rsid w:val="005B6D17"/>
    <w:rsid w:val="005B6F32"/>
    <w:rsid w:val="005B6F34"/>
    <w:rsid w:val="005B6FFC"/>
    <w:rsid w:val="005B7024"/>
    <w:rsid w:val="005B73DC"/>
    <w:rsid w:val="005B74BA"/>
    <w:rsid w:val="005B765C"/>
    <w:rsid w:val="005B7914"/>
    <w:rsid w:val="005B7B24"/>
    <w:rsid w:val="005B7CB6"/>
    <w:rsid w:val="005B7D58"/>
    <w:rsid w:val="005B7D9D"/>
    <w:rsid w:val="005B7DA0"/>
    <w:rsid w:val="005B7ED2"/>
    <w:rsid w:val="005B7F17"/>
    <w:rsid w:val="005C001D"/>
    <w:rsid w:val="005C00ED"/>
    <w:rsid w:val="005C0324"/>
    <w:rsid w:val="005C0468"/>
    <w:rsid w:val="005C0484"/>
    <w:rsid w:val="005C063B"/>
    <w:rsid w:val="005C0643"/>
    <w:rsid w:val="005C0723"/>
    <w:rsid w:val="005C075C"/>
    <w:rsid w:val="005C082A"/>
    <w:rsid w:val="005C0831"/>
    <w:rsid w:val="005C08CE"/>
    <w:rsid w:val="005C09F8"/>
    <w:rsid w:val="005C0C90"/>
    <w:rsid w:val="005C0D83"/>
    <w:rsid w:val="005C0DA4"/>
    <w:rsid w:val="005C0DE6"/>
    <w:rsid w:val="005C0DF3"/>
    <w:rsid w:val="005C0E0A"/>
    <w:rsid w:val="005C1546"/>
    <w:rsid w:val="005C18FC"/>
    <w:rsid w:val="005C1968"/>
    <w:rsid w:val="005C19EB"/>
    <w:rsid w:val="005C1A82"/>
    <w:rsid w:val="005C1B3A"/>
    <w:rsid w:val="005C1D38"/>
    <w:rsid w:val="005C1DE3"/>
    <w:rsid w:val="005C1E06"/>
    <w:rsid w:val="005C21AC"/>
    <w:rsid w:val="005C2433"/>
    <w:rsid w:val="005C25E6"/>
    <w:rsid w:val="005C2610"/>
    <w:rsid w:val="005C27A7"/>
    <w:rsid w:val="005C27A8"/>
    <w:rsid w:val="005C28C1"/>
    <w:rsid w:val="005C28EA"/>
    <w:rsid w:val="005C2A10"/>
    <w:rsid w:val="005C2C23"/>
    <w:rsid w:val="005C2C83"/>
    <w:rsid w:val="005C2D85"/>
    <w:rsid w:val="005C2E11"/>
    <w:rsid w:val="005C2F82"/>
    <w:rsid w:val="005C311C"/>
    <w:rsid w:val="005C33FF"/>
    <w:rsid w:val="005C34FD"/>
    <w:rsid w:val="005C35D4"/>
    <w:rsid w:val="005C36FC"/>
    <w:rsid w:val="005C376B"/>
    <w:rsid w:val="005C3971"/>
    <w:rsid w:val="005C39D6"/>
    <w:rsid w:val="005C3AC1"/>
    <w:rsid w:val="005C3BD7"/>
    <w:rsid w:val="005C3BF4"/>
    <w:rsid w:val="005C3C4D"/>
    <w:rsid w:val="005C3D31"/>
    <w:rsid w:val="005C3F4C"/>
    <w:rsid w:val="005C421F"/>
    <w:rsid w:val="005C4483"/>
    <w:rsid w:val="005C45D6"/>
    <w:rsid w:val="005C47BD"/>
    <w:rsid w:val="005C48BD"/>
    <w:rsid w:val="005C4BB4"/>
    <w:rsid w:val="005C4C2C"/>
    <w:rsid w:val="005C4C57"/>
    <w:rsid w:val="005C4ED3"/>
    <w:rsid w:val="005C5062"/>
    <w:rsid w:val="005C50B2"/>
    <w:rsid w:val="005C50EB"/>
    <w:rsid w:val="005C51A9"/>
    <w:rsid w:val="005C51B4"/>
    <w:rsid w:val="005C51CD"/>
    <w:rsid w:val="005C52D3"/>
    <w:rsid w:val="005C52F1"/>
    <w:rsid w:val="005C53A4"/>
    <w:rsid w:val="005C540D"/>
    <w:rsid w:val="005C5770"/>
    <w:rsid w:val="005C586B"/>
    <w:rsid w:val="005C5A70"/>
    <w:rsid w:val="005C5B2A"/>
    <w:rsid w:val="005C5D6D"/>
    <w:rsid w:val="005C5ECA"/>
    <w:rsid w:val="005C5EE1"/>
    <w:rsid w:val="005C5FC1"/>
    <w:rsid w:val="005C6024"/>
    <w:rsid w:val="005C61A6"/>
    <w:rsid w:val="005C61DB"/>
    <w:rsid w:val="005C6219"/>
    <w:rsid w:val="005C6339"/>
    <w:rsid w:val="005C64B2"/>
    <w:rsid w:val="005C6618"/>
    <w:rsid w:val="005C666C"/>
    <w:rsid w:val="005C66DA"/>
    <w:rsid w:val="005C6779"/>
    <w:rsid w:val="005C6A29"/>
    <w:rsid w:val="005C6DE6"/>
    <w:rsid w:val="005C6E76"/>
    <w:rsid w:val="005C6E8E"/>
    <w:rsid w:val="005C6EB2"/>
    <w:rsid w:val="005C711D"/>
    <w:rsid w:val="005C732A"/>
    <w:rsid w:val="005C75B6"/>
    <w:rsid w:val="005C75D7"/>
    <w:rsid w:val="005C77EE"/>
    <w:rsid w:val="005C78D9"/>
    <w:rsid w:val="005C795E"/>
    <w:rsid w:val="005C79C8"/>
    <w:rsid w:val="005C7EFB"/>
    <w:rsid w:val="005C7F02"/>
    <w:rsid w:val="005D01D6"/>
    <w:rsid w:val="005D06A5"/>
    <w:rsid w:val="005D0704"/>
    <w:rsid w:val="005D08D1"/>
    <w:rsid w:val="005D0BC4"/>
    <w:rsid w:val="005D0BE5"/>
    <w:rsid w:val="005D0E05"/>
    <w:rsid w:val="005D0E9E"/>
    <w:rsid w:val="005D0F40"/>
    <w:rsid w:val="005D0FC0"/>
    <w:rsid w:val="005D11AA"/>
    <w:rsid w:val="005D16F0"/>
    <w:rsid w:val="005D17B6"/>
    <w:rsid w:val="005D1822"/>
    <w:rsid w:val="005D183D"/>
    <w:rsid w:val="005D19AF"/>
    <w:rsid w:val="005D1A01"/>
    <w:rsid w:val="005D1CFD"/>
    <w:rsid w:val="005D1E57"/>
    <w:rsid w:val="005D1F0E"/>
    <w:rsid w:val="005D2187"/>
    <w:rsid w:val="005D218B"/>
    <w:rsid w:val="005D220C"/>
    <w:rsid w:val="005D2210"/>
    <w:rsid w:val="005D238A"/>
    <w:rsid w:val="005D2713"/>
    <w:rsid w:val="005D29DC"/>
    <w:rsid w:val="005D2BFF"/>
    <w:rsid w:val="005D2C0E"/>
    <w:rsid w:val="005D2CEB"/>
    <w:rsid w:val="005D2E6A"/>
    <w:rsid w:val="005D2F03"/>
    <w:rsid w:val="005D2F79"/>
    <w:rsid w:val="005D2F88"/>
    <w:rsid w:val="005D310F"/>
    <w:rsid w:val="005D32E4"/>
    <w:rsid w:val="005D334D"/>
    <w:rsid w:val="005D338F"/>
    <w:rsid w:val="005D33C7"/>
    <w:rsid w:val="005D33D0"/>
    <w:rsid w:val="005D34E6"/>
    <w:rsid w:val="005D3876"/>
    <w:rsid w:val="005D3ABF"/>
    <w:rsid w:val="005D3BE9"/>
    <w:rsid w:val="005D3C67"/>
    <w:rsid w:val="005D3CB1"/>
    <w:rsid w:val="005D3CB2"/>
    <w:rsid w:val="005D3CF3"/>
    <w:rsid w:val="005D3D48"/>
    <w:rsid w:val="005D3E57"/>
    <w:rsid w:val="005D3F34"/>
    <w:rsid w:val="005D3F90"/>
    <w:rsid w:val="005D3FE4"/>
    <w:rsid w:val="005D4056"/>
    <w:rsid w:val="005D416B"/>
    <w:rsid w:val="005D4526"/>
    <w:rsid w:val="005D49BF"/>
    <w:rsid w:val="005D49F7"/>
    <w:rsid w:val="005D4BDE"/>
    <w:rsid w:val="005D4C35"/>
    <w:rsid w:val="005D4C94"/>
    <w:rsid w:val="005D4D93"/>
    <w:rsid w:val="005D4F32"/>
    <w:rsid w:val="005D4FCF"/>
    <w:rsid w:val="005D509A"/>
    <w:rsid w:val="005D5216"/>
    <w:rsid w:val="005D52F6"/>
    <w:rsid w:val="005D5585"/>
    <w:rsid w:val="005D5770"/>
    <w:rsid w:val="005D59F4"/>
    <w:rsid w:val="005D5AFE"/>
    <w:rsid w:val="005D5B3C"/>
    <w:rsid w:val="005D5BCD"/>
    <w:rsid w:val="005D5BF2"/>
    <w:rsid w:val="005D5D51"/>
    <w:rsid w:val="005D5DB5"/>
    <w:rsid w:val="005D5ECF"/>
    <w:rsid w:val="005D5F21"/>
    <w:rsid w:val="005D5F71"/>
    <w:rsid w:val="005D6178"/>
    <w:rsid w:val="005D626D"/>
    <w:rsid w:val="005D6378"/>
    <w:rsid w:val="005D63BD"/>
    <w:rsid w:val="005D6428"/>
    <w:rsid w:val="005D6455"/>
    <w:rsid w:val="005D65A6"/>
    <w:rsid w:val="005D66A1"/>
    <w:rsid w:val="005D6915"/>
    <w:rsid w:val="005D6949"/>
    <w:rsid w:val="005D6AA2"/>
    <w:rsid w:val="005D6B81"/>
    <w:rsid w:val="005D6BDD"/>
    <w:rsid w:val="005D6CD7"/>
    <w:rsid w:val="005D6CED"/>
    <w:rsid w:val="005D6E7C"/>
    <w:rsid w:val="005D6F80"/>
    <w:rsid w:val="005D6F83"/>
    <w:rsid w:val="005D7121"/>
    <w:rsid w:val="005D733B"/>
    <w:rsid w:val="005D781F"/>
    <w:rsid w:val="005D7976"/>
    <w:rsid w:val="005D7AF3"/>
    <w:rsid w:val="005D7D7B"/>
    <w:rsid w:val="005D7F6A"/>
    <w:rsid w:val="005D7FB2"/>
    <w:rsid w:val="005E0041"/>
    <w:rsid w:val="005E011A"/>
    <w:rsid w:val="005E01CE"/>
    <w:rsid w:val="005E0358"/>
    <w:rsid w:val="005E06A5"/>
    <w:rsid w:val="005E0740"/>
    <w:rsid w:val="005E07D3"/>
    <w:rsid w:val="005E0861"/>
    <w:rsid w:val="005E0989"/>
    <w:rsid w:val="005E09F6"/>
    <w:rsid w:val="005E0B48"/>
    <w:rsid w:val="005E0B8A"/>
    <w:rsid w:val="005E0C07"/>
    <w:rsid w:val="005E0C1E"/>
    <w:rsid w:val="005E0C21"/>
    <w:rsid w:val="005E0C79"/>
    <w:rsid w:val="005E0EAE"/>
    <w:rsid w:val="005E101E"/>
    <w:rsid w:val="005E11BA"/>
    <w:rsid w:val="005E132A"/>
    <w:rsid w:val="005E166B"/>
    <w:rsid w:val="005E171A"/>
    <w:rsid w:val="005E171E"/>
    <w:rsid w:val="005E172E"/>
    <w:rsid w:val="005E189A"/>
    <w:rsid w:val="005E18CD"/>
    <w:rsid w:val="005E1963"/>
    <w:rsid w:val="005E1AED"/>
    <w:rsid w:val="005E1B82"/>
    <w:rsid w:val="005E1C39"/>
    <w:rsid w:val="005E1DDD"/>
    <w:rsid w:val="005E1FAF"/>
    <w:rsid w:val="005E209B"/>
    <w:rsid w:val="005E20B4"/>
    <w:rsid w:val="005E2276"/>
    <w:rsid w:val="005E2357"/>
    <w:rsid w:val="005E23BA"/>
    <w:rsid w:val="005E2508"/>
    <w:rsid w:val="005E2B1A"/>
    <w:rsid w:val="005E2B6B"/>
    <w:rsid w:val="005E2CE8"/>
    <w:rsid w:val="005E3235"/>
    <w:rsid w:val="005E3409"/>
    <w:rsid w:val="005E34A8"/>
    <w:rsid w:val="005E34B6"/>
    <w:rsid w:val="005E3610"/>
    <w:rsid w:val="005E3A42"/>
    <w:rsid w:val="005E3C27"/>
    <w:rsid w:val="005E3CF2"/>
    <w:rsid w:val="005E3E4B"/>
    <w:rsid w:val="005E3F24"/>
    <w:rsid w:val="005E4035"/>
    <w:rsid w:val="005E4089"/>
    <w:rsid w:val="005E413E"/>
    <w:rsid w:val="005E414D"/>
    <w:rsid w:val="005E4164"/>
    <w:rsid w:val="005E430C"/>
    <w:rsid w:val="005E4424"/>
    <w:rsid w:val="005E478F"/>
    <w:rsid w:val="005E48A4"/>
    <w:rsid w:val="005E49A9"/>
    <w:rsid w:val="005E4A7D"/>
    <w:rsid w:val="005E4BEE"/>
    <w:rsid w:val="005E4E43"/>
    <w:rsid w:val="005E4E97"/>
    <w:rsid w:val="005E4EC8"/>
    <w:rsid w:val="005E5091"/>
    <w:rsid w:val="005E5119"/>
    <w:rsid w:val="005E5120"/>
    <w:rsid w:val="005E53C5"/>
    <w:rsid w:val="005E567E"/>
    <w:rsid w:val="005E5794"/>
    <w:rsid w:val="005E5829"/>
    <w:rsid w:val="005E586A"/>
    <w:rsid w:val="005E5A11"/>
    <w:rsid w:val="005E5AFB"/>
    <w:rsid w:val="005E5B64"/>
    <w:rsid w:val="005E5B9A"/>
    <w:rsid w:val="005E5BB2"/>
    <w:rsid w:val="005E5D32"/>
    <w:rsid w:val="005E5DD8"/>
    <w:rsid w:val="005E5ED3"/>
    <w:rsid w:val="005E5EDE"/>
    <w:rsid w:val="005E5EF3"/>
    <w:rsid w:val="005E6081"/>
    <w:rsid w:val="005E60B5"/>
    <w:rsid w:val="005E6167"/>
    <w:rsid w:val="005E617E"/>
    <w:rsid w:val="005E6212"/>
    <w:rsid w:val="005E62C5"/>
    <w:rsid w:val="005E631E"/>
    <w:rsid w:val="005E643C"/>
    <w:rsid w:val="005E64D6"/>
    <w:rsid w:val="005E6711"/>
    <w:rsid w:val="005E6B0B"/>
    <w:rsid w:val="005E6CBB"/>
    <w:rsid w:val="005E6CBE"/>
    <w:rsid w:val="005E6D30"/>
    <w:rsid w:val="005E6E18"/>
    <w:rsid w:val="005E7321"/>
    <w:rsid w:val="005E7373"/>
    <w:rsid w:val="005E742F"/>
    <w:rsid w:val="005E7456"/>
    <w:rsid w:val="005E747F"/>
    <w:rsid w:val="005E75D6"/>
    <w:rsid w:val="005E7655"/>
    <w:rsid w:val="005E7964"/>
    <w:rsid w:val="005E79E4"/>
    <w:rsid w:val="005E79F9"/>
    <w:rsid w:val="005E7A52"/>
    <w:rsid w:val="005E7B5D"/>
    <w:rsid w:val="005E7B61"/>
    <w:rsid w:val="005E7CE7"/>
    <w:rsid w:val="005E7E4C"/>
    <w:rsid w:val="005E7ED9"/>
    <w:rsid w:val="005F00C3"/>
    <w:rsid w:val="005F011D"/>
    <w:rsid w:val="005F028E"/>
    <w:rsid w:val="005F0697"/>
    <w:rsid w:val="005F0751"/>
    <w:rsid w:val="005F0920"/>
    <w:rsid w:val="005F0C4E"/>
    <w:rsid w:val="005F0E72"/>
    <w:rsid w:val="005F0F63"/>
    <w:rsid w:val="005F0F79"/>
    <w:rsid w:val="005F10CA"/>
    <w:rsid w:val="005F1152"/>
    <w:rsid w:val="005F119C"/>
    <w:rsid w:val="005F11C2"/>
    <w:rsid w:val="005F1571"/>
    <w:rsid w:val="005F1641"/>
    <w:rsid w:val="005F17E7"/>
    <w:rsid w:val="005F19B6"/>
    <w:rsid w:val="005F19D6"/>
    <w:rsid w:val="005F1A3C"/>
    <w:rsid w:val="005F1D2A"/>
    <w:rsid w:val="005F1DF9"/>
    <w:rsid w:val="005F1F2C"/>
    <w:rsid w:val="005F20B7"/>
    <w:rsid w:val="005F20EF"/>
    <w:rsid w:val="005F2130"/>
    <w:rsid w:val="005F2231"/>
    <w:rsid w:val="005F227C"/>
    <w:rsid w:val="005F2474"/>
    <w:rsid w:val="005F2A29"/>
    <w:rsid w:val="005F2ADC"/>
    <w:rsid w:val="005F2B05"/>
    <w:rsid w:val="005F2B15"/>
    <w:rsid w:val="005F2C4C"/>
    <w:rsid w:val="005F2C74"/>
    <w:rsid w:val="005F2D1B"/>
    <w:rsid w:val="005F2EFF"/>
    <w:rsid w:val="005F3075"/>
    <w:rsid w:val="005F309E"/>
    <w:rsid w:val="005F30A2"/>
    <w:rsid w:val="005F3397"/>
    <w:rsid w:val="005F36DE"/>
    <w:rsid w:val="005F388E"/>
    <w:rsid w:val="005F3B9C"/>
    <w:rsid w:val="005F3BAC"/>
    <w:rsid w:val="005F3C7E"/>
    <w:rsid w:val="005F3EC1"/>
    <w:rsid w:val="005F4012"/>
    <w:rsid w:val="005F421B"/>
    <w:rsid w:val="005F4428"/>
    <w:rsid w:val="005F453A"/>
    <w:rsid w:val="005F4563"/>
    <w:rsid w:val="005F474B"/>
    <w:rsid w:val="005F4774"/>
    <w:rsid w:val="005F4939"/>
    <w:rsid w:val="005F49DB"/>
    <w:rsid w:val="005F4A48"/>
    <w:rsid w:val="005F4A60"/>
    <w:rsid w:val="005F4B50"/>
    <w:rsid w:val="005F4B80"/>
    <w:rsid w:val="005F4CB1"/>
    <w:rsid w:val="005F4F86"/>
    <w:rsid w:val="005F4FC2"/>
    <w:rsid w:val="005F4FCA"/>
    <w:rsid w:val="005F5064"/>
    <w:rsid w:val="005F50CA"/>
    <w:rsid w:val="005F50E6"/>
    <w:rsid w:val="005F517C"/>
    <w:rsid w:val="005F5225"/>
    <w:rsid w:val="005F5428"/>
    <w:rsid w:val="005F571E"/>
    <w:rsid w:val="005F5780"/>
    <w:rsid w:val="005F5799"/>
    <w:rsid w:val="005F58BC"/>
    <w:rsid w:val="005F5C47"/>
    <w:rsid w:val="005F5EF5"/>
    <w:rsid w:val="005F5F7B"/>
    <w:rsid w:val="005F5FF7"/>
    <w:rsid w:val="005F6082"/>
    <w:rsid w:val="005F6177"/>
    <w:rsid w:val="005F63B0"/>
    <w:rsid w:val="005F6720"/>
    <w:rsid w:val="005F67CC"/>
    <w:rsid w:val="005F67DD"/>
    <w:rsid w:val="005F67FD"/>
    <w:rsid w:val="005F6906"/>
    <w:rsid w:val="005F6AD0"/>
    <w:rsid w:val="005F6BB9"/>
    <w:rsid w:val="005F6E0D"/>
    <w:rsid w:val="005F6E56"/>
    <w:rsid w:val="005F6EF0"/>
    <w:rsid w:val="005F6F1A"/>
    <w:rsid w:val="005F6F1E"/>
    <w:rsid w:val="005F6F27"/>
    <w:rsid w:val="005F6F8B"/>
    <w:rsid w:val="005F7013"/>
    <w:rsid w:val="005F733E"/>
    <w:rsid w:val="005F73F9"/>
    <w:rsid w:val="005F75A8"/>
    <w:rsid w:val="005F75D6"/>
    <w:rsid w:val="005F7704"/>
    <w:rsid w:val="005F783C"/>
    <w:rsid w:val="005F7AF9"/>
    <w:rsid w:val="005F7C47"/>
    <w:rsid w:val="00600124"/>
    <w:rsid w:val="006001BC"/>
    <w:rsid w:val="00600348"/>
    <w:rsid w:val="006003C6"/>
    <w:rsid w:val="00600607"/>
    <w:rsid w:val="00600A33"/>
    <w:rsid w:val="00600A8D"/>
    <w:rsid w:val="00600BE8"/>
    <w:rsid w:val="00600CA8"/>
    <w:rsid w:val="00600E6A"/>
    <w:rsid w:val="00600ED4"/>
    <w:rsid w:val="00600F97"/>
    <w:rsid w:val="00601168"/>
    <w:rsid w:val="00601208"/>
    <w:rsid w:val="006012B9"/>
    <w:rsid w:val="0060140C"/>
    <w:rsid w:val="006014A8"/>
    <w:rsid w:val="0060153C"/>
    <w:rsid w:val="00601657"/>
    <w:rsid w:val="006016F8"/>
    <w:rsid w:val="006018D2"/>
    <w:rsid w:val="00601AE1"/>
    <w:rsid w:val="00601D01"/>
    <w:rsid w:val="00601F00"/>
    <w:rsid w:val="006020BA"/>
    <w:rsid w:val="006021F3"/>
    <w:rsid w:val="0060220C"/>
    <w:rsid w:val="00602281"/>
    <w:rsid w:val="006024B0"/>
    <w:rsid w:val="006025DD"/>
    <w:rsid w:val="006026AD"/>
    <w:rsid w:val="00602A76"/>
    <w:rsid w:val="00602BA7"/>
    <w:rsid w:val="00602C13"/>
    <w:rsid w:val="00602CF1"/>
    <w:rsid w:val="00602DF3"/>
    <w:rsid w:val="00602E3F"/>
    <w:rsid w:val="00602E63"/>
    <w:rsid w:val="00602E6C"/>
    <w:rsid w:val="00602FFF"/>
    <w:rsid w:val="0060313F"/>
    <w:rsid w:val="006031C8"/>
    <w:rsid w:val="0060327B"/>
    <w:rsid w:val="006033D9"/>
    <w:rsid w:val="006034BC"/>
    <w:rsid w:val="00603514"/>
    <w:rsid w:val="0060356D"/>
    <w:rsid w:val="006039D4"/>
    <w:rsid w:val="00603B20"/>
    <w:rsid w:val="00603CAB"/>
    <w:rsid w:val="00603E2B"/>
    <w:rsid w:val="00603EC1"/>
    <w:rsid w:val="00603F18"/>
    <w:rsid w:val="00603FD5"/>
    <w:rsid w:val="00603FE3"/>
    <w:rsid w:val="00603FED"/>
    <w:rsid w:val="00604067"/>
    <w:rsid w:val="0060411F"/>
    <w:rsid w:val="0060417B"/>
    <w:rsid w:val="00604405"/>
    <w:rsid w:val="0060451B"/>
    <w:rsid w:val="006048EC"/>
    <w:rsid w:val="00604908"/>
    <w:rsid w:val="00604953"/>
    <w:rsid w:val="00604976"/>
    <w:rsid w:val="00604B39"/>
    <w:rsid w:val="00604BCC"/>
    <w:rsid w:val="00605105"/>
    <w:rsid w:val="00605261"/>
    <w:rsid w:val="00605362"/>
    <w:rsid w:val="0060580F"/>
    <w:rsid w:val="00605819"/>
    <w:rsid w:val="0060587A"/>
    <w:rsid w:val="0060589B"/>
    <w:rsid w:val="0060591F"/>
    <w:rsid w:val="00605B2B"/>
    <w:rsid w:val="00605D57"/>
    <w:rsid w:val="00605ECF"/>
    <w:rsid w:val="00605FE6"/>
    <w:rsid w:val="00605FEC"/>
    <w:rsid w:val="00606183"/>
    <w:rsid w:val="006061C1"/>
    <w:rsid w:val="00606274"/>
    <w:rsid w:val="006062DC"/>
    <w:rsid w:val="006062DD"/>
    <w:rsid w:val="00606617"/>
    <w:rsid w:val="006068BF"/>
    <w:rsid w:val="00606A89"/>
    <w:rsid w:val="00606AA6"/>
    <w:rsid w:val="00606B21"/>
    <w:rsid w:val="00606DD5"/>
    <w:rsid w:val="0060717E"/>
    <w:rsid w:val="00607401"/>
    <w:rsid w:val="006076FE"/>
    <w:rsid w:val="006077BB"/>
    <w:rsid w:val="006077ED"/>
    <w:rsid w:val="006078A7"/>
    <w:rsid w:val="006078E0"/>
    <w:rsid w:val="00607A93"/>
    <w:rsid w:val="00607BB9"/>
    <w:rsid w:val="00607C0F"/>
    <w:rsid w:val="00607CB2"/>
    <w:rsid w:val="00607E1D"/>
    <w:rsid w:val="0061023B"/>
    <w:rsid w:val="00610502"/>
    <w:rsid w:val="0061059B"/>
    <w:rsid w:val="00610905"/>
    <w:rsid w:val="00610988"/>
    <w:rsid w:val="00610E5B"/>
    <w:rsid w:val="00610E87"/>
    <w:rsid w:val="00610EE2"/>
    <w:rsid w:val="00610FA5"/>
    <w:rsid w:val="0061111A"/>
    <w:rsid w:val="00611155"/>
    <w:rsid w:val="0061117E"/>
    <w:rsid w:val="00611217"/>
    <w:rsid w:val="00611513"/>
    <w:rsid w:val="006115B5"/>
    <w:rsid w:val="00611866"/>
    <w:rsid w:val="00611908"/>
    <w:rsid w:val="00611A7A"/>
    <w:rsid w:val="00611AE0"/>
    <w:rsid w:val="00611B7E"/>
    <w:rsid w:val="00611BBC"/>
    <w:rsid w:val="00611EEA"/>
    <w:rsid w:val="00612052"/>
    <w:rsid w:val="00612178"/>
    <w:rsid w:val="0061235D"/>
    <w:rsid w:val="006125FA"/>
    <w:rsid w:val="00612953"/>
    <w:rsid w:val="006129BE"/>
    <w:rsid w:val="00612AD8"/>
    <w:rsid w:val="00612CDF"/>
    <w:rsid w:val="00612D8B"/>
    <w:rsid w:val="00613147"/>
    <w:rsid w:val="006132E1"/>
    <w:rsid w:val="00613715"/>
    <w:rsid w:val="0061373E"/>
    <w:rsid w:val="006137B4"/>
    <w:rsid w:val="00613927"/>
    <w:rsid w:val="00613940"/>
    <w:rsid w:val="006139A0"/>
    <w:rsid w:val="00613B5C"/>
    <w:rsid w:val="0061416C"/>
    <w:rsid w:val="00614249"/>
    <w:rsid w:val="00614412"/>
    <w:rsid w:val="00614644"/>
    <w:rsid w:val="006147C1"/>
    <w:rsid w:val="0061482B"/>
    <w:rsid w:val="00614874"/>
    <w:rsid w:val="006149E9"/>
    <w:rsid w:val="00614B41"/>
    <w:rsid w:val="00614EFD"/>
    <w:rsid w:val="00614F7F"/>
    <w:rsid w:val="0061527F"/>
    <w:rsid w:val="00615698"/>
    <w:rsid w:val="006156A7"/>
    <w:rsid w:val="006157AF"/>
    <w:rsid w:val="006157FD"/>
    <w:rsid w:val="00615B87"/>
    <w:rsid w:val="00615CC0"/>
    <w:rsid w:val="00615D2B"/>
    <w:rsid w:val="00615F28"/>
    <w:rsid w:val="00616090"/>
    <w:rsid w:val="0061622F"/>
    <w:rsid w:val="00616403"/>
    <w:rsid w:val="006164E3"/>
    <w:rsid w:val="006164F6"/>
    <w:rsid w:val="00616578"/>
    <w:rsid w:val="006165E1"/>
    <w:rsid w:val="00616660"/>
    <w:rsid w:val="00616786"/>
    <w:rsid w:val="0061690D"/>
    <w:rsid w:val="00616927"/>
    <w:rsid w:val="00616C1A"/>
    <w:rsid w:val="00616D55"/>
    <w:rsid w:val="00616DC8"/>
    <w:rsid w:val="00616F85"/>
    <w:rsid w:val="0061703E"/>
    <w:rsid w:val="00617454"/>
    <w:rsid w:val="0061754C"/>
    <w:rsid w:val="00617778"/>
    <w:rsid w:val="00617935"/>
    <w:rsid w:val="00617A8B"/>
    <w:rsid w:val="00617C2A"/>
    <w:rsid w:val="00617CE7"/>
    <w:rsid w:val="00617D79"/>
    <w:rsid w:val="00617FEC"/>
    <w:rsid w:val="006205C5"/>
    <w:rsid w:val="006205C9"/>
    <w:rsid w:val="006208DE"/>
    <w:rsid w:val="00620B9A"/>
    <w:rsid w:val="00620BEF"/>
    <w:rsid w:val="00620D16"/>
    <w:rsid w:val="00620E63"/>
    <w:rsid w:val="00621183"/>
    <w:rsid w:val="006211BA"/>
    <w:rsid w:val="006211C1"/>
    <w:rsid w:val="0062143E"/>
    <w:rsid w:val="00621459"/>
    <w:rsid w:val="00621516"/>
    <w:rsid w:val="006218CC"/>
    <w:rsid w:val="006219F5"/>
    <w:rsid w:val="00621BA2"/>
    <w:rsid w:val="00621EB3"/>
    <w:rsid w:val="00621ECB"/>
    <w:rsid w:val="00621F94"/>
    <w:rsid w:val="00621FD5"/>
    <w:rsid w:val="006220C3"/>
    <w:rsid w:val="0062218D"/>
    <w:rsid w:val="0062219E"/>
    <w:rsid w:val="006226F5"/>
    <w:rsid w:val="00622922"/>
    <w:rsid w:val="00622966"/>
    <w:rsid w:val="00622B9B"/>
    <w:rsid w:val="00622E32"/>
    <w:rsid w:val="00622E41"/>
    <w:rsid w:val="00622F84"/>
    <w:rsid w:val="00622F90"/>
    <w:rsid w:val="0062325D"/>
    <w:rsid w:val="0062332E"/>
    <w:rsid w:val="00623365"/>
    <w:rsid w:val="00623370"/>
    <w:rsid w:val="006235DC"/>
    <w:rsid w:val="00623710"/>
    <w:rsid w:val="0062377A"/>
    <w:rsid w:val="00623833"/>
    <w:rsid w:val="0062389A"/>
    <w:rsid w:val="006238DE"/>
    <w:rsid w:val="006238EE"/>
    <w:rsid w:val="006239D1"/>
    <w:rsid w:val="006239EF"/>
    <w:rsid w:val="006239FE"/>
    <w:rsid w:val="00623BDA"/>
    <w:rsid w:val="00623F40"/>
    <w:rsid w:val="00624257"/>
    <w:rsid w:val="0062436D"/>
    <w:rsid w:val="0062438C"/>
    <w:rsid w:val="00624405"/>
    <w:rsid w:val="006245BE"/>
    <w:rsid w:val="0062460A"/>
    <w:rsid w:val="0062472A"/>
    <w:rsid w:val="0062481C"/>
    <w:rsid w:val="00624835"/>
    <w:rsid w:val="00624975"/>
    <w:rsid w:val="006249EF"/>
    <w:rsid w:val="00624B42"/>
    <w:rsid w:val="00624B88"/>
    <w:rsid w:val="00624BB5"/>
    <w:rsid w:val="00624CC7"/>
    <w:rsid w:val="00624EDD"/>
    <w:rsid w:val="00624F80"/>
    <w:rsid w:val="00624F8E"/>
    <w:rsid w:val="00624FFF"/>
    <w:rsid w:val="00625035"/>
    <w:rsid w:val="0062508E"/>
    <w:rsid w:val="0062533A"/>
    <w:rsid w:val="00625561"/>
    <w:rsid w:val="00625608"/>
    <w:rsid w:val="00625673"/>
    <w:rsid w:val="006256DA"/>
    <w:rsid w:val="00625747"/>
    <w:rsid w:val="00625940"/>
    <w:rsid w:val="00625A1D"/>
    <w:rsid w:val="00625B00"/>
    <w:rsid w:val="00625D02"/>
    <w:rsid w:val="00625E16"/>
    <w:rsid w:val="00625E9C"/>
    <w:rsid w:val="00625F96"/>
    <w:rsid w:val="00626224"/>
    <w:rsid w:val="00626300"/>
    <w:rsid w:val="0062634E"/>
    <w:rsid w:val="006263FE"/>
    <w:rsid w:val="00626567"/>
    <w:rsid w:val="006267CA"/>
    <w:rsid w:val="00626817"/>
    <w:rsid w:val="0062694E"/>
    <w:rsid w:val="006269AF"/>
    <w:rsid w:val="00626B13"/>
    <w:rsid w:val="00626CD1"/>
    <w:rsid w:val="00626E70"/>
    <w:rsid w:val="006270F0"/>
    <w:rsid w:val="00627114"/>
    <w:rsid w:val="006273ED"/>
    <w:rsid w:val="006276E8"/>
    <w:rsid w:val="00627869"/>
    <w:rsid w:val="00627AEB"/>
    <w:rsid w:val="00627C0E"/>
    <w:rsid w:val="00627C2A"/>
    <w:rsid w:val="00627D4B"/>
    <w:rsid w:val="00627D57"/>
    <w:rsid w:val="00627DED"/>
    <w:rsid w:val="00627E25"/>
    <w:rsid w:val="00627ED0"/>
    <w:rsid w:val="0063019D"/>
    <w:rsid w:val="0063048E"/>
    <w:rsid w:val="006305B7"/>
    <w:rsid w:val="0063074E"/>
    <w:rsid w:val="0063089C"/>
    <w:rsid w:val="00630918"/>
    <w:rsid w:val="00630DB3"/>
    <w:rsid w:val="00630DF7"/>
    <w:rsid w:val="00630EC6"/>
    <w:rsid w:val="00630F74"/>
    <w:rsid w:val="0063101F"/>
    <w:rsid w:val="006311B9"/>
    <w:rsid w:val="0063130E"/>
    <w:rsid w:val="0063146A"/>
    <w:rsid w:val="006315F3"/>
    <w:rsid w:val="0063164F"/>
    <w:rsid w:val="00631719"/>
    <w:rsid w:val="00631732"/>
    <w:rsid w:val="0063195F"/>
    <w:rsid w:val="00631CEE"/>
    <w:rsid w:val="00631D12"/>
    <w:rsid w:val="00631E1E"/>
    <w:rsid w:val="00631F3B"/>
    <w:rsid w:val="00632066"/>
    <w:rsid w:val="006321AB"/>
    <w:rsid w:val="006321BA"/>
    <w:rsid w:val="006323A4"/>
    <w:rsid w:val="006323C1"/>
    <w:rsid w:val="006324AB"/>
    <w:rsid w:val="00632738"/>
    <w:rsid w:val="0063275D"/>
    <w:rsid w:val="006329AC"/>
    <w:rsid w:val="00632AFF"/>
    <w:rsid w:val="00632BC4"/>
    <w:rsid w:val="00632FB4"/>
    <w:rsid w:val="0063316C"/>
    <w:rsid w:val="006333FC"/>
    <w:rsid w:val="00633509"/>
    <w:rsid w:val="006335DD"/>
    <w:rsid w:val="006337C7"/>
    <w:rsid w:val="00633945"/>
    <w:rsid w:val="00633A4D"/>
    <w:rsid w:val="00633C61"/>
    <w:rsid w:val="00633CDB"/>
    <w:rsid w:val="00633DFB"/>
    <w:rsid w:val="00633E9A"/>
    <w:rsid w:val="00633FDA"/>
    <w:rsid w:val="006341E2"/>
    <w:rsid w:val="0063429D"/>
    <w:rsid w:val="00634303"/>
    <w:rsid w:val="0063475C"/>
    <w:rsid w:val="0063486D"/>
    <w:rsid w:val="006348B5"/>
    <w:rsid w:val="00634955"/>
    <w:rsid w:val="006349B8"/>
    <w:rsid w:val="006349C1"/>
    <w:rsid w:val="00634C1A"/>
    <w:rsid w:val="00634C6C"/>
    <w:rsid w:val="00634E8E"/>
    <w:rsid w:val="006351CF"/>
    <w:rsid w:val="00635308"/>
    <w:rsid w:val="0063550A"/>
    <w:rsid w:val="0063573A"/>
    <w:rsid w:val="0063586A"/>
    <w:rsid w:val="00635A43"/>
    <w:rsid w:val="00635C37"/>
    <w:rsid w:val="00635ECD"/>
    <w:rsid w:val="006360AF"/>
    <w:rsid w:val="0063613F"/>
    <w:rsid w:val="00636194"/>
    <w:rsid w:val="006361A3"/>
    <w:rsid w:val="006361D6"/>
    <w:rsid w:val="0063621E"/>
    <w:rsid w:val="006362C8"/>
    <w:rsid w:val="006366F1"/>
    <w:rsid w:val="00636876"/>
    <w:rsid w:val="00636A30"/>
    <w:rsid w:val="00636A7A"/>
    <w:rsid w:val="00636C28"/>
    <w:rsid w:val="00636D9B"/>
    <w:rsid w:val="00636E55"/>
    <w:rsid w:val="00636F43"/>
    <w:rsid w:val="00636F4B"/>
    <w:rsid w:val="00636F5B"/>
    <w:rsid w:val="00636FD2"/>
    <w:rsid w:val="006370DB"/>
    <w:rsid w:val="0063716B"/>
    <w:rsid w:val="00637400"/>
    <w:rsid w:val="006374C5"/>
    <w:rsid w:val="0063758D"/>
    <w:rsid w:val="006375D9"/>
    <w:rsid w:val="00637715"/>
    <w:rsid w:val="0063794D"/>
    <w:rsid w:val="0063799D"/>
    <w:rsid w:val="00637A6C"/>
    <w:rsid w:val="00637ACF"/>
    <w:rsid w:val="00637D2F"/>
    <w:rsid w:val="00637ED8"/>
    <w:rsid w:val="006401A9"/>
    <w:rsid w:val="00640232"/>
    <w:rsid w:val="00640258"/>
    <w:rsid w:val="00640316"/>
    <w:rsid w:val="006403C1"/>
    <w:rsid w:val="00640802"/>
    <w:rsid w:val="006408C1"/>
    <w:rsid w:val="0064093C"/>
    <w:rsid w:val="00640A1B"/>
    <w:rsid w:val="00640A1F"/>
    <w:rsid w:val="00640A8A"/>
    <w:rsid w:val="00640AB7"/>
    <w:rsid w:val="00640C40"/>
    <w:rsid w:val="00640DF1"/>
    <w:rsid w:val="00641000"/>
    <w:rsid w:val="006411A5"/>
    <w:rsid w:val="00641552"/>
    <w:rsid w:val="006416EF"/>
    <w:rsid w:val="00641999"/>
    <w:rsid w:val="00641A4B"/>
    <w:rsid w:val="00641AA8"/>
    <w:rsid w:val="00641BC5"/>
    <w:rsid w:val="00641BEA"/>
    <w:rsid w:val="0064205B"/>
    <w:rsid w:val="006421BC"/>
    <w:rsid w:val="006421D9"/>
    <w:rsid w:val="00642410"/>
    <w:rsid w:val="0064247B"/>
    <w:rsid w:val="006425C3"/>
    <w:rsid w:val="00642819"/>
    <w:rsid w:val="0064290F"/>
    <w:rsid w:val="00642945"/>
    <w:rsid w:val="006429AB"/>
    <w:rsid w:val="00642A85"/>
    <w:rsid w:val="00642EBF"/>
    <w:rsid w:val="00642F38"/>
    <w:rsid w:val="00643215"/>
    <w:rsid w:val="00643275"/>
    <w:rsid w:val="006432AA"/>
    <w:rsid w:val="006432BF"/>
    <w:rsid w:val="00643437"/>
    <w:rsid w:val="006436FD"/>
    <w:rsid w:val="00643C73"/>
    <w:rsid w:val="00643EB5"/>
    <w:rsid w:val="00643F70"/>
    <w:rsid w:val="00643F7B"/>
    <w:rsid w:val="00644000"/>
    <w:rsid w:val="0064411F"/>
    <w:rsid w:val="006441C0"/>
    <w:rsid w:val="0064440F"/>
    <w:rsid w:val="00644559"/>
    <w:rsid w:val="00644600"/>
    <w:rsid w:val="00644635"/>
    <w:rsid w:val="00644764"/>
    <w:rsid w:val="006449C8"/>
    <w:rsid w:val="00644A94"/>
    <w:rsid w:val="00644AF8"/>
    <w:rsid w:val="00644C7B"/>
    <w:rsid w:val="00644D29"/>
    <w:rsid w:val="00644DF6"/>
    <w:rsid w:val="00644E5F"/>
    <w:rsid w:val="00644E74"/>
    <w:rsid w:val="00644EE8"/>
    <w:rsid w:val="00644F46"/>
    <w:rsid w:val="00645198"/>
    <w:rsid w:val="006452ED"/>
    <w:rsid w:val="00645373"/>
    <w:rsid w:val="00645403"/>
    <w:rsid w:val="00645AAA"/>
    <w:rsid w:val="00645B3B"/>
    <w:rsid w:val="00645C90"/>
    <w:rsid w:val="00645F1D"/>
    <w:rsid w:val="00646028"/>
    <w:rsid w:val="00646049"/>
    <w:rsid w:val="0064607A"/>
    <w:rsid w:val="006461C7"/>
    <w:rsid w:val="006461D0"/>
    <w:rsid w:val="0064656B"/>
    <w:rsid w:val="0064659C"/>
    <w:rsid w:val="006466C0"/>
    <w:rsid w:val="0064684E"/>
    <w:rsid w:val="00646A0A"/>
    <w:rsid w:val="00646A44"/>
    <w:rsid w:val="00646A79"/>
    <w:rsid w:val="00646AA3"/>
    <w:rsid w:val="00646B2E"/>
    <w:rsid w:val="00646B98"/>
    <w:rsid w:val="00646ED3"/>
    <w:rsid w:val="00647089"/>
    <w:rsid w:val="00647093"/>
    <w:rsid w:val="006473E7"/>
    <w:rsid w:val="006474A6"/>
    <w:rsid w:val="006474B0"/>
    <w:rsid w:val="0064750D"/>
    <w:rsid w:val="0064757C"/>
    <w:rsid w:val="00647598"/>
    <w:rsid w:val="006475C1"/>
    <w:rsid w:val="00647877"/>
    <w:rsid w:val="00647A15"/>
    <w:rsid w:val="00647A74"/>
    <w:rsid w:val="00647CF3"/>
    <w:rsid w:val="00647E89"/>
    <w:rsid w:val="00650385"/>
    <w:rsid w:val="0065039A"/>
    <w:rsid w:val="00650573"/>
    <w:rsid w:val="006505B0"/>
    <w:rsid w:val="006505E0"/>
    <w:rsid w:val="00650640"/>
    <w:rsid w:val="006506DA"/>
    <w:rsid w:val="0065088E"/>
    <w:rsid w:val="00650911"/>
    <w:rsid w:val="00650968"/>
    <w:rsid w:val="00650BB2"/>
    <w:rsid w:val="00650C68"/>
    <w:rsid w:val="00650CE0"/>
    <w:rsid w:val="00650E5B"/>
    <w:rsid w:val="00650F27"/>
    <w:rsid w:val="00650FE9"/>
    <w:rsid w:val="00651069"/>
    <w:rsid w:val="006511CB"/>
    <w:rsid w:val="006511D8"/>
    <w:rsid w:val="00651363"/>
    <w:rsid w:val="0065156A"/>
    <w:rsid w:val="006517A7"/>
    <w:rsid w:val="00651816"/>
    <w:rsid w:val="00651905"/>
    <w:rsid w:val="0065196F"/>
    <w:rsid w:val="00651AAF"/>
    <w:rsid w:val="00651C9A"/>
    <w:rsid w:val="00651D01"/>
    <w:rsid w:val="00651D72"/>
    <w:rsid w:val="00651DC5"/>
    <w:rsid w:val="00651ED0"/>
    <w:rsid w:val="00651F5B"/>
    <w:rsid w:val="00651F8A"/>
    <w:rsid w:val="00652050"/>
    <w:rsid w:val="00652074"/>
    <w:rsid w:val="006520A1"/>
    <w:rsid w:val="006520EC"/>
    <w:rsid w:val="0065211A"/>
    <w:rsid w:val="0065229D"/>
    <w:rsid w:val="00652305"/>
    <w:rsid w:val="00652571"/>
    <w:rsid w:val="00652BCC"/>
    <w:rsid w:val="00652CE4"/>
    <w:rsid w:val="00652DFB"/>
    <w:rsid w:val="0065328F"/>
    <w:rsid w:val="006532AC"/>
    <w:rsid w:val="006532C3"/>
    <w:rsid w:val="0065335B"/>
    <w:rsid w:val="00653376"/>
    <w:rsid w:val="0065348E"/>
    <w:rsid w:val="006535AE"/>
    <w:rsid w:val="006535E7"/>
    <w:rsid w:val="00653848"/>
    <w:rsid w:val="0065397B"/>
    <w:rsid w:val="006539A9"/>
    <w:rsid w:val="006539D1"/>
    <w:rsid w:val="00653B10"/>
    <w:rsid w:val="00653E56"/>
    <w:rsid w:val="0065425F"/>
    <w:rsid w:val="00654295"/>
    <w:rsid w:val="00654458"/>
    <w:rsid w:val="0065453A"/>
    <w:rsid w:val="0065459B"/>
    <w:rsid w:val="006545C4"/>
    <w:rsid w:val="0065464D"/>
    <w:rsid w:val="006546D4"/>
    <w:rsid w:val="00654758"/>
    <w:rsid w:val="00654809"/>
    <w:rsid w:val="0065492D"/>
    <w:rsid w:val="006549DF"/>
    <w:rsid w:val="00654A8E"/>
    <w:rsid w:val="00654B2B"/>
    <w:rsid w:val="00654BE6"/>
    <w:rsid w:val="00654C02"/>
    <w:rsid w:val="00654F3C"/>
    <w:rsid w:val="006550EE"/>
    <w:rsid w:val="00655151"/>
    <w:rsid w:val="0065536B"/>
    <w:rsid w:val="0065557A"/>
    <w:rsid w:val="00655750"/>
    <w:rsid w:val="00655772"/>
    <w:rsid w:val="0065591F"/>
    <w:rsid w:val="00655942"/>
    <w:rsid w:val="00655A66"/>
    <w:rsid w:val="00655D3D"/>
    <w:rsid w:val="00655DCB"/>
    <w:rsid w:val="00655E34"/>
    <w:rsid w:val="00656169"/>
    <w:rsid w:val="006561E7"/>
    <w:rsid w:val="006562B3"/>
    <w:rsid w:val="006562EC"/>
    <w:rsid w:val="00656469"/>
    <w:rsid w:val="00656506"/>
    <w:rsid w:val="006565F0"/>
    <w:rsid w:val="00656608"/>
    <w:rsid w:val="0065663E"/>
    <w:rsid w:val="0065673F"/>
    <w:rsid w:val="00656854"/>
    <w:rsid w:val="00656907"/>
    <w:rsid w:val="006569D7"/>
    <w:rsid w:val="00656D0B"/>
    <w:rsid w:val="00656FDA"/>
    <w:rsid w:val="0065728E"/>
    <w:rsid w:val="00657304"/>
    <w:rsid w:val="00657655"/>
    <w:rsid w:val="00657736"/>
    <w:rsid w:val="0065773E"/>
    <w:rsid w:val="0065788C"/>
    <w:rsid w:val="00657991"/>
    <w:rsid w:val="00657A47"/>
    <w:rsid w:val="00657C50"/>
    <w:rsid w:val="00657CD7"/>
    <w:rsid w:val="00657D5B"/>
    <w:rsid w:val="00657D8E"/>
    <w:rsid w:val="00657DBF"/>
    <w:rsid w:val="00657DC9"/>
    <w:rsid w:val="00657FEC"/>
    <w:rsid w:val="00660118"/>
    <w:rsid w:val="00660131"/>
    <w:rsid w:val="00660154"/>
    <w:rsid w:val="00660228"/>
    <w:rsid w:val="0066026A"/>
    <w:rsid w:val="006606FA"/>
    <w:rsid w:val="006607F4"/>
    <w:rsid w:val="00660852"/>
    <w:rsid w:val="00660A84"/>
    <w:rsid w:val="00660B0D"/>
    <w:rsid w:val="00660CEC"/>
    <w:rsid w:val="00660E4C"/>
    <w:rsid w:val="00660E97"/>
    <w:rsid w:val="00660F99"/>
    <w:rsid w:val="00661092"/>
    <w:rsid w:val="00661176"/>
    <w:rsid w:val="006617AA"/>
    <w:rsid w:val="006618EC"/>
    <w:rsid w:val="0066194F"/>
    <w:rsid w:val="00661B93"/>
    <w:rsid w:val="00661BC6"/>
    <w:rsid w:val="00661DCE"/>
    <w:rsid w:val="00661E11"/>
    <w:rsid w:val="00661EEA"/>
    <w:rsid w:val="00661FAC"/>
    <w:rsid w:val="00662A2E"/>
    <w:rsid w:val="0066302B"/>
    <w:rsid w:val="0066305A"/>
    <w:rsid w:val="006631A6"/>
    <w:rsid w:val="006631DB"/>
    <w:rsid w:val="00663721"/>
    <w:rsid w:val="00663838"/>
    <w:rsid w:val="00663983"/>
    <w:rsid w:val="00663B80"/>
    <w:rsid w:val="00663BF5"/>
    <w:rsid w:val="00663DC8"/>
    <w:rsid w:val="00664235"/>
    <w:rsid w:val="00664236"/>
    <w:rsid w:val="0066439B"/>
    <w:rsid w:val="00664589"/>
    <w:rsid w:val="006646C6"/>
    <w:rsid w:val="006647FB"/>
    <w:rsid w:val="00664968"/>
    <w:rsid w:val="00664E60"/>
    <w:rsid w:val="006650C9"/>
    <w:rsid w:val="0066511A"/>
    <w:rsid w:val="006652AE"/>
    <w:rsid w:val="006653D3"/>
    <w:rsid w:val="0066548F"/>
    <w:rsid w:val="00665724"/>
    <w:rsid w:val="006658CC"/>
    <w:rsid w:val="006659DE"/>
    <w:rsid w:val="00665AEE"/>
    <w:rsid w:val="00665CC1"/>
    <w:rsid w:val="00665DCD"/>
    <w:rsid w:val="00665E22"/>
    <w:rsid w:val="00665EC9"/>
    <w:rsid w:val="00665FF7"/>
    <w:rsid w:val="0066600E"/>
    <w:rsid w:val="0066603B"/>
    <w:rsid w:val="00666085"/>
    <w:rsid w:val="00666115"/>
    <w:rsid w:val="0066613A"/>
    <w:rsid w:val="006661AF"/>
    <w:rsid w:val="00666286"/>
    <w:rsid w:val="006662C9"/>
    <w:rsid w:val="006667AC"/>
    <w:rsid w:val="00666A97"/>
    <w:rsid w:val="00666AA1"/>
    <w:rsid w:val="00666F98"/>
    <w:rsid w:val="00666FAA"/>
    <w:rsid w:val="0066713F"/>
    <w:rsid w:val="00667358"/>
    <w:rsid w:val="006673B3"/>
    <w:rsid w:val="0066740F"/>
    <w:rsid w:val="006674B2"/>
    <w:rsid w:val="0066751B"/>
    <w:rsid w:val="006675FD"/>
    <w:rsid w:val="006676BA"/>
    <w:rsid w:val="00667848"/>
    <w:rsid w:val="0066793A"/>
    <w:rsid w:val="006679E5"/>
    <w:rsid w:val="00667D40"/>
    <w:rsid w:val="00667D97"/>
    <w:rsid w:val="0067014A"/>
    <w:rsid w:val="00670608"/>
    <w:rsid w:val="00670794"/>
    <w:rsid w:val="006708C6"/>
    <w:rsid w:val="0067098D"/>
    <w:rsid w:val="006709C0"/>
    <w:rsid w:val="00670ABB"/>
    <w:rsid w:val="00670B56"/>
    <w:rsid w:val="00670BB8"/>
    <w:rsid w:val="00670C93"/>
    <w:rsid w:val="00670D4B"/>
    <w:rsid w:val="00670E7E"/>
    <w:rsid w:val="00671105"/>
    <w:rsid w:val="0067124F"/>
    <w:rsid w:val="0067128F"/>
    <w:rsid w:val="00671329"/>
    <w:rsid w:val="00671483"/>
    <w:rsid w:val="006716D1"/>
    <w:rsid w:val="006717B7"/>
    <w:rsid w:val="006719D0"/>
    <w:rsid w:val="00671C03"/>
    <w:rsid w:val="00671E19"/>
    <w:rsid w:val="0067211C"/>
    <w:rsid w:val="00672263"/>
    <w:rsid w:val="00672297"/>
    <w:rsid w:val="006722B1"/>
    <w:rsid w:val="006722B2"/>
    <w:rsid w:val="0067232F"/>
    <w:rsid w:val="0067279A"/>
    <w:rsid w:val="006727BB"/>
    <w:rsid w:val="006728B7"/>
    <w:rsid w:val="00672A18"/>
    <w:rsid w:val="00672A2A"/>
    <w:rsid w:val="00672BD3"/>
    <w:rsid w:val="00672CB4"/>
    <w:rsid w:val="00672D19"/>
    <w:rsid w:val="00672D93"/>
    <w:rsid w:val="00672F89"/>
    <w:rsid w:val="00673026"/>
    <w:rsid w:val="00673080"/>
    <w:rsid w:val="006731AE"/>
    <w:rsid w:val="0067337A"/>
    <w:rsid w:val="00673487"/>
    <w:rsid w:val="006735EE"/>
    <w:rsid w:val="00673671"/>
    <w:rsid w:val="00673854"/>
    <w:rsid w:val="00673930"/>
    <w:rsid w:val="00673C2C"/>
    <w:rsid w:val="00673C93"/>
    <w:rsid w:val="00673CF3"/>
    <w:rsid w:val="00673D59"/>
    <w:rsid w:val="006740FD"/>
    <w:rsid w:val="00674168"/>
    <w:rsid w:val="00674199"/>
    <w:rsid w:val="006741BD"/>
    <w:rsid w:val="00674234"/>
    <w:rsid w:val="0067438D"/>
    <w:rsid w:val="006743A0"/>
    <w:rsid w:val="006744F0"/>
    <w:rsid w:val="0067460C"/>
    <w:rsid w:val="00674825"/>
    <w:rsid w:val="00674F3A"/>
    <w:rsid w:val="00674F78"/>
    <w:rsid w:val="006750E1"/>
    <w:rsid w:val="006751A7"/>
    <w:rsid w:val="006752EF"/>
    <w:rsid w:val="006752F0"/>
    <w:rsid w:val="0067536E"/>
    <w:rsid w:val="006754BB"/>
    <w:rsid w:val="006754F5"/>
    <w:rsid w:val="00675682"/>
    <w:rsid w:val="006759A0"/>
    <w:rsid w:val="00675B93"/>
    <w:rsid w:val="00675C82"/>
    <w:rsid w:val="00675C9E"/>
    <w:rsid w:val="00675D1E"/>
    <w:rsid w:val="00675D7E"/>
    <w:rsid w:val="00675DB7"/>
    <w:rsid w:val="00675F0F"/>
    <w:rsid w:val="00676317"/>
    <w:rsid w:val="006763AD"/>
    <w:rsid w:val="006763BB"/>
    <w:rsid w:val="00676445"/>
    <w:rsid w:val="00676531"/>
    <w:rsid w:val="006766D8"/>
    <w:rsid w:val="0067671E"/>
    <w:rsid w:val="00676860"/>
    <w:rsid w:val="00676B07"/>
    <w:rsid w:val="00676CF7"/>
    <w:rsid w:val="00676D9F"/>
    <w:rsid w:val="00676E93"/>
    <w:rsid w:val="00676EFB"/>
    <w:rsid w:val="0067723B"/>
    <w:rsid w:val="00677259"/>
    <w:rsid w:val="0067747D"/>
    <w:rsid w:val="006776A0"/>
    <w:rsid w:val="0067790D"/>
    <w:rsid w:val="00677969"/>
    <w:rsid w:val="00677977"/>
    <w:rsid w:val="00677A21"/>
    <w:rsid w:val="00677A60"/>
    <w:rsid w:val="00677BFB"/>
    <w:rsid w:val="00677C0E"/>
    <w:rsid w:val="00677C23"/>
    <w:rsid w:val="00677CAD"/>
    <w:rsid w:val="00677CB8"/>
    <w:rsid w:val="00677E31"/>
    <w:rsid w:val="00677F53"/>
    <w:rsid w:val="00677FA8"/>
    <w:rsid w:val="00677FDA"/>
    <w:rsid w:val="0068007B"/>
    <w:rsid w:val="006801C4"/>
    <w:rsid w:val="00680AC3"/>
    <w:rsid w:val="00680DF7"/>
    <w:rsid w:val="00680E2E"/>
    <w:rsid w:val="00680E72"/>
    <w:rsid w:val="00680F0C"/>
    <w:rsid w:val="00680F22"/>
    <w:rsid w:val="0068132C"/>
    <w:rsid w:val="006813E2"/>
    <w:rsid w:val="00681433"/>
    <w:rsid w:val="006814AC"/>
    <w:rsid w:val="006815E7"/>
    <w:rsid w:val="00681706"/>
    <w:rsid w:val="006817E2"/>
    <w:rsid w:val="006819FA"/>
    <w:rsid w:val="00681AF6"/>
    <w:rsid w:val="00681BEB"/>
    <w:rsid w:val="00681EE0"/>
    <w:rsid w:val="00681FC4"/>
    <w:rsid w:val="00682160"/>
    <w:rsid w:val="006822BD"/>
    <w:rsid w:val="006825A8"/>
    <w:rsid w:val="006827FD"/>
    <w:rsid w:val="00682805"/>
    <w:rsid w:val="00682831"/>
    <w:rsid w:val="0068292D"/>
    <w:rsid w:val="0068299A"/>
    <w:rsid w:val="00682BA0"/>
    <w:rsid w:val="00682C11"/>
    <w:rsid w:val="00682C49"/>
    <w:rsid w:val="00682C77"/>
    <w:rsid w:val="00682CB6"/>
    <w:rsid w:val="00682E01"/>
    <w:rsid w:val="00682E45"/>
    <w:rsid w:val="00683177"/>
    <w:rsid w:val="00683257"/>
    <w:rsid w:val="0068334A"/>
    <w:rsid w:val="006833BB"/>
    <w:rsid w:val="006834E8"/>
    <w:rsid w:val="006835D7"/>
    <w:rsid w:val="006836F7"/>
    <w:rsid w:val="00683C67"/>
    <w:rsid w:val="00683D60"/>
    <w:rsid w:val="00683D64"/>
    <w:rsid w:val="00683F31"/>
    <w:rsid w:val="00683F9A"/>
    <w:rsid w:val="00684047"/>
    <w:rsid w:val="00684238"/>
    <w:rsid w:val="0068452C"/>
    <w:rsid w:val="006845B7"/>
    <w:rsid w:val="00684A96"/>
    <w:rsid w:val="00684D1F"/>
    <w:rsid w:val="00684D63"/>
    <w:rsid w:val="00684DEC"/>
    <w:rsid w:val="00685104"/>
    <w:rsid w:val="0068516F"/>
    <w:rsid w:val="006851BB"/>
    <w:rsid w:val="00685292"/>
    <w:rsid w:val="006852FE"/>
    <w:rsid w:val="0068530B"/>
    <w:rsid w:val="00685469"/>
    <w:rsid w:val="00685554"/>
    <w:rsid w:val="006856F2"/>
    <w:rsid w:val="00685B68"/>
    <w:rsid w:val="00685BB5"/>
    <w:rsid w:val="00685C89"/>
    <w:rsid w:val="00685CA7"/>
    <w:rsid w:val="00685F7E"/>
    <w:rsid w:val="00685F91"/>
    <w:rsid w:val="00686386"/>
    <w:rsid w:val="0068646D"/>
    <w:rsid w:val="006865EB"/>
    <w:rsid w:val="006869F5"/>
    <w:rsid w:val="00686DE1"/>
    <w:rsid w:val="0068706C"/>
    <w:rsid w:val="006870E6"/>
    <w:rsid w:val="0068724F"/>
    <w:rsid w:val="00687542"/>
    <w:rsid w:val="0068760A"/>
    <w:rsid w:val="0068792D"/>
    <w:rsid w:val="00687962"/>
    <w:rsid w:val="0068798B"/>
    <w:rsid w:val="00687A6F"/>
    <w:rsid w:val="0069027C"/>
    <w:rsid w:val="006902D3"/>
    <w:rsid w:val="0069037C"/>
    <w:rsid w:val="006905E9"/>
    <w:rsid w:val="0069083A"/>
    <w:rsid w:val="00690A41"/>
    <w:rsid w:val="00690AC6"/>
    <w:rsid w:val="00690D25"/>
    <w:rsid w:val="00690D94"/>
    <w:rsid w:val="0069104F"/>
    <w:rsid w:val="006911DA"/>
    <w:rsid w:val="0069123B"/>
    <w:rsid w:val="0069128C"/>
    <w:rsid w:val="006915D5"/>
    <w:rsid w:val="0069166E"/>
    <w:rsid w:val="006916DD"/>
    <w:rsid w:val="00691969"/>
    <w:rsid w:val="00691DF5"/>
    <w:rsid w:val="006920F5"/>
    <w:rsid w:val="0069235A"/>
    <w:rsid w:val="0069241D"/>
    <w:rsid w:val="006925B1"/>
    <w:rsid w:val="00692749"/>
    <w:rsid w:val="00692769"/>
    <w:rsid w:val="00692A2C"/>
    <w:rsid w:val="00692A54"/>
    <w:rsid w:val="00692CA4"/>
    <w:rsid w:val="00692EC1"/>
    <w:rsid w:val="006931D2"/>
    <w:rsid w:val="00693288"/>
    <w:rsid w:val="00693358"/>
    <w:rsid w:val="006933E8"/>
    <w:rsid w:val="00693469"/>
    <w:rsid w:val="006935BF"/>
    <w:rsid w:val="00693987"/>
    <w:rsid w:val="00693A03"/>
    <w:rsid w:val="00693B16"/>
    <w:rsid w:val="00693D44"/>
    <w:rsid w:val="00693D7E"/>
    <w:rsid w:val="00693EC3"/>
    <w:rsid w:val="00693EEF"/>
    <w:rsid w:val="00693F03"/>
    <w:rsid w:val="00693F52"/>
    <w:rsid w:val="00693F79"/>
    <w:rsid w:val="0069411A"/>
    <w:rsid w:val="00694292"/>
    <w:rsid w:val="006946CB"/>
    <w:rsid w:val="00694773"/>
    <w:rsid w:val="0069494F"/>
    <w:rsid w:val="0069495E"/>
    <w:rsid w:val="00694A97"/>
    <w:rsid w:val="00694AE0"/>
    <w:rsid w:val="00694D9A"/>
    <w:rsid w:val="00694DE3"/>
    <w:rsid w:val="00694E14"/>
    <w:rsid w:val="00694E52"/>
    <w:rsid w:val="00694FEB"/>
    <w:rsid w:val="0069508C"/>
    <w:rsid w:val="006950EE"/>
    <w:rsid w:val="006950FA"/>
    <w:rsid w:val="00695220"/>
    <w:rsid w:val="0069528F"/>
    <w:rsid w:val="00695453"/>
    <w:rsid w:val="00695491"/>
    <w:rsid w:val="00695B08"/>
    <w:rsid w:val="0069607B"/>
    <w:rsid w:val="006962F2"/>
    <w:rsid w:val="00696385"/>
    <w:rsid w:val="0069658B"/>
    <w:rsid w:val="006965DB"/>
    <w:rsid w:val="00696635"/>
    <w:rsid w:val="00696759"/>
    <w:rsid w:val="00696792"/>
    <w:rsid w:val="00696A44"/>
    <w:rsid w:val="00696B2B"/>
    <w:rsid w:val="00696E45"/>
    <w:rsid w:val="0069710A"/>
    <w:rsid w:val="006971A3"/>
    <w:rsid w:val="00697522"/>
    <w:rsid w:val="006975D5"/>
    <w:rsid w:val="00697789"/>
    <w:rsid w:val="00697A52"/>
    <w:rsid w:val="00697A58"/>
    <w:rsid w:val="00697B7F"/>
    <w:rsid w:val="00697E62"/>
    <w:rsid w:val="00697FF2"/>
    <w:rsid w:val="006A017C"/>
    <w:rsid w:val="006A01B0"/>
    <w:rsid w:val="006A02C9"/>
    <w:rsid w:val="006A048D"/>
    <w:rsid w:val="006A051A"/>
    <w:rsid w:val="006A06CA"/>
    <w:rsid w:val="006A08D1"/>
    <w:rsid w:val="006A08E5"/>
    <w:rsid w:val="006A0B36"/>
    <w:rsid w:val="006A0BC7"/>
    <w:rsid w:val="006A0BCE"/>
    <w:rsid w:val="006A0C10"/>
    <w:rsid w:val="006A0C25"/>
    <w:rsid w:val="006A0C40"/>
    <w:rsid w:val="006A0D5B"/>
    <w:rsid w:val="006A0DEC"/>
    <w:rsid w:val="006A0FB7"/>
    <w:rsid w:val="006A105B"/>
    <w:rsid w:val="006A108C"/>
    <w:rsid w:val="006A115E"/>
    <w:rsid w:val="006A1168"/>
    <w:rsid w:val="006A12FB"/>
    <w:rsid w:val="006A137B"/>
    <w:rsid w:val="006A1878"/>
    <w:rsid w:val="006A1A7D"/>
    <w:rsid w:val="006A1C04"/>
    <w:rsid w:val="006A1C1D"/>
    <w:rsid w:val="006A1DD1"/>
    <w:rsid w:val="006A1DEF"/>
    <w:rsid w:val="006A1FED"/>
    <w:rsid w:val="006A1FF0"/>
    <w:rsid w:val="006A2106"/>
    <w:rsid w:val="006A21C1"/>
    <w:rsid w:val="006A21D7"/>
    <w:rsid w:val="006A25C3"/>
    <w:rsid w:val="006A2607"/>
    <w:rsid w:val="006A292F"/>
    <w:rsid w:val="006A2AB1"/>
    <w:rsid w:val="006A2BC0"/>
    <w:rsid w:val="006A2C4E"/>
    <w:rsid w:val="006A3007"/>
    <w:rsid w:val="006A316D"/>
    <w:rsid w:val="006A335F"/>
    <w:rsid w:val="006A3466"/>
    <w:rsid w:val="006A34FE"/>
    <w:rsid w:val="006A377D"/>
    <w:rsid w:val="006A3841"/>
    <w:rsid w:val="006A3849"/>
    <w:rsid w:val="006A38BB"/>
    <w:rsid w:val="006A396C"/>
    <w:rsid w:val="006A3AF9"/>
    <w:rsid w:val="006A3B1E"/>
    <w:rsid w:val="006A3CE0"/>
    <w:rsid w:val="006A3D2D"/>
    <w:rsid w:val="006A3D3A"/>
    <w:rsid w:val="006A3D5A"/>
    <w:rsid w:val="006A3DA6"/>
    <w:rsid w:val="006A3E33"/>
    <w:rsid w:val="006A3F17"/>
    <w:rsid w:val="006A400A"/>
    <w:rsid w:val="006A40E0"/>
    <w:rsid w:val="006A4254"/>
    <w:rsid w:val="006A427E"/>
    <w:rsid w:val="006A42A9"/>
    <w:rsid w:val="006A457E"/>
    <w:rsid w:val="006A46A9"/>
    <w:rsid w:val="006A48B7"/>
    <w:rsid w:val="006A492F"/>
    <w:rsid w:val="006A4C84"/>
    <w:rsid w:val="006A4CFF"/>
    <w:rsid w:val="006A4F12"/>
    <w:rsid w:val="006A50A3"/>
    <w:rsid w:val="006A50CC"/>
    <w:rsid w:val="006A5157"/>
    <w:rsid w:val="006A5318"/>
    <w:rsid w:val="006A544B"/>
    <w:rsid w:val="006A5582"/>
    <w:rsid w:val="006A55DB"/>
    <w:rsid w:val="006A57F3"/>
    <w:rsid w:val="006A5869"/>
    <w:rsid w:val="006A594C"/>
    <w:rsid w:val="006A5C43"/>
    <w:rsid w:val="006A5E26"/>
    <w:rsid w:val="006A5F6B"/>
    <w:rsid w:val="006A6051"/>
    <w:rsid w:val="006A6215"/>
    <w:rsid w:val="006A64AD"/>
    <w:rsid w:val="006A6679"/>
    <w:rsid w:val="006A66FE"/>
    <w:rsid w:val="006A6722"/>
    <w:rsid w:val="006A6B26"/>
    <w:rsid w:val="006A6E64"/>
    <w:rsid w:val="006A6F04"/>
    <w:rsid w:val="006A7041"/>
    <w:rsid w:val="006A714A"/>
    <w:rsid w:val="006A7354"/>
    <w:rsid w:val="006A76A6"/>
    <w:rsid w:val="006A76B3"/>
    <w:rsid w:val="006A78BA"/>
    <w:rsid w:val="006A7A40"/>
    <w:rsid w:val="006A7AF4"/>
    <w:rsid w:val="006A7B7B"/>
    <w:rsid w:val="006B00FF"/>
    <w:rsid w:val="006B02D2"/>
    <w:rsid w:val="006B052B"/>
    <w:rsid w:val="006B0552"/>
    <w:rsid w:val="006B065C"/>
    <w:rsid w:val="006B0746"/>
    <w:rsid w:val="006B0899"/>
    <w:rsid w:val="006B08B8"/>
    <w:rsid w:val="006B08D8"/>
    <w:rsid w:val="006B0CCA"/>
    <w:rsid w:val="006B0D77"/>
    <w:rsid w:val="006B0D8B"/>
    <w:rsid w:val="006B0DC2"/>
    <w:rsid w:val="006B0E89"/>
    <w:rsid w:val="006B10F4"/>
    <w:rsid w:val="006B1427"/>
    <w:rsid w:val="006B163C"/>
    <w:rsid w:val="006B16C6"/>
    <w:rsid w:val="006B16C9"/>
    <w:rsid w:val="006B18E7"/>
    <w:rsid w:val="006B1AB7"/>
    <w:rsid w:val="006B1C3F"/>
    <w:rsid w:val="006B1E99"/>
    <w:rsid w:val="006B1F05"/>
    <w:rsid w:val="006B1FCB"/>
    <w:rsid w:val="006B214C"/>
    <w:rsid w:val="006B214D"/>
    <w:rsid w:val="006B239D"/>
    <w:rsid w:val="006B23C4"/>
    <w:rsid w:val="006B23F3"/>
    <w:rsid w:val="006B268A"/>
    <w:rsid w:val="006B270B"/>
    <w:rsid w:val="006B27AE"/>
    <w:rsid w:val="006B2834"/>
    <w:rsid w:val="006B2893"/>
    <w:rsid w:val="006B28BB"/>
    <w:rsid w:val="006B291A"/>
    <w:rsid w:val="006B2A46"/>
    <w:rsid w:val="006B2C4A"/>
    <w:rsid w:val="006B2D73"/>
    <w:rsid w:val="006B2DD2"/>
    <w:rsid w:val="006B2DD5"/>
    <w:rsid w:val="006B2E66"/>
    <w:rsid w:val="006B2F31"/>
    <w:rsid w:val="006B3005"/>
    <w:rsid w:val="006B3095"/>
    <w:rsid w:val="006B3238"/>
    <w:rsid w:val="006B32CD"/>
    <w:rsid w:val="006B37A8"/>
    <w:rsid w:val="006B37B4"/>
    <w:rsid w:val="006B390C"/>
    <w:rsid w:val="006B3928"/>
    <w:rsid w:val="006B3AE9"/>
    <w:rsid w:val="006B3C20"/>
    <w:rsid w:val="006B3EBD"/>
    <w:rsid w:val="006B411E"/>
    <w:rsid w:val="006B4165"/>
    <w:rsid w:val="006B43CD"/>
    <w:rsid w:val="006B4681"/>
    <w:rsid w:val="006B4805"/>
    <w:rsid w:val="006B4908"/>
    <w:rsid w:val="006B511A"/>
    <w:rsid w:val="006B513E"/>
    <w:rsid w:val="006B520F"/>
    <w:rsid w:val="006B5397"/>
    <w:rsid w:val="006B53CA"/>
    <w:rsid w:val="006B5717"/>
    <w:rsid w:val="006B57E2"/>
    <w:rsid w:val="006B5861"/>
    <w:rsid w:val="006B58A5"/>
    <w:rsid w:val="006B5954"/>
    <w:rsid w:val="006B5AF3"/>
    <w:rsid w:val="006B5E3A"/>
    <w:rsid w:val="006B5EA0"/>
    <w:rsid w:val="006B5F31"/>
    <w:rsid w:val="006B602B"/>
    <w:rsid w:val="006B61AF"/>
    <w:rsid w:val="006B6228"/>
    <w:rsid w:val="006B62D7"/>
    <w:rsid w:val="006B63EB"/>
    <w:rsid w:val="006B6410"/>
    <w:rsid w:val="006B673D"/>
    <w:rsid w:val="006B68ED"/>
    <w:rsid w:val="006B6A5A"/>
    <w:rsid w:val="006B6CCF"/>
    <w:rsid w:val="006B7047"/>
    <w:rsid w:val="006B7195"/>
    <w:rsid w:val="006B756C"/>
    <w:rsid w:val="006B75F0"/>
    <w:rsid w:val="006B77F2"/>
    <w:rsid w:val="006B7894"/>
    <w:rsid w:val="006B793F"/>
    <w:rsid w:val="006B7B2D"/>
    <w:rsid w:val="006B7D33"/>
    <w:rsid w:val="006B7E67"/>
    <w:rsid w:val="006C0203"/>
    <w:rsid w:val="006C0247"/>
    <w:rsid w:val="006C044F"/>
    <w:rsid w:val="006C05B0"/>
    <w:rsid w:val="006C07EA"/>
    <w:rsid w:val="006C07F6"/>
    <w:rsid w:val="006C089C"/>
    <w:rsid w:val="006C0A53"/>
    <w:rsid w:val="006C0C55"/>
    <w:rsid w:val="006C0D81"/>
    <w:rsid w:val="006C0DA3"/>
    <w:rsid w:val="006C0EE1"/>
    <w:rsid w:val="006C0F8B"/>
    <w:rsid w:val="006C137D"/>
    <w:rsid w:val="006C18C3"/>
    <w:rsid w:val="006C1957"/>
    <w:rsid w:val="006C1AF2"/>
    <w:rsid w:val="006C1B37"/>
    <w:rsid w:val="006C1B85"/>
    <w:rsid w:val="006C1BA7"/>
    <w:rsid w:val="006C1C70"/>
    <w:rsid w:val="006C1CD1"/>
    <w:rsid w:val="006C1CFE"/>
    <w:rsid w:val="006C1DAE"/>
    <w:rsid w:val="006C2124"/>
    <w:rsid w:val="006C2220"/>
    <w:rsid w:val="006C249D"/>
    <w:rsid w:val="006C2558"/>
    <w:rsid w:val="006C27AD"/>
    <w:rsid w:val="006C27E6"/>
    <w:rsid w:val="006C2B96"/>
    <w:rsid w:val="006C2B97"/>
    <w:rsid w:val="006C2D34"/>
    <w:rsid w:val="006C3038"/>
    <w:rsid w:val="006C364E"/>
    <w:rsid w:val="006C3658"/>
    <w:rsid w:val="006C372F"/>
    <w:rsid w:val="006C3765"/>
    <w:rsid w:val="006C38D9"/>
    <w:rsid w:val="006C39C2"/>
    <w:rsid w:val="006C3B29"/>
    <w:rsid w:val="006C3CB4"/>
    <w:rsid w:val="006C3D55"/>
    <w:rsid w:val="006C3DB0"/>
    <w:rsid w:val="006C3F12"/>
    <w:rsid w:val="006C3F6F"/>
    <w:rsid w:val="006C40BB"/>
    <w:rsid w:val="006C4158"/>
    <w:rsid w:val="006C41A7"/>
    <w:rsid w:val="006C41E3"/>
    <w:rsid w:val="006C423D"/>
    <w:rsid w:val="006C4432"/>
    <w:rsid w:val="006C451E"/>
    <w:rsid w:val="006C462A"/>
    <w:rsid w:val="006C4739"/>
    <w:rsid w:val="006C4993"/>
    <w:rsid w:val="006C4A31"/>
    <w:rsid w:val="006C4AF4"/>
    <w:rsid w:val="006C4AF6"/>
    <w:rsid w:val="006C4C6F"/>
    <w:rsid w:val="006C4D5D"/>
    <w:rsid w:val="006C4E6B"/>
    <w:rsid w:val="006C4F49"/>
    <w:rsid w:val="006C4F89"/>
    <w:rsid w:val="006C5100"/>
    <w:rsid w:val="006C51F8"/>
    <w:rsid w:val="006C5629"/>
    <w:rsid w:val="006C567E"/>
    <w:rsid w:val="006C58B4"/>
    <w:rsid w:val="006C58C4"/>
    <w:rsid w:val="006C5A10"/>
    <w:rsid w:val="006C5A26"/>
    <w:rsid w:val="006C5A3B"/>
    <w:rsid w:val="006C5AAF"/>
    <w:rsid w:val="006C5C81"/>
    <w:rsid w:val="006C5D0D"/>
    <w:rsid w:val="006C5EFE"/>
    <w:rsid w:val="006C5F0D"/>
    <w:rsid w:val="006C5F71"/>
    <w:rsid w:val="006C5FE6"/>
    <w:rsid w:val="006C62B3"/>
    <w:rsid w:val="006C6559"/>
    <w:rsid w:val="006C671B"/>
    <w:rsid w:val="006C6860"/>
    <w:rsid w:val="006C6945"/>
    <w:rsid w:val="006C6C46"/>
    <w:rsid w:val="006C6D11"/>
    <w:rsid w:val="006C7151"/>
    <w:rsid w:val="006C7277"/>
    <w:rsid w:val="006C72FE"/>
    <w:rsid w:val="006C740C"/>
    <w:rsid w:val="006C7434"/>
    <w:rsid w:val="006C75B3"/>
    <w:rsid w:val="006C7678"/>
    <w:rsid w:val="006C78A7"/>
    <w:rsid w:val="006C792C"/>
    <w:rsid w:val="006C79D4"/>
    <w:rsid w:val="006D022E"/>
    <w:rsid w:val="006D043C"/>
    <w:rsid w:val="006D0478"/>
    <w:rsid w:val="006D05F1"/>
    <w:rsid w:val="006D0761"/>
    <w:rsid w:val="006D07C0"/>
    <w:rsid w:val="006D07DD"/>
    <w:rsid w:val="006D089F"/>
    <w:rsid w:val="006D0923"/>
    <w:rsid w:val="006D0BE3"/>
    <w:rsid w:val="006D0C65"/>
    <w:rsid w:val="006D107D"/>
    <w:rsid w:val="006D11EB"/>
    <w:rsid w:val="006D1218"/>
    <w:rsid w:val="006D12BB"/>
    <w:rsid w:val="006D136B"/>
    <w:rsid w:val="006D141E"/>
    <w:rsid w:val="006D14D8"/>
    <w:rsid w:val="006D1627"/>
    <w:rsid w:val="006D1678"/>
    <w:rsid w:val="006D1688"/>
    <w:rsid w:val="006D169D"/>
    <w:rsid w:val="006D16EF"/>
    <w:rsid w:val="006D175F"/>
    <w:rsid w:val="006D1BF8"/>
    <w:rsid w:val="006D1C1C"/>
    <w:rsid w:val="006D1D32"/>
    <w:rsid w:val="006D1FD7"/>
    <w:rsid w:val="006D2376"/>
    <w:rsid w:val="006D298F"/>
    <w:rsid w:val="006D2B1C"/>
    <w:rsid w:val="006D2D2F"/>
    <w:rsid w:val="006D2E33"/>
    <w:rsid w:val="006D2E71"/>
    <w:rsid w:val="006D2F4D"/>
    <w:rsid w:val="006D32FE"/>
    <w:rsid w:val="006D35B3"/>
    <w:rsid w:val="006D367C"/>
    <w:rsid w:val="006D382B"/>
    <w:rsid w:val="006D382D"/>
    <w:rsid w:val="006D3AE8"/>
    <w:rsid w:val="006D3B00"/>
    <w:rsid w:val="006D3BED"/>
    <w:rsid w:val="006D3C11"/>
    <w:rsid w:val="006D3D27"/>
    <w:rsid w:val="006D3D96"/>
    <w:rsid w:val="006D3E48"/>
    <w:rsid w:val="006D3E4F"/>
    <w:rsid w:val="006D3E65"/>
    <w:rsid w:val="006D3F2F"/>
    <w:rsid w:val="006D3F7B"/>
    <w:rsid w:val="006D433E"/>
    <w:rsid w:val="006D45D6"/>
    <w:rsid w:val="006D4808"/>
    <w:rsid w:val="006D482B"/>
    <w:rsid w:val="006D4A13"/>
    <w:rsid w:val="006D4A94"/>
    <w:rsid w:val="006D4E09"/>
    <w:rsid w:val="006D50F7"/>
    <w:rsid w:val="006D51B0"/>
    <w:rsid w:val="006D547F"/>
    <w:rsid w:val="006D561B"/>
    <w:rsid w:val="006D5682"/>
    <w:rsid w:val="006D5779"/>
    <w:rsid w:val="006D5973"/>
    <w:rsid w:val="006D599A"/>
    <w:rsid w:val="006D5A20"/>
    <w:rsid w:val="006D5A37"/>
    <w:rsid w:val="006D5CDD"/>
    <w:rsid w:val="006D5D82"/>
    <w:rsid w:val="006D5F28"/>
    <w:rsid w:val="006D609B"/>
    <w:rsid w:val="006D6114"/>
    <w:rsid w:val="006D6126"/>
    <w:rsid w:val="006D617B"/>
    <w:rsid w:val="006D63B3"/>
    <w:rsid w:val="006D653B"/>
    <w:rsid w:val="006D659F"/>
    <w:rsid w:val="006D674B"/>
    <w:rsid w:val="006D6A8F"/>
    <w:rsid w:val="006D6B73"/>
    <w:rsid w:val="006D6C18"/>
    <w:rsid w:val="006D6C2B"/>
    <w:rsid w:val="006D6CDE"/>
    <w:rsid w:val="006D6D8E"/>
    <w:rsid w:val="006D6E88"/>
    <w:rsid w:val="006D6F3E"/>
    <w:rsid w:val="006D6FA1"/>
    <w:rsid w:val="006D6FF3"/>
    <w:rsid w:val="006D72D7"/>
    <w:rsid w:val="006D75DB"/>
    <w:rsid w:val="006D782A"/>
    <w:rsid w:val="006D788C"/>
    <w:rsid w:val="006D7A6E"/>
    <w:rsid w:val="006D7A8D"/>
    <w:rsid w:val="006D7D9F"/>
    <w:rsid w:val="006E0131"/>
    <w:rsid w:val="006E034B"/>
    <w:rsid w:val="006E0350"/>
    <w:rsid w:val="006E03C1"/>
    <w:rsid w:val="006E047A"/>
    <w:rsid w:val="006E047B"/>
    <w:rsid w:val="006E073E"/>
    <w:rsid w:val="006E0E0F"/>
    <w:rsid w:val="006E108A"/>
    <w:rsid w:val="006E15D9"/>
    <w:rsid w:val="006E1733"/>
    <w:rsid w:val="006E1742"/>
    <w:rsid w:val="006E188D"/>
    <w:rsid w:val="006E1940"/>
    <w:rsid w:val="006E1A84"/>
    <w:rsid w:val="006E1D26"/>
    <w:rsid w:val="006E1DAA"/>
    <w:rsid w:val="006E1F87"/>
    <w:rsid w:val="006E1FDD"/>
    <w:rsid w:val="006E22D4"/>
    <w:rsid w:val="006E24BF"/>
    <w:rsid w:val="006E263D"/>
    <w:rsid w:val="006E27D6"/>
    <w:rsid w:val="006E27DC"/>
    <w:rsid w:val="006E27EE"/>
    <w:rsid w:val="006E2877"/>
    <w:rsid w:val="006E28AE"/>
    <w:rsid w:val="006E29CC"/>
    <w:rsid w:val="006E2A12"/>
    <w:rsid w:val="006E2B11"/>
    <w:rsid w:val="006E2C6C"/>
    <w:rsid w:val="006E2FED"/>
    <w:rsid w:val="006E30A8"/>
    <w:rsid w:val="006E30E1"/>
    <w:rsid w:val="006E33F6"/>
    <w:rsid w:val="006E34FE"/>
    <w:rsid w:val="006E3536"/>
    <w:rsid w:val="006E35F3"/>
    <w:rsid w:val="006E36CA"/>
    <w:rsid w:val="006E37EA"/>
    <w:rsid w:val="006E3A5F"/>
    <w:rsid w:val="006E3A96"/>
    <w:rsid w:val="006E3E9C"/>
    <w:rsid w:val="006E3EE4"/>
    <w:rsid w:val="006E4190"/>
    <w:rsid w:val="006E41B0"/>
    <w:rsid w:val="006E4565"/>
    <w:rsid w:val="006E45AF"/>
    <w:rsid w:val="006E45C7"/>
    <w:rsid w:val="006E461E"/>
    <w:rsid w:val="006E473C"/>
    <w:rsid w:val="006E476A"/>
    <w:rsid w:val="006E48D2"/>
    <w:rsid w:val="006E4946"/>
    <w:rsid w:val="006E49C6"/>
    <w:rsid w:val="006E4AB0"/>
    <w:rsid w:val="006E4B1F"/>
    <w:rsid w:val="006E4BCA"/>
    <w:rsid w:val="006E4F62"/>
    <w:rsid w:val="006E5111"/>
    <w:rsid w:val="006E52C8"/>
    <w:rsid w:val="006E53C5"/>
    <w:rsid w:val="006E557E"/>
    <w:rsid w:val="006E5597"/>
    <w:rsid w:val="006E55A8"/>
    <w:rsid w:val="006E5695"/>
    <w:rsid w:val="006E571D"/>
    <w:rsid w:val="006E5BAC"/>
    <w:rsid w:val="006E5EF6"/>
    <w:rsid w:val="006E605D"/>
    <w:rsid w:val="006E6090"/>
    <w:rsid w:val="006E60C2"/>
    <w:rsid w:val="006E62B8"/>
    <w:rsid w:val="006E6583"/>
    <w:rsid w:val="006E6773"/>
    <w:rsid w:val="006E6868"/>
    <w:rsid w:val="006E6888"/>
    <w:rsid w:val="006E6DA7"/>
    <w:rsid w:val="006E71CC"/>
    <w:rsid w:val="006E729A"/>
    <w:rsid w:val="006E7313"/>
    <w:rsid w:val="006E752F"/>
    <w:rsid w:val="006E7544"/>
    <w:rsid w:val="006E7674"/>
    <w:rsid w:val="006E7754"/>
    <w:rsid w:val="006E7A84"/>
    <w:rsid w:val="006E7D5C"/>
    <w:rsid w:val="006E7E6F"/>
    <w:rsid w:val="006E7F67"/>
    <w:rsid w:val="006F000A"/>
    <w:rsid w:val="006F016C"/>
    <w:rsid w:val="006F0178"/>
    <w:rsid w:val="006F03C9"/>
    <w:rsid w:val="006F03CA"/>
    <w:rsid w:val="006F0776"/>
    <w:rsid w:val="006F07CF"/>
    <w:rsid w:val="006F0984"/>
    <w:rsid w:val="006F09BC"/>
    <w:rsid w:val="006F0D56"/>
    <w:rsid w:val="006F0E70"/>
    <w:rsid w:val="006F0F6B"/>
    <w:rsid w:val="006F1200"/>
    <w:rsid w:val="006F12C6"/>
    <w:rsid w:val="006F131B"/>
    <w:rsid w:val="006F1421"/>
    <w:rsid w:val="006F1616"/>
    <w:rsid w:val="006F16C3"/>
    <w:rsid w:val="006F171A"/>
    <w:rsid w:val="006F172D"/>
    <w:rsid w:val="006F1849"/>
    <w:rsid w:val="006F184E"/>
    <w:rsid w:val="006F1906"/>
    <w:rsid w:val="006F1980"/>
    <w:rsid w:val="006F1BE8"/>
    <w:rsid w:val="006F1C95"/>
    <w:rsid w:val="006F1D6B"/>
    <w:rsid w:val="006F209A"/>
    <w:rsid w:val="006F2210"/>
    <w:rsid w:val="006F2264"/>
    <w:rsid w:val="006F233D"/>
    <w:rsid w:val="006F2629"/>
    <w:rsid w:val="006F26E3"/>
    <w:rsid w:val="006F2943"/>
    <w:rsid w:val="006F2984"/>
    <w:rsid w:val="006F29F8"/>
    <w:rsid w:val="006F2B15"/>
    <w:rsid w:val="006F2B8B"/>
    <w:rsid w:val="006F2BE3"/>
    <w:rsid w:val="006F2C65"/>
    <w:rsid w:val="006F2C69"/>
    <w:rsid w:val="006F2CC1"/>
    <w:rsid w:val="006F2E74"/>
    <w:rsid w:val="006F2EDE"/>
    <w:rsid w:val="006F2F19"/>
    <w:rsid w:val="006F33CF"/>
    <w:rsid w:val="006F37B5"/>
    <w:rsid w:val="006F395E"/>
    <w:rsid w:val="006F3A98"/>
    <w:rsid w:val="006F3CF5"/>
    <w:rsid w:val="006F3E32"/>
    <w:rsid w:val="006F3E3F"/>
    <w:rsid w:val="006F3FA9"/>
    <w:rsid w:val="006F4033"/>
    <w:rsid w:val="006F40FC"/>
    <w:rsid w:val="006F4131"/>
    <w:rsid w:val="006F4237"/>
    <w:rsid w:val="006F442F"/>
    <w:rsid w:val="006F45A6"/>
    <w:rsid w:val="006F47FE"/>
    <w:rsid w:val="006F48A7"/>
    <w:rsid w:val="006F4B3E"/>
    <w:rsid w:val="006F4C2B"/>
    <w:rsid w:val="006F4FA4"/>
    <w:rsid w:val="006F512F"/>
    <w:rsid w:val="006F515D"/>
    <w:rsid w:val="006F52FB"/>
    <w:rsid w:val="006F54A3"/>
    <w:rsid w:val="006F5A58"/>
    <w:rsid w:val="006F5C8B"/>
    <w:rsid w:val="006F5D14"/>
    <w:rsid w:val="006F5E8B"/>
    <w:rsid w:val="006F601D"/>
    <w:rsid w:val="006F61D1"/>
    <w:rsid w:val="006F6315"/>
    <w:rsid w:val="006F65C0"/>
    <w:rsid w:val="006F6610"/>
    <w:rsid w:val="006F68DA"/>
    <w:rsid w:val="006F6A6F"/>
    <w:rsid w:val="006F6C60"/>
    <w:rsid w:val="006F6F8D"/>
    <w:rsid w:val="006F7119"/>
    <w:rsid w:val="006F7222"/>
    <w:rsid w:val="006F7287"/>
    <w:rsid w:val="006F741E"/>
    <w:rsid w:val="006F748B"/>
    <w:rsid w:val="006F75C9"/>
    <w:rsid w:val="006F760A"/>
    <w:rsid w:val="006F7693"/>
    <w:rsid w:val="006F76D6"/>
    <w:rsid w:val="006F7711"/>
    <w:rsid w:val="006F7786"/>
    <w:rsid w:val="006F7803"/>
    <w:rsid w:val="006F785E"/>
    <w:rsid w:val="006F7A3F"/>
    <w:rsid w:val="006F7B5E"/>
    <w:rsid w:val="006F7BB6"/>
    <w:rsid w:val="006F7E2B"/>
    <w:rsid w:val="00700023"/>
    <w:rsid w:val="00700223"/>
    <w:rsid w:val="007002C5"/>
    <w:rsid w:val="007003FD"/>
    <w:rsid w:val="0070046B"/>
    <w:rsid w:val="007006D7"/>
    <w:rsid w:val="0070074D"/>
    <w:rsid w:val="0070086A"/>
    <w:rsid w:val="0070089B"/>
    <w:rsid w:val="00700924"/>
    <w:rsid w:val="007009B6"/>
    <w:rsid w:val="007009B7"/>
    <w:rsid w:val="00700B2B"/>
    <w:rsid w:val="00700B51"/>
    <w:rsid w:val="00700BAB"/>
    <w:rsid w:val="00700C00"/>
    <w:rsid w:val="00700E87"/>
    <w:rsid w:val="00700E9B"/>
    <w:rsid w:val="00700EA4"/>
    <w:rsid w:val="00700EEE"/>
    <w:rsid w:val="00701289"/>
    <w:rsid w:val="007012AF"/>
    <w:rsid w:val="00701687"/>
    <w:rsid w:val="007017A6"/>
    <w:rsid w:val="007018A3"/>
    <w:rsid w:val="00701936"/>
    <w:rsid w:val="00701950"/>
    <w:rsid w:val="00701A19"/>
    <w:rsid w:val="00701E1F"/>
    <w:rsid w:val="0070205A"/>
    <w:rsid w:val="00702172"/>
    <w:rsid w:val="0070237F"/>
    <w:rsid w:val="00702763"/>
    <w:rsid w:val="007029E0"/>
    <w:rsid w:val="00702A25"/>
    <w:rsid w:val="00702ABE"/>
    <w:rsid w:val="00702B98"/>
    <w:rsid w:val="00702BC7"/>
    <w:rsid w:val="00702D80"/>
    <w:rsid w:val="00702DE2"/>
    <w:rsid w:val="00702F1D"/>
    <w:rsid w:val="00702FF5"/>
    <w:rsid w:val="007032AF"/>
    <w:rsid w:val="0070342B"/>
    <w:rsid w:val="00703467"/>
    <w:rsid w:val="00703468"/>
    <w:rsid w:val="007034C9"/>
    <w:rsid w:val="0070360A"/>
    <w:rsid w:val="0070386A"/>
    <w:rsid w:val="00703A6A"/>
    <w:rsid w:val="00703A8D"/>
    <w:rsid w:val="00703AE8"/>
    <w:rsid w:val="00703D45"/>
    <w:rsid w:val="00703F9A"/>
    <w:rsid w:val="007040A8"/>
    <w:rsid w:val="007044B4"/>
    <w:rsid w:val="00704A8A"/>
    <w:rsid w:val="007051D5"/>
    <w:rsid w:val="00705399"/>
    <w:rsid w:val="007053FB"/>
    <w:rsid w:val="0070542F"/>
    <w:rsid w:val="007056B2"/>
    <w:rsid w:val="007058F7"/>
    <w:rsid w:val="0070595B"/>
    <w:rsid w:val="00705CF1"/>
    <w:rsid w:val="00705DC3"/>
    <w:rsid w:val="00705F6F"/>
    <w:rsid w:val="0070604C"/>
    <w:rsid w:val="00706147"/>
    <w:rsid w:val="00706293"/>
    <w:rsid w:val="007064DC"/>
    <w:rsid w:val="007068F3"/>
    <w:rsid w:val="00706AEA"/>
    <w:rsid w:val="00706C38"/>
    <w:rsid w:val="00706C9E"/>
    <w:rsid w:val="00706DCB"/>
    <w:rsid w:val="00706E00"/>
    <w:rsid w:val="00706EA8"/>
    <w:rsid w:val="007071DF"/>
    <w:rsid w:val="0070729E"/>
    <w:rsid w:val="0070730D"/>
    <w:rsid w:val="00707352"/>
    <w:rsid w:val="00707712"/>
    <w:rsid w:val="0070793D"/>
    <w:rsid w:val="00707AE3"/>
    <w:rsid w:val="00707BF9"/>
    <w:rsid w:val="0071005B"/>
    <w:rsid w:val="00710408"/>
    <w:rsid w:val="0071057D"/>
    <w:rsid w:val="00710587"/>
    <w:rsid w:val="0071071F"/>
    <w:rsid w:val="0071099C"/>
    <w:rsid w:val="007109B7"/>
    <w:rsid w:val="007109EC"/>
    <w:rsid w:val="00711070"/>
    <w:rsid w:val="00711079"/>
    <w:rsid w:val="007111ED"/>
    <w:rsid w:val="00711612"/>
    <w:rsid w:val="0071191C"/>
    <w:rsid w:val="00711923"/>
    <w:rsid w:val="00711A2B"/>
    <w:rsid w:val="00711A70"/>
    <w:rsid w:val="00711A7C"/>
    <w:rsid w:val="00711CF8"/>
    <w:rsid w:val="00711ECD"/>
    <w:rsid w:val="00712233"/>
    <w:rsid w:val="007122E2"/>
    <w:rsid w:val="0071253A"/>
    <w:rsid w:val="00712800"/>
    <w:rsid w:val="00712813"/>
    <w:rsid w:val="007128A1"/>
    <w:rsid w:val="00712B49"/>
    <w:rsid w:val="00712BAA"/>
    <w:rsid w:val="00712C6B"/>
    <w:rsid w:val="00712E70"/>
    <w:rsid w:val="00712EDF"/>
    <w:rsid w:val="0071303D"/>
    <w:rsid w:val="00713175"/>
    <w:rsid w:val="007132DE"/>
    <w:rsid w:val="007132FD"/>
    <w:rsid w:val="007133E4"/>
    <w:rsid w:val="00713A0D"/>
    <w:rsid w:val="00713AEB"/>
    <w:rsid w:val="00713B22"/>
    <w:rsid w:val="00713B33"/>
    <w:rsid w:val="00713E97"/>
    <w:rsid w:val="007140D7"/>
    <w:rsid w:val="007140D8"/>
    <w:rsid w:val="0071428F"/>
    <w:rsid w:val="00714326"/>
    <w:rsid w:val="00714382"/>
    <w:rsid w:val="00714488"/>
    <w:rsid w:val="007145FA"/>
    <w:rsid w:val="00714629"/>
    <w:rsid w:val="007146B9"/>
    <w:rsid w:val="00714773"/>
    <w:rsid w:val="007148B6"/>
    <w:rsid w:val="00714A3E"/>
    <w:rsid w:val="00714BF5"/>
    <w:rsid w:val="00714C56"/>
    <w:rsid w:val="00714CFD"/>
    <w:rsid w:val="00715172"/>
    <w:rsid w:val="00715540"/>
    <w:rsid w:val="00715561"/>
    <w:rsid w:val="00715690"/>
    <w:rsid w:val="0071578B"/>
    <w:rsid w:val="007157D6"/>
    <w:rsid w:val="007159A5"/>
    <w:rsid w:val="00715E4A"/>
    <w:rsid w:val="0071631C"/>
    <w:rsid w:val="00716642"/>
    <w:rsid w:val="00716799"/>
    <w:rsid w:val="00716907"/>
    <w:rsid w:val="00716AAC"/>
    <w:rsid w:val="00716EA7"/>
    <w:rsid w:val="0071700F"/>
    <w:rsid w:val="0071707B"/>
    <w:rsid w:val="007172E2"/>
    <w:rsid w:val="0071776D"/>
    <w:rsid w:val="00717861"/>
    <w:rsid w:val="00717978"/>
    <w:rsid w:val="00717A21"/>
    <w:rsid w:val="00717AEE"/>
    <w:rsid w:val="00717C58"/>
    <w:rsid w:val="00717D69"/>
    <w:rsid w:val="00720265"/>
    <w:rsid w:val="007204C3"/>
    <w:rsid w:val="0072052D"/>
    <w:rsid w:val="0072066C"/>
    <w:rsid w:val="0072084F"/>
    <w:rsid w:val="00720AB8"/>
    <w:rsid w:val="00720C94"/>
    <w:rsid w:val="00720E9B"/>
    <w:rsid w:val="00721004"/>
    <w:rsid w:val="00721164"/>
    <w:rsid w:val="007211AF"/>
    <w:rsid w:val="00721379"/>
    <w:rsid w:val="007213AA"/>
    <w:rsid w:val="007214BB"/>
    <w:rsid w:val="007214FA"/>
    <w:rsid w:val="00721590"/>
    <w:rsid w:val="00721660"/>
    <w:rsid w:val="007216FD"/>
    <w:rsid w:val="00721911"/>
    <w:rsid w:val="00721993"/>
    <w:rsid w:val="00721BC0"/>
    <w:rsid w:val="00721CDE"/>
    <w:rsid w:val="00721D68"/>
    <w:rsid w:val="00721D72"/>
    <w:rsid w:val="00721DAD"/>
    <w:rsid w:val="0072203E"/>
    <w:rsid w:val="00722148"/>
    <w:rsid w:val="00722408"/>
    <w:rsid w:val="007224E2"/>
    <w:rsid w:val="0072255A"/>
    <w:rsid w:val="0072256D"/>
    <w:rsid w:val="007225BF"/>
    <w:rsid w:val="0072287F"/>
    <w:rsid w:val="00722B6D"/>
    <w:rsid w:val="00722CD5"/>
    <w:rsid w:val="00722DD5"/>
    <w:rsid w:val="00722E1A"/>
    <w:rsid w:val="00722EE7"/>
    <w:rsid w:val="00723019"/>
    <w:rsid w:val="0072328F"/>
    <w:rsid w:val="007239F6"/>
    <w:rsid w:val="00723A8B"/>
    <w:rsid w:val="00723D77"/>
    <w:rsid w:val="00723DC2"/>
    <w:rsid w:val="00723DFC"/>
    <w:rsid w:val="00723F51"/>
    <w:rsid w:val="00723FD9"/>
    <w:rsid w:val="0072406E"/>
    <w:rsid w:val="00724273"/>
    <w:rsid w:val="00724732"/>
    <w:rsid w:val="00724770"/>
    <w:rsid w:val="007247C9"/>
    <w:rsid w:val="00724801"/>
    <w:rsid w:val="00724825"/>
    <w:rsid w:val="0072493C"/>
    <w:rsid w:val="007249A7"/>
    <w:rsid w:val="00724B92"/>
    <w:rsid w:val="00724D20"/>
    <w:rsid w:val="00724D49"/>
    <w:rsid w:val="00724D4E"/>
    <w:rsid w:val="00724E0A"/>
    <w:rsid w:val="00724EC8"/>
    <w:rsid w:val="00724EE7"/>
    <w:rsid w:val="00724F24"/>
    <w:rsid w:val="00724F2D"/>
    <w:rsid w:val="00725161"/>
    <w:rsid w:val="00725353"/>
    <w:rsid w:val="007254A7"/>
    <w:rsid w:val="00725597"/>
    <w:rsid w:val="007255F9"/>
    <w:rsid w:val="00725975"/>
    <w:rsid w:val="00725A2E"/>
    <w:rsid w:val="00725AEB"/>
    <w:rsid w:val="00725C45"/>
    <w:rsid w:val="00725C89"/>
    <w:rsid w:val="00725CB8"/>
    <w:rsid w:val="00725D8D"/>
    <w:rsid w:val="007261EF"/>
    <w:rsid w:val="007264C8"/>
    <w:rsid w:val="007266E8"/>
    <w:rsid w:val="00726906"/>
    <w:rsid w:val="00726CD9"/>
    <w:rsid w:val="00726CDC"/>
    <w:rsid w:val="00726F45"/>
    <w:rsid w:val="0072705D"/>
    <w:rsid w:val="00727133"/>
    <w:rsid w:val="007274CB"/>
    <w:rsid w:val="00727521"/>
    <w:rsid w:val="00727A74"/>
    <w:rsid w:val="00727BBE"/>
    <w:rsid w:val="00727BC2"/>
    <w:rsid w:val="00727BED"/>
    <w:rsid w:val="00727D7A"/>
    <w:rsid w:val="00730136"/>
    <w:rsid w:val="00730167"/>
    <w:rsid w:val="007301A9"/>
    <w:rsid w:val="007301C0"/>
    <w:rsid w:val="00730233"/>
    <w:rsid w:val="007302A4"/>
    <w:rsid w:val="007302B8"/>
    <w:rsid w:val="007302CF"/>
    <w:rsid w:val="007302FB"/>
    <w:rsid w:val="007303DB"/>
    <w:rsid w:val="007303E1"/>
    <w:rsid w:val="0073070E"/>
    <w:rsid w:val="007307FB"/>
    <w:rsid w:val="00730934"/>
    <w:rsid w:val="00730AFD"/>
    <w:rsid w:val="00730B75"/>
    <w:rsid w:val="00730ED7"/>
    <w:rsid w:val="00730FD6"/>
    <w:rsid w:val="007311BA"/>
    <w:rsid w:val="0073148A"/>
    <w:rsid w:val="007314BA"/>
    <w:rsid w:val="00731545"/>
    <w:rsid w:val="00731548"/>
    <w:rsid w:val="00731576"/>
    <w:rsid w:val="0073185D"/>
    <w:rsid w:val="00731A0A"/>
    <w:rsid w:val="00731ADB"/>
    <w:rsid w:val="00731B48"/>
    <w:rsid w:val="00731C35"/>
    <w:rsid w:val="00731C63"/>
    <w:rsid w:val="0073209A"/>
    <w:rsid w:val="007321A1"/>
    <w:rsid w:val="00732568"/>
    <w:rsid w:val="00732628"/>
    <w:rsid w:val="00732AF8"/>
    <w:rsid w:val="00732B54"/>
    <w:rsid w:val="00732BBA"/>
    <w:rsid w:val="00732D01"/>
    <w:rsid w:val="00732D89"/>
    <w:rsid w:val="00733197"/>
    <w:rsid w:val="007331E2"/>
    <w:rsid w:val="007335F5"/>
    <w:rsid w:val="007338AD"/>
    <w:rsid w:val="007339EC"/>
    <w:rsid w:val="00733A6D"/>
    <w:rsid w:val="00733BEF"/>
    <w:rsid w:val="00733D90"/>
    <w:rsid w:val="00733D91"/>
    <w:rsid w:val="00733D99"/>
    <w:rsid w:val="00733E33"/>
    <w:rsid w:val="00733E89"/>
    <w:rsid w:val="00734015"/>
    <w:rsid w:val="00734125"/>
    <w:rsid w:val="00734518"/>
    <w:rsid w:val="00734596"/>
    <w:rsid w:val="00734786"/>
    <w:rsid w:val="007347FF"/>
    <w:rsid w:val="007348D7"/>
    <w:rsid w:val="007348E8"/>
    <w:rsid w:val="0073490E"/>
    <w:rsid w:val="00734D37"/>
    <w:rsid w:val="00734E60"/>
    <w:rsid w:val="00734F46"/>
    <w:rsid w:val="0073501F"/>
    <w:rsid w:val="00735401"/>
    <w:rsid w:val="007354B4"/>
    <w:rsid w:val="007356D6"/>
    <w:rsid w:val="00735813"/>
    <w:rsid w:val="00735950"/>
    <w:rsid w:val="007359DE"/>
    <w:rsid w:val="007359F6"/>
    <w:rsid w:val="00735AD7"/>
    <w:rsid w:val="00735BCA"/>
    <w:rsid w:val="00735E0D"/>
    <w:rsid w:val="00736090"/>
    <w:rsid w:val="00736183"/>
    <w:rsid w:val="007362FF"/>
    <w:rsid w:val="00736596"/>
    <w:rsid w:val="0073684D"/>
    <w:rsid w:val="0073685A"/>
    <w:rsid w:val="00736A2F"/>
    <w:rsid w:val="00736C9F"/>
    <w:rsid w:val="00736CAC"/>
    <w:rsid w:val="00736D4B"/>
    <w:rsid w:val="00736F19"/>
    <w:rsid w:val="00737121"/>
    <w:rsid w:val="007371E2"/>
    <w:rsid w:val="0073721B"/>
    <w:rsid w:val="007373FB"/>
    <w:rsid w:val="0073745D"/>
    <w:rsid w:val="007374F0"/>
    <w:rsid w:val="00737506"/>
    <w:rsid w:val="00737511"/>
    <w:rsid w:val="0073763E"/>
    <w:rsid w:val="0073769C"/>
    <w:rsid w:val="007377C0"/>
    <w:rsid w:val="00737C09"/>
    <w:rsid w:val="00740006"/>
    <w:rsid w:val="00740074"/>
    <w:rsid w:val="007403CC"/>
    <w:rsid w:val="007404A9"/>
    <w:rsid w:val="007406AE"/>
    <w:rsid w:val="007408D5"/>
    <w:rsid w:val="00740ACB"/>
    <w:rsid w:val="00740B3A"/>
    <w:rsid w:val="00740B57"/>
    <w:rsid w:val="00740B8D"/>
    <w:rsid w:val="00740CE7"/>
    <w:rsid w:val="00740D15"/>
    <w:rsid w:val="00740D9C"/>
    <w:rsid w:val="00740EAF"/>
    <w:rsid w:val="00740FFB"/>
    <w:rsid w:val="007411FE"/>
    <w:rsid w:val="00741261"/>
    <w:rsid w:val="00741291"/>
    <w:rsid w:val="0074134C"/>
    <w:rsid w:val="007415B8"/>
    <w:rsid w:val="00741852"/>
    <w:rsid w:val="00741B70"/>
    <w:rsid w:val="00741CD7"/>
    <w:rsid w:val="00741F0D"/>
    <w:rsid w:val="00742076"/>
    <w:rsid w:val="0074214B"/>
    <w:rsid w:val="00742350"/>
    <w:rsid w:val="00742353"/>
    <w:rsid w:val="00742531"/>
    <w:rsid w:val="0074259C"/>
    <w:rsid w:val="00742886"/>
    <w:rsid w:val="00742903"/>
    <w:rsid w:val="007429C2"/>
    <w:rsid w:val="00742A02"/>
    <w:rsid w:val="00742AD5"/>
    <w:rsid w:val="00742B98"/>
    <w:rsid w:val="00742CB2"/>
    <w:rsid w:val="00742D2B"/>
    <w:rsid w:val="00742D76"/>
    <w:rsid w:val="00742D80"/>
    <w:rsid w:val="00742DD8"/>
    <w:rsid w:val="00742DEE"/>
    <w:rsid w:val="0074321A"/>
    <w:rsid w:val="00743220"/>
    <w:rsid w:val="007432B0"/>
    <w:rsid w:val="007433C3"/>
    <w:rsid w:val="007433EF"/>
    <w:rsid w:val="0074345A"/>
    <w:rsid w:val="00743785"/>
    <w:rsid w:val="00743896"/>
    <w:rsid w:val="00743A50"/>
    <w:rsid w:val="00743C19"/>
    <w:rsid w:val="00743FFC"/>
    <w:rsid w:val="00744128"/>
    <w:rsid w:val="0074417B"/>
    <w:rsid w:val="00744396"/>
    <w:rsid w:val="0074449E"/>
    <w:rsid w:val="0074454F"/>
    <w:rsid w:val="0074459D"/>
    <w:rsid w:val="00744642"/>
    <w:rsid w:val="0074464D"/>
    <w:rsid w:val="00744924"/>
    <w:rsid w:val="0074494F"/>
    <w:rsid w:val="007449A1"/>
    <w:rsid w:val="00744BC4"/>
    <w:rsid w:val="00744C3E"/>
    <w:rsid w:val="00744CA7"/>
    <w:rsid w:val="00744D0B"/>
    <w:rsid w:val="0074508C"/>
    <w:rsid w:val="007450F5"/>
    <w:rsid w:val="00745640"/>
    <w:rsid w:val="00745798"/>
    <w:rsid w:val="007457C0"/>
    <w:rsid w:val="00745DAE"/>
    <w:rsid w:val="00745F0D"/>
    <w:rsid w:val="00745F45"/>
    <w:rsid w:val="00745FA1"/>
    <w:rsid w:val="00746097"/>
    <w:rsid w:val="007462D3"/>
    <w:rsid w:val="007463AE"/>
    <w:rsid w:val="007464C5"/>
    <w:rsid w:val="0074676B"/>
    <w:rsid w:val="007467CC"/>
    <w:rsid w:val="00746839"/>
    <w:rsid w:val="0074687D"/>
    <w:rsid w:val="00746977"/>
    <w:rsid w:val="00746A43"/>
    <w:rsid w:val="00746C45"/>
    <w:rsid w:val="00746C73"/>
    <w:rsid w:val="00746F97"/>
    <w:rsid w:val="00747003"/>
    <w:rsid w:val="00747017"/>
    <w:rsid w:val="007470E7"/>
    <w:rsid w:val="007472D2"/>
    <w:rsid w:val="0074731D"/>
    <w:rsid w:val="00747466"/>
    <w:rsid w:val="007474DD"/>
    <w:rsid w:val="00747557"/>
    <w:rsid w:val="0074756C"/>
    <w:rsid w:val="00747667"/>
    <w:rsid w:val="0074771C"/>
    <w:rsid w:val="007479A1"/>
    <w:rsid w:val="007479D5"/>
    <w:rsid w:val="00747A78"/>
    <w:rsid w:val="00747D4B"/>
    <w:rsid w:val="00747E40"/>
    <w:rsid w:val="00747ED4"/>
    <w:rsid w:val="00747F02"/>
    <w:rsid w:val="00747FA2"/>
    <w:rsid w:val="0075009A"/>
    <w:rsid w:val="007502D6"/>
    <w:rsid w:val="007503A6"/>
    <w:rsid w:val="0075068B"/>
    <w:rsid w:val="0075081E"/>
    <w:rsid w:val="0075093B"/>
    <w:rsid w:val="00750A06"/>
    <w:rsid w:val="00750A55"/>
    <w:rsid w:val="00750B77"/>
    <w:rsid w:val="00750BBE"/>
    <w:rsid w:val="00750CC3"/>
    <w:rsid w:val="00750D11"/>
    <w:rsid w:val="00750E8E"/>
    <w:rsid w:val="00750E90"/>
    <w:rsid w:val="00750F1E"/>
    <w:rsid w:val="00750F73"/>
    <w:rsid w:val="0075102B"/>
    <w:rsid w:val="007510D5"/>
    <w:rsid w:val="00751222"/>
    <w:rsid w:val="007515DF"/>
    <w:rsid w:val="00751704"/>
    <w:rsid w:val="00751746"/>
    <w:rsid w:val="007517E9"/>
    <w:rsid w:val="00751D07"/>
    <w:rsid w:val="00751D29"/>
    <w:rsid w:val="00751EF6"/>
    <w:rsid w:val="00751F50"/>
    <w:rsid w:val="00752067"/>
    <w:rsid w:val="0075206B"/>
    <w:rsid w:val="00752348"/>
    <w:rsid w:val="007523DE"/>
    <w:rsid w:val="0075246C"/>
    <w:rsid w:val="0075263B"/>
    <w:rsid w:val="00752768"/>
    <w:rsid w:val="0075276A"/>
    <w:rsid w:val="00752AEA"/>
    <w:rsid w:val="00752B9C"/>
    <w:rsid w:val="00752CD0"/>
    <w:rsid w:val="00752F4A"/>
    <w:rsid w:val="007531E0"/>
    <w:rsid w:val="00753844"/>
    <w:rsid w:val="00753919"/>
    <w:rsid w:val="007539B2"/>
    <w:rsid w:val="00753BC9"/>
    <w:rsid w:val="00753C2A"/>
    <w:rsid w:val="00753C78"/>
    <w:rsid w:val="00753CE5"/>
    <w:rsid w:val="00753D3C"/>
    <w:rsid w:val="00753F78"/>
    <w:rsid w:val="007540FF"/>
    <w:rsid w:val="0075430A"/>
    <w:rsid w:val="00754350"/>
    <w:rsid w:val="007545E4"/>
    <w:rsid w:val="00754658"/>
    <w:rsid w:val="00754667"/>
    <w:rsid w:val="00754851"/>
    <w:rsid w:val="00754A97"/>
    <w:rsid w:val="00754D53"/>
    <w:rsid w:val="00755066"/>
    <w:rsid w:val="007554A3"/>
    <w:rsid w:val="007554DC"/>
    <w:rsid w:val="00755555"/>
    <w:rsid w:val="00755559"/>
    <w:rsid w:val="00755803"/>
    <w:rsid w:val="00755B63"/>
    <w:rsid w:val="00755C76"/>
    <w:rsid w:val="00755C90"/>
    <w:rsid w:val="00755C9D"/>
    <w:rsid w:val="00755DC8"/>
    <w:rsid w:val="00755E1F"/>
    <w:rsid w:val="007562D4"/>
    <w:rsid w:val="007564B2"/>
    <w:rsid w:val="0075664E"/>
    <w:rsid w:val="0075664F"/>
    <w:rsid w:val="007567E7"/>
    <w:rsid w:val="00756B7F"/>
    <w:rsid w:val="00756CF3"/>
    <w:rsid w:val="00756FE3"/>
    <w:rsid w:val="0075700C"/>
    <w:rsid w:val="007570A7"/>
    <w:rsid w:val="00757400"/>
    <w:rsid w:val="007575D2"/>
    <w:rsid w:val="007576A9"/>
    <w:rsid w:val="00757AFC"/>
    <w:rsid w:val="00757B35"/>
    <w:rsid w:val="00757B3A"/>
    <w:rsid w:val="00757BA4"/>
    <w:rsid w:val="00757D06"/>
    <w:rsid w:val="00757D0D"/>
    <w:rsid w:val="00757D19"/>
    <w:rsid w:val="00757D49"/>
    <w:rsid w:val="00757D92"/>
    <w:rsid w:val="00757F7C"/>
    <w:rsid w:val="00760017"/>
    <w:rsid w:val="00760282"/>
    <w:rsid w:val="00760503"/>
    <w:rsid w:val="0076086D"/>
    <w:rsid w:val="00760889"/>
    <w:rsid w:val="007609F0"/>
    <w:rsid w:val="00760A74"/>
    <w:rsid w:val="00760B08"/>
    <w:rsid w:val="00760B1D"/>
    <w:rsid w:val="00760C53"/>
    <w:rsid w:val="00760DCC"/>
    <w:rsid w:val="00761008"/>
    <w:rsid w:val="0076107A"/>
    <w:rsid w:val="007614B6"/>
    <w:rsid w:val="00761523"/>
    <w:rsid w:val="00761677"/>
    <w:rsid w:val="007617E4"/>
    <w:rsid w:val="007617ED"/>
    <w:rsid w:val="0076184D"/>
    <w:rsid w:val="00761A16"/>
    <w:rsid w:val="00761A4F"/>
    <w:rsid w:val="00761A79"/>
    <w:rsid w:val="00761AA5"/>
    <w:rsid w:val="00761B08"/>
    <w:rsid w:val="00761B57"/>
    <w:rsid w:val="00761C44"/>
    <w:rsid w:val="0076202D"/>
    <w:rsid w:val="00762055"/>
    <w:rsid w:val="00762170"/>
    <w:rsid w:val="00762232"/>
    <w:rsid w:val="00762277"/>
    <w:rsid w:val="0076232B"/>
    <w:rsid w:val="0076235E"/>
    <w:rsid w:val="00762364"/>
    <w:rsid w:val="0076278D"/>
    <w:rsid w:val="00762824"/>
    <w:rsid w:val="0076288C"/>
    <w:rsid w:val="00762947"/>
    <w:rsid w:val="00762973"/>
    <w:rsid w:val="007629D2"/>
    <w:rsid w:val="00762B8D"/>
    <w:rsid w:val="00762CB1"/>
    <w:rsid w:val="00762E86"/>
    <w:rsid w:val="00762F70"/>
    <w:rsid w:val="00763095"/>
    <w:rsid w:val="007631DC"/>
    <w:rsid w:val="00763402"/>
    <w:rsid w:val="00763418"/>
    <w:rsid w:val="0076344E"/>
    <w:rsid w:val="0076358A"/>
    <w:rsid w:val="00763594"/>
    <w:rsid w:val="00763895"/>
    <w:rsid w:val="0076394B"/>
    <w:rsid w:val="00763B01"/>
    <w:rsid w:val="00763C1A"/>
    <w:rsid w:val="007641D8"/>
    <w:rsid w:val="00764251"/>
    <w:rsid w:val="007642FD"/>
    <w:rsid w:val="007644C3"/>
    <w:rsid w:val="0076461C"/>
    <w:rsid w:val="00764675"/>
    <w:rsid w:val="00764760"/>
    <w:rsid w:val="007648FA"/>
    <w:rsid w:val="007649B3"/>
    <w:rsid w:val="007649BF"/>
    <w:rsid w:val="00764B39"/>
    <w:rsid w:val="00764BBB"/>
    <w:rsid w:val="00764C3D"/>
    <w:rsid w:val="00764E29"/>
    <w:rsid w:val="00764F58"/>
    <w:rsid w:val="007651FD"/>
    <w:rsid w:val="00765279"/>
    <w:rsid w:val="0076529C"/>
    <w:rsid w:val="007652C8"/>
    <w:rsid w:val="007654BF"/>
    <w:rsid w:val="00765523"/>
    <w:rsid w:val="007655F8"/>
    <w:rsid w:val="0076567A"/>
    <w:rsid w:val="0076583D"/>
    <w:rsid w:val="00765874"/>
    <w:rsid w:val="00765B7A"/>
    <w:rsid w:val="00765B80"/>
    <w:rsid w:val="00765DA3"/>
    <w:rsid w:val="00765DE8"/>
    <w:rsid w:val="0076606E"/>
    <w:rsid w:val="0076609B"/>
    <w:rsid w:val="007662FD"/>
    <w:rsid w:val="00766367"/>
    <w:rsid w:val="007663B9"/>
    <w:rsid w:val="00766699"/>
    <w:rsid w:val="007666A1"/>
    <w:rsid w:val="007668CF"/>
    <w:rsid w:val="007668ED"/>
    <w:rsid w:val="0076694B"/>
    <w:rsid w:val="00766985"/>
    <w:rsid w:val="0076699E"/>
    <w:rsid w:val="007669A8"/>
    <w:rsid w:val="007669C3"/>
    <w:rsid w:val="00766A5E"/>
    <w:rsid w:val="00766D57"/>
    <w:rsid w:val="00766D82"/>
    <w:rsid w:val="00766EE0"/>
    <w:rsid w:val="0076703B"/>
    <w:rsid w:val="00767180"/>
    <w:rsid w:val="00767776"/>
    <w:rsid w:val="00767B82"/>
    <w:rsid w:val="00767C1F"/>
    <w:rsid w:val="00767C2D"/>
    <w:rsid w:val="00767D11"/>
    <w:rsid w:val="00767D1D"/>
    <w:rsid w:val="00767D35"/>
    <w:rsid w:val="00767DDA"/>
    <w:rsid w:val="00770096"/>
    <w:rsid w:val="007701F7"/>
    <w:rsid w:val="00770259"/>
    <w:rsid w:val="0077028F"/>
    <w:rsid w:val="007703BD"/>
    <w:rsid w:val="00770579"/>
    <w:rsid w:val="00770783"/>
    <w:rsid w:val="007707A9"/>
    <w:rsid w:val="00770819"/>
    <w:rsid w:val="007708E5"/>
    <w:rsid w:val="0077099A"/>
    <w:rsid w:val="00770B9C"/>
    <w:rsid w:val="00770CFF"/>
    <w:rsid w:val="00770EC0"/>
    <w:rsid w:val="00770EF7"/>
    <w:rsid w:val="00770F4C"/>
    <w:rsid w:val="00771048"/>
    <w:rsid w:val="007713C6"/>
    <w:rsid w:val="00771579"/>
    <w:rsid w:val="007716ED"/>
    <w:rsid w:val="0077173B"/>
    <w:rsid w:val="00771889"/>
    <w:rsid w:val="00771B2B"/>
    <w:rsid w:val="00771E56"/>
    <w:rsid w:val="00772005"/>
    <w:rsid w:val="00772300"/>
    <w:rsid w:val="007723CD"/>
    <w:rsid w:val="00772597"/>
    <w:rsid w:val="0077295E"/>
    <w:rsid w:val="00772CE6"/>
    <w:rsid w:val="00773012"/>
    <w:rsid w:val="007731EA"/>
    <w:rsid w:val="0077331C"/>
    <w:rsid w:val="00773650"/>
    <w:rsid w:val="007737A3"/>
    <w:rsid w:val="00773A87"/>
    <w:rsid w:val="00773B87"/>
    <w:rsid w:val="00773BB6"/>
    <w:rsid w:val="00773F8E"/>
    <w:rsid w:val="00774107"/>
    <w:rsid w:val="00774151"/>
    <w:rsid w:val="0077467A"/>
    <w:rsid w:val="00774737"/>
    <w:rsid w:val="00774B58"/>
    <w:rsid w:val="00774CC4"/>
    <w:rsid w:val="00774E2D"/>
    <w:rsid w:val="00774E4C"/>
    <w:rsid w:val="00775113"/>
    <w:rsid w:val="007753D7"/>
    <w:rsid w:val="00775738"/>
    <w:rsid w:val="0077576D"/>
    <w:rsid w:val="0077590A"/>
    <w:rsid w:val="00775BA6"/>
    <w:rsid w:val="00775D14"/>
    <w:rsid w:val="00775FDA"/>
    <w:rsid w:val="00776087"/>
    <w:rsid w:val="0077621F"/>
    <w:rsid w:val="00776454"/>
    <w:rsid w:val="007764E2"/>
    <w:rsid w:val="00776741"/>
    <w:rsid w:val="00776772"/>
    <w:rsid w:val="007768F7"/>
    <w:rsid w:val="00776958"/>
    <w:rsid w:val="00776BB0"/>
    <w:rsid w:val="00776D31"/>
    <w:rsid w:val="00776E84"/>
    <w:rsid w:val="0077718F"/>
    <w:rsid w:val="007773B3"/>
    <w:rsid w:val="00777550"/>
    <w:rsid w:val="00777667"/>
    <w:rsid w:val="007776D8"/>
    <w:rsid w:val="0077778F"/>
    <w:rsid w:val="00777C73"/>
    <w:rsid w:val="00777E27"/>
    <w:rsid w:val="00777E85"/>
    <w:rsid w:val="00777E90"/>
    <w:rsid w:val="00777F4E"/>
    <w:rsid w:val="007804D7"/>
    <w:rsid w:val="0078053F"/>
    <w:rsid w:val="007805BC"/>
    <w:rsid w:val="00780833"/>
    <w:rsid w:val="00780B75"/>
    <w:rsid w:val="00780F25"/>
    <w:rsid w:val="007810C1"/>
    <w:rsid w:val="007815AB"/>
    <w:rsid w:val="007815D4"/>
    <w:rsid w:val="00781A4C"/>
    <w:rsid w:val="00781C8E"/>
    <w:rsid w:val="00781CF6"/>
    <w:rsid w:val="00782296"/>
    <w:rsid w:val="00782411"/>
    <w:rsid w:val="0078246A"/>
    <w:rsid w:val="007825AF"/>
    <w:rsid w:val="0078260C"/>
    <w:rsid w:val="007826FA"/>
    <w:rsid w:val="0078277E"/>
    <w:rsid w:val="007829FC"/>
    <w:rsid w:val="00782D1B"/>
    <w:rsid w:val="00782D8F"/>
    <w:rsid w:val="00782F6C"/>
    <w:rsid w:val="0078301B"/>
    <w:rsid w:val="00783178"/>
    <w:rsid w:val="007831DE"/>
    <w:rsid w:val="00783379"/>
    <w:rsid w:val="007834CE"/>
    <w:rsid w:val="007834F1"/>
    <w:rsid w:val="007835B9"/>
    <w:rsid w:val="007835DE"/>
    <w:rsid w:val="00783639"/>
    <w:rsid w:val="007837E9"/>
    <w:rsid w:val="00783859"/>
    <w:rsid w:val="00783A8F"/>
    <w:rsid w:val="00783F77"/>
    <w:rsid w:val="0078439F"/>
    <w:rsid w:val="007844D4"/>
    <w:rsid w:val="00784535"/>
    <w:rsid w:val="00784618"/>
    <w:rsid w:val="00784661"/>
    <w:rsid w:val="007846C6"/>
    <w:rsid w:val="007847D0"/>
    <w:rsid w:val="007847EC"/>
    <w:rsid w:val="00784893"/>
    <w:rsid w:val="00784AB2"/>
    <w:rsid w:val="00784C40"/>
    <w:rsid w:val="00784E30"/>
    <w:rsid w:val="00784E5B"/>
    <w:rsid w:val="00784F1A"/>
    <w:rsid w:val="007850A0"/>
    <w:rsid w:val="00785207"/>
    <w:rsid w:val="007853E3"/>
    <w:rsid w:val="0078568C"/>
    <w:rsid w:val="007856D2"/>
    <w:rsid w:val="0078574E"/>
    <w:rsid w:val="00785861"/>
    <w:rsid w:val="00785B12"/>
    <w:rsid w:val="00785C42"/>
    <w:rsid w:val="00785C55"/>
    <w:rsid w:val="00785C89"/>
    <w:rsid w:val="00785CA3"/>
    <w:rsid w:val="00785CBE"/>
    <w:rsid w:val="00785D41"/>
    <w:rsid w:val="00785DAA"/>
    <w:rsid w:val="00785E77"/>
    <w:rsid w:val="00785FC9"/>
    <w:rsid w:val="00785FE8"/>
    <w:rsid w:val="00786360"/>
    <w:rsid w:val="007863EC"/>
    <w:rsid w:val="007865FF"/>
    <w:rsid w:val="007866A5"/>
    <w:rsid w:val="007866F7"/>
    <w:rsid w:val="0078698F"/>
    <w:rsid w:val="00786993"/>
    <w:rsid w:val="00786B5F"/>
    <w:rsid w:val="00786BD4"/>
    <w:rsid w:val="00786C57"/>
    <w:rsid w:val="00786E0B"/>
    <w:rsid w:val="00786EB1"/>
    <w:rsid w:val="00786ED5"/>
    <w:rsid w:val="00786FDA"/>
    <w:rsid w:val="00787173"/>
    <w:rsid w:val="0078719E"/>
    <w:rsid w:val="007871F6"/>
    <w:rsid w:val="00787253"/>
    <w:rsid w:val="00787300"/>
    <w:rsid w:val="00787330"/>
    <w:rsid w:val="007876AA"/>
    <w:rsid w:val="007876F3"/>
    <w:rsid w:val="00787734"/>
    <w:rsid w:val="0078775A"/>
    <w:rsid w:val="0078786E"/>
    <w:rsid w:val="007878E1"/>
    <w:rsid w:val="00787C08"/>
    <w:rsid w:val="00787C40"/>
    <w:rsid w:val="00787C46"/>
    <w:rsid w:val="00787DA6"/>
    <w:rsid w:val="00787E7C"/>
    <w:rsid w:val="00787F10"/>
    <w:rsid w:val="00787FC4"/>
    <w:rsid w:val="007901D1"/>
    <w:rsid w:val="00790393"/>
    <w:rsid w:val="007904D6"/>
    <w:rsid w:val="00790607"/>
    <w:rsid w:val="007906C9"/>
    <w:rsid w:val="0079070B"/>
    <w:rsid w:val="00790825"/>
    <w:rsid w:val="007908B5"/>
    <w:rsid w:val="00790A58"/>
    <w:rsid w:val="00790CA6"/>
    <w:rsid w:val="00790E78"/>
    <w:rsid w:val="00790EE7"/>
    <w:rsid w:val="007910F8"/>
    <w:rsid w:val="007911FC"/>
    <w:rsid w:val="00791221"/>
    <w:rsid w:val="0079156A"/>
    <w:rsid w:val="00791638"/>
    <w:rsid w:val="007916B0"/>
    <w:rsid w:val="00791895"/>
    <w:rsid w:val="007919E0"/>
    <w:rsid w:val="00791A9A"/>
    <w:rsid w:val="00791EE7"/>
    <w:rsid w:val="007922F1"/>
    <w:rsid w:val="007923AD"/>
    <w:rsid w:val="007923D3"/>
    <w:rsid w:val="007924C7"/>
    <w:rsid w:val="00792566"/>
    <w:rsid w:val="007929A1"/>
    <w:rsid w:val="00792A05"/>
    <w:rsid w:val="00792AA1"/>
    <w:rsid w:val="00792AFB"/>
    <w:rsid w:val="00792C54"/>
    <w:rsid w:val="00792E8F"/>
    <w:rsid w:val="00793073"/>
    <w:rsid w:val="00793276"/>
    <w:rsid w:val="0079347E"/>
    <w:rsid w:val="0079374C"/>
    <w:rsid w:val="007939AC"/>
    <w:rsid w:val="007939CB"/>
    <w:rsid w:val="00793CC8"/>
    <w:rsid w:val="00793FBB"/>
    <w:rsid w:val="007940B4"/>
    <w:rsid w:val="0079418D"/>
    <w:rsid w:val="00794381"/>
    <w:rsid w:val="007943A8"/>
    <w:rsid w:val="0079445A"/>
    <w:rsid w:val="007945B3"/>
    <w:rsid w:val="00794651"/>
    <w:rsid w:val="007946EE"/>
    <w:rsid w:val="00794748"/>
    <w:rsid w:val="00794798"/>
    <w:rsid w:val="00794885"/>
    <w:rsid w:val="00794E42"/>
    <w:rsid w:val="00795003"/>
    <w:rsid w:val="00795074"/>
    <w:rsid w:val="00795142"/>
    <w:rsid w:val="007953B0"/>
    <w:rsid w:val="007953E7"/>
    <w:rsid w:val="007956EB"/>
    <w:rsid w:val="00795741"/>
    <w:rsid w:val="00795870"/>
    <w:rsid w:val="00795BA4"/>
    <w:rsid w:val="00795C54"/>
    <w:rsid w:val="00795F81"/>
    <w:rsid w:val="00796136"/>
    <w:rsid w:val="007961BC"/>
    <w:rsid w:val="0079628D"/>
    <w:rsid w:val="007962DB"/>
    <w:rsid w:val="007969E0"/>
    <w:rsid w:val="00796A61"/>
    <w:rsid w:val="00796B06"/>
    <w:rsid w:val="00796B69"/>
    <w:rsid w:val="00796B78"/>
    <w:rsid w:val="00796B84"/>
    <w:rsid w:val="00796C94"/>
    <w:rsid w:val="0079700C"/>
    <w:rsid w:val="007970BF"/>
    <w:rsid w:val="007972FD"/>
    <w:rsid w:val="007975D7"/>
    <w:rsid w:val="00797701"/>
    <w:rsid w:val="00797900"/>
    <w:rsid w:val="00797D8F"/>
    <w:rsid w:val="007A0054"/>
    <w:rsid w:val="007A024A"/>
    <w:rsid w:val="007A0266"/>
    <w:rsid w:val="007A02AB"/>
    <w:rsid w:val="007A033C"/>
    <w:rsid w:val="007A0363"/>
    <w:rsid w:val="007A03AA"/>
    <w:rsid w:val="007A06F5"/>
    <w:rsid w:val="007A0742"/>
    <w:rsid w:val="007A074C"/>
    <w:rsid w:val="007A07A9"/>
    <w:rsid w:val="007A08F6"/>
    <w:rsid w:val="007A0933"/>
    <w:rsid w:val="007A0AD2"/>
    <w:rsid w:val="007A0B99"/>
    <w:rsid w:val="007A0E7F"/>
    <w:rsid w:val="007A10E6"/>
    <w:rsid w:val="007A1692"/>
    <w:rsid w:val="007A16DB"/>
    <w:rsid w:val="007A17A2"/>
    <w:rsid w:val="007A18D2"/>
    <w:rsid w:val="007A1935"/>
    <w:rsid w:val="007A1B4D"/>
    <w:rsid w:val="007A1BFA"/>
    <w:rsid w:val="007A202A"/>
    <w:rsid w:val="007A2131"/>
    <w:rsid w:val="007A221B"/>
    <w:rsid w:val="007A26E5"/>
    <w:rsid w:val="007A27A3"/>
    <w:rsid w:val="007A2BA9"/>
    <w:rsid w:val="007A2BB3"/>
    <w:rsid w:val="007A2C8C"/>
    <w:rsid w:val="007A2DE5"/>
    <w:rsid w:val="007A2EE6"/>
    <w:rsid w:val="007A3203"/>
    <w:rsid w:val="007A346E"/>
    <w:rsid w:val="007A3508"/>
    <w:rsid w:val="007A3796"/>
    <w:rsid w:val="007A37BE"/>
    <w:rsid w:val="007A37C8"/>
    <w:rsid w:val="007A3936"/>
    <w:rsid w:val="007A39E3"/>
    <w:rsid w:val="007A3CB0"/>
    <w:rsid w:val="007A3CB3"/>
    <w:rsid w:val="007A3CDE"/>
    <w:rsid w:val="007A3D3D"/>
    <w:rsid w:val="007A3D98"/>
    <w:rsid w:val="007A41D4"/>
    <w:rsid w:val="007A429F"/>
    <w:rsid w:val="007A4515"/>
    <w:rsid w:val="007A4641"/>
    <w:rsid w:val="007A46FF"/>
    <w:rsid w:val="007A47FF"/>
    <w:rsid w:val="007A4AE8"/>
    <w:rsid w:val="007A4C9A"/>
    <w:rsid w:val="007A4DA5"/>
    <w:rsid w:val="007A4DB3"/>
    <w:rsid w:val="007A5053"/>
    <w:rsid w:val="007A5293"/>
    <w:rsid w:val="007A5359"/>
    <w:rsid w:val="007A55E6"/>
    <w:rsid w:val="007A58B7"/>
    <w:rsid w:val="007A59AA"/>
    <w:rsid w:val="007A5AEA"/>
    <w:rsid w:val="007A5C4F"/>
    <w:rsid w:val="007A5C59"/>
    <w:rsid w:val="007A5C8B"/>
    <w:rsid w:val="007A5E11"/>
    <w:rsid w:val="007A6015"/>
    <w:rsid w:val="007A6166"/>
    <w:rsid w:val="007A61A2"/>
    <w:rsid w:val="007A637A"/>
    <w:rsid w:val="007A6437"/>
    <w:rsid w:val="007A65FA"/>
    <w:rsid w:val="007A66DC"/>
    <w:rsid w:val="007A6902"/>
    <w:rsid w:val="007A69FA"/>
    <w:rsid w:val="007A6A7D"/>
    <w:rsid w:val="007A6AEA"/>
    <w:rsid w:val="007A6B98"/>
    <w:rsid w:val="007A6C03"/>
    <w:rsid w:val="007A6C06"/>
    <w:rsid w:val="007A6C66"/>
    <w:rsid w:val="007A6F39"/>
    <w:rsid w:val="007A6FE1"/>
    <w:rsid w:val="007A740B"/>
    <w:rsid w:val="007A7506"/>
    <w:rsid w:val="007A7616"/>
    <w:rsid w:val="007A7618"/>
    <w:rsid w:val="007A79A4"/>
    <w:rsid w:val="007A7B01"/>
    <w:rsid w:val="007A7BE8"/>
    <w:rsid w:val="007A7CDE"/>
    <w:rsid w:val="007A7E2D"/>
    <w:rsid w:val="007B059A"/>
    <w:rsid w:val="007B0A65"/>
    <w:rsid w:val="007B0B1C"/>
    <w:rsid w:val="007B0B94"/>
    <w:rsid w:val="007B0C80"/>
    <w:rsid w:val="007B0CEF"/>
    <w:rsid w:val="007B1150"/>
    <w:rsid w:val="007B11DB"/>
    <w:rsid w:val="007B1213"/>
    <w:rsid w:val="007B1241"/>
    <w:rsid w:val="007B131D"/>
    <w:rsid w:val="007B16D2"/>
    <w:rsid w:val="007B1784"/>
    <w:rsid w:val="007B18C2"/>
    <w:rsid w:val="007B196B"/>
    <w:rsid w:val="007B1AAC"/>
    <w:rsid w:val="007B1AB6"/>
    <w:rsid w:val="007B1D21"/>
    <w:rsid w:val="007B1DD6"/>
    <w:rsid w:val="007B1ED5"/>
    <w:rsid w:val="007B2170"/>
    <w:rsid w:val="007B2256"/>
    <w:rsid w:val="007B22D6"/>
    <w:rsid w:val="007B28D7"/>
    <w:rsid w:val="007B2A5F"/>
    <w:rsid w:val="007B2E63"/>
    <w:rsid w:val="007B2E81"/>
    <w:rsid w:val="007B2EF9"/>
    <w:rsid w:val="007B2FAF"/>
    <w:rsid w:val="007B32A7"/>
    <w:rsid w:val="007B3348"/>
    <w:rsid w:val="007B34C6"/>
    <w:rsid w:val="007B37C1"/>
    <w:rsid w:val="007B3874"/>
    <w:rsid w:val="007B398D"/>
    <w:rsid w:val="007B3BC0"/>
    <w:rsid w:val="007B3BD6"/>
    <w:rsid w:val="007B3D86"/>
    <w:rsid w:val="007B3F92"/>
    <w:rsid w:val="007B3FA9"/>
    <w:rsid w:val="007B3FEE"/>
    <w:rsid w:val="007B4195"/>
    <w:rsid w:val="007B41A8"/>
    <w:rsid w:val="007B44AC"/>
    <w:rsid w:val="007B44ED"/>
    <w:rsid w:val="007B46E9"/>
    <w:rsid w:val="007B46F0"/>
    <w:rsid w:val="007B47C6"/>
    <w:rsid w:val="007B4AAC"/>
    <w:rsid w:val="007B4EE8"/>
    <w:rsid w:val="007B4F94"/>
    <w:rsid w:val="007B5006"/>
    <w:rsid w:val="007B5072"/>
    <w:rsid w:val="007B5114"/>
    <w:rsid w:val="007B525D"/>
    <w:rsid w:val="007B5275"/>
    <w:rsid w:val="007B52FD"/>
    <w:rsid w:val="007B55B5"/>
    <w:rsid w:val="007B5851"/>
    <w:rsid w:val="007B5C49"/>
    <w:rsid w:val="007B5C60"/>
    <w:rsid w:val="007B5E3A"/>
    <w:rsid w:val="007B5E4B"/>
    <w:rsid w:val="007B6117"/>
    <w:rsid w:val="007B61C3"/>
    <w:rsid w:val="007B6231"/>
    <w:rsid w:val="007B62EA"/>
    <w:rsid w:val="007B635E"/>
    <w:rsid w:val="007B6386"/>
    <w:rsid w:val="007B643C"/>
    <w:rsid w:val="007B6451"/>
    <w:rsid w:val="007B64A4"/>
    <w:rsid w:val="007B64CE"/>
    <w:rsid w:val="007B64FF"/>
    <w:rsid w:val="007B661C"/>
    <w:rsid w:val="007B6670"/>
    <w:rsid w:val="007B66DB"/>
    <w:rsid w:val="007B679B"/>
    <w:rsid w:val="007B6855"/>
    <w:rsid w:val="007B6D4A"/>
    <w:rsid w:val="007B7147"/>
    <w:rsid w:val="007B7161"/>
    <w:rsid w:val="007B71AD"/>
    <w:rsid w:val="007B71CA"/>
    <w:rsid w:val="007B7288"/>
    <w:rsid w:val="007B72C7"/>
    <w:rsid w:val="007B7370"/>
    <w:rsid w:val="007B74CA"/>
    <w:rsid w:val="007B74DE"/>
    <w:rsid w:val="007B780B"/>
    <w:rsid w:val="007B7CB6"/>
    <w:rsid w:val="007B7D9A"/>
    <w:rsid w:val="007B7DA8"/>
    <w:rsid w:val="007B7FDB"/>
    <w:rsid w:val="007C0196"/>
    <w:rsid w:val="007C01BB"/>
    <w:rsid w:val="007C02A8"/>
    <w:rsid w:val="007C045C"/>
    <w:rsid w:val="007C04E1"/>
    <w:rsid w:val="007C06CF"/>
    <w:rsid w:val="007C0906"/>
    <w:rsid w:val="007C0BA1"/>
    <w:rsid w:val="007C0C2E"/>
    <w:rsid w:val="007C0F86"/>
    <w:rsid w:val="007C13DD"/>
    <w:rsid w:val="007C141D"/>
    <w:rsid w:val="007C1601"/>
    <w:rsid w:val="007C167B"/>
    <w:rsid w:val="007C17AE"/>
    <w:rsid w:val="007C181C"/>
    <w:rsid w:val="007C1E8D"/>
    <w:rsid w:val="007C1F0C"/>
    <w:rsid w:val="007C1F98"/>
    <w:rsid w:val="007C230D"/>
    <w:rsid w:val="007C247D"/>
    <w:rsid w:val="007C26FC"/>
    <w:rsid w:val="007C273B"/>
    <w:rsid w:val="007C27D2"/>
    <w:rsid w:val="007C2803"/>
    <w:rsid w:val="007C28B4"/>
    <w:rsid w:val="007C28E9"/>
    <w:rsid w:val="007C2B74"/>
    <w:rsid w:val="007C2DF2"/>
    <w:rsid w:val="007C3002"/>
    <w:rsid w:val="007C310C"/>
    <w:rsid w:val="007C312C"/>
    <w:rsid w:val="007C313D"/>
    <w:rsid w:val="007C3179"/>
    <w:rsid w:val="007C328E"/>
    <w:rsid w:val="007C35B3"/>
    <w:rsid w:val="007C3727"/>
    <w:rsid w:val="007C373F"/>
    <w:rsid w:val="007C38A0"/>
    <w:rsid w:val="007C38A1"/>
    <w:rsid w:val="007C39F4"/>
    <w:rsid w:val="007C3B25"/>
    <w:rsid w:val="007C3F4B"/>
    <w:rsid w:val="007C3F5F"/>
    <w:rsid w:val="007C3F7B"/>
    <w:rsid w:val="007C412B"/>
    <w:rsid w:val="007C4332"/>
    <w:rsid w:val="007C43F9"/>
    <w:rsid w:val="007C4514"/>
    <w:rsid w:val="007C4557"/>
    <w:rsid w:val="007C475D"/>
    <w:rsid w:val="007C4847"/>
    <w:rsid w:val="007C494D"/>
    <w:rsid w:val="007C49A1"/>
    <w:rsid w:val="007C4B44"/>
    <w:rsid w:val="007C4B5A"/>
    <w:rsid w:val="007C4B9E"/>
    <w:rsid w:val="007C4CBF"/>
    <w:rsid w:val="007C4D34"/>
    <w:rsid w:val="007C4D45"/>
    <w:rsid w:val="007C4D88"/>
    <w:rsid w:val="007C4F27"/>
    <w:rsid w:val="007C4F95"/>
    <w:rsid w:val="007C5100"/>
    <w:rsid w:val="007C52A8"/>
    <w:rsid w:val="007C550A"/>
    <w:rsid w:val="007C555E"/>
    <w:rsid w:val="007C557E"/>
    <w:rsid w:val="007C56C4"/>
    <w:rsid w:val="007C5842"/>
    <w:rsid w:val="007C5A20"/>
    <w:rsid w:val="007C5A7A"/>
    <w:rsid w:val="007C5AE9"/>
    <w:rsid w:val="007C5BC9"/>
    <w:rsid w:val="007C5C3D"/>
    <w:rsid w:val="007C606C"/>
    <w:rsid w:val="007C64C2"/>
    <w:rsid w:val="007C6523"/>
    <w:rsid w:val="007C6591"/>
    <w:rsid w:val="007C6599"/>
    <w:rsid w:val="007C65AA"/>
    <w:rsid w:val="007C66C9"/>
    <w:rsid w:val="007C66F9"/>
    <w:rsid w:val="007C6779"/>
    <w:rsid w:val="007C6AAC"/>
    <w:rsid w:val="007C6AB2"/>
    <w:rsid w:val="007C6C8A"/>
    <w:rsid w:val="007C6DFB"/>
    <w:rsid w:val="007C719F"/>
    <w:rsid w:val="007C7305"/>
    <w:rsid w:val="007C7454"/>
    <w:rsid w:val="007C74BE"/>
    <w:rsid w:val="007C7523"/>
    <w:rsid w:val="007C79ED"/>
    <w:rsid w:val="007C7A5F"/>
    <w:rsid w:val="007C7A9A"/>
    <w:rsid w:val="007C7CCB"/>
    <w:rsid w:val="007C7CE1"/>
    <w:rsid w:val="007C7CEE"/>
    <w:rsid w:val="007C7DBB"/>
    <w:rsid w:val="007C7DE2"/>
    <w:rsid w:val="007C7FE1"/>
    <w:rsid w:val="007D0225"/>
    <w:rsid w:val="007D022C"/>
    <w:rsid w:val="007D02B9"/>
    <w:rsid w:val="007D02BD"/>
    <w:rsid w:val="007D02F5"/>
    <w:rsid w:val="007D03BF"/>
    <w:rsid w:val="007D0771"/>
    <w:rsid w:val="007D0868"/>
    <w:rsid w:val="007D0B9A"/>
    <w:rsid w:val="007D0DB3"/>
    <w:rsid w:val="007D0DD1"/>
    <w:rsid w:val="007D0E44"/>
    <w:rsid w:val="007D0E5A"/>
    <w:rsid w:val="007D0ED5"/>
    <w:rsid w:val="007D0FAD"/>
    <w:rsid w:val="007D10E0"/>
    <w:rsid w:val="007D11C3"/>
    <w:rsid w:val="007D11F0"/>
    <w:rsid w:val="007D1509"/>
    <w:rsid w:val="007D1602"/>
    <w:rsid w:val="007D1856"/>
    <w:rsid w:val="007D1986"/>
    <w:rsid w:val="007D1A9F"/>
    <w:rsid w:val="007D1AA8"/>
    <w:rsid w:val="007D1AF0"/>
    <w:rsid w:val="007D1BD2"/>
    <w:rsid w:val="007D1D44"/>
    <w:rsid w:val="007D1D87"/>
    <w:rsid w:val="007D1E9B"/>
    <w:rsid w:val="007D1F43"/>
    <w:rsid w:val="007D20CB"/>
    <w:rsid w:val="007D23CB"/>
    <w:rsid w:val="007D262B"/>
    <w:rsid w:val="007D2754"/>
    <w:rsid w:val="007D28A7"/>
    <w:rsid w:val="007D2921"/>
    <w:rsid w:val="007D316A"/>
    <w:rsid w:val="007D326E"/>
    <w:rsid w:val="007D3907"/>
    <w:rsid w:val="007D39F1"/>
    <w:rsid w:val="007D3CD8"/>
    <w:rsid w:val="007D3CE0"/>
    <w:rsid w:val="007D3E1E"/>
    <w:rsid w:val="007D3E41"/>
    <w:rsid w:val="007D3E8C"/>
    <w:rsid w:val="007D3FC0"/>
    <w:rsid w:val="007D411F"/>
    <w:rsid w:val="007D434D"/>
    <w:rsid w:val="007D4511"/>
    <w:rsid w:val="007D4548"/>
    <w:rsid w:val="007D47D8"/>
    <w:rsid w:val="007D49C6"/>
    <w:rsid w:val="007D49FC"/>
    <w:rsid w:val="007D4B4E"/>
    <w:rsid w:val="007D4C6D"/>
    <w:rsid w:val="007D4C82"/>
    <w:rsid w:val="007D4CA0"/>
    <w:rsid w:val="007D4E47"/>
    <w:rsid w:val="007D5198"/>
    <w:rsid w:val="007D5715"/>
    <w:rsid w:val="007D5796"/>
    <w:rsid w:val="007D597D"/>
    <w:rsid w:val="007D5A9A"/>
    <w:rsid w:val="007D5B56"/>
    <w:rsid w:val="007D5EEF"/>
    <w:rsid w:val="007D5F29"/>
    <w:rsid w:val="007D6057"/>
    <w:rsid w:val="007D6163"/>
    <w:rsid w:val="007D641C"/>
    <w:rsid w:val="007D6534"/>
    <w:rsid w:val="007D661D"/>
    <w:rsid w:val="007D665B"/>
    <w:rsid w:val="007D6681"/>
    <w:rsid w:val="007D67B5"/>
    <w:rsid w:val="007D6813"/>
    <w:rsid w:val="007D6D4D"/>
    <w:rsid w:val="007D6F2B"/>
    <w:rsid w:val="007D7110"/>
    <w:rsid w:val="007D73CA"/>
    <w:rsid w:val="007D73EF"/>
    <w:rsid w:val="007D7511"/>
    <w:rsid w:val="007D751F"/>
    <w:rsid w:val="007D7687"/>
    <w:rsid w:val="007D788C"/>
    <w:rsid w:val="007D7AB8"/>
    <w:rsid w:val="007D7C95"/>
    <w:rsid w:val="007E0098"/>
    <w:rsid w:val="007E0375"/>
    <w:rsid w:val="007E0414"/>
    <w:rsid w:val="007E0493"/>
    <w:rsid w:val="007E0557"/>
    <w:rsid w:val="007E091F"/>
    <w:rsid w:val="007E09B6"/>
    <w:rsid w:val="007E0A64"/>
    <w:rsid w:val="007E0E38"/>
    <w:rsid w:val="007E0E73"/>
    <w:rsid w:val="007E0FCD"/>
    <w:rsid w:val="007E107E"/>
    <w:rsid w:val="007E109F"/>
    <w:rsid w:val="007E11AD"/>
    <w:rsid w:val="007E123E"/>
    <w:rsid w:val="007E12E3"/>
    <w:rsid w:val="007E132A"/>
    <w:rsid w:val="007E1455"/>
    <w:rsid w:val="007E1460"/>
    <w:rsid w:val="007E15CA"/>
    <w:rsid w:val="007E166F"/>
    <w:rsid w:val="007E16F8"/>
    <w:rsid w:val="007E1832"/>
    <w:rsid w:val="007E1983"/>
    <w:rsid w:val="007E1A89"/>
    <w:rsid w:val="007E1B25"/>
    <w:rsid w:val="007E1ED7"/>
    <w:rsid w:val="007E20B7"/>
    <w:rsid w:val="007E20C1"/>
    <w:rsid w:val="007E2225"/>
    <w:rsid w:val="007E2410"/>
    <w:rsid w:val="007E24AE"/>
    <w:rsid w:val="007E2555"/>
    <w:rsid w:val="007E2732"/>
    <w:rsid w:val="007E27EF"/>
    <w:rsid w:val="007E2811"/>
    <w:rsid w:val="007E28AB"/>
    <w:rsid w:val="007E2A47"/>
    <w:rsid w:val="007E2B29"/>
    <w:rsid w:val="007E2B5A"/>
    <w:rsid w:val="007E2B9F"/>
    <w:rsid w:val="007E2BAF"/>
    <w:rsid w:val="007E2BDC"/>
    <w:rsid w:val="007E2ECD"/>
    <w:rsid w:val="007E2ECE"/>
    <w:rsid w:val="007E2FAD"/>
    <w:rsid w:val="007E3007"/>
    <w:rsid w:val="007E34A4"/>
    <w:rsid w:val="007E35E5"/>
    <w:rsid w:val="007E3A50"/>
    <w:rsid w:val="007E3B0D"/>
    <w:rsid w:val="007E3BB0"/>
    <w:rsid w:val="007E3DF4"/>
    <w:rsid w:val="007E4043"/>
    <w:rsid w:val="007E40E5"/>
    <w:rsid w:val="007E4211"/>
    <w:rsid w:val="007E44E2"/>
    <w:rsid w:val="007E4536"/>
    <w:rsid w:val="007E45A7"/>
    <w:rsid w:val="007E45AE"/>
    <w:rsid w:val="007E4612"/>
    <w:rsid w:val="007E4675"/>
    <w:rsid w:val="007E469A"/>
    <w:rsid w:val="007E478A"/>
    <w:rsid w:val="007E4B0F"/>
    <w:rsid w:val="007E4D35"/>
    <w:rsid w:val="007E4E38"/>
    <w:rsid w:val="007E4EB9"/>
    <w:rsid w:val="007E4FD6"/>
    <w:rsid w:val="007E501F"/>
    <w:rsid w:val="007E54C9"/>
    <w:rsid w:val="007E57FD"/>
    <w:rsid w:val="007E5988"/>
    <w:rsid w:val="007E599A"/>
    <w:rsid w:val="007E5AF7"/>
    <w:rsid w:val="007E5BFE"/>
    <w:rsid w:val="007E5DD3"/>
    <w:rsid w:val="007E601E"/>
    <w:rsid w:val="007E62FC"/>
    <w:rsid w:val="007E641A"/>
    <w:rsid w:val="007E6511"/>
    <w:rsid w:val="007E66F7"/>
    <w:rsid w:val="007E6918"/>
    <w:rsid w:val="007E6981"/>
    <w:rsid w:val="007E6A49"/>
    <w:rsid w:val="007E6AB9"/>
    <w:rsid w:val="007E6BD7"/>
    <w:rsid w:val="007E6BE3"/>
    <w:rsid w:val="007E6C3E"/>
    <w:rsid w:val="007E6CC7"/>
    <w:rsid w:val="007E6CDF"/>
    <w:rsid w:val="007E6D23"/>
    <w:rsid w:val="007E6D8A"/>
    <w:rsid w:val="007E6EEE"/>
    <w:rsid w:val="007E732D"/>
    <w:rsid w:val="007E7410"/>
    <w:rsid w:val="007E741C"/>
    <w:rsid w:val="007E748A"/>
    <w:rsid w:val="007E7543"/>
    <w:rsid w:val="007E7654"/>
    <w:rsid w:val="007E76EE"/>
    <w:rsid w:val="007E7748"/>
    <w:rsid w:val="007E7932"/>
    <w:rsid w:val="007E79B0"/>
    <w:rsid w:val="007E7A30"/>
    <w:rsid w:val="007E7B3C"/>
    <w:rsid w:val="007E7C05"/>
    <w:rsid w:val="007E7D07"/>
    <w:rsid w:val="007E7DB7"/>
    <w:rsid w:val="007E7E15"/>
    <w:rsid w:val="007E7FCD"/>
    <w:rsid w:val="007F0055"/>
    <w:rsid w:val="007F0491"/>
    <w:rsid w:val="007F0624"/>
    <w:rsid w:val="007F06CA"/>
    <w:rsid w:val="007F0938"/>
    <w:rsid w:val="007F0A15"/>
    <w:rsid w:val="007F0A3B"/>
    <w:rsid w:val="007F0DBE"/>
    <w:rsid w:val="007F0E33"/>
    <w:rsid w:val="007F1038"/>
    <w:rsid w:val="007F10DE"/>
    <w:rsid w:val="007F10EC"/>
    <w:rsid w:val="007F11C8"/>
    <w:rsid w:val="007F1290"/>
    <w:rsid w:val="007F13AD"/>
    <w:rsid w:val="007F13C2"/>
    <w:rsid w:val="007F1438"/>
    <w:rsid w:val="007F1456"/>
    <w:rsid w:val="007F176C"/>
    <w:rsid w:val="007F1840"/>
    <w:rsid w:val="007F19F6"/>
    <w:rsid w:val="007F1BA8"/>
    <w:rsid w:val="007F1CB6"/>
    <w:rsid w:val="007F1CC9"/>
    <w:rsid w:val="007F1D80"/>
    <w:rsid w:val="007F24AA"/>
    <w:rsid w:val="007F24C6"/>
    <w:rsid w:val="007F24F6"/>
    <w:rsid w:val="007F250D"/>
    <w:rsid w:val="007F2576"/>
    <w:rsid w:val="007F25C6"/>
    <w:rsid w:val="007F26C9"/>
    <w:rsid w:val="007F26CB"/>
    <w:rsid w:val="007F277F"/>
    <w:rsid w:val="007F27F9"/>
    <w:rsid w:val="007F29B6"/>
    <w:rsid w:val="007F29E8"/>
    <w:rsid w:val="007F2AA2"/>
    <w:rsid w:val="007F2B0C"/>
    <w:rsid w:val="007F2B54"/>
    <w:rsid w:val="007F2D24"/>
    <w:rsid w:val="007F2D3A"/>
    <w:rsid w:val="007F3410"/>
    <w:rsid w:val="007F346D"/>
    <w:rsid w:val="007F3879"/>
    <w:rsid w:val="007F409E"/>
    <w:rsid w:val="007F4147"/>
    <w:rsid w:val="007F43CD"/>
    <w:rsid w:val="007F4413"/>
    <w:rsid w:val="007F459D"/>
    <w:rsid w:val="007F45FD"/>
    <w:rsid w:val="007F4794"/>
    <w:rsid w:val="007F481E"/>
    <w:rsid w:val="007F48FB"/>
    <w:rsid w:val="007F4A39"/>
    <w:rsid w:val="007F4ADB"/>
    <w:rsid w:val="007F4C9A"/>
    <w:rsid w:val="007F4D25"/>
    <w:rsid w:val="007F5057"/>
    <w:rsid w:val="007F53A5"/>
    <w:rsid w:val="007F5530"/>
    <w:rsid w:val="007F5804"/>
    <w:rsid w:val="007F5837"/>
    <w:rsid w:val="007F596E"/>
    <w:rsid w:val="007F5994"/>
    <w:rsid w:val="007F59EA"/>
    <w:rsid w:val="007F5BDE"/>
    <w:rsid w:val="007F5D9F"/>
    <w:rsid w:val="007F5E36"/>
    <w:rsid w:val="007F5E52"/>
    <w:rsid w:val="007F6407"/>
    <w:rsid w:val="007F6454"/>
    <w:rsid w:val="007F64AB"/>
    <w:rsid w:val="007F6650"/>
    <w:rsid w:val="007F668D"/>
    <w:rsid w:val="007F6719"/>
    <w:rsid w:val="007F6756"/>
    <w:rsid w:val="007F67A7"/>
    <w:rsid w:val="007F67ED"/>
    <w:rsid w:val="007F68E0"/>
    <w:rsid w:val="007F6AB0"/>
    <w:rsid w:val="007F6B09"/>
    <w:rsid w:val="007F6B4C"/>
    <w:rsid w:val="007F6CDC"/>
    <w:rsid w:val="007F6D86"/>
    <w:rsid w:val="007F6DD6"/>
    <w:rsid w:val="007F6DED"/>
    <w:rsid w:val="007F6F0E"/>
    <w:rsid w:val="007F7185"/>
    <w:rsid w:val="007F74F7"/>
    <w:rsid w:val="007F760A"/>
    <w:rsid w:val="007F76BE"/>
    <w:rsid w:val="007F773E"/>
    <w:rsid w:val="007F78B4"/>
    <w:rsid w:val="007F799B"/>
    <w:rsid w:val="007F7A0C"/>
    <w:rsid w:val="007F7ABF"/>
    <w:rsid w:val="007F7AD1"/>
    <w:rsid w:val="007F7B79"/>
    <w:rsid w:val="0080006B"/>
    <w:rsid w:val="00800139"/>
    <w:rsid w:val="0080018A"/>
    <w:rsid w:val="008001EE"/>
    <w:rsid w:val="00800214"/>
    <w:rsid w:val="00800A9F"/>
    <w:rsid w:val="00800C55"/>
    <w:rsid w:val="00800CC8"/>
    <w:rsid w:val="00800D1C"/>
    <w:rsid w:val="00800D70"/>
    <w:rsid w:val="00800F6F"/>
    <w:rsid w:val="008012E9"/>
    <w:rsid w:val="00801413"/>
    <w:rsid w:val="00801557"/>
    <w:rsid w:val="008016A5"/>
    <w:rsid w:val="008016A9"/>
    <w:rsid w:val="008016FB"/>
    <w:rsid w:val="0080187D"/>
    <w:rsid w:val="00801892"/>
    <w:rsid w:val="00801924"/>
    <w:rsid w:val="00801955"/>
    <w:rsid w:val="008019A2"/>
    <w:rsid w:val="00801A5C"/>
    <w:rsid w:val="00802099"/>
    <w:rsid w:val="008020CE"/>
    <w:rsid w:val="00802143"/>
    <w:rsid w:val="0080217A"/>
    <w:rsid w:val="00802276"/>
    <w:rsid w:val="008025B8"/>
    <w:rsid w:val="0080285E"/>
    <w:rsid w:val="00802877"/>
    <w:rsid w:val="00802B4E"/>
    <w:rsid w:val="00802B6A"/>
    <w:rsid w:val="00802C6A"/>
    <w:rsid w:val="00802E3C"/>
    <w:rsid w:val="00802FBA"/>
    <w:rsid w:val="0080330A"/>
    <w:rsid w:val="0080332C"/>
    <w:rsid w:val="008033A0"/>
    <w:rsid w:val="00803623"/>
    <w:rsid w:val="00803940"/>
    <w:rsid w:val="00803A70"/>
    <w:rsid w:val="00803B69"/>
    <w:rsid w:val="00803D0D"/>
    <w:rsid w:val="00803E7E"/>
    <w:rsid w:val="008040D2"/>
    <w:rsid w:val="008040E0"/>
    <w:rsid w:val="008044D5"/>
    <w:rsid w:val="008045F2"/>
    <w:rsid w:val="00804614"/>
    <w:rsid w:val="008047BF"/>
    <w:rsid w:val="00804A9A"/>
    <w:rsid w:val="00804E17"/>
    <w:rsid w:val="00804F37"/>
    <w:rsid w:val="0080538E"/>
    <w:rsid w:val="00805558"/>
    <w:rsid w:val="00805631"/>
    <w:rsid w:val="00805689"/>
    <w:rsid w:val="008056B9"/>
    <w:rsid w:val="00805810"/>
    <w:rsid w:val="00805A44"/>
    <w:rsid w:val="00805BB6"/>
    <w:rsid w:val="00805C7D"/>
    <w:rsid w:val="00805CDD"/>
    <w:rsid w:val="00805D74"/>
    <w:rsid w:val="00805D79"/>
    <w:rsid w:val="008060A8"/>
    <w:rsid w:val="00806149"/>
    <w:rsid w:val="0080663C"/>
    <w:rsid w:val="00806760"/>
    <w:rsid w:val="00806B2F"/>
    <w:rsid w:val="00806BD7"/>
    <w:rsid w:val="00806D89"/>
    <w:rsid w:val="00806DF0"/>
    <w:rsid w:val="00806E3E"/>
    <w:rsid w:val="00807354"/>
    <w:rsid w:val="00807516"/>
    <w:rsid w:val="00807613"/>
    <w:rsid w:val="00807667"/>
    <w:rsid w:val="0080778D"/>
    <w:rsid w:val="00807975"/>
    <w:rsid w:val="00807C4C"/>
    <w:rsid w:val="00807CC5"/>
    <w:rsid w:val="00807D0D"/>
    <w:rsid w:val="00807E8E"/>
    <w:rsid w:val="00810120"/>
    <w:rsid w:val="00810164"/>
    <w:rsid w:val="008102C3"/>
    <w:rsid w:val="00810413"/>
    <w:rsid w:val="008105D8"/>
    <w:rsid w:val="008107E4"/>
    <w:rsid w:val="00810843"/>
    <w:rsid w:val="00810847"/>
    <w:rsid w:val="00810A2C"/>
    <w:rsid w:val="00810A87"/>
    <w:rsid w:val="00810A8F"/>
    <w:rsid w:val="00810C1A"/>
    <w:rsid w:val="00810EB7"/>
    <w:rsid w:val="00810EDC"/>
    <w:rsid w:val="008110B0"/>
    <w:rsid w:val="00811121"/>
    <w:rsid w:val="00811214"/>
    <w:rsid w:val="00811254"/>
    <w:rsid w:val="0081125A"/>
    <w:rsid w:val="00811351"/>
    <w:rsid w:val="00811448"/>
    <w:rsid w:val="00811486"/>
    <w:rsid w:val="008114DA"/>
    <w:rsid w:val="008115B3"/>
    <w:rsid w:val="008117EE"/>
    <w:rsid w:val="00811862"/>
    <w:rsid w:val="00811922"/>
    <w:rsid w:val="00811988"/>
    <w:rsid w:val="008119CE"/>
    <w:rsid w:val="00811B36"/>
    <w:rsid w:val="00811B56"/>
    <w:rsid w:val="00811C4C"/>
    <w:rsid w:val="00811D95"/>
    <w:rsid w:val="00811DA7"/>
    <w:rsid w:val="00811E57"/>
    <w:rsid w:val="00811F13"/>
    <w:rsid w:val="0081200A"/>
    <w:rsid w:val="008121BC"/>
    <w:rsid w:val="008121D4"/>
    <w:rsid w:val="008124A9"/>
    <w:rsid w:val="00812570"/>
    <w:rsid w:val="0081279E"/>
    <w:rsid w:val="00812A68"/>
    <w:rsid w:val="00812C03"/>
    <w:rsid w:val="00812EC4"/>
    <w:rsid w:val="00812F08"/>
    <w:rsid w:val="00812F6A"/>
    <w:rsid w:val="00813300"/>
    <w:rsid w:val="00813343"/>
    <w:rsid w:val="0081335F"/>
    <w:rsid w:val="0081354C"/>
    <w:rsid w:val="00813568"/>
    <w:rsid w:val="008135CC"/>
    <w:rsid w:val="00813A08"/>
    <w:rsid w:val="0081415F"/>
    <w:rsid w:val="0081432B"/>
    <w:rsid w:val="008143AD"/>
    <w:rsid w:val="008147EB"/>
    <w:rsid w:val="0081492E"/>
    <w:rsid w:val="008151B9"/>
    <w:rsid w:val="008151D6"/>
    <w:rsid w:val="00815338"/>
    <w:rsid w:val="0081533C"/>
    <w:rsid w:val="008153B5"/>
    <w:rsid w:val="0081542C"/>
    <w:rsid w:val="008155FE"/>
    <w:rsid w:val="0081573E"/>
    <w:rsid w:val="008157C6"/>
    <w:rsid w:val="008159BD"/>
    <w:rsid w:val="00815A3E"/>
    <w:rsid w:val="00815AD4"/>
    <w:rsid w:val="00815BA6"/>
    <w:rsid w:val="00815D49"/>
    <w:rsid w:val="00815D4B"/>
    <w:rsid w:val="00815F76"/>
    <w:rsid w:val="00815FB0"/>
    <w:rsid w:val="00816201"/>
    <w:rsid w:val="0081622F"/>
    <w:rsid w:val="00816435"/>
    <w:rsid w:val="008165AD"/>
    <w:rsid w:val="008166B8"/>
    <w:rsid w:val="00816897"/>
    <w:rsid w:val="008168A9"/>
    <w:rsid w:val="0081693C"/>
    <w:rsid w:val="00816954"/>
    <w:rsid w:val="008169D5"/>
    <w:rsid w:val="008169DB"/>
    <w:rsid w:val="00816A85"/>
    <w:rsid w:val="00816AEA"/>
    <w:rsid w:val="00816E9C"/>
    <w:rsid w:val="00816EA7"/>
    <w:rsid w:val="00816EAC"/>
    <w:rsid w:val="00816F0D"/>
    <w:rsid w:val="00816F6C"/>
    <w:rsid w:val="00817135"/>
    <w:rsid w:val="0081715A"/>
    <w:rsid w:val="008171CA"/>
    <w:rsid w:val="008171D4"/>
    <w:rsid w:val="00817300"/>
    <w:rsid w:val="008174FF"/>
    <w:rsid w:val="0081778B"/>
    <w:rsid w:val="0081783B"/>
    <w:rsid w:val="008178FB"/>
    <w:rsid w:val="00817AA0"/>
    <w:rsid w:val="00817C11"/>
    <w:rsid w:val="00817C15"/>
    <w:rsid w:val="00817D7D"/>
    <w:rsid w:val="00817F80"/>
    <w:rsid w:val="008201D2"/>
    <w:rsid w:val="008202E4"/>
    <w:rsid w:val="00820859"/>
    <w:rsid w:val="008208A6"/>
    <w:rsid w:val="00820B22"/>
    <w:rsid w:val="00820B5D"/>
    <w:rsid w:val="00820F17"/>
    <w:rsid w:val="00820F2F"/>
    <w:rsid w:val="008210F5"/>
    <w:rsid w:val="008211BB"/>
    <w:rsid w:val="00821231"/>
    <w:rsid w:val="0082137E"/>
    <w:rsid w:val="00821815"/>
    <w:rsid w:val="00821A84"/>
    <w:rsid w:val="00821BA9"/>
    <w:rsid w:val="00821C48"/>
    <w:rsid w:val="00822003"/>
    <w:rsid w:val="0082206E"/>
    <w:rsid w:val="0082211B"/>
    <w:rsid w:val="00822138"/>
    <w:rsid w:val="008228DE"/>
    <w:rsid w:val="0082299E"/>
    <w:rsid w:val="00822A76"/>
    <w:rsid w:val="00822B6B"/>
    <w:rsid w:val="00822DC0"/>
    <w:rsid w:val="00823022"/>
    <w:rsid w:val="008230A1"/>
    <w:rsid w:val="00823221"/>
    <w:rsid w:val="0082324F"/>
    <w:rsid w:val="0082367E"/>
    <w:rsid w:val="00823714"/>
    <w:rsid w:val="008237F7"/>
    <w:rsid w:val="0082381D"/>
    <w:rsid w:val="008238BA"/>
    <w:rsid w:val="00823A81"/>
    <w:rsid w:val="00823E1B"/>
    <w:rsid w:val="00824046"/>
    <w:rsid w:val="00824111"/>
    <w:rsid w:val="00824248"/>
    <w:rsid w:val="008242BB"/>
    <w:rsid w:val="00824311"/>
    <w:rsid w:val="0082445C"/>
    <w:rsid w:val="008245B1"/>
    <w:rsid w:val="00824714"/>
    <w:rsid w:val="00824CE6"/>
    <w:rsid w:val="00824D5B"/>
    <w:rsid w:val="00825017"/>
    <w:rsid w:val="008250DE"/>
    <w:rsid w:val="008251CE"/>
    <w:rsid w:val="00825344"/>
    <w:rsid w:val="008253AE"/>
    <w:rsid w:val="0082545C"/>
    <w:rsid w:val="00825602"/>
    <w:rsid w:val="0082569F"/>
    <w:rsid w:val="00825CD7"/>
    <w:rsid w:val="00825E4F"/>
    <w:rsid w:val="00825EAB"/>
    <w:rsid w:val="00826001"/>
    <w:rsid w:val="00826033"/>
    <w:rsid w:val="008260BB"/>
    <w:rsid w:val="0082615C"/>
    <w:rsid w:val="008261A9"/>
    <w:rsid w:val="0082628A"/>
    <w:rsid w:val="00826319"/>
    <w:rsid w:val="00826456"/>
    <w:rsid w:val="0082667D"/>
    <w:rsid w:val="008266C4"/>
    <w:rsid w:val="008266F7"/>
    <w:rsid w:val="00826799"/>
    <w:rsid w:val="00826804"/>
    <w:rsid w:val="0082680A"/>
    <w:rsid w:val="0082697F"/>
    <w:rsid w:val="00826BA2"/>
    <w:rsid w:val="00826D33"/>
    <w:rsid w:val="00826DB4"/>
    <w:rsid w:val="00826FA2"/>
    <w:rsid w:val="0082708F"/>
    <w:rsid w:val="0082720A"/>
    <w:rsid w:val="00827419"/>
    <w:rsid w:val="00827678"/>
    <w:rsid w:val="008277C0"/>
    <w:rsid w:val="008277C6"/>
    <w:rsid w:val="008277DE"/>
    <w:rsid w:val="008279B6"/>
    <w:rsid w:val="008279D0"/>
    <w:rsid w:val="00827C23"/>
    <w:rsid w:val="00830264"/>
    <w:rsid w:val="008304D5"/>
    <w:rsid w:val="008304F0"/>
    <w:rsid w:val="0083085A"/>
    <w:rsid w:val="00830944"/>
    <w:rsid w:val="00830DA5"/>
    <w:rsid w:val="00830E48"/>
    <w:rsid w:val="00830E6F"/>
    <w:rsid w:val="00831101"/>
    <w:rsid w:val="0083113E"/>
    <w:rsid w:val="0083131B"/>
    <w:rsid w:val="0083135B"/>
    <w:rsid w:val="0083137D"/>
    <w:rsid w:val="0083144D"/>
    <w:rsid w:val="008314F6"/>
    <w:rsid w:val="008314F8"/>
    <w:rsid w:val="00831572"/>
    <w:rsid w:val="008315EB"/>
    <w:rsid w:val="00831714"/>
    <w:rsid w:val="00831727"/>
    <w:rsid w:val="00831847"/>
    <w:rsid w:val="008318A2"/>
    <w:rsid w:val="008318A6"/>
    <w:rsid w:val="0083192E"/>
    <w:rsid w:val="00831964"/>
    <w:rsid w:val="00831B5D"/>
    <w:rsid w:val="00831E02"/>
    <w:rsid w:val="00831E0F"/>
    <w:rsid w:val="00831E86"/>
    <w:rsid w:val="00831ECA"/>
    <w:rsid w:val="0083218F"/>
    <w:rsid w:val="00832441"/>
    <w:rsid w:val="008325CA"/>
    <w:rsid w:val="00832637"/>
    <w:rsid w:val="00832821"/>
    <w:rsid w:val="008328E7"/>
    <w:rsid w:val="008328F0"/>
    <w:rsid w:val="00832CF6"/>
    <w:rsid w:val="00832E43"/>
    <w:rsid w:val="00832F7B"/>
    <w:rsid w:val="00832FFC"/>
    <w:rsid w:val="0083315B"/>
    <w:rsid w:val="00833229"/>
    <w:rsid w:val="008333AD"/>
    <w:rsid w:val="0083341A"/>
    <w:rsid w:val="00833465"/>
    <w:rsid w:val="0083354F"/>
    <w:rsid w:val="008335BE"/>
    <w:rsid w:val="00833666"/>
    <w:rsid w:val="00833828"/>
    <w:rsid w:val="008339B4"/>
    <w:rsid w:val="00833B51"/>
    <w:rsid w:val="00833BBB"/>
    <w:rsid w:val="00833CAC"/>
    <w:rsid w:val="0083410E"/>
    <w:rsid w:val="0083446E"/>
    <w:rsid w:val="0083455B"/>
    <w:rsid w:val="00834930"/>
    <w:rsid w:val="00834951"/>
    <w:rsid w:val="00834ABF"/>
    <w:rsid w:val="00834B37"/>
    <w:rsid w:val="00834CA8"/>
    <w:rsid w:val="00834F61"/>
    <w:rsid w:val="00834F97"/>
    <w:rsid w:val="00834FEE"/>
    <w:rsid w:val="008350CD"/>
    <w:rsid w:val="00835173"/>
    <w:rsid w:val="0083521F"/>
    <w:rsid w:val="0083558A"/>
    <w:rsid w:val="008357EE"/>
    <w:rsid w:val="00835923"/>
    <w:rsid w:val="00835A95"/>
    <w:rsid w:val="00835B26"/>
    <w:rsid w:val="00835BCE"/>
    <w:rsid w:val="00835D3A"/>
    <w:rsid w:val="00835E1A"/>
    <w:rsid w:val="00835E48"/>
    <w:rsid w:val="00835EDD"/>
    <w:rsid w:val="00835EDF"/>
    <w:rsid w:val="008363A8"/>
    <w:rsid w:val="0083645C"/>
    <w:rsid w:val="0083662D"/>
    <w:rsid w:val="0083691D"/>
    <w:rsid w:val="00836CF0"/>
    <w:rsid w:val="00836E3D"/>
    <w:rsid w:val="00836E5E"/>
    <w:rsid w:val="00836EAC"/>
    <w:rsid w:val="00836FE2"/>
    <w:rsid w:val="0083710D"/>
    <w:rsid w:val="00837255"/>
    <w:rsid w:val="0083739E"/>
    <w:rsid w:val="008373D9"/>
    <w:rsid w:val="00837570"/>
    <w:rsid w:val="008375E3"/>
    <w:rsid w:val="00837A99"/>
    <w:rsid w:val="00837BD1"/>
    <w:rsid w:val="00837BDE"/>
    <w:rsid w:val="00837C54"/>
    <w:rsid w:val="00837D44"/>
    <w:rsid w:val="00837DF8"/>
    <w:rsid w:val="0084004F"/>
    <w:rsid w:val="00840145"/>
    <w:rsid w:val="0084038F"/>
    <w:rsid w:val="00840583"/>
    <w:rsid w:val="008406FA"/>
    <w:rsid w:val="008408A3"/>
    <w:rsid w:val="008408DA"/>
    <w:rsid w:val="008409AC"/>
    <w:rsid w:val="00840B98"/>
    <w:rsid w:val="008410E0"/>
    <w:rsid w:val="0084133F"/>
    <w:rsid w:val="00841365"/>
    <w:rsid w:val="0084149B"/>
    <w:rsid w:val="0084159E"/>
    <w:rsid w:val="008415D4"/>
    <w:rsid w:val="00841795"/>
    <w:rsid w:val="00841875"/>
    <w:rsid w:val="00841BA2"/>
    <w:rsid w:val="00841BC1"/>
    <w:rsid w:val="00841C65"/>
    <w:rsid w:val="00841E88"/>
    <w:rsid w:val="00842006"/>
    <w:rsid w:val="0084200F"/>
    <w:rsid w:val="00842091"/>
    <w:rsid w:val="008420F3"/>
    <w:rsid w:val="00842573"/>
    <w:rsid w:val="00842A17"/>
    <w:rsid w:val="00842B70"/>
    <w:rsid w:val="00842BC3"/>
    <w:rsid w:val="00842FF4"/>
    <w:rsid w:val="0084309C"/>
    <w:rsid w:val="00843197"/>
    <w:rsid w:val="0084321C"/>
    <w:rsid w:val="008434D5"/>
    <w:rsid w:val="00843A61"/>
    <w:rsid w:val="00843AF3"/>
    <w:rsid w:val="00843C45"/>
    <w:rsid w:val="00843D1E"/>
    <w:rsid w:val="00843E5E"/>
    <w:rsid w:val="00843F9A"/>
    <w:rsid w:val="00843F9D"/>
    <w:rsid w:val="00844208"/>
    <w:rsid w:val="008443BC"/>
    <w:rsid w:val="008445DE"/>
    <w:rsid w:val="0084467E"/>
    <w:rsid w:val="0084479D"/>
    <w:rsid w:val="00844AAD"/>
    <w:rsid w:val="00844B47"/>
    <w:rsid w:val="00844CAF"/>
    <w:rsid w:val="00844DC3"/>
    <w:rsid w:val="00844EBB"/>
    <w:rsid w:val="008451AE"/>
    <w:rsid w:val="0084528F"/>
    <w:rsid w:val="008452A3"/>
    <w:rsid w:val="0084562C"/>
    <w:rsid w:val="00845886"/>
    <w:rsid w:val="008458E4"/>
    <w:rsid w:val="00845B6D"/>
    <w:rsid w:val="00845BD5"/>
    <w:rsid w:val="00845C8D"/>
    <w:rsid w:val="00845DAE"/>
    <w:rsid w:val="00845E5D"/>
    <w:rsid w:val="008462B0"/>
    <w:rsid w:val="0084637A"/>
    <w:rsid w:val="00846624"/>
    <w:rsid w:val="00846805"/>
    <w:rsid w:val="00846920"/>
    <w:rsid w:val="00846ADF"/>
    <w:rsid w:val="00846B1F"/>
    <w:rsid w:val="00846B41"/>
    <w:rsid w:val="00846E80"/>
    <w:rsid w:val="00846E86"/>
    <w:rsid w:val="00846E93"/>
    <w:rsid w:val="0084718C"/>
    <w:rsid w:val="00847469"/>
    <w:rsid w:val="0084747A"/>
    <w:rsid w:val="00847491"/>
    <w:rsid w:val="008476E9"/>
    <w:rsid w:val="008477B4"/>
    <w:rsid w:val="008477DC"/>
    <w:rsid w:val="00847998"/>
    <w:rsid w:val="008479E5"/>
    <w:rsid w:val="00847A1E"/>
    <w:rsid w:val="00847C4C"/>
    <w:rsid w:val="00847ED0"/>
    <w:rsid w:val="0085000A"/>
    <w:rsid w:val="00850126"/>
    <w:rsid w:val="00850272"/>
    <w:rsid w:val="008502FB"/>
    <w:rsid w:val="008504DC"/>
    <w:rsid w:val="00850849"/>
    <w:rsid w:val="008508DA"/>
    <w:rsid w:val="008508F8"/>
    <w:rsid w:val="00850AF7"/>
    <w:rsid w:val="00850B3F"/>
    <w:rsid w:val="00850B43"/>
    <w:rsid w:val="00850BA1"/>
    <w:rsid w:val="00850C3E"/>
    <w:rsid w:val="00850C8A"/>
    <w:rsid w:val="00850D40"/>
    <w:rsid w:val="00850D45"/>
    <w:rsid w:val="00850F1B"/>
    <w:rsid w:val="008510E5"/>
    <w:rsid w:val="0085112D"/>
    <w:rsid w:val="00851257"/>
    <w:rsid w:val="008512BB"/>
    <w:rsid w:val="008513A9"/>
    <w:rsid w:val="0085166A"/>
    <w:rsid w:val="0085192A"/>
    <w:rsid w:val="00851A2B"/>
    <w:rsid w:val="00851C50"/>
    <w:rsid w:val="00851D89"/>
    <w:rsid w:val="00851DA7"/>
    <w:rsid w:val="00851DE0"/>
    <w:rsid w:val="00851E6C"/>
    <w:rsid w:val="00851E72"/>
    <w:rsid w:val="00851F33"/>
    <w:rsid w:val="008520FD"/>
    <w:rsid w:val="008521ED"/>
    <w:rsid w:val="00852348"/>
    <w:rsid w:val="0085248B"/>
    <w:rsid w:val="00852581"/>
    <w:rsid w:val="00852595"/>
    <w:rsid w:val="008525AD"/>
    <w:rsid w:val="008526A1"/>
    <w:rsid w:val="0085275E"/>
    <w:rsid w:val="0085294F"/>
    <w:rsid w:val="00852B6A"/>
    <w:rsid w:val="00852BCE"/>
    <w:rsid w:val="00852DD5"/>
    <w:rsid w:val="00852EA6"/>
    <w:rsid w:val="00852F05"/>
    <w:rsid w:val="00853064"/>
    <w:rsid w:val="00853092"/>
    <w:rsid w:val="0085310C"/>
    <w:rsid w:val="00853351"/>
    <w:rsid w:val="008533FB"/>
    <w:rsid w:val="0085347B"/>
    <w:rsid w:val="0085373D"/>
    <w:rsid w:val="008538BD"/>
    <w:rsid w:val="00853D46"/>
    <w:rsid w:val="00853E3C"/>
    <w:rsid w:val="00854018"/>
    <w:rsid w:val="0085439B"/>
    <w:rsid w:val="00854419"/>
    <w:rsid w:val="00854430"/>
    <w:rsid w:val="00854452"/>
    <w:rsid w:val="008545CF"/>
    <w:rsid w:val="00854AAE"/>
    <w:rsid w:val="00854D5F"/>
    <w:rsid w:val="00854E8C"/>
    <w:rsid w:val="00854E96"/>
    <w:rsid w:val="00854F66"/>
    <w:rsid w:val="00854FD1"/>
    <w:rsid w:val="0085502C"/>
    <w:rsid w:val="0085541F"/>
    <w:rsid w:val="0085558C"/>
    <w:rsid w:val="008557B9"/>
    <w:rsid w:val="0085580A"/>
    <w:rsid w:val="00855981"/>
    <w:rsid w:val="00855BCA"/>
    <w:rsid w:val="00855C78"/>
    <w:rsid w:val="00855E69"/>
    <w:rsid w:val="00855E8F"/>
    <w:rsid w:val="00855EED"/>
    <w:rsid w:val="00856204"/>
    <w:rsid w:val="008563A2"/>
    <w:rsid w:val="00856416"/>
    <w:rsid w:val="00856637"/>
    <w:rsid w:val="00856683"/>
    <w:rsid w:val="00856755"/>
    <w:rsid w:val="008568DF"/>
    <w:rsid w:val="00856A77"/>
    <w:rsid w:val="00856AB4"/>
    <w:rsid w:val="00856C44"/>
    <w:rsid w:val="00856FAA"/>
    <w:rsid w:val="008570F5"/>
    <w:rsid w:val="0085761B"/>
    <w:rsid w:val="008579AA"/>
    <w:rsid w:val="00857AC7"/>
    <w:rsid w:val="00857B89"/>
    <w:rsid w:val="00857E71"/>
    <w:rsid w:val="00857F8F"/>
    <w:rsid w:val="008602BA"/>
    <w:rsid w:val="0086066E"/>
    <w:rsid w:val="00860741"/>
    <w:rsid w:val="00860803"/>
    <w:rsid w:val="00860809"/>
    <w:rsid w:val="008608ED"/>
    <w:rsid w:val="00860902"/>
    <w:rsid w:val="008609BC"/>
    <w:rsid w:val="00860A07"/>
    <w:rsid w:val="00860AD4"/>
    <w:rsid w:val="00860F5C"/>
    <w:rsid w:val="00860FD0"/>
    <w:rsid w:val="00861143"/>
    <w:rsid w:val="00861157"/>
    <w:rsid w:val="008611A0"/>
    <w:rsid w:val="00861228"/>
    <w:rsid w:val="0086133E"/>
    <w:rsid w:val="00861370"/>
    <w:rsid w:val="008613D9"/>
    <w:rsid w:val="00861962"/>
    <w:rsid w:val="00861BD9"/>
    <w:rsid w:val="00861BFF"/>
    <w:rsid w:val="00861CE5"/>
    <w:rsid w:val="00861E24"/>
    <w:rsid w:val="00861ECE"/>
    <w:rsid w:val="0086206A"/>
    <w:rsid w:val="008620CF"/>
    <w:rsid w:val="008620FC"/>
    <w:rsid w:val="008622FB"/>
    <w:rsid w:val="0086263D"/>
    <w:rsid w:val="0086269D"/>
    <w:rsid w:val="00862740"/>
    <w:rsid w:val="00862C47"/>
    <w:rsid w:val="00862C6F"/>
    <w:rsid w:val="00862DF6"/>
    <w:rsid w:val="00862E43"/>
    <w:rsid w:val="008630FE"/>
    <w:rsid w:val="00863126"/>
    <w:rsid w:val="008632C8"/>
    <w:rsid w:val="00863325"/>
    <w:rsid w:val="008633B2"/>
    <w:rsid w:val="008634E6"/>
    <w:rsid w:val="00863562"/>
    <w:rsid w:val="0086360F"/>
    <w:rsid w:val="00863693"/>
    <w:rsid w:val="008636E3"/>
    <w:rsid w:val="00863A6E"/>
    <w:rsid w:val="00863B04"/>
    <w:rsid w:val="00863B8E"/>
    <w:rsid w:val="00863CCE"/>
    <w:rsid w:val="00863DBC"/>
    <w:rsid w:val="00864274"/>
    <w:rsid w:val="0086447B"/>
    <w:rsid w:val="0086450E"/>
    <w:rsid w:val="00864971"/>
    <w:rsid w:val="00864A51"/>
    <w:rsid w:val="00864AE1"/>
    <w:rsid w:val="00864CF7"/>
    <w:rsid w:val="00864DCC"/>
    <w:rsid w:val="00864E07"/>
    <w:rsid w:val="00864F0C"/>
    <w:rsid w:val="008650A5"/>
    <w:rsid w:val="008651FE"/>
    <w:rsid w:val="00865273"/>
    <w:rsid w:val="008653AC"/>
    <w:rsid w:val="00865572"/>
    <w:rsid w:val="0086559A"/>
    <w:rsid w:val="008655BA"/>
    <w:rsid w:val="008655C3"/>
    <w:rsid w:val="00865769"/>
    <w:rsid w:val="00865FA1"/>
    <w:rsid w:val="00866123"/>
    <w:rsid w:val="008661AF"/>
    <w:rsid w:val="00866323"/>
    <w:rsid w:val="008663E8"/>
    <w:rsid w:val="00866C57"/>
    <w:rsid w:val="00866D4F"/>
    <w:rsid w:val="00866D55"/>
    <w:rsid w:val="00866DF4"/>
    <w:rsid w:val="00866E83"/>
    <w:rsid w:val="00866FAA"/>
    <w:rsid w:val="00867005"/>
    <w:rsid w:val="008675AA"/>
    <w:rsid w:val="00867735"/>
    <w:rsid w:val="00867768"/>
    <w:rsid w:val="00867855"/>
    <w:rsid w:val="0086790C"/>
    <w:rsid w:val="00867C35"/>
    <w:rsid w:val="00867C81"/>
    <w:rsid w:val="00867E89"/>
    <w:rsid w:val="00867EA8"/>
    <w:rsid w:val="00867EC1"/>
    <w:rsid w:val="00867FFC"/>
    <w:rsid w:val="00870155"/>
    <w:rsid w:val="008703A6"/>
    <w:rsid w:val="00870506"/>
    <w:rsid w:val="00870621"/>
    <w:rsid w:val="0087066C"/>
    <w:rsid w:val="0087096F"/>
    <w:rsid w:val="0087097A"/>
    <w:rsid w:val="00870A54"/>
    <w:rsid w:val="00870B62"/>
    <w:rsid w:val="00870F0C"/>
    <w:rsid w:val="0087109A"/>
    <w:rsid w:val="008710FA"/>
    <w:rsid w:val="0087141E"/>
    <w:rsid w:val="00871503"/>
    <w:rsid w:val="008715EB"/>
    <w:rsid w:val="00871622"/>
    <w:rsid w:val="008716E6"/>
    <w:rsid w:val="00871850"/>
    <w:rsid w:val="00871A45"/>
    <w:rsid w:val="00871DC2"/>
    <w:rsid w:val="00871F0C"/>
    <w:rsid w:val="008721BB"/>
    <w:rsid w:val="0087242A"/>
    <w:rsid w:val="0087266C"/>
    <w:rsid w:val="008726FE"/>
    <w:rsid w:val="00872839"/>
    <w:rsid w:val="008729B5"/>
    <w:rsid w:val="00872ABC"/>
    <w:rsid w:val="00872BE8"/>
    <w:rsid w:val="00872F01"/>
    <w:rsid w:val="00872F07"/>
    <w:rsid w:val="008730C4"/>
    <w:rsid w:val="0087337C"/>
    <w:rsid w:val="00873492"/>
    <w:rsid w:val="008734E7"/>
    <w:rsid w:val="00873518"/>
    <w:rsid w:val="008738B2"/>
    <w:rsid w:val="008739D1"/>
    <w:rsid w:val="00873B48"/>
    <w:rsid w:val="00873B86"/>
    <w:rsid w:val="00873D3C"/>
    <w:rsid w:val="00873E4E"/>
    <w:rsid w:val="0087413A"/>
    <w:rsid w:val="008741C2"/>
    <w:rsid w:val="008743F2"/>
    <w:rsid w:val="00874C81"/>
    <w:rsid w:val="00874E31"/>
    <w:rsid w:val="00874EFB"/>
    <w:rsid w:val="0087504A"/>
    <w:rsid w:val="0087508C"/>
    <w:rsid w:val="008751D6"/>
    <w:rsid w:val="008752AA"/>
    <w:rsid w:val="008752C8"/>
    <w:rsid w:val="0087556A"/>
    <w:rsid w:val="008755ED"/>
    <w:rsid w:val="00875774"/>
    <w:rsid w:val="008758A1"/>
    <w:rsid w:val="00875D3B"/>
    <w:rsid w:val="00875EF0"/>
    <w:rsid w:val="0087600E"/>
    <w:rsid w:val="00876055"/>
    <w:rsid w:val="00876524"/>
    <w:rsid w:val="0087665C"/>
    <w:rsid w:val="0087689C"/>
    <w:rsid w:val="00876925"/>
    <w:rsid w:val="00876AAA"/>
    <w:rsid w:val="00876EAF"/>
    <w:rsid w:val="00877057"/>
    <w:rsid w:val="008770F5"/>
    <w:rsid w:val="008771B3"/>
    <w:rsid w:val="008771B5"/>
    <w:rsid w:val="0087726C"/>
    <w:rsid w:val="00877512"/>
    <w:rsid w:val="008776BC"/>
    <w:rsid w:val="008776D3"/>
    <w:rsid w:val="008776F1"/>
    <w:rsid w:val="008779C0"/>
    <w:rsid w:val="008779C4"/>
    <w:rsid w:val="00877A1F"/>
    <w:rsid w:val="00877A5E"/>
    <w:rsid w:val="00877A6F"/>
    <w:rsid w:val="00877C48"/>
    <w:rsid w:val="00877C58"/>
    <w:rsid w:val="00877E35"/>
    <w:rsid w:val="00877E7F"/>
    <w:rsid w:val="00877FBD"/>
    <w:rsid w:val="00880043"/>
    <w:rsid w:val="008801EC"/>
    <w:rsid w:val="008802D7"/>
    <w:rsid w:val="008802E2"/>
    <w:rsid w:val="0088065E"/>
    <w:rsid w:val="00880939"/>
    <w:rsid w:val="00880A2A"/>
    <w:rsid w:val="00880F5D"/>
    <w:rsid w:val="0088119A"/>
    <w:rsid w:val="00881363"/>
    <w:rsid w:val="008814F8"/>
    <w:rsid w:val="008815BA"/>
    <w:rsid w:val="0088164F"/>
    <w:rsid w:val="008818B0"/>
    <w:rsid w:val="008818C1"/>
    <w:rsid w:val="008818FB"/>
    <w:rsid w:val="00881918"/>
    <w:rsid w:val="00881ACD"/>
    <w:rsid w:val="00881C08"/>
    <w:rsid w:val="00881E4E"/>
    <w:rsid w:val="0088214D"/>
    <w:rsid w:val="0088216B"/>
    <w:rsid w:val="00882402"/>
    <w:rsid w:val="0088246E"/>
    <w:rsid w:val="00882557"/>
    <w:rsid w:val="0088269D"/>
    <w:rsid w:val="0088274D"/>
    <w:rsid w:val="008827C2"/>
    <w:rsid w:val="00882802"/>
    <w:rsid w:val="00882AA6"/>
    <w:rsid w:val="00882BD7"/>
    <w:rsid w:val="00882D88"/>
    <w:rsid w:val="00882E6E"/>
    <w:rsid w:val="00882F6D"/>
    <w:rsid w:val="00882FAE"/>
    <w:rsid w:val="008831F0"/>
    <w:rsid w:val="008831F2"/>
    <w:rsid w:val="0088342A"/>
    <w:rsid w:val="00883438"/>
    <w:rsid w:val="0088369F"/>
    <w:rsid w:val="008836F6"/>
    <w:rsid w:val="00883896"/>
    <w:rsid w:val="00883A12"/>
    <w:rsid w:val="00883A60"/>
    <w:rsid w:val="00883A9A"/>
    <w:rsid w:val="00883E0F"/>
    <w:rsid w:val="00883E6F"/>
    <w:rsid w:val="00884421"/>
    <w:rsid w:val="008844BA"/>
    <w:rsid w:val="0088456D"/>
    <w:rsid w:val="00884758"/>
    <w:rsid w:val="008847DA"/>
    <w:rsid w:val="008848CD"/>
    <w:rsid w:val="00884A96"/>
    <w:rsid w:val="00884B82"/>
    <w:rsid w:val="00884C3B"/>
    <w:rsid w:val="00884D5F"/>
    <w:rsid w:val="00884DF9"/>
    <w:rsid w:val="00884F02"/>
    <w:rsid w:val="00884F1E"/>
    <w:rsid w:val="00885052"/>
    <w:rsid w:val="00885215"/>
    <w:rsid w:val="0088528B"/>
    <w:rsid w:val="0088528E"/>
    <w:rsid w:val="008853B0"/>
    <w:rsid w:val="008853BE"/>
    <w:rsid w:val="008854CC"/>
    <w:rsid w:val="00885592"/>
    <w:rsid w:val="00885621"/>
    <w:rsid w:val="00885722"/>
    <w:rsid w:val="008857AC"/>
    <w:rsid w:val="00885959"/>
    <w:rsid w:val="008859BF"/>
    <w:rsid w:val="008859D0"/>
    <w:rsid w:val="00885FD7"/>
    <w:rsid w:val="008861DB"/>
    <w:rsid w:val="00886273"/>
    <w:rsid w:val="00886368"/>
    <w:rsid w:val="0088648E"/>
    <w:rsid w:val="00886497"/>
    <w:rsid w:val="00886630"/>
    <w:rsid w:val="008868C2"/>
    <w:rsid w:val="00886AA2"/>
    <w:rsid w:val="00886AB5"/>
    <w:rsid w:val="00886F28"/>
    <w:rsid w:val="00886F8C"/>
    <w:rsid w:val="00887173"/>
    <w:rsid w:val="008872DB"/>
    <w:rsid w:val="0088733B"/>
    <w:rsid w:val="0088742C"/>
    <w:rsid w:val="008874DA"/>
    <w:rsid w:val="0088779A"/>
    <w:rsid w:val="00887886"/>
    <w:rsid w:val="0088788E"/>
    <w:rsid w:val="00887A9A"/>
    <w:rsid w:val="00887CF9"/>
    <w:rsid w:val="00887DA9"/>
    <w:rsid w:val="00887DDB"/>
    <w:rsid w:val="00887E15"/>
    <w:rsid w:val="00887F9A"/>
    <w:rsid w:val="00887FA9"/>
    <w:rsid w:val="00887FAF"/>
    <w:rsid w:val="00890107"/>
    <w:rsid w:val="008901EA"/>
    <w:rsid w:val="0089026B"/>
    <w:rsid w:val="008902EF"/>
    <w:rsid w:val="008903A9"/>
    <w:rsid w:val="00890481"/>
    <w:rsid w:val="008904D2"/>
    <w:rsid w:val="00890646"/>
    <w:rsid w:val="0089093A"/>
    <w:rsid w:val="008909AA"/>
    <w:rsid w:val="008909C9"/>
    <w:rsid w:val="00890CA5"/>
    <w:rsid w:val="00890F11"/>
    <w:rsid w:val="00891970"/>
    <w:rsid w:val="00891BF7"/>
    <w:rsid w:val="00891C01"/>
    <w:rsid w:val="00891FD4"/>
    <w:rsid w:val="00892011"/>
    <w:rsid w:val="00892246"/>
    <w:rsid w:val="00892409"/>
    <w:rsid w:val="008924AC"/>
    <w:rsid w:val="008924F7"/>
    <w:rsid w:val="00892514"/>
    <w:rsid w:val="00892537"/>
    <w:rsid w:val="008926FB"/>
    <w:rsid w:val="00892BD4"/>
    <w:rsid w:val="00892C0E"/>
    <w:rsid w:val="00892C5C"/>
    <w:rsid w:val="00892CD4"/>
    <w:rsid w:val="00892CDA"/>
    <w:rsid w:val="00892DD7"/>
    <w:rsid w:val="008930A6"/>
    <w:rsid w:val="008930C4"/>
    <w:rsid w:val="008930CA"/>
    <w:rsid w:val="00893149"/>
    <w:rsid w:val="00893157"/>
    <w:rsid w:val="008931B7"/>
    <w:rsid w:val="008932C0"/>
    <w:rsid w:val="0089353B"/>
    <w:rsid w:val="008935BE"/>
    <w:rsid w:val="00893615"/>
    <w:rsid w:val="00893898"/>
    <w:rsid w:val="008939CA"/>
    <w:rsid w:val="00893AB0"/>
    <w:rsid w:val="00893B46"/>
    <w:rsid w:val="00893D4A"/>
    <w:rsid w:val="00893F51"/>
    <w:rsid w:val="00894283"/>
    <w:rsid w:val="0089445B"/>
    <w:rsid w:val="00894468"/>
    <w:rsid w:val="008944C6"/>
    <w:rsid w:val="008945B5"/>
    <w:rsid w:val="0089460E"/>
    <w:rsid w:val="00894743"/>
    <w:rsid w:val="008949F8"/>
    <w:rsid w:val="00894B2E"/>
    <w:rsid w:val="00894BE7"/>
    <w:rsid w:val="00894C4C"/>
    <w:rsid w:val="00894CCF"/>
    <w:rsid w:val="00894D0B"/>
    <w:rsid w:val="00894E0A"/>
    <w:rsid w:val="00894E16"/>
    <w:rsid w:val="00894EBD"/>
    <w:rsid w:val="00894F66"/>
    <w:rsid w:val="008951CE"/>
    <w:rsid w:val="008952A5"/>
    <w:rsid w:val="008954F0"/>
    <w:rsid w:val="00895802"/>
    <w:rsid w:val="00895860"/>
    <w:rsid w:val="008958E4"/>
    <w:rsid w:val="00895A82"/>
    <w:rsid w:val="00895B0C"/>
    <w:rsid w:val="00895D5F"/>
    <w:rsid w:val="00895E1A"/>
    <w:rsid w:val="00895F4D"/>
    <w:rsid w:val="00895FA3"/>
    <w:rsid w:val="00895FC5"/>
    <w:rsid w:val="00895FCF"/>
    <w:rsid w:val="00896138"/>
    <w:rsid w:val="00896189"/>
    <w:rsid w:val="008961C8"/>
    <w:rsid w:val="008962DC"/>
    <w:rsid w:val="00896324"/>
    <w:rsid w:val="00896367"/>
    <w:rsid w:val="00896378"/>
    <w:rsid w:val="008963D4"/>
    <w:rsid w:val="0089647C"/>
    <w:rsid w:val="008964D5"/>
    <w:rsid w:val="00896614"/>
    <w:rsid w:val="0089668D"/>
    <w:rsid w:val="008967F5"/>
    <w:rsid w:val="00896804"/>
    <w:rsid w:val="008968E8"/>
    <w:rsid w:val="00896A47"/>
    <w:rsid w:val="00896C79"/>
    <w:rsid w:val="00896E48"/>
    <w:rsid w:val="00896EF2"/>
    <w:rsid w:val="0089712C"/>
    <w:rsid w:val="008974F0"/>
    <w:rsid w:val="0089768E"/>
    <w:rsid w:val="00897707"/>
    <w:rsid w:val="00897AA5"/>
    <w:rsid w:val="00897AE6"/>
    <w:rsid w:val="00897B13"/>
    <w:rsid w:val="00897DF3"/>
    <w:rsid w:val="00897F1E"/>
    <w:rsid w:val="008A0133"/>
    <w:rsid w:val="008A03E5"/>
    <w:rsid w:val="008A04E3"/>
    <w:rsid w:val="008A05AE"/>
    <w:rsid w:val="008A09D6"/>
    <w:rsid w:val="008A0A65"/>
    <w:rsid w:val="008A0C7E"/>
    <w:rsid w:val="008A0F4E"/>
    <w:rsid w:val="008A1469"/>
    <w:rsid w:val="008A167D"/>
    <w:rsid w:val="008A17CE"/>
    <w:rsid w:val="008A1A8A"/>
    <w:rsid w:val="008A1DB0"/>
    <w:rsid w:val="008A1DBD"/>
    <w:rsid w:val="008A1F90"/>
    <w:rsid w:val="008A1FCC"/>
    <w:rsid w:val="008A2032"/>
    <w:rsid w:val="008A20FC"/>
    <w:rsid w:val="008A213C"/>
    <w:rsid w:val="008A2251"/>
    <w:rsid w:val="008A22CA"/>
    <w:rsid w:val="008A22D7"/>
    <w:rsid w:val="008A24E6"/>
    <w:rsid w:val="008A2701"/>
    <w:rsid w:val="008A28D9"/>
    <w:rsid w:val="008A28E2"/>
    <w:rsid w:val="008A298F"/>
    <w:rsid w:val="008A2A86"/>
    <w:rsid w:val="008A332B"/>
    <w:rsid w:val="008A3494"/>
    <w:rsid w:val="008A34C4"/>
    <w:rsid w:val="008A3576"/>
    <w:rsid w:val="008A38D4"/>
    <w:rsid w:val="008A3C95"/>
    <w:rsid w:val="008A3D46"/>
    <w:rsid w:val="008A3E44"/>
    <w:rsid w:val="008A3F38"/>
    <w:rsid w:val="008A3FD3"/>
    <w:rsid w:val="008A3FDC"/>
    <w:rsid w:val="008A4144"/>
    <w:rsid w:val="008A4248"/>
    <w:rsid w:val="008A42C4"/>
    <w:rsid w:val="008A436A"/>
    <w:rsid w:val="008A4523"/>
    <w:rsid w:val="008A45BB"/>
    <w:rsid w:val="008A4AC4"/>
    <w:rsid w:val="008A4BD9"/>
    <w:rsid w:val="008A4EA8"/>
    <w:rsid w:val="008A4F72"/>
    <w:rsid w:val="008A4FB4"/>
    <w:rsid w:val="008A5241"/>
    <w:rsid w:val="008A524E"/>
    <w:rsid w:val="008A5252"/>
    <w:rsid w:val="008A527B"/>
    <w:rsid w:val="008A55E9"/>
    <w:rsid w:val="008A58E9"/>
    <w:rsid w:val="008A5A23"/>
    <w:rsid w:val="008A5BA0"/>
    <w:rsid w:val="008A5C41"/>
    <w:rsid w:val="008A5C93"/>
    <w:rsid w:val="008A5CD3"/>
    <w:rsid w:val="008A5CEA"/>
    <w:rsid w:val="008A5F6C"/>
    <w:rsid w:val="008A6321"/>
    <w:rsid w:val="008A6609"/>
    <w:rsid w:val="008A6737"/>
    <w:rsid w:val="008A6A00"/>
    <w:rsid w:val="008A6DC3"/>
    <w:rsid w:val="008A6E04"/>
    <w:rsid w:val="008A702B"/>
    <w:rsid w:val="008A7212"/>
    <w:rsid w:val="008A72B6"/>
    <w:rsid w:val="008A74BE"/>
    <w:rsid w:val="008A75AD"/>
    <w:rsid w:val="008A7650"/>
    <w:rsid w:val="008A7676"/>
    <w:rsid w:val="008A78F0"/>
    <w:rsid w:val="008A7905"/>
    <w:rsid w:val="008A79EC"/>
    <w:rsid w:val="008A7AF8"/>
    <w:rsid w:val="008A7BC2"/>
    <w:rsid w:val="008A7CEC"/>
    <w:rsid w:val="008B0043"/>
    <w:rsid w:val="008B00A3"/>
    <w:rsid w:val="008B00FC"/>
    <w:rsid w:val="008B01F8"/>
    <w:rsid w:val="008B0211"/>
    <w:rsid w:val="008B02CD"/>
    <w:rsid w:val="008B04E4"/>
    <w:rsid w:val="008B05C3"/>
    <w:rsid w:val="008B082D"/>
    <w:rsid w:val="008B08AB"/>
    <w:rsid w:val="008B0B12"/>
    <w:rsid w:val="008B0C18"/>
    <w:rsid w:val="008B0CA1"/>
    <w:rsid w:val="008B0DBF"/>
    <w:rsid w:val="008B0E2F"/>
    <w:rsid w:val="008B0F7E"/>
    <w:rsid w:val="008B108C"/>
    <w:rsid w:val="008B1106"/>
    <w:rsid w:val="008B11D1"/>
    <w:rsid w:val="008B1280"/>
    <w:rsid w:val="008B1281"/>
    <w:rsid w:val="008B14A1"/>
    <w:rsid w:val="008B1733"/>
    <w:rsid w:val="008B1943"/>
    <w:rsid w:val="008B1B96"/>
    <w:rsid w:val="008B1C09"/>
    <w:rsid w:val="008B1CD7"/>
    <w:rsid w:val="008B1D16"/>
    <w:rsid w:val="008B1D1D"/>
    <w:rsid w:val="008B1D78"/>
    <w:rsid w:val="008B1F85"/>
    <w:rsid w:val="008B1F95"/>
    <w:rsid w:val="008B1FA4"/>
    <w:rsid w:val="008B1FDF"/>
    <w:rsid w:val="008B20E9"/>
    <w:rsid w:val="008B21BB"/>
    <w:rsid w:val="008B2209"/>
    <w:rsid w:val="008B2240"/>
    <w:rsid w:val="008B24C5"/>
    <w:rsid w:val="008B2871"/>
    <w:rsid w:val="008B29CC"/>
    <w:rsid w:val="008B2A53"/>
    <w:rsid w:val="008B2AD1"/>
    <w:rsid w:val="008B2ADA"/>
    <w:rsid w:val="008B2B79"/>
    <w:rsid w:val="008B2C06"/>
    <w:rsid w:val="008B2CC1"/>
    <w:rsid w:val="008B2CFE"/>
    <w:rsid w:val="008B30B8"/>
    <w:rsid w:val="008B3512"/>
    <w:rsid w:val="008B373A"/>
    <w:rsid w:val="008B38A0"/>
    <w:rsid w:val="008B3A2D"/>
    <w:rsid w:val="008B3AAB"/>
    <w:rsid w:val="008B3B89"/>
    <w:rsid w:val="008B3D20"/>
    <w:rsid w:val="008B3E53"/>
    <w:rsid w:val="008B3ECE"/>
    <w:rsid w:val="008B41D9"/>
    <w:rsid w:val="008B428D"/>
    <w:rsid w:val="008B442B"/>
    <w:rsid w:val="008B4741"/>
    <w:rsid w:val="008B47C7"/>
    <w:rsid w:val="008B48C7"/>
    <w:rsid w:val="008B4965"/>
    <w:rsid w:val="008B4A46"/>
    <w:rsid w:val="008B4EC2"/>
    <w:rsid w:val="008B4EED"/>
    <w:rsid w:val="008B4FCD"/>
    <w:rsid w:val="008B5269"/>
    <w:rsid w:val="008B54AD"/>
    <w:rsid w:val="008B54DB"/>
    <w:rsid w:val="008B5559"/>
    <w:rsid w:val="008B55A8"/>
    <w:rsid w:val="008B5B2B"/>
    <w:rsid w:val="008B5BFC"/>
    <w:rsid w:val="008B5C0F"/>
    <w:rsid w:val="008B5C2B"/>
    <w:rsid w:val="008B5EEA"/>
    <w:rsid w:val="008B5F5C"/>
    <w:rsid w:val="008B6049"/>
    <w:rsid w:val="008B61F9"/>
    <w:rsid w:val="008B6429"/>
    <w:rsid w:val="008B6679"/>
    <w:rsid w:val="008B66BC"/>
    <w:rsid w:val="008B671A"/>
    <w:rsid w:val="008B67E7"/>
    <w:rsid w:val="008B6988"/>
    <w:rsid w:val="008B6B9B"/>
    <w:rsid w:val="008B6D1C"/>
    <w:rsid w:val="008B6EA3"/>
    <w:rsid w:val="008B70CE"/>
    <w:rsid w:val="008B7191"/>
    <w:rsid w:val="008B72F8"/>
    <w:rsid w:val="008B7438"/>
    <w:rsid w:val="008B74D6"/>
    <w:rsid w:val="008B75E5"/>
    <w:rsid w:val="008B7614"/>
    <w:rsid w:val="008B76FE"/>
    <w:rsid w:val="008B7702"/>
    <w:rsid w:val="008B773D"/>
    <w:rsid w:val="008B7834"/>
    <w:rsid w:val="008B7D94"/>
    <w:rsid w:val="008B7E69"/>
    <w:rsid w:val="008B7EF5"/>
    <w:rsid w:val="008C0024"/>
    <w:rsid w:val="008C0167"/>
    <w:rsid w:val="008C016B"/>
    <w:rsid w:val="008C01DF"/>
    <w:rsid w:val="008C0301"/>
    <w:rsid w:val="008C0502"/>
    <w:rsid w:val="008C071F"/>
    <w:rsid w:val="008C07DD"/>
    <w:rsid w:val="008C086B"/>
    <w:rsid w:val="008C0ACB"/>
    <w:rsid w:val="008C0AE2"/>
    <w:rsid w:val="008C0B85"/>
    <w:rsid w:val="008C0CDD"/>
    <w:rsid w:val="008C0D80"/>
    <w:rsid w:val="008C0D88"/>
    <w:rsid w:val="008C0E23"/>
    <w:rsid w:val="008C0E3A"/>
    <w:rsid w:val="008C0ED2"/>
    <w:rsid w:val="008C119D"/>
    <w:rsid w:val="008C11C7"/>
    <w:rsid w:val="008C16B7"/>
    <w:rsid w:val="008C16D8"/>
    <w:rsid w:val="008C18F7"/>
    <w:rsid w:val="008C1919"/>
    <w:rsid w:val="008C1C64"/>
    <w:rsid w:val="008C1CD5"/>
    <w:rsid w:val="008C1CF1"/>
    <w:rsid w:val="008C2080"/>
    <w:rsid w:val="008C20C0"/>
    <w:rsid w:val="008C2129"/>
    <w:rsid w:val="008C2182"/>
    <w:rsid w:val="008C250A"/>
    <w:rsid w:val="008C268F"/>
    <w:rsid w:val="008C26A7"/>
    <w:rsid w:val="008C26DB"/>
    <w:rsid w:val="008C2770"/>
    <w:rsid w:val="008C278A"/>
    <w:rsid w:val="008C290B"/>
    <w:rsid w:val="008C2AC0"/>
    <w:rsid w:val="008C2B24"/>
    <w:rsid w:val="008C2BF6"/>
    <w:rsid w:val="008C2D98"/>
    <w:rsid w:val="008C2ED0"/>
    <w:rsid w:val="008C2F14"/>
    <w:rsid w:val="008C32B7"/>
    <w:rsid w:val="008C3601"/>
    <w:rsid w:val="008C38C1"/>
    <w:rsid w:val="008C38C8"/>
    <w:rsid w:val="008C391F"/>
    <w:rsid w:val="008C3953"/>
    <w:rsid w:val="008C3954"/>
    <w:rsid w:val="008C39D4"/>
    <w:rsid w:val="008C3BC5"/>
    <w:rsid w:val="008C3DC4"/>
    <w:rsid w:val="008C3E8D"/>
    <w:rsid w:val="008C3F64"/>
    <w:rsid w:val="008C40C4"/>
    <w:rsid w:val="008C4331"/>
    <w:rsid w:val="008C4597"/>
    <w:rsid w:val="008C45CF"/>
    <w:rsid w:val="008C46C6"/>
    <w:rsid w:val="008C4738"/>
    <w:rsid w:val="008C4750"/>
    <w:rsid w:val="008C4759"/>
    <w:rsid w:val="008C4A83"/>
    <w:rsid w:val="008C4B4C"/>
    <w:rsid w:val="008C4DC0"/>
    <w:rsid w:val="008C4ECD"/>
    <w:rsid w:val="008C4F07"/>
    <w:rsid w:val="008C502E"/>
    <w:rsid w:val="008C50E2"/>
    <w:rsid w:val="008C51AF"/>
    <w:rsid w:val="008C5233"/>
    <w:rsid w:val="008C5283"/>
    <w:rsid w:val="008C53F1"/>
    <w:rsid w:val="008C5967"/>
    <w:rsid w:val="008C5BC5"/>
    <w:rsid w:val="008C5C6D"/>
    <w:rsid w:val="008C5FC6"/>
    <w:rsid w:val="008C60AA"/>
    <w:rsid w:val="008C60AF"/>
    <w:rsid w:val="008C61A4"/>
    <w:rsid w:val="008C6214"/>
    <w:rsid w:val="008C6265"/>
    <w:rsid w:val="008C6416"/>
    <w:rsid w:val="008C65BC"/>
    <w:rsid w:val="008C663B"/>
    <w:rsid w:val="008C67AC"/>
    <w:rsid w:val="008C6866"/>
    <w:rsid w:val="008C68CB"/>
    <w:rsid w:val="008C68D6"/>
    <w:rsid w:val="008C695A"/>
    <w:rsid w:val="008C69A8"/>
    <w:rsid w:val="008C6A05"/>
    <w:rsid w:val="008C6A59"/>
    <w:rsid w:val="008C6ADA"/>
    <w:rsid w:val="008C6B72"/>
    <w:rsid w:val="008C6B73"/>
    <w:rsid w:val="008C6D31"/>
    <w:rsid w:val="008C6E13"/>
    <w:rsid w:val="008C6EA2"/>
    <w:rsid w:val="008C6FE2"/>
    <w:rsid w:val="008C7269"/>
    <w:rsid w:val="008C728E"/>
    <w:rsid w:val="008C764D"/>
    <w:rsid w:val="008C7951"/>
    <w:rsid w:val="008C7A4D"/>
    <w:rsid w:val="008C7B87"/>
    <w:rsid w:val="008C7BEB"/>
    <w:rsid w:val="008C7C10"/>
    <w:rsid w:val="008C7D03"/>
    <w:rsid w:val="008C7D24"/>
    <w:rsid w:val="008C7D8C"/>
    <w:rsid w:val="008C7DAF"/>
    <w:rsid w:val="008D00A8"/>
    <w:rsid w:val="008D0132"/>
    <w:rsid w:val="008D038F"/>
    <w:rsid w:val="008D065E"/>
    <w:rsid w:val="008D06FB"/>
    <w:rsid w:val="008D070A"/>
    <w:rsid w:val="008D072F"/>
    <w:rsid w:val="008D0890"/>
    <w:rsid w:val="008D08B9"/>
    <w:rsid w:val="008D08CB"/>
    <w:rsid w:val="008D090C"/>
    <w:rsid w:val="008D0984"/>
    <w:rsid w:val="008D0A40"/>
    <w:rsid w:val="008D0D30"/>
    <w:rsid w:val="008D0D40"/>
    <w:rsid w:val="008D0DC9"/>
    <w:rsid w:val="008D0DD4"/>
    <w:rsid w:val="008D0E59"/>
    <w:rsid w:val="008D0ED1"/>
    <w:rsid w:val="008D0F41"/>
    <w:rsid w:val="008D1040"/>
    <w:rsid w:val="008D10BD"/>
    <w:rsid w:val="008D1471"/>
    <w:rsid w:val="008D169A"/>
    <w:rsid w:val="008D18E3"/>
    <w:rsid w:val="008D197E"/>
    <w:rsid w:val="008D1ABD"/>
    <w:rsid w:val="008D1C57"/>
    <w:rsid w:val="008D1ECD"/>
    <w:rsid w:val="008D2304"/>
    <w:rsid w:val="008D2627"/>
    <w:rsid w:val="008D2774"/>
    <w:rsid w:val="008D2B54"/>
    <w:rsid w:val="008D2CDC"/>
    <w:rsid w:val="008D2CEA"/>
    <w:rsid w:val="008D2DA2"/>
    <w:rsid w:val="008D2ED3"/>
    <w:rsid w:val="008D326B"/>
    <w:rsid w:val="008D3B8D"/>
    <w:rsid w:val="008D3C1C"/>
    <w:rsid w:val="008D3CC1"/>
    <w:rsid w:val="008D3E94"/>
    <w:rsid w:val="008D3EF9"/>
    <w:rsid w:val="008D3FD4"/>
    <w:rsid w:val="008D4105"/>
    <w:rsid w:val="008D4215"/>
    <w:rsid w:val="008D4626"/>
    <w:rsid w:val="008D4635"/>
    <w:rsid w:val="008D470D"/>
    <w:rsid w:val="008D4C3E"/>
    <w:rsid w:val="008D4DE5"/>
    <w:rsid w:val="008D4E19"/>
    <w:rsid w:val="008D5018"/>
    <w:rsid w:val="008D5223"/>
    <w:rsid w:val="008D53A8"/>
    <w:rsid w:val="008D542D"/>
    <w:rsid w:val="008D54CD"/>
    <w:rsid w:val="008D55E8"/>
    <w:rsid w:val="008D5610"/>
    <w:rsid w:val="008D5624"/>
    <w:rsid w:val="008D573E"/>
    <w:rsid w:val="008D5964"/>
    <w:rsid w:val="008D5DFC"/>
    <w:rsid w:val="008D5E50"/>
    <w:rsid w:val="008D5F62"/>
    <w:rsid w:val="008D626D"/>
    <w:rsid w:val="008D632B"/>
    <w:rsid w:val="008D6462"/>
    <w:rsid w:val="008D649A"/>
    <w:rsid w:val="008D673E"/>
    <w:rsid w:val="008D682C"/>
    <w:rsid w:val="008D6868"/>
    <w:rsid w:val="008D692D"/>
    <w:rsid w:val="008D6B7E"/>
    <w:rsid w:val="008D6E1B"/>
    <w:rsid w:val="008D7137"/>
    <w:rsid w:val="008D7269"/>
    <w:rsid w:val="008D737C"/>
    <w:rsid w:val="008D7408"/>
    <w:rsid w:val="008D77B1"/>
    <w:rsid w:val="008D77D6"/>
    <w:rsid w:val="008D7831"/>
    <w:rsid w:val="008D7D45"/>
    <w:rsid w:val="008D7EF1"/>
    <w:rsid w:val="008D7FD3"/>
    <w:rsid w:val="008E013E"/>
    <w:rsid w:val="008E02CF"/>
    <w:rsid w:val="008E02DD"/>
    <w:rsid w:val="008E0343"/>
    <w:rsid w:val="008E0389"/>
    <w:rsid w:val="008E072C"/>
    <w:rsid w:val="008E085C"/>
    <w:rsid w:val="008E0D42"/>
    <w:rsid w:val="008E0D5C"/>
    <w:rsid w:val="008E0D7F"/>
    <w:rsid w:val="008E0E31"/>
    <w:rsid w:val="008E10ED"/>
    <w:rsid w:val="008E1426"/>
    <w:rsid w:val="008E18E3"/>
    <w:rsid w:val="008E1A78"/>
    <w:rsid w:val="008E1B2E"/>
    <w:rsid w:val="008E1E6E"/>
    <w:rsid w:val="008E1EFC"/>
    <w:rsid w:val="008E201C"/>
    <w:rsid w:val="008E208A"/>
    <w:rsid w:val="008E248B"/>
    <w:rsid w:val="008E262D"/>
    <w:rsid w:val="008E26B2"/>
    <w:rsid w:val="008E2728"/>
    <w:rsid w:val="008E281C"/>
    <w:rsid w:val="008E29F7"/>
    <w:rsid w:val="008E2E6C"/>
    <w:rsid w:val="008E302A"/>
    <w:rsid w:val="008E3070"/>
    <w:rsid w:val="008E31A3"/>
    <w:rsid w:val="008E31B1"/>
    <w:rsid w:val="008E31E7"/>
    <w:rsid w:val="008E338E"/>
    <w:rsid w:val="008E346C"/>
    <w:rsid w:val="008E364F"/>
    <w:rsid w:val="008E37B7"/>
    <w:rsid w:val="008E381A"/>
    <w:rsid w:val="008E382E"/>
    <w:rsid w:val="008E3835"/>
    <w:rsid w:val="008E3AEE"/>
    <w:rsid w:val="008E3B6A"/>
    <w:rsid w:val="008E3DC6"/>
    <w:rsid w:val="008E3FC7"/>
    <w:rsid w:val="008E406D"/>
    <w:rsid w:val="008E412E"/>
    <w:rsid w:val="008E4252"/>
    <w:rsid w:val="008E4266"/>
    <w:rsid w:val="008E42CB"/>
    <w:rsid w:val="008E43DE"/>
    <w:rsid w:val="008E448F"/>
    <w:rsid w:val="008E4528"/>
    <w:rsid w:val="008E4799"/>
    <w:rsid w:val="008E48C8"/>
    <w:rsid w:val="008E49CA"/>
    <w:rsid w:val="008E4C6C"/>
    <w:rsid w:val="008E4D6E"/>
    <w:rsid w:val="008E5134"/>
    <w:rsid w:val="008E5454"/>
    <w:rsid w:val="008E570A"/>
    <w:rsid w:val="008E572E"/>
    <w:rsid w:val="008E576B"/>
    <w:rsid w:val="008E5BED"/>
    <w:rsid w:val="008E5ED5"/>
    <w:rsid w:val="008E603A"/>
    <w:rsid w:val="008E632E"/>
    <w:rsid w:val="008E6358"/>
    <w:rsid w:val="008E6444"/>
    <w:rsid w:val="008E6840"/>
    <w:rsid w:val="008E6BB7"/>
    <w:rsid w:val="008E6D79"/>
    <w:rsid w:val="008E7077"/>
    <w:rsid w:val="008E70D4"/>
    <w:rsid w:val="008E711D"/>
    <w:rsid w:val="008E7A2C"/>
    <w:rsid w:val="008E7A5A"/>
    <w:rsid w:val="008E7A9A"/>
    <w:rsid w:val="008E7AD5"/>
    <w:rsid w:val="008E7B83"/>
    <w:rsid w:val="008E7CC8"/>
    <w:rsid w:val="008E7EA0"/>
    <w:rsid w:val="008F001A"/>
    <w:rsid w:val="008F006C"/>
    <w:rsid w:val="008F00D6"/>
    <w:rsid w:val="008F03DC"/>
    <w:rsid w:val="008F04B7"/>
    <w:rsid w:val="008F05F9"/>
    <w:rsid w:val="008F06D2"/>
    <w:rsid w:val="008F0BBA"/>
    <w:rsid w:val="008F0C59"/>
    <w:rsid w:val="008F0CE1"/>
    <w:rsid w:val="008F0E13"/>
    <w:rsid w:val="008F0E77"/>
    <w:rsid w:val="008F1192"/>
    <w:rsid w:val="008F11CB"/>
    <w:rsid w:val="008F13FB"/>
    <w:rsid w:val="008F142B"/>
    <w:rsid w:val="008F150D"/>
    <w:rsid w:val="008F1648"/>
    <w:rsid w:val="008F164D"/>
    <w:rsid w:val="008F17B5"/>
    <w:rsid w:val="008F1AFE"/>
    <w:rsid w:val="008F1CA2"/>
    <w:rsid w:val="008F2101"/>
    <w:rsid w:val="008F220E"/>
    <w:rsid w:val="008F23DA"/>
    <w:rsid w:val="008F241F"/>
    <w:rsid w:val="008F245F"/>
    <w:rsid w:val="008F2603"/>
    <w:rsid w:val="008F26A1"/>
    <w:rsid w:val="008F28E3"/>
    <w:rsid w:val="008F29A4"/>
    <w:rsid w:val="008F29CC"/>
    <w:rsid w:val="008F2B61"/>
    <w:rsid w:val="008F2B8F"/>
    <w:rsid w:val="008F2C36"/>
    <w:rsid w:val="008F2C83"/>
    <w:rsid w:val="008F2D46"/>
    <w:rsid w:val="008F2F0A"/>
    <w:rsid w:val="008F3020"/>
    <w:rsid w:val="008F33A4"/>
    <w:rsid w:val="008F3524"/>
    <w:rsid w:val="008F35D3"/>
    <w:rsid w:val="008F3685"/>
    <w:rsid w:val="008F36BD"/>
    <w:rsid w:val="008F37BA"/>
    <w:rsid w:val="008F38F1"/>
    <w:rsid w:val="008F39E9"/>
    <w:rsid w:val="008F3B0A"/>
    <w:rsid w:val="008F3B5B"/>
    <w:rsid w:val="008F3B86"/>
    <w:rsid w:val="008F3C2C"/>
    <w:rsid w:val="008F3C3A"/>
    <w:rsid w:val="008F3F46"/>
    <w:rsid w:val="008F3F6B"/>
    <w:rsid w:val="008F3F9F"/>
    <w:rsid w:val="008F40CB"/>
    <w:rsid w:val="008F41C6"/>
    <w:rsid w:val="008F4224"/>
    <w:rsid w:val="008F4257"/>
    <w:rsid w:val="008F4519"/>
    <w:rsid w:val="008F45F3"/>
    <w:rsid w:val="008F4629"/>
    <w:rsid w:val="008F4633"/>
    <w:rsid w:val="008F4674"/>
    <w:rsid w:val="008F46F0"/>
    <w:rsid w:val="008F4A47"/>
    <w:rsid w:val="008F4BE4"/>
    <w:rsid w:val="008F4C48"/>
    <w:rsid w:val="008F4C4D"/>
    <w:rsid w:val="008F4C53"/>
    <w:rsid w:val="008F4FE4"/>
    <w:rsid w:val="008F5054"/>
    <w:rsid w:val="008F514A"/>
    <w:rsid w:val="008F540E"/>
    <w:rsid w:val="008F544A"/>
    <w:rsid w:val="008F552A"/>
    <w:rsid w:val="008F5793"/>
    <w:rsid w:val="008F5880"/>
    <w:rsid w:val="008F58F3"/>
    <w:rsid w:val="008F59C0"/>
    <w:rsid w:val="008F5BCF"/>
    <w:rsid w:val="008F5C51"/>
    <w:rsid w:val="008F5D36"/>
    <w:rsid w:val="008F5D6A"/>
    <w:rsid w:val="008F5F9A"/>
    <w:rsid w:val="008F60F2"/>
    <w:rsid w:val="008F64A4"/>
    <w:rsid w:val="008F64E6"/>
    <w:rsid w:val="008F6681"/>
    <w:rsid w:val="008F6857"/>
    <w:rsid w:val="008F6CB5"/>
    <w:rsid w:val="008F6D19"/>
    <w:rsid w:val="008F6D75"/>
    <w:rsid w:val="008F706C"/>
    <w:rsid w:val="008F70D1"/>
    <w:rsid w:val="008F72C3"/>
    <w:rsid w:val="008F74C4"/>
    <w:rsid w:val="008F76D9"/>
    <w:rsid w:val="008F76DA"/>
    <w:rsid w:val="008F76FD"/>
    <w:rsid w:val="008F7800"/>
    <w:rsid w:val="008F781E"/>
    <w:rsid w:val="008F78C1"/>
    <w:rsid w:val="008F796D"/>
    <w:rsid w:val="008F79B7"/>
    <w:rsid w:val="008F7A25"/>
    <w:rsid w:val="008F7A2D"/>
    <w:rsid w:val="008F7BCE"/>
    <w:rsid w:val="008F7CAD"/>
    <w:rsid w:val="008F7D02"/>
    <w:rsid w:val="008F7D10"/>
    <w:rsid w:val="008F7DF6"/>
    <w:rsid w:val="008F7E44"/>
    <w:rsid w:val="008F7EA8"/>
    <w:rsid w:val="008F7FB3"/>
    <w:rsid w:val="009000BB"/>
    <w:rsid w:val="0090013F"/>
    <w:rsid w:val="00900151"/>
    <w:rsid w:val="009001CA"/>
    <w:rsid w:val="0090028B"/>
    <w:rsid w:val="009003FD"/>
    <w:rsid w:val="00900584"/>
    <w:rsid w:val="0090079E"/>
    <w:rsid w:val="00900953"/>
    <w:rsid w:val="009009D1"/>
    <w:rsid w:val="00900CFF"/>
    <w:rsid w:val="00900D5E"/>
    <w:rsid w:val="0090100B"/>
    <w:rsid w:val="009011D9"/>
    <w:rsid w:val="0090137A"/>
    <w:rsid w:val="009014A7"/>
    <w:rsid w:val="009014B2"/>
    <w:rsid w:val="00901605"/>
    <w:rsid w:val="0090160A"/>
    <w:rsid w:val="009016D5"/>
    <w:rsid w:val="00901713"/>
    <w:rsid w:val="00901B53"/>
    <w:rsid w:val="00901E1B"/>
    <w:rsid w:val="00901E64"/>
    <w:rsid w:val="00901EF3"/>
    <w:rsid w:val="00901F7E"/>
    <w:rsid w:val="00902114"/>
    <w:rsid w:val="009023F1"/>
    <w:rsid w:val="00902441"/>
    <w:rsid w:val="00902497"/>
    <w:rsid w:val="00902652"/>
    <w:rsid w:val="009027EF"/>
    <w:rsid w:val="00902841"/>
    <w:rsid w:val="00902962"/>
    <w:rsid w:val="00902979"/>
    <w:rsid w:val="009029D4"/>
    <w:rsid w:val="00902A8F"/>
    <w:rsid w:val="00902C43"/>
    <w:rsid w:val="00902C7B"/>
    <w:rsid w:val="00902DF5"/>
    <w:rsid w:val="00902E01"/>
    <w:rsid w:val="00903014"/>
    <w:rsid w:val="009030A8"/>
    <w:rsid w:val="009030FF"/>
    <w:rsid w:val="0090344B"/>
    <w:rsid w:val="00903527"/>
    <w:rsid w:val="00903545"/>
    <w:rsid w:val="009035DE"/>
    <w:rsid w:val="00903602"/>
    <w:rsid w:val="009036A6"/>
    <w:rsid w:val="00903724"/>
    <w:rsid w:val="00903749"/>
    <w:rsid w:val="0090383B"/>
    <w:rsid w:val="0090387D"/>
    <w:rsid w:val="00903C47"/>
    <w:rsid w:val="00903D62"/>
    <w:rsid w:val="00903D7F"/>
    <w:rsid w:val="009040D7"/>
    <w:rsid w:val="0090418C"/>
    <w:rsid w:val="00904541"/>
    <w:rsid w:val="00904872"/>
    <w:rsid w:val="0090492F"/>
    <w:rsid w:val="00904F19"/>
    <w:rsid w:val="00905011"/>
    <w:rsid w:val="009050FD"/>
    <w:rsid w:val="0090529A"/>
    <w:rsid w:val="009052D4"/>
    <w:rsid w:val="00905617"/>
    <w:rsid w:val="009057EC"/>
    <w:rsid w:val="00905864"/>
    <w:rsid w:val="00905C30"/>
    <w:rsid w:val="00905C6C"/>
    <w:rsid w:val="00905D50"/>
    <w:rsid w:val="00905E99"/>
    <w:rsid w:val="00905EAC"/>
    <w:rsid w:val="00905F10"/>
    <w:rsid w:val="00906330"/>
    <w:rsid w:val="00906814"/>
    <w:rsid w:val="0090686A"/>
    <w:rsid w:val="00906924"/>
    <w:rsid w:val="00906AF3"/>
    <w:rsid w:val="00906C78"/>
    <w:rsid w:val="00906D66"/>
    <w:rsid w:val="00906EFC"/>
    <w:rsid w:val="00906F7D"/>
    <w:rsid w:val="00906F80"/>
    <w:rsid w:val="00907348"/>
    <w:rsid w:val="00907353"/>
    <w:rsid w:val="009076BA"/>
    <w:rsid w:val="009076F9"/>
    <w:rsid w:val="0090789A"/>
    <w:rsid w:val="00907A6C"/>
    <w:rsid w:val="00907ED7"/>
    <w:rsid w:val="00907FE6"/>
    <w:rsid w:val="00910145"/>
    <w:rsid w:val="0091025F"/>
    <w:rsid w:val="009102EF"/>
    <w:rsid w:val="00910321"/>
    <w:rsid w:val="0091056E"/>
    <w:rsid w:val="0091058A"/>
    <w:rsid w:val="00910597"/>
    <w:rsid w:val="009105CD"/>
    <w:rsid w:val="0091061C"/>
    <w:rsid w:val="009107E1"/>
    <w:rsid w:val="009109B1"/>
    <w:rsid w:val="00910CB8"/>
    <w:rsid w:val="00910D5F"/>
    <w:rsid w:val="00910DE7"/>
    <w:rsid w:val="00910F83"/>
    <w:rsid w:val="009110AA"/>
    <w:rsid w:val="009114CF"/>
    <w:rsid w:val="00911535"/>
    <w:rsid w:val="009115E4"/>
    <w:rsid w:val="009116D2"/>
    <w:rsid w:val="0091171E"/>
    <w:rsid w:val="00911A5A"/>
    <w:rsid w:val="00911AB3"/>
    <w:rsid w:val="00911BA8"/>
    <w:rsid w:val="00911BB8"/>
    <w:rsid w:val="00911C5F"/>
    <w:rsid w:val="00911C6F"/>
    <w:rsid w:val="00911C9E"/>
    <w:rsid w:val="00911EA4"/>
    <w:rsid w:val="00911EDB"/>
    <w:rsid w:val="00911F49"/>
    <w:rsid w:val="00911FB6"/>
    <w:rsid w:val="00912249"/>
    <w:rsid w:val="009127CB"/>
    <w:rsid w:val="00912A41"/>
    <w:rsid w:val="00912C6B"/>
    <w:rsid w:val="00912F3D"/>
    <w:rsid w:val="00912F64"/>
    <w:rsid w:val="00912FC0"/>
    <w:rsid w:val="0091307C"/>
    <w:rsid w:val="009133AB"/>
    <w:rsid w:val="00913401"/>
    <w:rsid w:val="00913511"/>
    <w:rsid w:val="0091358A"/>
    <w:rsid w:val="0091361D"/>
    <w:rsid w:val="009136E6"/>
    <w:rsid w:val="0091374D"/>
    <w:rsid w:val="0091387C"/>
    <w:rsid w:val="00913A3F"/>
    <w:rsid w:val="00913B6D"/>
    <w:rsid w:val="00913E3B"/>
    <w:rsid w:val="00914080"/>
    <w:rsid w:val="00914149"/>
    <w:rsid w:val="00914292"/>
    <w:rsid w:val="0091430D"/>
    <w:rsid w:val="00914462"/>
    <w:rsid w:val="0091457A"/>
    <w:rsid w:val="00914688"/>
    <w:rsid w:val="00914744"/>
    <w:rsid w:val="009147CD"/>
    <w:rsid w:val="0091494F"/>
    <w:rsid w:val="009149A0"/>
    <w:rsid w:val="00914BDF"/>
    <w:rsid w:val="00914CD1"/>
    <w:rsid w:val="00914E74"/>
    <w:rsid w:val="00915006"/>
    <w:rsid w:val="009150D7"/>
    <w:rsid w:val="00915210"/>
    <w:rsid w:val="0091541B"/>
    <w:rsid w:val="00915487"/>
    <w:rsid w:val="0091549D"/>
    <w:rsid w:val="0091553A"/>
    <w:rsid w:val="009155BA"/>
    <w:rsid w:val="00915752"/>
    <w:rsid w:val="00915A61"/>
    <w:rsid w:val="00915BE0"/>
    <w:rsid w:val="00915C88"/>
    <w:rsid w:val="00915CE6"/>
    <w:rsid w:val="00915EB0"/>
    <w:rsid w:val="00916035"/>
    <w:rsid w:val="00916240"/>
    <w:rsid w:val="009162D8"/>
    <w:rsid w:val="00916379"/>
    <w:rsid w:val="009163D0"/>
    <w:rsid w:val="0091649B"/>
    <w:rsid w:val="009165B3"/>
    <w:rsid w:val="009165F1"/>
    <w:rsid w:val="00916667"/>
    <w:rsid w:val="00916743"/>
    <w:rsid w:val="00916AA5"/>
    <w:rsid w:val="00916B7A"/>
    <w:rsid w:val="00916D4C"/>
    <w:rsid w:val="00917459"/>
    <w:rsid w:val="0091758B"/>
    <w:rsid w:val="009175A5"/>
    <w:rsid w:val="009176BA"/>
    <w:rsid w:val="009177EB"/>
    <w:rsid w:val="00917ADA"/>
    <w:rsid w:val="00917B3E"/>
    <w:rsid w:val="00917C13"/>
    <w:rsid w:val="0092018D"/>
    <w:rsid w:val="00920278"/>
    <w:rsid w:val="00920321"/>
    <w:rsid w:val="00920434"/>
    <w:rsid w:val="0092046C"/>
    <w:rsid w:val="00920588"/>
    <w:rsid w:val="009205A9"/>
    <w:rsid w:val="0092073C"/>
    <w:rsid w:val="009208F2"/>
    <w:rsid w:val="0092099F"/>
    <w:rsid w:val="00920A70"/>
    <w:rsid w:val="00920DAD"/>
    <w:rsid w:val="00920E4A"/>
    <w:rsid w:val="00920EA7"/>
    <w:rsid w:val="00920F0A"/>
    <w:rsid w:val="009210C2"/>
    <w:rsid w:val="0092116A"/>
    <w:rsid w:val="009211F7"/>
    <w:rsid w:val="00921289"/>
    <w:rsid w:val="009214E3"/>
    <w:rsid w:val="009214EF"/>
    <w:rsid w:val="00921508"/>
    <w:rsid w:val="0092169E"/>
    <w:rsid w:val="00921797"/>
    <w:rsid w:val="00921C33"/>
    <w:rsid w:val="00922166"/>
    <w:rsid w:val="009221E3"/>
    <w:rsid w:val="0092222A"/>
    <w:rsid w:val="009223B8"/>
    <w:rsid w:val="0092241F"/>
    <w:rsid w:val="0092261C"/>
    <w:rsid w:val="00922724"/>
    <w:rsid w:val="00922772"/>
    <w:rsid w:val="009227A7"/>
    <w:rsid w:val="00922855"/>
    <w:rsid w:val="00922A6A"/>
    <w:rsid w:val="00922E64"/>
    <w:rsid w:val="0092303B"/>
    <w:rsid w:val="00923078"/>
    <w:rsid w:val="009230F7"/>
    <w:rsid w:val="009232DA"/>
    <w:rsid w:val="009234B8"/>
    <w:rsid w:val="00923555"/>
    <w:rsid w:val="00923911"/>
    <w:rsid w:val="00923F3F"/>
    <w:rsid w:val="00923FE2"/>
    <w:rsid w:val="00924164"/>
    <w:rsid w:val="00924267"/>
    <w:rsid w:val="00924378"/>
    <w:rsid w:val="009243D7"/>
    <w:rsid w:val="00924634"/>
    <w:rsid w:val="00924737"/>
    <w:rsid w:val="00924835"/>
    <w:rsid w:val="009248FB"/>
    <w:rsid w:val="00924AC8"/>
    <w:rsid w:val="00924C03"/>
    <w:rsid w:val="00924C0E"/>
    <w:rsid w:val="00924C2A"/>
    <w:rsid w:val="00924E19"/>
    <w:rsid w:val="00924EC2"/>
    <w:rsid w:val="009251D5"/>
    <w:rsid w:val="009252F6"/>
    <w:rsid w:val="009253BC"/>
    <w:rsid w:val="00925466"/>
    <w:rsid w:val="00925A18"/>
    <w:rsid w:val="00925B3C"/>
    <w:rsid w:val="00925B8B"/>
    <w:rsid w:val="00925E1B"/>
    <w:rsid w:val="00926018"/>
    <w:rsid w:val="0092608D"/>
    <w:rsid w:val="0092619B"/>
    <w:rsid w:val="009261B2"/>
    <w:rsid w:val="00926258"/>
    <w:rsid w:val="0092636B"/>
    <w:rsid w:val="00926663"/>
    <w:rsid w:val="009268A8"/>
    <w:rsid w:val="00926F0E"/>
    <w:rsid w:val="00926F35"/>
    <w:rsid w:val="00927177"/>
    <w:rsid w:val="009271C8"/>
    <w:rsid w:val="009274BF"/>
    <w:rsid w:val="009276F3"/>
    <w:rsid w:val="0092788A"/>
    <w:rsid w:val="009278A2"/>
    <w:rsid w:val="00927A4C"/>
    <w:rsid w:val="00927BDB"/>
    <w:rsid w:val="00927D38"/>
    <w:rsid w:val="00927F4D"/>
    <w:rsid w:val="009301B4"/>
    <w:rsid w:val="00930378"/>
    <w:rsid w:val="0093053F"/>
    <w:rsid w:val="00930771"/>
    <w:rsid w:val="00930DDA"/>
    <w:rsid w:val="00930FBB"/>
    <w:rsid w:val="009311A8"/>
    <w:rsid w:val="0093122D"/>
    <w:rsid w:val="0093137D"/>
    <w:rsid w:val="009313C6"/>
    <w:rsid w:val="00931518"/>
    <w:rsid w:val="009315C1"/>
    <w:rsid w:val="009318F7"/>
    <w:rsid w:val="00931A52"/>
    <w:rsid w:val="00931C8E"/>
    <w:rsid w:val="00931D33"/>
    <w:rsid w:val="00931D4C"/>
    <w:rsid w:val="00931EDB"/>
    <w:rsid w:val="0093220E"/>
    <w:rsid w:val="009327EA"/>
    <w:rsid w:val="00932882"/>
    <w:rsid w:val="00932889"/>
    <w:rsid w:val="009328A5"/>
    <w:rsid w:val="00932D6C"/>
    <w:rsid w:val="00932E7D"/>
    <w:rsid w:val="00932EA6"/>
    <w:rsid w:val="00932F07"/>
    <w:rsid w:val="00932FAB"/>
    <w:rsid w:val="00932FFE"/>
    <w:rsid w:val="0093368A"/>
    <w:rsid w:val="00933724"/>
    <w:rsid w:val="0093376B"/>
    <w:rsid w:val="009338DD"/>
    <w:rsid w:val="00933CA2"/>
    <w:rsid w:val="00933D21"/>
    <w:rsid w:val="00933E9D"/>
    <w:rsid w:val="00933F08"/>
    <w:rsid w:val="00933FFB"/>
    <w:rsid w:val="0093400D"/>
    <w:rsid w:val="009340D0"/>
    <w:rsid w:val="0093411F"/>
    <w:rsid w:val="0093424C"/>
    <w:rsid w:val="009346EA"/>
    <w:rsid w:val="009348B5"/>
    <w:rsid w:val="0093495E"/>
    <w:rsid w:val="00934B2B"/>
    <w:rsid w:val="00934BAC"/>
    <w:rsid w:val="00934DCA"/>
    <w:rsid w:val="00934F5C"/>
    <w:rsid w:val="00935008"/>
    <w:rsid w:val="0093524A"/>
    <w:rsid w:val="00935301"/>
    <w:rsid w:val="00935356"/>
    <w:rsid w:val="009353FC"/>
    <w:rsid w:val="00935541"/>
    <w:rsid w:val="0093566D"/>
    <w:rsid w:val="0093568C"/>
    <w:rsid w:val="009358C5"/>
    <w:rsid w:val="00935A15"/>
    <w:rsid w:val="00935CDF"/>
    <w:rsid w:val="00936068"/>
    <w:rsid w:val="00936210"/>
    <w:rsid w:val="0093630B"/>
    <w:rsid w:val="009363E7"/>
    <w:rsid w:val="009364CB"/>
    <w:rsid w:val="009365D4"/>
    <w:rsid w:val="009365F4"/>
    <w:rsid w:val="0093691B"/>
    <w:rsid w:val="00936AE8"/>
    <w:rsid w:val="00936C75"/>
    <w:rsid w:val="00936DA9"/>
    <w:rsid w:val="00936DE8"/>
    <w:rsid w:val="00936F6F"/>
    <w:rsid w:val="00937000"/>
    <w:rsid w:val="009370BD"/>
    <w:rsid w:val="009372CB"/>
    <w:rsid w:val="00937346"/>
    <w:rsid w:val="009373B0"/>
    <w:rsid w:val="00937467"/>
    <w:rsid w:val="00937837"/>
    <w:rsid w:val="0093792B"/>
    <w:rsid w:val="00937D38"/>
    <w:rsid w:val="00937FC0"/>
    <w:rsid w:val="0094001D"/>
    <w:rsid w:val="00940065"/>
    <w:rsid w:val="009403BE"/>
    <w:rsid w:val="00940649"/>
    <w:rsid w:val="00940962"/>
    <w:rsid w:val="00940B41"/>
    <w:rsid w:val="00940BB8"/>
    <w:rsid w:val="00940C26"/>
    <w:rsid w:val="00940DA9"/>
    <w:rsid w:val="00940E5A"/>
    <w:rsid w:val="00940F5D"/>
    <w:rsid w:val="00941049"/>
    <w:rsid w:val="009410AA"/>
    <w:rsid w:val="00941135"/>
    <w:rsid w:val="009411FF"/>
    <w:rsid w:val="0094123E"/>
    <w:rsid w:val="0094142E"/>
    <w:rsid w:val="0094146D"/>
    <w:rsid w:val="009415C2"/>
    <w:rsid w:val="00941635"/>
    <w:rsid w:val="009416A7"/>
    <w:rsid w:val="009417F5"/>
    <w:rsid w:val="00941819"/>
    <w:rsid w:val="00941887"/>
    <w:rsid w:val="0094197E"/>
    <w:rsid w:val="00941A18"/>
    <w:rsid w:val="00941B3B"/>
    <w:rsid w:val="00941B95"/>
    <w:rsid w:val="00941C22"/>
    <w:rsid w:val="00941CFC"/>
    <w:rsid w:val="00941E2F"/>
    <w:rsid w:val="00942161"/>
    <w:rsid w:val="0094232D"/>
    <w:rsid w:val="009423E0"/>
    <w:rsid w:val="00942559"/>
    <w:rsid w:val="00942642"/>
    <w:rsid w:val="009427E3"/>
    <w:rsid w:val="00942946"/>
    <w:rsid w:val="0094295A"/>
    <w:rsid w:val="00942A6C"/>
    <w:rsid w:val="00942E05"/>
    <w:rsid w:val="00942FAA"/>
    <w:rsid w:val="0094306B"/>
    <w:rsid w:val="0094313B"/>
    <w:rsid w:val="00943210"/>
    <w:rsid w:val="0094337B"/>
    <w:rsid w:val="009435AB"/>
    <w:rsid w:val="00943673"/>
    <w:rsid w:val="009439CE"/>
    <w:rsid w:val="00943B38"/>
    <w:rsid w:val="00943C40"/>
    <w:rsid w:val="00943D47"/>
    <w:rsid w:val="00943DB2"/>
    <w:rsid w:val="00943E1B"/>
    <w:rsid w:val="0094419C"/>
    <w:rsid w:val="00944263"/>
    <w:rsid w:val="0094432D"/>
    <w:rsid w:val="00944339"/>
    <w:rsid w:val="0094436E"/>
    <w:rsid w:val="00944675"/>
    <w:rsid w:val="009447C1"/>
    <w:rsid w:val="00944B08"/>
    <w:rsid w:val="00944D3F"/>
    <w:rsid w:val="00944FD1"/>
    <w:rsid w:val="00944FD8"/>
    <w:rsid w:val="00944FFE"/>
    <w:rsid w:val="00945085"/>
    <w:rsid w:val="009450CE"/>
    <w:rsid w:val="009450E5"/>
    <w:rsid w:val="00945382"/>
    <w:rsid w:val="00945501"/>
    <w:rsid w:val="0094569B"/>
    <w:rsid w:val="00945704"/>
    <w:rsid w:val="00945711"/>
    <w:rsid w:val="00945876"/>
    <w:rsid w:val="00945922"/>
    <w:rsid w:val="00945A1E"/>
    <w:rsid w:val="00945A23"/>
    <w:rsid w:val="00945ADD"/>
    <w:rsid w:val="00945BAB"/>
    <w:rsid w:val="0094607A"/>
    <w:rsid w:val="009460E9"/>
    <w:rsid w:val="009463BA"/>
    <w:rsid w:val="00946874"/>
    <w:rsid w:val="00946B18"/>
    <w:rsid w:val="00946BB2"/>
    <w:rsid w:val="00946C19"/>
    <w:rsid w:val="00946EDA"/>
    <w:rsid w:val="00946FBA"/>
    <w:rsid w:val="00946FE2"/>
    <w:rsid w:val="0094716E"/>
    <w:rsid w:val="009471B8"/>
    <w:rsid w:val="00947289"/>
    <w:rsid w:val="0094746D"/>
    <w:rsid w:val="00947492"/>
    <w:rsid w:val="009474A8"/>
    <w:rsid w:val="009474F9"/>
    <w:rsid w:val="00947640"/>
    <w:rsid w:val="009478A8"/>
    <w:rsid w:val="00947913"/>
    <w:rsid w:val="009479B2"/>
    <w:rsid w:val="00947A00"/>
    <w:rsid w:val="00947A66"/>
    <w:rsid w:val="00947A82"/>
    <w:rsid w:val="00947B04"/>
    <w:rsid w:val="00947C22"/>
    <w:rsid w:val="00947EFB"/>
    <w:rsid w:val="00947FF2"/>
    <w:rsid w:val="009500BF"/>
    <w:rsid w:val="00950524"/>
    <w:rsid w:val="009508E4"/>
    <w:rsid w:val="009510B1"/>
    <w:rsid w:val="00951122"/>
    <w:rsid w:val="009511B4"/>
    <w:rsid w:val="00951255"/>
    <w:rsid w:val="009514D3"/>
    <w:rsid w:val="00951552"/>
    <w:rsid w:val="009516E2"/>
    <w:rsid w:val="009516E9"/>
    <w:rsid w:val="009517CC"/>
    <w:rsid w:val="00951D40"/>
    <w:rsid w:val="00951E35"/>
    <w:rsid w:val="00952333"/>
    <w:rsid w:val="00952366"/>
    <w:rsid w:val="00952402"/>
    <w:rsid w:val="00952893"/>
    <w:rsid w:val="009528D7"/>
    <w:rsid w:val="00952ACD"/>
    <w:rsid w:val="00952B00"/>
    <w:rsid w:val="00952B9E"/>
    <w:rsid w:val="00952D65"/>
    <w:rsid w:val="00952D7E"/>
    <w:rsid w:val="00952E30"/>
    <w:rsid w:val="009532C2"/>
    <w:rsid w:val="00953322"/>
    <w:rsid w:val="00953334"/>
    <w:rsid w:val="00953352"/>
    <w:rsid w:val="009535F5"/>
    <w:rsid w:val="00953963"/>
    <w:rsid w:val="00953DAD"/>
    <w:rsid w:val="00954352"/>
    <w:rsid w:val="009543FA"/>
    <w:rsid w:val="00954500"/>
    <w:rsid w:val="009548AC"/>
    <w:rsid w:val="009549CE"/>
    <w:rsid w:val="009549D6"/>
    <w:rsid w:val="00954B4F"/>
    <w:rsid w:val="00954BD4"/>
    <w:rsid w:val="00954DB7"/>
    <w:rsid w:val="00954DE8"/>
    <w:rsid w:val="00954E84"/>
    <w:rsid w:val="00954F57"/>
    <w:rsid w:val="00955183"/>
    <w:rsid w:val="0095539D"/>
    <w:rsid w:val="009554AD"/>
    <w:rsid w:val="00955514"/>
    <w:rsid w:val="00955587"/>
    <w:rsid w:val="00955597"/>
    <w:rsid w:val="00955706"/>
    <w:rsid w:val="00955729"/>
    <w:rsid w:val="009558FB"/>
    <w:rsid w:val="0095594B"/>
    <w:rsid w:val="009559B3"/>
    <w:rsid w:val="00955A43"/>
    <w:rsid w:val="00955C1A"/>
    <w:rsid w:val="00955C1D"/>
    <w:rsid w:val="00955C22"/>
    <w:rsid w:val="00955D6A"/>
    <w:rsid w:val="00956515"/>
    <w:rsid w:val="009567C0"/>
    <w:rsid w:val="009567EC"/>
    <w:rsid w:val="00956867"/>
    <w:rsid w:val="00956AA6"/>
    <w:rsid w:val="00956DF4"/>
    <w:rsid w:val="00956E21"/>
    <w:rsid w:val="00957214"/>
    <w:rsid w:val="0095722E"/>
    <w:rsid w:val="009572EF"/>
    <w:rsid w:val="00957330"/>
    <w:rsid w:val="0095749A"/>
    <w:rsid w:val="009575F2"/>
    <w:rsid w:val="00957922"/>
    <w:rsid w:val="00960017"/>
    <w:rsid w:val="009600EF"/>
    <w:rsid w:val="00960189"/>
    <w:rsid w:val="009601C5"/>
    <w:rsid w:val="00960435"/>
    <w:rsid w:val="00960525"/>
    <w:rsid w:val="00960557"/>
    <w:rsid w:val="009605E3"/>
    <w:rsid w:val="009606E4"/>
    <w:rsid w:val="00960787"/>
    <w:rsid w:val="00960870"/>
    <w:rsid w:val="009608A7"/>
    <w:rsid w:val="00960AA1"/>
    <w:rsid w:val="00960C65"/>
    <w:rsid w:val="00960CDC"/>
    <w:rsid w:val="00960D4F"/>
    <w:rsid w:val="00960D8F"/>
    <w:rsid w:val="00961094"/>
    <w:rsid w:val="0096111B"/>
    <w:rsid w:val="00961304"/>
    <w:rsid w:val="009615D4"/>
    <w:rsid w:val="00961702"/>
    <w:rsid w:val="00961813"/>
    <w:rsid w:val="009618F2"/>
    <w:rsid w:val="00961B4A"/>
    <w:rsid w:val="00961E1D"/>
    <w:rsid w:val="00961E47"/>
    <w:rsid w:val="00961EF3"/>
    <w:rsid w:val="00961F1D"/>
    <w:rsid w:val="009620DA"/>
    <w:rsid w:val="00962163"/>
    <w:rsid w:val="00962172"/>
    <w:rsid w:val="009622B3"/>
    <w:rsid w:val="00962305"/>
    <w:rsid w:val="009623A4"/>
    <w:rsid w:val="00962649"/>
    <w:rsid w:val="00962819"/>
    <w:rsid w:val="00962851"/>
    <w:rsid w:val="00962971"/>
    <w:rsid w:val="00962AA6"/>
    <w:rsid w:val="00962BAB"/>
    <w:rsid w:val="00962C86"/>
    <w:rsid w:val="00962DD9"/>
    <w:rsid w:val="00962E14"/>
    <w:rsid w:val="00962EC3"/>
    <w:rsid w:val="00962F83"/>
    <w:rsid w:val="00962FD6"/>
    <w:rsid w:val="00963065"/>
    <w:rsid w:val="009631B8"/>
    <w:rsid w:val="0096325C"/>
    <w:rsid w:val="00963381"/>
    <w:rsid w:val="009633C7"/>
    <w:rsid w:val="0096374C"/>
    <w:rsid w:val="009637A1"/>
    <w:rsid w:val="00963BA3"/>
    <w:rsid w:val="00963C05"/>
    <w:rsid w:val="00963C68"/>
    <w:rsid w:val="00963C98"/>
    <w:rsid w:val="00963D84"/>
    <w:rsid w:val="00963E02"/>
    <w:rsid w:val="00963E42"/>
    <w:rsid w:val="00963FA5"/>
    <w:rsid w:val="00964011"/>
    <w:rsid w:val="00964112"/>
    <w:rsid w:val="00964151"/>
    <w:rsid w:val="009642EE"/>
    <w:rsid w:val="009644F3"/>
    <w:rsid w:val="009645E4"/>
    <w:rsid w:val="009646BB"/>
    <w:rsid w:val="00964705"/>
    <w:rsid w:val="00964948"/>
    <w:rsid w:val="009649CD"/>
    <w:rsid w:val="00964CBA"/>
    <w:rsid w:val="00964DD9"/>
    <w:rsid w:val="00964EBE"/>
    <w:rsid w:val="009650DF"/>
    <w:rsid w:val="0096520C"/>
    <w:rsid w:val="00965217"/>
    <w:rsid w:val="00965226"/>
    <w:rsid w:val="0096526C"/>
    <w:rsid w:val="00965458"/>
    <w:rsid w:val="00965504"/>
    <w:rsid w:val="00965575"/>
    <w:rsid w:val="00965617"/>
    <w:rsid w:val="00965684"/>
    <w:rsid w:val="009657F5"/>
    <w:rsid w:val="00965A93"/>
    <w:rsid w:val="009660A7"/>
    <w:rsid w:val="009661B8"/>
    <w:rsid w:val="00966465"/>
    <w:rsid w:val="0096649B"/>
    <w:rsid w:val="009665AF"/>
    <w:rsid w:val="0096669D"/>
    <w:rsid w:val="009667C5"/>
    <w:rsid w:val="00966C9C"/>
    <w:rsid w:val="00966D04"/>
    <w:rsid w:val="00966DCC"/>
    <w:rsid w:val="00966E41"/>
    <w:rsid w:val="00967356"/>
    <w:rsid w:val="009673DB"/>
    <w:rsid w:val="00967A0D"/>
    <w:rsid w:val="00967B07"/>
    <w:rsid w:val="00967C04"/>
    <w:rsid w:val="00967C42"/>
    <w:rsid w:val="00967E13"/>
    <w:rsid w:val="00967E1E"/>
    <w:rsid w:val="00967E95"/>
    <w:rsid w:val="00967F19"/>
    <w:rsid w:val="00967F51"/>
    <w:rsid w:val="00967FD4"/>
    <w:rsid w:val="009700D3"/>
    <w:rsid w:val="00970183"/>
    <w:rsid w:val="009702C6"/>
    <w:rsid w:val="00970311"/>
    <w:rsid w:val="00970333"/>
    <w:rsid w:val="009704FB"/>
    <w:rsid w:val="00970517"/>
    <w:rsid w:val="00970571"/>
    <w:rsid w:val="00970668"/>
    <w:rsid w:val="009707AD"/>
    <w:rsid w:val="00970BB5"/>
    <w:rsid w:val="00970D68"/>
    <w:rsid w:val="00970EDE"/>
    <w:rsid w:val="009710E9"/>
    <w:rsid w:val="00971126"/>
    <w:rsid w:val="0097118C"/>
    <w:rsid w:val="0097137E"/>
    <w:rsid w:val="00971496"/>
    <w:rsid w:val="00971810"/>
    <w:rsid w:val="009719B4"/>
    <w:rsid w:val="009719F2"/>
    <w:rsid w:val="00971AC2"/>
    <w:rsid w:val="00971C95"/>
    <w:rsid w:val="00972091"/>
    <w:rsid w:val="009720BC"/>
    <w:rsid w:val="0097217D"/>
    <w:rsid w:val="0097217E"/>
    <w:rsid w:val="00972237"/>
    <w:rsid w:val="00972536"/>
    <w:rsid w:val="0097280A"/>
    <w:rsid w:val="009729DE"/>
    <w:rsid w:val="00972D62"/>
    <w:rsid w:val="00972F16"/>
    <w:rsid w:val="00972F81"/>
    <w:rsid w:val="00972F8E"/>
    <w:rsid w:val="0097307B"/>
    <w:rsid w:val="009730CE"/>
    <w:rsid w:val="00973187"/>
    <w:rsid w:val="009732D0"/>
    <w:rsid w:val="009732D8"/>
    <w:rsid w:val="0097331E"/>
    <w:rsid w:val="00973364"/>
    <w:rsid w:val="009733B7"/>
    <w:rsid w:val="009733BD"/>
    <w:rsid w:val="00973679"/>
    <w:rsid w:val="00973908"/>
    <w:rsid w:val="00973C2C"/>
    <w:rsid w:val="00973D15"/>
    <w:rsid w:val="00973DE8"/>
    <w:rsid w:val="00973E00"/>
    <w:rsid w:val="00973EF8"/>
    <w:rsid w:val="00973FAC"/>
    <w:rsid w:val="009741F5"/>
    <w:rsid w:val="00974387"/>
    <w:rsid w:val="009743C0"/>
    <w:rsid w:val="009745A3"/>
    <w:rsid w:val="00974677"/>
    <w:rsid w:val="009746E6"/>
    <w:rsid w:val="009746EE"/>
    <w:rsid w:val="009747A8"/>
    <w:rsid w:val="00974866"/>
    <w:rsid w:val="009748FE"/>
    <w:rsid w:val="00974949"/>
    <w:rsid w:val="00974B3F"/>
    <w:rsid w:val="00974CED"/>
    <w:rsid w:val="00974D43"/>
    <w:rsid w:val="0097526B"/>
    <w:rsid w:val="009752BE"/>
    <w:rsid w:val="00975341"/>
    <w:rsid w:val="009754D9"/>
    <w:rsid w:val="009757EA"/>
    <w:rsid w:val="00975829"/>
    <w:rsid w:val="0097592D"/>
    <w:rsid w:val="009759C6"/>
    <w:rsid w:val="009759E9"/>
    <w:rsid w:val="0097601D"/>
    <w:rsid w:val="00976115"/>
    <w:rsid w:val="0097611D"/>
    <w:rsid w:val="00976267"/>
    <w:rsid w:val="00976853"/>
    <w:rsid w:val="00976896"/>
    <w:rsid w:val="00976AAF"/>
    <w:rsid w:val="00976C0C"/>
    <w:rsid w:val="00976C8C"/>
    <w:rsid w:val="00976E14"/>
    <w:rsid w:val="00976F3D"/>
    <w:rsid w:val="0097709F"/>
    <w:rsid w:val="009770AD"/>
    <w:rsid w:val="009770D2"/>
    <w:rsid w:val="00977205"/>
    <w:rsid w:val="00977266"/>
    <w:rsid w:val="00977368"/>
    <w:rsid w:val="009774AD"/>
    <w:rsid w:val="009774CE"/>
    <w:rsid w:val="009774F3"/>
    <w:rsid w:val="009775FF"/>
    <w:rsid w:val="00977C46"/>
    <w:rsid w:val="00977C5B"/>
    <w:rsid w:val="00977D9B"/>
    <w:rsid w:val="00977E38"/>
    <w:rsid w:val="00980220"/>
    <w:rsid w:val="009802AF"/>
    <w:rsid w:val="00980358"/>
    <w:rsid w:val="009803BE"/>
    <w:rsid w:val="0098067F"/>
    <w:rsid w:val="009807FF"/>
    <w:rsid w:val="00980875"/>
    <w:rsid w:val="00980908"/>
    <w:rsid w:val="0098092C"/>
    <w:rsid w:val="00980A2F"/>
    <w:rsid w:val="00980B71"/>
    <w:rsid w:val="00980EE2"/>
    <w:rsid w:val="00981173"/>
    <w:rsid w:val="00981242"/>
    <w:rsid w:val="009813A4"/>
    <w:rsid w:val="009814F6"/>
    <w:rsid w:val="009815ED"/>
    <w:rsid w:val="009816CC"/>
    <w:rsid w:val="00981A7F"/>
    <w:rsid w:val="00981C9A"/>
    <w:rsid w:val="00982084"/>
    <w:rsid w:val="00982101"/>
    <w:rsid w:val="00982124"/>
    <w:rsid w:val="00982246"/>
    <w:rsid w:val="009822AF"/>
    <w:rsid w:val="00982444"/>
    <w:rsid w:val="009825E2"/>
    <w:rsid w:val="00982AEB"/>
    <w:rsid w:val="00982B66"/>
    <w:rsid w:val="00982BA4"/>
    <w:rsid w:val="00982BC7"/>
    <w:rsid w:val="00982D9A"/>
    <w:rsid w:val="00982DA0"/>
    <w:rsid w:val="00982E3F"/>
    <w:rsid w:val="00982EE0"/>
    <w:rsid w:val="0098304F"/>
    <w:rsid w:val="00983248"/>
    <w:rsid w:val="00983349"/>
    <w:rsid w:val="00983406"/>
    <w:rsid w:val="00983640"/>
    <w:rsid w:val="009839B8"/>
    <w:rsid w:val="009839F6"/>
    <w:rsid w:val="00983AAA"/>
    <w:rsid w:val="009840A1"/>
    <w:rsid w:val="0098412D"/>
    <w:rsid w:val="0098412F"/>
    <w:rsid w:val="0098418C"/>
    <w:rsid w:val="00984325"/>
    <w:rsid w:val="00984521"/>
    <w:rsid w:val="00984909"/>
    <w:rsid w:val="00984956"/>
    <w:rsid w:val="0098497F"/>
    <w:rsid w:val="00984B92"/>
    <w:rsid w:val="00984BEE"/>
    <w:rsid w:val="00984C94"/>
    <w:rsid w:val="00984F93"/>
    <w:rsid w:val="0098513A"/>
    <w:rsid w:val="0098519D"/>
    <w:rsid w:val="009858E8"/>
    <w:rsid w:val="00985990"/>
    <w:rsid w:val="00985AB4"/>
    <w:rsid w:val="00985AD6"/>
    <w:rsid w:val="00985AF9"/>
    <w:rsid w:val="00985B19"/>
    <w:rsid w:val="00985B25"/>
    <w:rsid w:val="00985B7F"/>
    <w:rsid w:val="00985BF9"/>
    <w:rsid w:val="00985FB5"/>
    <w:rsid w:val="009863B8"/>
    <w:rsid w:val="0098651B"/>
    <w:rsid w:val="0098654C"/>
    <w:rsid w:val="009865C4"/>
    <w:rsid w:val="009865D0"/>
    <w:rsid w:val="0098677F"/>
    <w:rsid w:val="00986795"/>
    <w:rsid w:val="00986805"/>
    <w:rsid w:val="009868CE"/>
    <w:rsid w:val="009868EB"/>
    <w:rsid w:val="009868F6"/>
    <w:rsid w:val="00986AF0"/>
    <w:rsid w:val="00986B41"/>
    <w:rsid w:val="00986B51"/>
    <w:rsid w:val="00986B5C"/>
    <w:rsid w:val="00986D37"/>
    <w:rsid w:val="00986EA9"/>
    <w:rsid w:val="00986FCB"/>
    <w:rsid w:val="0098700C"/>
    <w:rsid w:val="00987037"/>
    <w:rsid w:val="00987074"/>
    <w:rsid w:val="009871F8"/>
    <w:rsid w:val="00987532"/>
    <w:rsid w:val="00987570"/>
    <w:rsid w:val="00987596"/>
    <w:rsid w:val="009875A0"/>
    <w:rsid w:val="009876A7"/>
    <w:rsid w:val="009876FB"/>
    <w:rsid w:val="009877AF"/>
    <w:rsid w:val="009877F0"/>
    <w:rsid w:val="009879C4"/>
    <w:rsid w:val="00987CF2"/>
    <w:rsid w:val="009900CF"/>
    <w:rsid w:val="0099010D"/>
    <w:rsid w:val="009901F9"/>
    <w:rsid w:val="00990207"/>
    <w:rsid w:val="009904B7"/>
    <w:rsid w:val="00990536"/>
    <w:rsid w:val="009905F8"/>
    <w:rsid w:val="009905FF"/>
    <w:rsid w:val="00990684"/>
    <w:rsid w:val="00990751"/>
    <w:rsid w:val="0099081F"/>
    <w:rsid w:val="009908CD"/>
    <w:rsid w:val="00990AA0"/>
    <w:rsid w:val="00990B08"/>
    <w:rsid w:val="00990BD4"/>
    <w:rsid w:val="00990C54"/>
    <w:rsid w:val="00991485"/>
    <w:rsid w:val="009914C4"/>
    <w:rsid w:val="00991721"/>
    <w:rsid w:val="00991787"/>
    <w:rsid w:val="009919AF"/>
    <w:rsid w:val="009919F3"/>
    <w:rsid w:val="00991A0D"/>
    <w:rsid w:val="00991B05"/>
    <w:rsid w:val="00991B74"/>
    <w:rsid w:val="00991C33"/>
    <w:rsid w:val="00991CE4"/>
    <w:rsid w:val="00991EA7"/>
    <w:rsid w:val="00992190"/>
    <w:rsid w:val="009922C4"/>
    <w:rsid w:val="00992511"/>
    <w:rsid w:val="0099256F"/>
    <w:rsid w:val="009927AB"/>
    <w:rsid w:val="00992BEF"/>
    <w:rsid w:val="00992EE5"/>
    <w:rsid w:val="00992F54"/>
    <w:rsid w:val="0099301C"/>
    <w:rsid w:val="0099308D"/>
    <w:rsid w:val="00993214"/>
    <w:rsid w:val="00993290"/>
    <w:rsid w:val="00993369"/>
    <w:rsid w:val="00993452"/>
    <w:rsid w:val="0099346D"/>
    <w:rsid w:val="00993558"/>
    <w:rsid w:val="009935D9"/>
    <w:rsid w:val="00993704"/>
    <w:rsid w:val="00993808"/>
    <w:rsid w:val="0099384A"/>
    <w:rsid w:val="00993994"/>
    <w:rsid w:val="00993ABC"/>
    <w:rsid w:val="00993BD7"/>
    <w:rsid w:val="00993D1A"/>
    <w:rsid w:val="00993DB7"/>
    <w:rsid w:val="0099407D"/>
    <w:rsid w:val="009940BC"/>
    <w:rsid w:val="00994220"/>
    <w:rsid w:val="0099441B"/>
    <w:rsid w:val="00994475"/>
    <w:rsid w:val="009944E1"/>
    <w:rsid w:val="00994578"/>
    <w:rsid w:val="009945B8"/>
    <w:rsid w:val="009946B8"/>
    <w:rsid w:val="009946CA"/>
    <w:rsid w:val="00994704"/>
    <w:rsid w:val="00994738"/>
    <w:rsid w:val="009949C1"/>
    <w:rsid w:val="00994B9B"/>
    <w:rsid w:val="00994C0E"/>
    <w:rsid w:val="00994C16"/>
    <w:rsid w:val="00994C81"/>
    <w:rsid w:val="00994DBF"/>
    <w:rsid w:val="00994DD9"/>
    <w:rsid w:val="00994E66"/>
    <w:rsid w:val="00994EC8"/>
    <w:rsid w:val="00994FB4"/>
    <w:rsid w:val="00995055"/>
    <w:rsid w:val="009951F5"/>
    <w:rsid w:val="0099523D"/>
    <w:rsid w:val="009952E9"/>
    <w:rsid w:val="00995539"/>
    <w:rsid w:val="00995606"/>
    <w:rsid w:val="0099566A"/>
    <w:rsid w:val="009956BE"/>
    <w:rsid w:val="0099577D"/>
    <w:rsid w:val="00995806"/>
    <w:rsid w:val="00995871"/>
    <w:rsid w:val="00995A4C"/>
    <w:rsid w:val="00995CDE"/>
    <w:rsid w:val="00995E50"/>
    <w:rsid w:val="00995E9C"/>
    <w:rsid w:val="00995EA8"/>
    <w:rsid w:val="00995F34"/>
    <w:rsid w:val="00995FBC"/>
    <w:rsid w:val="009961D5"/>
    <w:rsid w:val="00996328"/>
    <w:rsid w:val="009963B2"/>
    <w:rsid w:val="00996514"/>
    <w:rsid w:val="0099668D"/>
    <w:rsid w:val="009967C0"/>
    <w:rsid w:val="00996894"/>
    <w:rsid w:val="00996D71"/>
    <w:rsid w:val="00996DE0"/>
    <w:rsid w:val="00996EF0"/>
    <w:rsid w:val="00996FCD"/>
    <w:rsid w:val="00997175"/>
    <w:rsid w:val="0099734A"/>
    <w:rsid w:val="00997493"/>
    <w:rsid w:val="0099756B"/>
    <w:rsid w:val="009976DF"/>
    <w:rsid w:val="009978F1"/>
    <w:rsid w:val="00997AFB"/>
    <w:rsid w:val="00997E76"/>
    <w:rsid w:val="00997EA2"/>
    <w:rsid w:val="00997F75"/>
    <w:rsid w:val="009A006A"/>
    <w:rsid w:val="009A019F"/>
    <w:rsid w:val="009A02EB"/>
    <w:rsid w:val="009A04D6"/>
    <w:rsid w:val="009A0515"/>
    <w:rsid w:val="009A0773"/>
    <w:rsid w:val="009A07DE"/>
    <w:rsid w:val="009A084D"/>
    <w:rsid w:val="009A09DD"/>
    <w:rsid w:val="009A0A1A"/>
    <w:rsid w:val="009A0A47"/>
    <w:rsid w:val="009A0AA5"/>
    <w:rsid w:val="009A0C04"/>
    <w:rsid w:val="009A0C9A"/>
    <w:rsid w:val="009A100D"/>
    <w:rsid w:val="009A1304"/>
    <w:rsid w:val="009A145F"/>
    <w:rsid w:val="009A15FB"/>
    <w:rsid w:val="009A1835"/>
    <w:rsid w:val="009A19DA"/>
    <w:rsid w:val="009A1AE3"/>
    <w:rsid w:val="009A1C36"/>
    <w:rsid w:val="009A1F9C"/>
    <w:rsid w:val="009A2028"/>
    <w:rsid w:val="009A23C2"/>
    <w:rsid w:val="009A24F9"/>
    <w:rsid w:val="009A2823"/>
    <w:rsid w:val="009A29A4"/>
    <w:rsid w:val="009A2C7F"/>
    <w:rsid w:val="009A2CB0"/>
    <w:rsid w:val="009A2D04"/>
    <w:rsid w:val="009A2D40"/>
    <w:rsid w:val="009A2D56"/>
    <w:rsid w:val="009A2EFE"/>
    <w:rsid w:val="009A2F17"/>
    <w:rsid w:val="009A2FEB"/>
    <w:rsid w:val="009A313A"/>
    <w:rsid w:val="009A323B"/>
    <w:rsid w:val="009A329C"/>
    <w:rsid w:val="009A32B2"/>
    <w:rsid w:val="009A3392"/>
    <w:rsid w:val="009A3394"/>
    <w:rsid w:val="009A35D5"/>
    <w:rsid w:val="009A36DC"/>
    <w:rsid w:val="009A377D"/>
    <w:rsid w:val="009A3BD0"/>
    <w:rsid w:val="009A3C69"/>
    <w:rsid w:val="009A3DC7"/>
    <w:rsid w:val="009A3F6C"/>
    <w:rsid w:val="009A40BE"/>
    <w:rsid w:val="009A44E1"/>
    <w:rsid w:val="009A45E6"/>
    <w:rsid w:val="009A45EF"/>
    <w:rsid w:val="009A4697"/>
    <w:rsid w:val="009A482F"/>
    <w:rsid w:val="009A487B"/>
    <w:rsid w:val="009A49BB"/>
    <w:rsid w:val="009A4CD7"/>
    <w:rsid w:val="009A5002"/>
    <w:rsid w:val="009A555D"/>
    <w:rsid w:val="009A5781"/>
    <w:rsid w:val="009A5923"/>
    <w:rsid w:val="009A59A9"/>
    <w:rsid w:val="009A5AA8"/>
    <w:rsid w:val="009A5BCD"/>
    <w:rsid w:val="009A5E66"/>
    <w:rsid w:val="009A6046"/>
    <w:rsid w:val="009A625C"/>
    <w:rsid w:val="009A62BC"/>
    <w:rsid w:val="009A6314"/>
    <w:rsid w:val="009A631D"/>
    <w:rsid w:val="009A64B5"/>
    <w:rsid w:val="009A66BC"/>
    <w:rsid w:val="009A66D6"/>
    <w:rsid w:val="009A66E4"/>
    <w:rsid w:val="009A6899"/>
    <w:rsid w:val="009A6939"/>
    <w:rsid w:val="009A69AF"/>
    <w:rsid w:val="009A6A34"/>
    <w:rsid w:val="009A6BE1"/>
    <w:rsid w:val="009A6C32"/>
    <w:rsid w:val="009A6C38"/>
    <w:rsid w:val="009A6C66"/>
    <w:rsid w:val="009A6F1E"/>
    <w:rsid w:val="009A6F46"/>
    <w:rsid w:val="009A7053"/>
    <w:rsid w:val="009A71D3"/>
    <w:rsid w:val="009A7262"/>
    <w:rsid w:val="009A733D"/>
    <w:rsid w:val="009A73C7"/>
    <w:rsid w:val="009A751A"/>
    <w:rsid w:val="009A7593"/>
    <w:rsid w:val="009A7759"/>
    <w:rsid w:val="009A779E"/>
    <w:rsid w:val="009A7875"/>
    <w:rsid w:val="009A7936"/>
    <w:rsid w:val="009A7A1F"/>
    <w:rsid w:val="009A7B59"/>
    <w:rsid w:val="009A7B9F"/>
    <w:rsid w:val="009A7DAF"/>
    <w:rsid w:val="009B01E7"/>
    <w:rsid w:val="009B0214"/>
    <w:rsid w:val="009B04BC"/>
    <w:rsid w:val="009B0579"/>
    <w:rsid w:val="009B05A0"/>
    <w:rsid w:val="009B05D1"/>
    <w:rsid w:val="009B079D"/>
    <w:rsid w:val="009B08BD"/>
    <w:rsid w:val="009B08E2"/>
    <w:rsid w:val="009B09D1"/>
    <w:rsid w:val="009B0B68"/>
    <w:rsid w:val="009B0C4A"/>
    <w:rsid w:val="009B0E28"/>
    <w:rsid w:val="009B11F0"/>
    <w:rsid w:val="009B1254"/>
    <w:rsid w:val="009B12A4"/>
    <w:rsid w:val="009B136F"/>
    <w:rsid w:val="009B146B"/>
    <w:rsid w:val="009B147B"/>
    <w:rsid w:val="009B1561"/>
    <w:rsid w:val="009B162B"/>
    <w:rsid w:val="009B179B"/>
    <w:rsid w:val="009B17F3"/>
    <w:rsid w:val="009B1806"/>
    <w:rsid w:val="009B185E"/>
    <w:rsid w:val="009B18BE"/>
    <w:rsid w:val="009B1A0A"/>
    <w:rsid w:val="009B1DFD"/>
    <w:rsid w:val="009B1E3A"/>
    <w:rsid w:val="009B1F35"/>
    <w:rsid w:val="009B1FB9"/>
    <w:rsid w:val="009B21A1"/>
    <w:rsid w:val="009B21CC"/>
    <w:rsid w:val="009B2244"/>
    <w:rsid w:val="009B22C5"/>
    <w:rsid w:val="009B2588"/>
    <w:rsid w:val="009B26DD"/>
    <w:rsid w:val="009B2822"/>
    <w:rsid w:val="009B29B7"/>
    <w:rsid w:val="009B29F5"/>
    <w:rsid w:val="009B2CC0"/>
    <w:rsid w:val="009B2CED"/>
    <w:rsid w:val="009B316C"/>
    <w:rsid w:val="009B3233"/>
    <w:rsid w:val="009B3472"/>
    <w:rsid w:val="009B3727"/>
    <w:rsid w:val="009B3728"/>
    <w:rsid w:val="009B376A"/>
    <w:rsid w:val="009B37AC"/>
    <w:rsid w:val="009B37B6"/>
    <w:rsid w:val="009B37F1"/>
    <w:rsid w:val="009B3820"/>
    <w:rsid w:val="009B3907"/>
    <w:rsid w:val="009B3ACC"/>
    <w:rsid w:val="009B3BF0"/>
    <w:rsid w:val="009B4010"/>
    <w:rsid w:val="009B4058"/>
    <w:rsid w:val="009B4133"/>
    <w:rsid w:val="009B42D1"/>
    <w:rsid w:val="009B449B"/>
    <w:rsid w:val="009B4AB1"/>
    <w:rsid w:val="009B4CFF"/>
    <w:rsid w:val="009B4F1C"/>
    <w:rsid w:val="009B5141"/>
    <w:rsid w:val="009B51F9"/>
    <w:rsid w:val="009B5367"/>
    <w:rsid w:val="009B5470"/>
    <w:rsid w:val="009B5486"/>
    <w:rsid w:val="009B55A1"/>
    <w:rsid w:val="009B55DA"/>
    <w:rsid w:val="009B5679"/>
    <w:rsid w:val="009B572B"/>
    <w:rsid w:val="009B573F"/>
    <w:rsid w:val="009B59A9"/>
    <w:rsid w:val="009B5A36"/>
    <w:rsid w:val="009B5A9D"/>
    <w:rsid w:val="009B5AF3"/>
    <w:rsid w:val="009B5C20"/>
    <w:rsid w:val="009B60EE"/>
    <w:rsid w:val="009B6322"/>
    <w:rsid w:val="009B6329"/>
    <w:rsid w:val="009B640F"/>
    <w:rsid w:val="009B6424"/>
    <w:rsid w:val="009B64E3"/>
    <w:rsid w:val="009B67D2"/>
    <w:rsid w:val="009B6E11"/>
    <w:rsid w:val="009B6E41"/>
    <w:rsid w:val="009B6E43"/>
    <w:rsid w:val="009B6F2D"/>
    <w:rsid w:val="009B706C"/>
    <w:rsid w:val="009B7363"/>
    <w:rsid w:val="009B74F1"/>
    <w:rsid w:val="009B753A"/>
    <w:rsid w:val="009B7556"/>
    <w:rsid w:val="009B75C0"/>
    <w:rsid w:val="009B7679"/>
    <w:rsid w:val="009B769E"/>
    <w:rsid w:val="009B7735"/>
    <w:rsid w:val="009B77C2"/>
    <w:rsid w:val="009B7957"/>
    <w:rsid w:val="009B7A49"/>
    <w:rsid w:val="009B7A90"/>
    <w:rsid w:val="009B7A9E"/>
    <w:rsid w:val="009C00A8"/>
    <w:rsid w:val="009C0131"/>
    <w:rsid w:val="009C03E9"/>
    <w:rsid w:val="009C0635"/>
    <w:rsid w:val="009C06EF"/>
    <w:rsid w:val="009C0715"/>
    <w:rsid w:val="009C0725"/>
    <w:rsid w:val="009C07CA"/>
    <w:rsid w:val="009C0840"/>
    <w:rsid w:val="009C0935"/>
    <w:rsid w:val="009C0A48"/>
    <w:rsid w:val="009C1021"/>
    <w:rsid w:val="009C105B"/>
    <w:rsid w:val="009C10B4"/>
    <w:rsid w:val="009C10CA"/>
    <w:rsid w:val="009C1122"/>
    <w:rsid w:val="009C113D"/>
    <w:rsid w:val="009C12C6"/>
    <w:rsid w:val="009C137F"/>
    <w:rsid w:val="009C13D7"/>
    <w:rsid w:val="009C143B"/>
    <w:rsid w:val="009C1491"/>
    <w:rsid w:val="009C16F4"/>
    <w:rsid w:val="009C184D"/>
    <w:rsid w:val="009C1968"/>
    <w:rsid w:val="009C19DA"/>
    <w:rsid w:val="009C1CF1"/>
    <w:rsid w:val="009C1D17"/>
    <w:rsid w:val="009C1DAA"/>
    <w:rsid w:val="009C1E01"/>
    <w:rsid w:val="009C1E1C"/>
    <w:rsid w:val="009C1EB3"/>
    <w:rsid w:val="009C1FF6"/>
    <w:rsid w:val="009C22D4"/>
    <w:rsid w:val="009C244F"/>
    <w:rsid w:val="009C2469"/>
    <w:rsid w:val="009C2AAA"/>
    <w:rsid w:val="009C2AAE"/>
    <w:rsid w:val="009C2B84"/>
    <w:rsid w:val="009C3242"/>
    <w:rsid w:val="009C3293"/>
    <w:rsid w:val="009C32A6"/>
    <w:rsid w:val="009C3566"/>
    <w:rsid w:val="009C35B8"/>
    <w:rsid w:val="009C3632"/>
    <w:rsid w:val="009C3649"/>
    <w:rsid w:val="009C3BF6"/>
    <w:rsid w:val="009C3CE9"/>
    <w:rsid w:val="009C3DAE"/>
    <w:rsid w:val="009C3DC4"/>
    <w:rsid w:val="009C3F54"/>
    <w:rsid w:val="009C4097"/>
    <w:rsid w:val="009C4230"/>
    <w:rsid w:val="009C4266"/>
    <w:rsid w:val="009C429E"/>
    <w:rsid w:val="009C42BF"/>
    <w:rsid w:val="009C42D1"/>
    <w:rsid w:val="009C42E7"/>
    <w:rsid w:val="009C46BA"/>
    <w:rsid w:val="009C4911"/>
    <w:rsid w:val="009C4B3F"/>
    <w:rsid w:val="009C4B78"/>
    <w:rsid w:val="009C4C14"/>
    <w:rsid w:val="009C4E28"/>
    <w:rsid w:val="009C4F15"/>
    <w:rsid w:val="009C5120"/>
    <w:rsid w:val="009C5251"/>
    <w:rsid w:val="009C5305"/>
    <w:rsid w:val="009C5319"/>
    <w:rsid w:val="009C53C1"/>
    <w:rsid w:val="009C5432"/>
    <w:rsid w:val="009C5469"/>
    <w:rsid w:val="009C5A1E"/>
    <w:rsid w:val="009C5C4F"/>
    <w:rsid w:val="009C5D20"/>
    <w:rsid w:val="009C5D47"/>
    <w:rsid w:val="009C5D71"/>
    <w:rsid w:val="009C5F6B"/>
    <w:rsid w:val="009C6162"/>
    <w:rsid w:val="009C62B1"/>
    <w:rsid w:val="009C62CB"/>
    <w:rsid w:val="009C6495"/>
    <w:rsid w:val="009C6E34"/>
    <w:rsid w:val="009C700D"/>
    <w:rsid w:val="009C72B4"/>
    <w:rsid w:val="009C7679"/>
    <w:rsid w:val="009C7755"/>
    <w:rsid w:val="009C79CA"/>
    <w:rsid w:val="009C7A5C"/>
    <w:rsid w:val="009C7B61"/>
    <w:rsid w:val="009C7DDC"/>
    <w:rsid w:val="009C7E00"/>
    <w:rsid w:val="009D00A0"/>
    <w:rsid w:val="009D0347"/>
    <w:rsid w:val="009D0735"/>
    <w:rsid w:val="009D0803"/>
    <w:rsid w:val="009D08B2"/>
    <w:rsid w:val="009D09B4"/>
    <w:rsid w:val="009D0AF3"/>
    <w:rsid w:val="009D0BCE"/>
    <w:rsid w:val="009D0DE7"/>
    <w:rsid w:val="009D11C8"/>
    <w:rsid w:val="009D129A"/>
    <w:rsid w:val="009D1428"/>
    <w:rsid w:val="009D1509"/>
    <w:rsid w:val="009D15E4"/>
    <w:rsid w:val="009D1627"/>
    <w:rsid w:val="009D183E"/>
    <w:rsid w:val="009D192D"/>
    <w:rsid w:val="009D1B35"/>
    <w:rsid w:val="009D1DEA"/>
    <w:rsid w:val="009D1ED1"/>
    <w:rsid w:val="009D22B9"/>
    <w:rsid w:val="009D2333"/>
    <w:rsid w:val="009D24B7"/>
    <w:rsid w:val="009D24F5"/>
    <w:rsid w:val="009D26E9"/>
    <w:rsid w:val="009D28B8"/>
    <w:rsid w:val="009D296B"/>
    <w:rsid w:val="009D2B6D"/>
    <w:rsid w:val="009D2CB1"/>
    <w:rsid w:val="009D2D5C"/>
    <w:rsid w:val="009D2E8C"/>
    <w:rsid w:val="009D2EE5"/>
    <w:rsid w:val="009D2F51"/>
    <w:rsid w:val="009D2FBF"/>
    <w:rsid w:val="009D333F"/>
    <w:rsid w:val="009D3648"/>
    <w:rsid w:val="009D3B34"/>
    <w:rsid w:val="009D3BA6"/>
    <w:rsid w:val="009D3C17"/>
    <w:rsid w:val="009D3DA9"/>
    <w:rsid w:val="009D418B"/>
    <w:rsid w:val="009D41E6"/>
    <w:rsid w:val="009D4219"/>
    <w:rsid w:val="009D44D8"/>
    <w:rsid w:val="009D4626"/>
    <w:rsid w:val="009D47DA"/>
    <w:rsid w:val="009D4841"/>
    <w:rsid w:val="009D48BE"/>
    <w:rsid w:val="009D493A"/>
    <w:rsid w:val="009D4A12"/>
    <w:rsid w:val="009D4A55"/>
    <w:rsid w:val="009D4BEE"/>
    <w:rsid w:val="009D4ED0"/>
    <w:rsid w:val="009D4EED"/>
    <w:rsid w:val="009D500A"/>
    <w:rsid w:val="009D50F5"/>
    <w:rsid w:val="009D529F"/>
    <w:rsid w:val="009D5598"/>
    <w:rsid w:val="009D563D"/>
    <w:rsid w:val="009D5720"/>
    <w:rsid w:val="009D5752"/>
    <w:rsid w:val="009D5B4C"/>
    <w:rsid w:val="009D5BDE"/>
    <w:rsid w:val="009D6153"/>
    <w:rsid w:val="009D6314"/>
    <w:rsid w:val="009D63AE"/>
    <w:rsid w:val="009D6579"/>
    <w:rsid w:val="009D65D4"/>
    <w:rsid w:val="009D6779"/>
    <w:rsid w:val="009D6857"/>
    <w:rsid w:val="009D6883"/>
    <w:rsid w:val="009D6B64"/>
    <w:rsid w:val="009D6C2A"/>
    <w:rsid w:val="009D6C60"/>
    <w:rsid w:val="009D6D04"/>
    <w:rsid w:val="009D6D6F"/>
    <w:rsid w:val="009D6FAA"/>
    <w:rsid w:val="009D7253"/>
    <w:rsid w:val="009D737D"/>
    <w:rsid w:val="009D78D4"/>
    <w:rsid w:val="009D79B9"/>
    <w:rsid w:val="009D7C64"/>
    <w:rsid w:val="009D7D1D"/>
    <w:rsid w:val="009D7DDA"/>
    <w:rsid w:val="009E011C"/>
    <w:rsid w:val="009E01FC"/>
    <w:rsid w:val="009E042C"/>
    <w:rsid w:val="009E04F3"/>
    <w:rsid w:val="009E06C9"/>
    <w:rsid w:val="009E0807"/>
    <w:rsid w:val="009E0A3E"/>
    <w:rsid w:val="009E0C51"/>
    <w:rsid w:val="009E0CC2"/>
    <w:rsid w:val="009E0DB6"/>
    <w:rsid w:val="009E0E09"/>
    <w:rsid w:val="009E0F46"/>
    <w:rsid w:val="009E11FA"/>
    <w:rsid w:val="009E133E"/>
    <w:rsid w:val="009E1514"/>
    <w:rsid w:val="009E16F4"/>
    <w:rsid w:val="009E176A"/>
    <w:rsid w:val="009E17DD"/>
    <w:rsid w:val="009E1840"/>
    <w:rsid w:val="009E1BCA"/>
    <w:rsid w:val="009E1C5C"/>
    <w:rsid w:val="009E1F1B"/>
    <w:rsid w:val="009E1F47"/>
    <w:rsid w:val="009E2089"/>
    <w:rsid w:val="009E24E3"/>
    <w:rsid w:val="009E251D"/>
    <w:rsid w:val="009E2734"/>
    <w:rsid w:val="009E2812"/>
    <w:rsid w:val="009E2A61"/>
    <w:rsid w:val="009E30D3"/>
    <w:rsid w:val="009E31EA"/>
    <w:rsid w:val="009E322D"/>
    <w:rsid w:val="009E348F"/>
    <w:rsid w:val="009E34F4"/>
    <w:rsid w:val="009E38EB"/>
    <w:rsid w:val="009E3964"/>
    <w:rsid w:val="009E3A4D"/>
    <w:rsid w:val="009E3B41"/>
    <w:rsid w:val="009E3B4C"/>
    <w:rsid w:val="009E3BBB"/>
    <w:rsid w:val="009E3C05"/>
    <w:rsid w:val="009E3C10"/>
    <w:rsid w:val="009E3D39"/>
    <w:rsid w:val="009E3DB2"/>
    <w:rsid w:val="009E3F12"/>
    <w:rsid w:val="009E3FEF"/>
    <w:rsid w:val="009E40FB"/>
    <w:rsid w:val="009E4359"/>
    <w:rsid w:val="009E440E"/>
    <w:rsid w:val="009E443E"/>
    <w:rsid w:val="009E4A37"/>
    <w:rsid w:val="009E4DC5"/>
    <w:rsid w:val="009E4E97"/>
    <w:rsid w:val="009E4F25"/>
    <w:rsid w:val="009E50E5"/>
    <w:rsid w:val="009E5113"/>
    <w:rsid w:val="009E5288"/>
    <w:rsid w:val="009E53B0"/>
    <w:rsid w:val="009E53D6"/>
    <w:rsid w:val="009E56AD"/>
    <w:rsid w:val="009E56EA"/>
    <w:rsid w:val="009E5888"/>
    <w:rsid w:val="009E5977"/>
    <w:rsid w:val="009E5DD7"/>
    <w:rsid w:val="009E5EA0"/>
    <w:rsid w:val="009E6056"/>
    <w:rsid w:val="009E60C9"/>
    <w:rsid w:val="009E6810"/>
    <w:rsid w:val="009E6C91"/>
    <w:rsid w:val="009E6EA8"/>
    <w:rsid w:val="009E6F94"/>
    <w:rsid w:val="009E7000"/>
    <w:rsid w:val="009E7018"/>
    <w:rsid w:val="009E705C"/>
    <w:rsid w:val="009E7094"/>
    <w:rsid w:val="009E70A3"/>
    <w:rsid w:val="009E71E2"/>
    <w:rsid w:val="009E7226"/>
    <w:rsid w:val="009E722F"/>
    <w:rsid w:val="009E7306"/>
    <w:rsid w:val="009E7327"/>
    <w:rsid w:val="009E76BF"/>
    <w:rsid w:val="009E7756"/>
    <w:rsid w:val="009E78CE"/>
    <w:rsid w:val="009E7B52"/>
    <w:rsid w:val="009E7B9F"/>
    <w:rsid w:val="009F026F"/>
    <w:rsid w:val="009F06D0"/>
    <w:rsid w:val="009F07B4"/>
    <w:rsid w:val="009F0880"/>
    <w:rsid w:val="009F094C"/>
    <w:rsid w:val="009F0BE0"/>
    <w:rsid w:val="009F0CAB"/>
    <w:rsid w:val="009F0CD2"/>
    <w:rsid w:val="009F0D22"/>
    <w:rsid w:val="009F0DF9"/>
    <w:rsid w:val="009F0EC9"/>
    <w:rsid w:val="009F1035"/>
    <w:rsid w:val="009F11BB"/>
    <w:rsid w:val="009F11F7"/>
    <w:rsid w:val="009F1296"/>
    <w:rsid w:val="009F12D4"/>
    <w:rsid w:val="009F131E"/>
    <w:rsid w:val="009F1404"/>
    <w:rsid w:val="009F1410"/>
    <w:rsid w:val="009F14FA"/>
    <w:rsid w:val="009F1590"/>
    <w:rsid w:val="009F15AF"/>
    <w:rsid w:val="009F176B"/>
    <w:rsid w:val="009F1774"/>
    <w:rsid w:val="009F17A2"/>
    <w:rsid w:val="009F18F9"/>
    <w:rsid w:val="009F19C5"/>
    <w:rsid w:val="009F1BC6"/>
    <w:rsid w:val="009F1D7C"/>
    <w:rsid w:val="009F1F3F"/>
    <w:rsid w:val="009F213F"/>
    <w:rsid w:val="009F2791"/>
    <w:rsid w:val="009F27AC"/>
    <w:rsid w:val="009F285F"/>
    <w:rsid w:val="009F2A29"/>
    <w:rsid w:val="009F2BC7"/>
    <w:rsid w:val="009F2BD8"/>
    <w:rsid w:val="009F2C26"/>
    <w:rsid w:val="009F2EE3"/>
    <w:rsid w:val="009F2FF3"/>
    <w:rsid w:val="009F31F0"/>
    <w:rsid w:val="009F32DF"/>
    <w:rsid w:val="009F34A0"/>
    <w:rsid w:val="009F3572"/>
    <w:rsid w:val="009F360C"/>
    <w:rsid w:val="009F3612"/>
    <w:rsid w:val="009F37B8"/>
    <w:rsid w:val="009F37FA"/>
    <w:rsid w:val="009F39BD"/>
    <w:rsid w:val="009F3AC9"/>
    <w:rsid w:val="009F3BDF"/>
    <w:rsid w:val="009F4180"/>
    <w:rsid w:val="009F422C"/>
    <w:rsid w:val="009F425C"/>
    <w:rsid w:val="009F43A8"/>
    <w:rsid w:val="009F43F5"/>
    <w:rsid w:val="009F441B"/>
    <w:rsid w:val="009F4425"/>
    <w:rsid w:val="009F44CD"/>
    <w:rsid w:val="009F468C"/>
    <w:rsid w:val="009F48B9"/>
    <w:rsid w:val="009F4A52"/>
    <w:rsid w:val="009F4B9C"/>
    <w:rsid w:val="009F4BE3"/>
    <w:rsid w:val="009F4D3E"/>
    <w:rsid w:val="009F4DC8"/>
    <w:rsid w:val="009F4E6B"/>
    <w:rsid w:val="009F4F38"/>
    <w:rsid w:val="009F4FF2"/>
    <w:rsid w:val="009F501F"/>
    <w:rsid w:val="009F50F2"/>
    <w:rsid w:val="009F5133"/>
    <w:rsid w:val="009F54DA"/>
    <w:rsid w:val="009F55CF"/>
    <w:rsid w:val="009F5798"/>
    <w:rsid w:val="009F5998"/>
    <w:rsid w:val="009F5E18"/>
    <w:rsid w:val="009F5E62"/>
    <w:rsid w:val="009F5F46"/>
    <w:rsid w:val="009F62C4"/>
    <w:rsid w:val="009F6460"/>
    <w:rsid w:val="009F65A5"/>
    <w:rsid w:val="009F65DC"/>
    <w:rsid w:val="009F6669"/>
    <w:rsid w:val="009F6699"/>
    <w:rsid w:val="009F682B"/>
    <w:rsid w:val="009F6835"/>
    <w:rsid w:val="009F6B33"/>
    <w:rsid w:val="009F6BCE"/>
    <w:rsid w:val="009F6C3D"/>
    <w:rsid w:val="009F6F5F"/>
    <w:rsid w:val="009F6FF8"/>
    <w:rsid w:val="009F72E2"/>
    <w:rsid w:val="009F7302"/>
    <w:rsid w:val="009F7322"/>
    <w:rsid w:val="009F778C"/>
    <w:rsid w:val="009F798E"/>
    <w:rsid w:val="009F7ABD"/>
    <w:rsid w:val="009F7DC6"/>
    <w:rsid w:val="009F7F58"/>
    <w:rsid w:val="00A00169"/>
    <w:rsid w:val="00A001C3"/>
    <w:rsid w:val="00A003A0"/>
    <w:rsid w:val="00A00520"/>
    <w:rsid w:val="00A00811"/>
    <w:rsid w:val="00A00AC7"/>
    <w:rsid w:val="00A00C9D"/>
    <w:rsid w:val="00A00CAC"/>
    <w:rsid w:val="00A00EB0"/>
    <w:rsid w:val="00A01025"/>
    <w:rsid w:val="00A01158"/>
    <w:rsid w:val="00A01231"/>
    <w:rsid w:val="00A012D9"/>
    <w:rsid w:val="00A0138D"/>
    <w:rsid w:val="00A013CC"/>
    <w:rsid w:val="00A0174F"/>
    <w:rsid w:val="00A0180D"/>
    <w:rsid w:val="00A018C1"/>
    <w:rsid w:val="00A01950"/>
    <w:rsid w:val="00A01A30"/>
    <w:rsid w:val="00A01AD2"/>
    <w:rsid w:val="00A01C11"/>
    <w:rsid w:val="00A01F46"/>
    <w:rsid w:val="00A01F8F"/>
    <w:rsid w:val="00A02068"/>
    <w:rsid w:val="00A02077"/>
    <w:rsid w:val="00A02158"/>
    <w:rsid w:val="00A024A8"/>
    <w:rsid w:val="00A024D1"/>
    <w:rsid w:val="00A024EB"/>
    <w:rsid w:val="00A02507"/>
    <w:rsid w:val="00A02552"/>
    <w:rsid w:val="00A025BC"/>
    <w:rsid w:val="00A026C3"/>
    <w:rsid w:val="00A027B4"/>
    <w:rsid w:val="00A028A7"/>
    <w:rsid w:val="00A028E9"/>
    <w:rsid w:val="00A029B0"/>
    <w:rsid w:val="00A02C8B"/>
    <w:rsid w:val="00A02D61"/>
    <w:rsid w:val="00A02DB9"/>
    <w:rsid w:val="00A03006"/>
    <w:rsid w:val="00A030FB"/>
    <w:rsid w:val="00A03170"/>
    <w:rsid w:val="00A031C9"/>
    <w:rsid w:val="00A0338E"/>
    <w:rsid w:val="00A0363A"/>
    <w:rsid w:val="00A03B06"/>
    <w:rsid w:val="00A03C64"/>
    <w:rsid w:val="00A03F7F"/>
    <w:rsid w:val="00A04140"/>
    <w:rsid w:val="00A044C4"/>
    <w:rsid w:val="00A04687"/>
    <w:rsid w:val="00A047F8"/>
    <w:rsid w:val="00A04961"/>
    <w:rsid w:val="00A04A3A"/>
    <w:rsid w:val="00A04ABA"/>
    <w:rsid w:val="00A04DFE"/>
    <w:rsid w:val="00A04E28"/>
    <w:rsid w:val="00A04E7F"/>
    <w:rsid w:val="00A04ECA"/>
    <w:rsid w:val="00A050A7"/>
    <w:rsid w:val="00A05119"/>
    <w:rsid w:val="00A055EB"/>
    <w:rsid w:val="00A05974"/>
    <w:rsid w:val="00A05B63"/>
    <w:rsid w:val="00A05BFD"/>
    <w:rsid w:val="00A05E4C"/>
    <w:rsid w:val="00A063D0"/>
    <w:rsid w:val="00A06437"/>
    <w:rsid w:val="00A0677F"/>
    <w:rsid w:val="00A06988"/>
    <w:rsid w:val="00A069A9"/>
    <w:rsid w:val="00A06A3A"/>
    <w:rsid w:val="00A06BD3"/>
    <w:rsid w:val="00A07019"/>
    <w:rsid w:val="00A070A8"/>
    <w:rsid w:val="00A07189"/>
    <w:rsid w:val="00A073DA"/>
    <w:rsid w:val="00A07502"/>
    <w:rsid w:val="00A075DC"/>
    <w:rsid w:val="00A075FB"/>
    <w:rsid w:val="00A0776E"/>
    <w:rsid w:val="00A077A8"/>
    <w:rsid w:val="00A078DC"/>
    <w:rsid w:val="00A07C06"/>
    <w:rsid w:val="00A07DB4"/>
    <w:rsid w:val="00A10258"/>
    <w:rsid w:val="00A102F4"/>
    <w:rsid w:val="00A1041C"/>
    <w:rsid w:val="00A1042D"/>
    <w:rsid w:val="00A10762"/>
    <w:rsid w:val="00A1094A"/>
    <w:rsid w:val="00A109EC"/>
    <w:rsid w:val="00A10A1F"/>
    <w:rsid w:val="00A10A32"/>
    <w:rsid w:val="00A10A46"/>
    <w:rsid w:val="00A10B23"/>
    <w:rsid w:val="00A10C29"/>
    <w:rsid w:val="00A10D31"/>
    <w:rsid w:val="00A10E59"/>
    <w:rsid w:val="00A10F42"/>
    <w:rsid w:val="00A11038"/>
    <w:rsid w:val="00A1103A"/>
    <w:rsid w:val="00A113A1"/>
    <w:rsid w:val="00A113D0"/>
    <w:rsid w:val="00A113EC"/>
    <w:rsid w:val="00A11456"/>
    <w:rsid w:val="00A11546"/>
    <w:rsid w:val="00A1158F"/>
    <w:rsid w:val="00A11931"/>
    <w:rsid w:val="00A11963"/>
    <w:rsid w:val="00A1197D"/>
    <w:rsid w:val="00A11A16"/>
    <w:rsid w:val="00A11BF4"/>
    <w:rsid w:val="00A11C95"/>
    <w:rsid w:val="00A11F0B"/>
    <w:rsid w:val="00A11FFE"/>
    <w:rsid w:val="00A1228C"/>
    <w:rsid w:val="00A128A1"/>
    <w:rsid w:val="00A1292E"/>
    <w:rsid w:val="00A12A8C"/>
    <w:rsid w:val="00A12B19"/>
    <w:rsid w:val="00A12E91"/>
    <w:rsid w:val="00A12F31"/>
    <w:rsid w:val="00A13195"/>
    <w:rsid w:val="00A13273"/>
    <w:rsid w:val="00A1354A"/>
    <w:rsid w:val="00A13664"/>
    <w:rsid w:val="00A13665"/>
    <w:rsid w:val="00A13975"/>
    <w:rsid w:val="00A13A3A"/>
    <w:rsid w:val="00A13D2E"/>
    <w:rsid w:val="00A13E64"/>
    <w:rsid w:val="00A14126"/>
    <w:rsid w:val="00A14295"/>
    <w:rsid w:val="00A142B7"/>
    <w:rsid w:val="00A1448E"/>
    <w:rsid w:val="00A144FB"/>
    <w:rsid w:val="00A1471E"/>
    <w:rsid w:val="00A148C8"/>
    <w:rsid w:val="00A14A2D"/>
    <w:rsid w:val="00A14B89"/>
    <w:rsid w:val="00A14C30"/>
    <w:rsid w:val="00A14C7A"/>
    <w:rsid w:val="00A14D11"/>
    <w:rsid w:val="00A14DA2"/>
    <w:rsid w:val="00A14ED8"/>
    <w:rsid w:val="00A1502E"/>
    <w:rsid w:val="00A1502F"/>
    <w:rsid w:val="00A1518B"/>
    <w:rsid w:val="00A151DF"/>
    <w:rsid w:val="00A152E7"/>
    <w:rsid w:val="00A154BB"/>
    <w:rsid w:val="00A1556B"/>
    <w:rsid w:val="00A15652"/>
    <w:rsid w:val="00A1578E"/>
    <w:rsid w:val="00A15843"/>
    <w:rsid w:val="00A15988"/>
    <w:rsid w:val="00A15B3F"/>
    <w:rsid w:val="00A15BB9"/>
    <w:rsid w:val="00A15C37"/>
    <w:rsid w:val="00A15CE7"/>
    <w:rsid w:val="00A15ECA"/>
    <w:rsid w:val="00A16034"/>
    <w:rsid w:val="00A160E0"/>
    <w:rsid w:val="00A161DA"/>
    <w:rsid w:val="00A161FC"/>
    <w:rsid w:val="00A16592"/>
    <w:rsid w:val="00A165A3"/>
    <w:rsid w:val="00A169CF"/>
    <w:rsid w:val="00A16A6A"/>
    <w:rsid w:val="00A16A86"/>
    <w:rsid w:val="00A16AF8"/>
    <w:rsid w:val="00A16B98"/>
    <w:rsid w:val="00A16BB1"/>
    <w:rsid w:val="00A16C3A"/>
    <w:rsid w:val="00A16C48"/>
    <w:rsid w:val="00A16C78"/>
    <w:rsid w:val="00A16D97"/>
    <w:rsid w:val="00A16E7E"/>
    <w:rsid w:val="00A16FF1"/>
    <w:rsid w:val="00A17684"/>
    <w:rsid w:val="00A1797C"/>
    <w:rsid w:val="00A179C4"/>
    <w:rsid w:val="00A17A16"/>
    <w:rsid w:val="00A17A27"/>
    <w:rsid w:val="00A17B8A"/>
    <w:rsid w:val="00A17BD1"/>
    <w:rsid w:val="00A17D3D"/>
    <w:rsid w:val="00A17E26"/>
    <w:rsid w:val="00A2001D"/>
    <w:rsid w:val="00A2009D"/>
    <w:rsid w:val="00A200A6"/>
    <w:rsid w:val="00A2010E"/>
    <w:rsid w:val="00A20198"/>
    <w:rsid w:val="00A2039F"/>
    <w:rsid w:val="00A20462"/>
    <w:rsid w:val="00A20477"/>
    <w:rsid w:val="00A204C7"/>
    <w:rsid w:val="00A205FC"/>
    <w:rsid w:val="00A20645"/>
    <w:rsid w:val="00A2073A"/>
    <w:rsid w:val="00A208A7"/>
    <w:rsid w:val="00A208E5"/>
    <w:rsid w:val="00A20906"/>
    <w:rsid w:val="00A2095E"/>
    <w:rsid w:val="00A2096A"/>
    <w:rsid w:val="00A20A1D"/>
    <w:rsid w:val="00A20BB9"/>
    <w:rsid w:val="00A20E2F"/>
    <w:rsid w:val="00A20F6C"/>
    <w:rsid w:val="00A210B8"/>
    <w:rsid w:val="00A2120A"/>
    <w:rsid w:val="00A212B3"/>
    <w:rsid w:val="00A212BE"/>
    <w:rsid w:val="00A21312"/>
    <w:rsid w:val="00A213F9"/>
    <w:rsid w:val="00A21475"/>
    <w:rsid w:val="00A214A4"/>
    <w:rsid w:val="00A2158F"/>
    <w:rsid w:val="00A215DA"/>
    <w:rsid w:val="00A217AD"/>
    <w:rsid w:val="00A2196B"/>
    <w:rsid w:val="00A219A0"/>
    <w:rsid w:val="00A21A3B"/>
    <w:rsid w:val="00A21D98"/>
    <w:rsid w:val="00A21EB9"/>
    <w:rsid w:val="00A21F74"/>
    <w:rsid w:val="00A2204E"/>
    <w:rsid w:val="00A222B8"/>
    <w:rsid w:val="00A223D5"/>
    <w:rsid w:val="00A22530"/>
    <w:rsid w:val="00A22581"/>
    <w:rsid w:val="00A225E7"/>
    <w:rsid w:val="00A22657"/>
    <w:rsid w:val="00A22688"/>
    <w:rsid w:val="00A226FB"/>
    <w:rsid w:val="00A22784"/>
    <w:rsid w:val="00A227C7"/>
    <w:rsid w:val="00A22A21"/>
    <w:rsid w:val="00A22C51"/>
    <w:rsid w:val="00A22CAF"/>
    <w:rsid w:val="00A22DCD"/>
    <w:rsid w:val="00A22E4C"/>
    <w:rsid w:val="00A22E4D"/>
    <w:rsid w:val="00A22FE9"/>
    <w:rsid w:val="00A230AC"/>
    <w:rsid w:val="00A230DD"/>
    <w:rsid w:val="00A234E9"/>
    <w:rsid w:val="00A23925"/>
    <w:rsid w:val="00A23AA4"/>
    <w:rsid w:val="00A23D7E"/>
    <w:rsid w:val="00A23E40"/>
    <w:rsid w:val="00A23EF9"/>
    <w:rsid w:val="00A23F35"/>
    <w:rsid w:val="00A24064"/>
    <w:rsid w:val="00A2406F"/>
    <w:rsid w:val="00A244E1"/>
    <w:rsid w:val="00A246EE"/>
    <w:rsid w:val="00A247D9"/>
    <w:rsid w:val="00A2497B"/>
    <w:rsid w:val="00A249CA"/>
    <w:rsid w:val="00A24A70"/>
    <w:rsid w:val="00A24A89"/>
    <w:rsid w:val="00A24B11"/>
    <w:rsid w:val="00A24D5D"/>
    <w:rsid w:val="00A24EDC"/>
    <w:rsid w:val="00A24EF4"/>
    <w:rsid w:val="00A24EFA"/>
    <w:rsid w:val="00A24FFA"/>
    <w:rsid w:val="00A250BE"/>
    <w:rsid w:val="00A2521A"/>
    <w:rsid w:val="00A2527A"/>
    <w:rsid w:val="00A25282"/>
    <w:rsid w:val="00A25321"/>
    <w:rsid w:val="00A2537E"/>
    <w:rsid w:val="00A25895"/>
    <w:rsid w:val="00A25BF4"/>
    <w:rsid w:val="00A25C1F"/>
    <w:rsid w:val="00A25C38"/>
    <w:rsid w:val="00A25C8F"/>
    <w:rsid w:val="00A25CA4"/>
    <w:rsid w:val="00A25E56"/>
    <w:rsid w:val="00A25F12"/>
    <w:rsid w:val="00A264D7"/>
    <w:rsid w:val="00A2657F"/>
    <w:rsid w:val="00A266A7"/>
    <w:rsid w:val="00A26809"/>
    <w:rsid w:val="00A2696F"/>
    <w:rsid w:val="00A269EB"/>
    <w:rsid w:val="00A26B75"/>
    <w:rsid w:val="00A26C3F"/>
    <w:rsid w:val="00A26D4C"/>
    <w:rsid w:val="00A26DE9"/>
    <w:rsid w:val="00A26E16"/>
    <w:rsid w:val="00A2700F"/>
    <w:rsid w:val="00A27035"/>
    <w:rsid w:val="00A27084"/>
    <w:rsid w:val="00A2727E"/>
    <w:rsid w:val="00A274AD"/>
    <w:rsid w:val="00A276FF"/>
    <w:rsid w:val="00A277C7"/>
    <w:rsid w:val="00A278D3"/>
    <w:rsid w:val="00A27B4A"/>
    <w:rsid w:val="00A27F6A"/>
    <w:rsid w:val="00A300AD"/>
    <w:rsid w:val="00A3017B"/>
    <w:rsid w:val="00A302ED"/>
    <w:rsid w:val="00A303B4"/>
    <w:rsid w:val="00A30666"/>
    <w:rsid w:val="00A3067B"/>
    <w:rsid w:val="00A30719"/>
    <w:rsid w:val="00A307A0"/>
    <w:rsid w:val="00A30856"/>
    <w:rsid w:val="00A30989"/>
    <w:rsid w:val="00A30DAA"/>
    <w:rsid w:val="00A30DBC"/>
    <w:rsid w:val="00A31121"/>
    <w:rsid w:val="00A311BA"/>
    <w:rsid w:val="00A31305"/>
    <w:rsid w:val="00A31411"/>
    <w:rsid w:val="00A31418"/>
    <w:rsid w:val="00A31656"/>
    <w:rsid w:val="00A31658"/>
    <w:rsid w:val="00A31745"/>
    <w:rsid w:val="00A31864"/>
    <w:rsid w:val="00A319A2"/>
    <w:rsid w:val="00A31B70"/>
    <w:rsid w:val="00A31C4D"/>
    <w:rsid w:val="00A31D6D"/>
    <w:rsid w:val="00A31DF3"/>
    <w:rsid w:val="00A31E73"/>
    <w:rsid w:val="00A31F5D"/>
    <w:rsid w:val="00A31FDE"/>
    <w:rsid w:val="00A32089"/>
    <w:rsid w:val="00A32097"/>
    <w:rsid w:val="00A32152"/>
    <w:rsid w:val="00A322AD"/>
    <w:rsid w:val="00A32347"/>
    <w:rsid w:val="00A3256C"/>
    <w:rsid w:val="00A325BD"/>
    <w:rsid w:val="00A32714"/>
    <w:rsid w:val="00A32743"/>
    <w:rsid w:val="00A32B24"/>
    <w:rsid w:val="00A32D37"/>
    <w:rsid w:val="00A32EEF"/>
    <w:rsid w:val="00A33356"/>
    <w:rsid w:val="00A33659"/>
    <w:rsid w:val="00A33747"/>
    <w:rsid w:val="00A33A26"/>
    <w:rsid w:val="00A33DDD"/>
    <w:rsid w:val="00A33FA7"/>
    <w:rsid w:val="00A33FD5"/>
    <w:rsid w:val="00A34511"/>
    <w:rsid w:val="00A3454E"/>
    <w:rsid w:val="00A34565"/>
    <w:rsid w:val="00A349C1"/>
    <w:rsid w:val="00A349CA"/>
    <w:rsid w:val="00A34BEA"/>
    <w:rsid w:val="00A34BF8"/>
    <w:rsid w:val="00A34C4E"/>
    <w:rsid w:val="00A34C99"/>
    <w:rsid w:val="00A34D41"/>
    <w:rsid w:val="00A34F2F"/>
    <w:rsid w:val="00A35028"/>
    <w:rsid w:val="00A351CF"/>
    <w:rsid w:val="00A356B5"/>
    <w:rsid w:val="00A356DE"/>
    <w:rsid w:val="00A3589F"/>
    <w:rsid w:val="00A35DD8"/>
    <w:rsid w:val="00A35EE4"/>
    <w:rsid w:val="00A35EFF"/>
    <w:rsid w:val="00A35FA0"/>
    <w:rsid w:val="00A36101"/>
    <w:rsid w:val="00A3637F"/>
    <w:rsid w:val="00A36398"/>
    <w:rsid w:val="00A3642D"/>
    <w:rsid w:val="00A36456"/>
    <w:rsid w:val="00A36561"/>
    <w:rsid w:val="00A36919"/>
    <w:rsid w:val="00A36955"/>
    <w:rsid w:val="00A36A6B"/>
    <w:rsid w:val="00A36A73"/>
    <w:rsid w:val="00A36C3B"/>
    <w:rsid w:val="00A36C76"/>
    <w:rsid w:val="00A36DFE"/>
    <w:rsid w:val="00A36EA6"/>
    <w:rsid w:val="00A370AE"/>
    <w:rsid w:val="00A3711A"/>
    <w:rsid w:val="00A372FF"/>
    <w:rsid w:val="00A373D2"/>
    <w:rsid w:val="00A375A3"/>
    <w:rsid w:val="00A3785B"/>
    <w:rsid w:val="00A37C43"/>
    <w:rsid w:val="00A37CC9"/>
    <w:rsid w:val="00A37CDD"/>
    <w:rsid w:val="00A37DF7"/>
    <w:rsid w:val="00A37F80"/>
    <w:rsid w:val="00A4008D"/>
    <w:rsid w:val="00A4019F"/>
    <w:rsid w:val="00A40249"/>
    <w:rsid w:val="00A40281"/>
    <w:rsid w:val="00A40439"/>
    <w:rsid w:val="00A406CE"/>
    <w:rsid w:val="00A406F7"/>
    <w:rsid w:val="00A407EA"/>
    <w:rsid w:val="00A408A4"/>
    <w:rsid w:val="00A4093F"/>
    <w:rsid w:val="00A40AB3"/>
    <w:rsid w:val="00A40CEA"/>
    <w:rsid w:val="00A40EB4"/>
    <w:rsid w:val="00A411C7"/>
    <w:rsid w:val="00A411E3"/>
    <w:rsid w:val="00A41535"/>
    <w:rsid w:val="00A4156F"/>
    <w:rsid w:val="00A41620"/>
    <w:rsid w:val="00A4166F"/>
    <w:rsid w:val="00A41680"/>
    <w:rsid w:val="00A41729"/>
    <w:rsid w:val="00A418A5"/>
    <w:rsid w:val="00A419EE"/>
    <w:rsid w:val="00A41ADE"/>
    <w:rsid w:val="00A41CB0"/>
    <w:rsid w:val="00A41D89"/>
    <w:rsid w:val="00A41F13"/>
    <w:rsid w:val="00A41F85"/>
    <w:rsid w:val="00A41FB5"/>
    <w:rsid w:val="00A41FC6"/>
    <w:rsid w:val="00A4203E"/>
    <w:rsid w:val="00A42155"/>
    <w:rsid w:val="00A4228A"/>
    <w:rsid w:val="00A42606"/>
    <w:rsid w:val="00A42750"/>
    <w:rsid w:val="00A429B1"/>
    <w:rsid w:val="00A42A11"/>
    <w:rsid w:val="00A42A20"/>
    <w:rsid w:val="00A42C56"/>
    <w:rsid w:val="00A42C83"/>
    <w:rsid w:val="00A42DBA"/>
    <w:rsid w:val="00A42DBD"/>
    <w:rsid w:val="00A42E62"/>
    <w:rsid w:val="00A42ECB"/>
    <w:rsid w:val="00A42F15"/>
    <w:rsid w:val="00A42FD7"/>
    <w:rsid w:val="00A43102"/>
    <w:rsid w:val="00A4322C"/>
    <w:rsid w:val="00A434BD"/>
    <w:rsid w:val="00A4352B"/>
    <w:rsid w:val="00A43A3A"/>
    <w:rsid w:val="00A43B8E"/>
    <w:rsid w:val="00A43BB4"/>
    <w:rsid w:val="00A43D65"/>
    <w:rsid w:val="00A43DE9"/>
    <w:rsid w:val="00A43F64"/>
    <w:rsid w:val="00A44060"/>
    <w:rsid w:val="00A441F2"/>
    <w:rsid w:val="00A44488"/>
    <w:rsid w:val="00A44CD7"/>
    <w:rsid w:val="00A45203"/>
    <w:rsid w:val="00A45337"/>
    <w:rsid w:val="00A45395"/>
    <w:rsid w:val="00A45409"/>
    <w:rsid w:val="00A4547A"/>
    <w:rsid w:val="00A455F5"/>
    <w:rsid w:val="00A45A64"/>
    <w:rsid w:val="00A45A79"/>
    <w:rsid w:val="00A45AAF"/>
    <w:rsid w:val="00A45DB5"/>
    <w:rsid w:val="00A4624E"/>
    <w:rsid w:val="00A464C8"/>
    <w:rsid w:val="00A46630"/>
    <w:rsid w:val="00A4675C"/>
    <w:rsid w:val="00A4692F"/>
    <w:rsid w:val="00A469A7"/>
    <w:rsid w:val="00A46AEB"/>
    <w:rsid w:val="00A46AF9"/>
    <w:rsid w:val="00A46CF9"/>
    <w:rsid w:val="00A46D2D"/>
    <w:rsid w:val="00A46E3C"/>
    <w:rsid w:val="00A46EFF"/>
    <w:rsid w:val="00A4716B"/>
    <w:rsid w:val="00A4725B"/>
    <w:rsid w:val="00A47282"/>
    <w:rsid w:val="00A47398"/>
    <w:rsid w:val="00A47409"/>
    <w:rsid w:val="00A474A5"/>
    <w:rsid w:val="00A47537"/>
    <w:rsid w:val="00A475B6"/>
    <w:rsid w:val="00A475F4"/>
    <w:rsid w:val="00A47860"/>
    <w:rsid w:val="00A478C8"/>
    <w:rsid w:val="00A47920"/>
    <w:rsid w:val="00A479E9"/>
    <w:rsid w:val="00A47A57"/>
    <w:rsid w:val="00A47A9A"/>
    <w:rsid w:val="00A47B14"/>
    <w:rsid w:val="00A47B7E"/>
    <w:rsid w:val="00A47C59"/>
    <w:rsid w:val="00A47CA8"/>
    <w:rsid w:val="00A47D2F"/>
    <w:rsid w:val="00A47E17"/>
    <w:rsid w:val="00A50153"/>
    <w:rsid w:val="00A5020A"/>
    <w:rsid w:val="00A503BD"/>
    <w:rsid w:val="00A5049B"/>
    <w:rsid w:val="00A50565"/>
    <w:rsid w:val="00A50776"/>
    <w:rsid w:val="00A5079E"/>
    <w:rsid w:val="00A5087B"/>
    <w:rsid w:val="00A50884"/>
    <w:rsid w:val="00A50907"/>
    <w:rsid w:val="00A509F5"/>
    <w:rsid w:val="00A50BFC"/>
    <w:rsid w:val="00A50C75"/>
    <w:rsid w:val="00A50FAD"/>
    <w:rsid w:val="00A51000"/>
    <w:rsid w:val="00A512C2"/>
    <w:rsid w:val="00A516B6"/>
    <w:rsid w:val="00A51AA2"/>
    <w:rsid w:val="00A51AD1"/>
    <w:rsid w:val="00A51B73"/>
    <w:rsid w:val="00A51C48"/>
    <w:rsid w:val="00A51CB2"/>
    <w:rsid w:val="00A51E83"/>
    <w:rsid w:val="00A51F29"/>
    <w:rsid w:val="00A52005"/>
    <w:rsid w:val="00A52111"/>
    <w:rsid w:val="00A52121"/>
    <w:rsid w:val="00A52192"/>
    <w:rsid w:val="00A52200"/>
    <w:rsid w:val="00A52233"/>
    <w:rsid w:val="00A523C7"/>
    <w:rsid w:val="00A52544"/>
    <w:rsid w:val="00A5262C"/>
    <w:rsid w:val="00A52678"/>
    <w:rsid w:val="00A52722"/>
    <w:rsid w:val="00A527FE"/>
    <w:rsid w:val="00A5291B"/>
    <w:rsid w:val="00A52A21"/>
    <w:rsid w:val="00A52A66"/>
    <w:rsid w:val="00A52CF9"/>
    <w:rsid w:val="00A52D0D"/>
    <w:rsid w:val="00A52DA0"/>
    <w:rsid w:val="00A5303F"/>
    <w:rsid w:val="00A530C8"/>
    <w:rsid w:val="00A5311B"/>
    <w:rsid w:val="00A53158"/>
    <w:rsid w:val="00A53535"/>
    <w:rsid w:val="00A535C0"/>
    <w:rsid w:val="00A53617"/>
    <w:rsid w:val="00A536FD"/>
    <w:rsid w:val="00A538F9"/>
    <w:rsid w:val="00A539D3"/>
    <w:rsid w:val="00A53A10"/>
    <w:rsid w:val="00A53A8C"/>
    <w:rsid w:val="00A53CB0"/>
    <w:rsid w:val="00A53DF0"/>
    <w:rsid w:val="00A53F4B"/>
    <w:rsid w:val="00A53F5A"/>
    <w:rsid w:val="00A5403F"/>
    <w:rsid w:val="00A54369"/>
    <w:rsid w:val="00A544C9"/>
    <w:rsid w:val="00A5468E"/>
    <w:rsid w:val="00A54AE3"/>
    <w:rsid w:val="00A54AE5"/>
    <w:rsid w:val="00A54BC8"/>
    <w:rsid w:val="00A54C3A"/>
    <w:rsid w:val="00A54CDE"/>
    <w:rsid w:val="00A54D54"/>
    <w:rsid w:val="00A551EE"/>
    <w:rsid w:val="00A5543B"/>
    <w:rsid w:val="00A55524"/>
    <w:rsid w:val="00A555BD"/>
    <w:rsid w:val="00A55B13"/>
    <w:rsid w:val="00A55D04"/>
    <w:rsid w:val="00A55DB7"/>
    <w:rsid w:val="00A55E22"/>
    <w:rsid w:val="00A55E25"/>
    <w:rsid w:val="00A55F40"/>
    <w:rsid w:val="00A56494"/>
    <w:rsid w:val="00A566D2"/>
    <w:rsid w:val="00A5685C"/>
    <w:rsid w:val="00A56904"/>
    <w:rsid w:val="00A56B79"/>
    <w:rsid w:val="00A56C9F"/>
    <w:rsid w:val="00A56DAB"/>
    <w:rsid w:val="00A56FDC"/>
    <w:rsid w:val="00A57337"/>
    <w:rsid w:val="00A57598"/>
    <w:rsid w:val="00A57768"/>
    <w:rsid w:val="00A57994"/>
    <w:rsid w:val="00A57B50"/>
    <w:rsid w:val="00A57B56"/>
    <w:rsid w:val="00A57CCD"/>
    <w:rsid w:val="00A57E13"/>
    <w:rsid w:val="00A6022B"/>
    <w:rsid w:val="00A602BD"/>
    <w:rsid w:val="00A604AC"/>
    <w:rsid w:val="00A605C1"/>
    <w:rsid w:val="00A60665"/>
    <w:rsid w:val="00A60687"/>
    <w:rsid w:val="00A60688"/>
    <w:rsid w:val="00A60733"/>
    <w:rsid w:val="00A607BD"/>
    <w:rsid w:val="00A608CA"/>
    <w:rsid w:val="00A60998"/>
    <w:rsid w:val="00A60A63"/>
    <w:rsid w:val="00A60C04"/>
    <w:rsid w:val="00A60D91"/>
    <w:rsid w:val="00A60E26"/>
    <w:rsid w:val="00A60F34"/>
    <w:rsid w:val="00A610A2"/>
    <w:rsid w:val="00A6123F"/>
    <w:rsid w:val="00A6125F"/>
    <w:rsid w:val="00A612E2"/>
    <w:rsid w:val="00A615C1"/>
    <w:rsid w:val="00A61644"/>
    <w:rsid w:val="00A61910"/>
    <w:rsid w:val="00A619D3"/>
    <w:rsid w:val="00A61AAC"/>
    <w:rsid w:val="00A61AE1"/>
    <w:rsid w:val="00A61E72"/>
    <w:rsid w:val="00A62083"/>
    <w:rsid w:val="00A62149"/>
    <w:rsid w:val="00A6231A"/>
    <w:rsid w:val="00A62723"/>
    <w:rsid w:val="00A627E7"/>
    <w:rsid w:val="00A6285B"/>
    <w:rsid w:val="00A62AEE"/>
    <w:rsid w:val="00A62C6B"/>
    <w:rsid w:val="00A62C6C"/>
    <w:rsid w:val="00A62F21"/>
    <w:rsid w:val="00A632AE"/>
    <w:rsid w:val="00A635C1"/>
    <w:rsid w:val="00A6375C"/>
    <w:rsid w:val="00A63783"/>
    <w:rsid w:val="00A63989"/>
    <w:rsid w:val="00A639C4"/>
    <w:rsid w:val="00A63A33"/>
    <w:rsid w:val="00A63A8B"/>
    <w:rsid w:val="00A63AF7"/>
    <w:rsid w:val="00A63DF4"/>
    <w:rsid w:val="00A63E5D"/>
    <w:rsid w:val="00A63ECF"/>
    <w:rsid w:val="00A6400A"/>
    <w:rsid w:val="00A641E0"/>
    <w:rsid w:val="00A64205"/>
    <w:rsid w:val="00A64236"/>
    <w:rsid w:val="00A6432D"/>
    <w:rsid w:val="00A6436B"/>
    <w:rsid w:val="00A643EF"/>
    <w:rsid w:val="00A6450A"/>
    <w:rsid w:val="00A645C5"/>
    <w:rsid w:val="00A6472E"/>
    <w:rsid w:val="00A64741"/>
    <w:rsid w:val="00A64784"/>
    <w:rsid w:val="00A64A94"/>
    <w:rsid w:val="00A64BCE"/>
    <w:rsid w:val="00A64C72"/>
    <w:rsid w:val="00A64D55"/>
    <w:rsid w:val="00A64DE8"/>
    <w:rsid w:val="00A651F3"/>
    <w:rsid w:val="00A65399"/>
    <w:rsid w:val="00A6542C"/>
    <w:rsid w:val="00A6580E"/>
    <w:rsid w:val="00A65814"/>
    <w:rsid w:val="00A65B62"/>
    <w:rsid w:val="00A65C3D"/>
    <w:rsid w:val="00A65D8F"/>
    <w:rsid w:val="00A661C1"/>
    <w:rsid w:val="00A66262"/>
    <w:rsid w:val="00A663F0"/>
    <w:rsid w:val="00A66458"/>
    <w:rsid w:val="00A66512"/>
    <w:rsid w:val="00A665CB"/>
    <w:rsid w:val="00A66661"/>
    <w:rsid w:val="00A669C3"/>
    <w:rsid w:val="00A66BA7"/>
    <w:rsid w:val="00A66CCE"/>
    <w:rsid w:val="00A670E6"/>
    <w:rsid w:val="00A67117"/>
    <w:rsid w:val="00A67127"/>
    <w:rsid w:val="00A6716A"/>
    <w:rsid w:val="00A67294"/>
    <w:rsid w:val="00A6760E"/>
    <w:rsid w:val="00A6778A"/>
    <w:rsid w:val="00A67D16"/>
    <w:rsid w:val="00A67EF9"/>
    <w:rsid w:val="00A67F02"/>
    <w:rsid w:val="00A67FDF"/>
    <w:rsid w:val="00A7004A"/>
    <w:rsid w:val="00A7014E"/>
    <w:rsid w:val="00A70394"/>
    <w:rsid w:val="00A70545"/>
    <w:rsid w:val="00A70728"/>
    <w:rsid w:val="00A7075A"/>
    <w:rsid w:val="00A7088F"/>
    <w:rsid w:val="00A708F0"/>
    <w:rsid w:val="00A70935"/>
    <w:rsid w:val="00A7093D"/>
    <w:rsid w:val="00A70A74"/>
    <w:rsid w:val="00A70AC6"/>
    <w:rsid w:val="00A70B76"/>
    <w:rsid w:val="00A70DBE"/>
    <w:rsid w:val="00A70E36"/>
    <w:rsid w:val="00A710A2"/>
    <w:rsid w:val="00A71109"/>
    <w:rsid w:val="00A7118E"/>
    <w:rsid w:val="00A71258"/>
    <w:rsid w:val="00A71366"/>
    <w:rsid w:val="00A7178B"/>
    <w:rsid w:val="00A717DB"/>
    <w:rsid w:val="00A717FD"/>
    <w:rsid w:val="00A719FE"/>
    <w:rsid w:val="00A71A0A"/>
    <w:rsid w:val="00A71D19"/>
    <w:rsid w:val="00A720AC"/>
    <w:rsid w:val="00A7211F"/>
    <w:rsid w:val="00A7217B"/>
    <w:rsid w:val="00A721D5"/>
    <w:rsid w:val="00A722B2"/>
    <w:rsid w:val="00A72414"/>
    <w:rsid w:val="00A72444"/>
    <w:rsid w:val="00A7266A"/>
    <w:rsid w:val="00A72684"/>
    <w:rsid w:val="00A726AC"/>
    <w:rsid w:val="00A726F3"/>
    <w:rsid w:val="00A7272F"/>
    <w:rsid w:val="00A727B4"/>
    <w:rsid w:val="00A7289D"/>
    <w:rsid w:val="00A729B6"/>
    <w:rsid w:val="00A729DA"/>
    <w:rsid w:val="00A72A10"/>
    <w:rsid w:val="00A72A52"/>
    <w:rsid w:val="00A72C98"/>
    <w:rsid w:val="00A72CD5"/>
    <w:rsid w:val="00A72D23"/>
    <w:rsid w:val="00A72D91"/>
    <w:rsid w:val="00A72E50"/>
    <w:rsid w:val="00A72F5C"/>
    <w:rsid w:val="00A732F0"/>
    <w:rsid w:val="00A733DB"/>
    <w:rsid w:val="00A73409"/>
    <w:rsid w:val="00A734A2"/>
    <w:rsid w:val="00A7392D"/>
    <w:rsid w:val="00A73BB4"/>
    <w:rsid w:val="00A73DBB"/>
    <w:rsid w:val="00A73DD2"/>
    <w:rsid w:val="00A73F14"/>
    <w:rsid w:val="00A73FEB"/>
    <w:rsid w:val="00A74059"/>
    <w:rsid w:val="00A7408F"/>
    <w:rsid w:val="00A743DD"/>
    <w:rsid w:val="00A748B8"/>
    <w:rsid w:val="00A749AF"/>
    <w:rsid w:val="00A74B61"/>
    <w:rsid w:val="00A74BED"/>
    <w:rsid w:val="00A74C8A"/>
    <w:rsid w:val="00A74CC1"/>
    <w:rsid w:val="00A74CDF"/>
    <w:rsid w:val="00A74D12"/>
    <w:rsid w:val="00A74D23"/>
    <w:rsid w:val="00A74DE5"/>
    <w:rsid w:val="00A74E83"/>
    <w:rsid w:val="00A74EE7"/>
    <w:rsid w:val="00A74F37"/>
    <w:rsid w:val="00A74F55"/>
    <w:rsid w:val="00A75019"/>
    <w:rsid w:val="00A75033"/>
    <w:rsid w:val="00A7514E"/>
    <w:rsid w:val="00A75227"/>
    <w:rsid w:val="00A75383"/>
    <w:rsid w:val="00A753BF"/>
    <w:rsid w:val="00A75427"/>
    <w:rsid w:val="00A75483"/>
    <w:rsid w:val="00A756FC"/>
    <w:rsid w:val="00A75834"/>
    <w:rsid w:val="00A75955"/>
    <w:rsid w:val="00A75BC8"/>
    <w:rsid w:val="00A75D2B"/>
    <w:rsid w:val="00A7605D"/>
    <w:rsid w:val="00A761C0"/>
    <w:rsid w:val="00A76387"/>
    <w:rsid w:val="00A765CA"/>
    <w:rsid w:val="00A766BD"/>
    <w:rsid w:val="00A766D3"/>
    <w:rsid w:val="00A766FB"/>
    <w:rsid w:val="00A76722"/>
    <w:rsid w:val="00A76847"/>
    <w:rsid w:val="00A76A32"/>
    <w:rsid w:val="00A76A93"/>
    <w:rsid w:val="00A76D24"/>
    <w:rsid w:val="00A76D4E"/>
    <w:rsid w:val="00A770E0"/>
    <w:rsid w:val="00A7782A"/>
    <w:rsid w:val="00A778A2"/>
    <w:rsid w:val="00A778B6"/>
    <w:rsid w:val="00A77929"/>
    <w:rsid w:val="00A77934"/>
    <w:rsid w:val="00A779D3"/>
    <w:rsid w:val="00A77C24"/>
    <w:rsid w:val="00A77C38"/>
    <w:rsid w:val="00A77C61"/>
    <w:rsid w:val="00A77C67"/>
    <w:rsid w:val="00A77ECD"/>
    <w:rsid w:val="00A80014"/>
    <w:rsid w:val="00A80257"/>
    <w:rsid w:val="00A806C8"/>
    <w:rsid w:val="00A80901"/>
    <w:rsid w:val="00A809C5"/>
    <w:rsid w:val="00A80B94"/>
    <w:rsid w:val="00A80F17"/>
    <w:rsid w:val="00A810A9"/>
    <w:rsid w:val="00A8115E"/>
    <w:rsid w:val="00A814B0"/>
    <w:rsid w:val="00A81798"/>
    <w:rsid w:val="00A817F5"/>
    <w:rsid w:val="00A81905"/>
    <w:rsid w:val="00A8194C"/>
    <w:rsid w:val="00A81BEF"/>
    <w:rsid w:val="00A81D48"/>
    <w:rsid w:val="00A821B2"/>
    <w:rsid w:val="00A821F9"/>
    <w:rsid w:val="00A8229E"/>
    <w:rsid w:val="00A822C2"/>
    <w:rsid w:val="00A8250D"/>
    <w:rsid w:val="00A82A46"/>
    <w:rsid w:val="00A82B40"/>
    <w:rsid w:val="00A82DB3"/>
    <w:rsid w:val="00A836C1"/>
    <w:rsid w:val="00A837AE"/>
    <w:rsid w:val="00A8391D"/>
    <w:rsid w:val="00A83952"/>
    <w:rsid w:val="00A8395A"/>
    <w:rsid w:val="00A83A42"/>
    <w:rsid w:val="00A83A77"/>
    <w:rsid w:val="00A83B15"/>
    <w:rsid w:val="00A83D7C"/>
    <w:rsid w:val="00A83E2F"/>
    <w:rsid w:val="00A8416C"/>
    <w:rsid w:val="00A842DB"/>
    <w:rsid w:val="00A84389"/>
    <w:rsid w:val="00A844D3"/>
    <w:rsid w:val="00A8475E"/>
    <w:rsid w:val="00A849B2"/>
    <w:rsid w:val="00A849FB"/>
    <w:rsid w:val="00A84DEA"/>
    <w:rsid w:val="00A84E3E"/>
    <w:rsid w:val="00A84F0F"/>
    <w:rsid w:val="00A84F6B"/>
    <w:rsid w:val="00A851DD"/>
    <w:rsid w:val="00A851E3"/>
    <w:rsid w:val="00A852F3"/>
    <w:rsid w:val="00A8551C"/>
    <w:rsid w:val="00A85748"/>
    <w:rsid w:val="00A857B3"/>
    <w:rsid w:val="00A85854"/>
    <w:rsid w:val="00A8598F"/>
    <w:rsid w:val="00A85C38"/>
    <w:rsid w:val="00A86015"/>
    <w:rsid w:val="00A8605E"/>
    <w:rsid w:val="00A86067"/>
    <w:rsid w:val="00A860E7"/>
    <w:rsid w:val="00A86606"/>
    <w:rsid w:val="00A86696"/>
    <w:rsid w:val="00A866B2"/>
    <w:rsid w:val="00A86842"/>
    <w:rsid w:val="00A869FF"/>
    <w:rsid w:val="00A86AA2"/>
    <w:rsid w:val="00A86BFE"/>
    <w:rsid w:val="00A87042"/>
    <w:rsid w:val="00A87068"/>
    <w:rsid w:val="00A8708B"/>
    <w:rsid w:val="00A87155"/>
    <w:rsid w:val="00A87406"/>
    <w:rsid w:val="00A874A2"/>
    <w:rsid w:val="00A875EC"/>
    <w:rsid w:val="00A87704"/>
    <w:rsid w:val="00A879C2"/>
    <w:rsid w:val="00A87B45"/>
    <w:rsid w:val="00A87B7F"/>
    <w:rsid w:val="00A87C59"/>
    <w:rsid w:val="00A87D33"/>
    <w:rsid w:val="00A87DDD"/>
    <w:rsid w:val="00A87E50"/>
    <w:rsid w:val="00A87F99"/>
    <w:rsid w:val="00A87FF7"/>
    <w:rsid w:val="00A90151"/>
    <w:rsid w:val="00A9029A"/>
    <w:rsid w:val="00A90442"/>
    <w:rsid w:val="00A90532"/>
    <w:rsid w:val="00A90677"/>
    <w:rsid w:val="00A90848"/>
    <w:rsid w:val="00A9086B"/>
    <w:rsid w:val="00A90974"/>
    <w:rsid w:val="00A90A1E"/>
    <w:rsid w:val="00A90AEF"/>
    <w:rsid w:val="00A90B20"/>
    <w:rsid w:val="00A90B49"/>
    <w:rsid w:val="00A90CA3"/>
    <w:rsid w:val="00A90EE9"/>
    <w:rsid w:val="00A90EF6"/>
    <w:rsid w:val="00A91164"/>
    <w:rsid w:val="00A911F8"/>
    <w:rsid w:val="00A91211"/>
    <w:rsid w:val="00A916F4"/>
    <w:rsid w:val="00A91866"/>
    <w:rsid w:val="00A918A9"/>
    <w:rsid w:val="00A91915"/>
    <w:rsid w:val="00A919BC"/>
    <w:rsid w:val="00A91A8E"/>
    <w:rsid w:val="00A91DEF"/>
    <w:rsid w:val="00A91E7D"/>
    <w:rsid w:val="00A91E97"/>
    <w:rsid w:val="00A9237B"/>
    <w:rsid w:val="00A92592"/>
    <w:rsid w:val="00A926F4"/>
    <w:rsid w:val="00A929E3"/>
    <w:rsid w:val="00A92B20"/>
    <w:rsid w:val="00A92B46"/>
    <w:rsid w:val="00A92D11"/>
    <w:rsid w:val="00A92E8F"/>
    <w:rsid w:val="00A9314A"/>
    <w:rsid w:val="00A9319D"/>
    <w:rsid w:val="00A931F1"/>
    <w:rsid w:val="00A9359B"/>
    <w:rsid w:val="00A93679"/>
    <w:rsid w:val="00A938E6"/>
    <w:rsid w:val="00A93B21"/>
    <w:rsid w:val="00A93B92"/>
    <w:rsid w:val="00A93CC4"/>
    <w:rsid w:val="00A93EE2"/>
    <w:rsid w:val="00A93FD5"/>
    <w:rsid w:val="00A94056"/>
    <w:rsid w:val="00A9442F"/>
    <w:rsid w:val="00A94455"/>
    <w:rsid w:val="00A945C3"/>
    <w:rsid w:val="00A947FC"/>
    <w:rsid w:val="00A9480B"/>
    <w:rsid w:val="00A94844"/>
    <w:rsid w:val="00A94A82"/>
    <w:rsid w:val="00A94B7A"/>
    <w:rsid w:val="00A94C9B"/>
    <w:rsid w:val="00A94CDE"/>
    <w:rsid w:val="00A94D46"/>
    <w:rsid w:val="00A94DA9"/>
    <w:rsid w:val="00A95011"/>
    <w:rsid w:val="00A951F1"/>
    <w:rsid w:val="00A955A9"/>
    <w:rsid w:val="00A955E9"/>
    <w:rsid w:val="00A9585B"/>
    <w:rsid w:val="00A959D4"/>
    <w:rsid w:val="00A95B75"/>
    <w:rsid w:val="00A95DBD"/>
    <w:rsid w:val="00A95F8F"/>
    <w:rsid w:val="00A95FA0"/>
    <w:rsid w:val="00A95FF6"/>
    <w:rsid w:val="00A96165"/>
    <w:rsid w:val="00A96179"/>
    <w:rsid w:val="00A9627F"/>
    <w:rsid w:val="00A963E8"/>
    <w:rsid w:val="00A96493"/>
    <w:rsid w:val="00A964B3"/>
    <w:rsid w:val="00A967DA"/>
    <w:rsid w:val="00A967FA"/>
    <w:rsid w:val="00A96826"/>
    <w:rsid w:val="00A96A27"/>
    <w:rsid w:val="00A96B4F"/>
    <w:rsid w:val="00A97236"/>
    <w:rsid w:val="00A9729C"/>
    <w:rsid w:val="00A972FE"/>
    <w:rsid w:val="00A974E9"/>
    <w:rsid w:val="00A976ED"/>
    <w:rsid w:val="00A9777F"/>
    <w:rsid w:val="00A97B5F"/>
    <w:rsid w:val="00A97F2B"/>
    <w:rsid w:val="00A97F35"/>
    <w:rsid w:val="00A97FBC"/>
    <w:rsid w:val="00AA006E"/>
    <w:rsid w:val="00AA01C8"/>
    <w:rsid w:val="00AA0337"/>
    <w:rsid w:val="00AA0338"/>
    <w:rsid w:val="00AA073E"/>
    <w:rsid w:val="00AA0760"/>
    <w:rsid w:val="00AA08D3"/>
    <w:rsid w:val="00AA0962"/>
    <w:rsid w:val="00AA0A37"/>
    <w:rsid w:val="00AA0A3F"/>
    <w:rsid w:val="00AA0B7F"/>
    <w:rsid w:val="00AA0B82"/>
    <w:rsid w:val="00AA0D81"/>
    <w:rsid w:val="00AA0DDA"/>
    <w:rsid w:val="00AA0EED"/>
    <w:rsid w:val="00AA0F05"/>
    <w:rsid w:val="00AA0F0A"/>
    <w:rsid w:val="00AA1119"/>
    <w:rsid w:val="00AA113A"/>
    <w:rsid w:val="00AA119B"/>
    <w:rsid w:val="00AA12DF"/>
    <w:rsid w:val="00AA163B"/>
    <w:rsid w:val="00AA1CB1"/>
    <w:rsid w:val="00AA1D63"/>
    <w:rsid w:val="00AA1E3A"/>
    <w:rsid w:val="00AA1E51"/>
    <w:rsid w:val="00AA1FD6"/>
    <w:rsid w:val="00AA2029"/>
    <w:rsid w:val="00AA21F9"/>
    <w:rsid w:val="00AA22B2"/>
    <w:rsid w:val="00AA2377"/>
    <w:rsid w:val="00AA24D6"/>
    <w:rsid w:val="00AA2790"/>
    <w:rsid w:val="00AA2AB4"/>
    <w:rsid w:val="00AA2B41"/>
    <w:rsid w:val="00AA2C58"/>
    <w:rsid w:val="00AA303A"/>
    <w:rsid w:val="00AA3205"/>
    <w:rsid w:val="00AA3313"/>
    <w:rsid w:val="00AA34EF"/>
    <w:rsid w:val="00AA3639"/>
    <w:rsid w:val="00AA3746"/>
    <w:rsid w:val="00AA3785"/>
    <w:rsid w:val="00AA379C"/>
    <w:rsid w:val="00AA3827"/>
    <w:rsid w:val="00AA3A4A"/>
    <w:rsid w:val="00AA3AD2"/>
    <w:rsid w:val="00AA3B3D"/>
    <w:rsid w:val="00AA3FCA"/>
    <w:rsid w:val="00AA4138"/>
    <w:rsid w:val="00AA41EF"/>
    <w:rsid w:val="00AA45AD"/>
    <w:rsid w:val="00AA4638"/>
    <w:rsid w:val="00AA4660"/>
    <w:rsid w:val="00AA47B2"/>
    <w:rsid w:val="00AA4816"/>
    <w:rsid w:val="00AA4998"/>
    <w:rsid w:val="00AA4A0E"/>
    <w:rsid w:val="00AA4ABB"/>
    <w:rsid w:val="00AA4EFF"/>
    <w:rsid w:val="00AA5135"/>
    <w:rsid w:val="00AA5242"/>
    <w:rsid w:val="00AA5282"/>
    <w:rsid w:val="00AA53D3"/>
    <w:rsid w:val="00AA557F"/>
    <w:rsid w:val="00AA55D4"/>
    <w:rsid w:val="00AA55F0"/>
    <w:rsid w:val="00AA55F2"/>
    <w:rsid w:val="00AA57BB"/>
    <w:rsid w:val="00AA59EC"/>
    <w:rsid w:val="00AA5C14"/>
    <w:rsid w:val="00AA5F1B"/>
    <w:rsid w:val="00AA5FAE"/>
    <w:rsid w:val="00AA5FC9"/>
    <w:rsid w:val="00AA600C"/>
    <w:rsid w:val="00AA6020"/>
    <w:rsid w:val="00AA6127"/>
    <w:rsid w:val="00AA619A"/>
    <w:rsid w:val="00AA6563"/>
    <w:rsid w:val="00AA65F3"/>
    <w:rsid w:val="00AA665E"/>
    <w:rsid w:val="00AA666A"/>
    <w:rsid w:val="00AA678D"/>
    <w:rsid w:val="00AA6895"/>
    <w:rsid w:val="00AA698D"/>
    <w:rsid w:val="00AA6C71"/>
    <w:rsid w:val="00AA6CEE"/>
    <w:rsid w:val="00AA6DF1"/>
    <w:rsid w:val="00AA6E0C"/>
    <w:rsid w:val="00AA6E59"/>
    <w:rsid w:val="00AA70EC"/>
    <w:rsid w:val="00AA718F"/>
    <w:rsid w:val="00AA721C"/>
    <w:rsid w:val="00AA76EB"/>
    <w:rsid w:val="00AA7805"/>
    <w:rsid w:val="00AA7903"/>
    <w:rsid w:val="00AA7955"/>
    <w:rsid w:val="00AA7E28"/>
    <w:rsid w:val="00AA7F61"/>
    <w:rsid w:val="00AB0166"/>
    <w:rsid w:val="00AB0252"/>
    <w:rsid w:val="00AB0337"/>
    <w:rsid w:val="00AB03D6"/>
    <w:rsid w:val="00AB044F"/>
    <w:rsid w:val="00AB0508"/>
    <w:rsid w:val="00AB06F6"/>
    <w:rsid w:val="00AB06FA"/>
    <w:rsid w:val="00AB075A"/>
    <w:rsid w:val="00AB09AD"/>
    <w:rsid w:val="00AB0AD6"/>
    <w:rsid w:val="00AB0B91"/>
    <w:rsid w:val="00AB0C03"/>
    <w:rsid w:val="00AB0C23"/>
    <w:rsid w:val="00AB0C74"/>
    <w:rsid w:val="00AB0D38"/>
    <w:rsid w:val="00AB0E16"/>
    <w:rsid w:val="00AB0E37"/>
    <w:rsid w:val="00AB0F08"/>
    <w:rsid w:val="00AB12DB"/>
    <w:rsid w:val="00AB136E"/>
    <w:rsid w:val="00AB1411"/>
    <w:rsid w:val="00AB146B"/>
    <w:rsid w:val="00AB157D"/>
    <w:rsid w:val="00AB165D"/>
    <w:rsid w:val="00AB17D1"/>
    <w:rsid w:val="00AB186C"/>
    <w:rsid w:val="00AB18DF"/>
    <w:rsid w:val="00AB1931"/>
    <w:rsid w:val="00AB1B1C"/>
    <w:rsid w:val="00AB1BB1"/>
    <w:rsid w:val="00AB1F85"/>
    <w:rsid w:val="00AB244A"/>
    <w:rsid w:val="00AB25D8"/>
    <w:rsid w:val="00AB275D"/>
    <w:rsid w:val="00AB27BF"/>
    <w:rsid w:val="00AB2A62"/>
    <w:rsid w:val="00AB2F64"/>
    <w:rsid w:val="00AB2F71"/>
    <w:rsid w:val="00AB3178"/>
    <w:rsid w:val="00AB333B"/>
    <w:rsid w:val="00AB34D0"/>
    <w:rsid w:val="00AB3589"/>
    <w:rsid w:val="00AB37B9"/>
    <w:rsid w:val="00AB38A0"/>
    <w:rsid w:val="00AB3931"/>
    <w:rsid w:val="00AB3A30"/>
    <w:rsid w:val="00AB3E42"/>
    <w:rsid w:val="00AB3FC5"/>
    <w:rsid w:val="00AB40AE"/>
    <w:rsid w:val="00AB4272"/>
    <w:rsid w:val="00AB44A1"/>
    <w:rsid w:val="00AB46ED"/>
    <w:rsid w:val="00AB4783"/>
    <w:rsid w:val="00AB4932"/>
    <w:rsid w:val="00AB4A5F"/>
    <w:rsid w:val="00AB4A83"/>
    <w:rsid w:val="00AB4B04"/>
    <w:rsid w:val="00AB4CF9"/>
    <w:rsid w:val="00AB4E7C"/>
    <w:rsid w:val="00AB4EEA"/>
    <w:rsid w:val="00AB4F8C"/>
    <w:rsid w:val="00AB52AB"/>
    <w:rsid w:val="00AB5377"/>
    <w:rsid w:val="00AB53C0"/>
    <w:rsid w:val="00AB560D"/>
    <w:rsid w:val="00AB5617"/>
    <w:rsid w:val="00AB56B0"/>
    <w:rsid w:val="00AB571C"/>
    <w:rsid w:val="00AB5725"/>
    <w:rsid w:val="00AB575F"/>
    <w:rsid w:val="00AB5986"/>
    <w:rsid w:val="00AB5F12"/>
    <w:rsid w:val="00AB607F"/>
    <w:rsid w:val="00AB60A3"/>
    <w:rsid w:val="00AB61F7"/>
    <w:rsid w:val="00AB6343"/>
    <w:rsid w:val="00AB677D"/>
    <w:rsid w:val="00AB67A0"/>
    <w:rsid w:val="00AB68C8"/>
    <w:rsid w:val="00AB6B12"/>
    <w:rsid w:val="00AB700F"/>
    <w:rsid w:val="00AB719A"/>
    <w:rsid w:val="00AB723C"/>
    <w:rsid w:val="00AB72B7"/>
    <w:rsid w:val="00AB749E"/>
    <w:rsid w:val="00AB755A"/>
    <w:rsid w:val="00AB7608"/>
    <w:rsid w:val="00AB765B"/>
    <w:rsid w:val="00AB7660"/>
    <w:rsid w:val="00AB767D"/>
    <w:rsid w:val="00AB7755"/>
    <w:rsid w:val="00AB783F"/>
    <w:rsid w:val="00AB788C"/>
    <w:rsid w:val="00AB79B0"/>
    <w:rsid w:val="00AB7C95"/>
    <w:rsid w:val="00AB7DBD"/>
    <w:rsid w:val="00AC0224"/>
    <w:rsid w:val="00AC0450"/>
    <w:rsid w:val="00AC0451"/>
    <w:rsid w:val="00AC046B"/>
    <w:rsid w:val="00AC0470"/>
    <w:rsid w:val="00AC0558"/>
    <w:rsid w:val="00AC05A1"/>
    <w:rsid w:val="00AC067E"/>
    <w:rsid w:val="00AC088C"/>
    <w:rsid w:val="00AC1089"/>
    <w:rsid w:val="00AC1293"/>
    <w:rsid w:val="00AC13C9"/>
    <w:rsid w:val="00AC142B"/>
    <w:rsid w:val="00AC15AD"/>
    <w:rsid w:val="00AC1631"/>
    <w:rsid w:val="00AC163D"/>
    <w:rsid w:val="00AC172C"/>
    <w:rsid w:val="00AC174B"/>
    <w:rsid w:val="00AC1751"/>
    <w:rsid w:val="00AC177F"/>
    <w:rsid w:val="00AC1829"/>
    <w:rsid w:val="00AC18D9"/>
    <w:rsid w:val="00AC1922"/>
    <w:rsid w:val="00AC1989"/>
    <w:rsid w:val="00AC19F8"/>
    <w:rsid w:val="00AC1A40"/>
    <w:rsid w:val="00AC1D03"/>
    <w:rsid w:val="00AC1DDC"/>
    <w:rsid w:val="00AC1FDD"/>
    <w:rsid w:val="00AC2178"/>
    <w:rsid w:val="00AC23C8"/>
    <w:rsid w:val="00AC268B"/>
    <w:rsid w:val="00AC26B9"/>
    <w:rsid w:val="00AC2786"/>
    <w:rsid w:val="00AC27F9"/>
    <w:rsid w:val="00AC2870"/>
    <w:rsid w:val="00AC293B"/>
    <w:rsid w:val="00AC2986"/>
    <w:rsid w:val="00AC29BE"/>
    <w:rsid w:val="00AC2B1E"/>
    <w:rsid w:val="00AC2B9E"/>
    <w:rsid w:val="00AC2C34"/>
    <w:rsid w:val="00AC2E2E"/>
    <w:rsid w:val="00AC2F53"/>
    <w:rsid w:val="00AC2FE8"/>
    <w:rsid w:val="00AC3053"/>
    <w:rsid w:val="00AC3097"/>
    <w:rsid w:val="00AC319B"/>
    <w:rsid w:val="00AC3210"/>
    <w:rsid w:val="00AC334D"/>
    <w:rsid w:val="00AC33CB"/>
    <w:rsid w:val="00AC354E"/>
    <w:rsid w:val="00AC363E"/>
    <w:rsid w:val="00AC36C1"/>
    <w:rsid w:val="00AC36D8"/>
    <w:rsid w:val="00AC3781"/>
    <w:rsid w:val="00AC3AE3"/>
    <w:rsid w:val="00AC3CAE"/>
    <w:rsid w:val="00AC3D4C"/>
    <w:rsid w:val="00AC3F71"/>
    <w:rsid w:val="00AC3FC9"/>
    <w:rsid w:val="00AC3FED"/>
    <w:rsid w:val="00AC40CF"/>
    <w:rsid w:val="00AC4634"/>
    <w:rsid w:val="00AC49FB"/>
    <w:rsid w:val="00AC4A12"/>
    <w:rsid w:val="00AC4AFB"/>
    <w:rsid w:val="00AC4B10"/>
    <w:rsid w:val="00AC4BCF"/>
    <w:rsid w:val="00AC4DEA"/>
    <w:rsid w:val="00AC4F65"/>
    <w:rsid w:val="00AC4FFB"/>
    <w:rsid w:val="00AC506F"/>
    <w:rsid w:val="00AC5139"/>
    <w:rsid w:val="00AC5392"/>
    <w:rsid w:val="00AC546B"/>
    <w:rsid w:val="00AC5657"/>
    <w:rsid w:val="00AC5659"/>
    <w:rsid w:val="00AC574C"/>
    <w:rsid w:val="00AC5882"/>
    <w:rsid w:val="00AC58F6"/>
    <w:rsid w:val="00AC598B"/>
    <w:rsid w:val="00AC61DA"/>
    <w:rsid w:val="00AC61F8"/>
    <w:rsid w:val="00AC62C3"/>
    <w:rsid w:val="00AC630D"/>
    <w:rsid w:val="00AC635F"/>
    <w:rsid w:val="00AC6426"/>
    <w:rsid w:val="00AC68A2"/>
    <w:rsid w:val="00AC692D"/>
    <w:rsid w:val="00AC6B36"/>
    <w:rsid w:val="00AC6CE6"/>
    <w:rsid w:val="00AC6CF5"/>
    <w:rsid w:val="00AC6D2E"/>
    <w:rsid w:val="00AC6FEB"/>
    <w:rsid w:val="00AC7014"/>
    <w:rsid w:val="00AC711E"/>
    <w:rsid w:val="00AC71DC"/>
    <w:rsid w:val="00AC71E2"/>
    <w:rsid w:val="00AC72FE"/>
    <w:rsid w:val="00AC76A7"/>
    <w:rsid w:val="00AC771D"/>
    <w:rsid w:val="00AC79E3"/>
    <w:rsid w:val="00AC7B0C"/>
    <w:rsid w:val="00AC7C20"/>
    <w:rsid w:val="00AC7EB6"/>
    <w:rsid w:val="00AC7F04"/>
    <w:rsid w:val="00AC7FF1"/>
    <w:rsid w:val="00AD0034"/>
    <w:rsid w:val="00AD014E"/>
    <w:rsid w:val="00AD0180"/>
    <w:rsid w:val="00AD01F3"/>
    <w:rsid w:val="00AD03A1"/>
    <w:rsid w:val="00AD0648"/>
    <w:rsid w:val="00AD0792"/>
    <w:rsid w:val="00AD0922"/>
    <w:rsid w:val="00AD0AFF"/>
    <w:rsid w:val="00AD0B65"/>
    <w:rsid w:val="00AD0EC4"/>
    <w:rsid w:val="00AD0F7A"/>
    <w:rsid w:val="00AD1143"/>
    <w:rsid w:val="00AD1344"/>
    <w:rsid w:val="00AD1424"/>
    <w:rsid w:val="00AD16D0"/>
    <w:rsid w:val="00AD1B7B"/>
    <w:rsid w:val="00AD1C2E"/>
    <w:rsid w:val="00AD20DB"/>
    <w:rsid w:val="00AD21FD"/>
    <w:rsid w:val="00AD232E"/>
    <w:rsid w:val="00AD2387"/>
    <w:rsid w:val="00AD2679"/>
    <w:rsid w:val="00AD2836"/>
    <w:rsid w:val="00AD2847"/>
    <w:rsid w:val="00AD28AB"/>
    <w:rsid w:val="00AD2969"/>
    <w:rsid w:val="00AD2C00"/>
    <w:rsid w:val="00AD2E59"/>
    <w:rsid w:val="00AD2E63"/>
    <w:rsid w:val="00AD2E9F"/>
    <w:rsid w:val="00AD2EFA"/>
    <w:rsid w:val="00AD30AD"/>
    <w:rsid w:val="00AD3187"/>
    <w:rsid w:val="00AD31FC"/>
    <w:rsid w:val="00AD3239"/>
    <w:rsid w:val="00AD3400"/>
    <w:rsid w:val="00AD355B"/>
    <w:rsid w:val="00AD36FB"/>
    <w:rsid w:val="00AD3A44"/>
    <w:rsid w:val="00AD3B2E"/>
    <w:rsid w:val="00AD3C1C"/>
    <w:rsid w:val="00AD3C3B"/>
    <w:rsid w:val="00AD3E48"/>
    <w:rsid w:val="00AD3F8C"/>
    <w:rsid w:val="00AD457F"/>
    <w:rsid w:val="00AD46CC"/>
    <w:rsid w:val="00AD4A3F"/>
    <w:rsid w:val="00AD4A5A"/>
    <w:rsid w:val="00AD4C35"/>
    <w:rsid w:val="00AD4C92"/>
    <w:rsid w:val="00AD4CBC"/>
    <w:rsid w:val="00AD4D6A"/>
    <w:rsid w:val="00AD4EA1"/>
    <w:rsid w:val="00AD4F08"/>
    <w:rsid w:val="00AD5039"/>
    <w:rsid w:val="00AD50B2"/>
    <w:rsid w:val="00AD5411"/>
    <w:rsid w:val="00AD54D9"/>
    <w:rsid w:val="00AD5692"/>
    <w:rsid w:val="00AD56C8"/>
    <w:rsid w:val="00AD5734"/>
    <w:rsid w:val="00AD5827"/>
    <w:rsid w:val="00AD58C4"/>
    <w:rsid w:val="00AD59C8"/>
    <w:rsid w:val="00AD5DC7"/>
    <w:rsid w:val="00AD5DDE"/>
    <w:rsid w:val="00AD5F62"/>
    <w:rsid w:val="00AD5FCE"/>
    <w:rsid w:val="00AD6022"/>
    <w:rsid w:val="00AD636F"/>
    <w:rsid w:val="00AD63C4"/>
    <w:rsid w:val="00AD6498"/>
    <w:rsid w:val="00AD6680"/>
    <w:rsid w:val="00AD6693"/>
    <w:rsid w:val="00AD66D1"/>
    <w:rsid w:val="00AD6879"/>
    <w:rsid w:val="00AD6C48"/>
    <w:rsid w:val="00AD6C62"/>
    <w:rsid w:val="00AD6DE5"/>
    <w:rsid w:val="00AD6ED5"/>
    <w:rsid w:val="00AD72B8"/>
    <w:rsid w:val="00AD740F"/>
    <w:rsid w:val="00AD7416"/>
    <w:rsid w:val="00AD7550"/>
    <w:rsid w:val="00AD7575"/>
    <w:rsid w:val="00AD77E1"/>
    <w:rsid w:val="00AD7864"/>
    <w:rsid w:val="00AD78BD"/>
    <w:rsid w:val="00AD7AC2"/>
    <w:rsid w:val="00AD7B8F"/>
    <w:rsid w:val="00AD7B96"/>
    <w:rsid w:val="00AD7D7C"/>
    <w:rsid w:val="00AD7F78"/>
    <w:rsid w:val="00AE0013"/>
    <w:rsid w:val="00AE0024"/>
    <w:rsid w:val="00AE029F"/>
    <w:rsid w:val="00AE0356"/>
    <w:rsid w:val="00AE03DF"/>
    <w:rsid w:val="00AE041F"/>
    <w:rsid w:val="00AE05EA"/>
    <w:rsid w:val="00AE067B"/>
    <w:rsid w:val="00AE067F"/>
    <w:rsid w:val="00AE0699"/>
    <w:rsid w:val="00AE06A0"/>
    <w:rsid w:val="00AE0765"/>
    <w:rsid w:val="00AE07A6"/>
    <w:rsid w:val="00AE07B7"/>
    <w:rsid w:val="00AE08BB"/>
    <w:rsid w:val="00AE09C1"/>
    <w:rsid w:val="00AE0B4F"/>
    <w:rsid w:val="00AE0B57"/>
    <w:rsid w:val="00AE0B91"/>
    <w:rsid w:val="00AE0CC9"/>
    <w:rsid w:val="00AE0DA0"/>
    <w:rsid w:val="00AE0F52"/>
    <w:rsid w:val="00AE1375"/>
    <w:rsid w:val="00AE13A7"/>
    <w:rsid w:val="00AE13AA"/>
    <w:rsid w:val="00AE13DB"/>
    <w:rsid w:val="00AE152D"/>
    <w:rsid w:val="00AE1643"/>
    <w:rsid w:val="00AE1646"/>
    <w:rsid w:val="00AE16F1"/>
    <w:rsid w:val="00AE177C"/>
    <w:rsid w:val="00AE1814"/>
    <w:rsid w:val="00AE1944"/>
    <w:rsid w:val="00AE1B76"/>
    <w:rsid w:val="00AE1CF6"/>
    <w:rsid w:val="00AE1EE2"/>
    <w:rsid w:val="00AE23E3"/>
    <w:rsid w:val="00AE24E4"/>
    <w:rsid w:val="00AE261A"/>
    <w:rsid w:val="00AE26C5"/>
    <w:rsid w:val="00AE27CB"/>
    <w:rsid w:val="00AE2990"/>
    <w:rsid w:val="00AE2BD4"/>
    <w:rsid w:val="00AE2D56"/>
    <w:rsid w:val="00AE2F0C"/>
    <w:rsid w:val="00AE30F8"/>
    <w:rsid w:val="00AE31E7"/>
    <w:rsid w:val="00AE3565"/>
    <w:rsid w:val="00AE3567"/>
    <w:rsid w:val="00AE3678"/>
    <w:rsid w:val="00AE372E"/>
    <w:rsid w:val="00AE3835"/>
    <w:rsid w:val="00AE38BD"/>
    <w:rsid w:val="00AE3A9A"/>
    <w:rsid w:val="00AE4298"/>
    <w:rsid w:val="00AE4490"/>
    <w:rsid w:val="00AE44CC"/>
    <w:rsid w:val="00AE450F"/>
    <w:rsid w:val="00AE464D"/>
    <w:rsid w:val="00AE494B"/>
    <w:rsid w:val="00AE4A70"/>
    <w:rsid w:val="00AE4AF0"/>
    <w:rsid w:val="00AE4D70"/>
    <w:rsid w:val="00AE4EE3"/>
    <w:rsid w:val="00AE4FD5"/>
    <w:rsid w:val="00AE50EF"/>
    <w:rsid w:val="00AE51DD"/>
    <w:rsid w:val="00AE5269"/>
    <w:rsid w:val="00AE5381"/>
    <w:rsid w:val="00AE5397"/>
    <w:rsid w:val="00AE55F0"/>
    <w:rsid w:val="00AE56AF"/>
    <w:rsid w:val="00AE5706"/>
    <w:rsid w:val="00AE5812"/>
    <w:rsid w:val="00AE5851"/>
    <w:rsid w:val="00AE59BD"/>
    <w:rsid w:val="00AE5A69"/>
    <w:rsid w:val="00AE5D2F"/>
    <w:rsid w:val="00AE5F4C"/>
    <w:rsid w:val="00AE5F59"/>
    <w:rsid w:val="00AE5F6D"/>
    <w:rsid w:val="00AE60E3"/>
    <w:rsid w:val="00AE62C2"/>
    <w:rsid w:val="00AE638E"/>
    <w:rsid w:val="00AE65AD"/>
    <w:rsid w:val="00AE664F"/>
    <w:rsid w:val="00AE66A9"/>
    <w:rsid w:val="00AE676A"/>
    <w:rsid w:val="00AE6893"/>
    <w:rsid w:val="00AE68EA"/>
    <w:rsid w:val="00AE6B6A"/>
    <w:rsid w:val="00AE6BFF"/>
    <w:rsid w:val="00AE6C02"/>
    <w:rsid w:val="00AE6C7A"/>
    <w:rsid w:val="00AE6DC6"/>
    <w:rsid w:val="00AE7243"/>
    <w:rsid w:val="00AE7401"/>
    <w:rsid w:val="00AE74AF"/>
    <w:rsid w:val="00AE77CD"/>
    <w:rsid w:val="00AE7982"/>
    <w:rsid w:val="00AE7ACB"/>
    <w:rsid w:val="00AE7B76"/>
    <w:rsid w:val="00AE7CC3"/>
    <w:rsid w:val="00AE7D06"/>
    <w:rsid w:val="00AF0276"/>
    <w:rsid w:val="00AF06CF"/>
    <w:rsid w:val="00AF06F8"/>
    <w:rsid w:val="00AF071F"/>
    <w:rsid w:val="00AF074F"/>
    <w:rsid w:val="00AF0762"/>
    <w:rsid w:val="00AF0864"/>
    <w:rsid w:val="00AF0A4B"/>
    <w:rsid w:val="00AF0C7C"/>
    <w:rsid w:val="00AF0DFC"/>
    <w:rsid w:val="00AF1266"/>
    <w:rsid w:val="00AF1427"/>
    <w:rsid w:val="00AF15E2"/>
    <w:rsid w:val="00AF16CA"/>
    <w:rsid w:val="00AF16FF"/>
    <w:rsid w:val="00AF1A2C"/>
    <w:rsid w:val="00AF1A95"/>
    <w:rsid w:val="00AF1CE7"/>
    <w:rsid w:val="00AF1FDC"/>
    <w:rsid w:val="00AF1FEF"/>
    <w:rsid w:val="00AF202E"/>
    <w:rsid w:val="00AF2097"/>
    <w:rsid w:val="00AF2151"/>
    <w:rsid w:val="00AF21A6"/>
    <w:rsid w:val="00AF22B6"/>
    <w:rsid w:val="00AF2324"/>
    <w:rsid w:val="00AF24F6"/>
    <w:rsid w:val="00AF2735"/>
    <w:rsid w:val="00AF2743"/>
    <w:rsid w:val="00AF2A14"/>
    <w:rsid w:val="00AF2CA4"/>
    <w:rsid w:val="00AF2CF5"/>
    <w:rsid w:val="00AF2EB4"/>
    <w:rsid w:val="00AF2F0D"/>
    <w:rsid w:val="00AF30B3"/>
    <w:rsid w:val="00AF3175"/>
    <w:rsid w:val="00AF325A"/>
    <w:rsid w:val="00AF33E1"/>
    <w:rsid w:val="00AF34A0"/>
    <w:rsid w:val="00AF35DE"/>
    <w:rsid w:val="00AF3873"/>
    <w:rsid w:val="00AF396B"/>
    <w:rsid w:val="00AF39F4"/>
    <w:rsid w:val="00AF3B72"/>
    <w:rsid w:val="00AF3C14"/>
    <w:rsid w:val="00AF3C38"/>
    <w:rsid w:val="00AF3C76"/>
    <w:rsid w:val="00AF3F11"/>
    <w:rsid w:val="00AF40F7"/>
    <w:rsid w:val="00AF4246"/>
    <w:rsid w:val="00AF4276"/>
    <w:rsid w:val="00AF4316"/>
    <w:rsid w:val="00AF4335"/>
    <w:rsid w:val="00AF436F"/>
    <w:rsid w:val="00AF43BA"/>
    <w:rsid w:val="00AF45AD"/>
    <w:rsid w:val="00AF4605"/>
    <w:rsid w:val="00AF468F"/>
    <w:rsid w:val="00AF46A3"/>
    <w:rsid w:val="00AF4701"/>
    <w:rsid w:val="00AF479B"/>
    <w:rsid w:val="00AF47B6"/>
    <w:rsid w:val="00AF484F"/>
    <w:rsid w:val="00AF48F4"/>
    <w:rsid w:val="00AF4991"/>
    <w:rsid w:val="00AF4C2F"/>
    <w:rsid w:val="00AF4D89"/>
    <w:rsid w:val="00AF4E0C"/>
    <w:rsid w:val="00AF4ECA"/>
    <w:rsid w:val="00AF5086"/>
    <w:rsid w:val="00AF5586"/>
    <w:rsid w:val="00AF562C"/>
    <w:rsid w:val="00AF5A40"/>
    <w:rsid w:val="00AF5B52"/>
    <w:rsid w:val="00AF5C29"/>
    <w:rsid w:val="00AF5C31"/>
    <w:rsid w:val="00AF5DC6"/>
    <w:rsid w:val="00AF5EA3"/>
    <w:rsid w:val="00AF5F81"/>
    <w:rsid w:val="00AF6091"/>
    <w:rsid w:val="00AF61ED"/>
    <w:rsid w:val="00AF6335"/>
    <w:rsid w:val="00AF6371"/>
    <w:rsid w:val="00AF641B"/>
    <w:rsid w:val="00AF6596"/>
    <w:rsid w:val="00AF6882"/>
    <w:rsid w:val="00AF691B"/>
    <w:rsid w:val="00AF69AB"/>
    <w:rsid w:val="00AF69B3"/>
    <w:rsid w:val="00AF7082"/>
    <w:rsid w:val="00AF70C6"/>
    <w:rsid w:val="00AF71E4"/>
    <w:rsid w:val="00AF728E"/>
    <w:rsid w:val="00AF7564"/>
    <w:rsid w:val="00AF7589"/>
    <w:rsid w:val="00AF7927"/>
    <w:rsid w:val="00AF7BA3"/>
    <w:rsid w:val="00AF7C5C"/>
    <w:rsid w:val="00AF7C7B"/>
    <w:rsid w:val="00AF7E60"/>
    <w:rsid w:val="00AF7F22"/>
    <w:rsid w:val="00AF7F8E"/>
    <w:rsid w:val="00B000AC"/>
    <w:rsid w:val="00B00482"/>
    <w:rsid w:val="00B00488"/>
    <w:rsid w:val="00B0053A"/>
    <w:rsid w:val="00B0068E"/>
    <w:rsid w:val="00B0070A"/>
    <w:rsid w:val="00B007A7"/>
    <w:rsid w:val="00B007DB"/>
    <w:rsid w:val="00B0084B"/>
    <w:rsid w:val="00B00865"/>
    <w:rsid w:val="00B00A54"/>
    <w:rsid w:val="00B00B5C"/>
    <w:rsid w:val="00B00BED"/>
    <w:rsid w:val="00B00C5C"/>
    <w:rsid w:val="00B00CAF"/>
    <w:rsid w:val="00B00CD5"/>
    <w:rsid w:val="00B00E25"/>
    <w:rsid w:val="00B00E8A"/>
    <w:rsid w:val="00B00FAD"/>
    <w:rsid w:val="00B0110A"/>
    <w:rsid w:val="00B011FB"/>
    <w:rsid w:val="00B01233"/>
    <w:rsid w:val="00B01328"/>
    <w:rsid w:val="00B013FD"/>
    <w:rsid w:val="00B014C6"/>
    <w:rsid w:val="00B01762"/>
    <w:rsid w:val="00B017D9"/>
    <w:rsid w:val="00B01990"/>
    <w:rsid w:val="00B01A43"/>
    <w:rsid w:val="00B01BDB"/>
    <w:rsid w:val="00B01CC3"/>
    <w:rsid w:val="00B01D14"/>
    <w:rsid w:val="00B01D73"/>
    <w:rsid w:val="00B01F92"/>
    <w:rsid w:val="00B01FB8"/>
    <w:rsid w:val="00B020FB"/>
    <w:rsid w:val="00B022A4"/>
    <w:rsid w:val="00B02492"/>
    <w:rsid w:val="00B02609"/>
    <w:rsid w:val="00B026C1"/>
    <w:rsid w:val="00B02731"/>
    <w:rsid w:val="00B027D8"/>
    <w:rsid w:val="00B027FF"/>
    <w:rsid w:val="00B02BFE"/>
    <w:rsid w:val="00B02FCC"/>
    <w:rsid w:val="00B030B4"/>
    <w:rsid w:val="00B03185"/>
    <w:rsid w:val="00B031D6"/>
    <w:rsid w:val="00B03417"/>
    <w:rsid w:val="00B0367B"/>
    <w:rsid w:val="00B03680"/>
    <w:rsid w:val="00B036AE"/>
    <w:rsid w:val="00B03806"/>
    <w:rsid w:val="00B03808"/>
    <w:rsid w:val="00B03A56"/>
    <w:rsid w:val="00B03AF3"/>
    <w:rsid w:val="00B03B8D"/>
    <w:rsid w:val="00B03CE4"/>
    <w:rsid w:val="00B03D0C"/>
    <w:rsid w:val="00B03F56"/>
    <w:rsid w:val="00B0422A"/>
    <w:rsid w:val="00B043DD"/>
    <w:rsid w:val="00B044BE"/>
    <w:rsid w:val="00B0478B"/>
    <w:rsid w:val="00B04967"/>
    <w:rsid w:val="00B049EC"/>
    <w:rsid w:val="00B04CA8"/>
    <w:rsid w:val="00B04FD4"/>
    <w:rsid w:val="00B05028"/>
    <w:rsid w:val="00B050C1"/>
    <w:rsid w:val="00B05322"/>
    <w:rsid w:val="00B0549A"/>
    <w:rsid w:val="00B056D3"/>
    <w:rsid w:val="00B05745"/>
    <w:rsid w:val="00B05962"/>
    <w:rsid w:val="00B059A4"/>
    <w:rsid w:val="00B05B18"/>
    <w:rsid w:val="00B05B55"/>
    <w:rsid w:val="00B05BC2"/>
    <w:rsid w:val="00B05D7A"/>
    <w:rsid w:val="00B05E78"/>
    <w:rsid w:val="00B05F50"/>
    <w:rsid w:val="00B05F9B"/>
    <w:rsid w:val="00B060CD"/>
    <w:rsid w:val="00B06127"/>
    <w:rsid w:val="00B0624E"/>
    <w:rsid w:val="00B0630E"/>
    <w:rsid w:val="00B06451"/>
    <w:rsid w:val="00B06637"/>
    <w:rsid w:val="00B06654"/>
    <w:rsid w:val="00B0666A"/>
    <w:rsid w:val="00B06A23"/>
    <w:rsid w:val="00B06A5A"/>
    <w:rsid w:val="00B06C9C"/>
    <w:rsid w:val="00B06D49"/>
    <w:rsid w:val="00B06D6C"/>
    <w:rsid w:val="00B06E3D"/>
    <w:rsid w:val="00B06E3F"/>
    <w:rsid w:val="00B0718A"/>
    <w:rsid w:val="00B0738E"/>
    <w:rsid w:val="00B074F0"/>
    <w:rsid w:val="00B076A7"/>
    <w:rsid w:val="00B0789A"/>
    <w:rsid w:val="00B0796A"/>
    <w:rsid w:val="00B07991"/>
    <w:rsid w:val="00B07A1F"/>
    <w:rsid w:val="00B07A8B"/>
    <w:rsid w:val="00B07B2F"/>
    <w:rsid w:val="00B07D33"/>
    <w:rsid w:val="00B10224"/>
    <w:rsid w:val="00B104AB"/>
    <w:rsid w:val="00B104C8"/>
    <w:rsid w:val="00B10753"/>
    <w:rsid w:val="00B1088D"/>
    <w:rsid w:val="00B10923"/>
    <w:rsid w:val="00B109AE"/>
    <w:rsid w:val="00B10EDE"/>
    <w:rsid w:val="00B110BD"/>
    <w:rsid w:val="00B11292"/>
    <w:rsid w:val="00B11388"/>
    <w:rsid w:val="00B113F5"/>
    <w:rsid w:val="00B1140D"/>
    <w:rsid w:val="00B11504"/>
    <w:rsid w:val="00B1185F"/>
    <w:rsid w:val="00B1194B"/>
    <w:rsid w:val="00B119D2"/>
    <w:rsid w:val="00B11B1C"/>
    <w:rsid w:val="00B11B52"/>
    <w:rsid w:val="00B11EBA"/>
    <w:rsid w:val="00B11F53"/>
    <w:rsid w:val="00B11FF2"/>
    <w:rsid w:val="00B120A5"/>
    <w:rsid w:val="00B120AF"/>
    <w:rsid w:val="00B12103"/>
    <w:rsid w:val="00B1212E"/>
    <w:rsid w:val="00B121B8"/>
    <w:rsid w:val="00B124CD"/>
    <w:rsid w:val="00B12539"/>
    <w:rsid w:val="00B125F2"/>
    <w:rsid w:val="00B12605"/>
    <w:rsid w:val="00B1265E"/>
    <w:rsid w:val="00B1295F"/>
    <w:rsid w:val="00B12AEB"/>
    <w:rsid w:val="00B12BD1"/>
    <w:rsid w:val="00B12E12"/>
    <w:rsid w:val="00B13052"/>
    <w:rsid w:val="00B130B3"/>
    <w:rsid w:val="00B131E0"/>
    <w:rsid w:val="00B132E8"/>
    <w:rsid w:val="00B135B4"/>
    <w:rsid w:val="00B13749"/>
    <w:rsid w:val="00B138AC"/>
    <w:rsid w:val="00B1395F"/>
    <w:rsid w:val="00B13A0A"/>
    <w:rsid w:val="00B13B19"/>
    <w:rsid w:val="00B13B75"/>
    <w:rsid w:val="00B13B76"/>
    <w:rsid w:val="00B13CE9"/>
    <w:rsid w:val="00B13D84"/>
    <w:rsid w:val="00B13E25"/>
    <w:rsid w:val="00B13FA3"/>
    <w:rsid w:val="00B14045"/>
    <w:rsid w:val="00B14176"/>
    <w:rsid w:val="00B1417F"/>
    <w:rsid w:val="00B14258"/>
    <w:rsid w:val="00B142BC"/>
    <w:rsid w:val="00B1436A"/>
    <w:rsid w:val="00B143AA"/>
    <w:rsid w:val="00B143C2"/>
    <w:rsid w:val="00B143C4"/>
    <w:rsid w:val="00B14412"/>
    <w:rsid w:val="00B14470"/>
    <w:rsid w:val="00B144F7"/>
    <w:rsid w:val="00B14718"/>
    <w:rsid w:val="00B14778"/>
    <w:rsid w:val="00B1480D"/>
    <w:rsid w:val="00B14969"/>
    <w:rsid w:val="00B14A2A"/>
    <w:rsid w:val="00B14A5F"/>
    <w:rsid w:val="00B14B2B"/>
    <w:rsid w:val="00B14BA5"/>
    <w:rsid w:val="00B14C04"/>
    <w:rsid w:val="00B14CA6"/>
    <w:rsid w:val="00B14E31"/>
    <w:rsid w:val="00B14EB9"/>
    <w:rsid w:val="00B14F16"/>
    <w:rsid w:val="00B14FDF"/>
    <w:rsid w:val="00B15088"/>
    <w:rsid w:val="00B151C1"/>
    <w:rsid w:val="00B1524D"/>
    <w:rsid w:val="00B152DD"/>
    <w:rsid w:val="00B152FC"/>
    <w:rsid w:val="00B15312"/>
    <w:rsid w:val="00B153EB"/>
    <w:rsid w:val="00B1549B"/>
    <w:rsid w:val="00B15528"/>
    <w:rsid w:val="00B1567B"/>
    <w:rsid w:val="00B159D2"/>
    <w:rsid w:val="00B15D5A"/>
    <w:rsid w:val="00B15D94"/>
    <w:rsid w:val="00B15D9D"/>
    <w:rsid w:val="00B1611A"/>
    <w:rsid w:val="00B16411"/>
    <w:rsid w:val="00B164A9"/>
    <w:rsid w:val="00B16652"/>
    <w:rsid w:val="00B168B2"/>
    <w:rsid w:val="00B1694D"/>
    <w:rsid w:val="00B16A8C"/>
    <w:rsid w:val="00B16D03"/>
    <w:rsid w:val="00B16E7A"/>
    <w:rsid w:val="00B16FD7"/>
    <w:rsid w:val="00B1708B"/>
    <w:rsid w:val="00B17394"/>
    <w:rsid w:val="00B1749A"/>
    <w:rsid w:val="00B177C6"/>
    <w:rsid w:val="00B17D6E"/>
    <w:rsid w:val="00B17D8B"/>
    <w:rsid w:val="00B17F09"/>
    <w:rsid w:val="00B17F3B"/>
    <w:rsid w:val="00B17F69"/>
    <w:rsid w:val="00B17FDD"/>
    <w:rsid w:val="00B17FFB"/>
    <w:rsid w:val="00B20026"/>
    <w:rsid w:val="00B200EF"/>
    <w:rsid w:val="00B2045F"/>
    <w:rsid w:val="00B209BD"/>
    <w:rsid w:val="00B20B1D"/>
    <w:rsid w:val="00B20D09"/>
    <w:rsid w:val="00B20D5C"/>
    <w:rsid w:val="00B20E69"/>
    <w:rsid w:val="00B20F2A"/>
    <w:rsid w:val="00B21177"/>
    <w:rsid w:val="00B2125C"/>
    <w:rsid w:val="00B213AA"/>
    <w:rsid w:val="00B213B4"/>
    <w:rsid w:val="00B213BF"/>
    <w:rsid w:val="00B21407"/>
    <w:rsid w:val="00B2142F"/>
    <w:rsid w:val="00B21492"/>
    <w:rsid w:val="00B2152E"/>
    <w:rsid w:val="00B2153F"/>
    <w:rsid w:val="00B2177B"/>
    <w:rsid w:val="00B219D9"/>
    <w:rsid w:val="00B21A25"/>
    <w:rsid w:val="00B21A7D"/>
    <w:rsid w:val="00B21AE2"/>
    <w:rsid w:val="00B21BB5"/>
    <w:rsid w:val="00B21C1C"/>
    <w:rsid w:val="00B21C1D"/>
    <w:rsid w:val="00B21F5C"/>
    <w:rsid w:val="00B22016"/>
    <w:rsid w:val="00B2219B"/>
    <w:rsid w:val="00B221BE"/>
    <w:rsid w:val="00B221DF"/>
    <w:rsid w:val="00B2222C"/>
    <w:rsid w:val="00B222BD"/>
    <w:rsid w:val="00B22371"/>
    <w:rsid w:val="00B2241E"/>
    <w:rsid w:val="00B2249B"/>
    <w:rsid w:val="00B224CA"/>
    <w:rsid w:val="00B22566"/>
    <w:rsid w:val="00B22826"/>
    <w:rsid w:val="00B2292A"/>
    <w:rsid w:val="00B2292D"/>
    <w:rsid w:val="00B229A5"/>
    <w:rsid w:val="00B229EC"/>
    <w:rsid w:val="00B22A4F"/>
    <w:rsid w:val="00B22EF9"/>
    <w:rsid w:val="00B23165"/>
    <w:rsid w:val="00B231D5"/>
    <w:rsid w:val="00B23212"/>
    <w:rsid w:val="00B2344D"/>
    <w:rsid w:val="00B23603"/>
    <w:rsid w:val="00B2375B"/>
    <w:rsid w:val="00B23877"/>
    <w:rsid w:val="00B23C26"/>
    <w:rsid w:val="00B23CDD"/>
    <w:rsid w:val="00B23D81"/>
    <w:rsid w:val="00B23FD1"/>
    <w:rsid w:val="00B2415C"/>
    <w:rsid w:val="00B241A7"/>
    <w:rsid w:val="00B241D0"/>
    <w:rsid w:val="00B24209"/>
    <w:rsid w:val="00B242A3"/>
    <w:rsid w:val="00B2451A"/>
    <w:rsid w:val="00B24660"/>
    <w:rsid w:val="00B24741"/>
    <w:rsid w:val="00B247F7"/>
    <w:rsid w:val="00B2482D"/>
    <w:rsid w:val="00B248BB"/>
    <w:rsid w:val="00B24A62"/>
    <w:rsid w:val="00B24B4B"/>
    <w:rsid w:val="00B24CC5"/>
    <w:rsid w:val="00B24F4A"/>
    <w:rsid w:val="00B25075"/>
    <w:rsid w:val="00B25091"/>
    <w:rsid w:val="00B252A5"/>
    <w:rsid w:val="00B25340"/>
    <w:rsid w:val="00B25450"/>
    <w:rsid w:val="00B254D6"/>
    <w:rsid w:val="00B25538"/>
    <w:rsid w:val="00B25591"/>
    <w:rsid w:val="00B255CB"/>
    <w:rsid w:val="00B25656"/>
    <w:rsid w:val="00B25786"/>
    <w:rsid w:val="00B258DB"/>
    <w:rsid w:val="00B25992"/>
    <w:rsid w:val="00B259BD"/>
    <w:rsid w:val="00B259C5"/>
    <w:rsid w:val="00B259D9"/>
    <w:rsid w:val="00B25DC1"/>
    <w:rsid w:val="00B25E83"/>
    <w:rsid w:val="00B25F4A"/>
    <w:rsid w:val="00B2602E"/>
    <w:rsid w:val="00B260CC"/>
    <w:rsid w:val="00B26175"/>
    <w:rsid w:val="00B261D4"/>
    <w:rsid w:val="00B26281"/>
    <w:rsid w:val="00B264A2"/>
    <w:rsid w:val="00B264D0"/>
    <w:rsid w:val="00B265D2"/>
    <w:rsid w:val="00B266EE"/>
    <w:rsid w:val="00B26943"/>
    <w:rsid w:val="00B269E7"/>
    <w:rsid w:val="00B26AB8"/>
    <w:rsid w:val="00B26BD7"/>
    <w:rsid w:val="00B26D10"/>
    <w:rsid w:val="00B26FE0"/>
    <w:rsid w:val="00B270DF"/>
    <w:rsid w:val="00B27347"/>
    <w:rsid w:val="00B274B0"/>
    <w:rsid w:val="00B274EE"/>
    <w:rsid w:val="00B275E3"/>
    <w:rsid w:val="00B27634"/>
    <w:rsid w:val="00B276F4"/>
    <w:rsid w:val="00B277B2"/>
    <w:rsid w:val="00B27E46"/>
    <w:rsid w:val="00B303F7"/>
    <w:rsid w:val="00B305A3"/>
    <w:rsid w:val="00B306BC"/>
    <w:rsid w:val="00B30DF5"/>
    <w:rsid w:val="00B30EB5"/>
    <w:rsid w:val="00B3110F"/>
    <w:rsid w:val="00B315E8"/>
    <w:rsid w:val="00B316A1"/>
    <w:rsid w:val="00B316AD"/>
    <w:rsid w:val="00B3177D"/>
    <w:rsid w:val="00B3193A"/>
    <w:rsid w:val="00B31943"/>
    <w:rsid w:val="00B319B4"/>
    <w:rsid w:val="00B31A27"/>
    <w:rsid w:val="00B31A2E"/>
    <w:rsid w:val="00B31A5C"/>
    <w:rsid w:val="00B31C9C"/>
    <w:rsid w:val="00B31EF9"/>
    <w:rsid w:val="00B31F27"/>
    <w:rsid w:val="00B32187"/>
    <w:rsid w:val="00B321DB"/>
    <w:rsid w:val="00B3220E"/>
    <w:rsid w:val="00B3245F"/>
    <w:rsid w:val="00B325FE"/>
    <w:rsid w:val="00B326E6"/>
    <w:rsid w:val="00B32799"/>
    <w:rsid w:val="00B327FD"/>
    <w:rsid w:val="00B3295C"/>
    <w:rsid w:val="00B32B7B"/>
    <w:rsid w:val="00B32B9A"/>
    <w:rsid w:val="00B32D6C"/>
    <w:rsid w:val="00B32FF1"/>
    <w:rsid w:val="00B3332C"/>
    <w:rsid w:val="00B333EE"/>
    <w:rsid w:val="00B33477"/>
    <w:rsid w:val="00B336C0"/>
    <w:rsid w:val="00B33712"/>
    <w:rsid w:val="00B33715"/>
    <w:rsid w:val="00B33754"/>
    <w:rsid w:val="00B33909"/>
    <w:rsid w:val="00B33B1E"/>
    <w:rsid w:val="00B33C00"/>
    <w:rsid w:val="00B33E73"/>
    <w:rsid w:val="00B34008"/>
    <w:rsid w:val="00B342A0"/>
    <w:rsid w:val="00B34347"/>
    <w:rsid w:val="00B343AD"/>
    <w:rsid w:val="00B345A4"/>
    <w:rsid w:val="00B34618"/>
    <w:rsid w:val="00B347B7"/>
    <w:rsid w:val="00B3494A"/>
    <w:rsid w:val="00B34973"/>
    <w:rsid w:val="00B34EDA"/>
    <w:rsid w:val="00B3507C"/>
    <w:rsid w:val="00B3509F"/>
    <w:rsid w:val="00B351ED"/>
    <w:rsid w:val="00B35272"/>
    <w:rsid w:val="00B35275"/>
    <w:rsid w:val="00B353BF"/>
    <w:rsid w:val="00B353F5"/>
    <w:rsid w:val="00B35652"/>
    <w:rsid w:val="00B356AB"/>
    <w:rsid w:val="00B35767"/>
    <w:rsid w:val="00B3593C"/>
    <w:rsid w:val="00B35A39"/>
    <w:rsid w:val="00B35B3F"/>
    <w:rsid w:val="00B35D29"/>
    <w:rsid w:val="00B36022"/>
    <w:rsid w:val="00B3648F"/>
    <w:rsid w:val="00B36497"/>
    <w:rsid w:val="00B364CC"/>
    <w:rsid w:val="00B36533"/>
    <w:rsid w:val="00B365B2"/>
    <w:rsid w:val="00B368F9"/>
    <w:rsid w:val="00B36B1C"/>
    <w:rsid w:val="00B36BA8"/>
    <w:rsid w:val="00B36C18"/>
    <w:rsid w:val="00B36C62"/>
    <w:rsid w:val="00B36D8B"/>
    <w:rsid w:val="00B370AF"/>
    <w:rsid w:val="00B37163"/>
    <w:rsid w:val="00B371A0"/>
    <w:rsid w:val="00B371CA"/>
    <w:rsid w:val="00B3749D"/>
    <w:rsid w:val="00B375B5"/>
    <w:rsid w:val="00B37926"/>
    <w:rsid w:val="00B37990"/>
    <w:rsid w:val="00B37A1E"/>
    <w:rsid w:val="00B37E22"/>
    <w:rsid w:val="00B37E7F"/>
    <w:rsid w:val="00B37EC0"/>
    <w:rsid w:val="00B37FD0"/>
    <w:rsid w:val="00B400B9"/>
    <w:rsid w:val="00B400BE"/>
    <w:rsid w:val="00B400F8"/>
    <w:rsid w:val="00B40247"/>
    <w:rsid w:val="00B403DC"/>
    <w:rsid w:val="00B40A16"/>
    <w:rsid w:val="00B40BA8"/>
    <w:rsid w:val="00B40BBE"/>
    <w:rsid w:val="00B40CD2"/>
    <w:rsid w:val="00B40D86"/>
    <w:rsid w:val="00B40F84"/>
    <w:rsid w:val="00B410D1"/>
    <w:rsid w:val="00B4126D"/>
    <w:rsid w:val="00B41271"/>
    <w:rsid w:val="00B413CC"/>
    <w:rsid w:val="00B41695"/>
    <w:rsid w:val="00B417D6"/>
    <w:rsid w:val="00B4184A"/>
    <w:rsid w:val="00B41A3C"/>
    <w:rsid w:val="00B41B83"/>
    <w:rsid w:val="00B41C5E"/>
    <w:rsid w:val="00B41CAA"/>
    <w:rsid w:val="00B41D73"/>
    <w:rsid w:val="00B41D85"/>
    <w:rsid w:val="00B422F2"/>
    <w:rsid w:val="00B4235C"/>
    <w:rsid w:val="00B424DF"/>
    <w:rsid w:val="00B424F1"/>
    <w:rsid w:val="00B42716"/>
    <w:rsid w:val="00B428D1"/>
    <w:rsid w:val="00B42AAD"/>
    <w:rsid w:val="00B42CCE"/>
    <w:rsid w:val="00B42D36"/>
    <w:rsid w:val="00B42D37"/>
    <w:rsid w:val="00B42D67"/>
    <w:rsid w:val="00B42E09"/>
    <w:rsid w:val="00B431B4"/>
    <w:rsid w:val="00B434ED"/>
    <w:rsid w:val="00B4355C"/>
    <w:rsid w:val="00B43640"/>
    <w:rsid w:val="00B43651"/>
    <w:rsid w:val="00B4388F"/>
    <w:rsid w:val="00B4392C"/>
    <w:rsid w:val="00B43A74"/>
    <w:rsid w:val="00B43AAF"/>
    <w:rsid w:val="00B43C1E"/>
    <w:rsid w:val="00B43C44"/>
    <w:rsid w:val="00B43CE8"/>
    <w:rsid w:val="00B43DEE"/>
    <w:rsid w:val="00B43E78"/>
    <w:rsid w:val="00B43F18"/>
    <w:rsid w:val="00B43F20"/>
    <w:rsid w:val="00B4420E"/>
    <w:rsid w:val="00B44226"/>
    <w:rsid w:val="00B44602"/>
    <w:rsid w:val="00B44661"/>
    <w:rsid w:val="00B449BF"/>
    <w:rsid w:val="00B44A05"/>
    <w:rsid w:val="00B44A81"/>
    <w:rsid w:val="00B44BC1"/>
    <w:rsid w:val="00B44C0F"/>
    <w:rsid w:val="00B44CAD"/>
    <w:rsid w:val="00B44DFC"/>
    <w:rsid w:val="00B44F6C"/>
    <w:rsid w:val="00B4528C"/>
    <w:rsid w:val="00B45654"/>
    <w:rsid w:val="00B45758"/>
    <w:rsid w:val="00B458DE"/>
    <w:rsid w:val="00B4593A"/>
    <w:rsid w:val="00B459CB"/>
    <w:rsid w:val="00B45ADA"/>
    <w:rsid w:val="00B45D0C"/>
    <w:rsid w:val="00B45E40"/>
    <w:rsid w:val="00B4602C"/>
    <w:rsid w:val="00B46324"/>
    <w:rsid w:val="00B4637F"/>
    <w:rsid w:val="00B463C1"/>
    <w:rsid w:val="00B4640E"/>
    <w:rsid w:val="00B464F6"/>
    <w:rsid w:val="00B46594"/>
    <w:rsid w:val="00B46609"/>
    <w:rsid w:val="00B46626"/>
    <w:rsid w:val="00B4668B"/>
    <w:rsid w:val="00B46748"/>
    <w:rsid w:val="00B468A5"/>
    <w:rsid w:val="00B46B1F"/>
    <w:rsid w:val="00B46F8E"/>
    <w:rsid w:val="00B471B7"/>
    <w:rsid w:val="00B471F8"/>
    <w:rsid w:val="00B4728F"/>
    <w:rsid w:val="00B47371"/>
    <w:rsid w:val="00B47443"/>
    <w:rsid w:val="00B47496"/>
    <w:rsid w:val="00B47B6C"/>
    <w:rsid w:val="00B47BFA"/>
    <w:rsid w:val="00B47C1A"/>
    <w:rsid w:val="00B47CEC"/>
    <w:rsid w:val="00B47E32"/>
    <w:rsid w:val="00B50164"/>
    <w:rsid w:val="00B501AD"/>
    <w:rsid w:val="00B5020E"/>
    <w:rsid w:val="00B50233"/>
    <w:rsid w:val="00B503C8"/>
    <w:rsid w:val="00B504B4"/>
    <w:rsid w:val="00B5057E"/>
    <w:rsid w:val="00B506B0"/>
    <w:rsid w:val="00B50733"/>
    <w:rsid w:val="00B5080F"/>
    <w:rsid w:val="00B509A6"/>
    <w:rsid w:val="00B50A3B"/>
    <w:rsid w:val="00B50B86"/>
    <w:rsid w:val="00B50B9E"/>
    <w:rsid w:val="00B50DB5"/>
    <w:rsid w:val="00B5102D"/>
    <w:rsid w:val="00B51186"/>
    <w:rsid w:val="00B514D3"/>
    <w:rsid w:val="00B5155E"/>
    <w:rsid w:val="00B515A2"/>
    <w:rsid w:val="00B51957"/>
    <w:rsid w:val="00B5196B"/>
    <w:rsid w:val="00B51A30"/>
    <w:rsid w:val="00B51AD5"/>
    <w:rsid w:val="00B51C97"/>
    <w:rsid w:val="00B51D72"/>
    <w:rsid w:val="00B51DCC"/>
    <w:rsid w:val="00B51FD7"/>
    <w:rsid w:val="00B52007"/>
    <w:rsid w:val="00B52073"/>
    <w:rsid w:val="00B5210E"/>
    <w:rsid w:val="00B52212"/>
    <w:rsid w:val="00B523DA"/>
    <w:rsid w:val="00B5255A"/>
    <w:rsid w:val="00B526F4"/>
    <w:rsid w:val="00B52707"/>
    <w:rsid w:val="00B52761"/>
    <w:rsid w:val="00B52790"/>
    <w:rsid w:val="00B527E6"/>
    <w:rsid w:val="00B5299F"/>
    <w:rsid w:val="00B529D4"/>
    <w:rsid w:val="00B52AC1"/>
    <w:rsid w:val="00B52B41"/>
    <w:rsid w:val="00B52DDD"/>
    <w:rsid w:val="00B530F6"/>
    <w:rsid w:val="00B531C2"/>
    <w:rsid w:val="00B537B8"/>
    <w:rsid w:val="00B537F4"/>
    <w:rsid w:val="00B53C43"/>
    <w:rsid w:val="00B53D43"/>
    <w:rsid w:val="00B53F0F"/>
    <w:rsid w:val="00B5437A"/>
    <w:rsid w:val="00B54418"/>
    <w:rsid w:val="00B544C3"/>
    <w:rsid w:val="00B54BA6"/>
    <w:rsid w:val="00B54D12"/>
    <w:rsid w:val="00B55020"/>
    <w:rsid w:val="00B55092"/>
    <w:rsid w:val="00B550C5"/>
    <w:rsid w:val="00B5510B"/>
    <w:rsid w:val="00B551C2"/>
    <w:rsid w:val="00B5521D"/>
    <w:rsid w:val="00B5545E"/>
    <w:rsid w:val="00B55734"/>
    <w:rsid w:val="00B557A4"/>
    <w:rsid w:val="00B55804"/>
    <w:rsid w:val="00B55816"/>
    <w:rsid w:val="00B55C53"/>
    <w:rsid w:val="00B55C96"/>
    <w:rsid w:val="00B55CDD"/>
    <w:rsid w:val="00B55D18"/>
    <w:rsid w:val="00B55ED5"/>
    <w:rsid w:val="00B55F07"/>
    <w:rsid w:val="00B55F0D"/>
    <w:rsid w:val="00B56094"/>
    <w:rsid w:val="00B561A0"/>
    <w:rsid w:val="00B5638B"/>
    <w:rsid w:val="00B56446"/>
    <w:rsid w:val="00B564C0"/>
    <w:rsid w:val="00B568B8"/>
    <w:rsid w:val="00B56984"/>
    <w:rsid w:val="00B56989"/>
    <w:rsid w:val="00B56BF3"/>
    <w:rsid w:val="00B56DC6"/>
    <w:rsid w:val="00B56E52"/>
    <w:rsid w:val="00B57242"/>
    <w:rsid w:val="00B57269"/>
    <w:rsid w:val="00B57399"/>
    <w:rsid w:val="00B5752B"/>
    <w:rsid w:val="00B57562"/>
    <w:rsid w:val="00B57607"/>
    <w:rsid w:val="00B5768F"/>
    <w:rsid w:val="00B578A6"/>
    <w:rsid w:val="00B57998"/>
    <w:rsid w:val="00B57A10"/>
    <w:rsid w:val="00B57BD7"/>
    <w:rsid w:val="00B57D6C"/>
    <w:rsid w:val="00B57D7A"/>
    <w:rsid w:val="00B601BF"/>
    <w:rsid w:val="00B603DB"/>
    <w:rsid w:val="00B60527"/>
    <w:rsid w:val="00B609EB"/>
    <w:rsid w:val="00B609FE"/>
    <w:rsid w:val="00B60CB0"/>
    <w:rsid w:val="00B60D1B"/>
    <w:rsid w:val="00B610AE"/>
    <w:rsid w:val="00B61160"/>
    <w:rsid w:val="00B611DB"/>
    <w:rsid w:val="00B6125F"/>
    <w:rsid w:val="00B6133C"/>
    <w:rsid w:val="00B616F1"/>
    <w:rsid w:val="00B618AC"/>
    <w:rsid w:val="00B619E8"/>
    <w:rsid w:val="00B61ACB"/>
    <w:rsid w:val="00B61B7D"/>
    <w:rsid w:val="00B61F8E"/>
    <w:rsid w:val="00B62073"/>
    <w:rsid w:val="00B6250E"/>
    <w:rsid w:val="00B626D3"/>
    <w:rsid w:val="00B626FC"/>
    <w:rsid w:val="00B627C8"/>
    <w:rsid w:val="00B62A3A"/>
    <w:rsid w:val="00B62B4D"/>
    <w:rsid w:val="00B62CA2"/>
    <w:rsid w:val="00B62CB3"/>
    <w:rsid w:val="00B62F92"/>
    <w:rsid w:val="00B63443"/>
    <w:rsid w:val="00B635E7"/>
    <w:rsid w:val="00B637D5"/>
    <w:rsid w:val="00B638A4"/>
    <w:rsid w:val="00B639D9"/>
    <w:rsid w:val="00B63B0C"/>
    <w:rsid w:val="00B63B36"/>
    <w:rsid w:val="00B6420E"/>
    <w:rsid w:val="00B643DC"/>
    <w:rsid w:val="00B64470"/>
    <w:rsid w:val="00B645DE"/>
    <w:rsid w:val="00B64647"/>
    <w:rsid w:val="00B64821"/>
    <w:rsid w:val="00B64AAD"/>
    <w:rsid w:val="00B64AB7"/>
    <w:rsid w:val="00B64BCF"/>
    <w:rsid w:val="00B64C29"/>
    <w:rsid w:val="00B64DD8"/>
    <w:rsid w:val="00B64E18"/>
    <w:rsid w:val="00B6520B"/>
    <w:rsid w:val="00B65239"/>
    <w:rsid w:val="00B6523E"/>
    <w:rsid w:val="00B652DE"/>
    <w:rsid w:val="00B65371"/>
    <w:rsid w:val="00B656B3"/>
    <w:rsid w:val="00B656DE"/>
    <w:rsid w:val="00B65789"/>
    <w:rsid w:val="00B657B2"/>
    <w:rsid w:val="00B657ED"/>
    <w:rsid w:val="00B6595F"/>
    <w:rsid w:val="00B65A93"/>
    <w:rsid w:val="00B65BA6"/>
    <w:rsid w:val="00B65C7D"/>
    <w:rsid w:val="00B65C95"/>
    <w:rsid w:val="00B65D7A"/>
    <w:rsid w:val="00B65DAA"/>
    <w:rsid w:val="00B65EAA"/>
    <w:rsid w:val="00B660B8"/>
    <w:rsid w:val="00B66185"/>
    <w:rsid w:val="00B66323"/>
    <w:rsid w:val="00B66567"/>
    <w:rsid w:val="00B665DD"/>
    <w:rsid w:val="00B6663B"/>
    <w:rsid w:val="00B668DE"/>
    <w:rsid w:val="00B66923"/>
    <w:rsid w:val="00B66B2F"/>
    <w:rsid w:val="00B66BB7"/>
    <w:rsid w:val="00B66CA7"/>
    <w:rsid w:val="00B66D9D"/>
    <w:rsid w:val="00B66EF2"/>
    <w:rsid w:val="00B66FB2"/>
    <w:rsid w:val="00B6703D"/>
    <w:rsid w:val="00B6711B"/>
    <w:rsid w:val="00B671E0"/>
    <w:rsid w:val="00B67205"/>
    <w:rsid w:val="00B6722A"/>
    <w:rsid w:val="00B67345"/>
    <w:rsid w:val="00B67347"/>
    <w:rsid w:val="00B6743D"/>
    <w:rsid w:val="00B67530"/>
    <w:rsid w:val="00B67617"/>
    <w:rsid w:val="00B67670"/>
    <w:rsid w:val="00B678B1"/>
    <w:rsid w:val="00B678FD"/>
    <w:rsid w:val="00B67AAE"/>
    <w:rsid w:val="00B67B10"/>
    <w:rsid w:val="00B67E42"/>
    <w:rsid w:val="00B67E99"/>
    <w:rsid w:val="00B67EFE"/>
    <w:rsid w:val="00B70438"/>
    <w:rsid w:val="00B7061B"/>
    <w:rsid w:val="00B7082F"/>
    <w:rsid w:val="00B708F8"/>
    <w:rsid w:val="00B70976"/>
    <w:rsid w:val="00B70A37"/>
    <w:rsid w:val="00B70B52"/>
    <w:rsid w:val="00B70C99"/>
    <w:rsid w:val="00B70CCA"/>
    <w:rsid w:val="00B70FA9"/>
    <w:rsid w:val="00B7122E"/>
    <w:rsid w:val="00B7131C"/>
    <w:rsid w:val="00B71547"/>
    <w:rsid w:val="00B71781"/>
    <w:rsid w:val="00B71AFD"/>
    <w:rsid w:val="00B71B0A"/>
    <w:rsid w:val="00B71B28"/>
    <w:rsid w:val="00B71D9B"/>
    <w:rsid w:val="00B71E91"/>
    <w:rsid w:val="00B7221E"/>
    <w:rsid w:val="00B7228B"/>
    <w:rsid w:val="00B7228E"/>
    <w:rsid w:val="00B7237F"/>
    <w:rsid w:val="00B725EB"/>
    <w:rsid w:val="00B72ABC"/>
    <w:rsid w:val="00B72C54"/>
    <w:rsid w:val="00B72EB5"/>
    <w:rsid w:val="00B72F52"/>
    <w:rsid w:val="00B7310C"/>
    <w:rsid w:val="00B73138"/>
    <w:rsid w:val="00B731D3"/>
    <w:rsid w:val="00B733A7"/>
    <w:rsid w:val="00B735FD"/>
    <w:rsid w:val="00B737E2"/>
    <w:rsid w:val="00B738AE"/>
    <w:rsid w:val="00B73B92"/>
    <w:rsid w:val="00B73C43"/>
    <w:rsid w:val="00B73CD3"/>
    <w:rsid w:val="00B741EC"/>
    <w:rsid w:val="00B74361"/>
    <w:rsid w:val="00B744AF"/>
    <w:rsid w:val="00B74754"/>
    <w:rsid w:val="00B748EC"/>
    <w:rsid w:val="00B74987"/>
    <w:rsid w:val="00B7498B"/>
    <w:rsid w:val="00B74A0E"/>
    <w:rsid w:val="00B74A5A"/>
    <w:rsid w:val="00B74AA9"/>
    <w:rsid w:val="00B74AB8"/>
    <w:rsid w:val="00B74AF6"/>
    <w:rsid w:val="00B74BF3"/>
    <w:rsid w:val="00B74C77"/>
    <w:rsid w:val="00B74DD2"/>
    <w:rsid w:val="00B74EE4"/>
    <w:rsid w:val="00B74F3D"/>
    <w:rsid w:val="00B74F7F"/>
    <w:rsid w:val="00B75018"/>
    <w:rsid w:val="00B7539E"/>
    <w:rsid w:val="00B7560C"/>
    <w:rsid w:val="00B759D9"/>
    <w:rsid w:val="00B75A6C"/>
    <w:rsid w:val="00B75B08"/>
    <w:rsid w:val="00B75E4F"/>
    <w:rsid w:val="00B75E79"/>
    <w:rsid w:val="00B75F43"/>
    <w:rsid w:val="00B75FB9"/>
    <w:rsid w:val="00B76035"/>
    <w:rsid w:val="00B7608C"/>
    <w:rsid w:val="00B761CA"/>
    <w:rsid w:val="00B763D4"/>
    <w:rsid w:val="00B76412"/>
    <w:rsid w:val="00B764AB"/>
    <w:rsid w:val="00B765AF"/>
    <w:rsid w:val="00B765E4"/>
    <w:rsid w:val="00B76650"/>
    <w:rsid w:val="00B76860"/>
    <w:rsid w:val="00B7689B"/>
    <w:rsid w:val="00B7692C"/>
    <w:rsid w:val="00B76996"/>
    <w:rsid w:val="00B769B8"/>
    <w:rsid w:val="00B76A63"/>
    <w:rsid w:val="00B76AB3"/>
    <w:rsid w:val="00B76DFC"/>
    <w:rsid w:val="00B77036"/>
    <w:rsid w:val="00B77192"/>
    <w:rsid w:val="00B778CD"/>
    <w:rsid w:val="00B7796C"/>
    <w:rsid w:val="00B77B08"/>
    <w:rsid w:val="00B77C3A"/>
    <w:rsid w:val="00B77E43"/>
    <w:rsid w:val="00B77F38"/>
    <w:rsid w:val="00B77FA7"/>
    <w:rsid w:val="00B8041A"/>
    <w:rsid w:val="00B8054F"/>
    <w:rsid w:val="00B80552"/>
    <w:rsid w:val="00B807A7"/>
    <w:rsid w:val="00B80904"/>
    <w:rsid w:val="00B80BD0"/>
    <w:rsid w:val="00B80CDA"/>
    <w:rsid w:val="00B810B7"/>
    <w:rsid w:val="00B81125"/>
    <w:rsid w:val="00B813C0"/>
    <w:rsid w:val="00B814E6"/>
    <w:rsid w:val="00B8151D"/>
    <w:rsid w:val="00B81755"/>
    <w:rsid w:val="00B818B2"/>
    <w:rsid w:val="00B818C4"/>
    <w:rsid w:val="00B819B5"/>
    <w:rsid w:val="00B81ADF"/>
    <w:rsid w:val="00B81D79"/>
    <w:rsid w:val="00B81E5E"/>
    <w:rsid w:val="00B820E6"/>
    <w:rsid w:val="00B82187"/>
    <w:rsid w:val="00B821C5"/>
    <w:rsid w:val="00B8252D"/>
    <w:rsid w:val="00B82552"/>
    <w:rsid w:val="00B82594"/>
    <w:rsid w:val="00B826D4"/>
    <w:rsid w:val="00B8274C"/>
    <w:rsid w:val="00B829B0"/>
    <w:rsid w:val="00B82B83"/>
    <w:rsid w:val="00B82BE4"/>
    <w:rsid w:val="00B82F90"/>
    <w:rsid w:val="00B8333D"/>
    <w:rsid w:val="00B833C0"/>
    <w:rsid w:val="00B835FF"/>
    <w:rsid w:val="00B8369E"/>
    <w:rsid w:val="00B837F4"/>
    <w:rsid w:val="00B83861"/>
    <w:rsid w:val="00B83A16"/>
    <w:rsid w:val="00B83A76"/>
    <w:rsid w:val="00B83AB3"/>
    <w:rsid w:val="00B83ACB"/>
    <w:rsid w:val="00B83B8F"/>
    <w:rsid w:val="00B83BC5"/>
    <w:rsid w:val="00B83F6B"/>
    <w:rsid w:val="00B8419A"/>
    <w:rsid w:val="00B841BA"/>
    <w:rsid w:val="00B8426F"/>
    <w:rsid w:val="00B843B2"/>
    <w:rsid w:val="00B84750"/>
    <w:rsid w:val="00B84878"/>
    <w:rsid w:val="00B84AEC"/>
    <w:rsid w:val="00B84B83"/>
    <w:rsid w:val="00B84C9F"/>
    <w:rsid w:val="00B84D0A"/>
    <w:rsid w:val="00B84DC4"/>
    <w:rsid w:val="00B84E3D"/>
    <w:rsid w:val="00B84E61"/>
    <w:rsid w:val="00B84E69"/>
    <w:rsid w:val="00B84E85"/>
    <w:rsid w:val="00B84F66"/>
    <w:rsid w:val="00B84FFD"/>
    <w:rsid w:val="00B850AF"/>
    <w:rsid w:val="00B85119"/>
    <w:rsid w:val="00B851C9"/>
    <w:rsid w:val="00B85320"/>
    <w:rsid w:val="00B85337"/>
    <w:rsid w:val="00B85472"/>
    <w:rsid w:val="00B857D3"/>
    <w:rsid w:val="00B85900"/>
    <w:rsid w:val="00B85B31"/>
    <w:rsid w:val="00B85C20"/>
    <w:rsid w:val="00B862DE"/>
    <w:rsid w:val="00B862E2"/>
    <w:rsid w:val="00B86302"/>
    <w:rsid w:val="00B863B2"/>
    <w:rsid w:val="00B86934"/>
    <w:rsid w:val="00B869D1"/>
    <w:rsid w:val="00B86BA2"/>
    <w:rsid w:val="00B86C84"/>
    <w:rsid w:val="00B87266"/>
    <w:rsid w:val="00B872DF"/>
    <w:rsid w:val="00B87432"/>
    <w:rsid w:val="00B874C5"/>
    <w:rsid w:val="00B87538"/>
    <w:rsid w:val="00B87544"/>
    <w:rsid w:val="00B87786"/>
    <w:rsid w:val="00B87859"/>
    <w:rsid w:val="00B8796C"/>
    <w:rsid w:val="00B8798D"/>
    <w:rsid w:val="00B87DCF"/>
    <w:rsid w:val="00B87EDB"/>
    <w:rsid w:val="00B90198"/>
    <w:rsid w:val="00B903E6"/>
    <w:rsid w:val="00B9063D"/>
    <w:rsid w:val="00B90773"/>
    <w:rsid w:val="00B90ABF"/>
    <w:rsid w:val="00B90AFC"/>
    <w:rsid w:val="00B90BCD"/>
    <w:rsid w:val="00B90BF9"/>
    <w:rsid w:val="00B90C03"/>
    <w:rsid w:val="00B90D5E"/>
    <w:rsid w:val="00B90E60"/>
    <w:rsid w:val="00B90F95"/>
    <w:rsid w:val="00B91122"/>
    <w:rsid w:val="00B9123A"/>
    <w:rsid w:val="00B9128E"/>
    <w:rsid w:val="00B9138F"/>
    <w:rsid w:val="00B91578"/>
    <w:rsid w:val="00B915C1"/>
    <w:rsid w:val="00B917FD"/>
    <w:rsid w:val="00B9192C"/>
    <w:rsid w:val="00B91A4D"/>
    <w:rsid w:val="00B91C17"/>
    <w:rsid w:val="00B91D47"/>
    <w:rsid w:val="00B91DE2"/>
    <w:rsid w:val="00B91FE1"/>
    <w:rsid w:val="00B92098"/>
    <w:rsid w:val="00B920D4"/>
    <w:rsid w:val="00B92105"/>
    <w:rsid w:val="00B9212C"/>
    <w:rsid w:val="00B9227C"/>
    <w:rsid w:val="00B92400"/>
    <w:rsid w:val="00B9246A"/>
    <w:rsid w:val="00B9249D"/>
    <w:rsid w:val="00B92710"/>
    <w:rsid w:val="00B928B8"/>
    <w:rsid w:val="00B928D5"/>
    <w:rsid w:val="00B9291C"/>
    <w:rsid w:val="00B92BE7"/>
    <w:rsid w:val="00B92CE6"/>
    <w:rsid w:val="00B92D1D"/>
    <w:rsid w:val="00B9305D"/>
    <w:rsid w:val="00B93083"/>
    <w:rsid w:val="00B930AB"/>
    <w:rsid w:val="00B932A2"/>
    <w:rsid w:val="00B93302"/>
    <w:rsid w:val="00B93381"/>
    <w:rsid w:val="00B9350D"/>
    <w:rsid w:val="00B9351B"/>
    <w:rsid w:val="00B9352D"/>
    <w:rsid w:val="00B93544"/>
    <w:rsid w:val="00B938D7"/>
    <w:rsid w:val="00B93B1F"/>
    <w:rsid w:val="00B93B89"/>
    <w:rsid w:val="00B93BA7"/>
    <w:rsid w:val="00B93C42"/>
    <w:rsid w:val="00B93CE2"/>
    <w:rsid w:val="00B93E2F"/>
    <w:rsid w:val="00B93FC8"/>
    <w:rsid w:val="00B94384"/>
    <w:rsid w:val="00B94411"/>
    <w:rsid w:val="00B94AF2"/>
    <w:rsid w:val="00B94B27"/>
    <w:rsid w:val="00B94C54"/>
    <w:rsid w:val="00B94DE9"/>
    <w:rsid w:val="00B94E55"/>
    <w:rsid w:val="00B94EA2"/>
    <w:rsid w:val="00B9502E"/>
    <w:rsid w:val="00B951E2"/>
    <w:rsid w:val="00B95383"/>
    <w:rsid w:val="00B95537"/>
    <w:rsid w:val="00B9563B"/>
    <w:rsid w:val="00B95978"/>
    <w:rsid w:val="00B959D2"/>
    <w:rsid w:val="00B959D5"/>
    <w:rsid w:val="00B95AAE"/>
    <w:rsid w:val="00B95DB9"/>
    <w:rsid w:val="00B95DD3"/>
    <w:rsid w:val="00B9617C"/>
    <w:rsid w:val="00B96475"/>
    <w:rsid w:val="00B96566"/>
    <w:rsid w:val="00B9687E"/>
    <w:rsid w:val="00B96899"/>
    <w:rsid w:val="00B96B56"/>
    <w:rsid w:val="00B96B9F"/>
    <w:rsid w:val="00B96C35"/>
    <w:rsid w:val="00B96D92"/>
    <w:rsid w:val="00B973C6"/>
    <w:rsid w:val="00B9743B"/>
    <w:rsid w:val="00B9753B"/>
    <w:rsid w:val="00B97563"/>
    <w:rsid w:val="00B975F9"/>
    <w:rsid w:val="00B97606"/>
    <w:rsid w:val="00B978E6"/>
    <w:rsid w:val="00B979AE"/>
    <w:rsid w:val="00B97B0B"/>
    <w:rsid w:val="00B97B7C"/>
    <w:rsid w:val="00B97DAF"/>
    <w:rsid w:val="00B97F16"/>
    <w:rsid w:val="00B97F5B"/>
    <w:rsid w:val="00BA007D"/>
    <w:rsid w:val="00BA0090"/>
    <w:rsid w:val="00BA02AF"/>
    <w:rsid w:val="00BA0414"/>
    <w:rsid w:val="00BA0436"/>
    <w:rsid w:val="00BA056C"/>
    <w:rsid w:val="00BA0709"/>
    <w:rsid w:val="00BA07E4"/>
    <w:rsid w:val="00BA0807"/>
    <w:rsid w:val="00BA0915"/>
    <w:rsid w:val="00BA0922"/>
    <w:rsid w:val="00BA0AAE"/>
    <w:rsid w:val="00BA0BB2"/>
    <w:rsid w:val="00BA0E5F"/>
    <w:rsid w:val="00BA0F9E"/>
    <w:rsid w:val="00BA109D"/>
    <w:rsid w:val="00BA1152"/>
    <w:rsid w:val="00BA149D"/>
    <w:rsid w:val="00BA14DC"/>
    <w:rsid w:val="00BA1591"/>
    <w:rsid w:val="00BA1820"/>
    <w:rsid w:val="00BA18AC"/>
    <w:rsid w:val="00BA1965"/>
    <w:rsid w:val="00BA1A3E"/>
    <w:rsid w:val="00BA1D07"/>
    <w:rsid w:val="00BA1D2A"/>
    <w:rsid w:val="00BA200A"/>
    <w:rsid w:val="00BA2147"/>
    <w:rsid w:val="00BA224B"/>
    <w:rsid w:val="00BA237A"/>
    <w:rsid w:val="00BA2640"/>
    <w:rsid w:val="00BA2664"/>
    <w:rsid w:val="00BA2891"/>
    <w:rsid w:val="00BA2A06"/>
    <w:rsid w:val="00BA2CC3"/>
    <w:rsid w:val="00BA2D15"/>
    <w:rsid w:val="00BA2DCF"/>
    <w:rsid w:val="00BA2E18"/>
    <w:rsid w:val="00BA2FCB"/>
    <w:rsid w:val="00BA3138"/>
    <w:rsid w:val="00BA3195"/>
    <w:rsid w:val="00BA319C"/>
    <w:rsid w:val="00BA35FC"/>
    <w:rsid w:val="00BA386C"/>
    <w:rsid w:val="00BA3CB8"/>
    <w:rsid w:val="00BA406A"/>
    <w:rsid w:val="00BA4239"/>
    <w:rsid w:val="00BA4250"/>
    <w:rsid w:val="00BA42A7"/>
    <w:rsid w:val="00BA4338"/>
    <w:rsid w:val="00BA4499"/>
    <w:rsid w:val="00BA449F"/>
    <w:rsid w:val="00BA44CE"/>
    <w:rsid w:val="00BA46B1"/>
    <w:rsid w:val="00BA476A"/>
    <w:rsid w:val="00BA4815"/>
    <w:rsid w:val="00BA4899"/>
    <w:rsid w:val="00BA4EA1"/>
    <w:rsid w:val="00BA4F84"/>
    <w:rsid w:val="00BA54B0"/>
    <w:rsid w:val="00BA56AA"/>
    <w:rsid w:val="00BA5841"/>
    <w:rsid w:val="00BA588A"/>
    <w:rsid w:val="00BA5D30"/>
    <w:rsid w:val="00BA5D3E"/>
    <w:rsid w:val="00BA5E9E"/>
    <w:rsid w:val="00BA5F16"/>
    <w:rsid w:val="00BA5FBE"/>
    <w:rsid w:val="00BA6157"/>
    <w:rsid w:val="00BA63FC"/>
    <w:rsid w:val="00BA64AB"/>
    <w:rsid w:val="00BA6A2A"/>
    <w:rsid w:val="00BA6ABB"/>
    <w:rsid w:val="00BA6B55"/>
    <w:rsid w:val="00BA6B7D"/>
    <w:rsid w:val="00BA6FC3"/>
    <w:rsid w:val="00BA70FC"/>
    <w:rsid w:val="00BA724B"/>
    <w:rsid w:val="00BA726C"/>
    <w:rsid w:val="00BA7365"/>
    <w:rsid w:val="00BA7381"/>
    <w:rsid w:val="00BA7623"/>
    <w:rsid w:val="00BA773B"/>
    <w:rsid w:val="00BA7AB0"/>
    <w:rsid w:val="00BA7C0A"/>
    <w:rsid w:val="00BA7DDE"/>
    <w:rsid w:val="00BA7FAC"/>
    <w:rsid w:val="00BA7FB0"/>
    <w:rsid w:val="00BB00B1"/>
    <w:rsid w:val="00BB01D5"/>
    <w:rsid w:val="00BB034F"/>
    <w:rsid w:val="00BB0566"/>
    <w:rsid w:val="00BB09E3"/>
    <w:rsid w:val="00BB0A7F"/>
    <w:rsid w:val="00BB0AE1"/>
    <w:rsid w:val="00BB1093"/>
    <w:rsid w:val="00BB11BC"/>
    <w:rsid w:val="00BB1240"/>
    <w:rsid w:val="00BB151A"/>
    <w:rsid w:val="00BB16F9"/>
    <w:rsid w:val="00BB17F1"/>
    <w:rsid w:val="00BB1966"/>
    <w:rsid w:val="00BB1C20"/>
    <w:rsid w:val="00BB1D8D"/>
    <w:rsid w:val="00BB1E77"/>
    <w:rsid w:val="00BB2038"/>
    <w:rsid w:val="00BB20C4"/>
    <w:rsid w:val="00BB215B"/>
    <w:rsid w:val="00BB21BA"/>
    <w:rsid w:val="00BB23EF"/>
    <w:rsid w:val="00BB26BE"/>
    <w:rsid w:val="00BB26D1"/>
    <w:rsid w:val="00BB27CC"/>
    <w:rsid w:val="00BB28BB"/>
    <w:rsid w:val="00BB2992"/>
    <w:rsid w:val="00BB2A20"/>
    <w:rsid w:val="00BB2A5A"/>
    <w:rsid w:val="00BB2E04"/>
    <w:rsid w:val="00BB2E0D"/>
    <w:rsid w:val="00BB2F12"/>
    <w:rsid w:val="00BB2F1F"/>
    <w:rsid w:val="00BB33A9"/>
    <w:rsid w:val="00BB3496"/>
    <w:rsid w:val="00BB373D"/>
    <w:rsid w:val="00BB39CF"/>
    <w:rsid w:val="00BB3DCF"/>
    <w:rsid w:val="00BB4089"/>
    <w:rsid w:val="00BB40FA"/>
    <w:rsid w:val="00BB415C"/>
    <w:rsid w:val="00BB4168"/>
    <w:rsid w:val="00BB4276"/>
    <w:rsid w:val="00BB42CE"/>
    <w:rsid w:val="00BB431E"/>
    <w:rsid w:val="00BB4329"/>
    <w:rsid w:val="00BB4389"/>
    <w:rsid w:val="00BB4621"/>
    <w:rsid w:val="00BB47A1"/>
    <w:rsid w:val="00BB488A"/>
    <w:rsid w:val="00BB4EFB"/>
    <w:rsid w:val="00BB520A"/>
    <w:rsid w:val="00BB55BF"/>
    <w:rsid w:val="00BB55E7"/>
    <w:rsid w:val="00BB59E9"/>
    <w:rsid w:val="00BB5A8C"/>
    <w:rsid w:val="00BB5AE5"/>
    <w:rsid w:val="00BB5B00"/>
    <w:rsid w:val="00BB5BB5"/>
    <w:rsid w:val="00BB5CC1"/>
    <w:rsid w:val="00BB5CCD"/>
    <w:rsid w:val="00BB65AC"/>
    <w:rsid w:val="00BB66C9"/>
    <w:rsid w:val="00BB67C4"/>
    <w:rsid w:val="00BB69D6"/>
    <w:rsid w:val="00BB6A4D"/>
    <w:rsid w:val="00BB6E67"/>
    <w:rsid w:val="00BB71C2"/>
    <w:rsid w:val="00BB71ED"/>
    <w:rsid w:val="00BB766D"/>
    <w:rsid w:val="00BB76EA"/>
    <w:rsid w:val="00BB7706"/>
    <w:rsid w:val="00BB772D"/>
    <w:rsid w:val="00BB790C"/>
    <w:rsid w:val="00BB7CEB"/>
    <w:rsid w:val="00BB7E25"/>
    <w:rsid w:val="00BB7E94"/>
    <w:rsid w:val="00BC031C"/>
    <w:rsid w:val="00BC0908"/>
    <w:rsid w:val="00BC09F3"/>
    <w:rsid w:val="00BC0B63"/>
    <w:rsid w:val="00BC0BAC"/>
    <w:rsid w:val="00BC0E45"/>
    <w:rsid w:val="00BC11A0"/>
    <w:rsid w:val="00BC11A5"/>
    <w:rsid w:val="00BC127F"/>
    <w:rsid w:val="00BC1313"/>
    <w:rsid w:val="00BC13BB"/>
    <w:rsid w:val="00BC140D"/>
    <w:rsid w:val="00BC1455"/>
    <w:rsid w:val="00BC1557"/>
    <w:rsid w:val="00BC1870"/>
    <w:rsid w:val="00BC1A0E"/>
    <w:rsid w:val="00BC1A30"/>
    <w:rsid w:val="00BC1AC4"/>
    <w:rsid w:val="00BC1BC4"/>
    <w:rsid w:val="00BC1D1D"/>
    <w:rsid w:val="00BC1D37"/>
    <w:rsid w:val="00BC1F31"/>
    <w:rsid w:val="00BC1F48"/>
    <w:rsid w:val="00BC2743"/>
    <w:rsid w:val="00BC2764"/>
    <w:rsid w:val="00BC28D4"/>
    <w:rsid w:val="00BC2905"/>
    <w:rsid w:val="00BC2953"/>
    <w:rsid w:val="00BC299A"/>
    <w:rsid w:val="00BC2A22"/>
    <w:rsid w:val="00BC2A66"/>
    <w:rsid w:val="00BC2BC4"/>
    <w:rsid w:val="00BC2C44"/>
    <w:rsid w:val="00BC2F8D"/>
    <w:rsid w:val="00BC3508"/>
    <w:rsid w:val="00BC37A7"/>
    <w:rsid w:val="00BC387D"/>
    <w:rsid w:val="00BC38CD"/>
    <w:rsid w:val="00BC38FB"/>
    <w:rsid w:val="00BC3A46"/>
    <w:rsid w:val="00BC3ABC"/>
    <w:rsid w:val="00BC3C03"/>
    <w:rsid w:val="00BC3D5B"/>
    <w:rsid w:val="00BC3D70"/>
    <w:rsid w:val="00BC3FF9"/>
    <w:rsid w:val="00BC4080"/>
    <w:rsid w:val="00BC4088"/>
    <w:rsid w:val="00BC40CB"/>
    <w:rsid w:val="00BC40F7"/>
    <w:rsid w:val="00BC4459"/>
    <w:rsid w:val="00BC4475"/>
    <w:rsid w:val="00BC4539"/>
    <w:rsid w:val="00BC4620"/>
    <w:rsid w:val="00BC472B"/>
    <w:rsid w:val="00BC47D6"/>
    <w:rsid w:val="00BC48E3"/>
    <w:rsid w:val="00BC4947"/>
    <w:rsid w:val="00BC49DC"/>
    <w:rsid w:val="00BC4B8A"/>
    <w:rsid w:val="00BC4BA8"/>
    <w:rsid w:val="00BC4BBF"/>
    <w:rsid w:val="00BC4CBC"/>
    <w:rsid w:val="00BC4D8B"/>
    <w:rsid w:val="00BC4DF5"/>
    <w:rsid w:val="00BC4FDB"/>
    <w:rsid w:val="00BC516D"/>
    <w:rsid w:val="00BC5199"/>
    <w:rsid w:val="00BC54CF"/>
    <w:rsid w:val="00BC54DB"/>
    <w:rsid w:val="00BC5A60"/>
    <w:rsid w:val="00BC5A83"/>
    <w:rsid w:val="00BC5A92"/>
    <w:rsid w:val="00BC5B8F"/>
    <w:rsid w:val="00BC5C09"/>
    <w:rsid w:val="00BC5C93"/>
    <w:rsid w:val="00BC6031"/>
    <w:rsid w:val="00BC6052"/>
    <w:rsid w:val="00BC631B"/>
    <w:rsid w:val="00BC64A0"/>
    <w:rsid w:val="00BC64DD"/>
    <w:rsid w:val="00BC67DF"/>
    <w:rsid w:val="00BC67ED"/>
    <w:rsid w:val="00BC6803"/>
    <w:rsid w:val="00BC6823"/>
    <w:rsid w:val="00BC6EF4"/>
    <w:rsid w:val="00BC754A"/>
    <w:rsid w:val="00BC757F"/>
    <w:rsid w:val="00BC7761"/>
    <w:rsid w:val="00BC7838"/>
    <w:rsid w:val="00BC79B4"/>
    <w:rsid w:val="00BC79DB"/>
    <w:rsid w:val="00BC7BF5"/>
    <w:rsid w:val="00BC7C6D"/>
    <w:rsid w:val="00BC7CBA"/>
    <w:rsid w:val="00BC7D5E"/>
    <w:rsid w:val="00BC7EC3"/>
    <w:rsid w:val="00BD0098"/>
    <w:rsid w:val="00BD016E"/>
    <w:rsid w:val="00BD01BA"/>
    <w:rsid w:val="00BD0207"/>
    <w:rsid w:val="00BD02A1"/>
    <w:rsid w:val="00BD0319"/>
    <w:rsid w:val="00BD0608"/>
    <w:rsid w:val="00BD06DB"/>
    <w:rsid w:val="00BD0875"/>
    <w:rsid w:val="00BD0917"/>
    <w:rsid w:val="00BD0919"/>
    <w:rsid w:val="00BD0B22"/>
    <w:rsid w:val="00BD0CF1"/>
    <w:rsid w:val="00BD0DE5"/>
    <w:rsid w:val="00BD0FF8"/>
    <w:rsid w:val="00BD1011"/>
    <w:rsid w:val="00BD1106"/>
    <w:rsid w:val="00BD1926"/>
    <w:rsid w:val="00BD1974"/>
    <w:rsid w:val="00BD1B1B"/>
    <w:rsid w:val="00BD1C24"/>
    <w:rsid w:val="00BD1DB6"/>
    <w:rsid w:val="00BD1FB0"/>
    <w:rsid w:val="00BD1FC3"/>
    <w:rsid w:val="00BD22D2"/>
    <w:rsid w:val="00BD2345"/>
    <w:rsid w:val="00BD23A8"/>
    <w:rsid w:val="00BD259B"/>
    <w:rsid w:val="00BD2625"/>
    <w:rsid w:val="00BD27B5"/>
    <w:rsid w:val="00BD27E9"/>
    <w:rsid w:val="00BD28DD"/>
    <w:rsid w:val="00BD2A97"/>
    <w:rsid w:val="00BD2ABB"/>
    <w:rsid w:val="00BD2C54"/>
    <w:rsid w:val="00BD2E2D"/>
    <w:rsid w:val="00BD302A"/>
    <w:rsid w:val="00BD31E2"/>
    <w:rsid w:val="00BD3357"/>
    <w:rsid w:val="00BD3391"/>
    <w:rsid w:val="00BD343C"/>
    <w:rsid w:val="00BD35B4"/>
    <w:rsid w:val="00BD37E2"/>
    <w:rsid w:val="00BD3937"/>
    <w:rsid w:val="00BD394C"/>
    <w:rsid w:val="00BD394F"/>
    <w:rsid w:val="00BD3C53"/>
    <w:rsid w:val="00BD3C72"/>
    <w:rsid w:val="00BD3D72"/>
    <w:rsid w:val="00BD3F8E"/>
    <w:rsid w:val="00BD4143"/>
    <w:rsid w:val="00BD4171"/>
    <w:rsid w:val="00BD423F"/>
    <w:rsid w:val="00BD4308"/>
    <w:rsid w:val="00BD43CC"/>
    <w:rsid w:val="00BD441A"/>
    <w:rsid w:val="00BD4613"/>
    <w:rsid w:val="00BD4655"/>
    <w:rsid w:val="00BD49B8"/>
    <w:rsid w:val="00BD4A13"/>
    <w:rsid w:val="00BD4A83"/>
    <w:rsid w:val="00BD4C65"/>
    <w:rsid w:val="00BD4D42"/>
    <w:rsid w:val="00BD509B"/>
    <w:rsid w:val="00BD5144"/>
    <w:rsid w:val="00BD537C"/>
    <w:rsid w:val="00BD54D1"/>
    <w:rsid w:val="00BD54D6"/>
    <w:rsid w:val="00BD55ED"/>
    <w:rsid w:val="00BD5653"/>
    <w:rsid w:val="00BD5961"/>
    <w:rsid w:val="00BD5AA4"/>
    <w:rsid w:val="00BD5AF4"/>
    <w:rsid w:val="00BD5BD5"/>
    <w:rsid w:val="00BD5C26"/>
    <w:rsid w:val="00BD5ED5"/>
    <w:rsid w:val="00BD602F"/>
    <w:rsid w:val="00BD6129"/>
    <w:rsid w:val="00BD613F"/>
    <w:rsid w:val="00BD621E"/>
    <w:rsid w:val="00BD62C7"/>
    <w:rsid w:val="00BD6507"/>
    <w:rsid w:val="00BD6647"/>
    <w:rsid w:val="00BD6B18"/>
    <w:rsid w:val="00BD6B1B"/>
    <w:rsid w:val="00BD6D5A"/>
    <w:rsid w:val="00BD6EBF"/>
    <w:rsid w:val="00BD73F7"/>
    <w:rsid w:val="00BD744A"/>
    <w:rsid w:val="00BD7C0C"/>
    <w:rsid w:val="00BD7CBB"/>
    <w:rsid w:val="00BD7D9E"/>
    <w:rsid w:val="00BD7F0C"/>
    <w:rsid w:val="00BE00F9"/>
    <w:rsid w:val="00BE01C2"/>
    <w:rsid w:val="00BE0218"/>
    <w:rsid w:val="00BE0538"/>
    <w:rsid w:val="00BE054A"/>
    <w:rsid w:val="00BE0746"/>
    <w:rsid w:val="00BE0748"/>
    <w:rsid w:val="00BE081D"/>
    <w:rsid w:val="00BE0CF8"/>
    <w:rsid w:val="00BE0E2B"/>
    <w:rsid w:val="00BE100F"/>
    <w:rsid w:val="00BE101C"/>
    <w:rsid w:val="00BE1312"/>
    <w:rsid w:val="00BE1340"/>
    <w:rsid w:val="00BE141B"/>
    <w:rsid w:val="00BE144D"/>
    <w:rsid w:val="00BE174D"/>
    <w:rsid w:val="00BE1791"/>
    <w:rsid w:val="00BE18B4"/>
    <w:rsid w:val="00BE1946"/>
    <w:rsid w:val="00BE1A67"/>
    <w:rsid w:val="00BE1A85"/>
    <w:rsid w:val="00BE1C0B"/>
    <w:rsid w:val="00BE1F87"/>
    <w:rsid w:val="00BE1FA9"/>
    <w:rsid w:val="00BE2130"/>
    <w:rsid w:val="00BE25DC"/>
    <w:rsid w:val="00BE2662"/>
    <w:rsid w:val="00BE2932"/>
    <w:rsid w:val="00BE2956"/>
    <w:rsid w:val="00BE29A3"/>
    <w:rsid w:val="00BE2BCE"/>
    <w:rsid w:val="00BE2C62"/>
    <w:rsid w:val="00BE2CA5"/>
    <w:rsid w:val="00BE2CDF"/>
    <w:rsid w:val="00BE2DE3"/>
    <w:rsid w:val="00BE2F35"/>
    <w:rsid w:val="00BE330A"/>
    <w:rsid w:val="00BE360F"/>
    <w:rsid w:val="00BE3672"/>
    <w:rsid w:val="00BE36DE"/>
    <w:rsid w:val="00BE37AF"/>
    <w:rsid w:val="00BE3A8E"/>
    <w:rsid w:val="00BE415E"/>
    <w:rsid w:val="00BE41EA"/>
    <w:rsid w:val="00BE4301"/>
    <w:rsid w:val="00BE43B5"/>
    <w:rsid w:val="00BE43EF"/>
    <w:rsid w:val="00BE4450"/>
    <w:rsid w:val="00BE4810"/>
    <w:rsid w:val="00BE48FD"/>
    <w:rsid w:val="00BE4ABA"/>
    <w:rsid w:val="00BE4CE8"/>
    <w:rsid w:val="00BE4DE0"/>
    <w:rsid w:val="00BE4DEB"/>
    <w:rsid w:val="00BE4E58"/>
    <w:rsid w:val="00BE51CF"/>
    <w:rsid w:val="00BE51FC"/>
    <w:rsid w:val="00BE54AE"/>
    <w:rsid w:val="00BE54F2"/>
    <w:rsid w:val="00BE56D3"/>
    <w:rsid w:val="00BE56E5"/>
    <w:rsid w:val="00BE57C3"/>
    <w:rsid w:val="00BE58AD"/>
    <w:rsid w:val="00BE599F"/>
    <w:rsid w:val="00BE59D9"/>
    <w:rsid w:val="00BE5B7F"/>
    <w:rsid w:val="00BE5D7E"/>
    <w:rsid w:val="00BE5E78"/>
    <w:rsid w:val="00BE6118"/>
    <w:rsid w:val="00BE6355"/>
    <w:rsid w:val="00BE6420"/>
    <w:rsid w:val="00BE652B"/>
    <w:rsid w:val="00BE655C"/>
    <w:rsid w:val="00BE656F"/>
    <w:rsid w:val="00BE6813"/>
    <w:rsid w:val="00BE69CE"/>
    <w:rsid w:val="00BE69EC"/>
    <w:rsid w:val="00BE6B58"/>
    <w:rsid w:val="00BE6CDD"/>
    <w:rsid w:val="00BE6E1B"/>
    <w:rsid w:val="00BE7073"/>
    <w:rsid w:val="00BE7177"/>
    <w:rsid w:val="00BE7258"/>
    <w:rsid w:val="00BE7551"/>
    <w:rsid w:val="00BE75EC"/>
    <w:rsid w:val="00BE7673"/>
    <w:rsid w:val="00BE7704"/>
    <w:rsid w:val="00BE7739"/>
    <w:rsid w:val="00BE7766"/>
    <w:rsid w:val="00BE7886"/>
    <w:rsid w:val="00BE78C9"/>
    <w:rsid w:val="00BE7935"/>
    <w:rsid w:val="00BE7AD6"/>
    <w:rsid w:val="00BE7B79"/>
    <w:rsid w:val="00BE7CC6"/>
    <w:rsid w:val="00BE7E68"/>
    <w:rsid w:val="00BE7EE8"/>
    <w:rsid w:val="00BE7EF5"/>
    <w:rsid w:val="00BE7FCB"/>
    <w:rsid w:val="00BE7FEA"/>
    <w:rsid w:val="00BF01FF"/>
    <w:rsid w:val="00BF0292"/>
    <w:rsid w:val="00BF02AC"/>
    <w:rsid w:val="00BF09E1"/>
    <w:rsid w:val="00BF0A93"/>
    <w:rsid w:val="00BF0AEA"/>
    <w:rsid w:val="00BF0B2A"/>
    <w:rsid w:val="00BF0D1D"/>
    <w:rsid w:val="00BF0D7E"/>
    <w:rsid w:val="00BF0D87"/>
    <w:rsid w:val="00BF0D99"/>
    <w:rsid w:val="00BF10C5"/>
    <w:rsid w:val="00BF10E9"/>
    <w:rsid w:val="00BF114B"/>
    <w:rsid w:val="00BF119F"/>
    <w:rsid w:val="00BF1351"/>
    <w:rsid w:val="00BF153D"/>
    <w:rsid w:val="00BF16F7"/>
    <w:rsid w:val="00BF189E"/>
    <w:rsid w:val="00BF191E"/>
    <w:rsid w:val="00BF1C26"/>
    <w:rsid w:val="00BF20D8"/>
    <w:rsid w:val="00BF21EF"/>
    <w:rsid w:val="00BF2351"/>
    <w:rsid w:val="00BF2358"/>
    <w:rsid w:val="00BF23E5"/>
    <w:rsid w:val="00BF2426"/>
    <w:rsid w:val="00BF2446"/>
    <w:rsid w:val="00BF25E1"/>
    <w:rsid w:val="00BF277E"/>
    <w:rsid w:val="00BF2924"/>
    <w:rsid w:val="00BF2A65"/>
    <w:rsid w:val="00BF2B4D"/>
    <w:rsid w:val="00BF2C8D"/>
    <w:rsid w:val="00BF2CEA"/>
    <w:rsid w:val="00BF2DE7"/>
    <w:rsid w:val="00BF2F71"/>
    <w:rsid w:val="00BF3013"/>
    <w:rsid w:val="00BF30F2"/>
    <w:rsid w:val="00BF30F9"/>
    <w:rsid w:val="00BF31A7"/>
    <w:rsid w:val="00BF3282"/>
    <w:rsid w:val="00BF342E"/>
    <w:rsid w:val="00BF35C1"/>
    <w:rsid w:val="00BF372A"/>
    <w:rsid w:val="00BF39CA"/>
    <w:rsid w:val="00BF3A68"/>
    <w:rsid w:val="00BF3A70"/>
    <w:rsid w:val="00BF3C17"/>
    <w:rsid w:val="00BF3C44"/>
    <w:rsid w:val="00BF3CE5"/>
    <w:rsid w:val="00BF3D57"/>
    <w:rsid w:val="00BF3EFE"/>
    <w:rsid w:val="00BF3FD1"/>
    <w:rsid w:val="00BF402C"/>
    <w:rsid w:val="00BF4084"/>
    <w:rsid w:val="00BF4395"/>
    <w:rsid w:val="00BF43F8"/>
    <w:rsid w:val="00BF4505"/>
    <w:rsid w:val="00BF4698"/>
    <w:rsid w:val="00BF46C0"/>
    <w:rsid w:val="00BF49B6"/>
    <w:rsid w:val="00BF4A2B"/>
    <w:rsid w:val="00BF4AA4"/>
    <w:rsid w:val="00BF4B25"/>
    <w:rsid w:val="00BF4B64"/>
    <w:rsid w:val="00BF5017"/>
    <w:rsid w:val="00BF522B"/>
    <w:rsid w:val="00BF5258"/>
    <w:rsid w:val="00BF52CA"/>
    <w:rsid w:val="00BF53C4"/>
    <w:rsid w:val="00BF5429"/>
    <w:rsid w:val="00BF5430"/>
    <w:rsid w:val="00BF560D"/>
    <w:rsid w:val="00BF5685"/>
    <w:rsid w:val="00BF5702"/>
    <w:rsid w:val="00BF57C8"/>
    <w:rsid w:val="00BF5B55"/>
    <w:rsid w:val="00BF5D48"/>
    <w:rsid w:val="00BF5DC1"/>
    <w:rsid w:val="00BF5F03"/>
    <w:rsid w:val="00BF5FB4"/>
    <w:rsid w:val="00BF5FDC"/>
    <w:rsid w:val="00BF5FE1"/>
    <w:rsid w:val="00BF5FF1"/>
    <w:rsid w:val="00BF600A"/>
    <w:rsid w:val="00BF602C"/>
    <w:rsid w:val="00BF6238"/>
    <w:rsid w:val="00BF6297"/>
    <w:rsid w:val="00BF649B"/>
    <w:rsid w:val="00BF64A0"/>
    <w:rsid w:val="00BF65AA"/>
    <w:rsid w:val="00BF6617"/>
    <w:rsid w:val="00BF6640"/>
    <w:rsid w:val="00BF6882"/>
    <w:rsid w:val="00BF68C8"/>
    <w:rsid w:val="00BF696B"/>
    <w:rsid w:val="00BF6C9E"/>
    <w:rsid w:val="00BF6CD4"/>
    <w:rsid w:val="00BF6D1A"/>
    <w:rsid w:val="00BF6D54"/>
    <w:rsid w:val="00BF6E08"/>
    <w:rsid w:val="00BF6E59"/>
    <w:rsid w:val="00BF6EDA"/>
    <w:rsid w:val="00BF7188"/>
    <w:rsid w:val="00BF7252"/>
    <w:rsid w:val="00BF7344"/>
    <w:rsid w:val="00BF743A"/>
    <w:rsid w:val="00BF7499"/>
    <w:rsid w:val="00BF75C3"/>
    <w:rsid w:val="00BF77B8"/>
    <w:rsid w:val="00BF78FA"/>
    <w:rsid w:val="00BF7BFD"/>
    <w:rsid w:val="00BF7C06"/>
    <w:rsid w:val="00BF7D9A"/>
    <w:rsid w:val="00C0009F"/>
    <w:rsid w:val="00C000F2"/>
    <w:rsid w:val="00C001AC"/>
    <w:rsid w:val="00C00289"/>
    <w:rsid w:val="00C0030F"/>
    <w:rsid w:val="00C0042A"/>
    <w:rsid w:val="00C0057D"/>
    <w:rsid w:val="00C00653"/>
    <w:rsid w:val="00C006D9"/>
    <w:rsid w:val="00C0075F"/>
    <w:rsid w:val="00C00A4D"/>
    <w:rsid w:val="00C00A4F"/>
    <w:rsid w:val="00C00B66"/>
    <w:rsid w:val="00C00DD5"/>
    <w:rsid w:val="00C00F3B"/>
    <w:rsid w:val="00C0122A"/>
    <w:rsid w:val="00C01361"/>
    <w:rsid w:val="00C013AD"/>
    <w:rsid w:val="00C0145D"/>
    <w:rsid w:val="00C015FA"/>
    <w:rsid w:val="00C01618"/>
    <w:rsid w:val="00C016D2"/>
    <w:rsid w:val="00C017CF"/>
    <w:rsid w:val="00C0180E"/>
    <w:rsid w:val="00C01C0A"/>
    <w:rsid w:val="00C01CB9"/>
    <w:rsid w:val="00C01D0C"/>
    <w:rsid w:val="00C01D18"/>
    <w:rsid w:val="00C01E68"/>
    <w:rsid w:val="00C02012"/>
    <w:rsid w:val="00C02294"/>
    <w:rsid w:val="00C02480"/>
    <w:rsid w:val="00C024D1"/>
    <w:rsid w:val="00C026E8"/>
    <w:rsid w:val="00C02826"/>
    <w:rsid w:val="00C0285F"/>
    <w:rsid w:val="00C02B09"/>
    <w:rsid w:val="00C02CF1"/>
    <w:rsid w:val="00C02EA4"/>
    <w:rsid w:val="00C02F53"/>
    <w:rsid w:val="00C02F9F"/>
    <w:rsid w:val="00C030B7"/>
    <w:rsid w:val="00C03256"/>
    <w:rsid w:val="00C034BE"/>
    <w:rsid w:val="00C034F3"/>
    <w:rsid w:val="00C03514"/>
    <w:rsid w:val="00C03758"/>
    <w:rsid w:val="00C039AB"/>
    <w:rsid w:val="00C03B2F"/>
    <w:rsid w:val="00C03C3A"/>
    <w:rsid w:val="00C03D27"/>
    <w:rsid w:val="00C03F77"/>
    <w:rsid w:val="00C040D9"/>
    <w:rsid w:val="00C04395"/>
    <w:rsid w:val="00C044FC"/>
    <w:rsid w:val="00C04636"/>
    <w:rsid w:val="00C0477C"/>
    <w:rsid w:val="00C047D0"/>
    <w:rsid w:val="00C04B50"/>
    <w:rsid w:val="00C04B6F"/>
    <w:rsid w:val="00C04D1A"/>
    <w:rsid w:val="00C04EA4"/>
    <w:rsid w:val="00C04ED7"/>
    <w:rsid w:val="00C050D5"/>
    <w:rsid w:val="00C051E3"/>
    <w:rsid w:val="00C05287"/>
    <w:rsid w:val="00C05331"/>
    <w:rsid w:val="00C05371"/>
    <w:rsid w:val="00C0553F"/>
    <w:rsid w:val="00C057F0"/>
    <w:rsid w:val="00C0581F"/>
    <w:rsid w:val="00C0593E"/>
    <w:rsid w:val="00C05A2B"/>
    <w:rsid w:val="00C05BCC"/>
    <w:rsid w:val="00C05E0E"/>
    <w:rsid w:val="00C05F98"/>
    <w:rsid w:val="00C0625E"/>
    <w:rsid w:val="00C06492"/>
    <w:rsid w:val="00C06560"/>
    <w:rsid w:val="00C0663E"/>
    <w:rsid w:val="00C066E7"/>
    <w:rsid w:val="00C066EA"/>
    <w:rsid w:val="00C06981"/>
    <w:rsid w:val="00C06E37"/>
    <w:rsid w:val="00C06E69"/>
    <w:rsid w:val="00C06EED"/>
    <w:rsid w:val="00C070AF"/>
    <w:rsid w:val="00C07485"/>
    <w:rsid w:val="00C07489"/>
    <w:rsid w:val="00C0754C"/>
    <w:rsid w:val="00C075D3"/>
    <w:rsid w:val="00C076BD"/>
    <w:rsid w:val="00C077BD"/>
    <w:rsid w:val="00C0785B"/>
    <w:rsid w:val="00C07867"/>
    <w:rsid w:val="00C07900"/>
    <w:rsid w:val="00C07A4B"/>
    <w:rsid w:val="00C07AB5"/>
    <w:rsid w:val="00C07AEC"/>
    <w:rsid w:val="00C07AEE"/>
    <w:rsid w:val="00C07BFB"/>
    <w:rsid w:val="00C07C75"/>
    <w:rsid w:val="00C07D64"/>
    <w:rsid w:val="00C07E9A"/>
    <w:rsid w:val="00C10049"/>
    <w:rsid w:val="00C1024B"/>
    <w:rsid w:val="00C1059C"/>
    <w:rsid w:val="00C1067A"/>
    <w:rsid w:val="00C10752"/>
    <w:rsid w:val="00C10A2E"/>
    <w:rsid w:val="00C10ADD"/>
    <w:rsid w:val="00C10B0D"/>
    <w:rsid w:val="00C10D28"/>
    <w:rsid w:val="00C10D29"/>
    <w:rsid w:val="00C1112B"/>
    <w:rsid w:val="00C111DB"/>
    <w:rsid w:val="00C1137D"/>
    <w:rsid w:val="00C114E5"/>
    <w:rsid w:val="00C11560"/>
    <w:rsid w:val="00C1159D"/>
    <w:rsid w:val="00C1164C"/>
    <w:rsid w:val="00C11767"/>
    <w:rsid w:val="00C117AD"/>
    <w:rsid w:val="00C11924"/>
    <w:rsid w:val="00C11A7B"/>
    <w:rsid w:val="00C12211"/>
    <w:rsid w:val="00C122F7"/>
    <w:rsid w:val="00C1246F"/>
    <w:rsid w:val="00C1274D"/>
    <w:rsid w:val="00C12823"/>
    <w:rsid w:val="00C129F4"/>
    <w:rsid w:val="00C12A49"/>
    <w:rsid w:val="00C12E28"/>
    <w:rsid w:val="00C12E40"/>
    <w:rsid w:val="00C13275"/>
    <w:rsid w:val="00C132EF"/>
    <w:rsid w:val="00C133F0"/>
    <w:rsid w:val="00C136C4"/>
    <w:rsid w:val="00C13800"/>
    <w:rsid w:val="00C13835"/>
    <w:rsid w:val="00C13874"/>
    <w:rsid w:val="00C1389B"/>
    <w:rsid w:val="00C138C1"/>
    <w:rsid w:val="00C139F0"/>
    <w:rsid w:val="00C13AE9"/>
    <w:rsid w:val="00C13FB1"/>
    <w:rsid w:val="00C140AD"/>
    <w:rsid w:val="00C1411D"/>
    <w:rsid w:val="00C14279"/>
    <w:rsid w:val="00C1440E"/>
    <w:rsid w:val="00C14482"/>
    <w:rsid w:val="00C144F3"/>
    <w:rsid w:val="00C14664"/>
    <w:rsid w:val="00C1480B"/>
    <w:rsid w:val="00C14A2C"/>
    <w:rsid w:val="00C14D67"/>
    <w:rsid w:val="00C14D72"/>
    <w:rsid w:val="00C14DCE"/>
    <w:rsid w:val="00C14E75"/>
    <w:rsid w:val="00C14E90"/>
    <w:rsid w:val="00C14F30"/>
    <w:rsid w:val="00C14FBE"/>
    <w:rsid w:val="00C15188"/>
    <w:rsid w:val="00C15225"/>
    <w:rsid w:val="00C1526C"/>
    <w:rsid w:val="00C15431"/>
    <w:rsid w:val="00C15445"/>
    <w:rsid w:val="00C156AC"/>
    <w:rsid w:val="00C15A11"/>
    <w:rsid w:val="00C15D11"/>
    <w:rsid w:val="00C15EA9"/>
    <w:rsid w:val="00C16034"/>
    <w:rsid w:val="00C16102"/>
    <w:rsid w:val="00C16104"/>
    <w:rsid w:val="00C1613C"/>
    <w:rsid w:val="00C16441"/>
    <w:rsid w:val="00C1649A"/>
    <w:rsid w:val="00C1652C"/>
    <w:rsid w:val="00C16B0E"/>
    <w:rsid w:val="00C16B1F"/>
    <w:rsid w:val="00C16C0E"/>
    <w:rsid w:val="00C16E70"/>
    <w:rsid w:val="00C1710E"/>
    <w:rsid w:val="00C17167"/>
    <w:rsid w:val="00C171F9"/>
    <w:rsid w:val="00C1729C"/>
    <w:rsid w:val="00C17437"/>
    <w:rsid w:val="00C17523"/>
    <w:rsid w:val="00C1756F"/>
    <w:rsid w:val="00C17584"/>
    <w:rsid w:val="00C1791C"/>
    <w:rsid w:val="00C179E1"/>
    <w:rsid w:val="00C17FAB"/>
    <w:rsid w:val="00C17FC3"/>
    <w:rsid w:val="00C20006"/>
    <w:rsid w:val="00C20166"/>
    <w:rsid w:val="00C2023E"/>
    <w:rsid w:val="00C20327"/>
    <w:rsid w:val="00C20404"/>
    <w:rsid w:val="00C20447"/>
    <w:rsid w:val="00C2058F"/>
    <w:rsid w:val="00C205C1"/>
    <w:rsid w:val="00C2069A"/>
    <w:rsid w:val="00C20818"/>
    <w:rsid w:val="00C20ACB"/>
    <w:rsid w:val="00C20D95"/>
    <w:rsid w:val="00C20D96"/>
    <w:rsid w:val="00C20DB8"/>
    <w:rsid w:val="00C20E6E"/>
    <w:rsid w:val="00C20E86"/>
    <w:rsid w:val="00C21009"/>
    <w:rsid w:val="00C210AB"/>
    <w:rsid w:val="00C2117F"/>
    <w:rsid w:val="00C211BD"/>
    <w:rsid w:val="00C2124D"/>
    <w:rsid w:val="00C21328"/>
    <w:rsid w:val="00C21430"/>
    <w:rsid w:val="00C21441"/>
    <w:rsid w:val="00C21459"/>
    <w:rsid w:val="00C214E9"/>
    <w:rsid w:val="00C215C7"/>
    <w:rsid w:val="00C215EA"/>
    <w:rsid w:val="00C217BC"/>
    <w:rsid w:val="00C217D1"/>
    <w:rsid w:val="00C217E6"/>
    <w:rsid w:val="00C21925"/>
    <w:rsid w:val="00C219A7"/>
    <w:rsid w:val="00C21A19"/>
    <w:rsid w:val="00C21A47"/>
    <w:rsid w:val="00C21A95"/>
    <w:rsid w:val="00C21AD5"/>
    <w:rsid w:val="00C21B4E"/>
    <w:rsid w:val="00C21C6F"/>
    <w:rsid w:val="00C21DFB"/>
    <w:rsid w:val="00C21EC7"/>
    <w:rsid w:val="00C21ED6"/>
    <w:rsid w:val="00C21F0E"/>
    <w:rsid w:val="00C22457"/>
    <w:rsid w:val="00C2262A"/>
    <w:rsid w:val="00C226E8"/>
    <w:rsid w:val="00C2283F"/>
    <w:rsid w:val="00C228C5"/>
    <w:rsid w:val="00C228D3"/>
    <w:rsid w:val="00C22E83"/>
    <w:rsid w:val="00C22F90"/>
    <w:rsid w:val="00C231EF"/>
    <w:rsid w:val="00C233E3"/>
    <w:rsid w:val="00C234BC"/>
    <w:rsid w:val="00C23581"/>
    <w:rsid w:val="00C23807"/>
    <w:rsid w:val="00C23841"/>
    <w:rsid w:val="00C23898"/>
    <w:rsid w:val="00C23B7C"/>
    <w:rsid w:val="00C23CDB"/>
    <w:rsid w:val="00C23D0D"/>
    <w:rsid w:val="00C240AF"/>
    <w:rsid w:val="00C241B0"/>
    <w:rsid w:val="00C24294"/>
    <w:rsid w:val="00C245F1"/>
    <w:rsid w:val="00C246FF"/>
    <w:rsid w:val="00C24787"/>
    <w:rsid w:val="00C248EB"/>
    <w:rsid w:val="00C2490D"/>
    <w:rsid w:val="00C24A2C"/>
    <w:rsid w:val="00C24AC0"/>
    <w:rsid w:val="00C24B95"/>
    <w:rsid w:val="00C24BB5"/>
    <w:rsid w:val="00C24BC9"/>
    <w:rsid w:val="00C2518B"/>
    <w:rsid w:val="00C25476"/>
    <w:rsid w:val="00C255D3"/>
    <w:rsid w:val="00C25828"/>
    <w:rsid w:val="00C2585C"/>
    <w:rsid w:val="00C259E4"/>
    <w:rsid w:val="00C25A2E"/>
    <w:rsid w:val="00C25C63"/>
    <w:rsid w:val="00C25D27"/>
    <w:rsid w:val="00C25E7F"/>
    <w:rsid w:val="00C25F5A"/>
    <w:rsid w:val="00C25F74"/>
    <w:rsid w:val="00C2607B"/>
    <w:rsid w:val="00C262CB"/>
    <w:rsid w:val="00C263DF"/>
    <w:rsid w:val="00C263FE"/>
    <w:rsid w:val="00C265A6"/>
    <w:rsid w:val="00C266A4"/>
    <w:rsid w:val="00C26724"/>
    <w:rsid w:val="00C2697E"/>
    <w:rsid w:val="00C269BB"/>
    <w:rsid w:val="00C26A15"/>
    <w:rsid w:val="00C26B23"/>
    <w:rsid w:val="00C2714C"/>
    <w:rsid w:val="00C27276"/>
    <w:rsid w:val="00C272E7"/>
    <w:rsid w:val="00C27502"/>
    <w:rsid w:val="00C27566"/>
    <w:rsid w:val="00C2764A"/>
    <w:rsid w:val="00C2764F"/>
    <w:rsid w:val="00C276BA"/>
    <w:rsid w:val="00C27A63"/>
    <w:rsid w:val="00C27A7C"/>
    <w:rsid w:val="00C27B84"/>
    <w:rsid w:val="00C27BC0"/>
    <w:rsid w:val="00C27D4D"/>
    <w:rsid w:val="00C27F3D"/>
    <w:rsid w:val="00C3010E"/>
    <w:rsid w:val="00C302C5"/>
    <w:rsid w:val="00C30340"/>
    <w:rsid w:val="00C30394"/>
    <w:rsid w:val="00C30432"/>
    <w:rsid w:val="00C304DB"/>
    <w:rsid w:val="00C304F1"/>
    <w:rsid w:val="00C306CF"/>
    <w:rsid w:val="00C30775"/>
    <w:rsid w:val="00C30862"/>
    <w:rsid w:val="00C308B8"/>
    <w:rsid w:val="00C30973"/>
    <w:rsid w:val="00C30A88"/>
    <w:rsid w:val="00C30AC9"/>
    <w:rsid w:val="00C30C76"/>
    <w:rsid w:val="00C30C98"/>
    <w:rsid w:val="00C30D35"/>
    <w:rsid w:val="00C30D3C"/>
    <w:rsid w:val="00C30E0C"/>
    <w:rsid w:val="00C30E79"/>
    <w:rsid w:val="00C31006"/>
    <w:rsid w:val="00C31193"/>
    <w:rsid w:val="00C31216"/>
    <w:rsid w:val="00C31237"/>
    <w:rsid w:val="00C31633"/>
    <w:rsid w:val="00C316CA"/>
    <w:rsid w:val="00C31944"/>
    <w:rsid w:val="00C3196E"/>
    <w:rsid w:val="00C31B00"/>
    <w:rsid w:val="00C31B8C"/>
    <w:rsid w:val="00C31BDF"/>
    <w:rsid w:val="00C31CD7"/>
    <w:rsid w:val="00C31F3F"/>
    <w:rsid w:val="00C31F68"/>
    <w:rsid w:val="00C3203A"/>
    <w:rsid w:val="00C3219D"/>
    <w:rsid w:val="00C322B4"/>
    <w:rsid w:val="00C3247D"/>
    <w:rsid w:val="00C324B6"/>
    <w:rsid w:val="00C326F9"/>
    <w:rsid w:val="00C327B6"/>
    <w:rsid w:val="00C32B83"/>
    <w:rsid w:val="00C32C9B"/>
    <w:rsid w:val="00C32E2F"/>
    <w:rsid w:val="00C32FBA"/>
    <w:rsid w:val="00C3327A"/>
    <w:rsid w:val="00C334F0"/>
    <w:rsid w:val="00C33823"/>
    <w:rsid w:val="00C33929"/>
    <w:rsid w:val="00C33938"/>
    <w:rsid w:val="00C33C35"/>
    <w:rsid w:val="00C33D76"/>
    <w:rsid w:val="00C33DFD"/>
    <w:rsid w:val="00C33EDB"/>
    <w:rsid w:val="00C33F56"/>
    <w:rsid w:val="00C34092"/>
    <w:rsid w:val="00C340D6"/>
    <w:rsid w:val="00C3412B"/>
    <w:rsid w:val="00C343AA"/>
    <w:rsid w:val="00C343FC"/>
    <w:rsid w:val="00C3487B"/>
    <w:rsid w:val="00C349A1"/>
    <w:rsid w:val="00C34A6C"/>
    <w:rsid w:val="00C34ADF"/>
    <w:rsid w:val="00C34DA0"/>
    <w:rsid w:val="00C34EC0"/>
    <w:rsid w:val="00C34EE6"/>
    <w:rsid w:val="00C350AB"/>
    <w:rsid w:val="00C35210"/>
    <w:rsid w:val="00C35392"/>
    <w:rsid w:val="00C353B2"/>
    <w:rsid w:val="00C354AB"/>
    <w:rsid w:val="00C355A7"/>
    <w:rsid w:val="00C35694"/>
    <w:rsid w:val="00C3579B"/>
    <w:rsid w:val="00C35868"/>
    <w:rsid w:val="00C35913"/>
    <w:rsid w:val="00C35B11"/>
    <w:rsid w:val="00C35DAC"/>
    <w:rsid w:val="00C35E6F"/>
    <w:rsid w:val="00C35F47"/>
    <w:rsid w:val="00C36003"/>
    <w:rsid w:val="00C3608E"/>
    <w:rsid w:val="00C36097"/>
    <w:rsid w:val="00C36277"/>
    <w:rsid w:val="00C364CF"/>
    <w:rsid w:val="00C36582"/>
    <w:rsid w:val="00C366DF"/>
    <w:rsid w:val="00C36731"/>
    <w:rsid w:val="00C36906"/>
    <w:rsid w:val="00C369A2"/>
    <w:rsid w:val="00C36A07"/>
    <w:rsid w:val="00C36A4B"/>
    <w:rsid w:val="00C36AC3"/>
    <w:rsid w:val="00C36BC3"/>
    <w:rsid w:val="00C36C93"/>
    <w:rsid w:val="00C36D4C"/>
    <w:rsid w:val="00C36F3D"/>
    <w:rsid w:val="00C36F47"/>
    <w:rsid w:val="00C3715C"/>
    <w:rsid w:val="00C37399"/>
    <w:rsid w:val="00C373F2"/>
    <w:rsid w:val="00C37550"/>
    <w:rsid w:val="00C377FA"/>
    <w:rsid w:val="00C3791A"/>
    <w:rsid w:val="00C3791D"/>
    <w:rsid w:val="00C37A29"/>
    <w:rsid w:val="00C37DB2"/>
    <w:rsid w:val="00C37F74"/>
    <w:rsid w:val="00C400D0"/>
    <w:rsid w:val="00C400EF"/>
    <w:rsid w:val="00C40103"/>
    <w:rsid w:val="00C40352"/>
    <w:rsid w:val="00C4055E"/>
    <w:rsid w:val="00C406F1"/>
    <w:rsid w:val="00C40A29"/>
    <w:rsid w:val="00C40A35"/>
    <w:rsid w:val="00C40B55"/>
    <w:rsid w:val="00C41016"/>
    <w:rsid w:val="00C4105E"/>
    <w:rsid w:val="00C41178"/>
    <w:rsid w:val="00C413C2"/>
    <w:rsid w:val="00C413D9"/>
    <w:rsid w:val="00C4149C"/>
    <w:rsid w:val="00C4151A"/>
    <w:rsid w:val="00C41774"/>
    <w:rsid w:val="00C41889"/>
    <w:rsid w:val="00C41AE3"/>
    <w:rsid w:val="00C41DED"/>
    <w:rsid w:val="00C41E29"/>
    <w:rsid w:val="00C420C4"/>
    <w:rsid w:val="00C421BE"/>
    <w:rsid w:val="00C423D5"/>
    <w:rsid w:val="00C4258E"/>
    <w:rsid w:val="00C42936"/>
    <w:rsid w:val="00C429E0"/>
    <w:rsid w:val="00C42AD0"/>
    <w:rsid w:val="00C42AEA"/>
    <w:rsid w:val="00C42D69"/>
    <w:rsid w:val="00C43174"/>
    <w:rsid w:val="00C432E3"/>
    <w:rsid w:val="00C433DC"/>
    <w:rsid w:val="00C43477"/>
    <w:rsid w:val="00C435BA"/>
    <w:rsid w:val="00C43801"/>
    <w:rsid w:val="00C43873"/>
    <w:rsid w:val="00C43D9E"/>
    <w:rsid w:val="00C43EE4"/>
    <w:rsid w:val="00C4413D"/>
    <w:rsid w:val="00C4414F"/>
    <w:rsid w:val="00C4425A"/>
    <w:rsid w:val="00C44345"/>
    <w:rsid w:val="00C44457"/>
    <w:rsid w:val="00C4463B"/>
    <w:rsid w:val="00C448B0"/>
    <w:rsid w:val="00C44B6F"/>
    <w:rsid w:val="00C44BF6"/>
    <w:rsid w:val="00C4504F"/>
    <w:rsid w:val="00C451AC"/>
    <w:rsid w:val="00C45205"/>
    <w:rsid w:val="00C45630"/>
    <w:rsid w:val="00C457F6"/>
    <w:rsid w:val="00C4592A"/>
    <w:rsid w:val="00C45985"/>
    <w:rsid w:val="00C45B21"/>
    <w:rsid w:val="00C45C0A"/>
    <w:rsid w:val="00C45D16"/>
    <w:rsid w:val="00C45DF0"/>
    <w:rsid w:val="00C46230"/>
    <w:rsid w:val="00C464B4"/>
    <w:rsid w:val="00C46538"/>
    <w:rsid w:val="00C4686A"/>
    <w:rsid w:val="00C468B8"/>
    <w:rsid w:val="00C468CB"/>
    <w:rsid w:val="00C46B79"/>
    <w:rsid w:val="00C46C4D"/>
    <w:rsid w:val="00C46C63"/>
    <w:rsid w:val="00C46D46"/>
    <w:rsid w:val="00C46D93"/>
    <w:rsid w:val="00C46DAB"/>
    <w:rsid w:val="00C46E7E"/>
    <w:rsid w:val="00C46F89"/>
    <w:rsid w:val="00C470BA"/>
    <w:rsid w:val="00C472F3"/>
    <w:rsid w:val="00C473A5"/>
    <w:rsid w:val="00C474D1"/>
    <w:rsid w:val="00C47559"/>
    <w:rsid w:val="00C4779B"/>
    <w:rsid w:val="00C477DC"/>
    <w:rsid w:val="00C47B3E"/>
    <w:rsid w:val="00C47B44"/>
    <w:rsid w:val="00C47E34"/>
    <w:rsid w:val="00C47E45"/>
    <w:rsid w:val="00C47F0E"/>
    <w:rsid w:val="00C47F12"/>
    <w:rsid w:val="00C47FC3"/>
    <w:rsid w:val="00C50035"/>
    <w:rsid w:val="00C500E6"/>
    <w:rsid w:val="00C501C8"/>
    <w:rsid w:val="00C50202"/>
    <w:rsid w:val="00C50213"/>
    <w:rsid w:val="00C503F0"/>
    <w:rsid w:val="00C5048F"/>
    <w:rsid w:val="00C505B1"/>
    <w:rsid w:val="00C50674"/>
    <w:rsid w:val="00C50AFA"/>
    <w:rsid w:val="00C50D46"/>
    <w:rsid w:val="00C50FD5"/>
    <w:rsid w:val="00C5113B"/>
    <w:rsid w:val="00C51570"/>
    <w:rsid w:val="00C5166A"/>
    <w:rsid w:val="00C5166D"/>
    <w:rsid w:val="00C5167D"/>
    <w:rsid w:val="00C51781"/>
    <w:rsid w:val="00C5199D"/>
    <w:rsid w:val="00C51A93"/>
    <w:rsid w:val="00C51B81"/>
    <w:rsid w:val="00C52228"/>
    <w:rsid w:val="00C5239E"/>
    <w:rsid w:val="00C523B9"/>
    <w:rsid w:val="00C52629"/>
    <w:rsid w:val="00C52B0E"/>
    <w:rsid w:val="00C52CA2"/>
    <w:rsid w:val="00C52ED9"/>
    <w:rsid w:val="00C52EFA"/>
    <w:rsid w:val="00C5320C"/>
    <w:rsid w:val="00C53315"/>
    <w:rsid w:val="00C53377"/>
    <w:rsid w:val="00C534C4"/>
    <w:rsid w:val="00C53642"/>
    <w:rsid w:val="00C536AA"/>
    <w:rsid w:val="00C53761"/>
    <w:rsid w:val="00C53996"/>
    <w:rsid w:val="00C539B3"/>
    <w:rsid w:val="00C53C3F"/>
    <w:rsid w:val="00C53D44"/>
    <w:rsid w:val="00C53DF2"/>
    <w:rsid w:val="00C5409B"/>
    <w:rsid w:val="00C541CB"/>
    <w:rsid w:val="00C5421F"/>
    <w:rsid w:val="00C54231"/>
    <w:rsid w:val="00C54288"/>
    <w:rsid w:val="00C5445C"/>
    <w:rsid w:val="00C54538"/>
    <w:rsid w:val="00C546D2"/>
    <w:rsid w:val="00C546D7"/>
    <w:rsid w:val="00C54859"/>
    <w:rsid w:val="00C5492A"/>
    <w:rsid w:val="00C549F3"/>
    <w:rsid w:val="00C54A4B"/>
    <w:rsid w:val="00C54AB3"/>
    <w:rsid w:val="00C54E70"/>
    <w:rsid w:val="00C551CF"/>
    <w:rsid w:val="00C5569E"/>
    <w:rsid w:val="00C5586E"/>
    <w:rsid w:val="00C558C3"/>
    <w:rsid w:val="00C55969"/>
    <w:rsid w:val="00C559B9"/>
    <w:rsid w:val="00C55B9A"/>
    <w:rsid w:val="00C55C51"/>
    <w:rsid w:val="00C55C9A"/>
    <w:rsid w:val="00C55D89"/>
    <w:rsid w:val="00C55DAF"/>
    <w:rsid w:val="00C55DE0"/>
    <w:rsid w:val="00C55FF0"/>
    <w:rsid w:val="00C56099"/>
    <w:rsid w:val="00C561F8"/>
    <w:rsid w:val="00C5627B"/>
    <w:rsid w:val="00C566CB"/>
    <w:rsid w:val="00C56BBA"/>
    <w:rsid w:val="00C56E54"/>
    <w:rsid w:val="00C5704F"/>
    <w:rsid w:val="00C57087"/>
    <w:rsid w:val="00C570EB"/>
    <w:rsid w:val="00C570EE"/>
    <w:rsid w:val="00C57166"/>
    <w:rsid w:val="00C5726E"/>
    <w:rsid w:val="00C5728E"/>
    <w:rsid w:val="00C572AB"/>
    <w:rsid w:val="00C572FA"/>
    <w:rsid w:val="00C5736C"/>
    <w:rsid w:val="00C574B5"/>
    <w:rsid w:val="00C574BB"/>
    <w:rsid w:val="00C5752D"/>
    <w:rsid w:val="00C576B6"/>
    <w:rsid w:val="00C576D5"/>
    <w:rsid w:val="00C57767"/>
    <w:rsid w:val="00C577A4"/>
    <w:rsid w:val="00C57806"/>
    <w:rsid w:val="00C578CA"/>
    <w:rsid w:val="00C579C1"/>
    <w:rsid w:val="00C579CC"/>
    <w:rsid w:val="00C57AA6"/>
    <w:rsid w:val="00C57D54"/>
    <w:rsid w:val="00C57D9E"/>
    <w:rsid w:val="00C57E02"/>
    <w:rsid w:val="00C60006"/>
    <w:rsid w:val="00C60088"/>
    <w:rsid w:val="00C6008A"/>
    <w:rsid w:val="00C601AE"/>
    <w:rsid w:val="00C601CB"/>
    <w:rsid w:val="00C60656"/>
    <w:rsid w:val="00C6080F"/>
    <w:rsid w:val="00C6097B"/>
    <w:rsid w:val="00C60A29"/>
    <w:rsid w:val="00C60A4D"/>
    <w:rsid w:val="00C60BE3"/>
    <w:rsid w:val="00C60F2D"/>
    <w:rsid w:val="00C612B9"/>
    <w:rsid w:val="00C61424"/>
    <w:rsid w:val="00C61425"/>
    <w:rsid w:val="00C6149B"/>
    <w:rsid w:val="00C614D0"/>
    <w:rsid w:val="00C61591"/>
    <w:rsid w:val="00C615A1"/>
    <w:rsid w:val="00C6160C"/>
    <w:rsid w:val="00C6170D"/>
    <w:rsid w:val="00C61729"/>
    <w:rsid w:val="00C6194D"/>
    <w:rsid w:val="00C61957"/>
    <w:rsid w:val="00C619C1"/>
    <w:rsid w:val="00C61A8A"/>
    <w:rsid w:val="00C61B79"/>
    <w:rsid w:val="00C61C5C"/>
    <w:rsid w:val="00C61CD5"/>
    <w:rsid w:val="00C61D47"/>
    <w:rsid w:val="00C61D96"/>
    <w:rsid w:val="00C61DAA"/>
    <w:rsid w:val="00C61E6A"/>
    <w:rsid w:val="00C61FBC"/>
    <w:rsid w:val="00C6230E"/>
    <w:rsid w:val="00C623AC"/>
    <w:rsid w:val="00C623BF"/>
    <w:rsid w:val="00C623DC"/>
    <w:rsid w:val="00C6271E"/>
    <w:rsid w:val="00C62B6A"/>
    <w:rsid w:val="00C62BAB"/>
    <w:rsid w:val="00C62BD8"/>
    <w:rsid w:val="00C62C02"/>
    <w:rsid w:val="00C62C06"/>
    <w:rsid w:val="00C63237"/>
    <w:rsid w:val="00C63318"/>
    <w:rsid w:val="00C63592"/>
    <w:rsid w:val="00C6363F"/>
    <w:rsid w:val="00C63736"/>
    <w:rsid w:val="00C63772"/>
    <w:rsid w:val="00C63A1B"/>
    <w:rsid w:val="00C63AF6"/>
    <w:rsid w:val="00C63B53"/>
    <w:rsid w:val="00C63D1D"/>
    <w:rsid w:val="00C63D4E"/>
    <w:rsid w:val="00C63DC0"/>
    <w:rsid w:val="00C642FA"/>
    <w:rsid w:val="00C6434D"/>
    <w:rsid w:val="00C6460E"/>
    <w:rsid w:val="00C646EA"/>
    <w:rsid w:val="00C64720"/>
    <w:rsid w:val="00C64ADF"/>
    <w:rsid w:val="00C64BEF"/>
    <w:rsid w:val="00C64C19"/>
    <w:rsid w:val="00C64C3D"/>
    <w:rsid w:val="00C64CC6"/>
    <w:rsid w:val="00C65075"/>
    <w:rsid w:val="00C6517D"/>
    <w:rsid w:val="00C6532D"/>
    <w:rsid w:val="00C6562F"/>
    <w:rsid w:val="00C657AA"/>
    <w:rsid w:val="00C657ED"/>
    <w:rsid w:val="00C657EF"/>
    <w:rsid w:val="00C65B9C"/>
    <w:rsid w:val="00C65F44"/>
    <w:rsid w:val="00C66039"/>
    <w:rsid w:val="00C660C2"/>
    <w:rsid w:val="00C6645A"/>
    <w:rsid w:val="00C666C6"/>
    <w:rsid w:val="00C66727"/>
    <w:rsid w:val="00C667AA"/>
    <w:rsid w:val="00C6682D"/>
    <w:rsid w:val="00C66983"/>
    <w:rsid w:val="00C66A85"/>
    <w:rsid w:val="00C66C2D"/>
    <w:rsid w:val="00C66C78"/>
    <w:rsid w:val="00C66CB1"/>
    <w:rsid w:val="00C66E81"/>
    <w:rsid w:val="00C67018"/>
    <w:rsid w:val="00C67050"/>
    <w:rsid w:val="00C673FB"/>
    <w:rsid w:val="00C67427"/>
    <w:rsid w:val="00C674AC"/>
    <w:rsid w:val="00C675AB"/>
    <w:rsid w:val="00C675E5"/>
    <w:rsid w:val="00C6760F"/>
    <w:rsid w:val="00C676F0"/>
    <w:rsid w:val="00C678EA"/>
    <w:rsid w:val="00C67AF5"/>
    <w:rsid w:val="00C67DD0"/>
    <w:rsid w:val="00C67E02"/>
    <w:rsid w:val="00C67EE4"/>
    <w:rsid w:val="00C67F8D"/>
    <w:rsid w:val="00C67FA1"/>
    <w:rsid w:val="00C7007F"/>
    <w:rsid w:val="00C7010A"/>
    <w:rsid w:val="00C7011C"/>
    <w:rsid w:val="00C70248"/>
    <w:rsid w:val="00C702AF"/>
    <w:rsid w:val="00C70439"/>
    <w:rsid w:val="00C70538"/>
    <w:rsid w:val="00C706D1"/>
    <w:rsid w:val="00C708B8"/>
    <w:rsid w:val="00C70A37"/>
    <w:rsid w:val="00C70B41"/>
    <w:rsid w:val="00C70EFC"/>
    <w:rsid w:val="00C711AD"/>
    <w:rsid w:val="00C71320"/>
    <w:rsid w:val="00C71390"/>
    <w:rsid w:val="00C7186C"/>
    <w:rsid w:val="00C71960"/>
    <w:rsid w:val="00C71A2D"/>
    <w:rsid w:val="00C71D8B"/>
    <w:rsid w:val="00C71E8A"/>
    <w:rsid w:val="00C71FB2"/>
    <w:rsid w:val="00C71FFD"/>
    <w:rsid w:val="00C72101"/>
    <w:rsid w:val="00C7211B"/>
    <w:rsid w:val="00C722D6"/>
    <w:rsid w:val="00C726FA"/>
    <w:rsid w:val="00C7277A"/>
    <w:rsid w:val="00C727AA"/>
    <w:rsid w:val="00C72998"/>
    <w:rsid w:val="00C72A15"/>
    <w:rsid w:val="00C72C1B"/>
    <w:rsid w:val="00C72FA4"/>
    <w:rsid w:val="00C730D2"/>
    <w:rsid w:val="00C730FA"/>
    <w:rsid w:val="00C7362C"/>
    <w:rsid w:val="00C736D1"/>
    <w:rsid w:val="00C73E5D"/>
    <w:rsid w:val="00C73EB3"/>
    <w:rsid w:val="00C7408B"/>
    <w:rsid w:val="00C740E7"/>
    <w:rsid w:val="00C741D0"/>
    <w:rsid w:val="00C74217"/>
    <w:rsid w:val="00C74263"/>
    <w:rsid w:val="00C742F6"/>
    <w:rsid w:val="00C74472"/>
    <w:rsid w:val="00C74548"/>
    <w:rsid w:val="00C74577"/>
    <w:rsid w:val="00C745EA"/>
    <w:rsid w:val="00C7485A"/>
    <w:rsid w:val="00C748BB"/>
    <w:rsid w:val="00C748F5"/>
    <w:rsid w:val="00C74B37"/>
    <w:rsid w:val="00C74F19"/>
    <w:rsid w:val="00C74FD4"/>
    <w:rsid w:val="00C75104"/>
    <w:rsid w:val="00C75120"/>
    <w:rsid w:val="00C7521D"/>
    <w:rsid w:val="00C75404"/>
    <w:rsid w:val="00C7545C"/>
    <w:rsid w:val="00C7567A"/>
    <w:rsid w:val="00C758B9"/>
    <w:rsid w:val="00C75F88"/>
    <w:rsid w:val="00C75F90"/>
    <w:rsid w:val="00C761A6"/>
    <w:rsid w:val="00C76207"/>
    <w:rsid w:val="00C76555"/>
    <w:rsid w:val="00C769E0"/>
    <w:rsid w:val="00C76A99"/>
    <w:rsid w:val="00C76B8A"/>
    <w:rsid w:val="00C76CD5"/>
    <w:rsid w:val="00C76D90"/>
    <w:rsid w:val="00C76E2A"/>
    <w:rsid w:val="00C76F5F"/>
    <w:rsid w:val="00C772B9"/>
    <w:rsid w:val="00C77335"/>
    <w:rsid w:val="00C7745F"/>
    <w:rsid w:val="00C778C7"/>
    <w:rsid w:val="00C77952"/>
    <w:rsid w:val="00C77BA4"/>
    <w:rsid w:val="00C77C14"/>
    <w:rsid w:val="00C77E53"/>
    <w:rsid w:val="00C77F62"/>
    <w:rsid w:val="00C8008F"/>
    <w:rsid w:val="00C803A3"/>
    <w:rsid w:val="00C8049B"/>
    <w:rsid w:val="00C8050C"/>
    <w:rsid w:val="00C8072D"/>
    <w:rsid w:val="00C8080D"/>
    <w:rsid w:val="00C808B2"/>
    <w:rsid w:val="00C809CC"/>
    <w:rsid w:val="00C809F5"/>
    <w:rsid w:val="00C80A1A"/>
    <w:rsid w:val="00C80BF2"/>
    <w:rsid w:val="00C80D35"/>
    <w:rsid w:val="00C80D48"/>
    <w:rsid w:val="00C80D5C"/>
    <w:rsid w:val="00C80F7B"/>
    <w:rsid w:val="00C811BE"/>
    <w:rsid w:val="00C813C7"/>
    <w:rsid w:val="00C81615"/>
    <w:rsid w:val="00C81802"/>
    <w:rsid w:val="00C81BDF"/>
    <w:rsid w:val="00C81D01"/>
    <w:rsid w:val="00C81E0C"/>
    <w:rsid w:val="00C81E4C"/>
    <w:rsid w:val="00C820BB"/>
    <w:rsid w:val="00C82142"/>
    <w:rsid w:val="00C8214F"/>
    <w:rsid w:val="00C827C3"/>
    <w:rsid w:val="00C82888"/>
    <w:rsid w:val="00C82E60"/>
    <w:rsid w:val="00C830C2"/>
    <w:rsid w:val="00C830E5"/>
    <w:rsid w:val="00C83201"/>
    <w:rsid w:val="00C8356E"/>
    <w:rsid w:val="00C838A0"/>
    <w:rsid w:val="00C83927"/>
    <w:rsid w:val="00C83BD2"/>
    <w:rsid w:val="00C83C2B"/>
    <w:rsid w:val="00C84043"/>
    <w:rsid w:val="00C840DF"/>
    <w:rsid w:val="00C840F0"/>
    <w:rsid w:val="00C841B3"/>
    <w:rsid w:val="00C842B3"/>
    <w:rsid w:val="00C846AC"/>
    <w:rsid w:val="00C847D6"/>
    <w:rsid w:val="00C848CA"/>
    <w:rsid w:val="00C849FD"/>
    <w:rsid w:val="00C84A53"/>
    <w:rsid w:val="00C84B02"/>
    <w:rsid w:val="00C84BA6"/>
    <w:rsid w:val="00C84C68"/>
    <w:rsid w:val="00C84C6D"/>
    <w:rsid w:val="00C84CEA"/>
    <w:rsid w:val="00C84E26"/>
    <w:rsid w:val="00C84FC2"/>
    <w:rsid w:val="00C84FFA"/>
    <w:rsid w:val="00C8505C"/>
    <w:rsid w:val="00C85346"/>
    <w:rsid w:val="00C85471"/>
    <w:rsid w:val="00C85488"/>
    <w:rsid w:val="00C8563D"/>
    <w:rsid w:val="00C858D2"/>
    <w:rsid w:val="00C85A27"/>
    <w:rsid w:val="00C85BEB"/>
    <w:rsid w:val="00C85C88"/>
    <w:rsid w:val="00C85CA8"/>
    <w:rsid w:val="00C85E0D"/>
    <w:rsid w:val="00C85EA9"/>
    <w:rsid w:val="00C860C4"/>
    <w:rsid w:val="00C86120"/>
    <w:rsid w:val="00C861C0"/>
    <w:rsid w:val="00C8636E"/>
    <w:rsid w:val="00C865F5"/>
    <w:rsid w:val="00C86736"/>
    <w:rsid w:val="00C86771"/>
    <w:rsid w:val="00C8678F"/>
    <w:rsid w:val="00C867B6"/>
    <w:rsid w:val="00C86805"/>
    <w:rsid w:val="00C86847"/>
    <w:rsid w:val="00C8686C"/>
    <w:rsid w:val="00C86A28"/>
    <w:rsid w:val="00C86C59"/>
    <w:rsid w:val="00C86CA2"/>
    <w:rsid w:val="00C86CD4"/>
    <w:rsid w:val="00C86E2B"/>
    <w:rsid w:val="00C86E55"/>
    <w:rsid w:val="00C86E69"/>
    <w:rsid w:val="00C86ECC"/>
    <w:rsid w:val="00C86F29"/>
    <w:rsid w:val="00C874F3"/>
    <w:rsid w:val="00C87588"/>
    <w:rsid w:val="00C876CB"/>
    <w:rsid w:val="00C876FE"/>
    <w:rsid w:val="00C87743"/>
    <w:rsid w:val="00C87791"/>
    <w:rsid w:val="00C878C0"/>
    <w:rsid w:val="00C87B30"/>
    <w:rsid w:val="00C87BC5"/>
    <w:rsid w:val="00C87C6A"/>
    <w:rsid w:val="00C90136"/>
    <w:rsid w:val="00C90245"/>
    <w:rsid w:val="00C90362"/>
    <w:rsid w:val="00C905CF"/>
    <w:rsid w:val="00C90915"/>
    <w:rsid w:val="00C9091A"/>
    <w:rsid w:val="00C909AB"/>
    <w:rsid w:val="00C90A7B"/>
    <w:rsid w:val="00C90AD9"/>
    <w:rsid w:val="00C90B8E"/>
    <w:rsid w:val="00C90D47"/>
    <w:rsid w:val="00C90DC5"/>
    <w:rsid w:val="00C90F20"/>
    <w:rsid w:val="00C91015"/>
    <w:rsid w:val="00C9102D"/>
    <w:rsid w:val="00C9135E"/>
    <w:rsid w:val="00C917C0"/>
    <w:rsid w:val="00C917E7"/>
    <w:rsid w:val="00C9185A"/>
    <w:rsid w:val="00C918BE"/>
    <w:rsid w:val="00C918C5"/>
    <w:rsid w:val="00C91ACB"/>
    <w:rsid w:val="00C91B2D"/>
    <w:rsid w:val="00C91B43"/>
    <w:rsid w:val="00C91B99"/>
    <w:rsid w:val="00C91E00"/>
    <w:rsid w:val="00C92059"/>
    <w:rsid w:val="00C9207C"/>
    <w:rsid w:val="00C9219C"/>
    <w:rsid w:val="00C923A1"/>
    <w:rsid w:val="00C92402"/>
    <w:rsid w:val="00C92416"/>
    <w:rsid w:val="00C924A6"/>
    <w:rsid w:val="00C9255A"/>
    <w:rsid w:val="00C92573"/>
    <w:rsid w:val="00C925A7"/>
    <w:rsid w:val="00C926A6"/>
    <w:rsid w:val="00C92725"/>
    <w:rsid w:val="00C9284C"/>
    <w:rsid w:val="00C9286D"/>
    <w:rsid w:val="00C92A10"/>
    <w:rsid w:val="00C92AEA"/>
    <w:rsid w:val="00C92D19"/>
    <w:rsid w:val="00C92DC1"/>
    <w:rsid w:val="00C9316B"/>
    <w:rsid w:val="00C931CB"/>
    <w:rsid w:val="00C93267"/>
    <w:rsid w:val="00C932D2"/>
    <w:rsid w:val="00C932F3"/>
    <w:rsid w:val="00C934F6"/>
    <w:rsid w:val="00C93AD3"/>
    <w:rsid w:val="00C93AD8"/>
    <w:rsid w:val="00C93BCA"/>
    <w:rsid w:val="00C93DA3"/>
    <w:rsid w:val="00C93ED0"/>
    <w:rsid w:val="00C93FA9"/>
    <w:rsid w:val="00C93FB2"/>
    <w:rsid w:val="00C940B4"/>
    <w:rsid w:val="00C94146"/>
    <w:rsid w:val="00C942FE"/>
    <w:rsid w:val="00C9434B"/>
    <w:rsid w:val="00C943D3"/>
    <w:rsid w:val="00C9445B"/>
    <w:rsid w:val="00C945E1"/>
    <w:rsid w:val="00C94848"/>
    <w:rsid w:val="00C94E74"/>
    <w:rsid w:val="00C94F20"/>
    <w:rsid w:val="00C951A1"/>
    <w:rsid w:val="00C951FD"/>
    <w:rsid w:val="00C95257"/>
    <w:rsid w:val="00C9535B"/>
    <w:rsid w:val="00C95366"/>
    <w:rsid w:val="00C95398"/>
    <w:rsid w:val="00C9540D"/>
    <w:rsid w:val="00C956AB"/>
    <w:rsid w:val="00C95811"/>
    <w:rsid w:val="00C95A98"/>
    <w:rsid w:val="00C95AD9"/>
    <w:rsid w:val="00C95B13"/>
    <w:rsid w:val="00C95C21"/>
    <w:rsid w:val="00C95E70"/>
    <w:rsid w:val="00C96191"/>
    <w:rsid w:val="00C961A7"/>
    <w:rsid w:val="00C9621D"/>
    <w:rsid w:val="00C96A4A"/>
    <w:rsid w:val="00C96A73"/>
    <w:rsid w:val="00C96D85"/>
    <w:rsid w:val="00C96E18"/>
    <w:rsid w:val="00C96E70"/>
    <w:rsid w:val="00C96EB2"/>
    <w:rsid w:val="00C9717C"/>
    <w:rsid w:val="00C97292"/>
    <w:rsid w:val="00C9742F"/>
    <w:rsid w:val="00C974D6"/>
    <w:rsid w:val="00C97589"/>
    <w:rsid w:val="00C979D1"/>
    <w:rsid w:val="00C979DA"/>
    <w:rsid w:val="00C97A24"/>
    <w:rsid w:val="00C97A29"/>
    <w:rsid w:val="00C97A89"/>
    <w:rsid w:val="00C97ABB"/>
    <w:rsid w:val="00C97D4F"/>
    <w:rsid w:val="00C97D6D"/>
    <w:rsid w:val="00C97DDD"/>
    <w:rsid w:val="00C97E67"/>
    <w:rsid w:val="00CA0331"/>
    <w:rsid w:val="00CA052D"/>
    <w:rsid w:val="00CA09E3"/>
    <w:rsid w:val="00CA0B1D"/>
    <w:rsid w:val="00CA0B32"/>
    <w:rsid w:val="00CA0B4E"/>
    <w:rsid w:val="00CA10A6"/>
    <w:rsid w:val="00CA135A"/>
    <w:rsid w:val="00CA15DE"/>
    <w:rsid w:val="00CA1625"/>
    <w:rsid w:val="00CA1B9D"/>
    <w:rsid w:val="00CA1C1C"/>
    <w:rsid w:val="00CA1DB0"/>
    <w:rsid w:val="00CA2613"/>
    <w:rsid w:val="00CA29DA"/>
    <w:rsid w:val="00CA2A75"/>
    <w:rsid w:val="00CA2A9E"/>
    <w:rsid w:val="00CA2C24"/>
    <w:rsid w:val="00CA2CA6"/>
    <w:rsid w:val="00CA3057"/>
    <w:rsid w:val="00CA318A"/>
    <w:rsid w:val="00CA3201"/>
    <w:rsid w:val="00CA355F"/>
    <w:rsid w:val="00CA358F"/>
    <w:rsid w:val="00CA35DB"/>
    <w:rsid w:val="00CA38F1"/>
    <w:rsid w:val="00CA3A9B"/>
    <w:rsid w:val="00CA3B92"/>
    <w:rsid w:val="00CA3D91"/>
    <w:rsid w:val="00CA3DF3"/>
    <w:rsid w:val="00CA3E89"/>
    <w:rsid w:val="00CA3EBC"/>
    <w:rsid w:val="00CA3ED5"/>
    <w:rsid w:val="00CA4156"/>
    <w:rsid w:val="00CA4334"/>
    <w:rsid w:val="00CA433E"/>
    <w:rsid w:val="00CA4506"/>
    <w:rsid w:val="00CA457D"/>
    <w:rsid w:val="00CA458A"/>
    <w:rsid w:val="00CA4651"/>
    <w:rsid w:val="00CA4716"/>
    <w:rsid w:val="00CA47E0"/>
    <w:rsid w:val="00CA485B"/>
    <w:rsid w:val="00CA4883"/>
    <w:rsid w:val="00CA4921"/>
    <w:rsid w:val="00CA4F6D"/>
    <w:rsid w:val="00CA4FD4"/>
    <w:rsid w:val="00CA4FEE"/>
    <w:rsid w:val="00CA5392"/>
    <w:rsid w:val="00CA53A2"/>
    <w:rsid w:val="00CA540C"/>
    <w:rsid w:val="00CA543D"/>
    <w:rsid w:val="00CA5741"/>
    <w:rsid w:val="00CA5C34"/>
    <w:rsid w:val="00CA5E59"/>
    <w:rsid w:val="00CA5EA3"/>
    <w:rsid w:val="00CA6042"/>
    <w:rsid w:val="00CA604B"/>
    <w:rsid w:val="00CA6150"/>
    <w:rsid w:val="00CA61DD"/>
    <w:rsid w:val="00CA63B4"/>
    <w:rsid w:val="00CA677D"/>
    <w:rsid w:val="00CA6B20"/>
    <w:rsid w:val="00CA6BA1"/>
    <w:rsid w:val="00CA6D6C"/>
    <w:rsid w:val="00CA6E31"/>
    <w:rsid w:val="00CA6F9C"/>
    <w:rsid w:val="00CA72CB"/>
    <w:rsid w:val="00CA7451"/>
    <w:rsid w:val="00CA7541"/>
    <w:rsid w:val="00CA754F"/>
    <w:rsid w:val="00CA767A"/>
    <w:rsid w:val="00CA7847"/>
    <w:rsid w:val="00CA78E7"/>
    <w:rsid w:val="00CA7B24"/>
    <w:rsid w:val="00CA7C25"/>
    <w:rsid w:val="00CA7E7D"/>
    <w:rsid w:val="00CA7FF2"/>
    <w:rsid w:val="00CB0057"/>
    <w:rsid w:val="00CB008D"/>
    <w:rsid w:val="00CB00FF"/>
    <w:rsid w:val="00CB0139"/>
    <w:rsid w:val="00CB01BB"/>
    <w:rsid w:val="00CB024C"/>
    <w:rsid w:val="00CB0324"/>
    <w:rsid w:val="00CB0639"/>
    <w:rsid w:val="00CB0819"/>
    <w:rsid w:val="00CB083B"/>
    <w:rsid w:val="00CB09B0"/>
    <w:rsid w:val="00CB09DD"/>
    <w:rsid w:val="00CB0C53"/>
    <w:rsid w:val="00CB0CEA"/>
    <w:rsid w:val="00CB0F77"/>
    <w:rsid w:val="00CB10FF"/>
    <w:rsid w:val="00CB1529"/>
    <w:rsid w:val="00CB1875"/>
    <w:rsid w:val="00CB19A0"/>
    <w:rsid w:val="00CB1A0F"/>
    <w:rsid w:val="00CB1D5B"/>
    <w:rsid w:val="00CB1DFE"/>
    <w:rsid w:val="00CB20D0"/>
    <w:rsid w:val="00CB20D6"/>
    <w:rsid w:val="00CB20D7"/>
    <w:rsid w:val="00CB21E7"/>
    <w:rsid w:val="00CB2263"/>
    <w:rsid w:val="00CB2383"/>
    <w:rsid w:val="00CB23F6"/>
    <w:rsid w:val="00CB241F"/>
    <w:rsid w:val="00CB2427"/>
    <w:rsid w:val="00CB24AE"/>
    <w:rsid w:val="00CB24FD"/>
    <w:rsid w:val="00CB255E"/>
    <w:rsid w:val="00CB265B"/>
    <w:rsid w:val="00CB2712"/>
    <w:rsid w:val="00CB2754"/>
    <w:rsid w:val="00CB2AB2"/>
    <w:rsid w:val="00CB2B87"/>
    <w:rsid w:val="00CB2C46"/>
    <w:rsid w:val="00CB2CE5"/>
    <w:rsid w:val="00CB2D22"/>
    <w:rsid w:val="00CB2D92"/>
    <w:rsid w:val="00CB2DA3"/>
    <w:rsid w:val="00CB3407"/>
    <w:rsid w:val="00CB3431"/>
    <w:rsid w:val="00CB354A"/>
    <w:rsid w:val="00CB37CD"/>
    <w:rsid w:val="00CB381C"/>
    <w:rsid w:val="00CB3850"/>
    <w:rsid w:val="00CB3971"/>
    <w:rsid w:val="00CB3AF0"/>
    <w:rsid w:val="00CB3B94"/>
    <w:rsid w:val="00CB3BB5"/>
    <w:rsid w:val="00CB3C89"/>
    <w:rsid w:val="00CB3DAC"/>
    <w:rsid w:val="00CB3DDC"/>
    <w:rsid w:val="00CB3E88"/>
    <w:rsid w:val="00CB42B3"/>
    <w:rsid w:val="00CB42F7"/>
    <w:rsid w:val="00CB48CF"/>
    <w:rsid w:val="00CB4947"/>
    <w:rsid w:val="00CB4B13"/>
    <w:rsid w:val="00CB4BE4"/>
    <w:rsid w:val="00CB4F7F"/>
    <w:rsid w:val="00CB4F9B"/>
    <w:rsid w:val="00CB5014"/>
    <w:rsid w:val="00CB524A"/>
    <w:rsid w:val="00CB52C1"/>
    <w:rsid w:val="00CB5322"/>
    <w:rsid w:val="00CB53AD"/>
    <w:rsid w:val="00CB53DF"/>
    <w:rsid w:val="00CB59D1"/>
    <w:rsid w:val="00CB5A0E"/>
    <w:rsid w:val="00CB5AF2"/>
    <w:rsid w:val="00CB5AF3"/>
    <w:rsid w:val="00CB5B84"/>
    <w:rsid w:val="00CB5B96"/>
    <w:rsid w:val="00CB637B"/>
    <w:rsid w:val="00CB6565"/>
    <w:rsid w:val="00CB67E7"/>
    <w:rsid w:val="00CB6BAF"/>
    <w:rsid w:val="00CB6C99"/>
    <w:rsid w:val="00CB6CEC"/>
    <w:rsid w:val="00CB6D95"/>
    <w:rsid w:val="00CB70EF"/>
    <w:rsid w:val="00CB714C"/>
    <w:rsid w:val="00CB7175"/>
    <w:rsid w:val="00CB7285"/>
    <w:rsid w:val="00CB74B2"/>
    <w:rsid w:val="00CB75CB"/>
    <w:rsid w:val="00CB7756"/>
    <w:rsid w:val="00CB78F6"/>
    <w:rsid w:val="00CB78FF"/>
    <w:rsid w:val="00CB79CD"/>
    <w:rsid w:val="00CB7EE1"/>
    <w:rsid w:val="00CB7EE3"/>
    <w:rsid w:val="00CC0202"/>
    <w:rsid w:val="00CC0205"/>
    <w:rsid w:val="00CC022F"/>
    <w:rsid w:val="00CC056D"/>
    <w:rsid w:val="00CC05FB"/>
    <w:rsid w:val="00CC0980"/>
    <w:rsid w:val="00CC09C1"/>
    <w:rsid w:val="00CC0BD6"/>
    <w:rsid w:val="00CC0C6C"/>
    <w:rsid w:val="00CC0CCA"/>
    <w:rsid w:val="00CC0E5C"/>
    <w:rsid w:val="00CC0EF8"/>
    <w:rsid w:val="00CC14A2"/>
    <w:rsid w:val="00CC1552"/>
    <w:rsid w:val="00CC1800"/>
    <w:rsid w:val="00CC1B8E"/>
    <w:rsid w:val="00CC1E93"/>
    <w:rsid w:val="00CC1EB6"/>
    <w:rsid w:val="00CC1F87"/>
    <w:rsid w:val="00CC2015"/>
    <w:rsid w:val="00CC251B"/>
    <w:rsid w:val="00CC2621"/>
    <w:rsid w:val="00CC279C"/>
    <w:rsid w:val="00CC28DA"/>
    <w:rsid w:val="00CC2A3B"/>
    <w:rsid w:val="00CC2D2F"/>
    <w:rsid w:val="00CC2D5D"/>
    <w:rsid w:val="00CC2FB7"/>
    <w:rsid w:val="00CC30B9"/>
    <w:rsid w:val="00CC310F"/>
    <w:rsid w:val="00CC3238"/>
    <w:rsid w:val="00CC32BB"/>
    <w:rsid w:val="00CC35AA"/>
    <w:rsid w:val="00CC35E3"/>
    <w:rsid w:val="00CC364F"/>
    <w:rsid w:val="00CC3670"/>
    <w:rsid w:val="00CC3729"/>
    <w:rsid w:val="00CC380A"/>
    <w:rsid w:val="00CC3C88"/>
    <w:rsid w:val="00CC3CC2"/>
    <w:rsid w:val="00CC3DB2"/>
    <w:rsid w:val="00CC3E1B"/>
    <w:rsid w:val="00CC3E8D"/>
    <w:rsid w:val="00CC3F5A"/>
    <w:rsid w:val="00CC41C7"/>
    <w:rsid w:val="00CC4353"/>
    <w:rsid w:val="00CC4404"/>
    <w:rsid w:val="00CC46B2"/>
    <w:rsid w:val="00CC482C"/>
    <w:rsid w:val="00CC4BE7"/>
    <w:rsid w:val="00CC4DA5"/>
    <w:rsid w:val="00CC4DB8"/>
    <w:rsid w:val="00CC4F27"/>
    <w:rsid w:val="00CC4FFC"/>
    <w:rsid w:val="00CC55F5"/>
    <w:rsid w:val="00CC5789"/>
    <w:rsid w:val="00CC58DB"/>
    <w:rsid w:val="00CC5C58"/>
    <w:rsid w:val="00CC5C71"/>
    <w:rsid w:val="00CC5FFF"/>
    <w:rsid w:val="00CC6053"/>
    <w:rsid w:val="00CC64FB"/>
    <w:rsid w:val="00CC65BC"/>
    <w:rsid w:val="00CC66CF"/>
    <w:rsid w:val="00CC671C"/>
    <w:rsid w:val="00CC6759"/>
    <w:rsid w:val="00CC68DE"/>
    <w:rsid w:val="00CC69C2"/>
    <w:rsid w:val="00CC69C7"/>
    <w:rsid w:val="00CC69DA"/>
    <w:rsid w:val="00CC6B70"/>
    <w:rsid w:val="00CC6B8D"/>
    <w:rsid w:val="00CC6C2C"/>
    <w:rsid w:val="00CC6C51"/>
    <w:rsid w:val="00CC6D1B"/>
    <w:rsid w:val="00CC6DCB"/>
    <w:rsid w:val="00CC6FF8"/>
    <w:rsid w:val="00CC7007"/>
    <w:rsid w:val="00CC71C8"/>
    <w:rsid w:val="00CC7264"/>
    <w:rsid w:val="00CC7466"/>
    <w:rsid w:val="00CC74C6"/>
    <w:rsid w:val="00CC7543"/>
    <w:rsid w:val="00CC75E3"/>
    <w:rsid w:val="00CC7721"/>
    <w:rsid w:val="00CC7783"/>
    <w:rsid w:val="00CC78C4"/>
    <w:rsid w:val="00CC78E1"/>
    <w:rsid w:val="00CC797E"/>
    <w:rsid w:val="00CC7B06"/>
    <w:rsid w:val="00CC7B52"/>
    <w:rsid w:val="00CC7E8F"/>
    <w:rsid w:val="00CD0033"/>
    <w:rsid w:val="00CD0079"/>
    <w:rsid w:val="00CD0106"/>
    <w:rsid w:val="00CD0263"/>
    <w:rsid w:val="00CD02F2"/>
    <w:rsid w:val="00CD030F"/>
    <w:rsid w:val="00CD043B"/>
    <w:rsid w:val="00CD04A5"/>
    <w:rsid w:val="00CD073E"/>
    <w:rsid w:val="00CD07F6"/>
    <w:rsid w:val="00CD0ACA"/>
    <w:rsid w:val="00CD0C82"/>
    <w:rsid w:val="00CD0D5B"/>
    <w:rsid w:val="00CD0ECD"/>
    <w:rsid w:val="00CD1089"/>
    <w:rsid w:val="00CD1204"/>
    <w:rsid w:val="00CD17FF"/>
    <w:rsid w:val="00CD1AC9"/>
    <w:rsid w:val="00CD1B31"/>
    <w:rsid w:val="00CD1E70"/>
    <w:rsid w:val="00CD1E98"/>
    <w:rsid w:val="00CD205C"/>
    <w:rsid w:val="00CD20CF"/>
    <w:rsid w:val="00CD2235"/>
    <w:rsid w:val="00CD2357"/>
    <w:rsid w:val="00CD25FF"/>
    <w:rsid w:val="00CD2B83"/>
    <w:rsid w:val="00CD2D41"/>
    <w:rsid w:val="00CD2F00"/>
    <w:rsid w:val="00CD2F7E"/>
    <w:rsid w:val="00CD301B"/>
    <w:rsid w:val="00CD33FA"/>
    <w:rsid w:val="00CD3428"/>
    <w:rsid w:val="00CD3515"/>
    <w:rsid w:val="00CD353D"/>
    <w:rsid w:val="00CD36A3"/>
    <w:rsid w:val="00CD3829"/>
    <w:rsid w:val="00CD39C7"/>
    <w:rsid w:val="00CD40D9"/>
    <w:rsid w:val="00CD413D"/>
    <w:rsid w:val="00CD424E"/>
    <w:rsid w:val="00CD4601"/>
    <w:rsid w:val="00CD4654"/>
    <w:rsid w:val="00CD49E3"/>
    <w:rsid w:val="00CD4C9B"/>
    <w:rsid w:val="00CD4CD0"/>
    <w:rsid w:val="00CD4E57"/>
    <w:rsid w:val="00CD519B"/>
    <w:rsid w:val="00CD52DE"/>
    <w:rsid w:val="00CD535F"/>
    <w:rsid w:val="00CD53A3"/>
    <w:rsid w:val="00CD564D"/>
    <w:rsid w:val="00CD58E4"/>
    <w:rsid w:val="00CD5A58"/>
    <w:rsid w:val="00CD5C1A"/>
    <w:rsid w:val="00CD5D5F"/>
    <w:rsid w:val="00CD5DD1"/>
    <w:rsid w:val="00CD5F53"/>
    <w:rsid w:val="00CD5FA9"/>
    <w:rsid w:val="00CD61EB"/>
    <w:rsid w:val="00CD6294"/>
    <w:rsid w:val="00CD6300"/>
    <w:rsid w:val="00CD643D"/>
    <w:rsid w:val="00CD6559"/>
    <w:rsid w:val="00CD658E"/>
    <w:rsid w:val="00CD6976"/>
    <w:rsid w:val="00CD6B38"/>
    <w:rsid w:val="00CD6E0B"/>
    <w:rsid w:val="00CD6E23"/>
    <w:rsid w:val="00CD6E75"/>
    <w:rsid w:val="00CD6F97"/>
    <w:rsid w:val="00CD6F9E"/>
    <w:rsid w:val="00CD6FAA"/>
    <w:rsid w:val="00CD711D"/>
    <w:rsid w:val="00CD7252"/>
    <w:rsid w:val="00CD7337"/>
    <w:rsid w:val="00CD7440"/>
    <w:rsid w:val="00CD7507"/>
    <w:rsid w:val="00CD755A"/>
    <w:rsid w:val="00CD798F"/>
    <w:rsid w:val="00CD7D2D"/>
    <w:rsid w:val="00CD7D95"/>
    <w:rsid w:val="00CD7F51"/>
    <w:rsid w:val="00CE0093"/>
    <w:rsid w:val="00CE0098"/>
    <w:rsid w:val="00CE0179"/>
    <w:rsid w:val="00CE0380"/>
    <w:rsid w:val="00CE0485"/>
    <w:rsid w:val="00CE0A22"/>
    <w:rsid w:val="00CE0A90"/>
    <w:rsid w:val="00CE0ACA"/>
    <w:rsid w:val="00CE0CE0"/>
    <w:rsid w:val="00CE0CE1"/>
    <w:rsid w:val="00CE0D5A"/>
    <w:rsid w:val="00CE0DF9"/>
    <w:rsid w:val="00CE1236"/>
    <w:rsid w:val="00CE1332"/>
    <w:rsid w:val="00CE136A"/>
    <w:rsid w:val="00CE16D7"/>
    <w:rsid w:val="00CE175D"/>
    <w:rsid w:val="00CE1846"/>
    <w:rsid w:val="00CE18BA"/>
    <w:rsid w:val="00CE19F9"/>
    <w:rsid w:val="00CE1D83"/>
    <w:rsid w:val="00CE1DED"/>
    <w:rsid w:val="00CE1E84"/>
    <w:rsid w:val="00CE201C"/>
    <w:rsid w:val="00CE2285"/>
    <w:rsid w:val="00CE22B4"/>
    <w:rsid w:val="00CE2427"/>
    <w:rsid w:val="00CE245A"/>
    <w:rsid w:val="00CE2502"/>
    <w:rsid w:val="00CE265B"/>
    <w:rsid w:val="00CE268B"/>
    <w:rsid w:val="00CE2A02"/>
    <w:rsid w:val="00CE2A82"/>
    <w:rsid w:val="00CE2C66"/>
    <w:rsid w:val="00CE3028"/>
    <w:rsid w:val="00CE307C"/>
    <w:rsid w:val="00CE30DB"/>
    <w:rsid w:val="00CE3304"/>
    <w:rsid w:val="00CE3356"/>
    <w:rsid w:val="00CE3401"/>
    <w:rsid w:val="00CE3483"/>
    <w:rsid w:val="00CE35DD"/>
    <w:rsid w:val="00CE3616"/>
    <w:rsid w:val="00CE3769"/>
    <w:rsid w:val="00CE379D"/>
    <w:rsid w:val="00CE38EF"/>
    <w:rsid w:val="00CE3917"/>
    <w:rsid w:val="00CE3B2B"/>
    <w:rsid w:val="00CE3C26"/>
    <w:rsid w:val="00CE3E86"/>
    <w:rsid w:val="00CE4132"/>
    <w:rsid w:val="00CE4180"/>
    <w:rsid w:val="00CE4288"/>
    <w:rsid w:val="00CE42A1"/>
    <w:rsid w:val="00CE437A"/>
    <w:rsid w:val="00CE442E"/>
    <w:rsid w:val="00CE4448"/>
    <w:rsid w:val="00CE4476"/>
    <w:rsid w:val="00CE44BE"/>
    <w:rsid w:val="00CE44EC"/>
    <w:rsid w:val="00CE45F1"/>
    <w:rsid w:val="00CE4765"/>
    <w:rsid w:val="00CE491F"/>
    <w:rsid w:val="00CE49F0"/>
    <w:rsid w:val="00CE4D3D"/>
    <w:rsid w:val="00CE4E5B"/>
    <w:rsid w:val="00CE50F8"/>
    <w:rsid w:val="00CE5383"/>
    <w:rsid w:val="00CE54DC"/>
    <w:rsid w:val="00CE55B0"/>
    <w:rsid w:val="00CE56A6"/>
    <w:rsid w:val="00CE5896"/>
    <w:rsid w:val="00CE592C"/>
    <w:rsid w:val="00CE59F0"/>
    <w:rsid w:val="00CE5EA9"/>
    <w:rsid w:val="00CE60D8"/>
    <w:rsid w:val="00CE62EF"/>
    <w:rsid w:val="00CE6392"/>
    <w:rsid w:val="00CE659B"/>
    <w:rsid w:val="00CE663B"/>
    <w:rsid w:val="00CE666F"/>
    <w:rsid w:val="00CE6983"/>
    <w:rsid w:val="00CE6B0A"/>
    <w:rsid w:val="00CE6E1B"/>
    <w:rsid w:val="00CE6ED9"/>
    <w:rsid w:val="00CE6EF3"/>
    <w:rsid w:val="00CE6FD8"/>
    <w:rsid w:val="00CE6FDD"/>
    <w:rsid w:val="00CE7039"/>
    <w:rsid w:val="00CE7093"/>
    <w:rsid w:val="00CE7266"/>
    <w:rsid w:val="00CE736B"/>
    <w:rsid w:val="00CE7399"/>
    <w:rsid w:val="00CE73D7"/>
    <w:rsid w:val="00CE75D1"/>
    <w:rsid w:val="00CE7771"/>
    <w:rsid w:val="00CE7CE5"/>
    <w:rsid w:val="00CE7DC2"/>
    <w:rsid w:val="00CF0098"/>
    <w:rsid w:val="00CF00A2"/>
    <w:rsid w:val="00CF01E5"/>
    <w:rsid w:val="00CF0203"/>
    <w:rsid w:val="00CF02DE"/>
    <w:rsid w:val="00CF02F0"/>
    <w:rsid w:val="00CF0307"/>
    <w:rsid w:val="00CF0B3E"/>
    <w:rsid w:val="00CF0BD3"/>
    <w:rsid w:val="00CF0CD3"/>
    <w:rsid w:val="00CF0CD5"/>
    <w:rsid w:val="00CF0D52"/>
    <w:rsid w:val="00CF0FBA"/>
    <w:rsid w:val="00CF1082"/>
    <w:rsid w:val="00CF10C9"/>
    <w:rsid w:val="00CF116A"/>
    <w:rsid w:val="00CF12C8"/>
    <w:rsid w:val="00CF1356"/>
    <w:rsid w:val="00CF13E9"/>
    <w:rsid w:val="00CF1559"/>
    <w:rsid w:val="00CF1AE3"/>
    <w:rsid w:val="00CF1B8B"/>
    <w:rsid w:val="00CF1C98"/>
    <w:rsid w:val="00CF1DC6"/>
    <w:rsid w:val="00CF1F6F"/>
    <w:rsid w:val="00CF1FD3"/>
    <w:rsid w:val="00CF20F4"/>
    <w:rsid w:val="00CF22F1"/>
    <w:rsid w:val="00CF2493"/>
    <w:rsid w:val="00CF254B"/>
    <w:rsid w:val="00CF25E5"/>
    <w:rsid w:val="00CF2775"/>
    <w:rsid w:val="00CF28B9"/>
    <w:rsid w:val="00CF28C8"/>
    <w:rsid w:val="00CF292C"/>
    <w:rsid w:val="00CF2CEB"/>
    <w:rsid w:val="00CF2D4F"/>
    <w:rsid w:val="00CF2F7C"/>
    <w:rsid w:val="00CF2FF4"/>
    <w:rsid w:val="00CF338C"/>
    <w:rsid w:val="00CF33C6"/>
    <w:rsid w:val="00CF342D"/>
    <w:rsid w:val="00CF34C6"/>
    <w:rsid w:val="00CF3579"/>
    <w:rsid w:val="00CF3603"/>
    <w:rsid w:val="00CF3999"/>
    <w:rsid w:val="00CF3A1E"/>
    <w:rsid w:val="00CF3C28"/>
    <w:rsid w:val="00CF401A"/>
    <w:rsid w:val="00CF406D"/>
    <w:rsid w:val="00CF41C2"/>
    <w:rsid w:val="00CF459E"/>
    <w:rsid w:val="00CF496A"/>
    <w:rsid w:val="00CF4B65"/>
    <w:rsid w:val="00CF4BAC"/>
    <w:rsid w:val="00CF4C83"/>
    <w:rsid w:val="00CF4CDE"/>
    <w:rsid w:val="00CF4E4C"/>
    <w:rsid w:val="00CF4E56"/>
    <w:rsid w:val="00CF4E9C"/>
    <w:rsid w:val="00CF4EA7"/>
    <w:rsid w:val="00CF5083"/>
    <w:rsid w:val="00CF5154"/>
    <w:rsid w:val="00CF51B6"/>
    <w:rsid w:val="00CF5494"/>
    <w:rsid w:val="00CF56D1"/>
    <w:rsid w:val="00CF57A8"/>
    <w:rsid w:val="00CF5A61"/>
    <w:rsid w:val="00CF5AAC"/>
    <w:rsid w:val="00CF5AF6"/>
    <w:rsid w:val="00CF5E64"/>
    <w:rsid w:val="00CF65DF"/>
    <w:rsid w:val="00CF67E5"/>
    <w:rsid w:val="00CF6809"/>
    <w:rsid w:val="00CF681C"/>
    <w:rsid w:val="00CF6980"/>
    <w:rsid w:val="00CF6A53"/>
    <w:rsid w:val="00CF6B00"/>
    <w:rsid w:val="00CF6B32"/>
    <w:rsid w:val="00CF6BEB"/>
    <w:rsid w:val="00CF6C2E"/>
    <w:rsid w:val="00CF6F22"/>
    <w:rsid w:val="00CF6FD3"/>
    <w:rsid w:val="00CF6FF1"/>
    <w:rsid w:val="00CF726B"/>
    <w:rsid w:val="00CF761A"/>
    <w:rsid w:val="00CF7A3C"/>
    <w:rsid w:val="00CF7A9E"/>
    <w:rsid w:val="00CF7B84"/>
    <w:rsid w:val="00CF7E53"/>
    <w:rsid w:val="00CF7F76"/>
    <w:rsid w:val="00CF7FD8"/>
    <w:rsid w:val="00D00097"/>
    <w:rsid w:val="00D001EE"/>
    <w:rsid w:val="00D0028C"/>
    <w:rsid w:val="00D002D7"/>
    <w:rsid w:val="00D002D8"/>
    <w:rsid w:val="00D004B4"/>
    <w:rsid w:val="00D004B5"/>
    <w:rsid w:val="00D004CB"/>
    <w:rsid w:val="00D0072C"/>
    <w:rsid w:val="00D0078A"/>
    <w:rsid w:val="00D00885"/>
    <w:rsid w:val="00D008A9"/>
    <w:rsid w:val="00D009C5"/>
    <w:rsid w:val="00D00A0B"/>
    <w:rsid w:val="00D00A3E"/>
    <w:rsid w:val="00D00AC3"/>
    <w:rsid w:val="00D00CAA"/>
    <w:rsid w:val="00D00CC9"/>
    <w:rsid w:val="00D010F2"/>
    <w:rsid w:val="00D013E1"/>
    <w:rsid w:val="00D01424"/>
    <w:rsid w:val="00D01561"/>
    <w:rsid w:val="00D016BE"/>
    <w:rsid w:val="00D01827"/>
    <w:rsid w:val="00D01874"/>
    <w:rsid w:val="00D019D7"/>
    <w:rsid w:val="00D01B71"/>
    <w:rsid w:val="00D01D45"/>
    <w:rsid w:val="00D01D81"/>
    <w:rsid w:val="00D01FC4"/>
    <w:rsid w:val="00D020A7"/>
    <w:rsid w:val="00D022ED"/>
    <w:rsid w:val="00D0235A"/>
    <w:rsid w:val="00D026C9"/>
    <w:rsid w:val="00D02714"/>
    <w:rsid w:val="00D027B3"/>
    <w:rsid w:val="00D027BB"/>
    <w:rsid w:val="00D027D2"/>
    <w:rsid w:val="00D02CB7"/>
    <w:rsid w:val="00D02E4A"/>
    <w:rsid w:val="00D03176"/>
    <w:rsid w:val="00D031AA"/>
    <w:rsid w:val="00D032D9"/>
    <w:rsid w:val="00D03359"/>
    <w:rsid w:val="00D03483"/>
    <w:rsid w:val="00D034C0"/>
    <w:rsid w:val="00D03773"/>
    <w:rsid w:val="00D038BF"/>
    <w:rsid w:val="00D03905"/>
    <w:rsid w:val="00D03A2B"/>
    <w:rsid w:val="00D03AB0"/>
    <w:rsid w:val="00D03BD5"/>
    <w:rsid w:val="00D03BE7"/>
    <w:rsid w:val="00D03CCB"/>
    <w:rsid w:val="00D03DB3"/>
    <w:rsid w:val="00D03DDA"/>
    <w:rsid w:val="00D04133"/>
    <w:rsid w:val="00D0458E"/>
    <w:rsid w:val="00D047F2"/>
    <w:rsid w:val="00D04857"/>
    <w:rsid w:val="00D048C5"/>
    <w:rsid w:val="00D0493F"/>
    <w:rsid w:val="00D04945"/>
    <w:rsid w:val="00D04B52"/>
    <w:rsid w:val="00D04E9F"/>
    <w:rsid w:val="00D04FD3"/>
    <w:rsid w:val="00D05015"/>
    <w:rsid w:val="00D05058"/>
    <w:rsid w:val="00D0552E"/>
    <w:rsid w:val="00D058E7"/>
    <w:rsid w:val="00D05AFC"/>
    <w:rsid w:val="00D05B5B"/>
    <w:rsid w:val="00D05B70"/>
    <w:rsid w:val="00D05C18"/>
    <w:rsid w:val="00D05C2F"/>
    <w:rsid w:val="00D05C8B"/>
    <w:rsid w:val="00D05DD1"/>
    <w:rsid w:val="00D060C9"/>
    <w:rsid w:val="00D06415"/>
    <w:rsid w:val="00D06450"/>
    <w:rsid w:val="00D06521"/>
    <w:rsid w:val="00D06534"/>
    <w:rsid w:val="00D066DC"/>
    <w:rsid w:val="00D06977"/>
    <w:rsid w:val="00D069B6"/>
    <w:rsid w:val="00D070F2"/>
    <w:rsid w:val="00D07276"/>
    <w:rsid w:val="00D072DB"/>
    <w:rsid w:val="00D07314"/>
    <w:rsid w:val="00D07351"/>
    <w:rsid w:val="00D07405"/>
    <w:rsid w:val="00D074B3"/>
    <w:rsid w:val="00D07664"/>
    <w:rsid w:val="00D076A8"/>
    <w:rsid w:val="00D07852"/>
    <w:rsid w:val="00D0787C"/>
    <w:rsid w:val="00D079D5"/>
    <w:rsid w:val="00D07A14"/>
    <w:rsid w:val="00D07B44"/>
    <w:rsid w:val="00D07C2D"/>
    <w:rsid w:val="00D07CE5"/>
    <w:rsid w:val="00D07F67"/>
    <w:rsid w:val="00D10114"/>
    <w:rsid w:val="00D10382"/>
    <w:rsid w:val="00D10464"/>
    <w:rsid w:val="00D1054D"/>
    <w:rsid w:val="00D10582"/>
    <w:rsid w:val="00D105E6"/>
    <w:rsid w:val="00D107B7"/>
    <w:rsid w:val="00D1090E"/>
    <w:rsid w:val="00D10A17"/>
    <w:rsid w:val="00D10CF8"/>
    <w:rsid w:val="00D10E1D"/>
    <w:rsid w:val="00D1102B"/>
    <w:rsid w:val="00D110D5"/>
    <w:rsid w:val="00D113FF"/>
    <w:rsid w:val="00D1153E"/>
    <w:rsid w:val="00D11602"/>
    <w:rsid w:val="00D11872"/>
    <w:rsid w:val="00D118A5"/>
    <w:rsid w:val="00D119F7"/>
    <w:rsid w:val="00D11B5B"/>
    <w:rsid w:val="00D11C02"/>
    <w:rsid w:val="00D11D52"/>
    <w:rsid w:val="00D11EA9"/>
    <w:rsid w:val="00D11F33"/>
    <w:rsid w:val="00D12047"/>
    <w:rsid w:val="00D120E2"/>
    <w:rsid w:val="00D129AB"/>
    <w:rsid w:val="00D12B65"/>
    <w:rsid w:val="00D12C2F"/>
    <w:rsid w:val="00D12DFF"/>
    <w:rsid w:val="00D12EFA"/>
    <w:rsid w:val="00D13074"/>
    <w:rsid w:val="00D131C2"/>
    <w:rsid w:val="00D13270"/>
    <w:rsid w:val="00D135C3"/>
    <w:rsid w:val="00D1362B"/>
    <w:rsid w:val="00D13740"/>
    <w:rsid w:val="00D13B65"/>
    <w:rsid w:val="00D13DA5"/>
    <w:rsid w:val="00D13F59"/>
    <w:rsid w:val="00D13F64"/>
    <w:rsid w:val="00D13F6C"/>
    <w:rsid w:val="00D14120"/>
    <w:rsid w:val="00D14162"/>
    <w:rsid w:val="00D14167"/>
    <w:rsid w:val="00D143B3"/>
    <w:rsid w:val="00D14499"/>
    <w:rsid w:val="00D144A9"/>
    <w:rsid w:val="00D145C1"/>
    <w:rsid w:val="00D14638"/>
    <w:rsid w:val="00D146AD"/>
    <w:rsid w:val="00D149C5"/>
    <w:rsid w:val="00D14ACE"/>
    <w:rsid w:val="00D14B24"/>
    <w:rsid w:val="00D14BE6"/>
    <w:rsid w:val="00D14D58"/>
    <w:rsid w:val="00D14D5F"/>
    <w:rsid w:val="00D14E25"/>
    <w:rsid w:val="00D15342"/>
    <w:rsid w:val="00D1552F"/>
    <w:rsid w:val="00D15714"/>
    <w:rsid w:val="00D15BDB"/>
    <w:rsid w:val="00D15C20"/>
    <w:rsid w:val="00D15D34"/>
    <w:rsid w:val="00D15D96"/>
    <w:rsid w:val="00D15DFB"/>
    <w:rsid w:val="00D15E04"/>
    <w:rsid w:val="00D15EDC"/>
    <w:rsid w:val="00D15F2C"/>
    <w:rsid w:val="00D15F58"/>
    <w:rsid w:val="00D16249"/>
    <w:rsid w:val="00D162F5"/>
    <w:rsid w:val="00D1644E"/>
    <w:rsid w:val="00D16454"/>
    <w:rsid w:val="00D1654E"/>
    <w:rsid w:val="00D165FC"/>
    <w:rsid w:val="00D16684"/>
    <w:rsid w:val="00D16739"/>
    <w:rsid w:val="00D1697C"/>
    <w:rsid w:val="00D16B0B"/>
    <w:rsid w:val="00D16CE5"/>
    <w:rsid w:val="00D16D56"/>
    <w:rsid w:val="00D16E10"/>
    <w:rsid w:val="00D16E41"/>
    <w:rsid w:val="00D16ED7"/>
    <w:rsid w:val="00D16F74"/>
    <w:rsid w:val="00D173D5"/>
    <w:rsid w:val="00D1757C"/>
    <w:rsid w:val="00D175B1"/>
    <w:rsid w:val="00D176F9"/>
    <w:rsid w:val="00D1773E"/>
    <w:rsid w:val="00D177BF"/>
    <w:rsid w:val="00D17860"/>
    <w:rsid w:val="00D1786B"/>
    <w:rsid w:val="00D1793A"/>
    <w:rsid w:val="00D17BE9"/>
    <w:rsid w:val="00D17CAE"/>
    <w:rsid w:val="00D17DDF"/>
    <w:rsid w:val="00D20181"/>
    <w:rsid w:val="00D201CA"/>
    <w:rsid w:val="00D203A8"/>
    <w:rsid w:val="00D205C8"/>
    <w:rsid w:val="00D2064D"/>
    <w:rsid w:val="00D20712"/>
    <w:rsid w:val="00D20A85"/>
    <w:rsid w:val="00D20AE2"/>
    <w:rsid w:val="00D20BA2"/>
    <w:rsid w:val="00D20D31"/>
    <w:rsid w:val="00D20D9A"/>
    <w:rsid w:val="00D20FB9"/>
    <w:rsid w:val="00D21227"/>
    <w:rsid w:val="00D2124B"/>
    <w:rsid w:val="00D21326"/>
    <w:rsid w:val="00D2146E"/>
    <w:rsid w:val="00D214D8"/>
    <w:rsid w:val="00D2153D"/>
    <w:rsid w:val="00D215EA"/>
    <w:rsid w:val="00D21625"/>
    <w:rsid w:val="00D2164C"/>
    <w:rsid w:val="00D217A7"/>
    <w:rsid w:val="00D2189E"/>
    <w:rsid w:val="00D21981"/>
    <w:rsid w:val="00D219C5"/>
    <w:rsid w:val="00D21B84"/>
    <w:rsid w:val="00D21BED"/>
    <w:rsid w:val="00D21D52"/>
    <w:rsid w:val="00D21FA8"/>
    <w:rsid w:val="00D22006"/>
    <w:rsid w:val="00D22236"/>
    <w:rsid w:val="00D22239"/>
    <w:rsid w:val="00D22255"/>
    <w:rsid w:val="00D22297"/>
    <w:rsid w:val="00D22402"/>
    <w:rsid w:val="00D2271F"/>
    <w:rsid w:val="00D22D4C"/>
    <w:rsid w:val="00D22D91"/>
    <w:rsid w:val="00D22DAA"/>
    <w:rsid w:val="00D22E3B"/>
    <w:rsid w:val="00D22E89"/>
    <w:rsid w:val="00D22E9D"/>
    <w:rsid w:val="00D22EAC"/>
    <w:rsid w:val="00D22F95"/>
    <w:rsid w:val="00D23013"/>
    <w:rsid w:val="00D231A8"/>
    <w:rsid w:val="00D231E0"/>
    <w:rsid w:val="00D232E6"/>
    <w:rsid w:val="00D23348"/>
    <w:rsid w:val="00D23361"/>
    <w:rsid w:val="00D23431"/>
    <w:rsid w:val="00D23542"/>
    <w:rsid w:val="00D23B98"/>
    <w:rsid w:val="00D23E33"/>
    <w:rsid w:val="00D23F8F"/>
    <w:rsid w:val="00D242AE"/>
    <w:rsid w:val="00D242D3"/>
    <w:rsid w:val="00D242F9"/>
    <w:rsid w:val="00D243EB"/>
    <w:rsid w:val="00D2454E"/>
    <w:rsid w:val="00D24765"/>
    <w:rsid w:val="00D24980"/>
    <w:rsid w:val="00D24CDA"/>
    <w:rsid w:val="00D24E11"/>
    <w:rsid w:val="00D24E55"/>
    <w:rsid w:val="00D2511F"/>
    <w:rsid w:val="00D251A9"/>
    <w:rsid w:val="00D25529"/>
    <w:rsid w:val="00D257C3"/>
    <w:rsid w:val="00D25915"/>
    <w:rsid w:val="00D259CA"/>
    <w:rsid w:val="00D259D7"/>
    <w:rsid w:val="00D25C8E"/>
    <w:rsid w:val="00D25F5C"/>
    <w:rsid w:val="00D25F75"/>
    <w:rsid w:val="00D26004"/>
    <w:rsid w:val="00D26337"/>
    <w:rsid w:val="00D264B2"/>
    <w:rsid w:val="00D264E4"/>
    <w:rsid w:val="00D2653F"/>
    <w:rsid w:val="00D265A5"/>
    <w:rsid w:val="00D2662D"/>
    <w:rsid w:val="00D269AA"/>
    <w:rsid w:val="00D26B2C"/>
    <w:rsid w:val="00D26B3F"/>
    <w:rsid w:val="00D26C86"/>
    <w:rsid w:val="00D26D44"/>
    <w:rsid w:val="00D26D5B"/>
    <w:rsid w:val="00D26DA8"/>
    <w:rsid w:val="00D26FBC"/>
    <w:rsid w:val="00D2701E"/>
    <w:rsid w:val="00D27147"/>
    <w:rsid w:val="00D2730A"/>
    <w:rsid w:val="00D2740F"/>
    <w:rsid w:val="00D2749D"/>
    <w:rsid w:val="00D275FA"/>
    <w:rsid w:val="00D276AA"/>
    <w:rsid w:val="00D277BF"/>
    <w:rsid w:val="00D278AF"/>
    <w:rsid w:val="00D27CBF"/>
    <w:rsid w:val="00D27EF7"/>
    <w:rsid w:val="00D30043"/>
    <w:rsid w:val="00D3017B"/>
    <w:rsid w:val="00D30192"/>
    <w:rsid w:val="00D30241"/>
    <w:rsid w:val="00D30306"/>
    <w:rsid w:val="00D303C0"/>
    <w:rsid w:val="00D3047D"/>
    <w:rsid w:val="00D305D7"/>
    <w:rsid w:val="00D30606"/>
    <w:rsid w:val="00D31011"/>
    <w:rsid w:val="00D312BC"/>
    <w:rsid w:val="00D3131D"/>
    <w:rsid w:val="00D31547"/>
    <w:rsid w:val="00D31888"/>
    <w:rsid w:val="00D319F9"/>
    <w:rsid w:val="00D31AD3"/>
    <w:rsid w:val="00D31BE6"/>
    <w:rsid w:val="00D31DDB"/>
    <w:rsid w:val="00D31DEF"/>
    <w:rsid w:val="00D321CE"/>
    <w:rsid w:val="00D322CC"/>
    <w:rsid w:val="00D32320"/>
    <w:rsid w:val="00D32336"/>
    <w:rsid w:val="00D3253A"/>
    <w:rsid w:val="00D32659"/>
    <w:rsid w:val="00D326AE"/>
    <w:rsid w:val="00D326B4"/>
    <w:rsid w:val="00D32867"/>
    <w:rsid w:val="00D32A93"/>
    <w:rsid w:val="00D32AE1"/>
    <w:rsid w:val="00D32D05"/>
    <w:rsid w:val="00D33087"/>
    <w:rsid w:val="00D33197"/>
    <w:rsid w:val="00D3344C"/>
    <w:rsid w:val="00D334BF"/>
    <w:rsid w:val="00D3382F"/>
    <w:rsid w:val="00D338B3"/>
    <w:rsid w:val="00D33960"/>
    <w:rsid w:val="00D339F7"/>
    <w:rsid w:val="00D33B29"/>
    <w:rsid w:val="00D33CC5"/>
    <w:rsid w:val="00D33D91"/>
    <w:rsid w:val="00D34154"/>
    <w:rsid w:val="00D34276"/>
    <w:rsid w:val="00D34400"/>
    <w:rsid w:val="00D345B9"/>
    <w:rsid w:val="00D345BF"/>
    <w:rsid w:val="00D345E5"/>
    <w:rsid w:val="00D345F7"/>
    <w:rsid w:val="00D3467C"/>
    <w:rsid w:val="00D34834"/>
    <w:rsid w:val="00D3494E"/>
    <w:rsid w:val="00D34C02"/>
    <w:rsid w:val="00D34CBF"/>
    <w:rsid w:val="00D35062"/>
    <w:rsid w:val="00D35311"/>
    <w:rsid w:val="00D35477"/>
    <w:rsid w:val="00D3559A"/>
    <w:rsid w:val="00D35A69"/>
    <w:rsid w:val="00D35C3F"/>
    <w:rsid w:val="00D35DC2"/>
    <w:rsid w:val="00D3604F"/>
    <w:rsid w:val="00D36312"/>
    <w:rsid w:val="00D363DD"/>
    <w:rsid w:val="00D36456"/>
    <w:rsid w:val="00D3649E"/>
    <w:rsid w:val="00D36812"/>
    <w:rsid w:val="00D3683A"/>
    <w:rsid w:val="00D36A4C"/>
    <w:rsid w:val="00D36AF1"/>
    <w:rsid w:val="00D36B72"/>
    <w:rsid w:val="00D36BF5"/>
    <w:rsid w:val="00D36C28"/>
    <w:rsid w:val="00D36D6C"/>
    <w:rsid w:val="00D36EBD"/>
    <w:rsid w:val="00D36FC7"/>
    <w:rsid w:val="00D3719F"/>
    <w:rsid w:val="00D37379"/>
    <w:rsid w:val="00D3748D"/>
    <w:rsid w:val="00D37533"/>
    <w:rsid w:val="00D3789C"/>
    <w:rsid w:val="00D378CA"/>
    <w:rsid w:val="00D37AEA"/>
    <w:rsid w:val="00D37B27"/>
    <w:rsid w:val="00D37E1A"/>
    <w:rsid w:val="00D40178"/>
    <w:rsid w:val="00D405C4"/>
    <w:rsid w:val="00D405FC"/>
    <w:rsid w:val="00D4089D"/>
    <w:rsid w:val="00D40DBC"/>
    <w:rsid w:val="00D40DD7"/>
    <w:rsid w:val="00D40DF4"/>
    <w:rsid w:val="00D40DFB"/>
    <w:rsid w:val="00D40E7F"/>
    <w:rsid w:val="00D40EB2"/>
    <w:rsid w:val="00D40F35"/>
    <w:rsid w:val="00D40FC0"/>
    <w:rsid w:val="00D4100E"/>
    <w:rsid w:val="00D41034"/>
    <w:rsid w:val="00D41220"/>
    <w:rsid w:val="00D412CB"/>
    <w:rsid w:val="00D41302"/>
    <w:rsid w:val="00D4169C"/>
    <w:rsid w:val="00D41740"/>
    <w:rsid w:val="00D4189D"/>
    <w:rsid w:val="00D41984"/>
    <w:rsid w:val="00D419ED"/>
    <w:rsid w:val="00D41A3A"/>
    <w:rsid w:val="00D41B4D"/>
    <w:rsid w:val="00D41B61"/>
    <w:rsid w:val="00D41EEE"/>
    <w:rsid w:val="00D41F5C"/>
    <w:rsid w:val="00D420DA"/>
    <w:rsid w:val="00D42224"/>
    <w:rsid w:val="00D4257A"/>
    <w:rsid w:val="00D42637"/>
    <w:rsid w:val="00D426F7"/>
    <w:rsid w:val="00D427F2"/>
    <w:rsid w:val="00D428B6"/>
    <w:rsid w:val="00D42950"/>
    <w:rsid w:val="00D42969"/>
    <w:rsid w:val="00D4297F"/>
    <w:rsid w:val="00D4299A"/>
    <w:rsid w:val="00D429F3"/>
    <w:rsid w:val="00D42F20"/>
    <w:rsid w:val="00D4336B"/>
    <w:rsid w:val="00D434A4"/>
    <w:rsid w:val="00D43525"/>
    <w:rsid w:val="00D436BF"/>
    <w:rsid w:val="00D436E8"/>
    <w:rsid w:val="00D43705"/>
    <w:rsid w:val="00D437DD"/>
    <w:rsid w:val="00D4380C"/>
    <w:rsid w:val="00D43B97"/>
    <w:rsid w:val="00D43B9E"/>
    <w:rsid w:val="00D43CD1"/>
    <w:rsid w:val="00D43E2A"/>
    <w:rsid w:val="00D43E6A"/>
    <w:rsid w:val="00D43F1B"/>
    <w:rsid w:val="00D43F34"/>
    <w:rsid w:val="00D441E6"/>
    <w:rsid w:val="00D445AD"/>
    <w:rsid w:val="00D447B7"/>
    <w:rsid w:val="00D448E2"/>
    <w:rsid w:val="00D44B12"/>
    <w:rsid w:val="00D44B2F"/>
    <w:rsid w:val="00D44C9D"/>
    <w:rsid w:val="00D44EEE"/>
    <w:rsid w:val="00D44F26"/>
    <w:rsid w:val="00D452A2"/>
    <w:rsid w:val="00D452F9"/>
    <w:rsid w:val="00D4536A"/>
    <w:rsid w:val="00D45594"/>
    <w:rsid w:val="00D4567B"/>
    <w:rsid w:val="00D457B6"/>
    <w:rsid w:val="00D45CA5"/>
    <w:rsid w:val="00D45F20"/>
    <w:rsid w:val="00D45F24"/>
    <w:rsid w:val="00D46044"/>
    <w:rsid w:val="00D46050"/>
    <w:rsid w:val="00D46213"/>
    <w:rsid w:val="00D462BB"/>
    <w:rsid w:val="00D462FF"/>
    <w:rsid w:val="00D463D4"/>
    <w:rsid w:val="00D46491"/>
    <w:rsid w:val="00D4655C"/>
    <w:rsid w:val="00D46798"/>
    <w:rsid w:val="00D46D55"/>
    <w:rsid w:val="00D46E11"/>
    <w:rsid w:val="00D46F3E"/>
    <w:rsid w:val="00D471AC"/>
    <w:rsid w:val="00D472C2"/>
    <w:rsid w:val="00D474A9"/>
    <w:rsid w:val="00D47675"/>
    <w:rsid w:val="00D478D4"/>
    <w:rsid w:val="00D4796D"/>
    <w:rsid w:val="00D47B05"/>
    <w:rsid w:val="00D47B39"/>
    <w:rsid w:val="00D47B54"/>
    <w:rsid w:val="00D47D96"/>
    <w:rsid w:val="00D47E4C"/>
    <w:rsid w:val="00D47ED1"/>
    <w:rsid w:val="00D5011E"/>
    <w:rsid w:val="00D5014D"/>
    <w:rsid w:val="00D50327"/>
    <w:rsid w:val="00D50637"/>
    <w:rsid w:val="00D5074A"/>
    <w:rsid w:val="00D507D6"/>
    <w:rsid w:val="00D50849"/>
    <w:rsid w:val="00D508D2"/>
    <w:rsid w:val="00D50B3A"/>
    <w:rsid w:val="00D50B4F"/>
    <w:rsid w:val="00D50C5B"/>
    <w:rsid w:val="00D50C72"/>
    <w:rsid w:val="00D50C9C"/>
    <w:rsid w:val="00D50E0F"/>
    <w:rsid w:val="00D50E2E"/>
    <w:rsid w:val="00D5107D"/>
    <w:rsid w:val="00D511D1"/>
    <w:rsid w:val="00D512AB"/>
    <w:rsid w:val="00D51460"/>
    <w:rsid w:val="00D514A5"/>
    <w:rsid w:val="00D5157E"/>
    <w:rsid w:val="00D515EA"/>
    <w:rsid w:val="00D5166A"/>
    <w:rsid w:val="00D516E9"/>
    <w:rsid w:val="00D51BAF"/>
    <w:rsid w:val="00D51BFB"/>
    <w:rsid w:val="00D51C88"/>
    <w:rsid w:val="00D51E41"/>
    <w:rsid w:val="00D52030"/>
    <w:rsid w:val="00D52091"/>
    <w:rsid w:val="00D524B8"/>
    <w:rsid w:val="00D52617"/>
    <w:rsid w:val="00D52999"/>
    <w:rsid w:val="00D52B3E"/>
    <w:rsid w:val="00D53630"/>
    <w:rsid w:val="00D538F5"/>
    <w:rsid w:val="00D53A89"/>
    <w:rsid w:val="00D53E32"/>
    <w:rsid w:val="00D53EA2"/>
    <w:rsid w:val="00D53F20"/>
    <w:rsid w:val="00D53FA9"/>
    <w:rsid w:val="00D54070"/>
    <w:rsid w:val="00D540A1"/>
    <w:rsid w:val="00D54182"/>
    <w:rsid w:val="00D54275"/>
    <w:rsid w:val="00D54318"/>
    <w:rsid w:val="00D54365"/>
    <w:rsid w:val="00D54401"/>
    <w:rsid w:val="00D5446C"/>
    <w:rsid w:val="00D545C5"/>
    <w:rsid w:val="00D5468E"/>
    <w:rsid w:val="00D54791"/>
    <w:rsid w:val="00D54D7D"/>
    <w:rsid w:val="00D54EC1"/>
    <w:rsid w:val="00D54F56"/>
    <w:rsid w:val="00D55043"/>
    <w:rsid w:val="00D554FF"/>
    <w:rsid w:val="00D5554B"/>
    <w:rsid w:val="00D5556D"/>
    <w:rsid w:val="00D5596E"/>
    <w:rsid w:val="00D55DF7"/>
    <w:rsid w:val="00D56258"/>
    <w:rsid w:val="00D56300"/>
    <w:rsid w:val="00D5655C"/>
    <w:rsid w:val="00D56610"/>
    <w:rsid w:val="00D567C3"/>
    <w:rsid w:val="00D56AE4"/>
    <w:rsid w:val="00D56AE6"/>
    <w:rsid w:val="00D56AF9"/>
    <w:rsid w:val="00D56B9D"/>
    <w:rsid w:val="00D56CA2"/>
    <w:rsid w:val="00D56CD2"/>
    <w:rsid w:val="00D56DB3"/>
    <w:rsid w:val="00D57069"/>
    <w:rsid w:val="00D57144"/>
    <w:rsid w:val="00D5718E"/>
    <w:rsid w:val="00D572FF"/>
    <w:rsid w:val="00D576C3"/>
    <w:rsid w:val="00D5776D"/>
    <w:rsid w:val="00D577D4"/>
    <w:rsid w:val="00D57975"/>
    <w:rsid w:val="00D57AA8"/>
    <w:rsid w:val="00D57B58"/>
    <w:rsid w:val="00D57C26"/>
    <w:rsid w:val="00D57F89"/>
    <w:rsid w:val="00D60043"/>
    <w:rsid w:val="00D600DA"/>
    <w:rsid w:val="00D60113"/>
    <w:rsid w:val="00D60219"/>
    <w:rsid w:val="00D6025B"/>
    <w:rsid w:val="00D60553"/>
    <w:rsid w:val="00D6061E"/>
    <w:rsid w:val="00D60649"/>
    <w:rsid w:val="00D607D0"/>
    <w:rsid w:val="00D60812"/>
    <w:rsid w:val="00D608F0"/>
    <w:rsid w:val="00D60AA3"/>
    <w:rsid w:val="00D60B59"/>
    <w:rsid w:val="00D60D1A"/>
    <w:rsid w:val="00D60E33"/>
    <w:rsid w:val="00D60F1E"/>
    <w:rsid w:val="00D6100D"/>
    <w:rsid w:val="00D61097"/>
    <w:rsid w:val="00D61156"/>
    <w:rsid w:val="00D6120B"/>
    <w:rsid w:val="00D613E6"/>
    <w:rsid w:val="00D614ED"/>
    <w:rsid w:val="00D61587"/>
    <w:rsid w:val="00D615C5"/>
    <w:rsid w:val="00D61B4D"/>
    <w:rsid w:val="00D61D1F"/>
    <w:rsid w:val="00D61D4A"/>
    <w:rsid w:val="00D61E88"/>
    <w:rsid w:val="00D61E90"/>
    <w:rsid w:val="00D61F54"/>
    <w:rsid w:val="00D6215D"/>
    <w:rsid w:val="00D621AB"/>
    <w:rsid w:val="00D621FA"/>
    <w:rsid w:val="00D622BC"/>
    <w:rsid w:val="00D62358"/>
    <w:rsid w:val="00D623D7"/>
    <w:rsid w:val="00D6257E"/>
    <w:rsid w:val="00D62586"/>
    <w:rsid w:val="00D62611"/>
    <w:rsid w:val="00D628BF"/>
    <w:rsid w:val="00D6295F"/>
    <w:rsid w:val="00D62996"/>
    <w:rsid w:val="00D62A5A"/>
    <w:rsid w:val="00D62B91"/>
    <w:rsid w:val="00D62FD1"/>
    <w:rsid w:val="00D630A3"/>
    <w:rsid w:val="00D630A6"/>
    <w:rsid w:val="00D633D4"/>
    <w:rsid w:val="00D63454"/>
    <w:rsid w:val="00D63768"/>
    <w:rsid w:val="00D6394C"/>
    <w:rsid w:val="00D63973"/>
    <w:rsid w:val="00D63BF7"/>
    <w:rsid w:val="00D63F43"/>
    <w:rsid w:val="00D63F69"/>
    <w:rsid w:val="00D63F96"/>
    <w:rsid w:val="00D64035"/>
    <w:rsid w:val="00D641C9"/>
    <w:rsid w:val="00D642D5"/>
    <w:rsid w:val="00D64445"/>
    <w:rsid w:val="00D645B4"/>
    <w:rsid w:val="00D645C3"/>
    <w:rsid w:val="00D6485F"/>
    <w:rsid w:val="00D64AD0"/>
    <w:rsid w:val="00D64BA1"/>
    <w:rsid w:val="00D64E28"/>
    <w:rsid w:val="00D64FF3"/>
    <w:rsid w:val="00D65289"/>
    <w:rsid w:val="00D65387"/>
    <w:rsid w:val="00D654CC"/>
    <w:rsid w:val="00D65525"/>
    <w:rsid w:val="00D6556B"/>
    <w:rsid w:val="00D65667"/>
    <w:rsid w:val="00D65758"/>
    <w:rsid w:val="00D658E9"/>
    <w:rsid w:val="00D6591C"/>
    <w:rsid w:val="00D659AD"/>
    <w:rsid w:val="00D65AB0"/>
    <w:rsid w:val="00D65DCE"/>
    <w:rsid w:val="00D65EE0"/>
    <w:rsid w:val="00D65FCE"/>
    <w:rsid w:val="00D6606C"/>
    <w:rsid w:val="00D66407"/>
    <w:rsid w:val="00D6676F"/>
    <w:rsid w:val="00D66795"/>
    <w:rsid w:val="00D667A8"/>
    <w:rsid w:val="00D66AA3"/>
    <w:rsid w:val="00D66B7F"/>
    <w:rsid w:val="00D66C0F"/>
    <w:rsid w:val="00D66E46"/>
    <w:rsid w:val="00D66EF8"/>
    <w:rsid w:val="00D6709E"/>
    <w:rsid w:val="00D6711C"/>
    <w:rsid w:val="00D67388"/>
    <w:rsid w:val="00D67567"/>
    <w:rsid w:val="00D67599"/>
    <w:rsid w:val="00D67659"/>
    <w:rsid w:val="00D67690"/>
    <w:rsid w:val="00D676D2"/>
    <w:rsid w:val="00D676F5"/>
    <w:rsid w:val="00D67838"/>
    <w:rsid w:val="00D67916"/>
    <w:rsid w:val="00D67C18"/>
    <w:rsid w:val="00D67DAF"/>
    <w:rsid w:val="00D67E9D"/>
    <w:rsid w:val="00D67F9F"/>
    <w:rsid w:val="00D701F5"/>
    <w:rsid w:val="00D70338"/>
    <w:rsid w:val="00D70410"/>
    <w:rsid w:val="00D704E7"/>
    <w:rsid w:val="00D70507"/>
    <w:rsid w:val="00D70548"/>
    <w:rsid w:val="00D70669"/>
    <w:rsid w:val="00D70A00"/>
    <w:rsid w:val="00D70DC7"/>
    <w:rsid w:val="00D70FA9"/>
    <w:rsid w:val="00D70FF6"/>
    <w:rsid w:val="00D71036"/>
    <w:rsid w:val="00D710D7"/>
    <w:rsid w:val="00D712AC"/>
    <w:rsid w:val="00D7137C"/>
    <w:rsid w:val="00D71458"/>
    <w:rsid w:val="00D71573"/>
    <w:rsid w:val="00D718CB"/>
    <w:rsid w:val="00D719C4"/>
    <w:rsid w:val="00D71A4F"/>
    <w:rsid w:val="00D71AAD"/>
    <w:rsid w:val="00D71AB7"/>
    <w:rsid w:val="00D71AED"/>
    <w:rsid w:val="00D71B5F"/>
    <w:rsid w:val="00D71D1B"/>
    <w:rsid w:val="00D71D2F"/>
    <w:rsid w:val="00D71E97"/>
    <w:rsid w:val="00D71F61"/>
    <w:rsid w:val="00D71F9B"/>
    <w:rsid w:val="00D72258"/>
    <w:rsid w:val="00D72574"/>
    <w:rsid w:val="00D7277C"/>
    <w:rsid w:val="00D72A0F"/>
    <w:rsid w:val="00D72B1D"/>
    <w:rsid w:val="00D72C18"/>
    <w:rsid w:val="00D72D78"/>
    <w:rsid w:val="00D73038"/>
    <w:rsid w:val="00D7317C"/>
    <w:rsid w:val="00D732A1"/>
    <w:rsid w:val="00D732CC"/>
    <w:rsid w:val="00D7331D"/>
    <w:rsid w:val="00D73451"/>
    <w:rsid w:val="00D73463"/>
    <w:rsid w:val="00D7350D"/>
    <w:rsid w:val="00D73BF8"/>
    <w:rsid w:val="00D73D38"/>
    <w:rsid w:val="00D73F7A"/>
    <w:rsid w:val="00D73FD8"/>
    <w:rsid w:val="00D74056"/>
    <w:rsid w:val="00D74154"/>
    <w:rsid w:val="00D7416C"/>
    <w:rsid w:val="00D742A3"/>
    <w:rsid w:val="00D7439B"/>
    <w:rsid w:val="00D7447C"/>
    <w:rsid w:val="00D746EA"/>
    <w:rsid w:val="00D747E6"/>
    <w:rsid w:val="00D748A5"/>
    <w:rsid w:val="00D74A66"/>
    <w:rsid w:val="00D74B47"/>
    <w:rsid w:val="00D74BFB"/>
    <w:rsid w:val="00D74D1A"/>
    <w:rsid w:val="00D74DF7"/>
    <w:rsid w:val="00D74E17"/>
    <w:rsid w:val="00D74F7E"/>
    <w:rsid w:val="00D74FA2"/>
    <w:rsid w:val="00D74FD4"/>
    <w:rsid w:val="00D7543C"/>
    <w:rsid w:val="00D7558B"/>
    <w:rsid w:val="00D75591"/>
    <w:rsid w:val="00D755A0"/>
    <w:rsid w:val="00D75690"/>
    <w:rsid w:val="00D7579B"/>
    <w:rsid w:val="00D7589F"/>
    <w:rsid w:val="00D75948"/>
    <w:rsid w:val="00D75ABF"/>
    <w:rsid w:val="00D75B12"/>
    <w:rsid w:val="00D75B6B"/>
    <w:rsid w:val="00D75C01"/>
    <w:rsid w:val="00D75C1D"/>
    <w:rsid w:val="00D75C9A"/>
    <w:rsid w:val="00D75E14"/>
    <w:rsid w:val="00D75EF8"/>
    <w:rsid w:val="00D761E0"/>
    <w:rsid w:val="00D762AB"/>
    <w:rsid w:val="00D763A6"/>
    <w:rsid w:val="00D7654A"/>
    <w:rsid w:val="00D76886"/>
    <w:rsid w:val="00D76A5B"/>
    <w:rsid w:val="00D76AF8"/>
    <w:rsid w:val="00D76B54"/>
    <w:rsid w:val="00D76C19"/>
    <w:rsid w:val="00D7708B"/>
    <w:rsid w:val="00D77114"/>
    <w:rsid w:val="00D772D5"/>
    <w:rsid w:val="00D772EF"/>
    <w:rsid w:val="00D77512"/>
    <w:rsid w:val="00D7754D"/>
    <w:rsid w:val="00D77624"/>
    <w:rsid w:val="00D77673"/>
    <w:rsid w:val="00D778C3"/>
    <w:rsid w:val="00D77920"/>
    <w:rsid w:val="00D7797E"/>
    <w:rsid w:val="00D7799E"/>
    <w:rsid w:val="00D77D03"/>
    <w:rsid w:val="00D77DA8"/>
    <w:rsid w:val="00D77E3D"/>
    <w:rsid w:val="00D77E88"/>
    <w:rsid w:val="00D77F01"/>
    <w:rsid w:val="00D8005A"/>
    <w:rsid w:val="00D80236"/>
    <w:rsid w:val="00D8035A"/>
    <w:rsid w:val="00D80781"/>
    <w:rsid w:val="00D807E8"/>
    <w:rsid w:val="00D8083D"/>
    <w:rsid w:val="00D8095E"/>
    <w:rsid w:val="00D80AE1"/>
    <w:rsid w:val="00D80C15"/>
    <w:rsid w:val="00D80C59"/>
    <w:rsid w:val="00D80D3C"/>
    <w:rsid w:val="00D80DDB"/>
    <w:rsid w:val="00D80ED5"/>
    <w:rsid w:val="00D80F24"/>
    <w:rsid w:val="00D813E6"/>
    <w:rsid w:val="00D816D1"/>
    <w:rsid w:val="00D816E6"/>
    <w:rsid w:val="00D817F2"/>
    <w:rsid w:val="00D81946"/>
    <w:rsid w:val="00D819E8"/>
    <w:rsid w:val="00D81BA6"/>
    <w:rsid w:val="00D81C8A"/>
    <w:rsid w:val="00D8206B"/>
    <w:rsid w:val="00D82156"/>
    <w:rsid w:val="00D82298"/>
    <w:rsid w:val="00D82405"/>
    <w:rsid w:val="00D825ED"/>
    <w:rsid w:val="00D82793"/>
    <w:rsid w:val="00D82889"/>
    <w:rsid w:val="00D828F6"/>
    <w:rsid w:val="00D829E3"/>
    <w:rsid w:val="00D82B81"/>
    <w:rsid w:val="00D82C66"/>
    <w:rsid w:val="00D82D13"/>
    <w:rsid w:val="00D82EB0"/>
    <w:rsid w:val="00D82EC0"/>
    <w:rsid w:val="00D82F30"/>
    <w:rsid w:val="00D82F5B"/>
    <w:rsid w:val="00D82F9A"/>
    <w:rsid w:val="00D830F3"/>
    <w:rsid w:val="00D832EE"/>
    <w:rsid w:val="00D833A5"/>
    <w:rsid w:val="00D83439"/>
    <w:rsid w:val="00D834A6"/>
    <w:rsid w:val="00D83514"/>
    <w:rsid w:val="00D83923"/>
    <w:rsid w:val="00D83A4F"/>
    <w:rsid w:val="00D83AA5"/>
    <w:rsid w:val="00D83B03"/>
    <w:rsid w:val="00D83C8B"/>
    <w:rsid w:val="00D83FEE"/>
    <w:rsid w:val="00D8425A"/>
    <w:rsid w:val="00D84305"/>
    <w:rsid w:val="00D8432F"/>
    <w:rsid w:val="00D84407"/>
    <w:rsid w:val="00D845FA"/>
    <w:rsid w:val="00D84900"/>
    <w:rsid w:val="00D84960"/>
    <w:rsid w:val="00D84B5D"/>
    <w:rsid w:val="00D84BBF"/>
    <w:rsid w:val="00D84E78"/>
    <w:rsid w:val="00D84F03"/>
    <w:rsid w:val="00D8514F"/>
    <w:rsid w:val="00D85237"/>
    <w:rsid w:val="00D8547E"/>
    <w:rsid w:val="00D854BD"/>
    <w:rsid w:val="00D857AC"/>
    <w:rsid w:val="00D858A5"/>
    <w:rsid w:val="00D858DE"/>
    <w:rsid w:val="00D85DA5"/>
    <w:rsid w:val="00D85EB4"/>
    <w:rsid w:val="00D864D6"/>
    <w:rsid w:val="00D8658F"/>
    <w:rsid w:val="00D865DC"/>
    <w:rsid w:val="00D8687A"/>
    <w:rsid w:val="00D868A9"/>
    <w:rsid w:val="00D869F9"/>
    <w:rsid w:val="00D86A15"/>
    <w:rsid w:val="00D86D07"/>
    <w:rsid w:val="00D86DA2"/>
    <w:rsid w:val="00D86E4C"/>
    <w:rsid w:val="00D86EDC"/>
    <w:rsid w:val="00D86FC0"/>
    <w:rsid w:val="00D875EC"/>
    <w:rsid w:val="00D87717"/>
    <w:rsid w:val="00D87777"/>
    <w:rsid w:val="00D87841"/>
    <w:rsid w:val="00D87845"/>
    <w:rsid w:val="00D87989"/>
    <w:rsid w:val="00D879D3"/>
    <w:rsid w:val="00D87A9B"/>
    <w:rsid w:val="00D87ACB"/>
    <w:rsid w:val="00D87AED"/>
    <w:rsid w:val="00D87B1F"/>
    <w:rsid w:val="00D87C7E"/>
    <w:rsid w:val="00D87D95"/>
    <w:rsid w:val="00D87DF5"/>
    <w:rsid w:val="00D90339"/>
    <w:rsid w:val="00D903F2"/>
    <w:rsid w:val="00D904B7"/>
    <w:rsid w:val="00D90604"/>
    <w:rsid w:val="00D90609"/>
    <w:rsid w:val="00D90868"/>
    <w:rsid w:val="00D90C7E"/>
    <w:rsid w:val="00D90CCC"/>
    <w:rsid w:val="00D90DD9"/>
    <w:rsid w:val="00D90E56"/>
    <w:rsid w:val="00D90E76"/>
    <w:rsid w:val="00D90F5C"/>
    <w:rsid w:val="00D90F66"/>
    <w:rsid w:val="00D90F70"/>
    <w:rsid w:val="00D91060"/>
    <w:rsid w:val="00D912A6"/>
    <w:rsid w:val="00D912BB"/>
    <w:rsid w:val="00D91722"/>
    <w:rsid w:val="00D917D4"/>
    <w:rsid w:val="00D918AB"/>
    <w:rsid w:val="00D918E9"/>
    <w:rsid w:val="00D918F5"/>
    <w:rsid w:val="00D91A5D"/>
    <w:rsid w:val="00D91D1B"/>
    <w:rsid w:val="00D91DAA"/>
    <w:rsid w:val="00D91DF3"/>
    <w:rsid w:val="00D91F2B"/>
    <w:rsid w:val="00D92193"/>
    <w:rsid w:val="00D92209"/>
    <w:rsid w:val="00D922B8"/>
    <w:rsid w:val="00D92357"/>
    <w:rsid w:val="00D92391"/>
    <w:rsid w:val="00D924A9"/>
    <w:rsid w:val="00D924FB"/>
    <w:rsid w:val="00D92A11"/>
    <w:rsid w:val="00D92B53"/>
    <w:rsid w:val="00D92DCB"/>
    <w:rsid w:val="00D92FAC"/>
    <w:rsid w:val="00D92FF8"/>
    <w:rsid w:val="00D93077"/>
    <w:rsid w:val="00D930F9"/>
    <w:rsid w:val="00D93133"/>
    <w:rsid w:val="00D931A9"/>
    <w:rsid w:val="00D931D9"/>
    <w:rsid w:val="00D931FC"/>
    <w:rsid w:val="00D93349"/>
    <w:rsid w:val="00D933C3"/>
    <w:rsid w:val="00D9354B"/>
    <w:rsid w:val="00D9365A"/>
    <w:rsid w:val="00D9379B"/>
    <w:rsid w:val="00D9393F"/>
    <w:rsid w:val="00D939B3"/>
    <w:rsid w:val="00D93B8F"/>
    <w:rsid w:val="00D93BD7"/>
    <w:rsid w:val="00D93C39"/>
    <w:rsid w:val="00D93C99"/>
    <w:rsid w:val="00D93D5E"/>
    <w:rsid w:val="00D93DD4"/>
    <w:rsid w:val="00D93DFD"/>
    <w:rsid w:val="00D93E64"/>
    <w:rsid w:val="00D94112"/>
    <w:rsid w:val="00D9419D"/>
    <w:rsid w:val="00D9430D"/>
    <w:rsid w:val="00D94387"/>
    <w:rsid w:val="00D944B8"/>
    <w:rsid w:val="00D94527"/>
    <w:rsid w:val="00D9452A"/>
    <w:rsid w:val="00D945E3"/>
    <w:rsid w:val="00D9485D"/>
    <w:rsid w:val="00D9492F"/>
    <w:rsid w:val="00D949B2"/>
    <w:rsid w:val="00D949BE"/>
    <w:rsid w:val="00D94B46"/>
    <w:rsid w:val="00D94B7C"/>
    <w:rsid w:val="00D94BBD"/>
    <w:rsid w:val="00D94BC6"/>
    <w:rsid w:val="00D94C20"/>
    <w:rsid w:val="00D94CA1"/>
    <w:rsid w:val="00D94D54"/>
    <w:rsid w:val="00D94EEA"/>
    <w:rsid w:val="00D950D2"/>
    <w:rsid w:val="00D9510D"/>
    <w:rsid w:val="00D95367"/>
    <w:rsid w:val="00D9558B"/>
    <w:rsid w:val="00D9559A"/>
    <w:rsid w:val="00D95843"/>
    <w:rsid w:val="00D959C9"/>
    <w:rsid w:val="00D959FD"/>
    <w:rsid w:val="00D95AB7"/>
    <w:rsid w:val="00D95C59"/>
    <w:rsid w:val="00D95D76"/>
    <w:rsid w:val="00D95E89"/>
    <w:rsid w:val="00D961EC"/>
    <w:rsid w:val="00D963A2"/>
    <w:rsid w:val="00D965A5"/>
    <w:rsid w:val="00D965D0"/>
    <w:rsid w:val="00D969E5"/>
    <w:rsid w:val="00D96A2A"/>
    <w:rsid w:val="00D96CA4"/>
    <w:rsid w:val="00D96CB4"/>
    <w:rsid w:val="00D96CCC"/>
    <w:rsid w:val="00D970F9"/>
    <w:rsid w:val="00D9718A"/>
    <w:rsid w:val="00D97215"/>
    <w:rsid w:val="00D972A6"/>
    <w:rsid w:val="00D9733C"/>
    <w:rsid w:val="00D9736E"/>
    <w:rsid w:val="00D9755A"/>
    <w:rsid w:val="00D9757E"/>
    <w:rsid w:val="00D976C1"/>
    <w:rsid w:val="00D9778A"/>
    <w:rsid w:val="00D978C5"/>
    <w:rsid w:val="00D97955"/>
    <w:rsid w:val="00D9795D"/>
    <w:rsid w:val="00D97A39"/>
    <w:rsid w:val="00D97B34"/>
    <w:rsid w:val="00D97E2C"/>
    <w:rsid w:val="00D97FC0"/>
    <w:rsid w:val="00DA0133"/>
    <w:rsid w:val="00DA0412"/>
    <w:rsid w:val="00DA060D"/>
    <w:rsid w:val="00DA0731"/>
    <w:rsid w:val="00DA0763"/>
    <w:rsid w:val="00DA0826"/>
    <w:rsid w:val="00DA0BE9"/>
    <w:rsid w:val="00DA0DA6"/>
    <w:rsid w:val="00DA0E2A"/>
    <w:rsid w:val="00DA12D7"/>
    <w:rsid w:val="00DA1747"/>
    <w:rsid w:val="00DA19BE"/>
    <w:rsid w:val="00DA1A39"/>
    <w:rsid w:val="00DA1AD1"/>
    <w:rsid w:val="00DA1C06"/>
    <w:rsid w:val="00DA1CED"/>
    <w:rsid w:val="00DA1D5D"/>
    <w:rsid w:val="00DA1D9D"/>
    <w:rsid w:val="00DA1FB7"/>
    <w:rsid w:val="00DA203C"/>
    <w:rsid w:val="00DA20DA"/>
    <w:rsid w:val="00DA21F3"/>
    <w:rsid w:val="00DA2425"/>
    <w:rsid w:val="00DA24C7"/>
    <w:rsid w:val="00DA26CD"/>
    <w:rsid w:val="00DA2740"/>
    <w:rsid w:val="00DA288D"/>
    <w:rsid w:val="00DA2AAA"/>
    <w:rsid w:val="00DA2AAD"/>
    <w:rsid w:val="00DA2BB5"/>
    <w:rsid w:val="00DA2C7B"/>
    <w:rsid w:val="00DA2CAA"/>
    <w:rsid w:val="00DA2E07"/>
    <w:rsid w:val="00DA3025"/>
    <w:rsid w:val="00DA3163"/>
    <w:rsid w:val="00DA31A1"/>
    <w:rsid w:val="00DA3247"/>
    <w:rsid w:val="00DA3602"/>
    <w:rsid w:val="00DA3848"/>
    <w:rsid w:val="00DA38E3"/>
    <w:rsid w:val="00DA39A8"/>
    <w:rsid w:val="00DA3C0B"/>
    <w:rsid w:val="00DA3C85"/>
    <w:rsid w:val="00DA3DC7"/>
    <w:rsid w:val="00DA3F46"/>
    <w:rsid w:val="00DA4040"/>
    <w:rsid w:val="00DA40C6"/>
    <w:rsid w:val="00DA4436"/>
    <w:rsid w:val="00DA4675"/>
    <w:rsid w:val="00DA470F"/>
    <w:rsid w:val="00DA483A"/>
    <w:rsid w:val="00DA484A"/>
    <w:rsid w:val="00DA48CB"/>
    <w:rsid w:val="00DA4ADF"/>
    <w:rsid w:val="00DA4D16"/>
    <w:rsid w:val="00DA4DD6"/>
    <w:rsid w:val="00DA4E8F"/>
    <w:rsid w:val="00DA4F2A"/>
    <w:rsid w:val="00DA4FBD"/>
    <w:rsid w:val="00DA4FF0"/>
    <w:rsid w:val="00DA5365"/>
    <w:rsid w:val="00DA547C"/>
    <w:rsid w:val="00DA564E"/>
    <w:rsid w:val="00DA5728"/>
    <w:rsid w:val="00DA5796"/>
    <w:rsid w:val="00DA5932"/>
    <w:rsid w:val="00DA5A48"/>
    <w:rsid w:val="00DA5B76"/>
    <w:rsid w:val="00DA5BA8"/>
    <w:rsid w:val="00DA5C3C"/>
    <w:rsid w:val="00DA5CC7"/>
    <w:rsid w:val="00DA605B"/>
    <w:rsid w:val="00DA6103"/>
    <w:rsid w:val="00DA6117"/>
    <w:rsid w:val="00DA65C0"/>
    <w:rsid w:val="00DA670C"/>
    <w:rsid w:val="00DA670D"/>
    <w:rsid w:val="00DA67BC"/>
    <w:rsid w:val="00DA67EA"/>
    <w:rsid w:val="00DA686C"/>
    <w:rsid w:val="00DA69E9"/>
    <w:rsid w:val="00DA6BC1"/>
    <w:rsid w:val="00DA6CA2"/>
    <w:rsid w:val="00DA6D45"/>
    <w:rsid w:val="00DA717C"/>
    <w:rsid w:val="00DA71C0"/>
    <w:rsid w:val="00DA71E7"/>
    <w:rsid w:val="00DA7210"/>
    <w:rsid w:val="00DA7386"/>
    <w:rsid w:val="00DA75DB"/>
    <w:rsid w:val="00DA7679"/>
    <w:rsid w:val="00DA781C"/>
    <w:rsid w:val="00DA78A6"/>
    <w:rsid w:val="00DA7A14"/>
    <w:rsid w:val="00DA7A42"/>
    <w:rsid w:val="00DA7AAA"/>
    <w:rsid w:val="00DA7C73"/>
    <w:rsid w:val="00DA7D5C"/>
    <w:rsid w:val="00DA7D6A"/>
    <w:rsid w:val="00DA7EE9"/>
    <w:rsid w:val="00DB0067"/>
    <w:rsid w:val="00DB00A7"/>
    <w:rsid w:val="00DB0150"/>
    <w:rsid w:val="00DB02E7"/>
    <w:rsid w:val="00DB034E"/>
    <w:rsid w:val="00DB04FD"/>
    <w:rsid w:val="00DB068F"/>
    <w:rsid w:val="00DB06C8"/>
    <w:rsid w:val="00DB071C"/>
    <w:rsid w:val="00DB07BF"/>
    <w:rsid w:val="00DB0952"/>
    <w:rsid w:val="00DB09E9"/>
    <w:rsid w:val="00DB0B28"/>
    <w:rsid w:val="00DB0C38"/>
    <w:rsid w:val="00DB0F71"/>
    <w:rsid w:val="00DB1020"/>
    <w:rsid w:val="00DB116D"/>
    <w:rsid w:val="00DB11DE"/>
    <w:rsid w:val="00DB123F"/>
    <w:rsid w:val="00DB1288"/>
    <w:rsid w:val="00DB12E8"/>
    <w:rsid w:val="00DB1522"/>
    <w:rsid w:val="00DB152F"/>
    <w:rsid w:val="00DB15EF"/>
    <w:rsid w:val="00DB18DC"/>
    <w:rsid w:val="00DB1914"/>
    <w:rsid w:val="00DB1A33"/>
    <w:rsid w:val="00DB2176"/>
    <w:rsid w:val="00DB2242"/>
    <w:rsid w:val="00DB229C"/>
    <w:rsid w:val="00DB255D"/>
    <w:rsid w:val="00DB2776"/>
    <w:rsid w:val="00DB27AB"/>
    <w:rsid w:val="00DB2D33"/>
    <w:rsid w:val="00DB2DFF"/>
    <w:rsid w:val="00DB323F"/>
    <w:rsid w:val="00DB32E6"/>
    <w:rsid w:val="00DB331F"/>
    <w:rsid w:val="00DB35E3"/>
    <w:rsid w:val="00DB360F"/>
    <w:rsid w:val="00DB3629"/>
    <w:rsid w:val="00DB36C8"/>
    <w:rsid w:val="00DB37BB"/>
    <w:rsid w:val="00DB3EFE"/>
    <w:rsid w:val="00DB3F0E"/>
    <w:rsid w:val="00DB4055"/>
    <w:rsid w:val="00DB40E5"/>
    <w:rsid w:val="00DB4115"/>
    <w:rsid w:val="00DB4137"/>
    <w:rsid w:val="00DB416B"/>
    <w:rsid w:val="00DB4173"/>
    <w:rsid w:val="00DB439E"/>
    <w:rsid w:val="00DB4605"/>
    <w:rsid w:val="00DB4717"/>
    <w:rsid w:val="00DB4856"/>
    <w:rsid w:val="00DB48E5"/>
    <w:rsid w:val="00DB4A09"/>
    <w:rsid w:val="00DB4C71"/>
    <w:rsid w:val="00DB4D22"/>
    <w:rsid w:val="00DB4DF7"/>
    <w:rsid w:val="00DB4EA8"/>
    <w:rsid w:val="00DB5242"/>
    <w:rsid w:val="00DB5445"/>
    <w:rsid w:val="00DB54DD"/>
    <w:rsid w:val="00DB56BF"/>
    <w:rsid w:val="00DB58D7"/>
    <w:rsid w:val="00DB595A"/>
    <w:rsid w:val="00DB5C4B"/>
    <w:rsid w:val="00DB5C9C"/>
    <w:rsid w:val="00DB5D44"/>
    <w:rsid w:val="00DB5DBB"/>
    <w:rsid w:val="00DB5DF4"/>
    <w:rsid w:val="00DB5E4E"/>
    <w:rsid w:val="00DB5F63"/>
    <w:rsid w:val="00DB6100"/>
    <w:rsid w:val="00DB612A"/>
    <w:rsid w:val="00DB626B"/>
    <w:rsid w:val="00DB6282"/>
    <w:rsid w:val="00DB64B7"/>
    <w:rsid w:val="00DB656C"/>
    <w:rsid w:val="00DB6777"/>
    <w:rsid w:val="00DB679B"/>
    <w:rsid w:val="00DB67AE"/>
    <w:rsid w:val="00DB68C5"/>
    <w:rsid w:val="00DB69D5"/>
    <w:rsid w:val="00DB6A63"/>
    <w:rsid w:val="00DB6B2C"/>
    <w:rsid w:val="00DB6D5B"/>
    <w:rsid w:val="00DB6DEA"/>
    <w:rsid w:val="00DB6E2A"/>
    <w:rsid w:val="00DB706C"/>
    <w:rsid w:val="00DB726C"/>
    <w:rsid w:val="00DB7359"/>
    <w:rsid w:val="00DB7364"/>
    <w:rsid w:val="00DB7370"/>
    <w:rsid w:val="00DB756E"/>
    <w:rsid w:val="00DB7767"/>
    <w:rsid w:val="00DB7774"/>
    <w:rsid w:val="00DB798A"/>
    <w:rsid w:val="00DB7A94"/>
    <w:rsid w:val="00DB7C0B"/>
    <w:rsid w:val="00DB7C41"/>
    <w:rsid w:val="00DC015B"/>
    <w:rsid w:val="00DC0166"/>
    <w:rsid w:val="00DC038D"/>
    <w:rsid w:val="00DC0581"/>
    <w:rsid w:val="00DC0600"/>
    <w:rsid w:val="00DC07E2"/>
    <w:rsid w:val="00DC0832"/>
    <w:rsid w:val="00DC09AA"/>
    <w:rsid w:val="00DC0C62"/>
    <w:rsid w:val="00DC0CAB"/>
    <w:rsid w:val="00DC0CCD"/>
    <w:rsid w:val="00DC0EAB"/>
    <w:rsid w:val="00DC1094"/>
    <w:rsid w:val="00DC148D"/>
    <w:rsid w:val="00DC16B1"/>
    <w:rsid w:val="00DC16B5"/>
    <w:rsid w:val="00DC185D"/>
    <w:rsid w:val="00DC1A2D"/>
    <w:rsid w:val="00DC1B2C"/>
    <w:rsid w:val="00DC1C47"/>
    <w:rsid w:val="00DC1EB7"/>
    <w:rsid w:val="00DC1FB0"/>
    <w:rsid w:val="00DC1FCF"/>
    <w:rsid w:val="00DC20CF"/>
    <w:rsid w:val="00DC2141"/>
    <w:rsid w:val="00DC2239"/>
    <w:rsid w:val="00DC237E"/>
    <w:rsid w:val="00DC23DE"/>
    <w:rsid w:val="00DC24AE"/>
    <w:rsid w:val="00DC24F5"/>
    <w:rsid w:val="00DC251B"/>
    <w:rsid w:val="00DC258E"/>
    <w:rsid w:val="00DC25C3"/>
    <w:rsid w:val="00DC2B0F"/>
    <w:rsid w:val="00DC2B94"/>
    <w:rsid w:val="00DC2D46"/>
    <w:rsid w:val="00DC2ED6"/>
    <w:rsid w:val="00DC3109"/>
    <w:rsid w:val="00DC320D"/>
    <w:rsid w:val="00DC3273"/>
    <w:rsid w:val="00DC3541"/>
    <w:rsid w:val="00DC359F"/>
    <w:rsid w:val="00DC36DB"/>
    <w:rsid w:val="00DC3731"/>
    <w:rsid w:val="00DC3789"/>
    <w:rsid w:val="00DC3832"/>
    <w:rsid w:val="00DC3978"/>
    <w:rsid w:val="00DC39EA"/>
    <w:rsid w:val="00DC3A7C"/>
    <w:rsid w:val="00DC3A91"/>
    <w:rsid w:val="00DC3AAB"/>
    <w:rsid w:val="00DC3B87"/>
    <w:rsid w:val="00DC3D55"/>
    <w:rsid w:val="00DC3D74"/>
    <w:rsid w:val="00DC3F3B"/>
    <w:rsid w:val="00DC40BF"/>
    <w:rsid w:val="00DC40C1"/>
    <w:rsid w:val="00DC40D0"/>
    <w:rsid w:val="00DC427B"/>
    <w:rsid w:val="00DC42FD"/>
    <w:rsid w:val="00DC434D"/>
    <w:rsid w:val="00DC464B"/>
    <w:rsid w:val="00DC468A"/>
    <w:rsid w:val="00DC46E2"/>
    <w:rsid w:val="00DC4722"/>
    <w:rsid w:val="00DC4959"/>
    <w:rsid w:val="00DC49FC"/>
    <w:rsid w:val="00DC4C13"/>
    <w:rsid w:val="00DC4C15"/>
    <w:rsid w:val="00DC4CF9"/>
    <w:rsid w:val="00DC4E0B"/>
    <w:rsid w:val="00DC4EE1"/>
    <w:rsid w:val="00DC508B"/>
    <w:rsid w:val="00DC50DF"/>
    <w:rsid w:val="00DC5329"/>
    <w:rsid w:val="00DC537B"/>
    <w:rsid w:val="00DC55B4"/>
    <w:rsid w:val="00DC573A"/>
    <w:rsid w:val="00DC588D"/>
    <w:rsid w:val="00DC598A"/>
    <w:rsid w:val="00DC5AEC"/>
    <w:rsid w:val="00DC5B30"/>
    <w:rsid w:val="00DC5FAA"/>
    <w:rsid w:val="00DC600B"/>
    <w:rsid w:val="00DC62D0"/>
    <w:rsid w:val="00DC64B3"/>
    <w:rsid w:val="00DC65E8"/>
    <w:rsid w:val="00DC6908"/>
    <w:rsid w:val="00DC6D18"/>
    <w:rsid w:val="00DC6D68"/>
    <w:rsid w:val="00DC6D94"/>
    <w:rsid w:val="00DC6FB9"/>
    <w:rsid w:val="00DC7140"/>
    <w:rsid w:val="00DC762D"/>
    <w:rsid w:val="00DC781A"/>
    <w:rsid w:val="00DC7A77"/>
    <w:rsid w:val="00DC7A90"/>
    <w:rsid w:val="00DC7C50"/>
    <w:rsid w:val="00DC7D13"/>
    <w:rsid w:val="00DC7D87"/>
    <w:rsid w:val="00DC7E2D"/>
    <w:rsid w:val="00DC7E35"/>
    <w:rsid w:val="00DC7F2A"/>
    <w:rsid w:val="00DD00FA"/>
    <w:rsid w:val="00DD0106"/>
    <w:rsid w:val="00DD04FA"/>
    <w:rsid w:val="00DD067C"/>
    <w:rsid w:val="00DD093E"/>
    <w:rsid w:val="00DD0A48"/>
    <w:rsid w:val="00DD0D8A"/>
    <w:rsid w:val="00DD0E35"/>
    <w:rsid w:val="00DD0E40"/>
    <w:rsid w:val="00DD1098"/>
    <w:rsid w:val="00DD12DF"/>
    <w:rsid w:val="00DD143F"/>
    <w:rsid w:val="00DD14B9"/>
    <w:rsid w:val="00DD1510"/>
    <w:rsid w:val="00DD1793"/>
    <w:rsid w:val="00DD18A0"/>
    <w:rsid w:val="00DD1A85"/>
    <w:rsid w:val="00DD1BBF"/>
    <w:rsid w:val="00DD1BEC"/>
    <w:rsid w:val="00DD1C98"/>
    <w:rsid w:val="00DD1D78"/>
    <w:rsid w:val="00DD1DA6"/>
    <w:rsid w:val="00DD2098"/>
    <w:rsid w:val="00DD2332"/>
    <w:rsid w:val="00DD2352"/>
    <w:rsid w:val="00DD2355"/>
    <w:rsid w:val="00DD245C"/>
    <w:rsid w:val="00DD276A"/>
    <w:rsid w:val="00DD281E"/>
    <w:rsid w:val="00DD2C31"/>
    <w:rsid w:val="00DD3035"/>
    <w:rsid w:val="00DD3324"/>
    <w:rsid w:val="00DD334B"/>
    <w:rsid w:val="00DD34DF"/>
    <w:rsid w:val="00DD35BC"/>
    <w:rsid w:val="00DD3D69"/>
    <w:rsid w:val="00DD3DB7"/>
    <w:rsid w:val="00DD3E4C"/>
    <w:rsid w:val="00DD3EB1"/>
    <w:rsid w:val="00DD3F3A"/>
    <w:rsid w:val="00DD3FAC"/>
    <w:rsid w:val="00DD439B"/>
    <w:rsid w:val="00DD442F"/>
    <w:rsid w:val="00DD44A4"/>
    <w:rsid w:val="00DD4670"/>
    <w:rsid w:val="00DD4818"/>
    <w:rsid w:val="00DD491C"/>
    <w:rsid w:val="00DD49DA"/>
    <w:rsid w:val="00DD4A18"/>
    <w:rsid w:val="00DD4B6F"/>
    <w:rsid w:val="00DD4D75"/>
    <w:rsid w:val="00DD4F97"/>
    <w:rsid w:val="00DD4FE2"/>
    <w:rsid w:val="00DD508A"/>
    <w:rsid w:val="00DD51BE"/>
    <w:rsid w:val="00DD532B"/>
    <w:rsid w:val="00DD54F2"/>
    <w:rsid w:val="00DD5587"/>
    <w:rsid w:val="00DD579C"/>
    <w:rsid w:val="00DD5873"/>
    <w:rsid w:val="00DD5A13"/>
    <w:rsid w:val="00DD5BA4"/>
    <w:rsid w:val="00DD5C28"/>
    <w:rsid w:val="00DD5D8F"/>
    <w:rsid w:val="00DD63D4"/>
    <w:rsid w:val="00DD675B"/>
    <w:rsid w:val="00DD684E"/>
    <w:rsid w:val="00DD6960"/>
    <w:rsid w:val="00DD6AAF"/>
    <w:rsid w:val="00DD6AEC"/>
    <w:rsid w:val="00DD6C5F"/>
    <w:rsid w:val="00DD6DE6"/>
    <w:rsid w:val="00DD6E55"/>
    <w:rsid w:val="00DD70CE"/>
    <w:rsid w:val="00DD716F"/>
    <w:rsid w:val="00DD7189"/>
    <w:rsid w:val="00DD7477"/>
    <w:rsid w:val="00DD790D"/>
    <w:rsid w:val="00DD7ABC"/>
    <w:rsid w:val="00DE0072"/>
    <w:rsid w:val="00DE00D5"/>
    <w:rsid w:val="00DE02A2"/>
    <w:rsid w:val="00DE02EE"/>
    <w:rsid w:val="00DE03D1"/>
    <w:rsid w:val="00DE0666"/>
    <w:rsid w:val="00DE0893"/>
    <w:rsid w:val="00DE0900"/>
    <w:rsid w:val="00DE0A74"/>
    <w:rsid w:val="00DE0B3C"/>
    <w:rsid w:val="00DE0BE2"/>
    <w:rsid w:val="00DE0C74"/>
    <w:rsid w:val="00DE0CDD"/>
    <w:rsid w:val="00DE0D59"/>
    <w:rsid w:val="00DE10C4"/>
    <w:rsid w:val="00DE1356"/>
    <w:rsid w:val="00DE176E"/>
    <w:rsid w:val="00DE1847"/>
    <w:rsid w:val="00DE19E2"/>
    <w:rsid w:val="00DE1A70"/>
    <w:rsid w:val="00DE1B2C"/>
    <w:rsid w:val="00DE1CD7"/>
    <w:rsid w:val="00DE1E14"/>
    <w:rsid w:val="00DE1E3B"/>
    <w:rsid w:val="00DE1E5E"/>
    <w:rsid w:val="00DE1F7A"/>
    <w:rsid w:val="00DE1F86"/>
    <w:rsid w:val="00DE1FA5"/>
    <w:rsid w:val="00DE200A"/>
    <w:rsid w:val="00DE248A"/>
    <w:rsid w:val="00DE25EA"/>
    <w:rsid w:val="00DE2986"/>
    <w:rsid w:val="00DE2A56"/>
    <w:rsid w:val="00DE2A9C"/>
    <w:rsid w:val="00DE2BE2"/>
    <w:rsid w:val="00DE2DBD"/>
    <w:rsid w:val="00DE2F2B"/>
    <w:rsid w:val="00DE2F51"/>
    <w:rsid w:val="00DE321D"/>
    <w:rsid w:val="00DE32B0"/>
    <w:rsid w:val="00DE3373"/>
    <w:rsid w:val="00DE34D2"/>
    <w:rsid w:val="00DE353D"/>
    <w:rsid w:val="00DE3579"/>
    <w:rsid w:val="00DE359B"/>
    <w:rsid w:val="00DE3707"/>
    <w:rsid w:val="00DE38E8"/>
    <w:rsid w:val="00DE3B50"/>
    <w:rsid w:val="00DE3B9C"/>
    <w:rsid w:val="00DE3EF9"/>
    <w:rsid w:val="00DE3F79"/>
    <w:rsid w:val="00DE4083"/>
    <w:rsid w:val="00DE411A"/>
    <w:rsid w:val="00DE439C"/>
    <w:rsid w:val="00DE43EA"/>
    <w:rsid w:val="00DE43FF"/>
    <w:rsid w:val="00DE44A3"/>
    <w:rsid w:val="00DE45C4"/>
    <w:rsid w:val="00DE46FF"/>
    <w:rsid w:val="00DE4721"/>
    <w:rsid w:val="00DE47BA"/>
    <w:rsid w:val="00DE47BD"/>
    <w:rsid w:val="00DE4834"/>
    <w:rsid w:val="00DE48D2"/>
    <w:rsid w:val="00DE49E1"/>
    <w:rsid w:val="00DE4A36"/>
    <w:rsid w:val="00DE4A50"/>
    <w:rsid w:val="00DE4CA8"/>
    <w:rsid w:val="00DE4CE6"/>
    <w:rsid w:val="00DE4CE7"/>
    <w:rsid w:val="00DE4F9C"/>
    <w:rsid w:val="00DE4FD0"/>
    <w:rsid w:val="00DE5083"/>
    <w:rsid w:val="00DE516F"/>
    <w:rsid w:val="00DE51C6"/>
    <w:rsid w:val="00DE523B"/>
    <w:rsid w:val="00DE5281"/>
    <w:rsid w:val="00DE55B5"/>
    <w:rsid w:val="00DE56EC"/>
    <w:rsid w:val="00DE591E"/>
    <w:rsid w:val="00DE5932"/>
    <w:rsid w:val="00DE5D45"/>
    <w:rsid w:val="00DE5D9F"/>
    <w:rsid w:val="00DE5F54"/>
    <w:rsid w:val="00DE5F7E"/>
    <w:rsid w:val="00DE5F8B"/>
    <w:rsid w:val="00DE6176"/>
    <w:rsid w:val="00DE62E8"/>
    <w:rsid w:val="00DE6612"/>
    <w:rsid w:val="00DE6721"/>
    <w:rsid w:val="00DE6BEB"/>
    <w:rsid w:val="00DE6ED0"/>
    <w:rsid w:val="00DE6F77"/>
    <w:rsid w:val="00DE6FCC"/>
    <w:rsid w:val="00DE7130"/>
    <w:rsid w:val="00DE7132"/>
    <w:rsid w:val="00DE7158"/>
    <w:rsid w:val="00DE72C5"/>
    <w:rsid w:val="00DE72DA"/>
    <w:rsid w:val="00DE7357"/>
    <w:rsid w:val="00DE7707"/>
    <w:rsid w:val="00DE77C3"/>
    <w:rsid w:val="00DE78E5"/>
    <w:rsid w:val="00DE7914"/>
    <w:rsid w:val="00DE7DC1"/>
    <w:rsid w:val="00DE7DE6"/>
    <w:rsid w:val="00DF0016"/>
    <w:rsid w:val="00DF01E9"/>
    <w:rsid w:val="00DF02C1"/>
    <w:rsid w:val="00DF041A"/>
    <w:rsid w:val="00DF0428"/>
    <w:rsid w:val="00DF047F"/>
    <w:rsid w:val="00DF05CE"/>
    <w:rsid w:val="00DF0659"/>
    <w:rsid w:val="00DF084F"/>
    <w:rsid w:val="00DF09A2"/>
    <w:rsid w:val="00DF0B76"/>
    <w:rsid w:val="00DF0D6A"/>
    <w:rsid w:val="00DF0DC6"/>
    <w:rsid w:val="00DF0F30"/>
    <w:rsid w:val="00DF0F6B"/>
    <w:rsid w:val="00DF1070"/>
    <w:rsid w:val="00DF109B"/>
    <w:rsid w:val="00DF11C6"/>
    <w:rsid w:val="00DF11E4"/>
    <w:rsid w:val="00DF1377"/>
    <w:rsid w:val="00DF1474"/>
    <w:rsid w:val="00DF147F"/>
    <w:rsid w:val="00DF1538"/>
    <w:rsid w:val="00DF16A2"/>
    <w:rsid w:val="00DF17FB"/>
    <w:rsid w:val="00DF1909"/>
    <w:rsid w:val="00DF19CE"/>
    <w:rsid w:val="00DF1AAF"/>
    <w:rsid w:val="00DF1ADF"/>
    <w:rsid w:val="00DF1AF8"/>
    <w:rsid w:val="00DF1B09"/>
    <w:rsid w:val="00DF1B82"/>
    <w:rsid w:val="00DF1BA2"/>
    <w:rsid w:val="00DF1F2E"/>
    <w:rsid w:val="00DF1FA4"/>
    <w:rsid w:val="00DF20FE"/>
    <w:rsid w:val="00DF2137"/>
    <w:rsid w:val="00DF232F"/>
    <w:rsid w:val="00DF263A"/>
    <w:rsid w:val="00DF264A"/>
    <w:rsid w:val="00DF2889"/>
    <w:rsid w:val="00DF2A70"/>
    <w:rsid w:val="00DF2C0E"/>
    <w:rsid w:val="00DF2D17"/>
    <w:rsid w:val="00DF2FA9"/>
    <w:rsid w:val="00DF2FF0"/>
    <w:rsid w:val="00DF2FFE"/>
    <w:rsid w:val="00DF34FE"/>
    <w:rsid w:val="00DF36A2"/>
    <w:rsid w:val="00DF36AF"/>
    <w:rsid w:val="00DF381A"/>
    <w:rsid w:val="00DF38AB"/>
    <w:rsid w:val="00DF3ACD"/>
    <w:rsid w:val="00DF3AD8"/>
    <w:rsid w:val="00DF3C14"/>
    <w:rsid w:val="00DF3E02"/>
    <w:rsid w:val="00DF3F24"/>
    <w:rsid w:val="00DF3F7A"/>
    <w:rsid w:val="00DF3F87"/>
    <w:rsid w:val="00DF439C"/>
    <w:rsid w:val="00DF4419"/>
    <w:rsid w:val="00DF47F9"/>
    <w:rsid w:val="00DF48D8"/>
    <w:rsid w:val="00DF4A17"/>
    <w:rsid w:val="00DF4A7D"/>
    <w:rsid w:val="00DF4AE1"/>
    <w:rsid w:val="00DF4B69"/>
    <w:rsid w:val="00DF4B7F"/>
    <w:rsid w:val="00DF4C96"/>
    <w:rsid w:val="00DF4E3E"/>
    <w:rsid w:val="00DF4FA5"/>
    <w:rsid w:val="00DF4FF6"/>
    <w:rsid w:val="00DF5033"/>
    <w:rsid w:val="00DF52F4"/>
    <w:rsid w:val="00DF5359"/>
    <w:rsid w:val="00DF554B"/>
    <w:rsid w:val="00DF5684"/>
    <w:rsid w:val="00DF570B"/>
    <w:rsid w:val="00DF5991"/>
    <w:rsid w:val="00DF5EED"/>
    <w:rsid w:val="00DF5F5A"/>
    <w:rsid w:val="00DF5FA2"/>
    <w:rsid w:val="00DF5FC4"/>
    <w:rsid w:val="00DF6226"/>
    <w:rsid w:val="00DF64F0"/>
    <w:rsid w:val="00DF64F9"/>
    <w:rsid w:val="00DF6551"/>
    <w:rsid w:val="00DF6748"/>
    <w:rsid w:val="00DF6819"/>
    <w:rsid w:val="00DF6849"/>
    <w:rsid w:val="00DF6937"/>
    <w:rsid w:val="00DF6AA9"/>
    <w:rsid w:val="00DF6B62"/>
    <w:rsid w:val="00DF70A2"/>
    <w:rsid w:val="00DF7303"/>
    <w:rsid w:val="00DF7386"/>
    <w:rsid w:val="00DF748E"/>
    <w:rsid w:val="00DF75BF"/>
    <w:rsid w:val="00DF770A"/>
    <w:rsid w:val="00DF7718"/>
    <w:rsid w:val="00DF7821"/>
    <w:rsid w:val="00DF79E7"/>
    <w:rsid w:val="00DF7A0A"/>
    <w:rsid w:val="00DF7B7C"/>
    <w:rsid w:val="00DF7CB4"/>
    <w:rsid w:val="00DF7EB4"/>
    <w:rsid w:val="00E000D1"/>
    <w:rsid w:val="00E0010A"/>
    <w:rsid w:val="00E00167"/>
    <w:rsid w:val="00E001D6"/>
    <w:rsid w:val="00E00357"/>
    <w:rsid w:val="00E003DE"/>
    <w:rsid w:val="00E006D2"/>
    <w:rsid w:val="00E009B5"/>
    <w:rsid w:val="00E00A00"/>
    <w:rsid w:val="00E00A03"/>
    <w:rsid w:val="00E00C94"/>
    <w:rsid w:val="00E00E68"/>
    <w:rsid w:val="00E00F67"/>
    <w:rsid w:val="00E01063"/>
    <w:rsid w:val="00E0113A"/>
    <w:rsid w:val="00E011F7"/>
    <w:rsid w:val="00E01491"/>
    <w:rsid w:val="00E01508"/>
    <w:rsid w:val="00E01683"/>
    <w:rsid w:val="00E01798"/>
    <w:rsid w:val="00E01810"/>
    <w:rsid w:val="00E01835"/>
    <w:rsid w:val="00E01BFB"/>
    <w:rsid w:val="00E0200B"/>
    <w:rsid w:val="00E02271"/>
    <w:rsid w:val="00E022B7"/>
    <w:rsid w:val="00E02482"/>
    <w:rsid w:val="00E024B8"/>
    <w:rsid w:val="00E024EC"/>
    <w:rsid w:val="00E0257B"/>
    <w:rsid w:val="00E02672"/>
    <w:rsid w:val="00E02769"/>
    <w:rsid w:val="00E02943"/>
    <w:rsid w:val="00E0295F"/>
    <w:rsid w:val="00E02A0F"/>
    <w:rsid w:val="00E02BF7"/>
    <w:rsid w:val="00E02C83"/>
    <w:rsid w:val="00E02CC6"/>
    <w:rsid w:val="00E030DF"/>
    <w:rsid w:val="00E03411"/>
    <w:rsid w:val="00E0351B"/>
    <w:rsid w:val="00E03541"/>
    <w:rsid w:val="00E0382A"/>
    <w:rsid w:val="00E038D1"/>
    <w:rsid w:val="00E03AE1"/>
    <w:rsid w:val="00E03B1A"/>
    <w:rsid w:val="00E03C61"/>
    <w:rsid w:val="00E03CD7"/>
    <w:rsid w:val="00E03DD5"/>
    <w:rsid w:val="00E03FD4"/>
    <w:rsid w:val="00E04054"/>
    <w:rsid w:val="00E040B0"/>
    <w:rsid w:val="00E041AE"/>
    <w:rsid w:val="00E04334"/>
    <w:rsid w:val="00E0439E"/>
    <w:rsid w:val="00E0453D"/>
    <w:rsid w:val="00E048BE"/>
    <w:rsid w:val="00E0495E"/>
    <w:rsid w:val="00E04ADF"/>
    <w:rsid w:val="00E04DCE"/>
    <w:rsid w:val="00E04F56"/>
    <w:rsid w:val="00E05009"/>
    <w:rsid w:val="00E05353"/>
    <w:rsid w:val="00E054C1"/>
    <w:rsid w:val="00E05595"/>
    <w:rsid w:val="00E0565F"/>
    <w:rsid w:val="00E05682"/>
    <w:rsid w:val="00E057B1"/>
    <w:rsid w:val="00E057C4"/>
    <w:rsid w:val="00E05919"/>
    <w:rsid w:val="00E05BC0"/>
    <w:rsid w:val="00E05C56"/>
    <w:rsid w:val="00E05D38"/>
    <w:rsid w:val="00E05D81"/>
    <w:rsid w:val="00E05FA6"/>
    <w:rsid w:val="00E06201"/>
    <w:rsid w:val="00E062D7"/>
    <w:rsid w:val="00E0659E"/>
    <w:rsid w:val="00E06846"/>
    <w:rsid w:val="00E06895"/>
    <w:rsid w:val="00E06A47"/>
    <w:rsid w:val="00E06B3F"/>
    <w:rsid w:val="00E06D08"/>
    <w:rsid w:val="00E06E6F"/>
    <w:rsid w:val="00E06EC7"/>
    <w:rsid w:val="00E06EEE"/>
    <w:rsid w:val="00E06FBB"/>
    <w:rsid w:val="00E07128"/>
    <w:rsid w:val="00E0713C"/>
    <w:rsid w:val="00E072C5"/>
    <w:rsid w:val="00E074BB"/>
    <w:rsid w:val="00E074E8"/>
    <w:rsid w:val="00E07557"/>
    <w:rsid w:val="00E075F6"/>
    <w:rsid w:val="00E07A39"/>
    <w:rsid w:val="00E07CCB"/>
    <w:rsid w:val="00E07CDA"/>
    <w:rsid w:val="00E1004A"/>
    <w:rsid w:val="00E102D1"/>
    <w:rsid w:val="00E1046F"/>
    <w:rsid w:val="00E104A1"/>
    <w:rsid w:val="00E104F6"/>
    <w:rsid w:val="00E10718"/>
    <w:rsid w:val="00E10AD8"/>
    <w:rsid w:val="00E10D29"/>
    <w:rsid w:val="00E10EE8"/>
    <w:rsid w:val="00E10F56"/>
    <w:rsid w:val="00E1106C"/>
    <w:rsid w:val="00E11173"/>
    <w:rsid w:val="00E111A8"/>
    <w:rsid w:val="00E11491"/>
    <w:rsid w:val="00E114C8"/>
    <w:rsid w:val="00E116C3"/>
    <w:rsid w:val="00E11891"/>
    <w:rsid w:val="00E11E31"/>
    <w:rsid w:val="00E11E66"/>
    <w:rsid w:val="00E11EAA"/>
    <w:rsid w:val="00E121C3"/>
    <w:rsid w:val="00E122C4"/>
    <w:rsid w:val="00E12597"/>
    <w:rsid w:val="00E1274F"/>
    <w:rsid w:val="00E128A6"/>
    <w:rsid w:val="00E12929"/>
    <w:rsid w:val="00E12E2F"/>
    <w:rsid w:val="00E12E96"/>
    <w:rsid w:val="00E131B4"/>
    <w:rsid w:val="00E133A6"/>
    <w:rsid w:val="00E13562"/>
    <w:rsid w:val="00E13776"/>
    <w:rsid w:val="00E13796"/>
    <w:rsid w:val="00E137CC"/>
    <w:rsid w:val="00E13B8C"/>
    <w:rsid w:val="00E13BE2"/>
    <w:rsid w:val="00E140A5"/>
    <w:rsid w:val="00E140E3"/>
    <w:rsid w:val="00E1411E"/>
    <w:rsid w:val="00E1413B"/>
    <w:rsid w:val="00E14162"/>
    <w:rsid w:val="00E144DD"/>
    <w:rsid w:val="00E14711"/>
    <w:rsid w:val="00E147B4"/>
    <w:rsid w:val="00E1482E"/>
    <w:rsid w:val="00E14991"/>
    <w:rsid w:val="00E14A90"/>
    <w:rsid w:val="00E14CB3"/>
    <w:rsid w:val="00E14CE6"/>
    <w:rsid w:val="00E15143"/>
    <w:rsid w:val="00E151E1"/>
    <w:rsid w:val="00E152B7"/>
    <w:rsid w:val="00E15398"/>
    <w:rsid w:val="00E153C9"/>
    <w:rsid w:val="00E1541A"/>
    <w:rsid w:val="00E15492"/>
    <w:rsid w:val="00E154B4"/>
    <w:rsid w:val="00E155A7"/>
    <w:rsid w:val="00E15679"/>
    <w:rsid w:val="00E15871"/>
    <w:rsid w:val="00E1595D"/>
    <w:rsid w:val="00E159D7"/>
    <w:rsid w:val="00E159F8"/>
    <w:rsid w:val="00E15A74"/>
    <w:rsid w:val="00E15D85"/>
    <w:rsid w:val="00E15F0E"/>
    <w:rsid w:val="00E15F94"/>
    <w:rsid w:val="00E15FDE"/>
    <w:rsid w:val="00E16161"/>
    <w:rsid w:val="00E161C3"/>
    <w:rsid w:val="00E16366"/>
    <w:rsid w:val="00E16467"/>
    <w:rsid w:val="00E164C1"/>
    <w:rsid w:val="00E16583"/>
    <w:rsid w:val="00E1661D"/>
    <w:rsid w:val="00E166A0"/>
    <w:rsid w:val="00E1690B"/>
    <w:rsid w:val="00E16B4A"/>
    <w:rsid w:val="00E16CA1"/>
    <w:rsid w:val="00E16CE9"/>
    <w:rsid w:val="00E16DC0"/>
    <w:rsid w:val="00E16E14"/>
    <w:rsid w:val="00E171FA"/>
    <w:rsid w:val="00E17200"/>
    <w:rsid w:val="00E1752A"/>
    <w:rsid w:val="00E17692"/>
    <w:rsid w:val="00E1777E"/>
    <w:rsid w:val="00E1779E"/>
    <w:rsid w:val="00E17B10"/>
    <w:rsid w:val="00E17BDA"/>
    <w:rsid w:val="00E17CFE"/>
    <w:rsid w:val="00E17DC9"/>
    <w:rsid w:val="00E17E5B"/>
    <w:rsid w:val="00E17F55"/>
    <w:rsid w:val="00E17FF0"/>
    <w:rsid w:val="00E20035"/>
    <w:rsid w:val="00E2004D"/>
    <w:rsid w:val="00E201A6"/>
    <w:rsid w:val="00E20276"/>
    <w:rsid w:val="00E202A1"/>
    <w:rsid w:val="00E20612"/>
    <w:rsid w:val="00E20740"/>
    <w:rsid w:val="00E207A7"/>
    <w:rsid w:val="00E207AC"/>
    <w:rsid w:val="00E2080B"/>
    <w:rsid w:val="00E208CA"/>
    <w:rsid w:val="00E20914"/>
    <w:rsid w:val="00E20A96"/>
    <w:rsid w:val="00E20AB3"/>
    <w:rsid w:val="00E20AC3"/>
    <w:rsid w:val="00E20B1E"/>
    <w:rsid w:val="00E20BC6"/>
    <w:rsid w:val="00E20C39"/>
    <w:rsid w:val="00E20DB2"/>
    <w:rsid w:val="00E20EBD"/>
    <w:rsid w:val="00E20F2E"/>
    <w:rsid w:val="00E21446"/>
    <w:rsid w:val="00E2157C"/>
    <w:rsid w:val="00E21703"/>
    <w:rsid w:val="00E2177E"/>
    <w:rsid w:val="00E219A3"/>
    <w:rsid w:val="00E219B5"/>
    <w:rsid w:val="00E21C36"/>
    <w:rsid w:val="00E21C9F"/>
    <w:rsid w:val="00E21D5B"/>
    <w:rsid w:val="00E21D5F"/>
    <w:rsid w:val="00E21D7D"/>
    <w:rsid w:val="00E21F75"/>
    <w:rsid w:val="00E2209A"/>
    <w:rsid w:val="00E220A3"/>
    <w:rsid w:val="00E220D9"/>
    <w:rsid w:val="00E22215"/>
    <w:rsid w:val="00E223A4"/>
    <w:rsid w:val="00E2245F"/>
    <w:rsid w:val="00E22485"/>
    <w:rsid w:val="00E224B7"/>
    <w:rsid w:val="00E2253B"/>
    <w:rsid w:val="00E22579"/>
    <w:rsid w:val="00E225FD"/>
    <w:rsid w:val="00E22709"/>
    <w:rsid w:val="00E2278E"/>
    <w:rsid w:val="00E22D0F"/>
    <w:rsid w:val="00E22DA0"/>
    <w:rsid w:val="00E22DC7"/>
    <w:rsid w:val="00E22DDB"/>
    <w:rsid w:val="00E22E2F"/>
    <w:rsid w:val="00E22EE5"/>
    <w:rsid w:val="00E23003"/>
    <w:rsid w:val="00E23090"/>
    <w:rsid w:val="00E232F8"/>
    <w:rsid w:val="00E234A7"/>
    <w:rsid w:val="00E23570"/>
    <w:rsid w:val="00E23637"/>
    <w:rsid w:val="00E23880"/>
    <w:rsid w:val="00E238FC"/>
    <w:rsid w:val="00E23BBA"/>
    <w:rsid w:val="00E23ECA"/>
    <w:rsid w:val="00E242B5"/>
    <w:rsid w:val="00E24382"/>
    <w:rsid w:val="00E2442B"/>
    <w:rsid w:val="00E24482"/>
    <w:rsid w:val="00E245A8"/>
    <w:rsid w:val="00E245D8"/>
    <w:rsid w:val="00E24774"/>
    <w:rsid w:val="00E2492F"/>
    <w:rsid w:val="00E249EE"/>
    <w:rsid w:val="00E249F9"/>
    <w:rsid w:val="00E24F22"/>
    <w:rsid w:val="00E25115"/>
    <w:rsid w:val="00E25452"/>
    <w:rsid w:val="00E25474"/>
    <w:rsid w:val="00E2553E"/>
    <w:rsid w:val="00E25576"/>
    <w:rsid w:val="00E25577"/>
    <w:rsid w:val="00E25788"/>
    <w:rsid w:val="00E257DE"/>
    <w:rsid w:val="00E2580F"/>
    <w:rsid w:val="00E25B45"/>
    <w:rsid w:val="00E25B60"/>
    <w:rsid w:val="00E25C6A"/>
    <w:rsid w:val="00E25C85"/>
    <w:rsid w:val="00E25E24"/>
    <w:rsid w:val="00E25F34"/>
    <w:rsid w:val="00E2628E"/>
    <w:rsid w:val="00E26298"/>
    <w:rsid w:val="00E2630C"/>
    <w:rsid w:val="00E2649F"/>
    <w:rsid w:val="00E2675B"/>
    <w:rsid w:val="00E26851"/>
    <w:rsid w:val="00E268CF"/>
    <w:rsid w:val="00E26925"/>
    <w:rsid w:val="00E26A20"/>
    <w:rsid w:val="00E26B9C"/>
    <w:rsid w:val="00E26BF3"/>
    <w:rsid w:val="00E26C6B"/>
    <w:rsid w:val="00E26E11"/>
    <w:rsid w:val="00E2707C"/>
    <w:rsid w:val="00E27269"/>
    <w:rsid w:val="00E2732D"/>
    <w:rsid w:val="00E273AB"/>
    <w:rsid w:val="00E27441"/>
    <w:rsid w:val="00E275BE"/>
    <w:rsid w:val="00E27652"/>
    <w:rsid w:val="00E277E3"/>
    <w:rsid w:val="00E2787A"/>
    <w:rsid w:val="00E2796F"/>
    <w:rsid w:val="00E27F5A"/>
    <w:rsid w:val="00E30016"/>
    <w:rsid w:val="00E3008B"/>
    <w:rsid w:val="00E30234"/>
    <w:rsid w:val="00E302A8"/>
    <w:rsid w:val="00E3044B"/>
    <w:rsid w:val="00E304D0"/>
    <w:rsid w:val="00E307B4"/>
    <w:rsid w:val="00E30943"/>
    <w:rsid w:val="00E30AD7"/>
    <w:rsid w:val="00E30B6D"/>
    <w:rsid w:val="00E30F04"/>
    <w:rsid w:val="00E30F0D"/>
    <w:rsid w:val="00E31052"/>
    <w:rsid w:val="00E3105E"/>
    <w:rsid w:val="00E311AC"/>
    <w:rsid w:val="00E31344"/>
    <w:rsid w:val="00E3166C"/>
    <w:rsid w:val="00E319D2"/>
    <w:rsid w:val="00E31A43"/>
    <w:rsid w:val="00E31A60"/>
    <w:rsid w:val="00E31D28"/>
    <w:rsid w:val="00E31FA4"/>
    <w:rsid w:val="00E32087"/>
    <w:rsid w:val="00E3224E"/>
    <w:rsid w:val="00E32458"/>
    <w:rsid w:val="00E32580"/>
    <w:rsid w:val="00E32652"/>
    <w:rsid w:val="00E327EE"/>
    <w:rsid w:val="00E32810"/>
    <w:rsid w:val="00E3285F"/>
    <w:rsid w:val="00E329D5"/>
    <w:rsid w:val="00E329F4"/>
    <w:rsid w:val="00E32E54"/>
    <w:rsid w:val="00E32F93"/>
    <w:rsid w:val="00E3303A"/>
    <w:rsid w:val="00E33073"/>
    <w:rsid w:val="00E331F0"/>
    <w:rsid w:val="00E332AC"/>
    <w:rsid w:val="00E3336E"/>
    <w:rsid w:val="00E3353C"/>
    <w:rsid w:val="00E33636"/>
    <w:rsid w:val="00E338C2"/>
    <w:rsid w:val="00E33970"/>
    <w:rsid w:val="00E339EE"/>
    <w:rsid w:val="00E33B09"/>
    <w:rsid w:val="00E33EB7"/>
    <w:rsid w:val="00E34061"/>
    <w:rsid w:val="00E34104"/>
    <w:rsid w:val="00E346A0"/>
    <w:rsid w:val="00E347D8"/>
    <w:rsid w:val="00E3482D"/>
    <w:rsid w:val="00E3485D"/>
    <w:rsid w:val="00E34970"/>
    <w:rsid w:val="00E34D08"/>
    <w:rsid w:val="00E34DC8"/>
    <w:rsid w:val="00E34DE7"/>
    <w:rsid w:val="00E34E82"/>
    <w:rsid w:val="00E34F01"/>
    <w:rsid w:val="00E351DB"/>
    <w:rsid w:val="00E35451"/>
    <w:rsid w:val="00E355F1"/>
    <w:rsid w:val="00E35752"/>
    <w:rsid w:val="00E35984"/>
    <w:rsid w:val="00E359E2"/>
    <w:rsid w:val="00E359E8"/>
    <w:rsid w:val="00E35A52"/>
    <w:rsid w:val="00E35B9C"/>
    <w:rsid w:val="00E35C25"/>
    <w:rsid w:val="00E35C2E"/>
    <w:rsid w:val="00E35D27"/>
    <w:rsid w:val="00E35D96"/>
    <w:rsid w:val="00E35DAD"/>
    <w:rsid w:val="00E35DEA"/>
    <w:rsid w:val="00E361A5"/>
    <w:rsid w:val="00E36229"/>
    <w:rsid w:val="00E36589"/>
    <w:rsid w:val="00E36590"/>
    <w:rsid w:val="00E365C6"/>
    <w:rsid w:val="00E365DF"/>
    <w:rsid w:val="00E369C3"/>
    <w:rsid w:val="00E369D0"/>
    <w:rsid w:val="00E36B0C"/>
    <w:rsid w:val="00E36E75"/>
    <w:rsid w:val="00E36E9D"/>
    <w:rsid w:val="00E36F67"/>
    <w:rsid w:val="00E370A1"/>
    <w:rsid w:val="00E37326"/>
    <w:rsid w:val="00E37424"/>
    <w:rsid w:val="00E3749B"/>
    <w:rsid w:val="00E3761E"/>
    <w:rsid w:val="00E37816"/>
    <w:rsid w:val="00E37817"/>
    <w:rsid w:val="00E37831"/>
    <w:rsid w:val="00E37902"/>
    <w:rsid w:val="00E3793D"/>
    <w:rsid w:val="00E37949"/>
    <w:rsid w:val="00E37CC1"/>
    <w:rsid w:val="00E37F9B"/>
    <w:rsid w:val="00E40081"/>
    <w:rsid w:val="00E4016D"/>
    <w:rsid w:val="00E4026D"/>
    <w:rsid w:val="00E403E1"/>
    <w:rsid w:val="00E40485"/>
    <w:rsid w:val="00E404FA"/>
    <w:rsid w:val="00E40520"/>
    <w:rsid w:val="00E405DE"/>
    <w:rsid w:val="00E405FB"/>
    <w:rsid w:val="00E40781"/>
    <w:rsid w:val="00E407DD"/>
    <w:rsid w:val="00E4082D"/>
    <w:rsid w:val="00E4088A"/>
    <w:rsid w:val="00E40956"/>
    <w:rsid w:val="00E409E4"/>
    <w:rsid w:val="00E40A92"/>
    <w:rsid w:val="00E40B9C"/>
    <w:rsid w:val="00E40BC7"/>
    <w:rsid w:val="00E40CFA"/>
    <w:rsid w:val="00E40D18"/>
    <w:rsid w:val="00E40D5E"/>
    <w:rsid w:val="00E40FB5"/>
    <w:rsid w:val="00E4104F"/>
    <w:rsid w:val="00E410CE"/>
    <w:rsid w:val="00E41501"/>
    <w:rsid w:val="00E417FE"/>
    <w:rsid w:val="00E41BCA"/>
    <w:rsid w:val="00E41C80"/>
    <w:rsid w:val="00E41C9C"/>
    <w:rsid w:val="00E41D3B"/>
    <w:rsid w:val="00E41E4A"/>
    <w:rsid w:val="00E41EA7"/>
    <w:rsid w:val="00E41ECE"/>
    <w:rsid w:val="00E4205D"/>
    <w:rsid w:val="00E420F7"/>
    <w:rsid w:val="00E42474"/>
    <w:rsid w:val="00E424E6"/>
    <w:rsid w:val="00E42508"/>
    <w:rsid w:val="00E426A9"/>
    <w:rsid w:val="00E428C9"/>
    <w:rsid w:val="00E42DFD"/>
    <w:rsid w:val="00E42E3C"/>
    <w:rsid w:val="00E42FC9"/>
    <w:rsid w:val="00E43009"/>
    <w:rsid w:val="00E4317C"/>
    <w:rsid w:val="00E4322B"/>
    <w:rsid w:val="00E4330B"/>
    <w:rsid w:val="00E433ED"/>
    <w:rsid w:val="00E438D1"/>
    <w:rsid w:val="00E4391D"/>
    <w:rsid w:val="00E43BBD"/>
    <w:rsid w:val="00E43FAB"/>
    <w:rsid w:val="00E4400A"/>
    <w:rsid w:val="00E4407B"/>
    <w:rsid w:val="00E440B7"/>
    <w:rsid w:val="00E440D6"/>
    <w:rsid w:val="00E442A6"/>
    <w:rsid w:val="00E445BE"/>
    <w:rsid w:val="00E44668"/>
    <w:rsid w:val="00E44A33"/>
    <w:rsid w:val="00E44A3A"/>
    <w:rsid w:val="00E44C26"/>
    <w:rsid w:val="00E45080"/>
    <w:rsid w:val="00E4573D"/>
    <w:rsid w:val="00E45995"/>
    <w:rsid w:val="00E45A14"/>
    <w:rsid w:val="00E45A36"/>
    <w:rsid w:val="00E45A4B"/>
    <w:rsid w:val="00E45C56"/>
    <w:rsid w:val="00E45D0F"/>
    <w:rsid w:val="00E45E85"/>
    <w:rsid w:val="00E45FE2"/>
    <w:rsid w:val="00E46061"/>
    <w:rsid w:val="00E4642B"/>
    <w:rsid w:val="00E46625"/>
    <w:rsid w:val="00E466E9"/>
    <w:rsid w:val="00E4684A"/>
    <w:rsid w:val="00E46CC3"/>
    <w:rsid w:val="00E46D20"/>
    <w:rsid w:val="00E46F40"/>
    <w:rsid w:val="00E46FE1"/>
    <w:rsid w:val="00E47007"/>
    <w:rsid w:val="00E470F5"/>
    <w:rsid w:val="00E473FF"/>
    <w:rsid w:val="00E4750E"/>
    <w:rsid w:val="00E47513"/>
    <w:rsid w:val="00E47602"/>
    <w:rsid w:val="00E478CB"/>
    <w:rsid w:val="00E47A7B"/>
    <w:rsid w:val="00E47E96"/>
    <w:rsid w:val="00E501A9"/>
    <w:rsid w:val="00E50331"/>
    <w:rsid w:val="00E5041E"/>
    <w:rsid w:val="00E505D2"/>
    <w:rsid w:val="00E5085E"/>
    <w:rsid w:val="00E509DC"/>
    <w:rsid w:val="00E50AB3"/>
    <w:rsid w:val="00E50BF8"/>
    <w:rsid w:val="00E50F34"/>
    <w:rsid w:val="00E50F66"/>
    <w:rsid w:val="00E51175"/>
    <w:rsid w:val="00E51395"/>
    <w:rsid w:val="00E513AF"/>
    <w:rsid w:val="00E5152C"/>
    <w:rsid w:val="00E51632"/>
    <w:rsid w:val="00E519D7"/>
    <w:rsid w:val="00E51C06"/>
    <w:rsid w:val="00E51C17"/>
    <w:rsid w:val="00E51CA4"/>
    <w:rsid w:val="00E51D3E"/>
    <w:rsid w:val="00E51D95"/>
    <w:rsid w:val="00E51DF9"/>
    <w:rsid w:val="00E51F94"/>
    <w:rsid w:val="00E52014"/>
    <w:rsid w:val="00E52087"/>
    <w:rsid w:val="00E52151"/>
    <w:rsid w:val="00E52340"/>
    <w:rsid w:val="00E523BB"/>
    <w:rsid w:val="00E52560"/>
    <w:rsid w:val="00E52784"/>
    <w:rsid w:val="00E5297B"/>
    <w:rsid w:val="00E52AA8"/>
    <w:rsid w:val="00E52D04"/>
    <w:rsid w:val="00E52DDC"/>
    <w:rsid w:val="00E52DE7"/>
    <w:rsid w:val="00E52ECD"/>
    <w:rsid w:val="00E52F97"/>
    <w:rsid w:val="00E52FB4"/>
    <w:rsid w:val="00E52FC6"/>
    <w:rsid w:val="00E53059"/>
    <w:rsid w:val="00E5367A"/>
    <w:rsid w:val="00E538F1"/>
    <w:rsid w:val="00E53931"/>
    <w:rsid w:val="00E5393E"/>
    <w:rsid w:val="00E5397E"/>
    <w:rsid w:val="00E53990"/>
    <w:rsid w:val="00E53A0B"/>
    <w:rsid w:val="00E53AEA"/>
    <w:rsid w:val="00E53BB9"/>
    <w:rsid w:val="00E53D75"/>
    <w:rsid w:val="00E541C4"/>
    <w:rsid w:val="00E5439C"/>
    <w:rsid w:val="00E54542"/>
    <w:rsid w:val="00E547D6"/>
    <w:rsid w:val="00E54997"/>
    <w:rsid w:val="00E54A89"/>
    <w:rsid w:val="00E54B2B"/>
    <w:rsid w:val="00E54C34"/>
    <w:rsid w:val="00E54CE9"/>
    <w:rsid w:val="00E54E40"/>
    <w:rsid w:val="00E54F65"/>
    <w:rsid w:val="00E55037"/>
    <w:rsid w:val="00E55059"/>
    <w:rsid w:val="00E55137"/>
    <w:rsid w:val="00E55300"/>
    <w:rsid w:val="00E55428"/>
    <w:rsid w:val="00E55541"/>
    <w:rsid w:val="00E5558A"/>
    <w:rsid w:val="00E555B9"/>
    <w:rsid w:val="00E55657"/>
    <w:rsid w:val="00E5566A"/>
    <w:rsid w:val="00E55891"/>
    <w:rsid w:val="00E558E3"/>
    <w:rsid w:val="00E55E87"/>
    <w:rsid w:val="00E5604D"/>
    <w:rsid w:val="00E56229"/>
    <w:rsid w:val="00E5639A"/>
    <w:rsid w:val="00E563D8"/>
    <w:rsid w:val="00E5647B"/>
    <w:rsid w:val="00E5663D"/>
    <w:rsid w:val="00E56679"/>
    <w:rsid w:val="00E56709"/>
    <w:rsid w:val="00E5678F"/>
    <w:rsid w:val="00E56911"/>
    <w:rsid w:val="00E56BE1"/>
    <w:rsid w:val="00E56CD4"/>
    <w:rsid w:val="00E56D86"/>
    <w:rsid w:val="00E56DC7"/>
    <w:rsid w:val="00E56E29"/>
    <w:rsid w:val="00E56EEA"/>
    <w:rsid w:val="00E570BF"/>
    <w:rsid w:val="00E57162"/>
    <w:rsid w:val="00E571A1"/>
    <w:rsid w:val="00E5732C"/>
    <w:rsid w:val="00E57369"/>
    <w:rsid w:val="00E57529"/>
    <w:rsid w:val="00E57557"/>
    <w:rsid w:val="00E57649"/>
    <w:rsid w:val="00E5768C"/>
    <w:rsid w:val="00E57715"/>
    <w:rsid w:val="00E578E5"/>
    <w:rsid w:val="00E57B56"/>
    <w:rsid w:val="00E57D74"/>
    <w:rsid w:val="00E57E0A"/>
    <w:rsid w:val="00E600BB"/>
    <w:rsid w:val="00E6011F"/>
    <w:rsid w:val="00E604C3"/>
    <w:rsid w:val="00E60902"/>
    <w:rsid w:val="00E60B73"/>
    <w:rsid w:val="00E60D55"/>
    <w:rsid w:val="00E60DBE"/>
    <w:rsid w:val="00E60E70"/>
    <w:rsid w:val="00E60FFD"/>
    <w:rsid w:val="00E61039"/>
    <w:rsid w:val="00E610FE"/>
    <w:rsid w:val="00E61123"/>
    <w:rsid w:val="00E611C7"/>
    <w:rsid w:val="00E6127A"/>
    <w:rsid w:val="00E61428"/>
    <w:rsid w:val="00E61479"/>
    <w:rsid w:val="00E61588"/>
    <w:rsid w:val="00E61632"/>
    <w:rsid w:val="00E61787"/>
    <w:rsid w:val="00E6188B"/>
    <w:rsid w:val="00E61A5A"/>
    <w:rsid w:val="00E61AF0"/>
    <w:rsid w:val="00E61C13"/>
    <w:rsid w:val="00E61CD6"/>
    <w:rsid w:val="00E61DA7"/>
    <w:rsid w:val="00E61FBA"/>
    <w:rsid w:val="00E61FE6"/>
    <w:rsid w:val="00E62003"/>
    <w:rsid w:val="00E621B1"/>
    <w:rsid w:val="00E62403"/>
    <w:rsid w:val="00E62520"/>
    <w:rsid w:val="00E62647"/>
    <w:rsid w:val="00E627BF"/>
    <w:rsid w:val="00E628BD"/>
    <w:rsid w:val="00E62C48"/>
    <w:rsid w:val="00E62D11"/>
    <w:rsid w:val="00E62DBC"/>
    <w:rsid w:val="00E62E0F"/>
    <w:rsid w:val="00E62F0F"/>
    <w:rsid w:val="00E6307C"/>
    <w:rsid w:val="00E6310F"/>
    <w:rsid w:val="00E63848"/>
    <w:rsid w:val="00E6395E"/>
    <w:rsid w:val="00E63AC7"/>
    <w:rsid w:val="00E63AE3"/>
    <w:rsid w:val="00E63C2A"/>
    <w:rsid w:val="00E63DAC"/>
    <w:rsid w:val="00E63ED6"/>
    <w:rsid w:val="00E63F7E"/>
    <w:rsid w:val="00E6404C"/>
    <w:rsid w:val="00E64085"/>
    <w:rsid w:val="00E6408F"/>
    <w:rsid w:val="00E64203"/>
    <w:rsid w:val="00E64284"/>
    <w:rsid w:val="00E64472"/>
    <w:rsid w:val="00E64542"/>
    <w:rsid w:val="00E64556"/>
    <w:rsid w:val="00E646A1"/>
    <w:rsid w:val="00E64706"/>
    <w:rsid w:val="00E648D8"/>
    <w:rsid w:val="00E64914"/>
    <w:rsid w:val="00E64A34"/>
    <w:rsid w:val="00E64AE2"/>
    <w:rsid w:val="00E64AEA"/>
    <w:rsid w:val="00E64DAD"/>
    <w:rsid w:val="00E64DF7"/>
    <w:rsid w:val="00E64E4A"/>
    <w:rsid w:val="00E64FAD"/>
    <w:rsid w:val="00E650D4"/>
    <w:rsid w:val="00E6538E"/>
    <w:rsid w:val="00E653A3"/>
    <w:rsid w:val="00E65488"/>
    <w:rsid w:val="00E654CB"/>
    <w:rsid w:val="00E6566D"/>
    <w:rsid w:val="00E6567C"/>
    <w:rsid w:val="00E656C5"/>
    <w:rsid w:val="00E657E0"/>
    <w:rsid w:val="00E65970"/>
    <w:rsid w:val="00E6598B"/>
    <w:rsid w:val="00E65C84"/>
    <w:rsid w:val="00E65D57"/>
    <w:rsid w:val="00E65F6B"/>
    <w:rsid w:val="00E66132"/>
    <w:rsid w:val="00E6613D"/>
    <w:rsid w:val="00E6654B"/>
    <w:rsid w:val="00E66780"/>
    <w:rsid w:val="00E6681A"/>
    <w:rsid w:val="00E669AD"/>
    <w:rsid w:val="00E66B09"/>
    <w:rsid w:val="00E66BCC"/>
    <w:rsid w:val="00E66D10"/>
    <w:rsid w:val="00E66D56"/>
    <w:rsid w:val="00E66ED8"/>
    <w:rsid w:val="00E670E0"/>
    <w:rsid w:val="00E6714A"/>
    <w:rsid w:val="00E67247"/>
    <w:rsid w:val="00E67610"/>
    <w:rsid w:val="00E67679"/>
    <w:rsid w:val="00E6778A"/>
    <w:rsid w:val="00E67793"/>
    <w:rsid w:val="00E677E5"/>
    <w:rsid w:val="00E6782C"/>
    <w:rsid w:val="00E6784A"/>
    <w:rsid w:val="00E67945"/>
    <w:rsid w:val="00E67B21"/>
    <w:rsid w:val="00E67B23"/>
    <w:rsid w:val="00E67D21"/>
    <w:rsid w:val="00E67DAC"/>
    <w:rsid w:val="00E67DBD"/>
    <w:rsid w:val="00E7005D"/>
    <w:rsid w:val="00E700D0"/>
    <w:rsid w:val="00E7038E"/>
    <w:rsid w:val="00E705C1"/>
    <w:rsid w:val="00E705F9"/>
    <w:rsid w:val="00E706B3"/>
    <w:rsid w:val="00E70819"/>
    <w:rsid w:val="00E709AF"/>
    <w:rsid w:val="00E709D6"/>
    <w:rsid w:val="00E70A6D"/>
    <w:rsid w:val="00E70A81"/>
    <w:rsid w:val="00E70AEA"/>
    <w:rsid w:val="00E70B1A"/>
    <w:rsid w:val="00E70B6A"/>
    <w:rsid w:val="00E70B7A"/>
    <w:rsid w:val="00E70D46"/>
    <w:rsid w:val="00E70F87"/>
    <w:rsid w:val="00E71172"/>
    <w:rsid w:val="00E711C6"/>
    <w:rsid w:val="00E71317"/>
    <w:rsid w:val="00E71370"/>
    <w:rsid w:val="00E713D8"/>
    <w:rsid w:val="00E713DF"/>
    <w:rsid w:val="00E713ED"/>
    <w:rsid w:val="00E71495"/>
    <w:rsid w:val="00E71692"/>
    <w:rsid w:val="00E71805"/>
    <w:rsid w:val="00E7186A"/>
    <w:rsid w:val="00E71C2C"/>
    <w:rsid w:val="00E71CE5"/>
    <w:rsid w:val="00E71F4B"/>
    <w:rsid w:val="00E72011"/>
    <w:rsid w:val="00E722B7"/>
    <w:rsid w:val="00E72330"/>
    <w:rsid w:val="00E72404"/>
    <w:rsid w:val="00E72444"/>
    <w:rsid w:val="00E72451"/>
    <w:rsid w:val="00E7250A"/>
    <w:rsid w:val="00E725C5"/>
    <w:rsid w:val="00E727A1"/>
    <w:rsid w:val="00E72ADF"/>
    <w:rsid w:val="00E72CA4"/>
    <w:rsid w:val="00E72CB4"/>
    <w:rsid w:val="00E72D00"/>
    <w:rsid w:val="00E72DD8"/>
    <w:rsid w:val="00E72DE0"/>
    <w:rsid w:val="00E72E8B"/>
    <w:rsid w:val="00E72EC5"/>
    <w:rsid w:val="00E73067"/>
    <w:rsid w:val="00E73113"/>
    <w:rsid w:val="00E73137"/>
    <w:rsid w:val="00E735B3"/>
    <w:rsid w:val="00E735F4"/>
    <w:rsid w:val="00E73601"/>
    <w:rsid w:val="00E736EB"/>
    <w:rsid w:val="00E73783"/>
    <w:rsid w:val="00E738D9"/>
    <w:rsid w:val="00E73D55"/>
    <w:rsid w:val="00E740C0"/>
    <w:rsid w:val="00E74355"/>
    <w:rsid w:val="00E74368"/>
    <w:rsid w:val="00E743FD"/>
    <w:rsid w:val="00E74670"/>
    <w:rsid w:val="00E7473E"/>
    <w:rsid w:val="00E7495F"/>
    <w:rsid w:val="00E749A2"/>
    <w:rsid w:val="00E74BBC"/>
    <w:rsid w:val="00E74CA9"/>
    <w:rsid w:val="00E74FDF"/>
    <w:rsid w:val="00E74FFD"/>
    <w:rsid w:val="00E750DF"/>
    <w:rsid w:val="00E75333"/>
    <w:rsid w:val="00E753F9"/>
    <w:rsid w:val="00E7548D"/>
    <w:rsid w:val="00E75493"/>
    <w:rsid w:val="00E754AA"/>
    <w:rsid w:val="00E75500"/>
    <w:rsid w:val="00E7561E"/>
    <w:rsid w:val="00E75635"/>
    <w:rsid w:val="00E757A8"/>
    <w:rsid w:val="00E75B9D"/>
    <w:rsid w:val="00E75E9B"/>
    <w:rsid w:val="00E75EC3"/>
    <w:rsid w:val="00E76078"/>
    <w:rsid w:val="00E76128"/>
    <w:rsid w:val="00E76198"/>
    <w:rsid w:val="00E761C7"/>
    <w:rsid w:val="00E763A4"/>
    <w:rsid w:val="00E765D8"/>
    <w:rsid w:val="00E76646"/>
    <w:rsid w:val="00E76650"/>
    <w:rsid w:val="00E7672F"/>
    <w:rsid w:val="00E7684A"/>
    <w:rsid w:val="00E76B88"/>
    <w:rsid w:val="00E76BDB"/>
    <w:rsid w:val="00E76E97"/>
    <w:rsid w:val="00E76FC8"/>
    <w:rsid w:val="00E771A2"/>
    <w:rsid w:val="00E773BE"/>
    <w:rsid w:val="00E77447"/>
    <w:rsid w:val="00E77508"/>
    <w:rsid w:val="00E777A0"/>
    <w:rsid w:val="00E77837"/>
    <w:rsid w:val="00E77A5F"/>
    <w:rsid w:val="00E77A7C"/>
    <w:rsid w:val="00E77C6C"/>
    <w:rsid w:val="00E77CAD"/>
    <w:rsid w:val="00E77D29"/>
    <w:rsid w:val="00E77F45"/>
    <w:rsid w:val="00E80090"/>
    <w:rsid w:val="00E802D3"/>
    <w:rsid w:val="00E80346"/>
    <w:rsid w:val="00E803E1"/>
    <w:rsid w:val="00E8050D"/>
    <w:rsid w:val="00E80551"/>
    <w:rsid w:val="00E805F8"/>
    <w:rsid w:val="00E8080B"/>
    <w:rsid w:val="00E80883"/>
    <w:rsid w:val="00E808D1"/>
    <w:rsid w:val="00E8092A"/>
    <w:rsid w:val="00E809C9"/>
    <w:rsid w:val="00E80A43"/>
    <w:rsid w:val="00E80EBC"/>
    <w:rsid w:val="00E80ED3"/>
    <w:rsid w:val="00E80F30"/>
    <w:rsid w:val="00E810F9"/>
    <w:rsid w:val="00E8114C"/>
    <w:rsid w:val="00E81196"/>
    <w:rsid w:val="00E8127F"/>
    <w:rsid w:val="00E812CA"/>
    <w:rsid w:val="00E815A0"/>
    <w:rsid w:val="00E81A56"/>
    <w:rsid w:val="00E81C3C"/>
    <w:rsid w:val="00E81E3B"/>
    <w:rsid w:val="00E8207F"/>
    <w:rsid w:val="00E82332"/>
    <w:rsid w:val="00E82430"/>
    <w:rsid w:val="00E824F6"/>
    <w:rsid w:val="00E8267B"/>
    <w:rsid w:val="00E8277B"/>
    <w:rsid w:val="00E82B24"/>
    <w:rsid w:val="00E82B98"/>
    <w:rsid w:val="00E82C56"/>
    <w:rsid w:val="00E82CF0"/>
    <w:rsid w:val="00E82D41"/>
    <w:rsid w:val="00E82EBB"/>
    <w:rsid w:val="00E8306D"/>
    <w:rsid w:val="00E83093"/>
    <w:rsid w:val="00E833B6"/>
    <w:rsid w:val="00E836C0"/>
    <w:rsid w:val="00E83924"/>
    <w:rsid w:val="00E83A2E"/>
    <w:rsid w:val="00E83B92"/>
    <w:rsid w:val="00E83D5B"/>
    <w:rsid w:val="00E83D5D"/>
    <w:rsid w:val="00E83D82"/>
    <w:rsid w:val="00E83DF9"/>
    <w:rsid w:val="00E8422A"/>
    <w:rsid w:val="00E8436A"/>
    <w:rsid w:val="00E84445"/>
    <w:rsid w:val="00E8446D"/>
    <w:rsid w:val="00E84518"/>
    <w:rsid w:val="00E845A7"/>
    <w:rsid w:val="00E847DF"/>
    <w:rsid w:val="00E8489F"/>
    <w:rsid w:val="00E8494F"/>
    <w:rsid w:val="00E84993"/>
    <w:rsid w:val="00E84AD5"/>
    <w:rsid w:val="00E84B5C"/>
    <w:rsid w:val="00E84B66"/>
    <w:rsid w:val="00E84BDF"/>
    <w:rsid w:val="00E84BFF"/>
    <w:rsid w:val="00E84D0A"/>
    <w:rsid w:val="00E84F13"/>
    <w:rsid w:val="00E84F61"/>
    <w:rsid w:val="00E85105"/>
    <w:rsid w:val="00E85160"/>
    <w:rsid w:val="00E85262"/>
    <w:rsid w:val="00E8536A"/>
    <w:rsid w:val="00E857DE"/>
    <w:rsid w:val="00E85848"/>
    <w:rsid w:val="00E85882"/>
    <w:rsid w:val="00E859C5"/>
    <w:rsid w:val="00E85A64"/>
    <w:rsid w:val="00E85C14"/>
    <w:rsid w:val="00E85E37"/>
    <w:rsid w:val="00E85ECE"/>
    <w:rsid w:val="00E85F53"/>
    <w:rsid w:val="00E8621C"/>
    <w:rsid w:val="00E86308"/>
    <w:rsid w:val="00E86350"/>
    <w:rsid w:val="00E86369"/>
    <w:rsid w:val="00E86484"/>
    <w:rsid w:val="00E86595"/>
    <w:rsid w:val="00E866A9"/>
    <w:rsid w:val="00E8690A"/>
    <w:rsid w:val="00E86960"/>
    <w:rsid w:val="00E86A98"/>
    <w:rsid w:val="00E86BF6"/>
    <w:rsid w:val="00E86ECA"/>
    <w:rsid w:val="00E86F93"/>
    <w:rsid w:val="00E86FB7"/>
    <w:rsid w:val="00E871C9"/>
    <w:rsid w:val="00E87207"/>
    <w:rsid w:val="00E873A6"/>
    <w:rsid w:val="00E874B0"/>
    <w:rsid w:val="00E87554"/>
    <w:rsid w:val="00E87A4C"/>
    <w:rsid w:val="00E87A95"/>
    <w:rsid w:val="00E87AC4"/>
    <w:rsid w:val="00E87C19"/>
    <w:rsid w:val="00E87C1F"/>
    <w:rsid w:val="00E87D96"/>
    <w:rsid w:val="00E87EB4"/>
    <w:rsid w:val="00E87ED0"/>
    <w:rsid w:val="00E87F38"/>
    <w:rsid w:val="00E87F41"/>
    <w:rsid w:val="00E90161"/>
    <w:rsid w:val="00E9040B"/>
    <w:rsid w:val="00E904FC"/>
    <w:rsid w:val="00E90715"/>
    <w:rsid w:val="00E9081E"/>
    <w:rsid w:val="00E90837"/>
    <w:rsid w:val="00E908E2"/>
    <w:rsid w:val="00E90A19"/>
    <w:rsid w:val="00E90AB9"/>
    <w:rsid w:val="00E90AC3"/>
    <w:rsid w:val="00E90C35"/>
    <w:rsid w:val="00E90D0C"/>
    <w:rsid w:val="00E913D6"/>
    <w:rsid w:val="00E91436"/>
    <w:rsid w:val="00E915D0"/>
    <w:rsid w:val="00E916E7"/>
    <w:rsid w:val="00E91752"/>
    <w:rsid w:val="00E9177F"/>
    <w:rsid w:val="00E91788"/>
    <w:rsid w:val="00E918DA"/>
    <w:rsid w:val="00E91927"/>
    <w:rsid w:val="00E91A47"/>
    <w:rsid w:val="00E91B0C"/>
    <w:rsid w:val="00E91DCA"/>
    <w:rsid w:val="00E91F13"/>
    <w:rsid w:val="00E92011"/>
    <w:rsid w:val="00E92144"/>
    <w:rsid w:val="00E922F1"/>
    <w:rsid w:val="00E92780"/>
    <w:rsid w:val="00E92829"/>
    <w:rsid w:val="00E9285E"/>
    <w:rsid w:val="00E92935"/>
    <w:rsid w:val="00E92A3F"/>
    <w:rsid w:val="00E92C6D"/>
    <w:rsid w:val="00E92F52"/>
    <w:rsid w:val="00E93197"/>
    <w:rsid w:val="00E93223"/>
    <w:rsid w:val="00E933E9"/>
    <w:rsid w:val="00E933FC"/>
    <w:rsid w:val="00E9353B"/>
    <w:rsid w:val="00E936E0"/>
    <w:rsid w:val="00E9374C"/>
    <w:rsid w:val="00E937B0"/>
    <w:rsid w:val="00E93869"/>
    <w:rsid w:val="00E93A5F"/>
    <w:rsid w:val="00E93B72"/>
    <w:rsid w:val="00E93C0D"/>
    <w:rsid w:val="00E93CFD"/>
    <w:rsid w:val="00E93D8E"/>
    <w:rsid w:val="00E93DDD"/>
    <w:rsid w:val="00E93FFE"/>
    <w:rsid w:val="00E94103"/>
    <w:rsid w:val="00E94225"/>
    <w:rsid w:val="00E943FE"/>
    <w:rsid w:val="00E94416"/>
    <w:rsid w:val="00E94442"/>
    <w:rsid w:val="00E9445B"/>
    <w:rsid w:val="00E9464E"/>
    <w:rsid w:val="00E94870"/>
    <w:rsid w:val="00E948DC"/>
    <w:rsid w:val="00E948FD"/>
    <w:rsid w:val="00E94A17"/>
    <w:rsid w:val="00E94ADB"/>
    <w:rsid w:val="00E94B43"/>
    <w:rsid w:val="00E94BC6"/>
    <w:rsid w:val="00E94D9E"/>
    <w:rsid w:val="00E94DA5"/>
    <w:rsid w:val="00E94F4B"/>
    <w:rsid w:val="00E9508E"/>
    <w:rsid w:val="00E950E5"/>
    <w:rsid w:val="00E95384"/>
    <w:rsid w:val="00E9544E"/>
    <w:rsid w:val="00E954AF"/>
    <w:rsid w:val="00E9564C"/>
    <w:rsid w:val="00E957B7"/>
    <w:rsid w:val="00E95925"/>
    <w:rsid w:val="00E95927"/>
    <w:rsid w:val="00E95A12"/>
    <w:rsid w:val="00E95ACB"/>
    <w:rsid w:val="00E95B34"/>
    <w:rsid w:val="00E95BDF"/>
    <w:rsid w:val="00E95D52"/>
    <w:rsid w:val="00E95D59"/>
    <w:rsid w:val="00E95D6D"/>
    <w:rsid w:val="00E95E55"/>
    <w:rsid w:val="00E95F0E"/>
    <w:rsid w:val="00E96062"/>
    <w:rsid w:val="00E9607F"/>
    <w:rsid w:val="00E96285"/>
    <w:rsid w:val="00E96332"/>
    <w:rsid w:val="00E9689B"/>
    <w:rsid w:val="00E96910"/>
    <w:rsid w:val="00E96967"/>
    <w:rsid w:val="00E969ED"/>
    <w:rsid w:val="00E969FB"/>
    <w:rsid w:val="00E96ABD"/>
    <w:rsid w:val="00E96C93"/>
    <w:rsid w:val="00E96DFA"/>
    <w:rsid w:val="00E97091"/>
    <w:rsid w:val="00E970D4"/>
    <w:rsid w:val="00E970D7"/>
    <w:rsid w:val="00E9712F"/>
    <w:rsid w:val="00E97402"/>
    <w:rsid w:val="00E97611"/>
    <w:rsid w:val="00E9798F"/>
    <w:rsid w:val="00E979DB"/>
    <w:rsid w:val="00E97BBF"/>
    <w:rsid w:val="00E97D36"/>
    <w:rsid w:val="00E97DD4"/>
    <w:rsid w:val="00E97DF3"/>
    <w:rsid w:val="00EA00A2"/>
    <w:rsid w:val="00EA0321"/>
    <w:rsid w:val="00EA0380"/>
    <w:rsid w:val="00EA059B"/>
    <w:rsid w:val="00EA0746"/>
    <w:rsid w:val="00EA07F9"/>
    <w:rsid w:val="00EA0894"/>
    <w:rsid w:val="00EA09D6"/>
    <w:rsid w:val="00EA0BAD"/>
    <w:rsid w:val="00EA1056"/>
    <w:rsid w:val="00EA1122"/>
    <w:rsid w:val="00EA1153"/>
    <w:rsid w:val="00EA11F3"/>
    <w:rsid w:val="00EA130D"/>
    <w:rsid w:val="00EA1377"/>
    <w:rsid w:val="00EA1389"/>
    <w:rsid w:val="00EA16D3"/>
    <w:rsid w:val="00EA16DA"/>
    <w:rsid w:val="00EA176B"/>
    <w:rsid w:val="00EA1943"/>
    <w:rsid w:val="00EA1981"/>
    <w:rsid w:val="00EA1A07"/>
    <w:rsid w:val="00EA1D89"/>
    <w:rsid w:val="00EA1E2C"/>
    <w:rsid w:val="00EA1E81"/>
    <w:rsid w:val="00EA20C9"/>
    <w:rsid w:val="00EA219D"/>
    <w:rsid w:val="00EA228E"/>
    <w:rsid w:val="00EA22C3"/>
    <w:rsid w:val="00EA22D6"/>
    <w:rsid w:val="00EA2355"/>
    <w:rsid w:val="00EA23B3"/>
    <w:rsid w:val="00EA2522"/>
    <w:rsid w:val="00EA2547"/>
    <w:rsid w:val="00EA2621"/>
    <w:rsid w:val="00EA26BB"/>
    <w:rsid w:val="00EA27B5"/>
    <w:rsid w:val="00EA2AFC"/>
    <w:rsid w:val="00EA2B30"/>
    <w:rsid w:val="00EA2B9B"/>
    <w:rsid w:val="00EA2BE6"/>
    <w:rsid w:val="00EA2BF5"/>
    <w:rsid w:val="00EA2D83"/>
    <w:rsid w:val="00EA2DED"/>
    <w:rsid w:val="00EA2EF4"/>
    <w:rsid w:val="00EA31EB"/>
    <w:rsid w:val="00EA332B"/>
    <w:rsid w:val="00EA3342"/>
    <w:rsid w:val="00EA33FF"/>
    <w:rsid w:val="00EA3413"/>
    <w:rsid w:val="00EA351C"/>
    <w:rsid w:val="00EA3520"/>
    <w:rsid w:val="00EA372E"/>
    <w:rsid w:val="00EA3879"/>
    <w:rsid w:val="00EA38D7"/>
    <w:rsid w:val="00EA3997"/>
    <w:rsid w:val="00EA3AC5"/>
    <w:rsid w:val="00EA3AF7"/>
    <w:rsid w:val="00EA3B6A"/>
    <w:rsid w:val="00EA3BBF"/>
    <w:rsid w:val="00EA3CA2"/>
    <w:rsid w:val="00EA3D2B"/>
    <w:rsid w:val="00EA3E18"/>
    <w:rsid w:val="00EA3EBE"/>
    <w:rsid w:val="00EA3F54"/>
    <w:rsid w:val="00EA40F9"/>
    <w:rsid w:val="00EA4228"/>
    <w:rsid w:val="00EA43C3"/>
    <w:rsid w:val="00EA4591"/>
    <w:rsid w:val="00EA4592"/>
    <w:rsid w:val="00EA4606"/>
    <w:rsid w:val="00EA47DA"/>
    <w:rsid w:val="00EA4A09"/>
    <w:rsid w:val="00EA4A2F"/>
    <w:rsid w:val="00EA4E8E"/>
    <w:rsid w:val="00EA4FC8"/>
    <w:rsid w:val="00EA50AB"/>
    <w:rsid w:val="00EA5403"/>
    <w:rsid w:val="00EA5506"/>
    <w:rsid w:val="00EA5635"/>
    <w:rsid w:val="00EA570B"/>
    <w:rsid w:val="00EA57AC"/>
    <w:rsid w:val="00EA5CDD"/>
    <w:rsid w:val="00EA5F65"/>
    <w:rsid w:val="00EA601A"/>
    <w:rsid w:val="00EA6067"/>
    <w:rsid w:val="00EA6072"/>
    <w:rsid w:val="00EA610B"/>
    <w:rsid w:val="00EA618E"/>
    <w:rsid w:val="00EA6211"/>
    <w:rsid w:val="00EA6274"/>
    <w:rsid w:val="00EA64C6"/>
    <w:rsid w:val="00EA6516"/>
    <w:rsid w:val="00EA6734"/>
    <w:rsid w:val="00EA6799"/>
    <w:rsid w:val="00EA67FE"/>
    <w:rsid w:val="00EA6B16"/>
    <w:rsid w:val="00EA6CCD"/>
    <w:rsid w:val="00EA6D77"/>
    <w:rsid w:val="00EA6F21"/>
    <w:rsid w:val="00EA6F27"/>
    <w:rsid w:val="00EA6F34"/>
    <w:rsid w:val="00EA6FD0"/>
    <w:rsid w:val="00EA705D"/>
    <w:rsid w:val="00EA7148"/>
    <w:rsid w:val="00EA71F6"/>
    <w:rsid w:val="00EA725A"/>
    <w:rsid w:val="00EA7318"/>
    <w:rsid w:val="00EA735B"/>
    <w:rsid w:val="00EA7388"/>
    <w:rsid w:val="00EA73ED"/>
    <w:rsid w:val="00EA741D"/>
    <w:rsid w:val="00EA7440"/>
    <w:rsid w:val="00EA745E"/>
    <w:rsid w:val="00EA78BB"/>
    <w:rsid w:val="00EA7A69"/>
    <w:rsid w:val="00EA7A7C"/>
    <w:rsid w:val="00EA7AC3"/>
    <w:rsid w:val="00EA7C19"/>
    <w:rsid w:val="00EA7D9A"/>
    <w:rsid w:val="00EB009F"/>
    <w:rsid w:val="00EB07F2"/>
    <w:rsid w:val="00EB0819"/>
    <w:rsid w:val="00EB0883"/>
    <w:rsid w:val="00EB0A52"/>
    <w:rsid w:val="00EB0CFF"/>
    <w:rsid w:val="00EB0D38"/>
    <w:rsid w:val="00EB0E75"/>
    <w:rsid w:val="00EB0E95"/>
    <w:rsid w:val="00EB0FC7"/>
    <w:rsid w:val="00EB10CE"/>
    <w:rsid w:val="00EB10ED"/>
    <w:rsid w:val="00EB12CC"/>
    <w:rsid w:val="00EB14C6"/>
    <w:rsid w:val="00EB14D0"/>
    <w:rsid w:val="00EB184A"/>
    <w:rsid w:val="00EB1970"/>
    <w:rsid w:val="00EB1D68"/>
    <w:rsid w:val="00EB1EA1"/>
    <w:rsid w:val="00EB2214"/>
    <w:rsid w:val="00EB2273"/>
    <w:rsid w:val="00EB2432"/>
    <w:rsid w:val="00EB253F"/>
    <w:rsid w:val="00EB25B5"/>
    <w:rsid w:val="00EB25F0"/>
    <w:rsid w:val="00EB286E"/>
    <w:rsid w:val="00EB28EF"/>
    <w:rsid w:val="00EB2B00"/>
    <w:rsid w:val="00EB2B0F"/>
    <w:rsid w:val="00EB2CDE"/>
    <w:rsid w:val="00EB2E57"/>
    <w:rsid w:val="00EB2FF0"/>
    <w:rsid w:val="00EB3028"/>
    <w:rsid w:val="00EB325F"/>
    <w:rsid w:val="00EB3358"/>
    <w:rsid w:val="00EB36F8"/>
    <w:rsid w:val="00EB3985"/>
    <w:rsid w:val="00EB3A2B"/>
    <w:rsid w:val="00EB3BB5"/>
    <w:rsid w:val="00EB3F08"/>
    <w:rsid w:val="00EB3F72"/>
    <w:rsid w:val="00EB4243"/>
    <w:rsid w:val="00EB44DF"/>
    <w:rsid w:val="00EB4625"/>
    <w:rsid w:val="00EB4839"/>
    <w:rsid w:val="00EB4912"/>
    <w:rsid w:val="00EB4BFF"/>
    <w:rsid w:val="00EB4C39"/>
    <w:rsid w:val="00EB4F3C"/>
    <w:rsid w:val="00EB4F53"/>
    <w:rsid w:val="00EB507D"/>
    <w:rsid w:val="00EB50D7"/>
    <w:rsid w:val="00EB57A4"/>
    <w:rsid w:val="00EB5A57"/>
    <w:rsid w:val="00EB5F24"/>
    <w:rsid w:val="00EB6083"/>
    <w:rsid w:val="00EB60A2"/>
    <w:rsid w:val="00EB6276"/>
    <w:rsid w:val="00EB638D"/>
    <w:rsid w:val="00EB641F"/>
    <w:rsid w:val="00EB66C5"/>
    <w:rsid w:val="00EB6745"/>
    <w:rsid w:val="00EB6813"/>
    <w:rsid w:val="00EB6C9D"/>
    <w:rsid w:val="00EB6D4F"/>
    <w:rsid w:val="00EB6FFD"/>
    <w:rsid w:val="00EB70D6"/>
    <w:rsid w:val="00EB715D"/>
    <w:rsid w:val="00EB720A"/>
    <w:rsid w:val="00EB7279"/>
    <w:rsid w:val="00EB72CE"/>
    <w:rsid w:val="00EB72D5"/>
    <w:rsid w:val="00EB7372"/>
    <w:rsid w:val="00EB74E1"/>
    <w:rsid w:val="00EB7745"/>
    <w:rsid w:val="00EB77E8"/>
    <w:rsid w:val="00EB7841"/>
    <w:rsid w:val="00EB7851"/>
    <w:rsid w:val="00EB7B78"/>
    <w:rsid w:val="00EB7C25"/>
    <w:rsid w:val="00EB7CC9"/>
    <w:rsid w:val="00EB7D53"/>
    <w:rsid w:val="00EB7DF9"/>
    <w:rsid w:val="00EB7ECE"/>
    <w:rsid w:val="00EC0126"/>
    <w:rsid w:val="00EC02A9"/>
    <w:rsid w:val="00EC041F"/>
    <w:rsid w:val="00EC0575"/>
    <w:rsid w:val="00EC064C"/>
    <w:rsid w:val="00EC0779"/>
    <w:rsid w:val="00EC078B"/>
    <w:rsid w:val="00EC0A9E"/>
    <w:rsid w:val="00EC0D45"/>
    <w:rsid w:val="00EC0DA7"/>
    <w:rsid w:val="00EC0E6B"/>
    <w:rsid w:val="00EC102A"/>
    <w:rsid w:val="00EC132C"/>
    <w:rsid w:val="00EC16B3"/>
    <w:rsid w:val="00EC1784"/>
    <w:rsid w:val="00EC17F5"/>
    <w:rsid w:val="00EC17F7"/>
    <w:rsid w:val="00EC1812"/>
    <w:rsid w:val="00EC19F5"/>
    <w:rsid w:val="00EC1A6A"/>
    <w:rsid w:val="00EC1B33"/>
    <w:rsid w:val="00EC2175"/>
    <w:rsid w:val="00EC22F0"/>
    <w:rsid w:val="00EC2333"/>
    <w:rsid w:val="00EC2479"/>
    <w:rsid w:val="00EC281E"/>
    <w:rsid w:val="00EC289B"/>
    <w:rsid w:val="00EC28CF"/>
    <w:rsid w:val="00EC29B4"/>
    <w:rsid w:val="00EC2A58"/>
    <w:rsid w:val="00EC2CE1"/>
    <w:rsid w:val="00EC2D51"/>
    <w:rsid w:val="00EC2D62"/>
    <w:rsid w:val="00EC306C"/>
    <w:rsid w:val="00EC30E4"/>
    <w:rsid w:val="00EC332B"/>
    <w:rsid w:val="00EC3581"/>
    <w:rsid w:val="00EC35C9"/>
    <w:rsid w:val="00EC3795"/>
    <w:rsid w:val="00EC3AAC"/>
    <w:rsid w:val="00EC3C32"/>
    <w:rsid w:val="00EC3D49"/>
    <w:rsid w:val="00EC3EB8"/>
    <w:rsid w:val="00EC3EDD"/>
    <w:rsid w:val="00EC3F3F"/>
    <w:rsid w:val="00EC419E"/>
    <w:rsid w:val="00EC4222"/>
    <w:rsid w:val="00EC42DA"/>
    <w:rsid w:val="00EC442D"/>
    <w:rsid w:val="00EC44AE"/>
    <w:rsid w:val="00EC4727"/>
    <w:rsid w:val="00EC4990"/>
    <w:rsid w:val="00EC4BC5"/>
    <w:rsid w:val="00EC4C20"/>
    <w:rsid w:val="00EC4C4D"/>
    <w:rsid w:val="00EC4D78"/>
    <w:rsid w:val="00EC5198"/>
    <w:rsid w:val="00EC5419"/>
    <w:rsid w:val="00EC55DF"/>
    <w:rsid w:val="00EC58C7"/>
    <w:rsid w:val="00EC5963"/>
    <w:rsid w:val="00EC5A80"/>
    <w:rsid w:val="00EC5D2E"/>
    <w:rsid w:val="00EC5DEE"/>
    <w:rsid w:val="00EC5F93"/>
    <w:rsid w:val="00EC65B5"/>
    <w:rsid w:val="00EC66E8"/>
    <w:rsid w:val="00EC685F"/>
    <w:rsid w:val="00EC698F"/>
    <w:rsid w:val="00EC6C71"/>
    <w:rsid w:val="00EC7097"/>
    <w:rsid w:val="00EC70D8"/>
    <w:rsid w:val="00EC71DE"/>
    <w:rsid w:val="00EC72CA"/>
    <w:rsid w:val="00EC74EC"/>
    <w:rsid w:val="00EC7678"/>
    <w:rsid w:val="00EC780F"/>
    <w:rsid w:val="00EC781B"/>
    <w:rsid w:val="00EC793D"/>
    <w:rsid w:val="00EC7A95"/>
    <w:rsid w:val="00EC7AD0"/>
    <w:rsid w:val="00EC7AF1"/>
    <w:rsid w:val="00EC7B7C"/>
    <w:rsid w:val="00EC7F95"/>
    <w:rsid w:val="00EC7F9F"/>
    <w:rsid w:val="00ED009A"/>
    <w:rsid w:val="00ED03FB"/>
    <w:rsid w:val="00ED0497"/>
    <w:rsid w:val="00ED05A5"/>
    <w:rsid w:val="00ED068C"/>
    <w:rsid w:val="00ED087A"/>
    <w:rsid w:val="00ED0AD0"/>
    <w:rsid w:val="00ED0C8C"/>
    <w:rsid w:val="00ED0EB7"/>
    <w:rsid w:val="00ED0F84"/>
    <w:rsid w:val="00ED0FA0"/>
    <w:rsid w:val="00ED0FDC"/>
    <w:rsid w:val="00ED109F"/>
    <w:rsid w:val="00ED11C7"/>
    <w:rsid w:val="00ED1353"/>
    <w:rsid w:val="00ED1489"/>
    <w:rsid w:val="00ED1541"/>
    <w:rsid w:val="00ED15E2"/>
    <w:rsid w:val="00ED16EF"/>
    <w:rsid w:val="00ED18A3"/>
    <w:rsid w:val="00ED198A"/>
    <w:rsid w:val="00ED1B20"/>
    <w:rsid w:val="00ED1B7E"/>
    <w:rsid w:val="00ED1C33"/>
    <w:rsid w:val="00ED1D52"/>
    <w:rsid w:val="00ED2030"/>
    <w:rsid w:val="00ED22C7"/>
    <w:rsid w:val="00ED23DA"/>
    <w:rsid w:val="00ED2524"/>
    <w:rsid w:val="00ED27A2"/>
    <w:rsid w:val="00ED27F2"/>
    <w:rsid w:val="00ED2866"/>
    <w:rsid w:val="00ED2898"/>
    <w:rsid w:val="00ED2C19"/>
    <w:rsid w:val="00ED2CC6"/>
    <w:rsid w:val="00ED2ED7"/>
    <w:rsid w:val="00ED325D"/>
    <w:rsid w:val="00ED331D"/>
    <w:rsid w:val="00ED3395"/>
    <w:rsid w:val="00ED33CE"/>
    <w:rsid w:val="00ED33D5"/>
    <w:rsid w:val="00ED3911"/>
    <w:rsid w:val="00ED3B1B"/>
    <w:rsid w:val="00ED3C93"/>
    <w:rsid w:val="00ED3D9C"/>
    <w:rsid w:val="00ED3E10"/>
    <w:rsid w:val="00ED3F0D"/>
    <w:rsid w:val="00ED3F31"/>
    <w:rsid w:val="00ED401C"/>
    <w:rsid w:val="00ED41A6"/>
    <w:rsid w:val="00ED43EA"/>
    <w:rsid w:val="00ED4424"/>
    <w:rsid w:val="00ED501B"/>
    <w:rsid w:val="00ED501F"/>
    <w:rsid w:val="00ED51F5"/>
    <w:rsid w:val="00ED537D"/>
    <w:rsid w:val="00ED54B5"/>
    <w:rsid w:val="00ED54F4"/>
    <w:rsid w:val="00ED5AF7"/>
    <w:rsid w:val="00ED5BC8"/>
    <w:rsid w:val="00ED5BCB"/>
    <w:rsid w:val="00ED5C65"/>
    <w:rsid w:val="00ED5D52"/>
    <w:rsid w:val="00ED60B9"/>
    <w:rsid w:val="00ED610A"/>
    <w:rsid w:val="00ED6258"/>
    <w:rsid w:val="00ED6327"/>
    <w:rsid w:val="00ED655E"/>
    <w:rsid w:val="00ED687A"/>
    <w:rsid w:val="00ED68DD"/>
    <w:rsid w:val="00ED691F"/>
    <w:rsid w:val="00ED6A9E"/>
    <w:rsid w:val="00ED6D17"/>
    <w:rsid w:val="00ED6FAE"/>
    <w:rsid w:val="00ED709C"/>
    <w:rsid w:val="00ED70C1"/>
    <w:rsid w:val="00ED7237"/>
    <w:rsid w:val="00ED73C7"/>
    <w:rsid w:val="00ED7485"/>
    <w:rsid w:val="00ED77C1"/>
    <w:rsid w:val="00ED78F3"/>
    <w:rsid w:val="00ED7D9B"/>
    <w:rsid w:val="00ED7E54"/>
    <w:rsid w:val="00ED7EF9"/>
    <w:rsid w:val="00ED7FB5"/>
    <w:rsid w:val="00EE00E8"/>
    <w:rsid w:val="00EE029B"/>
    <w:rsid w:val="00EE0C15"/>
    <w:rsid w:val="00EE13D1"/>
    <w:rsid w:val="00EE13D3"/>
    <w:rsid w:val="00EE14E3"/>
    <w:rsid w:val="00EE157A"/>
    <w:rsid w:val="00EE1715"/>
    <w:rsid w:val="00EE187B"/>
    <w:rsid w:val="00EE191E"/>
    <w:rsid w:val="00EE1BB5"/>
    <w:rsid w:val="00EE1EEE"/>
    <w:rsid w:val="00EE1FBA"/>
    <w:rsid w:val="00EE203B"/>
    <w:rsid w:val="00EE21C0"/>
    <w:rsid w:val="00EE2247"/>
    <w:rsid w:val="00EE22A1"/>
    <w:rsid w:val="00EE24E2"/>
    <w:rsid w:val="00EE25BC"/>
    <w:rsid w:val="00EE26C3"/>
    <w:rsid w:val="00EE2831"/>
    <w:rsid w:val="00EE284D"/>
    <w:rsid w:val="00EE29B5"/>
    <w:rsid w:val="00EE2A8A"/>
    <w:rsid w:val="00EE2AF6"/>
    <w:rsid w:val="00EE2B3B"/>
    <w:rsid w:val="00EE2DB7"/>
    <w:rsid w:val="00EE2F55"/>
    <w:rsid w:val="00EE2F7B"/>
    <w:rsid w:val="00EE31A1"/>
    <w:rsid w:val="00EE3280"/>
    <w:rsid w:val="00EE347D"/>
    <w:rsid w:val="00EE34DD"/>
    <w:rsid w:val="00EE3675"/>
    <w:rsid w:val="00EE39DE"/>
    <w:rsid w:val="00EE3A60"/>
    <w:rsid w:val="00EE3BED"/>
    <w:rsid w:val="00EE3CEC"/>
    <w:rsid w:val="00EE3D84"/>
    <w:rsid w:val="00EE3D9B"/>
    <w:rsid w:val="00EE3EB9"/>
    <w:rsid w:val="00EE401F"/>
    <w:rsid w:val="00EE4020"/>
    <w:rsid w:val="00EE43B8"/>
    <w:rsid w:val="00EE4450"/>
    <w:rsid w:val="00EE44F2"/>
    <w:rsid w:val="00EE4598"/>
    <w:rsid w:val="00EE46AC"/>
    <w:rsid w:val="00EE4AA3"/>
    <w:rsid w:val="00EE4DBE"/>
    <w:rsid w:val="00EE4E2F"/>
    <w:rsid w:val="00EE4E37"/>
    <w:rsid w:val="00EE4EDC"/>
    <w:rsid w:val="00EE4F45"/>
    <w:rsid w:val="00EE4FD5"/>
    <w:rsid w:val="00EE4FD9"/>
    <w:rsid w:val="00EE5061"/>
    <w:rsid w:val="00EE51AA"/>
    <w:rsid w:val="00EE5244"/>
    <w:rsid w:val="00EE5323"/>
    <w:rsid w:val="00EE532B"/>
    <w:rsid w:val="00EE53C4"/>
    <w:rsid w:val="00EE5558"/>
    <w:rsid w:val="00EE5565"/>
    <w:rsid w:val="00EE5570"/>
    <w:rsid w:val="00EE55FD"/>
    <w:rsid w:val="00EE572D"/>
    <w:rsid w:val="00EE57DD"/>
    <w:rsid w:val="00EE5B0D"/>
    <w:rsid w:val="00EE5B77"/>
    <w:rsid w:val="00EE5C1A"/>
    <w:rsid w:val="00EE5EF1"/>
    <w:rsid w:val="00EE5FC0"/>
    <w:rsid w:val="00EE5FE7"/>
    <w:rsid w:val="00EE615A"/>
    <w:rsid w:val="00EE61CA"/>
    <w:rsid w:val="00EE64E2"/>
    <w:rsid w:val="00EE6500"/>
    <w:rsid w:val="00EE6535"/>
    <w:rsid w:val="00EE6823"/>
    <w:rsid w:val="00EE6B28"/>
    <w:rsid w:val="00EE6B69"/>
    <w:rsid w:val="00EE6CFF"/>
    <w:rsid w:val="00EE6E10"/>
    <w:rsid w:val="00EE6E42"/>
    <w:rsid w:val="00EE6F14"/>
    <w:rsid w:val="00EE70E7"/>
    <w:rsid w:val="00EE7210"/>
    <w:rsid w:val="00EE724F"/>
    <w:rsid w:val="00EE7335"/>
    <w:rsid w:val="00EE73E7"/>
    <w:rsid w:val="00EE74A5"/>
    <w:rsid w:val="00EE758E"/>
    <w:rsid w:val="00EE7594"/>
    <w:rsid w:val="00EE7666"/>
    <w:rsid w:val="00EE777A"/>
    <w:rsid w:val="00EE7DC7"/>
    <w:rsid w:val="00EE7FC3"/>
    <w:rsid w:val="00EF02BF"/>
    <w:rsid w:val="00EF0379"/>
    <w:rsid w:val="00EF037B"/>
    <w:rsid w:val="00EF0574"/>
    <w:rsid w:val="00EF0580"/>
    <w:rsid w:val="00EF05B3"/>
    <w:rsid w:val="00EF0636"/>
    <w:rsid w:val="00EF0C34"/>
    <w:rsid w:val="00EF0CD6"/>
    <w:rsid w:val="00EF0CEF"/>
    <w:rsid w:val="00EF0CF7"/>
    <w:rsid w:val="00EF0DD3"/>
    <w:rsid w:val="00EF0F30"/>
    <w:rsid w:val="00EF0F60"/>
    <w:rsid w:val="00EF1062"/>
    <w:rsid w:val="00EF11F0"/>
    <w:rsid w:val="00EF14B6"/>
    <w:rsid w:val="00EF1558"/>
    <w:rsid w:val="00EF1575"/>
    <w:rsid w:val="00EF161E"/>
    <w:rsid w:val="00EF162F"/>
    <w:rsid w:val="00EF1701"/>
    <w:rsid w:val="00EF1980"/>
    <w:rsid w:val="00EF1A1D"/>
    <w:rsid w:val="00EF1ADC"/>
    <w:rsid w:val="00EF1B10"/>
    <w:rsid w:val="00EF1D99"/>
    <w:rsid w:val="00EF1DE0"/>
    <w:rsid w:val="00EF1EAC"/>
    <w:rsid w:val="00EF1ED0"/>
    <w:rsid w:val="00EF1F01"/>
    <w:rsid w:val="00EF1FBC"/>
    <w:rsid w:val="00EF252D"/>
    <w:rsid w:val="00EF2699"/>
    <w:rsid w:val="00EF269C"/>
    <w:rsid w:val="00EF28CB"/>
    <w:rsid w:val="00EF2A47"/>
    <w:rsid w:val="00EF2B05"/>
    <w:rsid w:val="00EF2B5E"/>
    <w:rsid w:val="00EF2CDA"/>
    <w:rsid w:val="00EF2CF9"/>
    <w:rsid w:val="00EF2F40"/>
    <w:rsid w:val="00EF3127"/>
    <w:rsid w:val="00EF314F"/>
    <w:rsid w:val="00EF321A"/>
    <w:rsid w:val="00EF3262"/>
    <w:rsid w:val="00EF32C3"/>
    <w:rsid w:val="00EF3481"/>
    <w:rsid w:val="00EF37C0"/>
    <w:rsid w:val="00EF38A0"/>
    <w:rsid w:val="00EF39DC"/>
    <w:rsid w:val="00EF3A53"/>
    <w:rsid w:val="00EF3E70"/>
    <w:rsid w:val="00EF3EEA"/>
    <w:rsid w:val="00EF3F22"/>
    <w:rsid w:val="00EF3F23"/>
    <w:rsid w:val="00EF400D"/>
    <w:rsid w:val="00EF4225"/>
    <w:rsid w:val="00EF441D"/>
    <w:rsid w:val="00EF444B"/>
    <w:rsid w:val="00EF44CF"/>
    <w:rsid w:val="00EF4572"/>
    <w:rsid w:val="00EF4639"/>
    <w:rsid w:val="00EF465E"/>
    <w:rsid w:val="00EF4737"/>
    <w:rsid w:val="00EF4960"/>
    <w:rsid w:val="00EF4A23"/>
    <w:rsid w:val="00EF4BF5"/>
    <w:rsid w:val="00EF5347"/>
    <w:rsid w:val="00EF5573"/>
    <w:rsid w:val="00EF5708"/>
    <w:rsid w:val="00EF58ED"/>
    <w:rsid w:val="00EF5913"/>
    <w:rsid w:val="00EF59D9"/>
    <w:rsid w:val="00EF5A1A"/>
    <w:rsid w:val="00EF5A60"/>
    <w:rsid w:val="00EF5BCA"/>
    <w:rsid w:val="00EF5C42"/>
    <w:rsid w:val="00EF5EB7"/>
    <w:rsid w:val="00EF605F"/>
    <w:rsid w:val="00EF607E"/>
    <w:rsid w:val="00EF61FF"/>
    <w:rsid w:val="00EF68DF"/>
    <w:rsid w:val="00EF68F4"/>
    <w:rsid w:val="00EF6B5F"/>
    <w:rsid w:val="00EF6BCB"/>
    <w:rsid w:val="00EF6C5D"/>
    <w:rsid w:val="00EF6DB8"/>
    <w:rsid w:val="00EF6E85"/>
    <w:rsid w:val="00EF7000"/>
    <w:rsid w:val="00EF7016"/>
    <w:rsid w:val="00EF7364"/>
    <w:rsid w:val="00EF73B0"/>
    <w:rsid w:val="00EF762C"/>
    <w:rsid w:val="00EF77DC"/>
    <w:rsid w:val="00EF7843"/>
    <w:rsid w:val="00EF78DC"/>
    <w:rsid w:val="00EF7B01"/>
    <w:rsid w:val="00EF7EC1"/>
    <w:rsid w:val="00EF7ED2"/>
    <w:rsid w:val="00F0008A"/>
    <w:rsid w:val="00F00102"/>
    <w:rsid w:val="00F00126"/>
    <w:rsid w:val="00F00140"/>
    <w:rsid w:val="00F002F7"/>
    <w:rsid w:val="00F003E8"/>
    <w:rsid w:val="00F00620"/>
    <w:rsid w:val="00F006D6"/>
    <w:rsid w:val="00F00878"/>
    <w:rsid w:val="00F00956"/>
    <w:rsid w:val="00F00ADA"/>
    <w:rsid w:val="00F00C6C"/>
    <w:rsid w:val="00F00D69"/>
    <w:rsid w:val="00F00DE8"/>
    <w:rsid w:val="00F00E1F"/>
    <w:rsid w:val="00F01078"/>
    <w:rsid w:val="00F015B8"/>
    <w:rsid w:val="00F01760"/>
    <w:rsid w:val="00F018AA"/>
    <w:rsid w:val="00F01AFF"/>
    <w:rsid w:val="00F01B5A"/>
    <w:rsid w:val="00F01FE4"/>
    <w:rsid w:val="00F01FED"/>
    <w:rsid w:val="00F02104"/>
    <w:rsid w:val="00F02186"/>
    <w:rsid w:val="00F021A0"/>
    <w:rsid w:val="00F025B8"/>
    <w:rsid w:val="00F02642"/>
    <w:rsid w:val="00F02A92"/>
    <w:rsid w:val="00F02AB4"/>
    <w:rsid w:val="00F02AE3"/>
    <w:rsid w:val="00F02CDA"/>
    <w:rsid w:val="00F03089"/>
    <w:rsid w:val="00F0316A"/>
    <w:rsid w:val="00F032CF"/>
    <w:rsid w:val="00F03435"/>
    <w:rsid w:val="00F034E9"/>
    <w:rsid w:val="00F03572"/>
    <w:rsid w:val="00F03574"/>
    <w:rsid w:val="00F035C0"/>
    <w:rsid w:val="00F035E0"/>
    <w:rsid w:val="00F0383A"/>
    <w:rsid w:val="00F038BC"/>
    <w:rsid w:val="00F03A25"/>
    <w:rsid w:val="00F03A75"/>
    <w:rsid w:val="00F03BA6"/>
    <w:rsid w:val="00F03BB0"/>
    <w:rsid w:val="00F03D0B"/>
    <w:rsid w:val="00F03D9B"/>
    <w:rsid w:val="00F03E5E"/>
    <w:rsid w:val="00F03F82"/>
    <w:rsid w:val="00F0416B"/>
    <w:rsid w:val="00F0426C"/>
    <w:rsid w:val="00F043C7"/>
    <w:rsid w:val="00F04865"/>
    <w:rsid w:val="00F04A59"/>
    <w:rsid w:val="00F04A71"/>
    <w:rsid w:val="00F04CA9"/>
    <w:rsid w:val="00F04E3F"/>
    <w:rsid w:val="00F04EC8"/>
    <w:rsid w:val="00F04FBD"/>
    <w:rsid w:val="00F0517D"/>
    <w:rsid w:val="00F05236"/>
    <w:rsid w:val="00F052BD"/>
    <w:rsid w:val="00F05372"/>
    <w:rsid w:val="00F05384"/>
    <w:rsid w:val="00F0547E"/>
    <w:rsid w:val="00F054B4"/>
    <w:rsid w:val="00F05794"/>
    <w:rsid w:val="00F057C9"/>
    <w:rsid w:val="00F0588A"/>
    <w:rsid w:val="00F05AFA"/>
    <w:rsid w:val="00F05E45"/>
    <w:rsid w:val="00F05FAA"/>
    <w:rsid w:val="00F0629E"/>
    <w:rsid w:val="00F06498"/>
    <w:rsid w:val="00F064A0"/>
    <w:rsid w:val="00F0650D"/>
    <w:rsid w:val="00F065AC"/>
    <w:rsid w:val="00F06734"/>
    <w:rsid w:val="00F067E9"/>
    <w:rsid w:val="00F067F1"/>
    <w:rsid w:val="00F06C5D"/>
    <w:rsid w:val="00F06D43"/>
    <w:rsid w:val="00F06E31"/>
    <w:rsid w:val="00F07055"/>
    <w:rsid w:val="00F07128"/>
    <w:rsid w:val="00F07233"/>
    <w:rsid w:val="00F076F7"/>
    <w:rsid w:val="00F07787"/>
    <w:rsid w:val="00F078D9"/>
    <w:rsid w:val="00F0799A"/>
    <w:rsid w:val="00F079A2"/>
    <w:rsid w:val="00F079A9"/>
    <w:rsid w:val="00F079B8"/>
    <w:rsid w:val="00F07C8C"/>
    <w:rsid w:val="00F07D4A"/>
    <w:rsid w:val="00F07ED8"/>
    <w:rsid w:val="00F07EFC"/>
    <w:rsid w:val="00F07F0A"/>
    <w:rsid w:val="00F07F69"/>
    <w:rsid w:val="00F10012"/>
    <w:rsid w:val="00F1003C"/>
    <w:rsid w:val="00F100D6"/>
    <w:rsid w:val="00F10315"/>
    <w:rsid w:val="00F1063A"/>
    <w:rsid w:val="00F10729"/>
    <w:rsid w:val="00F1086F"/>
    <w:rsid w:val="00F1096D"/>
    <w:rsid w:val="00F109A9"/>
    <w:rsid w:val="00F109D8"/>
    <w:rsid w:val="00F10AF3"/>
    <w:rsid w:val="00F10C1A"/>
    <w:rsid w:val="00F10DC5"/>
    <w:rsid w:val="00F10DC6"/>
    <w:rsid w:val="00F11138"/>
    <w:rsid w:val="00F111DA"/>
    <w:rsid w:val="00F11283"/>
    <w:rsid w:val="00F11484"/>
    <w:rsid w:val="00F116C8"/>
    <w:rsid w:val="00F11865"/>
    <w:rsid w:val="00F11DE1"/>
    <w:rsid w:val="00F12078"/>
    <w:rsid w:val="00F12083"/>
    <w:rsid w:val="00F12245"/>
    <w:rsid w:val="00F12549"/>
    <w:rsid w:val="00F12865"/>
    <w:rsid w:val="00F129F6"/>
    <w:rsid w:val="00F12A79"/>
    <w:rsid w:val="00F12CEF"/>
    <w:rsid w:val="00F12D28"/>
    <w:rsid w:val="00F12DAB"/>
    <w:rsid w:val="00F12E2D"/>
    <w:rsid w:val="00F12E61"/>
    <w:rsid w:val="00F12EDD"/>
    <w:rsid w:val="00F131E1"/>
    <w:rsid w:val="00F13214"/>
    <w:rsid w:val="00F13298"/>
    <w:rsid w:val="00F1341C"/>
    <w:rsid w:val="00F1353B"/>
    <w:rsid w:val="00F1359C"/>
    <w:rsid w:val="00F13684"/>
    <w:rsid w:val="00F13792"/>
    <w:rsid w:val="00F137F2"/>
    <w:rsid w:val="00F138CF"/>
    <w:rsid w:val="00F13B24"/>
    <w:rsid w:val="00F13B70"/>
    <w:rsid w:val="00F13B88"/>
    <w:rsid w:val="00F13BEB"/>
    <w:rsid w:val="00F13D18"/>
    <w:rsid w:val="00F13FBD"/>
    <w:rsid w:val="00F1402F"/>
    <w:rsid w:val="00F14326"/>
    <w:rsid w:val="00F1460A"/>
    <w:rsid w:val="00F14614"/>
    <w:rsid w:val="00F14673"/>
    <w:rsid w:val="00F1491C"/>
    <w:rsid w:val="00F14CA5"/>
    <w:rsid w:val="00F14D61"/>
    <w:rsid w:val="00F14D8F"/>
    <w:rsid w:val="00F14DAD"/>
    <w:rsid w:val="00F14F19"/>
    <w:rsid w:val="00F15184"/>
    <w:rsid w:val="00F151AC"/>
    <w:rsid w:val="00F15401"/>
    <w:rsid w:val="00F154A8"/>
    <w:rsid w:val="00F15568"/>
    <w:rsid w:val="00F157B4"/>
    <w:rsid w:val="00F1582B"/>
    <w:rsid w:val="00F15906"/>
    <w:rsid w:val="00F15A0D"/>
    <w:rsid w:val="00F15B5D"/>
    <w:rsid w:val="00F15DE6"/>
    <w:rsid w:val="00F15ECA"/>
    <w:rsid w:val="00F15F62"/>
    <w:rsid w:val="00F16031"/>
    <w:rsid w:val="00F16035"/>
    <w:rsid w:val="00F1603D"/>
    <w:rsid w:val="00F16151"/>
    <w:rsid w:val="00F1618C"/>
    <w:rsid w:val="00F162BE"/>
    <w:rsid w:val="00F162D4"/>
    <w:rsid w:val="00F16398"/>
    <w:rsid w:val="00F165D3"/>
    <w:rsid w:val="00F1665C"/>
    <w:rsid w:val="00F16777"/>
    <w:rsid w:val="00F168D2"/>
    <w:rsid w:val="00F16AD7"/>
    <w:rsid w:val="00F170EC"/>
    <w:rsid w:val="00F17182"/>
    <w:rsid w:val="00F1731C"/>
    <w:rsid w:val="00F17363"/>
    <w:rsid w:val="00F17404"/>
    <w:rsid w:val="00F17431"/>
    <w:rsid w:val="00F17455"/>
    <w:rsid w:val="00F1760E"/>
    <w:rsid w:val="00F17684"/>
    <w:rsid w:val="00F17716"/>
    <w:rsid w:val="00F1798C"/>
    <w:rsid w:val="00F17A7D"/>
    <w:rsid w:val="00F17D60"/>
    <w:rsid w:val="00F17D76"/>
    <w:rsid w:val="00F17FA1"/>
    <w:rsid w:val="00F17FA4"/>
    <w:rsid w:val="00F20287"/>
    <w:rsid w:val="00F20316"/>
    <w:rsid w:val="00F203C5"/>
    <w:rsid w:val="00F205AF"/>
    <w:rsid w:val="00F20704"/>
    <w:rsid w:val="00F207FB"/>
    <w:rsid w:val="00F20C85"/>
    <w:rsid w:val="00F20D30"/>
    <w:rsid w:val="00F20D4B"/>
    <w:rsid w:val="00F20EC1"/>
    <w:rsid w:val="00F210F6"/>
    <w:rsid w:val="00F21117"/>
    <w:rsid w:val="00F213E6"/>
    <w:rsid w:val="00F214FB"/>
    <w:rsid w:val="00F21596"/>
    <w:rsid w:val="00F2189A"/>
    <w:rsid w:val="00F219B5"/>
    <w:rsid w:val="00F219E6"/>
    <w:rsid w:val="00F21AE6"/>
    <w:rsid w:val="00F21D3F"/>
    <w:rsid w:val="00F21EA9"/>
    <w:rsid w:val="00F21FA5"/>
    <w:rsid w:val="00F22555"/>
    <w:rsid w:val="00F2295D"/>
    <w:rsid w:val="00F22CD3"/>
    <w:rsid w:val="00F22DF1"/>
    <w:rsid w:val="00F22F18"/>
    <w:rsid w:val="00F23215"/>
    <w:rsid w:val="00F2337F"/>
    <w:rsid w:val="00F23381"/>
    <w:rsid w:val="00F233EF"/>
    <w:rsid w:val="00F23759"/>
    <w:rsid w:val="00F239A7"/>
    <w:rsid w:val="00F23C19"/>
    <w:rsid w:val="00F23EFE"/>
    <w:rsid w:val="00F23FFE"/>
    <w:rsid w:val="00F2405D"/>
    <w:rsid w:val="00F2406A"/>
    <w:rsid w:val="00F241B8"/>
    <w:rsid w:val="00F241D3"/>
    <w:rsid w:val="00F2433B"/>
    <w:rsid w:val="00F247D2"/>
    <w:rsid w:val="00F24987"/>
    <w:rsid w:val="00F24A92"/>
    <w:rsid w:val="00F24AA8"/>
    <w:rsid w:val="00F24D86"/>
    <w:rsid w:val="00F24D8A"/>
    <w:rsid w:val="00F251EF"/>
    <w:rsid w:val="00F253A4"/>
    <w:rsid w:val="00F254D4"/>
    <w:rsid w:val="00F25589"/>
    <w:rsid w:val="00F255D8"/>
    <w:rsid w:val="00F256AD"/>
    <w:rsid w:val="00F256C8"/>
    <w:rsid w:val="00F259DE"/>
    <w:rsid w:val="00F25A49"/>
    <w:rsid w:val="00F25AD2"/>
    <w:rsid w:val="00F25C44"/>
    <w:rsid w:val="00F25F4F"/>
    <w:rsid w:val="00F26427"/>
    <w:rsid w:val="00F26453"/>
    <w:rsid w:val="00F2654C"/>
    <w:rsid w:val="00F2692B"/>
    <w:rsid w:val="00F26D64"/>
    <w:rsid w:val="00F27065"/>
    <w:rsid w:val="00F27151"/>
    <w:rsid w:val="00F2734C"/>
    <w:rsid w:val="00F27381"/>
    <w:rsid w:val="00F2739B"/>
    <w:rsid w:val="00F27411"/>
    <w:rsid w:val="00F2757C"/>
    <w:rsid w:val="00F27AA4"/>
    <w:rsid w:val="00F27B3F"/>
    <w:rsid w:val="00F27BCC"/>
    <w:rsid w:val="00F27D5B"/>
    <w:rsid w:val="00F27DF5"/>
    <w:rsid w:val="00F27EB5"/>
    <w:rsid w:val="00F27FA0"/>
    <w:rsid w:val="00F306F6"/>
    <w:rsid w:val="00F30766"/>
    <w:rsid w:val="00F30829"/>
    <w:rsid w:val="00F30880"/>
    <w:rsid w:val="00F308B8"/>
    <w:rsid w:val="00F309F0"/>
    <w:rsid w:val="00F30A9B"/>
    <w:rsid w:val="00F30EFF"/>
    <w:rsid w:val="00F31061"/>
    <w:rsid w:val="00F31341"/>
    <w:rsid w:val="00F315E1"/>
    <w:rsid w:val="00F31639"/>
    <w:rsid w:val="00F316DE"/>
    <w:rsid w:val="00F3195D"/>
    <w:rsid w:val="00F31A92"/>
    <w:rsid w:val="00F31EBF"/>
    <w:rsid w:val="00F31F89"/>
    <w:rsid w:val="00F31F8B"/>
    <w:rsid w:val="00F32285"/>
    <w:rsid w:val="00F322DF"/>
    <w:rsid w:val="00F32345"/>
    <w:rsid w:val="00F323C2"/>
    <w:rsid w:val="00F32523"/>
    <w:rsid w:val="00F32595"/>
    <w:rsid w:val="00F327C6"/>
    <w:rsid w:val="00F32841"/>
    <w:rsid w:val="00F32939"/>
    <w:rsid w:val="00F329BB"/>
    <w:rsid w:val="00F32A3A"/>
    <w:rsid w:val="00F32A91"/>
    <w:rsid w:val="00F32BED"/>
    <w:rsid w:val="00F32E07"/>
    <w:rsid w:val="00F33164"/>
    <w:rsid w:val="00F3336C"/>
    <w:rsid w:val="00F333DD"/>
    <w:rsid w:val="00F3340A"/>
    <w:rsid w:val="00F33666"/>
    <w:rsid w:val="00F336CC"/>
    <w:rsid w:val="00F3373D"/>
    <w:rsid w:val="00F337B4"/>
    <w:rsid w:val="00F338C1"/>
    <w:rsid w:val="00F339E6"/>
    <w:rsid w:val="00F33A8B"/>
    <w:rsid w:val="00F33AD4"/>
    <w:rsid w:val="00F33B84"/>
    <w:rsid w:val="00F33BE0"/>
    <w:rsid w:val="00F33C32"/>
    <w:rsid w:val="00F33D29"/>
    <w:rsid w:val="00F33D86"/>
    <w:rsid w:val="00F33EEF"/>
    <w:rsid w:val="00F33FEF"/>
    <w:rsid w:val="00F341EA"/>
    <w:rsid w:val="00F34307"/>
    <w:rsid w:val="00F34359"/>
    <w:rsid w:val="00F343FE"/>
    <w:rsid w:val="00F3451E"/>
    <w:rsid w:val="00F347DB"/>
    <w:rsid w:val="00F34B67"/>
    <w:rsid w:val="00F34DC7"/>
    <w:rsid w:val="00F34F75"/>
    <w:rsid w:val="00F35041"/>
    <w:rsid w:val="00F35432"/>
    <w:rsid w:val="00F35542"/>
    <w:rsid w:val="00F35593"/>
    <w:rsid w:val="00F35AAB"/>
    <w:rsid w:val="00F35E21"/>
    <w:rsid w:val="00F360E4"/>
    <w:rsid w:val="00F3615E"/>
    <w:rsid w:val="00F361B2"/>
    <w:rsid w:val="00F361DC"/>
    <w:rsid w:val="00F362BA"/>
    <w:rsid w:val="00F3644E"/>
    <w:rsid w:val="00F364B5"/>
    <w:rsid w:val="00F36558"/>
    <w:rsid w:val="00F36560"/>
    <w:rsid w:val="00F366F1"/>
    <w:rsid w:val="00F3674E"/>
    <w:rsid w:val="00F368A8"/>
    <w:rsid w:val="00F36901"/>
    <w:rsid w:val="00F36A4D"/>
    <w:rsid w:val="00F36B9B"/>
    <w:rsid w:val="00F3711C"/>
    <w:rsid w:val="00F371D9"/>
    <w:rsid w:val="00F371EE"/>
    <w:rsid w:val="00F3720C"/>
    <w:rsid w:val="00F37272"/>
    <w:rsid w:val="00F37397"/>
    <w:rsid w:val="00F3743A"/>
    <w:rsid w:val="00F3750D"/>
    <w:rsid w:val="00F376CF"/>
    <w:rsid w:val="00F37994"/>
    <w:rsid w:val="00F37E8E"/>
    <w:rsid w:val="00F4006E"/>
    <w:rsid w:val="00F4010B"/>
    <w:rsid w:val="00F40129"/>
    <w:rsid w:val="00F40430"/>
    <w:rsid w:val="00F404FA"/>
    <w:rsid w:val="00F4058F"/>
    <w:rsid w:val="00F405FF"/>
    <w:rsid w:val="00F40796"/>
    <w:rsid w:val="00F4079E"/>
    <w:rsid w:val="00F40866"/>
    <w:rsid w:val="00F408ED"/>
    <w:rsid w:val="00F40B7A"/>
    <w:rsid w:val="00F40C56"/>
    <w:rsid w:val="00F40CC6"/>
    <w:rsid w:val="00F40E05"/>
    <w:rsid w:val="00F40E65"/>
    <w:rsid w:val="00F41082"/>
    <w:rsid w:val="00F4115D"/>
    <w:rsid w:val="00F411E7"/>
    <w:rsid w:val="00F4123A"/>
    <w:rsid w:val="00F4123E"/>
    <w:rsid w:val="00F413D7"/>
    <w:rsid w:val="00F415E3"/>
    <w:rsid w:val="00F4162A"/>
    <w:rsid w:val="00F4177A"/>
    <w:rsid w:val="00F41B5C"/>
    <w:rsid w:val="00F41BC8"/>
    <w:rsid w:val="00F41BCE"/>
    <w:rsid w:val="00F41BEE"/>
    <w:rsid w:val="00F41DC9"/>
    <w:rsid w:val="00F41DE1"/>
    <w:rsid w:val="00F41E6A"/>
    <w:rsid w:val="00F420C5"/>
    <w:rsid w:val="00F42133"/>
    <w:rsid w:val="00F4254F"/>
    <w:rsid w:val="00F42719"/>
    <w:rsid w:val="00F4295D"/>
    <w:rsid w:val="00F42B90"/>
    <w:rsid w:val="00F42D5B"/>
    <w:rsid w:val="00F42E6C"/>
    <w:rsid w:val="00F42E6F"/>
    <w:rsid w:val="00F43100"/>
    <w:rsid w:val="00F43310"/>
    <w:rsid w:val="00F4356E"/>
    <w:rsid w:val="00F435A3"/>
    <w:rsid w:val="00F4364F"/>
    <w:rsid w:val="00F4368E"/>
    <w:rsid w:val="00F43B7A"/>
    <w:rsid w:val="00F43CB9"/>
    <w:rsid w:val="00F43F32"/>
    <w:rsid w:val="00F440B0"/>
    <w:rsid w:val="00F440EE"/>
    <w:rsid w:val="00F44224"/>
    <w:rsid w:val="00F44326"/>
    <w:rsid w:val="00F444C7"/>
    <w:rsid w:val="00F44704"/>
    <w:rsid w:val="00F4483F"/>
    <w:rsid w:val="00F4499E"/>
    <w:rsid w:val="00F44A6C"/>
    <w:rsid w:val="00F44AD3"/>
    <w:rsid w:val="00F44D9C"/>
    <w:rsid w:val="00F44E1F"/>
    <w:rsid w:val="00F44FC5"/>
    <w:rsid w:val="00F4513B"/>
    <w:rsid w:val="00F45173"/>
    <w:rsid w:val="00F45186"/>
    <w:rsid w:val="00F451D3"/>
    <w:rsid w:val="00F455E5"/>
    <w:rsid w:val="00F456CE"/>
    <w:rsid w:val="00F456E7"/>
    <w:rsid w:val="00F4590A"/>
    <w:rsid w:val="00F45A2D"/>
    <w:rsid w:val="00F45C7D"/>
    <w:rsid w:val="00F45CD4"/>
    <w:rsid w:val="00F45D1A"/>
    <w:rsid w:val="00F45FF9"/>
    <w:rsid w:val="00F46002"/>
    <w:rsid w:val="00F462C3"/>
    <w:rsid w:val="00F462DD"/>
    <w:rsid w:val="00F46342"/>
    <w:rsid w:val="00F463C9"/>
    <w:rsid w:val="00F466D4"/>
    <w:rsid w:val="00F467BA"/>
    <w:rsid w:val="00F468D9"/>
    <w:rsid w:val="00F4690B"/>
    <w:rsid w:val="00F46AEF"/>
    <w:rsid w:val="00F46B7C"/>
    <w:rsid w:val="00F46C65"/>
    <w:rsid w:val="00F46CF5"/>
    <w:rsid w:val="00F46E30"/>
    <w:rsid w:val="00F46E91"/>
    <w:rsid w:val="00F4702C"/>
    <w:rsid w:val="00F47480"/>
    <w:rsid w:val="00F4784F"/>
    <w:rsid w:val="00F47878"/>
    <w:rsid w:val="00F47965"/>
    <w:rsid w:val="00F47978"/>
    <w:rsid w:val="00F479AC"/>
    <w:rsid w:val="00F479C4"/>
    <w:rsid w:val="00F47A08"/>
    <w:rsid w:val="00F47A5C"/>
    <w:rsid w:val="00F47C19"/>
    <w:rsid w:val="00F47C82"/>
    <w:rsid w:val="00F47F4E"/>
    <w:rsid w:val="00F5007C"/>
    <w:rsid w:val="00F502F6"/>
    <w:rsid w:val="00F504EE"/>
    <w:rsid w:val="00F505B8"/>
    <w:rsid w:val="00F505C9"/>
    <w:rsid w:val="00F50781"/>
    <w:rsid w:val="00F507A0"/>
    <w:rsid w:val="00F50CC1"/>
    <w:rsid w:val="00F50E0B"/>
    <w:rsid w:val="00F50EEA"/>
    <w:rsid w:val="00F50F95"/>
    <w:rsid w:val="00F51027"/>
    <w:rsid w:val="00F5105F"/>
    <w:rsid w:val="00F5114D"/>
    <w:rsid w:val="00F51169"/>
    <w:rsid w:val="00F5145C"/>
    <w:rsid w:val="00F515A3"/>
    <w:rsid w:val="00F5168D"/>
    <w:rsid w:val="00F516C5"/>
    <w:rsid w:val="00F5174C"/>
    <w:rsid w:val="00F519BE"/>
    <w:rsid w:val="00F51B03"/>
    <w:rsid w:val="00F51BEE"/>
    <w:rsid w:val="00F51BFC"/>
    <w:rsid w:val="00F51C1D"/>
    <w:rsid w:val="00F51CA6"/>
    <w:rsid w:val="00F51CE5"/>
    <w:rsid w:val="00F51DCA"/>
    <w:rsid w:val="00F51DF4"/>
    <w:rsid w:val="00F51E71"/>
    <w:rsid w:val="00F51EEE"/>
    <w:rsid w:val="00F51F43"/>
    <w:rsid w:val="00F52155"/>
    <w:rsid w:val="00F521E5"/>
    <w:rsid w:val="00F52632"/>
    <w:rsid w:val="00F52665"/>
    <w:rsid w:val="00F526AA"/>
    <w:rsid w:val="00F527EB"/>
    <w:rsid w:val="00F528A7"/>
    <w:rsid w:val="00F52990"/>
    <w:rsid w:val="00F52AAA"/>
    <w:rsid w:val="00F52B06"/>
    <w:rsid w:val="00F52E0C"/>
    <w:rsid w:val="00F52F44"/>
    <w:rsid w:val="00F53174"/>
    <w:rsid w:val="00F53182"/>
    <w:rsid w:val="00F53397"/>
    <w:rsid w:val="00F53677"/>
    <w:rsid w:val="00F536A9"/>
    <w:rsid w:val="00F5370E"/>
    <w:rsid w:val="00F539C7"/>
    <w:rsid w:val="00F53B85"/>
    <w:rsid w:val="00F53C4A"/>
    <w:rsid w:val="00F53D06"/>
    <w:rsid w:val="00F53D3F"/>
    <w:rsid w:val="00F53D82"/>
    <w:rsid w:val="00F540BE"/>
    <w:rsid w:val="00F541CA"/>
    <w:rsid w:val="00F541D6"/>
    <w:rsid w:val="00F541DD"/>
    <w:rsid w:val="00F541EC"/>
    <w:rsid w:val="00F543E5"/>
    <w:rsid w:val="00F54496"/>
    <w:rsid w:val="00F544A8"/>
    <w:rsid w:val="00F54600"/>
    <w:rsid w:val="00F546EC"/>
    <w:rsid w:val="00F54889"/>
    <w:rsid w:val="00F548B8"/>
    <w:rsid w:val="00F54961"/>
    <w:rsid w:val="00F54C01"/>
    <w:rsid w:val="00F54C11"/>
    <w:rsid w:val="00F54D93"/>
    <w:rsid w:val="00F54F6D"/>
    <w:rsid w:val="00F5508C"/>
    <w:rsid w:val="00F553B4"/>
    <w:rsid w:val="00F55589"/>
    <w:rsid w:val="00F55626"/>
    <w:rsid w:val="00F558D1"/>
    <w:rsid w:val="00F559D4"/>
    <w:rsid w:val="00F55B7B"/>
    <w:rsid w:val="00F55DF2"/>
    <w:rsid w:val="00F55F9F"/>
    <w:rsid w:val="00F56057"/>
    <w:rsid w:val="00F561EB"/>
    <w:rsid w:val="00F5647B"/>
    <w:rsid w:val="00F564A1"/>
    <w:rsid w:val="00F56745"/>
    <w:rsid w:val="00F56EE8"/>
    <w:rsid w:val="00F56F8F"/>
    <w:rsid w:val="00F5721E"/>
    <w:rsid w:val="00F57241"/>
    <w:rsid w:val="00F572DD"/>
    <w:rsid w:val="00F57432"/>
    <w:rsid w:val="00F5743E"/>
    <w:rsid w:val="00F57B7B"/>
    <w:rsid w:val="00F57CE0"/>
    <w:rsid w:val="00F57CFE"/>
    <w:rsid w:val="00F57E65"/>
    <w:rsid w:val="00F60007"/>
    <w:rsid w:val="00F601AE"/>
    <w:rsid w:val="00F60486"/>
    <w:rsid w:val="00F605FA"/>
    <w:rsid w:val="00F6087F"/>
    <w:rsid w:val="00F60951"/>
    <w:rsid w:val="00F60E11"/>
    <w:rsid w:val="00F60E88"/>
    <w:rsid w:val="00F60EB6"/>
    <w:rsid w:val="00F6177D"/>
    <w:rsid w:val="00F6181E"/>
    <w:rsid w:val="00F618BF"/>
    <w:rsid w:val="00F618FF"/>
    <w:rsid w:val="00F61976"/>
    <w:rsid w:val="00F61AA5"/>
    <w:rsid w:val="00F61BDB"/>
    <w:rsid w:val="00F61C27"/>
    <w:rsid w:val="00F61C79"/>
    <w:rsid w:val="00F61D6F"/>
    <w:rsid w:val="00F61E34"/>
    <w:rsid w:val="00F61E95"/>
    <w:rsid w:val="00F61F1B"/>
    <w:rsid w:val="00F620DA"/>
    <w:rsid w:val="00F6217C"/>
    <w:rsid w:val="00F623F9"/>
    <w:rsid w:val="00F62496"/>
    <w:rsid w:val="00F6264D"/>
    <w:rsid w:val="00F6274D"/>
    <w:rsid w:val="00F62886"/>
    <w:rsid w:val="00F62B10"/>
    <w:rsid w:val="00F62D5E"/>
    <w:rsid w:val="00F62E7D"/>
    <w:rsid w:val="00F62E96"/>
    <w:rsid w:val="00F6303C"/>
    <w:rsid w:val="00F63169"/>
    <w:rsid w:val="00F631A6"/>
    <w:rsid w:val="00F63223"/>
    <w:rsid w:val="00F63254"/>
    <w:rsid w:val="00F63378"/>
    <w:rsid w:val="00F634F6"/>
    <w:rsid w:val="00F6366F"/>
    <w:rsid w:val="00F63791"/>
    <w:rsid w:val="00F6386A"/>
    <w:rsid w:val="00F638B8"/>
    <w:rsid w:val="00F63A64"/>
    <w:rsid w:val="00F63D2C"/>
    <w:rsid w:val="00F63E12"/>
    <w:rsid w:val="00F63EDB"/>
    <w:rsid w:val="00F6404A"/>
    <w:rsid w:val="00F640B4"/>
    <w:rsid w:val="00F64284"/>
    <w:rsid w:val="00F64343"/>
    <w:rsid w:val="00F643BD"/>
    <w:rsid w:val="00F64433"/>
    <w:rsid w:val="00F64481"/>
    <w:rsid w:val="00F64666"/>
    <w:rsid w:val="00F64806"/>
    <w:rsid w:val="00F6492F"/>
    <w:rsid w:val="00F64D3A"/>
    <w:rsid w:val="00F64EFD"/>
    <w:rsid w:val="00F64FA1"/>
    <w:rsid w:val="00F6504C"/>
    <w:rsid w:val="00F652DC"/>
    <w:rsid w:val="00F6530F"/>
    <w:rsid w:val="00F6532C"/>
    <w:rsid w:val="00F65383"/>
    <w:rsid w:val="00F653AA"/>
    <w:rsid w:val="00F6556D"/>
    <w:rsid w:val="00F65991"/>
    <w:rsid w:val="00F659B1"/>
    <w:rsid w:val="00F65A11"/>
    <w:rsid w:val="00F65C31"/>
    <w:rsid w:val="00F65C39"/>
    <w:rsid w:val="00F65C89"/>
    <w:rsid w:val="00F65CEC"/>
    <w:rsid w:val="00F6632C"/>
    <w:rsid w:val="00F66650"/>
    <w:rsid w:val="00F666BA"/>
    <w:rsid w:val="00F666ED"/>
    <w:rsid w:val="00F667D3"/>
    <w:rsid w:val="00F66821"/>
    <w:rsid w:val="00F66957"/>
    <w:rsid w:val="00F669B8"/>
    <w:rsid w:val="00F66EF0"/>
    <w:rsid w:val="00F66F61"/>
    <w:rsid w:val="00F671BC"/>
    <w:rsid w:val="00F6741B"/>
    <w:rsid w:val="00F674B3"/>
    <w:rsid w:val="00F677EA"/>
    <w:rsid w:val="00F679D6"/>
    <w:rsid w:val="00F67A94"/>
    <w:rsid w:val="00F67C28"/>
    <w:rsid w:val="00F67CB7"/>
    <w:rsid w:val="00F67E20"/>
    <w:rsid w:val="00F70024"/>
    <w:rsid w:val="00F70378"/>
    <w:rsid w:val="00F704C5"/>
    <w:rsid w:val="00F707DE"/>
    <w:rsid w:val="00F70B09"/>
    <w:rsid w:val="00F70C7F"/>
    <w:rsid w:val="00F70D5B"/>
    <w:rsid w:val="00F7104E"/>
    <w:rsid w:val="00F711BB"/>
    <w:rsid w:val="00F71232"/>
    <w:rsid w:val="00F71955"/>
    <w:rsid w:val="00F71A4E"/>
    <w:rsid w:val="00F71BB3"/>
    <w:rsid w:val="00F71C9C"/>
    <w:rsid w:val="00F71D34"/>
    <w:rsid w:val="00F71ED6"/>
    <w:rsid w:val="00F71EE0"/>
    <w:rsid w:val="00F7211C"/>
    <w:rsid w:val="00F721B3"/>
    <w:rsid w:val="00F7227B"/>
    <w:rsid w:val="00F72371"/>
    <w:rsid w:val="00F7237E"/>
    <w:rsid w:val="00F72719"/>
    <w:rsid w:val="00F7272E"/>
    <w:rsid w:val="00F72776"/>
    <w:rsid w:val="00F72987"/>
    <w:rsid w:val="00F729A5"/>
    <w:rsid w:val="00F729D1"/>
    <w:rsid w:val="00F72A2E"/>
    <w:rsid w:val="00F72A61"/>
    <w:rsid w:val="00F72A99"/>
    <w:rsid w:val="00F72ABC"/>
    <w:rsid w:val="00F72B7F"/>
    <w:rsid w:val="00F72C51"/>
    <w:rsid w:val="00F72D2A"/>
    <w:rsid w:val="00F72FD6"/>
    <w:rsid w:val="00F731DE"/>
    <w:rsid w:val="00F735CB"/>
    <w:rsid w:val="00F7391D"/>
    <w:rsid w:val="00F73BFF"/>
    <w:rsid w:val="00F73D43"/>
    <w:rsid w:val="00F74106"/>
    <w:rsid w:val="00F741CF"/>
    <w:rsid w:val="00F74330"/>
    <w:rsid w:val="00F744DB"/>
    <w:rsid w:val="00F745D6"/>
    <w:rsid w:val="00F74B7B"/>
    <w:rsid w:val="00F74B89"/>
    <w:rsid w:val="00F74BC1"/>
    <w:rsid w:val="00F750DE"/>
    <w:rsid w:val="00F75164"/>
    <w:rsid w:val="00F758F0"/>
    <w:rsid w:val="00F75A66"/>
    <w:rsid w:val="00F75AA8"/>
    <w:rsid w:val="00F75B7C"/>
    <w:rsid w:val="00F75BC6"/>
    <w:rsid w:val="00F75CD3"/>
    <w:rsid w:val="00F75D52"/>
    <w:rsid w:val="00F75E21"/>
    <w:rsid w:val="00F75F58"/>
    <w:rsid w:val="00F76102"/>
    <w:rsid w:val="00F7611C"/>
    <w:rsid w:val="00F7614C"/>
    <w:rsid w:val="00F7616A"/>
    <w:rsid w:val="00F7620D"/>
    <w:rsid w:val="00F76354"/>
    <w:rsid w:val="00F763EF"/>
    <w:rsid w:val="00F7665D"/>
    <w:rsid w:val="00F768B2"/>
    <w:rsid w:val="00F76A1B"/>
    <w:rsid w:val="00F76BA8"/>
    <w:rsid w:val="00F76D03"/>
    <w:rsid w:val="00F76E33"/>
    <w:rsid w:val="00F76E86"/>
    <w:rsid w:val="00F76F00"/>
    <w:rsid w:val="00F76F4B"/>
    <w:rsid w:val="00F77013"/>
    <w:rsid w:val="00F77174"/>
    <w:rsid w:val="00F77329"/>
    <w:rsid w:val="00F776D0"/>
    <w:rsid w:val="00F776FF"/>
    <w:rsid w:val="00F77797"/>
    <w:rsid w:val="00F7782B"/>
    <w:rsid w:val="00F77AE8"/>
    <w:rsid w:val="00F77CC8"/>
    <w:rsid w:val="00F802C2"/>
    <w:rsid w:val="00F8034D"/>
    <w:rsid w:val="00F805C7"/>
    <w:rsid w:val="00F80606"/>
    <w:rsid w:val="00F80638"/>
    <w:rsid w:val="00F80639"/>
    <w:rsid w:val="00F80716"/>
    <w:rsid w:val="00F807DB"/>
    <w:rsid w:val="00F808BE"/>
    <w:rsid w:val="00F80C29"/>
    <w:rsid w:val="00F80CE5"/>
    <w:rsid w:val="00F80D29"/>
    <w:rsid w:val="00F80D2D"/>
    <w:rsid w:val="00F81097"/>
    <w:rsid w:val="00F8109B"/>
    <w:rsid w:val="00F811E3"/>
    <w:rsid w:val="00F811E8"/>
    <w:rsid w:val="00F81203"/>
    <w:rsid w:val="00F8132B"/>
    <w:rsid w:val="00F81473"/>
    <w:rsid w:val="00F817DD"/>
    <w:rsid w:val="00F81A15"/>
    <w:rsid w:val="00F81AAD"/>
    <w:rsid w:val="00F81DC1"/>
    <w:rsid w:val="00F81EDD"/>
    <w:rsid w:val="00F8205C"/>
    <w:rsid w:val="00F82127"/>
    <w:rsid w:val="00F82223"/>
    <w:rsid w:val="00F823C1"/>
    <w:rsid w:val="00F82576"/>
    <w:rsid w:val="00F825E1"/>
    <w:rsid w:val="00F82653"/>
    <w:rsid w:val="00F8272A"/>
    <w:rsid w:val="00F827B2"/>
    <w:rsid w:val="00F829B8"/>
    <w:rsid w:val="00F82A89"/>
    <w:rsid w:val="00F82FBA"/>
    <w:rsid w:val="00F82FE0"/>
    <w:rsid w:val="00F8313F"/>
    <w:rsid w:val="00F83181"/>
    <w:rsid w:val="00F831D3"/>
    <w:rsid w:val="00F83291"/>
    <w:rsid w:val="00F83433"/>
    <w:rsid w:val="00F83472"/>
    <w:rsid w:val="00F834A2"/>
    <w:rsid w:val="00F83533"/>
    <w:rsid w:val="00F8371E"/>
    <w:rsid w:val="00F837DD"/>
    <w:rsid w:val="00F839C1"/>
    <w:rsid w:val="00F83A21"/>
    <w:rsid w:val="00F83A2C"/>
    <w:rsid w:val="00F83A8A"/>
    <w:rsid w:val="00F8405C"/>
    <w:rsid w:val="00F840A3"/>
    <w:rsid w:val="00F8414B"/>
    <w:rsid w:val="00F84220"/>
    <w:rsid w:val="00F84294"/>
    <w:rsid w:val="00F842B9"/>
    <w:rsid w:val="00F84316"/>
    <w:rsid w:val="00F84351"/>
    <w:rsid w:val="00F84356"/>
    <w:rsid w:val="00F8436A"/>
    <w:rsid w:val="00F84459"/>
    <w:rsid w:val="00F846D5"/>
    <w:rsid w:val="00F8472A"/>
    <w:rsid w:val="00F84732"/>
    <w:rsid w:val="00F848A7"/>
    <w:rsid w:val="00F848EF"/>
    <w:rsid w:val="00F84BD0"/>
    <w:rsid w:val="00F84BF6"/>
    <w:rsid w:val="00F84C9F"/>
    <w:rsid w:val="00F84CF3"/>
    <w:rsid w:val="00F84D42"/>
    <w:rsid w:val="00F84E59"/>
    <w:rsid w:val="00F84EF1"/>
    <w:rsid w:val="00F850D2"/>
    <w:rsid w:val="00F8512C"/>
    <w:rsid w:val="00F85186"/>
    <w:rsid w:val="00F851C6"/>
    <w:rsid w:val="00F85236"/>
    <w:rsid w:val="00F85299"/>
    <w:rsid w:val="00F85594"/>
    <w:rsid w:val="00F85C33"/>
    <w:rsid w:val="00F85C38"/>
    <w:rsid w:val="00F85E05"/>
    <w:rsid w:val="00F85F77"/>
    <w:rsid w:val="00F8614E"/>
    <w:rsid w:val="00F8616F"/>
    <w:rsid w:val="00F861C2"/>
    <w:rsid w:val="00F86464"/>
    <w:rsid w:val="00F86684"/>
    <w:rsid w:val="00F86780"/>
    <w:rsid w:val="00F8678A"/>
    <w:rsid w:val="00F868AF"/>
    <w:rsid w:val="00F868D5"/>
    <w:rsid w:val="00F869C7"/>
    <w:rsid w:val="00F869DF"/>
    <w:rsid w:val="00F86B4E"/>
    <w:rsid w:val="00F86DB2"/>
    <w:rsid w:val="00F86E6D"/>
    <w:rsid w:val="00F87011"/>
    <w:rsid w:val="00F870AE"/>
    <w:rsid w:val="00F870CF"/>
    <w:rsid w:val="00F871D4"/>
    <w:rsid w:val="00F87225"/>
    <w:rsid w:val="00F875B2"/>
    <w:rsid w:val="00F875F8"/>
    <w:rsid w:val="00F87705"/>
    <w:rsid w:val="00F87724"/>
    <w:rsid w:val="00F879D3"/>
    <w:rsid w:val="00F879FE"/>
    <w:rsid w:val="00F87A2C"/>
    <w:rsid w:val="00F87B07"/>
    <w:rsid w:val="00F87B39"/>
    <w:rsid w:val="00F87C96"/>
    <w:rsid w:val="00F87F15"/>
    <w:rsid w:val="00F90240"/>
    <w:rsid w:val="00F90339"/>
    <w:rsid w:val="00F905A0"/>
    <w:rsid w:val="00F906B8"/>
    <w:rsid w:val="00F909E9"/>
    <w:rsid w:val="00F90A7C"/>
    <w:rsid w:val="00F90C28"/>
    <w:rsid w:val="00F90D8E"/>
    <w:rsid w:val="00F90E5F"/>
    <w:rsid w:val="00F90E6D"/>
    <w:rsid w:val="00F90EDF"/>
    <w:rsid w:val="00F91042"/>
    <w:rsid w:val="00F91121"/>
    <w:rsid w:val="00F91214"/>
    <w:rsid w:val="00F9121E"/>
    <w:rsid w:val="00F91224"/>
    <w:rsid w:val="00F9162B"/>
    <w:rsid w:val="00F91A6C"/>
    <w:rsid w:val="00F91C8F"/>
    <w:rsid w:val="00F91D5B"/>
    <w:rsid w:val="00F91DDF"/>
    <w:rsid w:val="00F9201F"/>
    <w:rsid w:val="00F921ED"/>
    <w:rsid w:val="00F92264"/>
    <w:rsid w:val="00F9234B"/>
    <w:rsid w:val="00F9260A"/>
    <w:rsid w:val="00F92672"/>
    <w:rsid w:val="00F926E1"/>
    <w:rsid w:val="00F92784"/>
    <w:rsid w:val="00F928D5"/>
    <w:rsid w:val="00F92BBD"/>
    <w:rsid w:val="00F92C00"/>
    <w:rsid w:val="00F92D78"/>
    <w:rsid w:val="00F92D8D"/>
    <w:rsid w:val="00F92E3A"/>
    <w:rsid w:val="00F92FA6"/>
    <w:rsid w:val="00F931B9"/>
    <w:rsid w:val="00F9330A"/>
    <w:rsid w:val="00F93416"/>
    <w:rsid w:val="00F93520"/>
    <w:rsid w:val="00F93598"/>
    <w:rsid w:val="00F936D8"/>
    <w:rsid w:val="00F938F2"/>
    <w:rsid w:val="00F93A7E"/>
    <w:rsid w:val="00F93A97"/>
    <w:rsid w:val="00F93C7A"/>
    <w:rsid w:val="00F93C94"/>
    <w:rsid w:val="00F93CFC"/>
    <w:rsid w:val="00F93D07"/>
    <w:rsid w:val="00F93DBD"/>
    <w:rsid w:val="00F93E46"/>
    <w:rsid w:val="00F93EF8"/>
    <w:rsid w:val="00F94194"/>
    <w:rsid w:val="00F94401"/>
    <w:rsid w:val="00F94599"/>
    <w:rsid w:val="00F945BF"/>
    <w:rsid w:val="00F94880"/>
    <w:rsid w:val="00F94884"/>
    <w:rsid w:val="00F948B0"/>
    <w:rsid w:val="00F9497F"/>
    <w:rsid w:val="00F94A6A"/>
    <w:rsid w:val="00F94AFC"/>
    <w:rsid w:val="00F94B45"/>
    <w:rsid w:val="00F94E47"/>
    <w:rsid w:val="00F94F2B"/>
    <w:rsid w:val="00F95026"/>
    <w:rsid w:val="00F9507D"/>
    <w:rsid w:val="00F951A4"/>
    <w:rsid w:val="00F95239"/>
    <w:rsid w:val="00F9529D"/>
    <w:rsid w:val="00F95343"/>
    <w:rsid w:val="00F9559F"/>
    <w:rsid w:val="00F9562D"/>
    <w:rsid w:val="00F95665"/>
    <w:rsid w:val="00F956E7"/>
    <w:rsid w:val="00F95B6C"/>
    <w:rsid w:val="00F95DE4"/>
    <w:rsid w:val="00F960B2"/>
    <w:rsid w:val="00F961CA"/>
    <w:rsid w:val="00F961E4"/>
    <w:rsid w:val="00F962A1"/>
    <w:rsid w:val="00F9643C"/>
    <w:rsid w:val="00F9669D"/>
    <w:rsid w:val="00F968E3"/>
    <w:rsid w:val="00F968EF"/>
    <w:rsid w:val="00F96B7B"/>
    <w:rsid w:val="00F96CCF"/>
    <w:rsid w:val="00F96FC1"/>
    <w:rsid w:val="00F97094"/>
    <w:rsid w:val="00F97120"/>
    <w:rsid w:val="00F971FA"/>
    <w:rsid w:val="00F9734E"/>
    <w:rsid w:val="00F97428"/>
    <w:rsid w:val="00F97454"/>
    <w:rsid w:val="00F974FB"/>
    <w:rsid w:val="00F97B47"/>
    <w:rsid w:val="00F97F2E"/>
    <w:rsid w:val="00F97F52"/>
    <w:rsid w:val="00FA00CA"/>
    <w:rsid w:val="00FA012C"/>
    <w:rsid w:val="00FA0483"/>
    <w:rsid w:val="00FA077F"/>
    <w:rsid w:val="00FA0960"/>
    <w:rsid w:val="00FA0C79"/>
    <w:rsid w:val="00FA0DBD"/>
    <w:rsid w:val="00FA13B3"/>
    <w:rsid w:val="00FA1495"/>
    <w:rsid w:val="00FA1596"/>
    <w:rsid w:val="00FA167E"/>
    <w:rsid w:val="00FA16B0"/>
    <w:rsid w:val="00FA17CF"/>
    <w:rsid w:val="00FA192B"/>
    <w:rsid w:val="00FA1953"/>
    <w:rsid w:val="00FA1B1D"/>
    <w:rsid w:val="00FA1B82"/>
    <w:rsid w:val="00FA1C6C"/>
    <w:rsid w:val="00FA1CB6"/>
    <w:rsid w:val="00FA1F07"/>
    <w:rsid w:val="00FA1FC7"/>
    <w:rsid w:val="00FA204E"/>
    <w:rsid w:val="00FA20DB"/>
    <w:rsid w:val="00FA219F"/>
    <w:rsid w:val="00FA21B1"/>
    <w:rsid w:val="00FA22E9"/>
    <w:rsid w:val="00FA2763"/>
    <w:rsid w:val="00FA27A5"/>
    <w:rsid w:val="00FA2925"/>
    <w:rsid w:val="00FA2A70"/>
    <w:rsid w:val="00FA2AEF"/>
    <w:rsid w:val="00FA2BE6"/>
    <w:rsid w:val="00FA2E9B"/>
    <w:rsid w:val="00FA2F7E"/>
    <w:rsid w:val="00FA3283"/>
    <w:rsid w:val="00FA384F"/>
    <w:rsid w:val="00FA3FAD"/>
    <w:rsid w:val="00FA40F1"/>
    <w:rsid w:val="00FA424E"/>
    <w:rsid w:val="00FA4516"/>
    <w:rsid w:val="00FA459D"/>
    <w:rsid w:val="00FA477E"/>
    <w:rsid w:val="00FA494A"/>
    <w:rsid w:val="00FA4970"/>
    <w:rsid w:val="00FA49EF"/>
    <w:rsid w:val="00FA4A2B"/>
    <w:rsid w:val="00FA4C07"/>
    <w:rsid w:val="00FA4C77"/>
    <w:rsid w:val="00FA4D3F"/>
    <w:rsid w:val="00FA4E03"/>
    <w:rsid w:val="00FA4F8A"/>
    <w:rsid w:val="00FA50E5"/>
    <w:rsid w:val="00FA511D"/>
    <w:rsid w:val="00FA52EA"/>
    <w:rsid w:val="00FA5339"/>
    <w:rsid w:val="00FA53F3"/>
    <w:rsid w:val="00FA58F2"/>
    <w:rsid w:val="00FA5961"/>
    <w:rsid w:val="00FA5BE0"/>
    <w:rsid w:val="00FA5CDD"/>
    <w:rsid w:val="00FA5E95"/>
    <w:rsid w:val="00FA5EC7"/>
    <w:rsid w:val="00FA5F37"/>
    <w:rsid w:val="00FA5FB7"/>
    <w:rsid w:val="00FA6143"/>
    <w:rsid w:val="00FA6342"/>
    <w:rsid w:val="00FA63E8"/>
    <w:rsid w:val="00FA64A3"/>
    <w:rsid w:val="00FA65D3"/>
    <w:rsid w:val="00FA6733"/>
    <w:rsid w:val="00FA6997"/>
    <w:rsid w:val="00FA69A6"/>
    <w:rsid w:val="00FA69B2"/>
    <w:rsid w:val="00FA6B1B"/>
    <w:rsid w:val="00FA6B68"/>
    <w:rsid w:val="00FA72A4"/>
    <w:rsid w:val="00FA7423"/>
    <w:rsid w:val="00FA76A8"/>
    <w:rsid w:val="00FA7A0C"/>
    <w:rsid w:val="00FA7A32"/>
    <w:rsid w:val="00FA7AA3"/>
    <w:rsid w:val="00FA7C8F"/>
    <w:rsid w:val="00FA7DA6"/>
    <w:rsid w:val="00FA7EFB"/>
    <w:rsid w:val="00FA7FF8"/>
    <w:rsid w:val="00FB0117"/>
    <w:rsid w:val="00FB0164"/>
    <w:rsid w:val="00FB0301"/>
    <w:rsid w:val="00FB03B6"/>
    <w:rsid w:val="00FB05C2"/>
    <w:rsid w:val="00FB0620"/>
    <w:rsid w:val="00FB0659"/>
    <w:rsid w:val="00FB06A5"/>
    <w:rsid w:val="00FB0834"/>
    <w:rsid w:val="00FB0890"/>
    <w:rsid w:val="00FB0926"/>
    <w:rsid w:val="00FB0A41"/>
    <w:rsid w:val="00FB0B1C"/>
    <w:rsid w:val="00FB0B54"/>
    <w:rsid w:val="00FB0BE4"/>
    <w:rsid w:val="00FB0CBE"/>
    <w:rsid w:val="00FB0CE8"/>
    <w:rsid w:val="00FB0D65"/>
    <w:rsid w:val="00FB0DFD"/>
    <w:rsid w:val="00FB0E86"/>
    <w:rsid w:val="00FB0EA6"/>
    <w:rsid w:val="00FB10B3"/>
    <w:rsid w:val="00FB10EC"/>
    <w:rsid w:val="00FB11BE"/>
    <w:rsid w:val="00FB11D7"/>
    <w:rsid w:val="00FB139A"/>
    <w:rsid w:val="00FB174A"/>
    <w:rsid w:val="00FB1949"/>
    <w:rsid w:val="00FB195E"/>
    <w:rsid w:val="00FB19E6"/>
    <w:rsid w:val="00FB1A81"/>
    <w:rsid w:val="00FB1B4A"/>
    <w:rsid w:val="00FB1DDE"/>
    <w:rsid w:val="00FB1DE5"/>
    <w:rsid w:val="00FB1F1B"/>
    <w:rsid w:val="00FB1F7B"/>
    <w:rsid w:val="00FB2066"/>
    <w:rsid w:val="00FB207A"/>
    <w:rsid w:val="00FB20C9"/>
    <w:rsid w:val="00FB2161"/>
    <w:rsid w:val="00FB245A"/>
    <w:rsid w:val="00FB25EB"/>
    <w:rsid w:val="00FB2729"/>
    <w:rsid w:val="00FB276D"/>
    <w:rsid w:val="00FB2AB4"/>
    <w:rsid w:val="00FB2BE5"/>
    <w:rsid w:val="00FB2D22"/>
    <w:rsid w:val="00FB2FA2"/>
    <w:rsid w:val="00FB307A"/>
    <w:rsid w:val="00FB319F"/>
    <w:rsid w:val="00FB3208"/>
    <w:rsid w:val="00FB32B6"/>
    <w:rsid w:val="00FB34FF"/>
    <w:rsid w:val="00FB3574"/>
    <w:rsid w:val="00FB3683"/>
    <w:rsid w:val="00FB3724"/>
    <w:rsid w:val="00FB378D"/>
    <w:rsid w:val="00FB3802"/>
    <w:rsid w:val="00FB3A07"/>
    <w:rsid w:val="00FB3BE6"/>
    <w:rsid w:val="00FB3BEB"/>
    <w:rsid w:val="00FB3C0F"/>
    <w:rsid w:val="00FB3C4A"/>
    <w:rsid w:val="00FB420B"/>
    <w:rsid w:val="00FB4293"/>
    <w:rsid w:val="00FB4329"/>
    <w:rsid w:val="00FB4571"/>
    <w:rsid w:val="00FB48F9"/>
    <w:rsid w:val="00FB49D1"/>
    <w:rsid w:val="00FB4A6B"/>
    <w:rsid w:val="00FB4A8B"/>
    <w:rsid w:val="00FB4A9F"/>
    <w:rsid w:val="00FB4B0A"/>
    <w:rsid w:val="00FB5211"/>
    <w:rsid w:val="00FB52DA"/>
    <w:rsid w:val="00FB531F"/>
    <w:rsid w:val="00FB53B3"/>
    <w:rsid w:val="00FB5417"/>
    <w:rsid w:val="00FB5469"/>
    <w:rsid w:val="00FB5472"/>
    <w:rsid w:val="00FB55C6"/>
    <w:rsid w:val="00FB5790"/>
    <w:rsid w:val="00FB58C0"/>
    <w:rsid w:val="00FB58D7"/>
    <w:rsid w:val="00FB5B3E"/>
    <w:rsid w:val="00FB5C76"/>
    <w:rsid w:val="00FB5D98"/>
    <w:rsid w:val="00FB5F83"/>
    <w:rsid w:val="00FB60E1"/>
    <w:rsid w:val="00FB61AB"/>
    <w:rsid w:val="00FB6508"/>
    <w:rsid w:val="00FB65B4"/>
    <w:rsid w:val="00FB661D"/>
    <w:rsid w:val="00FB680E"/>
    <w:rsid w:val="00FB68AA"/>
    <w:rsid w:val="00FB6AFF"/>
    <w:rsid w:val="00FB6C9D"/>
    <w:rsid w:val="00FB6CAD"/>
    <w:rsid w:val="00FB6FB3"/>
    <w:rsid w:val="00FB703E"/>
    <w:rsid w:val="00FB71BA"/>
    <w:rsid w:val="00FB72AF"/>
    <w:rsid w:val="00FB73C2"/>
    <w:rsid w:val="00FB73C3"/>
    <w:rsid w:val="00FB747E"/>
    <w:rsid w:val="00FB74FF"/>
    <w:rsid w:val="00FB757D"/>
    <w:rsid w:val="00FB7615"/>
    <w:rsid w:val="00FB7679"/>
    <w:rsid w:val="00FB77DE"/>
    <w:rsid w:val="00FB7819"/>
    <w:rsid w:val="00FB787E"/>
    <w:rsid w:val="00FB794B"/>
    <w:rsid w:val="00FB7C98"/>
    <w:rsid w:val="00FB7D0B"/>
    <w:rsid w:val="00FB7F6F"/>
    <w:rsid w:val="00FB7FC0"/>
    <w:rsid w:val="00FC0156"/>
    <w:rsid w:val="00FC0382"/>
    <w:rsid w:val="00FC04E1"/>
    <w:rsid w:val="00FC04F0"/>
    <w:rsid w:val="00FC069F"/>
    <w:rsid w:val="00FC06AE"/>
    <w:rsid w:val="00FC0885"/>
    <w:rsid w:val="00FC0944"/>
    <w:rsid w:val="00FC0B03"/>
    <w:rsid w:val="00FC0C7C"/>
    <w:rsid w:val="00FC0E07"/>
    <w:rsid w:val="00FC0F61"/>
    <w:rsid w:val="00FC15DE"/>
    <w:rsid w:val="00FC163A"/>
    <w:rsid w:val="00FC186B"/>
    <w:rsid w:val="00FC1A9F"/>
    <w:rsid w:val="00FC1BF4"/>
    <w:rsid w:val="00FC1D2E"/>
    <w:rsid w:val="00FC1D96"/>
    <w:rsid w:val="00FC1FC2"/>
    <w:rsid w:val="00FC22DB"/>
    <w:rsid w:val="00FC264B"/>
    <w:rsid w:val="00FC2668"/>
    <w:rsid w:val="00FC2832"/>
    <w:rsid w:val="00FC28D2"/>
    <w:rsid w:val="00FC2C6A"/>
    <w:rsid w:val="00FC2D89"/>
    <w:rsid w:val="00FC2D8B"/>
    <w:rsid w:val="00FC3069"/>
    <w:rsid w:val="00FC3250"/>
    <w:rsid w:val="00FC3378"/>
    <w:rsid w:val="00FC33DC"/>
    <w:rsid w:val="00FC3563"/>
    <w:rsid w:val="00FC3605"/>
    <w:rsid w:val="00FC3A5B"/>
    <w:rsid w:val="00FC3BFB"/>
    <w:rsid w:val="00FC3DA3"/>
    <w:rsid w:val="00FC4102"/>
    <w:rsid w:val="00FC42CB"/>
    <w:rsid w:val="00FC4308"/>
    <w:rsid w:val="00FC435C"/>
    <w:rsid w:val="00FC46FD"/>
    <w:rsid w:val="00FC4717"/>
    <w:rsid w:val="00FC4A27"/>
    <w:rsid w:val="00FC4A73"/>
    <w:rsid w:val="00FC4A9E"/>
    <w:rsid w:val="00FC4AE9"/>
    <w:rsid w:val="00FC4CB8"/>
    <w:rsid w:val="00FC4D12"/>
    <w:rsid w:val="00FC4E6F"/>
    <w:rsid w:val="00FC4F66"/>
    <w:rsid w:val="00FC4FCD"/>
    <w:rsid w:val="00FC4FDB"/>
    <w:rsid w:val="00FC5442"/>
    <w:rsid w:val="00FC5526"/>
    <w:rsid w:val="00FC55D0"/>
    <w:rsid w:val="00FC56D2"/>
    <w:rsid w:val="00FC5721"/>
    <w:rsid w:val="00FC5785"/>
    <w:rsid w:val="00FC57F8"/>
    <w:rsid w:val="00FC5C9A"/>
    <w:rsid w:val="00FC5F38"/>
    <w:rsid w:val="00FC61D2"/>
    <w:rsid w:val="00FC6253"/>
    <w:rsid w:val="00FC6428"/>
    <w:rsid w:val="00FC64D7"/>
    <w:rsid w:val="00FC64E0"/>
    <w:rsid w:val="00FC653B"/>
    <w:rsid w:val="00FC6542"/>
    <w:rsid w:val="00FC65B1"/>
    <w:rsid w:val="00FC6738"/>
    <w:rsid w:val="00FC677A"/>
    <w:rsid w:val="00FC683A"/>
    <w:rsid w:val="00FC6C89"/>
    <w:rsid w:val="00FC6CA9"/>
    <w:rsid w:val="00FC6CD4"/>
    <w:rsid w:val="00FC7057"/>
    <w:rsid w:val="00FC7201"/>
    <w:rsid w:val="00FC738B"/>
    <w:rsid w:val="00FC75F3"/>
    <w:rsid w:val="00FC7715"/>
    <w:rsid w:val="00FC794D"/>
    <w:rsid w:val="00FC7B3B"/>
    <w:rsid w:val="00FC7C65"/>
    <w:rsid w:val="00FC7D35"/>
    <w:rsid w:val="00FC7E0F"/>
    <w:rsid w:val="00FC7F87"/>
    <w:rsid w:val="00FD00D8"/>
    <w:rsid w:val="00FD0131"/>
    <w:rsid w:val="00FD014C"/>
    <w:rsid w:val="00FD07CB"/>
    <w:rsid w:val="00FD09DF"/>
    <w:rsid w:val="00FD0B64"/>
    <w:rsid w:val="00FD0DB3"/>
    <w:rsid w:val="00FD1390"/>
    <w:rsid w:val="00FD1651"/>
    <w:rsid w:val="00FD17A3"/>
    <w:rsid w:val="00FD1978"/>
    <w:rsid w:val="00FD197E"/>
    <w:rsid w:val="00FD1997"/>
    <w:rsid w:val="00FD1BF6"/>
    <w:rsid w:val="00FD1DCA"/>
    <w:rsid w:val="00FD21B5"/>
    <w:rsid w:val="00FD222F"/>
    <w:rsid w:val="00FD2256"/>
    <w:rsid w:val="00FD243A"/>
    <w:rsid w:val="00FD25D5"/>
    <w:rsid w:val="00FD2612"/>
    <w:rsid w:val="00FD2754"/>
    <w:rsid w:val="00FD2942"/>
    <w:rsid w:val="00FD2A83"/>
    <w:rsid w:val="00FD2A9C"/>
    <w:rsid w:val="00FD2D3C"/>
    <w:rsid w:val="00FD2D4C"/>
    <w:rsid w:val="00FD3029"/>
    <w:rsid w:val="00FD3306"/>
    <w:rsid w:val="00FD330A"/>
    <w:rsid w:val="00FD3398"/>
    <w:rsid w:val="00FD3441"/>
    <w:rsid w:val="00FD34D2"/>
    <w:rsid w:val="00FD35EA"/>
    <w:rsid w:val="00FD36CF"/>
    <w:rsid w:val="00FD3707"/>
    <w:rsid w:val="00FD3996"/>
    <w:rsid w:val="00FD3A83"/>
    <w:rsid w:val="00FD3D9F"/>
    <w:rsid w:val="00FD3EB0"/>
    <w:rsid w:val="00FD3FA5"/>
    <w:rsid w:val="00FD4014"/>
    <w:rsid w:val="00FD4056"/>
    <w:rsid w:val="00FD41E6"/>
    <w:rsid w:val="00FD4210"/>
    <w:rsid w:val="00FD4278"/>
    <w:rsid w:val="00FD4820"/>
    <w:rsid w:val="00FD4B45"/>
    <w:rsid w:val="00FD4D23"/>
    <w:rsid w:val="00FD4D62"/>
    <w:rsid w:val="00FD50DA"/>
    <w:rsid w:val="00FD50EE"/>
    <w:rsid w:val="00FD5166"/>
    <w:rsid w:val="00FD5284"/>
    <w:rsid w:val="00FD52DF"/>
    <w:rsid w:val="00FD53AE"/>
    <w:rsid w:val="00FD53C8"/>
    <w:rsid w:val="00FD53F9"/>
    <w:rsid w:val="00FD54EE"/>
    <w:rsid w:val="00FD585C"/>
    <w:rsid w:val="00FD5A68"/>
    <w:rsid w:val="00FD5D24"/>
    <w:rsid w:val="00FD5D98"/>
    <w:rsid w:val="00FD5DD1"/>
    <w:rsid w:val="00FD5E90"/>
    <w:rsid w:val="00FD60A1"/>
    <w:rsid w:val="00FD6213"/>
    <w:rsid w:val="00FD632F"/>
    <w:rsid w:val="00FD653D"/>
    <w:rsid w:val="00FD6659"/>
    <w:rsid w:val="00FD673F"/>
    <w:rsid w:val="00FD6835"/>
    <w:rsid w:val="00FD6ACE"/>
    <w:rsid w:val="00FD6AEF"/>
    <w:rsid w:val="00FD6B08"/>
    <w:rsid w:val="00FD6F69"/>
    <w:rsid w:val="00FD74CC"/>
    <w:rsid w:val="00FD7839"/>
    <w:rsid w:val="00FD7AC6"/>
    <w:rsid w:val="00FE0165"/>
    <w:rsid w:val="00FE01FD"/>
    <w:rsid w:val="00FE0280"/>
    <w:rsid w:val="00FE030D"/>
    <w:rsid w:val="00FE039F"/>
    <w:rsid w:val="00FE04D3"/>
    <w:rsid w:val="00FE06AA"/>
    <w:rsid w:val="00FE06C8"/>
    <w:rsid w:val="00FE082F"/>
    <w:rsid w:val="00FE08CC"/>
    <w:rsid w:val="00FE09C8"/>
    <w:rsid w:val="00FE09D8"/>
    <w:rsid w:val="00FE0B19"/>
    <w:rsid w:val="00FE0DED"/>
    <w:rsid w:val="00FE0F3C"/>
    <w:rsid w:val="00FE124E"/>
    <w:rsid w:val="00FE1286"/>
    <w:rsid w:val="00FE1360"/>
    <w:rsid w:val="00FE1371"/>
    <w:rsid w:val="00FE1769"/>
    <w:rsid w:val="00FE182C"/>
    <w:rsid w:val="00FE19DA"/>
    <w:rsid w:val="00FE1A35"/>
    <w:rsid w:val="00FE1A4A"/>
    <w:rsid w:val="00FE1A6C"/>
    <w:rsid w:val="00FE1D3F"/>
    <w:rsid w:val="00FE1E93"/>
    <w:rsid w:val="00FE2121"/>
    <w:rsid w:val="00FE215E"/>
    <w:rsid w:val="00FE221F"/>
    <w:rsid w:val="00FE2456"/>
    <w:rsid w:val="00FE253A"/>
    <w:rsid w:val="00FE2653"/>
    <w:rsid w:val="00FE2858"/>
    <w:rsid w:val="00FE28B1"/>
    <w:rsid w:val="00FE294D"/>
    <w:rsid w:val="00FE2AB3"/>
    <w:rsid w:val="00FE2AE1"/>
    <w:rsid w:val="00FE2E09"/>
    <w:rsid w:val="00FE2E73"/>
    <w:rsid w:val="00FE2ED4"/>
    <w:rsid w:val="00FE2F37"/>
    <w:rsid w:val="00FE2FA0"/>
    <w:rsid w:val="00FE2FDC"/>
    <w:rsid w:val="00FE326F"/>
    <w:rsid w:val="00FE3385"/>
    <w:rsid w:val="00FE33B3"/>
    <w:rsid w:val="00FE33B6"/>
    <w:rsid w:val="00FE3404"/>
    <w:rsid w:val="00FE353B"/>
    <w:rsid w:val="00FE3782"/>
    <w:rsid w:val="00FE3B60"/>
    <w:rsid w:val="00FE3EA6"/>
    <w:rsid w:val="00FE41A8"/>
    <w:rsid w:val="00FE4297"/>
    <w:rsid w:val="00FE42BC"/>
    <w:rsid w:val="00FE42D2"/>
    <w:rsid w:val="00FE4323"/>
    <w:rsid w:val="00FE4391"/>
    <w:rsid w:val="00FE439F"/>
    <w:rsid w:val="00FE4464"/>
    <w:rsid w:val="00FE4A9C"/>
    <w:rsid w:val="00FE4BB1"/>
    <w:rsid w:val="00FE4E3C"/>
    <w:rsid w:val="00FE50D6"/>
    <w:rsid w:val="00FE53B7"/>
    <w:rsid w:val="00FE549A"/>
    <w:rsid w:val="00FE5661"/>
    <w:rsid w:val="00FE56A2"/>
    <w:rsid w:val="00FE574D"/>
    <w:rsid w:val="00FE57D8"/>
    <w:rsid w:val="00FE58F7"/>
    <w:rsid w:val="00FE59C4"/>
    <w:rsid w:val="00FE5BD9"/>
    <w:rsid w:val="00FE5DB6"/>
    <w:rsid w:val="00FE5E22"/>
    <w:rsid w:val="00FE5F29"/>
    <w:rsid w:val="00FE6032"/>
    <w:rsid w:val="00FE6150"/>
    <w:rsid w:val="00FE61BF"/>
    <w:rsid w:val="00FE6549"/>
    <w:rsid w:val="00FE65F5"/>
    <w:rsid w:val="00FE66AB"/>
    <w:rsid w:val="00FE66D2"/>
    <w:rsid w:val="00FE6944"/>
    <w:rsid w:val="00FE6B2E"/>
    <w:rsid w:val="00FE6EA3"/>
    <w:rsid w:val="00FE6F53"/>
    <w:rsid w:val="00FE7012"/>
    <w:rsid w:val="00FE714B"/>
    <w:rsid w:val="00FE7282"/>
    <w:rsid w:val="00FE730A"/>
    <w:rsid w:val="00FE74D3"/>
    <w:rsid w:val="00FE752E"/>
    <w:rsid w:val="00FE76C9"/>
    <w:rsid w:val="00FE7791"/>
    <w:rsid w:val="00FE780E"/>
    <w:rsid w:val="00FE7896"/>
    <w:rsid w:val="00FE7927"/>
    <w:rsid w:val="00FE797C"/>
    <w:rsid w:val="00FE7AE6"/>
    <w:rsid w:val="00FE7BBE"/>
    <w:rsid w:val="00FE7CF8"/>
    <w:rsid w:val="00FE7DC2"/>
    <w:rsid w:val="00FE7EEB"/>
    <w:rsid w:val="00FE7F63"/>
    <w:rsid w:val="00FF0234"/>
    <w:rsid w:val="00FF02DC"/>
    <w:rsid w:val="00FF038B"/>
    <w:rsid w:val="00FF0396"/>
    <w:rsid w:val="00FF03B0"/>
    <w:rsid w:val="00FF049D"/>
    <w:rsid w:val="00FF04A1"/>
    <w:rsid w:val="00FF0553"/>
    <w:rsid w:val="00FF0570"/>
    <w:rsid w:val="00FF0940"/>
    <w:rsid w:val="00FF0A7D"/>
    <w:rsid w:val="00FF0B10"/>
    <w:rsid w:val="00FF0C72"/>
    <w:rsid w:val="00FF0CD4"/>
    <w:rsid w:val="00FF0E79"/>
    <w:rsid w:val="00FF0EB7"/>
    <w:rsid w:val="00FF133B"/>
    <w:rsid w:val="00FF164B"/>
    <w:rsid w:val="00FF19BC"/>
    <w:rsid w:val="00FF19D4"/>
    <w:rsid w:val="00FF1C5F"/>
    <w:rsid w:val="00FF1D23"/>
    <w:rsid w:val="00FF246E"/>
    <w:rsid w:val="00FF24A3"/>
    <w:rsid w:val="00FF24EF"/>
    <w:rsid w:val="00FF255E"/>
    <w:rsid w:val="00FF260C"/>
    <w:rsid w:val="00FF272E"/>
    <w:rsid w:val="00FF277B"/>
    <w:rsid w:val="00FF2793"/>
    <w:rsid w:val="00FF2805"/>
    <w:rsid w:val="00FF2854"/>
    <w:rsid w:val="00FF29A8"/>
    <w:rsid w:val="00FF2AEE"/>
    <w:rsid w:val="00FF2B7D"/>
    <w:rsid w:val="00FF2C40"/>
    <w:rsid w:val="00FF2E69"/>
    <w:rsid w:val="00FF3286"/>
    <w:rsid w:val="00FF35A4"/>
    <w:rsid w:val="00FF3893"/>
    <w:rsid w:val="00FF39FB"/>
    <w:rsid w:val="00FF3BE7"/>
    <w:rsid w:val="00FF3D5B"/>
    <w:rsid w:val="00FF3DD2"/>
    <w:rsid w:val="00FF414E"/>
    <w:rsid w:val="00FF41A2"/>
    <w:rsid w:val="00FF43DA"/>
    <w:rsid w:val="00FF472F"/>
    <w:rsid w:val="00FF47BA"/>
    <w:rsid w:val="00FF48AD"/>
    <w:rsid w:val="00FF4B4D"/>
    <w:rsid w:val="00FF4BA3"/>
    <w:rsid w:val="00FF4E17"/>
    <w:rsid w:val="00FF4EFF"/>
    <w:rsid w:val="00FF4FBB"/>
    <w:rsid w:val="00FF5221"/>
    <w:rsid w:val="00FF5386"/>
    <w:rsid w:val="00FF53AC"/>
    <w:rsid w:val="00FF556E"/>
    <w:rsid w:val="00FF5582"/>
    <w:rsid w:val="00FF5690"/>
    <w:rsid w:val="00FF581E"/>
    <w:rsid w:val="00FF5826"/>
    <w:rsid w:val="00FF5873"/>
    <w:rsid w:val="00FF58EF"/>
    <w:rsid w:val="00FF5903"/>
    <w:rsid w:val="00FF5A41"/>
    <w:rsid w:val="00FF5B31"/>
    <w:rsid w:val="00FF5E41"/>
    <w:rsid w:val="00FF5F5A"/>
    <w:rsid w:val="00FF600A"/>
    <w:rsid w:val="00FF6494"/>
    <w:rsid w:val="00FF65A7"/>
    <w:rsid w:val="00FF678E"/>
    <w:rsid w:val="00FF68D3"/>
    <w:rsid w:val="00FF6AC9"/>
    <w:rsid w:val="00FF6F24"/>
    <w:rsid w:val="00FF702B"/>
    <w:rsid w:val="00FF7148"/>
    <w:rsid w:val="00FF7272"/>
    <w:rsid w:val="00FF7277"/>
    <w:rsid w:val="00FF7297"/>
    <w:rsid w:val="00FF7374"/>
    <w:rsid w:val="00FF7499"/>
    <w:rsid w:val="00FF75D7"/>
    <w:rsid w:val="00FF7610"/>
    <w:rsid w:val="00FF79DF"/>
    <w:rsid w:val="00FF7A6A"/>
    <w:rsid w:val="00FF7B89"/>
    <w:rsid w:val="00FF7BDB"/>
    <w:rsid w:val="00FF7CFF"/>
    <w:rsid w:val="00FF7F8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2B7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64C"/>
    <w:pPr>
      <w:spacing w:before="80" w:after="120" w:line="240" w:lineRule="auto"/>
    </w:pPr>
    <w:rPr>
      <w:sz w:val="20"/>
    </w:rPr>
  </w:style>
  <w:style w:type="paragraph" w:styleId="Heading1">
    <w:name w:val="heading 1"/>
    <w:basedOn w:val="Normal"/>
    <w:next w:val="Normal"/>
    <w:link w:val="Heading1Char"/>
    <w:uiPriority w:val="9"/>
    <w:qFormat/>
    <w:rsid w:val="004D564C"/>
    <w:pPr>
      <w:keepNext/>
      <w:keepLines/>
      <w:pageBreakBefore/>
      <w:framePr w:w="15139" w:vSpace="680" w:wrap="around" w:vAnchor="page" w:hAnchor="margin" w:y="982" w:anchorLock="1"/>
      <w:numPr>
        <w:numId w:val="17"/>
      </w:numPr>
      <w:pBdr>
        <w:top w:val="single" w:sz="8" w:space="31" w:color="FFFFFF"/>
        <w:bottom w:val="single" w:sz="8" w:space="4" w:color="57C1A5" w:themeColor="background2"/>
      </w:pBdr>
      <w:shd w:val="clear" w:color="auto" w:fill="FFFFFF" w:themeFill="background1"/>
      <w:spacing w:before="0" w:after="0"/>
      <w:outlineLvl w:val="0"/>
    </w:pPr>
    <w:rPr>
      <w:rFonts w:ascii="Franklin Gothic Book" w:eastAsia="SimHei" w:hAnsi="Franklin Gothic Book" w:cs="Times New Roman"/>
      <w:caps/>
      <w:color w:val="000000"/>
      <w:spacing w:val="-2"/>
      <w:sz w:val="52"/>
      <w:szCs w:val="28"/>
    </w:rPr>
  </w:style>
  <w:style w:type="paragraph" w:styleId="Heading2">
    <w:name w:val="heading 2"/>
    <w:basedOn w:val="Normal"/>
    <w:next w:val="Normal"/>
    <w:link w:val="Heading2Char"/>
    <w:uiPriority w:val="9"/>
    <w:unhideWhenUsed/>
    <w:qFormat/>
    <w:rsid w:val="004D564C"/>
    <w:pPr>
      <w:keepNext/>
      <w:keepLines/>
      <w:numPr>
        <w:ilvl w:val="1"/>
        <w:numId w:val="17"/>
      </w:numPr>
      <w:spacing w:before="320" w:after="240"/>
      <w:outlineLvl w:val="1"/>
    </w:pPr>
    <w:rPr>
      <w:rFonts w:ascii="Franklin Gothic Book" w:eastAsiaTheme="majorEastAsia" w:hAnsi="Franklin Gothic Book" w:cstheme="majorBidi"/>
      <w:caps/>
      <w:sz w:val="32"/>
      <w:szCs w:val="26"/>
      <w:u w:val="single"/>
    </w:rPr>
  </w:style>
  <w:style w:type="paragraph" w:styleId="Heading3">
    <w:name w:val="heading 3"/>
    <w:basedOn w:val="Normal"/>
    <w:next w:val="Normal"/>
    <w:link w:val="Heading3Char"/>
    <w:uiPriority w:val="9"/>
    <w:unhideWhenUsed/>
    <w:qFormat/>
    <w:rsid w:val="004D564C"/>
    <w:pPr>
      <w:keepNext/>
      <w:keepLines/>
      <w:numPr>
        <w:ilvl w:val="2"/>
        <w:numId w:val="17"/>
      </w:numPr>
      <w:spacing w:before="320" w:after="240"/>
      <w:outlineLvl w:val="2"/>
    </w:pPr>
    <w:rPr>
      <w:rFonts w:ascii="Franklin Gothic Demi" w:eastAsiaTheme="majorEastAsia" w:hAnsi="Franklin Gothic Demi" w:cstheme="majorBidi"/>
      <w:spacing w:val="2"/>
      <w:sz w:val="28"/>
      <w:szCs w:val="24"/>
    </w:rPr>
  </w:style>
  <w:style w:type="paragraph" w:styleId="Heading4">
    <w:name w:val="heading 4"/>
    <w:basedOn w:val="Normal"/>
    <w:next w:val="Normal"/>
    <w:link w:val="Heading4Char"/>
    <w:uiPriority w:val="9"/>
    <w:unhideWhenUsed/>
    <w:qFormat/>
    <w:rsid w:val="004D564C"/>
    <w:pPr>
      <w:keepNext/>
      <w:keepLines/>
      <w:spacing w:before="200"/>
      <w:outlineLvl w:val="3"/>
    </w:pPr>
    <w:rPr>
      <w:rFonts w:asciiTheme="majorHAnsi" w:eastAsiaTheme="majorEastAsia" w:hAnsiTheme="majorHAnsi" w:cstheme="majorBidi"/>
      <w:iCs/>
      <w:sz w:val="24"/>
    </w:rPr>
  </w:style>
  <w:style w:type="paragraph" w:styleId="Heading5">
    <w:name w:val="heading 5"/>
    <w:basedOn w:val="Normal"/>
    <w:next w:val="Normal"/>
    <w:link w:val="Heading5Char"/>
    <w:uiPriority w:val="9"/>
    <w:semiHidden/>
    <w:qFormat/>
    <w:rsid w:val="004D564C"/>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564C"/>
    <w:rPr>
      <w:color w:val="808080"/>
    </w:rPr>
  </w:style>
  <w:style w:type="paragraph" w:styleId="Date">
    <w:name w:val="Date"/>
    <w:basedOn w:val="Subtitle"/>
    <w:next w:val="Normal"/>
    <w:link w:val="DateChar"/>
    <w:uiPriority w:val="99"/>
    <w:unhideWhenUsed/>
    <w:rsid w:val="004D564C"/>
    <w:pPr>
      <w:pBdr>
        <w:bottom w:val="none" w:sz="0" w:space="0" w:color="auto"/>
      </w:pBdr>
    </w:pPr>
  </w:style>
  <w:style w:type="character" w:customStyle="1" w:styleId="DateChar">
    <w:name w:val="Date Char"/>
    <w:basedOn w:val="DefaultParagraphFont"/>
    <w:link w:val="Date"/>
    <w:uiPriority w:val="99"/>
    <w:rsid w:val="004D564C"/>
    <w:rPr>
      <w:rFonts w:eastAsiaTheme="minorEastAsia"/>
      <w:caps/>
      <w:color w:val="5A5A5A" w:themeColor="text1" w:themeTint="A5"/>
      <w:sz w:val="24"/>
    </w:rPr>
  </w:style>
  <w:style w:type="paragraph" w:styleId="NoSpacing">
    <w:name w:val="No Spacing"/>
    <w:uiPriority w:val="1"/>
    <w:qFormat/>
    <w:rsid w:val="004D564C"/>
    <w:pPr>
      <w:spacing w:after="0" w:line="240" w:lineRule="auto"/>
    </w:pPr>
    <w:rPr>
      <w:sz w:val="20"/>
    </w:rPr>
  </w:style>
  <w:style w:type="paragraph" w:styleId="ListBullet">
    <w:name w:val="List Bullet"/>
    <w:basedOn w:val="Normal"/>
    <w:uiPriority w:val="99"/>
    <w:unhideWhenUsed/>
    <w:qFormat/>
    <w:rsid w:val="004D564C"/>
    <w:pPr>
      <w:numPr>
        <w:numId w:val="14"/>
      </w:numPr>
      <w:contextualSpacing/>
    </w:pPr>
  </w:style>
  <w:style w:type="paragraph" w:styleId="ListBullet2">
    <w:name w:val="List Bullet 2"/>
    <w:basedOn w:val="Normal"/>
    <w:uiPriority w:val="99"/>
    <w:unhideWhenUsed/>
    <w:qFormat/>
    <w:rsid w:val="004D564C"/>
    <w:pPr>
      <w:numPr>
        <w:numId w:val="15"/>
      </w:numPr>
      <w:contextualSpacing/>
    </w:pPr>
  </w:style>
  <w:style w:type="paragraph" w:styleId="ListNumber">
    <w:name w:val="List Number"/>
    <w:basedOn w:val="Normal"/>
    <w:uiPriority w:val="99"/>
    <w:unhideWhenUsed/>
    <w:qFormat/>
    <w:rsid w:val="004D564C"/>
    <w:pPr>
      <w:numPr>
        <w:numId w:val="18"/>
      </w:numPr>
      <w:contextualSpacing/>
    </w:pPr>
  </w:style>
  <w:style w:type="numbering" w:customStyle="1" w:styleId="Bullets">
    <w:name w:val="Bullets"/>
    <w:uiPriority w:val="99"/>
    <w:rsid w:val="004D564C"/>
    <w:pPr>
      <w:numPr>
        <w:numId w:val="1"/>
      </w:numPr>
    </w:pPr>
  </w:style>
  <w:style w:type="character" w:customStyle="1" w:styleId="Heading1Char">
    <w:name w:val="Heading 1 Char"/>
    <w:basedOn w:val="DefaultParagraphFont"/>
    <w:link w:val="Heading1"/>
    <w:uiPriority w:val="9"/>
    <w:rsid w:val="004D564C"/>
    <w:rPr>
      <w:rFonts w:ascii="Franklin Gothic Book" w:eastAsia="SimHei" w:hAnsi="Franklin Gothic Book" w:cs="Times New Roman"/>
      <w:caps/>
      <w:color w:val="000000"/>
      <w:spacing w:val="-2"/>
      <w:sz w:val="52"/>
      <w:szCs w:val="28"/>
      <w:shd w:val="clear" w:color="auto" w:fill="FFFFFF" w:themeFill="background1"/>
    </w:rPr>
  </w:style>
  <w:style w:type="paragraph" w:styleId="ListNumber2">
    <w:name w:val="List Number 2"/>
    <w:basedOn w:val="Normal"/>
    <w:uiPriority w:val="99"/>
    <w:unhideWhenUsed/>
    <w:qFormat/>
    <w:rsid w:val="004D564C"/>
    <w:pPr>
      <w:numPr>
        <w:ilvl w:val="1"/>
        <w:numId w:val="18"/>
      </w:numPr>
      <w:contextualSpacing/>
    </w:pPr>
  </w:style>
  <w:style w:type="character" w:customStyle="1" w:styleId="Heading2Char">
    <w:name w:val="Heading 2 Char"/>
    <w:basedOn w:val="DefaultParagraphFont"/>
    <w:link w:val="Heading2"/>
    <w:uiPriority w:val="9"/>
    <w:rsid w:val="004D564C"/>
    <w:rPr>
      <w:rFonts w:ascii="Franklin Gothic Book" w:eastAsiaTheme="majorEastAsia" w:hAnsi="Franklin Gothic Book" w:cstheme="majorBidi"/>
      <w:caps/>
      <w:sz w:val="32"/>
      <w:szCs w:val="26"/>
      <w:u w:val="single"/>
    </w:rPr>
  </w:style>
  <w:style w:type="paragraph" w:styleId="ListParagraph">
    <w:name w:val="List Paragraph"/>
    <w:basedOn w:val="Normal"/>
    <w:uiPriority w:val="34"/>
    <w:qFormat/>
    <w:rsid w:val="004D564C"/>
    <w:pPr>
      <w:ind w:left="284"/>
      <w:contextualSpacing/>
    </w:pPr>
  </w:style>
  <w:style w:type="paragraph" w:styleId="Header">
    <w:name w:val="header"/>
    <w:basedOn w:val="Normal"/>
    <w:link w:val="HeaderChar"/>
    <w:uiPriority w:val="99"/>
    <w:unhideWhenUsed/>
    <w:rsid w:val="004D564C"/>
    <w:pPr>
      <w:tabs>
        <w:tab w:val="center" w:pos="4513"/>
        <w:tab w:val="right" w:pos="9026"/>
      </w:tabs>
      <w:spacing w:after="0"/>
    </w:pPr>
  </w:style>
  <w:style w:type="character" w:customStyle="1" w:styleId="HeaderChar">
    <w:name w:val="Header Char"/>
    <w:basedOn w:val="DefaultParagraphFont"/>
    <w:link w:val="Header"/>
    <w:uiPriority w:val="99"/>
    <w:rsid w:val="004D564C"/>
    <w:rPr>
      <w:sz w:val="20"/>
    </w:rPr>
  </w:style>
  <w:style w:type="paragraph" w:styleId="Footer">
    <w:name w:val="footer"/>
    <w:basedOn w:val="Normal"/>
    <w:link w:val="FooterChar"/>
    <w:uiPriority w:val="99"/>
    <w:semiHidden/>
    <w:rsid w:val="004D564C"/>
    <w:pPr>
      <w:tabs>
        <w:tab w:val="center" w:pos="4513"/>
        <w:tab w:val="right" w:pos="9026"/>
      </w:tabs>
      <w:spacing w:after="0"/>
    </w:pPr>
    <w:rPr>
      <w:sz w:val="18"/>
    </w:rPr>
  </w:style>
  <w:style w:type="character" w:customStyle="1" w:styleId="FooterChar">
    <w:name w:val="Footer Char"/>
    <w:basedOn w:val="DefaultParagraphFont"/>
    <w:link w:val="Footer"/>
    <w:uiPriority w:val="99"/>
    <w:semiHidden/>
    <w:rsid w:val="004D564C"/>
    <w:rPr>
      <w:sz w:val="18"/>
    </w:rPr>
  </w:style>
  <w:style w:type="numbering" w:customStyle="1" w:styleId="Numbering">
    <w:name w:val="Numbering"/>
    <w:uiPriority w:val="99"/>
    <w:rsid w:val="004D564C"/>
    <w:pPr>
      <w:numPr>
        <w:numId w:val="2"/>
      </w:numPr>
    </w:pPr>
  </w:style>
  <w:style w:type="paragraph" w:styleId="ListBullet3">
    <w:name w:val="List Bullet 3"/>
    <w:basedOn w:val="Normal"/>
    <w:uiPriority w:val="99"/>
    <w:unhideWhenUsed/>
    <w:rsid w:val="004D564C"/>
    <w:pPr>
      <w:numPr>
        <w:numId w:val="16"/>
      </w:numPr>
      <w:contextualSpacing/>
    </w:pPr>
  </w:style>
  <w:style w:type="paragraph" w:styleId="ListContinue2">
    <w:name w:val="List Continue 2"/>
    <w:basedOn w:val="Normal"/>
    <w:uiPriority w:val="99"/>
    <w:unhideWhenUsed/>
    <w:qFormat/>
    <w:rsid w:val="004D564C"/>
    <w:pPr>
      <w:ind w:left="566"/>
      <w:contextualSpacing/>
    </w:pPr>
  </w:style>
  <w:style w:type="paragraph" w:styleId="ListNumber3">
    <w:name w:val="List Number 3"/>
    <w:basedOn w:val="Normal"/>
    <w:uiPriority w:val="99"/>
    <w:unhideWhenUsed/>
    <w:qFormat/>
    <w:rsid w:val="004D564C"/>
    <w:pPr>
      <w:numPr>
        <w:ilvl w:val="2"/>
        <w:numId w:val="18"/>
      </w:numPr>
      <w:contextualSpacing/>
    </w:pPr>
  </w:style>
  <w:style w:type="paragraph" w:styleId="ListNumber4">
    <w:name w:val="List Number 4"/>
    <w:basedOn w:val="Normal"/>
    <w:uiPriority w:val="99"/>
    <w:unhideWhenUsed/>
    <w:qFormat/>
    <w:rsid w:val="004D564C"/>
    <w:pPr>
      <w:numPr>
        <w:ilvl w:val="3"/>
        <w:numId w:val="18"/>
      </w:numPr>
      <w:contextualSpacing/>
    </w:pPr>
  </w:style>
  <w:style w:type="paragraph" w:styleId="ListNumber5">
    <w:name w:val="List Number 5"/>
    <w:basedOn w:val="Normal"/>
    <w:uiPriority w:val="99"/>
    <w:unhideWhenUsed/>
    <w:rsid w:val="004D564C"/>
    <w:pPr>
      <w:numPr>
        <w:ilvl w:val="4"/>
        <w:numId w:val="18"/>
      </w:numPr>
      <w:contextualSpacing/>
    </w:pPr>
  </w:style>
  <w:style w:type="paragraph" w:styleId="ListContinue">
    <w:name w:val="List Continue"/>
    <w:basedOn w:val="Normal"/>
    <w:uiPriority w:val="99"/>
    <w:unhideWhenUsed/>
    <w:qFormat/>
    <w:rsid w:val="004D564C"/>
    <w:pPr>
      <w:ind w:left="283"/>
      <w:contextualSpacing/>
    </w:pPr>
  </w:style>
  <w:style w:type="paragraph" w:styleId="ListContinue3">
    <w:name w:val="List Continue 3"/>
    <w:basedOn w:val="Normal"/>
    <w:uiPriority w:val="99"/>
    <w:unhideWhenUsed/>
    <w:qFormat/>
    <w:rsid w:val="004D564C"/>
    <w:pPr>
      <w:ind w:left="849"/>
      <w:contextualSpacing/>
    </w:pPr>
  </w:style>
  <w:style w:type="paragraph" w:styleId="ListContinue4">
    <w:name w:val="List Continue 4"/>
    <w:basedOn w:val="Normal"/>
    <w:uiPriority w:val="99"/>
    <w:unhideWhenUsed/>
    <w:qFormat/>
    <w:rsid w:val="004D564C"/>
    <w:pPr>
      <w:ind w:left="1132"/>
      <w:contextualSpacing/>
    </w:pPr>
  </w:style>
  <w:style w:type="character" w:customStyle="1" w:styleId="Heading3Char">
    <w:name w:val="Heading 3 Char"/>
    <w:basedOn w:val="DefaultParagraphFont"/>
    <w:link w:val="Heading3"/>
    <w:uiPriority w:val="9"/>
    <w:rsid w:val="004D564C"/>
    <w:rPr>
      <w:rFonts w:ascii="Franklin Gothic Demi" w:eastAsiaTheme="majorEastAsia" w:hAnsi="Franklin Gothic Demi" w:cstheme="majorBidi"/>
      <w:spacing w:val="2"/>
      <w:sz w:val="28"/>
      <w:szCs w:val="24"/>
    </w:rPr>
  </w:style>
  <w:style w:type="character" w:customStyle="1" w:styleId="Heading4Char">
    <w:name w:val="Heading 4 Char"/>
    <w:basedOn w:val="DefaultParagraphFont"/>
    <w:link w:val="Heading4"/>
    <w:uiPriority w:val="9"/>
    <w:rsid w:val="004D564C"/>
    <w:rPr>
      <w:rFonts w:asciiTheme="majorHAnsi" w:eastAsiaTheme="majorEastAsia" w:hAnsiTheme="majorHAnsi" w:cstheme="majorBidi"/>
      <w:iCs/>
      <w:sz w:val="24"/>
    </w:rPr>
  </w:style>
  <w:style w:type="character" w:customStyle="1" w:styleId="Heading5Char">
    <w:name w:val="Heading 5 Char"/>
    <w:basedOn w:val="DefaultParagraphFont"/>
    <w:link w:val="Heading5"/>
    <w:uiPriority w:val="9"/>
    <w:semiHidden/>
    <w:rsid w:val="004D564C"/>
    <w:rPr>
      <w:rFonts w:asciiTheme="majorHAnsi" w:eastAsiaTheme="majorEastAsia" w:hAnsiTheme="majorHAnsi" w:cstheme="majorBidi"/>
      <w:b/>
      <w:sz w:val="18"/>
    </w:rPr>
  </w:style>
  <w:style w:type="numbering" w:customStyle="1" w:styleId="ListHeadings">
    <w:name w:val="List Headings"/>
    <w:uiPriority w:val="99"/>
    <w:rsid w:val="004D564C"/>
    <w:pPr>
      <w:numPr>
        <w:numId w:val="3"/>
      </w:numPr>
    </w:pPr>
  </w:style>
  <w:style w:type="paragraph" w:styleId="Title">
    <w:name w:val="Title"/>
    <w:basedOn w:val="Normal"/>
    <w:next w:val="Normal"/>
    <w:link w:val="TitleChar"/>
    <w:uiPriority w:val="10"/>
    <w:rsid w:val="004D564C"/>
    <w:pPr>
      <w:spacing w:after="0"/>
      <w:ind w:right="851"/>
      <w:contextualSpacing/>
    </w:pPr>
    <w:rPr>
      <w:rFonts w:eastAsiaTheme="majorEastAsia" w:cstheme="majorBidi"/>
      <w:b/>
      <w:kern w:val="28"/>
      <w:sz w:val="40"/>
      <w:szCs w:val="56"/>
    </w:rPr>
  </w:style>
  <w:style w:type="character" w:customStyle="1" w:styleId="TitleChar">
    <w:name w:val="Title Char"/>
    <w:basedOn w:val="DefaultParagraphFont"/>
    <w:link w:val="Title"/>
    <w:uiPriority w:val="10"/>
    <w:rsid w:val="004D564C"/>
    <w:rPr>
      <w:rFonts w:eastAsiaTheme="majorEastAsia" w:cstheme="majorBidi"/>
      <w:b/>
      <w:kern w:val="28"/>
      <w:sz w:val="40"/>
      <w:szCs w:val="56"/>
    </w:rPr>
  </w:style>
  <w:style w:type="paragraph" w:customStyle="1" w:styleId="Pull-outQuote">
    <w:name w:val="Pull-out Quote"/>
    <w:basedOn w:val="Normal"/>
    <w:link w:val="Pull-outQuoteChar"/>
    <w:uiPriority w:val="29"/>
    <w:semiHidden/>
    <w:rsid w:val="004D564C"/>
    <w:pPr>
      <w:pBdr>
        <w:top w:val="single" w:sz="4" w:space="4" w:color="54565B" w:themeColor="text2"/>
        <w:left w:val="single" w:sz="4" w:space="4" w:color="54565B" w:themeColor="text2"/>
        <w:bottom w:val="single" w:sz="4" w:space="4" w:color="54565B" w:themeColor="text2"/>
        <w:right w:val="single" w:sz="4" w:space="4" w:color="54565B" w:themeColor="text2"/>
      </w:pBdr>
      <w:shd w:val="clear" w:color="auto" w:fill="54565B"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29"/>
    <w:semiHidden/>
    <w:rsid w:val="004D564C"/>
    <w:rPr>
      <w:b/>
    </w:rPr>
  </w:style>
  <w:style w:type="character" w:customStyle="1" w:styleId="Pull-outQuoteChar">
    <w:name w:val="Pull-out Quote Char"/>
    <w:basedOn w:val="DefaultParagraphFont"/>
    <w:link w:val="Pull-outQuote"/>
    <w:uiPriority w:val="29"/>
    <w:semiHidden/>
    <w:rsid w:val="004D564C"/>
    <w:rPr>
      <w:color w:val="FFFFFF" w:themeColor="background1"/>
      <w:sz w:val="20"/>
      <w:shd w:val="clear" w:color="auto" w:fill="54565B" w:themeFill="text2"/>
    </w:rPr>
  </w:style>
  <w:style w:type="character" w:customStyle="1" w:styleId="Pull-outQuoteHeadingChar">
    <w:name w:val="Pull-out Quote Heading Char"/>
    <w:basedOn w:val="Pull-outQuoteChar"/>
    <w:link w:val="Pull-outQuoteHeading"/>
    <w:uiPriority w:val="29"/>
    <w:semiHidden/>
    <w:rsid w:val="004D564C"/>
    <w:rPr>
      <w:b/>
      <w:color w:val="FFFFFF" w:themeColor="background1"/>
      <w:sz w:val="20"/>
      <w:shd w:val="clear" w:color="auto" w:fill="54565B" w:themeFill="text2"/>
    </w:rPr>
  </w:style>
  <w:style w:type="paragraph" w:customStyle="1" w:styleId="Heading1-nonumber">
    <w:name w:val="Heading 1-no number"/>
    <w:basedOn w:val="Heading1"/>
    <w:next w:val="Normal"/>
    <w:link w:val="Heading1-nonumberChar"/>
    <w:uiPriority w:val="9"/>
    <w:qFormat/>
    <w:rsid w:val="004D564C"/>
    <w:pPr>
      <w:framePr w:wrap="around"/>
      <w:numPr>
        <w:numId w:val="0"/>
      </w:numPr>
    </w:pPr>
  </w:style>
  <w:style w:type="paragraph" w:customStyle="1" w:styleId="Heading2-nonumber">
    <w:name w:val="Heading 2-no number"/>
    <w:basedOn w:val="Heading2"/>
    <w:next w:val="Normal"/>
    <w:link w:val="Heading2-nonumberChar"/>
    <w:uiPriority w:val="9"/>
    <w:qFormat/>
    <w:rsid w:val="004D564C"/>
    <w:pPr>
      <w:numPr>
        <w:ilvl w:val="0"/>
        <w:numId w:val="0"/>
      </w:numPr>
    </w:pPr>
  </w:style>
  <w:style w:type="character" w:customStyle="1" w:styleId="Heading1-nonumberChar">
    <w:name w:val="Heading 1-no number Char"/>
    <w:basedOn w:val="Heading1Char"/>
    <w:link w:val="Heading1-nonumber"/>
    <w:uiPriority w:val="9"/>
    <w:rsid w:val="004D564C"/>
    <w:rPr>
      <w:rFonts w:ascii="Franklin Gothic Book" w:eastAsia="SimHei" w:hAnsi="Franklin Gothic Book" w:cs="Times New Roman"/>
      <w:caps/>
      <w:color w:val="000000"/>
      <w:spacing w:val="-2"/>
      <w:sz w:val="52"/>
      <w:szCs w:val="28"/>
      <w:shd w:val="clear" w:color="auto" w:fill="FFFFFF" w:themeFill="background1"/>
    </w:rPr>
  </w:style>
  <w:style w:type="character" w:customStyle="1" w:styleId="Heading2-nonumberChar">
    <w:name w:val="Heading 2-no number Char"/>
    <w:basedOn w:val="Heading2Char"/>
    <w:link w:val="Heading2-nonumber"/>
    <w:uiPriority w:val="9"/>
    <w:rsid w:val="004D564C"/>
    <w:rPr>
      <w:rFonts w:ascii="Franklin Gothic Book" w:eastAsiaTheme="majorEastAsia" w:hAnsi="Franklin Gothic Book" w:cstheme="majorBidi"/>
      <w:caps/>
      <w:sz w:val="32"/>
      <w:szCs w:val="26"/>
      <w:u w:val="single"/>
    </w:rPr>
  </w:style>
  <w:style w:type="paragraph" w:styleId="ListContinue5">
    <w:name w:val="List Continue 5"/>
    <w:basedOn w:val="Normal"/>
    <w:uiPriority w:val="99"/>
    <w:unhideWhenUsed/>
    <w:qFormat/>
    <w:rsid w:val="004D564C"/>
    <w:pPr>
      <w:ind w:left="1415"/>
      <w:contextualSpacing/>
    </w:pPr>
  </w:style>
  <w:style w:type="table" w:styleId="TableGrid">
    <w:name w:val="Table Grid"/>
    <w:basedOn w:val="TableNormal"/>
    <w:uiPriority w:val="59"/>
    <w:rsid w:val="004D5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D564C"/>
    <w:pPr>
      <w:keepNext/>
      <w:keepLines/>
      <w:spacing w:before="240" w:after="80"/>
      <w:jc w:val="center"/>
    </w:pPr>
    <w:rPr>
      <w:rFonts w:asciiTheme="majorHAnsi" w:hAnsiTheme="majorHAnsi"/>
      <w:iCs/>
      <w:color w:val="000000"/>
      <w:sz w:val="18"/>
      <w:szCs w:val="18"/>
    </w:rPr>
  </w:style>
  <w:style w:type="paragraph" w:styleId="List">
    <w:name w:val="List"/>
    <w:basedOn w:val="Normal"/>
    <w:uiPriority w:val="99"/>
    <w:unhideWhenUsed/>
    <w:qFormat/>
    <w:rsid w:val="004D564C"/>
    <w:pPr>
      <w:numPr>
        <w:numId w:val="11"/>
      </w:numPr>
      <w:tabs>
        <w:tab w:val="left" w:pos="340"/>
        <w:tab w:val="left" w:pos="397"/>
        <w:tab w:val="left" w:pos="454"/>
        <w:tab w:val="left" w:pos="510"/>
        <w:tab w:val="left" w:pos="567"/>
      </w:tabs>
      <w:ind w:left="340" w:hanging="340"/>
      <w:contextualSpacing/>
    </w:pPr>
  </w:style>
  <w:style w:type="paragraph" w:styleId="List2">
    <w:name w:val="List 2"/>
    <w:basedOn w:val="Normal"/>
    <w:uiPriority w:val="99"/>
    <w:unhideWhenUsed/>
    <w:qFormat/>
    <w:rsid w:val="004D564C"/>
    <w:pPr>
      <w:numPr>
        <w:numId w:val="12"/>
      </w:numPr>
      <w:tabs>
        <w:tab w:val="left" w:pos="680"/>
        <w:tab w:val="left" w:pos="737"/>
        <w:tab w:val="left" w:pos="794"/>
        <w:tab w:val="left" w:pos="851"/>
        <w:tab w:val="left" w:pos="907"/>
      </w:tabs>
      <w:ind w:left="680" w:hanging="340"/>
      <w:contextualSpacing/>
    </w:pPr>
  </w:style>
  <w:style w:type="numbering" w:customStyle="1" w:styleId="LetteredList">
    <w:name w:val="Lettered List"/>
    <w:uiPriority w:val="99"/>
    <w:rsid w:val="004D564C"/>
    <w:pPr>
      <w:numPr>
        <w:numId w:val="4"/>
      </w:numPr>
    </w:pPr>
  </w:style>
  <w:style w:type="paragraph" w:styleId="Subtitle">
    <w:name w:val="Subtitle"/>
    <w:basedOn w:val="Normal"/>
    <w:next w:val="Normal"/>
    <w:link w:val="SubtitleChar"/>
    <w:uiPriority w:val="11"/>
    <w:rsid w:val="004D564C"/>
    <w:pPr>
      <w:numPr>
        <w:ilvl w:val="1"/>
      </w:numPr>
      <w:pBdr>
        <w:bottom w:val="single" w:sz="8" w:space="4" w:color="54565B" w:themeColor="text2"/>
      </w:pBdr>
      <w:spacing w:after="160"/>
    </w:pPr>
    <w:rPr>
      <w:rFonts w:eastAsiaTheme="minorEastAsia"/>
      <w:caps/>
      <w:color w:val="5A5A5A" w:themeColor="text1" w:themeTint="A5"/>
      <w:sz w:val="24"/>
    </w:rPr>
  </w:style>
  <w:style w:type="character" w:customStyle="1" w:styleId="SubtitleChar">
    <w:name w:val="Subtitle Char"/>
    <w:basedOn w:val="DefaultParagraphFont"/>
    <w:link w:val="Subtitle"/>
    <w:uiPriority w:val="11"/>
    <w:rsid w:val="004D564C"/>
    <w:rPr>
      <w:rFonts w:eastAsiaTheme="minorEastAsia"/>
      <w:caps/>
      <w:color w:val="5A5A5A" w:themeColor="text1" w:themeTint="A5"/>
      <w:sz w:val="24"/>
    </w:rPr>
  </w:style>
  <w:style w:type="paragraph" w:styleId="TOCHeading">
    <w:name w:val="TOC Heading"/>
    <w:next w:val="Normal"/>
    <w:uiPriority w:val="39"/>
    <w:unhideWhenUsed/>
    <w:rsid w:val="004D564C"/>
    <w:pPr>
      <w:framePr w:w="15706" w:vSpace="680" w:wrap="around" w:vAnchor="page" w:hAnchor="margin" w:y="982" w:anchorLock="1"/>
      <w:pBdr>
        <w:top w:val="single" w:sz="8" w:space="31" w:color="FFFFFF" w:themeColor="background1"/>
        <w:bottom w:val="single" w:sz="8" w:space="4" w:color="57C1A5" w:themeColor="background2"/>
      </w:pBdr>
      <w:shd w:val="clear" w:color="auto" w:fill="FFFFFF" w:themeFill="background1"/>
      <w:spacing w:after="0" w:line="240" w:lineRule="auto"/>
    </w:pPr>
    <w:rPr>
      <w:rFonts w:ascii="Franklin Gothic Medium" w:eastAsia="SimHei" w:hAnsi="Franklin Gothic Medium" w:cs="Times New Roman"/>
      <w:caps/>
      <w:color w:val="000000"/>
      <w:spacing w:val="-2"/>
      <w:sz w:val="52"/>
      <w:szCs w:val="28"/>
      <w:lang w:val="en-US"/>
    </w:rPr>
  </w:style>
  <w:style w:type="paragraph" w:styleId="TOC1">
    <w:name w:val="toc 1"/>
    <w:basedOn w:val="Normal"/>
    <w:next w:val="Normal"/>
    <w:autoRedefine/>
    <w:uiPriority w:val="39"/>
    <w:unhideWhenUsed/>
    <w:rsid w:val="004D564C"/>
    <w:pPr>
      <w:pBdr>
        <w:bottom w:val="single" w:sz="8" w:space="0" w:color="auto"/>
        <w:between w:val="single" w:sz="8" w:space="1" w:color="auto"/>
      </w:pBdr>
      <w:tabs>
        <w:tab w:val="left" w:pos="454"/>
        <w:tab w:val="right" w:pos="7144"/>
      </w:tabs>
      <w:spacing w:before="240" w:after="0"/>
      <w:ind w:left="454" w:hanging="454"/>
    </w:pPr>
    <w:rPr>
      <w:rFonts w:ascii="Franklin Gothic Book" w:hAnsi="Franklin Gothic Book"/>
      <w:caps/>
      <w:sz w:val="22"/>
    </w:rPr>
  </w:style>
  <w:style w:type="paragraph" w:styleId="TOC2">
    <w:name w:val="toc 2"/>
    <w:basedOn w:val="Normal"/>
    <w:next w:val="Normal"/>
    <w:autoRedefine/>
    <w:uiPriority w:val="39"/>
    <w:unhideWhenUsed/>
    <w:rsid w:val="004D564C"/>
    <w:pPr>
      <w:tabs>
        <w:tab w:val="left" w:pos="1021"/>
        <w:tab w:val="right" w:pos="7144"/>
      </w:tabs>
      <w:spacing w:after="100"/>
      <w:ind w:left="1475" w:hanging="1021"/>
    </w:pPr>
    <w:rPr>
      <w:rFonts w:asciiTheme="majorHAnsi" w:hAnsiTheme="majorHAnsi"/>
      <w:caps/>
    </w:rPr>
  </w:style>
  <w:style w:type="paragraph" w:styleId="TOC3">
    <w:name w:val="toc 3"/>
    <w:basedOn w:val="Normal"/>
    <w:next w:val="Normal"/>
    <w:autoRedefine/>
    <w:uiPriority w:val="39"/>
    <w:unhideWhenUsed/>
    <w:rsid w:val="004D564C"/>
    <w:pPr>
      <w:tabs>
        <w:tab w:val="left" w:pos="1644"/>
        <w:tab w:val="right" w:pos="7144"/>
      </w:tabs>
      <w:adjustRightInd w:val="0"/>
      <w:spacing w:after="100"/>
      <w:ind w:left="1645" w:hanging="624"/>
    </w:pPr>
    <w:rPr>
      <w:rFonts w:ascii="Franklin Gothic Book" w:hAnsi="Franklin Gothic Book"/>
    </w:rPr>
  </w:style>
  <w:style w:type="character" w:styleId="Hyperlink">
    <w:name w:val="Hyperlink"/>
    <w:basedOn w:val="DefaultParagraphFont"/>
    <w:uiPriority w:val="99"/>
    <w:unhideWhenUsed/>
    <w:rsid w:val="004D564C"/>
    <w:rPr>
      <w:color w:val="54565B" w:themeColor="hyperlink"/>
      <w:u w:val="single"/>
    </w:rPr>
  </w:style>
  <w:style w:type="table" w:customStyle="1" w:styleId="Blank">
    <w:name w:val="Blank"/>
    <w:basedOn w:val="TableNormal"/>
    <w:uiPriority w:val="99"/>
    <w:rsid w:val="004D564C"/>
    <w:pPr>
      <w:spacing w:after="0" w:line="240" w:lineRule="auto"/>
    </w:pPr>
    <w:tblPr>
      <w:tblCellMar>
        <w:left w:w="0" w:type="dxa"/>
        <w:right w:w="0" w:type="dxa"/>
      </w:tblCellMar>
    </w:tblPr>
  </w:style>
  <w:style w:type="paragraph" w:customStyle="1" w:styleId="NormalBold">
    <w:name w:val="Normal Bold"/>
    <w:basedOn w:val="Normal"/>
    <w:rsid w:val="004D564C"/>
    <w:rPr>
      <w:b/>
    </w:rPr>
  </w:style>
  <w:style w:type="paragraph" w:customStyle="1" w:styleId="FooterLeft">
    <w:name w:val="Footer Left"/>
    <w:basedOn w:val="Footer"/>
    <w:uiPriority w:val="99"/>
    <w:semiHidden/>
    <w:rsid w:val="004D564C"/>
    <w:pPr>
      <w:framePr w:w="9072" w:vSpace="284" w:wrap="around" w:hAnchor="margin" w:yAlign="bottom" w:anchorLock="1"/>
      <w:pBdr>
        <w:top w:val="single" w:sz="12" w:space="6" w:color="57C1A5" w:themeColor="background2"/>
      </w:pBdr>
      <w:spacing w:line="240" w:lineRule="exact"/>
    </w:pPr>
  </w:style>
  <w:style w:type="paragraph" w:customStyle="1" w:styleId="FooterRight">
    <w:name w:val="Footer Right"/>
    <w:basedOn w:val="FooterLeft"/>
    <w:uiPriority w:val="99"/>
    <w:semiHidden/>
    <w:rsid w:val="004D564C"/>
    <w:pPr>
      <w:framePr w:wrap="around" w:xAlign="right"/>
      <w:jc w:val="right"/>
    </w:pPr>
    <w:rPr>
      <w:caps/>
    </w:rPr>
  </w:style>
  <w:style w:type="character" w:customStyle="1" w:styleId="Bold">
    <w:name w:val="Bold"/>
    <w:basedOn w:val="DefaultParagraphFont"/>
    <w:uiPriority w:val="1"/>
    <w:qFormat/>
    <w:rsid w:val="004D564C"/>
    <w:rPr>
      <w:b/>
    </w:rPr>
  </w:style>
  <w:style w:type="paragraph" w:customStyle="1" w:styleId="FooterProjectTitle">
    <w:name w:val="Footer Project Title"/>
    <w:link w:val="FooterProjectTitleChar"/>
    <w:uiPriority w:val="99"/>
    <w:semiHidden/>
    <w:qFormat/>
    <w:rsid w:val="004D564C"/>
    <w:pPr>
      <w:spacing w:before="360" w:after="0" w:line="168" w:lineRule="exact"/>
    </w:pPr>
    <w:rPr>
      <w:rFonts w:ascii="Franklin Gothic Demi" w:hAnsi="Franklin Gothic Demi" w:cs="Times New Roman"/>
      <w:color w:val="000000" w:themeColor="text1"/>
      <w:spacing w:val="-2"/>
      <w:sz w:val="14"/>
      <w:szCs w:val="20"/>
    </w:rPr>
  </w:style>
  <w:style w:type="character" w:customStyle="1" w:styleId="FooterProjectTitleChar">
    <w:name w:val="Footer Project Title Char"/>
    <w:basedOn w:val="DefaultParagraphFont"/>
    <w:link w:val="FooterProjectTitle"/>
    <w:uiPriority w:val="99"/>
    <w:semiHidden/>
    <w:rsid w:val="004D564C"/>
    <w:rPr>
      <w:rFonts w:ascii="Franklin Gothic Demi" w:hAnsi="Franklin Gothic Demi" w:cs="Times New Roman"/>
      <w:color w:val="000000" w:themeColor="text1"/>
      <w:spacing w:val="-2"/>
      <w:sz w:val="14"/>
      <w:szCs w:val="20"/>
    </w:rPr>
  </w:style>
  <w:style w:type="character" w:styleId="PageNumber">
    <w:name w:val="page number"/>
    <w:basedOn w:val="DefaultParagraphFont"/>
    <w:uiPriority w:val="99"/>
    <w:unhideWhenUsed/>
    <w:rsid w:val="004D564C"/>
    <w:rPr>
      <w:rFonts w:ascii="Franklin Gothic Demi" w:hAnsi="Franklin Gothic Demi"/>
      <w:b w:val="0"/>
      <w:color w:val="266655" w:themeColor="background2" w:themeShade="80"/>
      <w:sz w:val="18"/>
    </w:rPr>
  </w:style>
  <w:style w:type="paragraph" w:customStyle="1" w:styleId="HeaderA">
    <w:name w:val="Header A"/>
    <w:basedOn w:val="Normal"/>
    <w:link w:val="HeaderAChar"/>
    <w:uiPriority w:val="99"/>
    <w:rsid w:val="004D564C"/>
    <w:pPr>
      <w:spacing w:before="0" w:after="0" w:line="144" w:lineRule="exact"/>
    </w:pPr>
    <w:rPr>
      <w:rFonts w:ascii="Franklin Gothic Demi" w:eastAsia="Garamond" w:hAnsi="Franklin Gothic Demi" w:cs="Times New Roman"/>
      <w:caps/>
      <w:color w:val="000000"/>
      <w:spacing w:val="-2"/>
      <w:sz w:val="12"/>
      <w:szCs w:val="20"/>
    </w:rPr>
  </w:style>
  <w:style w:type="paragraph" w:customStyle="1" w:styleId="HeaderB">
    <w:name w:val="Header B"/>
    <w:basedOn w:val="Normal"/>
    <w:link w:val="HeaderBChar"/>
    <w:uiPriority w:val="99"/>
    <w:rsid w:val="004D564C"/>
    <w:pPr>
      <w:spacing w:before="0" w:after="0" w:line="144" w:lineRule="exact"/>
    </w:pPr>
    <w:rPr>
      <w:rFonts w:ascii="Franklin Gothic Book" w:eastAsia="Times New Roman" w:hAnsi="Franklin Gothic Book" w:cs="Times New Roman"/>
      <w:color w:val="787878"/>
      <w:spacing w:val="-3"/>
      <w:sz w:val="12"/>
      <w:szCs w:val="20"/>
    </w:rPr>
  </w:style>
  <w:style w:type="character" w:customStyle="1" w:styleId="HeaderBChar">
    <w:name w:val="Header B Char"/>
    <w:basedOn w:val="DefaultParagraphFont"/>
    <w:link w:val="HeaderB"/>
    <w:uiPriority w:val="99"/>
    <w:rsid w:val="004D564C"/>
    <w:rPr>
      <w:rFonts w:ascii="Franklin Gothic Book" w:eastAsia="Times New Roman" w:hAnsi="Franklin Gothic Book" w:cs="Times New Roman"/>
      <w:color w:val="787878"/>
      <w:spacing w:val="-3"/>
      <w:sz w:val="12"/>
      <w:szCs w:val="20"/>
    </w:rPr>
  </w:style>
  <w:style w:type="character" w:customStyle="1" w:styleId="HeaderAChar">
    <w:name w:val="Header A Char"/>
    <w:basedOn w:val="DefaultParagraphFont"/>
    <w:link w:val="HeaderA"/>
    <w:uiPriority w:val="99"/>
    <w:rsid w:val="004D564C"/>
    <w:rPr>
      <w:rFonts w:ascii="Franklin Gothic Demi" w:eastAsia="Garamond" w:hAnsi="Franklin Gothic Demi" w:cs="Times New Roman"/>
      <w:caps/>
      <w:color w:val="000000"/>
      <w:spacing w:val="-2"/>
      <w:sz w:val="12"/>
      <w:szCs w:val="20"/>
    </w:rPr>
  </w:style>
  <w:style w:type="table" w:customStyle="1" w:styleId="HMA-Covertable">
    <w:name w:val="HMA-Cover table"/>
    <w:basedOn w:val="TableNormal"/>
    <w:uiPriority w:val="99"/>
    <w:rsid w:val="004D564C"/>
    <w:pPr>
      <w:spacing w:after="0" w:line="240" w:lineRule="auto"/>
    </w:pPr>
    <w:tblPr>
      <w:tblCellMar>
        <w:top w:w="284" w:type="dxa"/>
        <w:left w:w="284" w:type="dxa"/>
        <w:bottom w:w="284" w:type="dxa"/>
        <w:right w:w="284" w:type="dxa"/>
      </w:tblCellMar>
    </w:tblPr>
    <w:tcPr>
      <w:shd w:val="clear" w:color="auto" w:fill="FFFFFF" w:themeFill="background1"/>
      <w:tcMar>
        <w:top w:w="0" w:type="dxa"/>
        <w:bottom w:w="0" w:type="dxa"/>
      </w:tcMar>
    </w:tcPr>
  </w:style>
  <w:style w:type="character" w:styleId="CommentReference">
    <w:name w:val="annotation reference"/>
    <w:basedOn w:val="DefaultParagraphFont"/>
    <w:uiPriority w:val="99"/>
    <w:unhideWhenUsed/>
    <w:rsid w:val="004D564C"/>
    <w:rPr>
      <w:sz w:val="16"/>
      <w:szCs w:val="16"/>
    </w:rPr>
  </w:style>
  <w:style w:type="paragraph" w:styleId="TOC4">
    <w:name w:val="toc 4"/>
    <w:basedOn w:val="TOC1"/>
    <w:next w:val="Normal"/>
    <w:autoRedefine/>
    <w:uiPriority w:val="39"/>
    <w:unhideWhenUsed/>
    <w:rsid w:val="004D564C"/>
    <w:pPr>
      <w:pBdr>
        <w:bottom w:val="none" w:sz="0" w:space="0" w:color="auto"/>
        <w:between w:val="none" w:sz="0" w:space="0" w:color="auto"/>
      </w:pBdr>
      <w:spacing w:before="80" w:after="100"/>
    </w:pPr>
    <w:rPr>
      <w:noProof/>
    </w:rPr>
  </w:style>
  <w:style w:type="table" w:customStyle="1" w:styleId="HMAdefaulttable">
    <w:name w:val="HMA default table"/>
    <w:basedOn w:val="TableNormal"/>
    <w:uiPriority w:val="99"/>
    <w:rsid w:val="004D564C"/>
    <w:pPr>
      <w:spacing w:after="0" w:line="240" w:lineRule="auto"/>
    </w:pPr>
    <w:rPr>
      <w:rFonts w:ascii="Franklin Gothic Book" w:hAnsi="Franklin Gothic Book"/>
      <w:sz w:val="20"/>
    </w:rPr>
    <w:tblPr>
      <w:tblStyleRowBandSize w:val="1"/>
      <w:tblBorders>
        <w:top w:val="single" w:sz="4" w:space="0" w:color="auto"/>
        <w:bottom w:val="single" w:sz="4" w:space="0" w:color="auto"/>
        <w:insideH w:val="single" w:sz="4" w:space="0" w:color="auto"/>
      </w:tblBorders>
      <w:tblCellMar>
        <w:top w:w="57" w:type="dxa"/>
        <w:left w:w="85" w:type="dxa"/>
        <w:bottom w:w="57" w:type="dxa"/>
        <w:right w:w="85" w:type="dxa"/>
      </w:tblCellMar>
    </w:tblPr>
    <w:tcPr>
      <w:shd w:val="clear" w:color="auto" w:fill="FFFFFF" w:themeFill="background1"/>
    </w:tcPr>
    <w:tblStylePr w:type="firstRow">
      <w:rPr>
        <w:rFonts w:asciiTheme="majorHAnsi" w:hAnsiTheme="majorHAnsi"/>
        <w:b w:val="0"/>
        <w:caps/>
        <w:smallCaps w:val="0"/>
        <w:sz w:val="20"/>
      </w:rPr>
      <w:tblPr/>
      <w:tcPr>
        <w:shd w:val="clear" w:color="auto" w:fill="DCDCDF" w:themeFill="text2" w:themeFillTint="33"/>
      </w:tcPr>
    </w:tblStylePr>
    <w:tblStylePr w:type="lastRow">
      <w:rPr>
        <w:b/>
      </w:rPr>
    </w:tblStylePr>
    <w:tblStylePr w:type="firstCol">
      <w:rPr>
        <w:rFonts w:ascii="Nirmala UI" w:hAnsi="Nirmala UI"/>
      </w:rPr>
    </w:tblStylePr>
    <w:tblStylePr w:type="band1Horz">
      <w:tblPr/>
      <w:tcPr>
        <w:shd w:val="clear" w:color="auto" w:fill="FFFFFF" w:themeFill="background1"/>
      </w:tcPr>
    </w:tblStylePr>
    <w:tblStylePr w:type="band2Horz">
      <w:tblPr/>
      <w:tcPr>
        <w:shd w:val="clear" w:color="auto" w:fill="DDF2EC" w:themeFill="background2" w:themeFillTint="33"/>
      </w:tcPr>
    </w:tblStylePr>
  </w:style>
  <w:style w:type="paragraph" w:styleId="Quote">
    <w:name w:val="Quote"/>
    <w:basedOn w:val="Normal"/>
    <w:next w:val="Normal"/>
    <w:link w:val="QuoteChar"/>
    <w:uiPriority w:val="29"/>
    <w:rsid w:val="004D564C"/>
    <w:pPr>
      <w:spacing w:before="200" w:after="160"/>
      <w:ind w:left="567" w:right="567"/>
    </w:pPr>
    <w:rPr>
      <w:i/>
      <w:iCs/>
    </w:rPr>
  </w:style>
  <w:style w:type="character" w:customStyle="1" w:styleId="QuoteChar">
    <w:name w:val="Quote Char"/>
    <w:basedOn w:val="DefaultParagraphFont"/>
    <w:link w:val="Quote"/>
    <w:uiPriority w:val="29"/>
    <w:rsid w:val="004D564C"/>
    <w:rPr>
      <w:i/>
      <w:iCs/>
      <w:sz w:val="20"/>
    </w:rPr>
  </w:style>
  <w:style w:type="table" w:customStyle="1" w:styleId="HMATable-Abbreviations">
    <w:name w:val="HMA Table - Abbreviations"/>
    <w:basedOn w:val="HMATableB"/>
    <w:uiPriority w:val="99"/>
    <w:rsid w:val="004D564C"/>
    <w:rPr>
      <w:szCs w:val="20"/>
      <w:lang w:val="en-US" w:eastAsia="zh-CN" w:bidi="th-TH"/>
    </w:rPr>
    <w:tblPr>
      <w:tblStyleColBandSize w:val="1"/>
    </w:tblPr>
    <w:tcPr>
      <w:vAlign w:val="center"/>
    </w:tcPr>
    <w:tblStylePr w:type="firstRow">
      <w:rPr>
        <w:rFonts w:asciiTheme="majorHAnsi" w:hAnsiTheme="majorHAnsi"/>
        <w:caps/>
        <w:smallCaps w:val="0"/>
        <w:color w:val="FFFFFF" w:themeColor="background1"/>
      </w:rPr>
      <w:tblPr/>
      <w:tcPr>
        <w:shd w:val="clear" w:color="auto" w:fill="FFFFFF" w:themeFill="background1"/>
      </w:tcPr>
    </w:tblStylePr>
    <w:tblStylePr w:type="firstCol">
      <w:rPr>
        <w:rFonts w:asciiTheme="majorHAnsi" w:hAnsiTheme="majorHAnsi"/>
        <w:sz w:val="20"/>
      </w:rPr>
      <w:tblPr/>
      <w:tcPr>
        <w:tcBorders>
          <w:right w:val="single" w:sz="48" w:space="0" w:color="FFFFFF" w:themeColor="background1"/>
        </w:tcBorders>
        <w:shd w:val="clear" w:color="auto" w:fill="FFFFFF" w:themeFill="background1"/>
      </w:tcPr>
    </w:tblStylePr>
    <w:tblStylePr w:type="lastCol">
      <w:tblPr/>
      <w:tcPr>
        <w:tcBorders>
          <w:insideH w:val="single" w:sz="4" w:space="0" w:color="auto"/>
        </w:tcBorders>
      </w:tcPr>
    </w:tblStylePr>
    <w:tblStylePr w:type="band2Vert">
      <w:tblPr/>
      <w:tcPr>
        <w:tcBorders>
          <w:insideH w:val="single" w:sz="4" w:space="0" w:color="auto"/>
        </w:tcBorders>
      </w:tcPr>
    </w:tblStylePr>
  </w:style>
  <w:style w:type="table" w:customStyle="1" w:styleId="HMATableB">
    <w:name w:val="HMA Table B"/>
    <w:basedOn w:val="TableNormal"/>
    <w:uiPriority w:val="99"/>
    <w:rsid w:val="004D564C"/>
    <w:pPr>
      <w:spacing w:after="0" w:line="240" w:lineRule="auto"/>
    </w:pPr>
    <w:rPr>
      <w:rFonts w:ascii="Franklin Gothic Book" w:hAnsi="Franklin Gothic Book"/>
      <w:sz w:val="20"/>
    </w:rPr>
    <w:tblPr>
      <w:tblBorders>
        <w:top w:val="single" w:sz="4" w:space="0" w:color="auto"/>
        <w:bottom w:val="single" w:sz="4" w:space="0" w:color="auto"/>
        <w:insideH w:val="single" w:sz="4" w:space="0" w:color="auto"/>
      </w:tblBorders>
      <w:tblCellMar>
        <w:top w:w="57" w:type="dxa"/>
        <w:left w:w="85" w:type="dxa"/>
        <w:bottom w:w="57" w:type="dxa"/>
      </w:tblCellMar>
    </w:tblPr>
    <w:tcPr>
      <w:shd w:val="clear" w:color="auto" w:fill="FFFFFF" w:themeFill="background1"/>
    </w:tcPr>
    <w:tblStylePr w:type="firstRow">
      <w:rPr>
        <w:rFonts w:asciiTheme="majorHAnsi" w:hAnsiTheme="majorHAnsi"/>
        <w:caps/>
        <w:smallCaps w:val="0"/>
        <w:color w:val="000000" w:themeColor="text1"/>
      </w:rPr>
      <w:tblPr/>
      <w:tcPr>
        <w:shd w:val="clear" w:color="auto" w:fill="DCDCDF" w:themeFill="text2" w:themeFillTint="33"/>
      </w:tcPr>
    </w:tblStylePr>
    <w:tblStylePr w:type="firstCol">
      <w:rPr>
        <w:rFonts w:asciiTheme="majorHAnsi" w:hAnsiTheme="majorHAnsi"/>
      </w:rPr>
      <w:tblPr/>
      <w:tcPr>
        <w:shd w:val="clear" w:color="auto" w:fill="DDF2EC" w:themeFill="background2" w:themeFillTint="33"/>
      </w:tcPr>
    </w:tblStylePr>
  </w:style>
  <w:style w:type="paragraph" w:customStyle="1" w:styleId="TableText">
    <w:name w:val="Table Text"/>
    <w:link w:val="TableTextChar"/>
    <w:uiPriority w:val="99"/>
    <w:qFormat/>
    <w:rsid w:val="004D564C"/>
    <w:pPr>
      <w:spacing w:after="0" w:line="0" w:lineRule="atLeast"/>
      <w:contextualSpacing/>
    </w:pPr>
    <w:rPr>
      <w:rFonts w:ascii="Franklin Gothic Book" w:hAnsi="Franklin Gothic Book" w:cs="Times New Roman"/>
      <w:color w:val="000000" w:themeColor="text1"/>
      <w:spacing w:val="-2"/>
      <w:sz w:val="20"/>
      <w:szCs w:val="20"/>
    </w:rPr>
  </w:style>
  <w:style w:type="numbering" w:customStyle="1" w:styleId="TableBullets0">
    <w:name w:val="TableBullets"/>
    <w:basedOn w:val="NoList"/>
    <w:uiPriority w:val="99"/>
    <w:rsid w:val="004D564C"/>
    <w:pPr>
      <w:numPr>
        <w:numId w:val="5"/>
      </w:numPr>
    </w:pPr>
  </w:style>
  <w:style w:type="paragraph" w:customStyle="1" w:styleId="TableBullets1">
    <w:name w:val="Table Bullets 1"/>
    <w:uiPriority w:val="15"/>
    <w:qFormat/>
    <w:rsid w:val="00A94D46"/>
    <w:pPr>
      <w:numPr>
        <w:numId w:val="25"/>
      </w:numPr>
      <w:spacing w:after="0" w:line="240" w:lineRule="auto"/>
      <w:ind w:left="341" w:hanging="284"/>
    </w:pPr>
    <w:rPr>
      <w:rFonts w:ascii="Franklin Gothic Book" w:hAnsi="Franklin Gothic Book" w:cs="Times New Roman"/>
      <w:color w:val="000000" w:themeColor="text1"/>
      <w:spacing w:val="-2"/>
      <w:sz w:val="20"/>
      <w:szCs w:val="20"/>
    </w:rPr>
  </w:style>
  <w:style w:type="paragraph" w:customStyle="1" w:styleId="TableBullets2">
    <w:name w:val="Table Bullets 2"/>
    <w:uiPriority w:val="21"/>
    <w:qFormat/>
    <w:rsid w:val="004D564C"/>
    <w:pPr>
      <w:numPr>
        <w:numId w:val="26"/>
      </w:numPr>
      <w:spacing w:after="0"/>
    </w:pPr>
    <w:rPr>
      <w:rFonts w:ascii="Franklin Gothic Book" w:hAnsi="Franklin Gothic Book" w:cs="Times New Roman"/>
      <w:color w:val="000000" w:themeColor="text1"/>
      <w:spacing w:val="-2"/>
      <w:sz w:val="20"/>
      <w:szCs w:val="20"/>
    </w:rPr>
  </w:style>
  <w:style w:type="paragraph" w:customStyle="1" w:styleId="TableBulletssmall1">
    <w:name w:val="Table Bullets (small) 1"/>
    <w:uiPriority w:val="21"/>
    <w:qFormat/>
    <w:rsid w:val="004D564C"/>
    <w:pPr>
      <w:numPr>
        <w:numId w:val="23"/>
      </w:numPr>
      <w:spacing w:after="0" w:line="240" w:lineRule="auto"/>
      <w:ind w:right="57"/>
    </w:pPr>
    <w:rPr>
      <w:rFonts w:ascii="Franklin Gothic Book" w:hAnsi="Franklin Gothic Book" w:cs="Times New Roman"/>
      <w:color w:val="000000" w:themeColor="text1"/>
      <w:spacing w:val="-2"/>
      <w:sz w:val="14"/>
      <w:szCs w:val="20"/>
    </w:rPr>
  </w:style>
  <w:style w:type="paragraph" w:customStyle="1" w:styleId="TableBulletssmall2">
    <w:name w:val="Table Bullets (small) 2"/>
    <w:uiPriority w:val="21"/>
    <w:qFormat/>
    <w:rsid w:val="004D564C"/>
    <w:pPr>
      <w:numPr>
        <w:numId w:val="24"/>
      </w:numPr>
      <w:spacing w:after="0" w:line="240" w:lineRule="auto"/>
      <w:ind w:right="57"/>
    </w:pPr>
    <w:rPr>
      <w:rFonts w:ascii="Franklin Gothic Book" w:hAnsi="Franklin Gothic Book" w:cs="Times New Roman"/>
      <w:color w:val="000000" w:themeColor="text1"/>
      <w:spacing w:val="-2"/>
      <w:sz w:val="14"/>
      <w:szCs w:val="20"/>
    </w:rPr>
  </w:style>
  <w:style w:type="character" w:customStyle="1" w:styleId="TableTextChar">
    <w:name w:val="Table Text Char"/>
    <w:basedOn w:val="DefaultParagraphFont"/>
    <w:link w:val="TableText"/>
    <w:uiPriority w:val="99"/>
    <w:rsid w:val="004D564C"/>
    <w:rPr>
      <w:rFonts w:ascii="Franklin Gothic Book" w:hAnsi="Franklin Gothic Book" w:cs="Times New Roman"/>
      <w:color w:val="000000" w:themeColor="text1"/>
      <w:spacing w:val="-2"/>
      <w:sz w:val="20"/>
      <w:szCs w:val="20"/>
    </w:rPr>
  </w:style>
  <w:style w:type="paragraph" w:customStyle="1" w:styleId="TableHeading">
    <w:name w:val="Table Heading"/>
    <w:basedOn w:val="TableText"/>
    <w:uiPriority w:val="99"/>
    <w:rsid w:val="004D564C"/>
    <w:pPr>
      <w:keepNext/>
      <w:keepLines/>
    </w:pPr>
    <w:rPr>
      <w:rFonts w:asciiTheme="majorHAnsi" w:hAnsiTheme="majorHAnsi"/>
      <w:color w:val="auto"/>
    </w:rPr>
  </w:style>
  <w:style w:type="paragraph" w:styleId="FootnoteText">
    <w:name w:val="footnote text"/>
    <w:basedOn w:val="Normal"/>
    <w:link w:val="FootnoteTextChar"/>
    <w:uiPriority w:val="99"/>
    <w:semiHidden/>
    <w:unhideWhenUsed/>
    <w:rsid w:val="004D564C"/>
    <w:pPr>
      <w:spacing w:before="0" w:after="0"/>
    </w:pPr>
    <w:rPr>
      <w:szCs w:val="20"/>
    </w:rPr>
  </w:style>
  <w:style w:type="paragraph" w:styleId="List3">
    <w:name w:val="List 3"/>
    <w:basedOn w:val="Normal"/>
    <w:uiPriority w:val="99"/>
    <w:rsid w:val="004D564C"/>
    <w:pPr>
      <w:numPr>
        <w:numId w:val="13"/>
      </w:numPr>
      <w:tabs>
        <w:tab w:val="left" w:pos="680"/>
        <w:tab w:val="left" w:pos="737"/>
        <w:tab w:val="left" w:pos="794"/>
        <w:tab w:val="left" w:pos="851"/>
        <w:tab w:val="left" w:pos="907"/>
        <w:tab w:val="left" w:pos="1021"/>
        <w:tab w:val="left" w:pos="1077"/>
      </w:tabs>
      <w:ind w:left="1020" w:hanging="340"/>
      <w:contextualSpacing/>
    </w:pPr>
  </w:style>
  <w:style w:type="character" w:customStyle="1" w:styleId="FootnoteTextChar">
    <w:name w:val="Footnote Text Char"/>
    <w:basedOn w:val="DefaultParagraphFont"/>
    <w:link w:val="FootnoteText"/>
    <w:uiPriority w:val="99"/>
    <w:semiHidden/>
    <w:rsid w:val="004D564C"/>
    <w:rPr>
      <w:sz w:val="20"/>
      <w:szCs w:val="20"/>
    </w:rPr>
  </w:style>
  <w:style w:type="character" w:styleId="FootnoteReference">
    <w:name w:val="footnote reference"/>
    <w:basedOn w:val="DefaultParagraphFont"/>
    <w:uiPriority w:val="99"/>
    <w:semiHidden/>
    <w:unhideWhenUsed/>
    <w:rsid w:val="004D564C"/>
    <w:rPr>
      <w:vertAlign w:val="superscript"/>
    </w:rPr>
  </w:style>
  <w:style w:type="paragraph" w:customStyle="1" w:styleId="Heading3-nonumber">
    <w:name w:val="Heading 3-no number"/>
    <w:basedOn w:val="Heading3"/>
    <w:next w:val="Normal"/>
    <w:uiPriority w:val="9"/>
    <w:qFormat/>
    <w:rsid w:val="004D564C"/>
    <w:pPr>
      <w:numPr>
        <w:ilvl w:val="0"/>
        <w:numId w:val="0"/>
      </w:numPr>
    </w:pPr>
  </w:style>
  <w:style w:type="paragraph" w:styleId="TOC5">
    <w:name w:val="toc 5"/>
    <w:basedOn w:val="TOC2"/>
    <w:next w:val="Normal"/>
    <w:autoRedefine/>
    <w:uiPriority w:val="39"/>
    <w:unhideWhenUsed/>
    <w:rsid w:val="004D564C"/>
    <w:pPr>
      <w:tabs>
        <w:tab w:val="clear" w:pos="1021"/>
        <w:tab w:val="left" w:pos="1701"/>
      </w:tabs>
      <w:ind w:left="1701" w:hanging="1247"/>
    </w:pPr>
    <w:rPr>
      <w:noProof/>
    </w:rPr>
  </w:style>
  <w:style w:type="paragraph" w:styleId="TOC6">
    <w:name w:val="toc 6"/>
    <w:basedOn w:val="TOC3"/>
    <w:next w:val="Normal"/>
    <w:autoRedefine/>
    <w:uiPriority w:val="39"/>
    <w:unhideWhenUsed/>
    <w:rsid w:val="004D564C"/>
    <w:pPr>
      <w:ind w:left="2268"/>
    </w:pPr>
    <w:rPr>
      <w:noProof/>
    </w:rPr>
  </w:style>
  <w:style w:type="paragraph" w:customStyle="1" w:styleId="MissionStatementHeading">
    <w:name w:val="Mission Statement Heading"/>
    <w:uiPriority w:val="24"/>
    <w:rsid w:val="004D564C"/>
    <w:pPr>
      <w:spacing w:after="120" w:line="480" w:lineRule="exact"/>
    </w:pPr>
    <w:rPr>
      <w:rFonts w:ascii="Franklin Gothic Book" w:hAnsi="Franklin Gothic Book" w:cs="Times New Roman"/>
      <w:caps/>
      <w:color w:val="54565B" w:themeColor="text2"/>
      <w:sz w:val="32"/>
      <w:szCs w:val="20"/>
      <w:u w:val="single"/>
    </w:rPr>
  </w:style>
  <w:style w:type="paragraph" w:customStyle="1" w:styleId="MissionStatementBody">
    <w:name w:val="Mission Statement Body"/>
    <w:next w:val="Normal"/>
    <w:uiPriority w:val="24"/>
    <w:rsid w:val="004D564C"/>
    <w:pPr>
      <w:spacing w:after="600" w:line="288" w:lineRule="auto"/>
      <w:ind w:right="567"/>
      <w:contextualSpacing/>
    </w:pPr>
    <w:rPr>
      <w:rFonts w:ascii="Franklin Gothic Book" w:hAnsi="Franklin Gothic Book" w:cs="Times New Roman"/>
      <w:i/>
      <w:color w:val="54565B" w:themeColor="text2"/>
      <w:sz w:val="32"/>
      <w:szCs w:val="20"/>
    </w:rPr>
  </w:style>
  <w:style w:type="table" w:customStyle="1" w:styleId="HMA-Layouttable">
    <w:name w:val="HMA-Layout table"/>
    <w:basedOn w:val="TableNormal"/>
    <w:uiPriority w:val="99"/>
    <w:rsid w:val="004D564C"/>
    <w:pPr>
      <w:spacing w:after="0" w:line="240" w:lineRule="auto"/>
    </w:pPr>
    <w:tblPr>
      <w:tblCellMar>
        <w:top w:w="567" w:type="dxa"/>
        <w:left w:w="567" w:type="dxa"/>
        <w:bottom w:w="567" w:type="dxa"/>
        <w:right w:w="567" w:type="dxa"/>
      </w:tblCellMar>
    </w:tblPr>
    <w:tcPr>
      <w:shd w:val="clear" w:color="auto" w:fill="auto"/>
    </w:tcPr>
  </w:style>
  <w:style w:type="paragraph" w:customStyle="1" w:styleId="HeaderSectionTitle-nonumber">
    <w:name w:val="Header Section Title-no number"/>
    <w:basedOn w:val="Normal"/>
    <w:uiPriority w:val="99"/>
    <w:rsid w:val="004D564C"/>
    <w:pPr>
      <w:pBdr>
        <w:bottom w:val="single" w:sz="8" w:space="1" w:color="57C1A5" w:themeColor="background2"/>
      </w:pBdr>
      <w:spacing w:before="360" w:after="360"/>
    </w:pPr>
    <w:rPr>
      <w:rFonts w:asciiTheme="majorHAnsi" w:eastAsia="Garamond" w:hAnsiTheme="majorHAnsi" w:cs="Times New Roman"/>
      <w:caps/>
      <w:noProof/>
      <w:color w:val="000000"/>
      <w:spacing w:val="-2"/>
      <w:sz w:val="28"/>
      <w:szCs w:val="20"/>
    </w:rPr>
  </w:style>
  <w:style w:type="paragraph" w:customStyle="1" w:styleId="PARTSectionHeading">
    <w:name w:val="PART Section Heading"/>
    <w:basedOn w:val="Heading1"/>
    <w:next w:val="Normal"/>
    <w:uiPriority w:val="15"/>
    <w:qFormat/>
    <w:rsid w:val="004D564C"/>
    <w:pPr>
      <w:framePr w:wrap="around"/>
      <w:numPr>
        <w:numId w:val="19"/>
      </w:numPr>
      <w:pBdr>
        <w:bottom w:val="none" w:sz="0" w:space="0" w:color="auto"/>
      </w:pBdr>
    </w:pPr>
    <w:rPr>
      <w:color w:val="266655" w:themeColor="background2" w:themeShade="80"/>
      <w:sz w:val="100"/>
      <w:u w:val="single"/>
    </w:rPr>
  </w:style>
  <w:style w:type="numbering" w:customStyle="1" w:styleId="PartList">
    <w:name w:val="PartList"/>
    <w:uiPriority w:val="99"/>
    <w:rsid w:val="004D564C"/>
    <w:pPr>
      <w:numPr>
        <w:numId w:val="6"/>
      </w:numPr>
    </w:pPr>
  </w:style>
  <w:style w:type="paragraph" w:customStyle="1" w:styleId="SectionTitle">
    <w:name w:val="Section Title"/>
    <w:basedOn w:val="Normal"/>
    <w:next w:val="Normal"/>
    <w:uiPriority w:val="15"/>
    <w:qFormat/>
    <w:rsid w:val="004D564C"/>
    <w:pPr>
      <w:numPr>
        <w:numId w:val="21"/>
      </w:numPr>
      <w:pBdr>
        <w:top w:val="single" w:sz="8" w:space="4" w:color="DDF2EC" w:themeColor="background2" w:themeTint="33"/>
        <w:left w:val="single" w:sz="8" w:space="6" w:color="DDF2EC" w:themeColor="background2" w:themeTint="33"/>
        <w:bottom w:val="single" w:sz="8" w:space="4" w:color="DDF2EC" w:themeColor="background2" w:themeTint="33"/>
        <w:right w:val="single" w:sz="8" w:space="6" w:color="DDF2EC" w:themeColor="background2" w:themeTint="33"/>
      </w:pBdr>
      <w:shd w:val="clear" w:color="auto" w:fill="DDF2EC" w:themeFill="background2" w:themeFillTint="33"/>
      <w:spacing w:before="400" w:after="240"/>
      <w:ind w:right="170"/>
    </w:pPr>
    <w:rPr>
      <w:rFonts w:asciiTheme="majorHAnsi" w:hAnsiTheme="majorHAnsi"/>
      <w:caps/>
      <w:color w:val="266655" w:themeColor="background2" w:themeShade="80"/>
      <w:sz w:val="32"/>
    </w:rPr>
  </w:style>
  <w:style w:type="numbering" w:customStyle="1" w:styleId="SectionList">
    <w:name w:val="SectionList"/>
    <w:uiPriority w:val="99"/>
    <w:rsid w:val="004D564C"/>
    <w:pPr>
      <w:numPr>
        <w:numId w:val="7"/>
      </w:numPr>
    </w:pPr>
  </w:style>
  <w:style w:type="paragraph" w:customStyle="1" w:styleId="Heading-Appendix">
    <w:name w:val="Heading-Appendix"/>
    <w:basedOn w:val="Heading2-nonumber"/>
    <w:next w:val="Normal"/>
    <w:uiPriority w:val="11"/>
    <w:qFormat/>
    <w:rsid w:val="00E8092A"/>
    <w:pPr>
      <w:numPr>
        <w:numId w:val="10"/>
      </w:numPr>
      <w:ind w:left="1985" w:hanging="1985"/>
    </w:pPr>
  </w:style>
  <w:style w:type="numbering" w:customStyle="1" w:styleId="AppendixHeadingList">
    <w:name w:val="AppendixHeadingList"/>
    <w:uiPriority w:val="99"/>
    <w:rsid w:val="004D564C"/>
    <w:pPr>
      <w:numPr>
        <w:numId w:val="8"/>
      </w:numPr>
    </w:pPr>
  </w:style>
  <w:style w:type="paragraph" w:customStyle="1" w:styleId="TableList">
    <w:name w:val="Table List"/>
    <w:qFormat/>
    <w:rsid w:val="004D564C"/>
    <w:pPr>
      <w:numPr>
        <w:numId w:val="27"/>
      </w:numPr>
      <w:spacing w:after="0"/>
    </w:pPr>
    <w:rPr>
      <w:rFonts w:ascii="Franklin Gothic Book" w:hAnsi="Franklin Gothic Book" w:cs="Times New Roman"/>
      <w:color w:val="000000" w:themeColor="text1"/>
      <w:spacing w:val="-2"/>
      <w:sz w:val="20"/>
      <w:szCs w:val="20"/>
    </w:rPr>
  </w:style>
  <w:style w:type="paragraph" w:styleId="TOC7">
    <w:name w:val="toc 7"/>
    <w:basedOn w:val="Normal"/>
    <w:next w:val="Normal"/>
    <w:autoRedefine/>
    <w:uiPriority w:val="39"/>
    <w:unhideWhenUsed/>
    <w:rsid w:val="004D564C"/>
    <w:pPr>
      <w:keepNext/>
      <w:keepLines/>
      <w:tabs>
        <w:tab w:val="left" w:pos="1134"/>
        <w:tab w:val="right" w:pos="7144"/>
      </w:tabs>
      <w:spacing w:before="400" w:after="240"/>
    </w:pPr>
    <w:rPr>
      <w:color w:val="266655" w:themeColor="background2" w:themeShade="80"/>
      <w:sz w:val="28"/>
    </w:rPr>
  </w:style>
  <w:style w:type="paragraph" w:customStyle="1" w:styleId="Findings">
    <w:name w:val="Findings"/>
    <w:basedOn w:val="SectionTitle"/>
    <w:next w:val="Normal"/>
    <w:uiPriority w:val="99"/>
    <w:rsid w:val="004D564C"/>
    <w:pPr>
      <w:numPr>
        <w:numId w:val="9"/>
      </w:numPr>
      <w:tabs>
        <w:tab w:val="left" w:pos="454"/>
      </w:tabs>
      <w:spacing w:before="120" w:after="120"/>
      <w:ind w:right="0"/>
    </w:pPr>
    <w:rPr>
      <w:rFonts w:ascii="Franklin Gothic Book" w:hAnsi="Franklin Gothic Book"/>
      <w:caps w:val="0"/>
      <w:color w:val="auto"/>
      <w:sz w:val="22"/>
    </w:rPr>
  </w:style>
  <w:style w:type="paragraph" w:customStyle="1" w:styleId="Recommendations">
    <w:name w:val="Recommendations"/>
    <w:basedOn w:val="Findings"/>
    <w:next w:val="Normal"/>
    <w:uiPriority w:val="29"/>
    <w:rsid w:val="004D564C"/>
    <w:pPr>
      <w:numPr>
        <w:numId w:val="20"/>
      </w:numPr>
      <w:pBdr>
        <w:top w:val="single" w:sz="8" w:space="4" w:color="FFF8CB" w:themeColor="accent1" w:themeTint="33"/>
        <w:left w:val="single" w:sz="8" w:space="6" w:color="FFF8CB" w:themeColor="accent1" w:themeTint="33"/>
        <w:bottom w:val="single" w:sz="8" w:space="4" w:color="FFF8CB" w:themeColor="accent1" w:themeTint="33"/>
        <w:right w:val="single" w:sz="8" w:space="6" w:color="FFF8CB" w:themeColor="accent1" w:themeTint="33"/>
      </w:pBdr>
      <w:shd w:val="clear" w:color="auto" w:fill="FFF8CB" w:themeFill="accent1" w:themeFillTint="33"/>
    </w:pPr>
  </w:style>
  <w:style w:type="paragraph" w:customStyle="1" w:styleId="Tablenotes">
    <w:name w:val="Table notes"/>
    <w:basedOn w:val="Normal"/>
    <w:next w:val="Normal"/>
    <w:uiPriority w:val="99"/>
    <w:qFormat/>
    <w:rsid w:val="004D564C"/>
    <w:rPr>
      <w:sz w:val="14"/>
      <w:szCs w:val="16"/>
    </w:rPr>
  </w:style>
  <w:style w:type="paragraph" w:styleId="BodyText">
    <w:name w:val="Body Text"/>
    <w:basedOn w:val="Normal"/>
    <w:link w:val="BodyTextChar"/>
    <w:uiPriority w:val="99"/>
    <w:semiHidden/>
    <w:unhideWhenUsed/>
    <w:rsid w:val="004D564C"/>
  </w:style>
  <w:style w:type="character" w:customStyle="1" w:styleId="BodyTextChar">
    <w:name w:val="Body Text Char"/>
    <w:basedOn w:val="DefaultParagraphFont"/>
    <w:link w:val="BodyText"/>
    <w:uiPriority w:val="99"/>
    <w:semiHidden/>
    <w:rsid w:val="004D564C"/>
    <w:rPr>
      <w:sz w:val="20"/>
    </w:rPr>
  </w:style>
  <w:style w:type="numbering" w:customStyle="1" w:styleId="TableBullets">
    <w:name w:val="Table Bullets"/>
    <w:basedOn w:val="NoList"/>
    <w:uiPriority w:val="99"/>
    <w:rsid w:val="004D564C"/>
    <w:pPr>
      <w:numPr>
        <w:numId w:val="22"/>
      </w:numPr>
    </w:pPr>
  </w:style>
  <w:style w:type="character" w:styleId="UnresolvedMention">
    <w:name w:val="Unresolved Mention"/>
    <w:basedOn w:val="DefaultParagraphFont"/>
    <w:uiPriority w:val="99"/>
    <w:unhideWhenUsed/>
    <w:rsid w:val="004D564C"/>
    <w:rPr>
      <w:color w:val="605E5C"/>
      <w:shd w:val="clear" w:color="auto" w:fill="E1DFDD"/>
    </w:rPr>
  </w:style>
  <w:style w:type="paragraph" w:styleId="NormalWeb">
    <w:name w:val="Normal (Web)"/>
    <w:basedOn w:val="Normal"/>
    <w:uiPriority w:val="99"/>
    <w:semiHidden/>
    <w:unhideWhenUsed/>
    <w:rsid w:val="008279B6"/>
    <w:rPr>
      <w:rFonts w:ascii="Times New Roman" w:hAnsi="Times New Roman" w:cs="Times New Roman"/>
      <w:sz w:val="24"/>
      <w:szCs w:val="24"/>
    </w:rPr>
  </w:style>
  <w:style w:type="paragraph" w:styleId="Revision">
    <w:name w:val="Revision"/>
    <w:hidden/>
    <w:uiPriority w:val="99"/>
    <w:semiHidden/>
    <w:rsid w:val="004314FA"/>
    <w:pPr>
      <w:spacing w:after="0" w:line="240" w:lineRule="auto"/>
    </w:pPr>
    <w:rPr>
      <w:sz w:val="20"/>
    </w:rPr>
  </w:style>
  <w:style w:type="paragraph" w:styleId="CommentText">
    <w:name w:val="annotation text"/>
    <w:basedOn w:val="Normal"/>
    <w:link w:val="CommentTextChar"/>
    <w:uiPriority w:val="99"/>
    <w:unhideWhenUsed/>
    <w:rsid w:val="004314FA"/>
    <w:rPr>
      <w:szCs w:val="20"/>
    </w:rPr>
  </w:style>
  <w:style w:type="character" w:customStyle="1" w:styleId="CommentTextChar">
    <w:name w:val="Comment Text Char"/>
    <w:basedOn w:val="DefaultParagraphFont"/>
    <w:link w:val="CommentText"/>
    <w:uiPriority w:val="99"/>
    <w:rsid w:val="004314FA"/>
    <w:rPr>
      <w:sz w:val="20"/>
      <w:szCs w:val="20"/>
    </w:rPr>
  </w:style>
  <w:style w:type="paragraph" w:styleId="CommentSubject">
    <w:name w:val="annotation subject"/>
    <w:basedOn w:val="CommentText"/>
    <w:next w:val="CommentText"/>
    <w:link w:val="CommentSubjectChar"/>
    <w:uiPriority w:val="99"/>
    <w:semiHidden/>
    <w:unhideWhenUsed/>
    <w:rsid w:val="004314FA"/>
    <w:rPr>
      <w:b/>
      <w:bCs/>
    </w:rPr>
  </w:style>
  <w:style w:type="character" w:customStyle="1" w:styleId="CommentSubjectChar">
    <w:name w:val="Comment Subject Char"/>
    <w:basedOn w:val="CommentTextChar"/>
    <w:link w:val="CommentSubject"/>
    <w:uiPriority w:val="99"/>
    <w:semiHidden/>
    <w:rsid w:val="004314FA"/>
    <w:rPr>
      <w:b/>
      <w:bCs/>
      <w:sz w:val="20"/>
      <w:szCs w:val="20"/>
    </w:rPr>
  </w:style>
  <w:style w:type="character" w:customStyle="1" w:styleId="math-inline">
    <w:name w:val="math-inline"/>
    <w:basedOn w:val="DefaultParagraphFont"/>
    <w:rsid w:val="004314FA"/>
  </w:style>
  <w:style w:type="paragraph" w:styleId="TOC8">
    <w:name w:val="toc 8"/>
    <w:basedOn w:val="Normal"/>
    <w:next w:val="Normal"/>
    <w:autoRedefine/>
    <w:uiPriority w:val="39"/>
    <w:unhideWhenUsed/>
    <w:rsid w:val="004314FA"/>
    <w:pPr>
      <w:spacing w:before="0" w:after="100" w:line="278" w:lineRule="auto"/>
      <w:ind w:left="1680"/>
    </w:pPr>
    <w:rPr>
      <w:rFonts w:eastAsiaTheme="minorEastAsia"/>
      <w:kern w:val="2"/>
      <w:sz w:val="24"/>
      <w:szCs w:val="24"/>
      <w:lang w:eastAsia="en-AU"/>
      <w14:ligatures w14:val="standardContextual"/>
    </w:rPr>
  </w:style>
  <w:style w:type="paragraph" w:styleId="TOC9">
    <w:name w:val="toc 9"/>
    <w:basedOn w:val="Normal"/>
    <w:next w:val="Normal"/>
    <w:autoRedefine/>
    <w:uiPriority w:val="39"/>
    <w:unhideWhenUsed/>
    <w:rsid w:val="004314FA"/>
    <w:pPr>
      <w:spacing w:before="0" w:after="100" w:line="278" w:lineRule="auto"/>
      <w:ind w:left="1920"/>
    </w:pPr>
    <w:rPr>
      <w:rFonts w:eastAsiaTheme="minorEastAsia"/>
      <w:kern w:val="2"/>
      <w:sz w:val="24"/>
      <w:szCs w:val="24"/>
      <w:lang w:eastAsia="en-AU"/>
      <w14:ligatures w14:val="standardContextual"/>
    </w:rPr>
  </w:style>
  <w:style w:type="paragraph" w:customStyle="1" w:styleId="Default">
    <w:name w:val="Default"/>
    <w:rsid w:val="00BE2C62"/>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AB723C"/>
    <w:pPr>
      <w:spacing w:after="0" w:line="240" w:lineRule="auto"/>
    </w:pPr>
    <w:rPr>
      <w:rFonts w:ascii="Aptos" w:eastAsia="Aptos" w:hAnsi="Aptos"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D22A7"/>
    <w:rPr>
      <w:b/>
      <w:bCs/>
    </w:rPr>
  </w:style>
  <w:style w:type="character" w:styleId="Mention">
    <w:name w:val="Mention"/>
    <w:basedOn w:val="DefaultParagraphFont"/>
    <w:uiPriority w:val="99"/>
    <w:unhideWhenUsed/>
    <w:rsid w:val="00DE411A"/>
    <w:rPr>
      <w:color w:val="2B579A"/>
      <w:shd w:val="clear" w:color="auto" w:fill="E1DFDD"/>
    </w:rPr>
  </w:style>
  <w:style w:type="paragraph" w:styleId="Bibliography">
    <w:name w:val="Bibliography"/>
    <w:basedOn w:val="Normal"/>
    <w:next w:val="Normal"/>
    <w:uiPriority w:val="37"/>
    <w:unhideWhenUsed/>
    <w:rsid w:val="003B0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3545">
      <w:bodyDiv w:val="1"/>
      <w:marLeft w:val="0"/>
      <w:marRight w:val="0"/>
      <w:marTop w:val="0"/>
      <w:marBottom w:val="0"/>
      <w:divBdr>
        <w:top w:val="none" w:sz="0" w:space="0" w:color="auto"/>
        <w:left w:val="none" w:sz="0" w:space="0" w:color="auto"/>
        <w:bottom w:val="none" w:sz="0" w:space="0" w:color="auto"/>
        <w:right w:val="none" w:sz="0" w:space="0" w:color="auto"/>
      </w:divBdr>
    </w:div>
    <w:div w:id="12071755">
      <w:bodyDiv w:val="1"/>
      <w:marLeft w:val="0"/>
      <w:marRight w:val="0"/>
      <w:marTop w:val="0"/>
      <w:marBottom w:val="0"/>
      <w:divBdr>
        <w:top w:val="none" w:sz="0" w:space="0" w:color="auto"/>
        <w:left w:val="none" w:sz="0" w:space="0" w:color="auto"/>
        <w:bottom w:val="none" w:sz="0" w:space="0" w:color="auto"/>
        <w:right w:val="none" w:sz="0" w:space="0" w:color="auto"/>
      </w:divBdr>
    </w:div>
    <w:div w:id="12190768">
      <w:bodyDiv w:val="1"/>
      <w:marLeft w:val="0"/>
      <w:marRight w:val="0"/>
      <w:marTop w:val="0"/>
      <w:marBottom w:val="0"/>
      <w:divBdr>
        <w:top w:val="none" w:sz="0" w:space="0" w:color="auto"/>
        <w:left w:val="none" w:sz="0" w:space="0" w:color="auto"/>
        <w:bottom w:val="none" w:sz="0" w:space="0" w:color="auto"/>
        <w:right w:val="none" w:sz="0" w:space="0" w:color="auto"/>
      </w:divBdr>
    </w:div>
    <w:div w:id="13117081">
      <w:bodyDiv w:val="1"/>
      <w:marLeft w:val="0"/>
      <w:marRight w:val="0"/>
      <w:marTop w:val="0"/>
      <w:marBottom w:val="0"/>
      <w:divBdr>
        <w:top w:val="none" w:sz="0" w:space="0" w:color="auto"/>
        <w:left w:val="none" w:sz="0" w:space="0" w:color="auto"/>
        <w:bottom w:val="none" w:sz="0" w:space="0" w:color="auto"/>
        <w:right w:val="none" w:sz="0" w:space="0" w:color="auto"/>
      </w:divBdr>
    </w:div>
    <w:div w:id="14382685">
      <w:bodyDiv w:val="1"/>
      <w:marLeft w:val="0"/>
      <w:marRight w:val="0"/>
      <w:marTop w:val="0"/>
      <w:marBottom w:val="0"/>
      <w:divBdr>
        <w:top w:val="none" w:sz="0" w:space="0" w:color="auto"/>
        <w:left w:val="none" w:sz="0" w:space="0" w:color="auto"/>
        <w:bottom w:val="none" w:sz="0" w:space="0" w:color="auto"/>
        <w:right w:val="none" w:sz="0" w:space="0" w:color="auto"/>
      </w:divBdr>
    </w:div>
    <w:div w:id="16084047">
      <w:bodyDiv w:val="1"/>
      <w:marLeft w:val="0"/>
      <w:marRight w:val="0"/>
      <w:marTop w:val="0"/>
      <w:marBottom w:val="0"/>
      <w:divBdr>
        <w:top w:val="none" w:sz="0" w:space="0" w:color="auto"/>
        <w:left w:val="none" w:sz="0" w:space="0" w:color="auto"/>
        <w:bottom w:val="none" w:sz="0" w:space="0" w:color="auto"/>
        <w:right w:val="none" w:sz="0" w:space="0" w:color="auto"/>
      </w:divBdr>
    </w:div>
    <w:div w:id="16348097">
      <w:bodyDiv w:val="1"/>
      <w:marLeft w:val="0"/>
      <w:marRight w:val="0"/>
      <w:marTop w:val="0"/>
      <w:marBottom w:val="0"/>
      <w:divBdr>
        <w:top w:val="none" w:sz="0" w:space="0" w:color="auto"/>
        <w:left w:val="none" w:sz="0" w:space="0" w:color="auto"/>
        <w:bottom w:val="none" w:sz="0" w:space="0" w:color="auto"/>
        <w:right w:val="none" w:sz="0" w:space="0" w:color="auto"/>
      </w:divBdr>
    </w:div>
    <w:div w:id="17703826">
      <w:bodyDiv w:val="1"/>
      <w:marLeft w:val="0"/>
      <w:marRight w:val="0"/>
      <w:marTop w:val="0"/>
      <w:marBottom w:val="0"/>
      <w:divBdr>
        <w:top w:val="none" w:sz="0" w:space="0" w:color="auto"/>
        <w:left w:val="none" w:sz="0" w:space="0" w:color="auto"/>
        <w:bottom w:val="none" w:sz="0" w:space="0" w:color="auto"/>
        <w:right w:val="none" w:sz="0" w:space="0" w:color="auto"/>
      </w:divBdr>
    </w:div>
    <w:div w:id="21830872">
      <w:bodyDiv w:val="1"/>
      <w:marLeft w:val="0"/>
      <w:marRight w:val="0"/>
      <w:marTop w:val="0"/>
      <w:marBottom w:val="0"/>
      <w:divBdr>
        <w:top w:val="none" w:sz="0" w:space="0" w:color="auto"/>
        <w:left w:val="none" w:sz="0" w:space="0" w:color="auto"/>
        <w:bottom w:val="none" w:sz="0" w:space="0" w:color="auto"/>
        <w:right w:val="none" w:sz="0" w:space="0" w:color="auto"/>
      </w:divBdr>
    </w:div>
    <w:div w:id="26490719">
      <w:bodyDiv w:val="1"/>
      <w:marLeft w:val="0"/>
      <w:marRight w:val="0"/>
      <w:marTop w:val="0"/>
      <w:marBottom w:val="0"/>
      <w:divBdr>
        <w:top w:val="none" w:sz="0" w:space="0" w:color="auto"/>
        <w:left w:val="none" w:sz="0" w:space="0" w:color="auto"/>
        <w:bottom w:val="none" w:sz="0" w:space="0" w:color="auto"/>
        <w:right w:val="none" w:sz="0" w:space="0" w:color="auto"/>
      </w:divBdr>
    </w:div>
    <w:div w:id="26873133">
      <w:bodyDiv w:val="1"/>
      <w:marLeft w:val="0"/>
      <w:marRight w:val="0"/>
      <w:marTop w:val="0"/>
      <w:marBottom w:val="0"/>
      <w:divBdr>
        <w:top w:val="none" w:sz="0" w:space="0" w:color="auto"/>
        <w:left w:val="none" w:sz="0" w:space="0" w:color="auto"/>
        <w:bottom w:val="none" w:sz="0" w:space="0" w:color="auto"/>
        <w:right w:val="none" w:sz="0" w:space="0" w:color="auto"/>
      </w:divBdr>
    </w:div>
    <w:div w:id="28341369">
      <w:bodyDiv w:val="1"/>
      <w:marLeft w:val="0"/>
      <w:marRight w:val="0"/>
      <w:marTop w:val="0"/>
      <w:marBottom w:val="0"/>
      <w:divBdr>
        <w:top w:val="none" w:sz="0" w:space="0" w:color="auto"/>
        <w:left w:val="none" w:sz="0" w:space="0" w:color="auto"/>
        <w:bottom w:val="none" w:sz="0" w:space="0" w:color="auto"/>
        <w:right w:val="none" w:sz="0" w:space="0" w:color="auto"/>
      </w:divBdr>
    </w:div>
    <w:div w:id="29572137">
      <w:bodyDiv w:val="1"/>
      <w:marLeft w:val="0"/>
      <w:marRight w:val="0"/>
      <w:marTop w:val="0"/>
      <w:marBottom w:val="0"/>
      <w:divBdr>
        <w:top w:val="none" w:sz="0" w:space="0" w:color="auto"/>
        <w:left w:val="none" w:sz="0" w:space="0" w:color="auto"/>
        <w:bottom w:val="none" w:sz="0" w:space="0" w:color="auto"/>
        <w:right w:val="none" w:sz="0" w:space="0" w:color="auto"/>
      </w:divBdr>
    </w:div>
    <w:div w:id="30229605">
      <w:bodyDiv w:val="1"/>
      <w:marLeft w:val="0"/>
      <w:marRight w:val="0"/>
      <w:marTop w:val="0"/>
      <w:marBottom w:val="0"/>
      <w:divBdr>
        <w:top w:val="none" w:sz="0" w:space="0" w:color="auto"/>
        <w:left w:val="none" w:sz="0" w:space="0" w:color="auto"/>
        <w:bottom w:val="none" w:sz="0" w:space="0" w:color="auto"/>
        <w:right w:val="none" w:sz="0" w:space="0" w:color="auto"/>
      </w:divBdr>
    </w:div>
    <w:div w:id="31273091">
      <w:bodyDiv w:val="1"/>
      <w:marLeft w:val="0"/>
      <w:marRight w:val="0"/>
      <w:marTop w:val="0"/>
      <w:marBottom w:val="0"/>
      <w:divBdr>
        <w:top w:val="none" w:sz="0" w:space="0" w:color="auto"/>
        <w:left w:val="none" w:sz="0" w:space="0" w:color="auto"/>
        <w:bottom w:val="none" w:sz="0" w:space="0" w:color="auto"/>
        <w:right w:val="none" w:sz="0" w:space="0" w:color="auto"/>
      </w:divBdr>
    </w:div>
    <w:div w:id="34280639">
      <w:bodyDiv w:val="1"/>
      <w:marLeft w:val="0"/>
      <w:marRight w:val="0"/>
      <w:marTop w:val="0"/>
      <w:marBottom w:val="0"/>
      <w:divBdr>
        <w:top w:val="none" w:sz="0" w:space="0" w:color="auto"/>
        <w:left w:val="none" w:sz="0" w:space="0" w:color="auto"/>
        <w:bottom w:val="none" w:sz="0" w:space="0" w:color="auto"/>
        <w:right w:val="none" w:sz="0" w:space="0" w:color="auto"/>
      </w:divBdr>
    </w:div>
    <w:div w:id="36206609">
      <w:bodyDiv w:val="1"/>
      <w:marLeft w:val="0"/>
      <w:marRight w:val="0"/>
      <w:marTop w:val="0"/>
      <w:marBottom w:val="0"/>
      <w:divBdr>
        <w:top w:val="none" w:sz="0" w:space="0" w:color="auto"/>
        <w:left w:val="none" w:sz="0" w:space="0" w:color="auto"/>
        <w:bottom w:val="none" w:sz="0" w:space="0" w:color="auto"/>
        <w:right w:val="none" w:sz="0" w:space="0" w:color="auto"/>
      </w:divBdr>
    </w:div>
    <w:div w:id="37510583">
      <w:bodyDiv w:val="1"/>
      <w:marLeft w:val="0"/>
      <w:marRight w:val="0"/>
      <w:marTop w:val="0"/>
      <w:marBottom w:val="0"/>
      <w:divBdr>
        <w:top w:val="none" w:sz="0" w:space="0" w:color="auto"/>
        <w:left w:val="none" w:sz="0" w:space="0" w:color="auto"/>
        <w:bottom w:val="none" w:sz="0" w:space="0" w:color="auto"/>
        <w:right w:val="none" w:sz="0" w:space="0" w:color="auto"/>
      </w:divBdr>
    </w:div>
    <w:div w:id="41711801">
      <w:bodyDiv w:val="1"/>
      <w:marLeft w:val="0"/>
      <w:marRight w:val="0"/>
      <w:marTop w:val="0"/>
      <w:marBottom w:val="0"/>
      <w:divBdr>
        <w:top w:val="none" w:sz="0" w:space="0" w:color="auto"/>
        <w:left w:val="none" w:sz="0" w:space="0" w:color="auto"/>
        <w:bottom w:val="none" w:sz="0" w:space="0" w:color="auto"/>
        <w:right w:val="none" w:sz="0" w:space="0" w:color="auto"/>
      </w:divBdr>
    </w:div>
    <w:div w:id="42100824">
      <w:bodyDiv w:val="1"/>
      <w:marLeft w:val="0"/>
      <w:marRight w:val="0"/>
      <w:marTop w:val="0"/>
      <w:marBottom w:val="0"/>
      <w:divBdr>
        <w:top w:val="none" w:sz="0" w:space="0" w:color="auto"/>
        <w:left w:val="none" w:sz="0" w:space="0" w:color="auto"/>
        <w:bottom w:val="none" w:sz="0" w:space="0" w:color="auto"/>
        <w:right w:val="none" w:sz="0" w:space="0" w:color="auto"/>
      </w:divBdr>
    </w:div>
    <w:div w:id="43794894">
      <w:bodyDiv w:val="1"/>
      <w:marLeft w:val="0"/>
      <w:marRight w:val="0"/>
      <w:marTop w:val="0"/>
      <w:marBottom w:val="0"/>
      <w:divBdr>
        <w:top w:val="none" w:sz="0" w:space="0" w:color="auto"/>
        <w:left w:val="none" w:sz="0" w:space="0" w:color="auto"/>
        <w:bottom w:val="none" w:sz="0" w:space="0" w:color="auto"/>
        <w:right w:val="none" w:sz="0" w:space="0" w:color="auto"/>
      </w:divBdr>
    </w:div>
    <w:div w:id="47917592">
      <w:bodyDiv w:val="1"/>
      <w:marLeft w:val="0"/>
      <w:marRight w:val="0"/>
      <w:marTop w:val="0"/>
      <w:marBottom w:val="0"/>
      <w:divBdr>
        <w:top w:val="none" w:sz="0" w:space="0" w:color="auto"/>
        <w:left w:val="none" w:sz="0" w:space="0" w:color="auto"/>
        <w:bottom w:val="none" w:sz="0" w:space="0" w:color="auto"/>
        <w:right w:val="none" w:sz="0" w:space="0" w:color="auto"/>
      </w:divBdr>
    </w:div>
    <w:div w:id="48961776">
      <w:bodyDiv w:val="1"/>
      <w:marLeft w:val="0"/>
      <w:marRight w:val="0"/>
      <w:marTop w:val="0"/>
      <w:marBottom w:val="0"/>
      <w:divBdr>
        <w:top w:val="none" w:sz="0" w:space="0" w:color="auto"/>
        <w:left w:val="none" w:sz="0" w:space="0" w:color="auto"/>
        <w:bottom w:val="none" w:sz="0" w:space="0" w:color="auto"/>
        <w:right w:val="none" w:sz="0" w:space="0" w:color="auto"/>
      </w:divBdr>
    </w:div>
    <w:div w:id="53817977">
      <w:bodyDiv w:val="1"/>
      <w:marLeft w:val="0"/>
      <w:marRight w:val="0"/>
      <w:marTop w:val="0"/>
      <w:marBottom w:val="0"/>
      <w:divBdr>
        <w:top w:val="none" w:sz="0" w:space="0" w:color="auto"/>
        <w:left w:val="none" w:sz="0" w:space="0" w:color="auto"/>
        <w:bottom w:val="none" w:sz="0" w:space="0" w:color="auto"/>
        <w:right w:val="none" w:sz="0" w:space="0" w:color="auto"/>
      </w:divBdr>
    </w:div>
    <w:div w:id="55594132">
      <w:bodyDiv w:val="1"/>
      <w:marLeft w:val="0"/>
      <w:marRight w:val="0"/>
      <w:marTop w:val="0"/>
      <w:marBottom w:val="0"/>
      <w:divBdr>
        <w:top w:val="none" w:sz="0" w:space="0" w:color="auto"/>
        <w:left w:val="none" w:sz="0" w:space="0" w:color="auto"/>
        <w:bottom w:val="none" w:sz="0" w:space="0" w:color="auto"/>
        <w:right w:val="none" w:sz="0" w:space="0" w:color="auto"/>
      </w:divBdr>
    </w:div>
    <w:div w:id="56440713">
      <w:bodyDiv w:val="1"/>
      <w:marLeft w:val="0"/>
      <w:marRight w:val="0"/>
      <w:marTop w:val="0"/>
      <w:marBottom w:val="0"/>
      <w:divBdr>
        <w:top w:val="none" w:sz="0" w:space="0" w:color="auto"/>
        <w:left w:val="none" w:sz="0" w:space="0" w:color="auto"/>
        <w:bottom w:val="none" w:sz="0" w:space="0" w:color="auto"/>
        <w:right w:val="none" w:sz="0" w:space="0" w:color="auto"/>
      </w:divBdr>
    </w:div>
    <w:div w:id="58288182">
      <w:bodyDiv w:val="1"/>
      <w:marLeft w:val="0"/>
      <w:marRight w:val="0"/>
      <w:marTop w:val="0"/>
      <w:marBottom w:val="0"/>
      <w:divBdr>
        <w:top w:val="none" w:sz="0" w:space="0" w:color="auto"/>
        <w:left w:val="none" w:sz="0" w:space="0" w:color="auto"/>
        <w:bottom w:val="none" w:sz="0" w:space="0" w:color="auto"/>
        <w:right w:val="none" w:sz="0" w:space="0" w:color="auto"/>
      </w:divBdr>
    </w:div>
    <w:div w:id="58478914">
      <w:bodyDiv w:val="1"/>
      <w:marLeft w:val="0"/>
      <w:marRight w:val="0"/>
      <w:marTop w:val="0"/>
      <w:marBottom w:val="0"/>
      <w:divBdr>
        <w:top w:val="none" w:sz="0" w:space="0" w:color="auto"/>
        <w:left w:val="none" w:sz="0" w:space="0" w:color="auto"/>
        <w:bottom w:val="none" w:sz="0" w:space="0" w:color="auto"/>
        <w:right w:val="none" w:sz="0" w:space="0" w:color="auto"/>
      </w:divBdr>
    </w:div>
    <w:div w:id="65761004">
      <w:bodyDiv w:val="1"/>
      <w:marLeft w:val="0"/>
      <w:marRight w:val="0"/>
      <w:marTop w:val="0"/>
      <w:marBottom w:val="0"/>
      <w:divBdr>
        <w:top w:val="none" w:sz="0" w:space="0" w:color="auto"/>
        <w:left w:val="none" w:sz="0" w:space="0" w:color="auto"/>
        <w:bottom w:val="none" w:sz="0" w:space="0" w:color="auto"/>
        <w:right w:val="none" w:sz="0" w:space="0" w:color="auto"/>
      </w:divBdr>
    </w:div>
    <w:div w:id="65806667">
      <w:bodyDiv w:val="1"/>
      <w:marLeft w:val="0"/>
      <w:marRight w:val="0"/>
      <w:marTop w:val="0"/>
      <w:marBottom w:val="0"/>
      <w:divBdr>
        <w:top w:val="none" w:sz="0" w:space="0" w:color="auto"/>
        <w:left w:val="none" w:sz="0" w:space="0" w:color="auto"/>
        <w:bottom w:val="none" w:sz="0" w:space="0" w:color="auto"/>
        <w:right w:val="none" w:sz="0" w:space="0" w:color="auto"/>
      </w:divBdr>
    </w:div>
    <w:div w:id="68045835">
      <w:bodyDiv w:val="1"/>
      <w:marLeft w:val="0"/>
      <w:marRight w:val="0"/>
      <w:marTop w:val="0"/>
      <w:marBottom w:val="0"/>
      <w:divBdr>
        <w:top w:val="none" w:sz="0" w:space="0" w:color="auto"/>
        <w:left w:val="none" w:sz="0" w:space="0" w:color="auto"/>
        <w:bottom w:val="none" w:sz="0" w:space="0" w:color="auto"/>
        <w:right w:val="none" w:sz="0" w:space="0" w:color="auto"/>
      </w:divBdr>
    </w:div>
    <w:div w:id="70010148">
      <w:bodyDiv w:val="1"/>
      <w:marLeft w:val="0"/>
      <w:marRight w:val="0"/>
      <w:marTop w:val="0"/>
      <w:marBottom w:val="0"/>
      <w:divBdr>
        <w:top w:val="none" w:sz="0" w:space="0" w:color="auto"/>
        <w:left w:val="none" w:sz="0" w:space="0" w:color="auto"/>
        <w:bottom w:val="none" w:sz="0" w:space="0" w:color="auto"/>
        <w:right w:val="none" w:sz="0" w:space="0" w:color="auto"/>
      </w:divBdr>
    </w:div>
    <w:div w:id="73430751">
      <w:bodyDiv w:val="1"/>
      <w:marLeft w:val="0"/>
      <w:marRight w:val="0"/>
      <w:marTop w:val="0"/>
      <w:marBottom w:val="0"/>
      <w:divBdr>
        <w:top w:val="none" w:sz="0" w:space="0" w:color="auto"/>
        <w:left w:val="none" w:sz="0" w:space="0" w:color="auto"/>
        <w:bottom w:val="none" w:sz="0" w:space="0" w:color="auto"/>
        <w:right w:val="none" w:sz="0" w:space="0" w:color="auto"/>
      </w:divBdr>
    </w:div>
    <w:div w:id="77100857">
      <w:bodyDiv w:val="1"/>
      <w:marLeft w:val="0"/>
      <w:marRight w:val="0"/>
      <w:marTop w:val="0"/>
      <w:marBottom w:val="0"/>
      <w:divBdr>
        <w:top w:val="none" w:sz="0" w:space="0" w:color="auto"/>
        <w:left w:val="none" w:sz="0" w:space="0" w:color="auto"/>
        <w:bottom w:val="none" w:sz="0" w:space="0" w:color="auto"/>
        <w:right w:val="none" w:sz="0" w:space="0" w:color="auto"/>
      </w:divBdr>
    </w:div>
    <w:div w:id="77943484">
      <w:bodyDiv w:val="1"/>
      <w:marLeft w:val="0"/>
      <w:marRight w:val="0"/>
      <w:marTop w:val="0"/>
      <w:marBottom w:val="0"/>
      <w:divBdr>
        <w:top w:val="none" w:sz="0" w:space="0" w:color="auto"/>
        <w:left w:val="none" w:sz="0" w:space="0" w:color="auto"/>
        <w:bottom w:val="none" w:sz="0" w:space="0" w:color="auto"/>
        <w:right w:val="none" w:sz="0" w:space="0" w:color="auto"/>
      </w:divBdr>
    </w:div>
    <w:div w:id="81293463">
      <w:bodyDiv w:val="1"/>
      <w:marLeft w:val="0"/>
      <w:marRight w:val="0"/>
      <w:marTop w:val="0"/>
      <w:marBottom w:val="0"/>
      <w:divBdr>
        <w:top w:val="none" w:sz="0" w:space="0" w:color="auto"/>
        <w:left w:val="none" w:sz="0" w:space="0" w:color="auto"/>
        <w:bottom w:val="none" w:sz="0" w:space="0" w:color="auto"/>
        <w:right w:val="none" w:sz="0" w:space="0" w:color="auto"/>
      </w:divBdr>
    </w:div>
    <w:div w:id="91979746">
      <w:bodyDiv w:val="1"/>
      <w:marLeft w:val="0"/>
      <w:marRight w:val="0"/>
      <w:marTop w:val="0"/>
      <w:marBottom w:val="0"/>
      <w:divBdr>
        <w:top w:val="none" w:sz="0" w:space="0" w:color="auto"/>
        <w:left w:val="none" w:sz="0" w:space="0" w:color="auto"/>
        <w:bottom w:val="none" w:sz="0" w:space="0" w:color="auto"/>
        <w:right w:val="none" w:sz="0" w:space="0" w:color="auto"/>
      </w:divBdr>
    </w:div>
    <w:div w:id="92241085">
      <w:bodyDiv w:val="1"/>
      <w:marLeft w:val="0"/>
      <w:marRight w:val="0"/>
      <w:marTop w:val="0"/>
      <w:marBottom w:val="0"/>
      <w:divBdr>
        <w:top w:val="none" w:sz="0" w:space="0" w:color="auto"/>
        <w:left w:val="none" w:sz="0" w:space="0" w:color="auto"/>
        <w:bottom w:val="none" w:sz="0" w:space="0" w:color="auto"/>
        <w:right w:val="none" w:sz="0" w:space="0" w:color="auto"/>
      </w:divBdr>
    </w:div>
    <w:div w:id="95254715">
      <w:bodyDiv w:val="1"/>
      <w:marLeft w:val="0"/>
      <w:marRight w:val="0"/>
      <w:marTop w:val="0"/>
      <w:marBottom w:val="0"/>
      <w:divBdr>
        <w:top w:val="none" w:sz="0" w:space="0" w:color="auto"/>
        <w:left w:val="none" w:sz="0" w:space="0" w:color="auto"/>
        <w:bottom w:val="none" w:sz="0" w:space="0" w:color="auto"/>
        <w:right w:val="none" w:sz="0" w:space="0" w:color="auto"/>
      </w:divBdr>
    </w:div>
    <w:div w:id="101539383">
      <w:bodyDiv w:val="1"/>
      <w:marLeft w:val="0"/>
      <w:marRight w:val="0"/>
      <w:marTop w:val="0"/>
      <w:marBottom w:val="0"/>
      <w:divBdr>
        <w:top w:val="none" w:sz="0" w:space="0" w:color="auto"/>
        <w:left w:val="none" w:sz="0" w:space="0" w:color="auto"/>
        <w:bottom w:val="none" w:sz="0" w:space="0" w:color="auto"/>
        <w:right w:val="none" w:sz="0" w:space="0" w:color="auto"/>
      </w:divBdr>
    </w:div>
    <w:div w:id="106390535">
      <w:bodyDiv w:val="1"/>
      <w:marLeft w:val="0"/>
      <w:marRight w:val="0"/>
      <w:marTop w:val="0"/>
      <w:marBottom w:val="0"/>
      <w:divBdr>
        <w:top w:val="none" w:sz="0" w:space="0" w:color="auto"/>
        <w:left w:val="none" w:sz="0" w:space="0" w:color="auto"/>
        <w:bottom w:val="none" w:sz="0" w:space="0" w:color="auto"/>
        <w:right w:val="none" w:sz="0" w:space="0" w:color="auto"/>
      </w:divBdr>
    </w:div>
    <w:div w:id="109739104">
      <w:bodyDiv w:val="1"/>
      <w:marLeft w:val="0"/>
      <w:marRight w:val="0"/>
      <w:marTop w:val="0"/>
      <w:marBottom w:val="0"/>
      <w:divBdr>
        <w:top w:val="none" w:sz="0" w:space="0" w:color="auto"/>
        <w:left w:val="none" w:sz="0" w:space="0" w:color="auto"/>
        <w:bottom w:val="none" w:sz="0" w:space="0" w:color="auto"/>
        <w:right w:val="none" w:sz="0" w:space="0" w:color="auto"/>
      </w:divBdr>
    </w:div>
    <w:div w:id="110782201">
      <w:bodyDiv w:val="1"/>
      <w:marLeft w:val="0"/>
      <w:marRight w:val="0"/>
      <w:marTop w:val="0"/>
      <w:marBottom w:val="0"/>
      <w:divBdr>
        <w:top w:val="none" w:sz="0" w:space="0" w:color="auto"/>
        <w:left w:val="none" w:sz="0" w:space="0" w:color="auto"/>
        <w:bottom w:val="none" w:sz="0" w:space="0" w:color="auto"/>
        <w:right w:val="none" w:sz="0" w:space="0" w:color="auto"/>
      </w:divBdr>
    </w:div>
    <w:div w:id="113721761">
      <w:bodyDiv w:val="1"/>
      <w:marLeft w:val="0"/>
      <w:marRight w:val="0"/>
      <w:marTop w:val="0"/>
      <w:marBottom w:val="0"/>
      <w:divBdr>
        <w:top w:val="none" w:sz="0" w:space="0" w:color="auto"/>
        <w:left w:val="none" w:sz="0" w:space="0" w:color="auto"/>
        <w:bottom w:val="none" w:sz="0" w:space="0" w:color="auto"/>
        <w:right w:val="none" w:sz="0" w:space="0" w:color="auto"/>
      </w:divBdr>
    </w:div>
    <w:div w:id="119423636">
      <w:bodyDiv w:val="1"/>
      <w:marLeft w:val="0"/>
      <w:marRight w:val="0"/>
      <w:marTop w:val="0"/>
      <w:marBottom w:val="0"/>
      <w:divBdr>
        <w:top w:val="none" w:sz="0" w:space="0" w:color="auto"/>
        <w:left w:val="none" w:sz="0" w:space="0" w:color="auto"/>
        <w:bottom w:val="none" w:sz="0" w:space="0" w:color="auto"/>
        <w:right w:val="none" w:sz="0" w:space="0" w:color="auto"/>
      </w:divBdr>
    </w:div>
    <w:div w:id="120611257">
      <w:bodyDiv w:val="1"/>
      <w:marLeft w:val="0"/>
      <w:marRight w:val="0"/>
      <w:marTop w:val="0"/>
      <w:marBottom w:val="0"/>
      <w:divBdr>
        <w:top w:val="none" w:sz="0" w:space="0" w:color="auto"/>
        <w:left w:val="none" w:sz="0" w:space="0" w:color="auto"/>
        <w:bottom w:val="none" w:sz="0" w:space="0" w:color="auto"/>
        <w:right w:val="none" w:sz="0" w:space="0" w:color="auto"/>
      </w:divBdr>
    </w:div>
    <w:div w:id="126240112">
      <w:bodyDiv w:val="1"/>
      <w:marLeft w:val="0"/>
      <w:marRight w:val="0"/>
      <w:marTop w:val="0"/>
      <w:marBottom w:val="0"/>
      <w:divBdr>
        <w:top w:val="none" w:sz="0" w:space="0" w:color="auto"/>
        <w:left w:val="none" w:sz="0" w:space="0" w:color="auto"/>
        <w:bottom w:val="none" w:sz="0" w:space="0" w:color="auto"/>
        <w:right w:val="none" w:sz="0" w:space="0" w:color="auto"/>
      </w:divBdr>
    </w:div>
    <w:div w:id="136529099">
      <w:bodyDiv w:val="1"/>
      <w:marLeft w:val="0"/>
      <w:marRight w:val="0"/>
      <w:marTop w:val="0"/>
      <w:marBottom w:val="0"/>
      <w:divBdr>
        <w:top w:val="none" w:sz="0" w:space="0" w:color="auto"/>
        <w:left w:val="none" w:sz="0" w:space="0" w:color="auto"/>
        <w:bottom w:val="none" w:sz="0" w:space="0" w:color="auto"/>
        <w:right w:val="none" w:sz="0" w:space="0" w:color="auto"/>
      </w:divBdr>
    </w:div>
    <w:div w:id="136993070">
      <w:bodyDiv w:val="1"/>
      <w:marLeft w:val="0"/>
      <w:marRight w:val="0"/>
      <w:marTop w:val="0"/>
      <w:marBottom w:val="0"/>
      <w:divBdr>
        <w:top w:val="none" w:sz="0" w:space="0" w:color="auto"/>
        <w:left w:val="none" w:sz="0" w:space="0" w:color="auto"/>
        <w:bottom w:val="none" w:sz="0" w:space="0" w:color="auto"/>
        <w:right w:val="none" w:sz="0" w:space="0" w:color="auto"/>
      </w:divBdr>
    </w:div>
    <w:div w:id="140343599">
      <w:bodyDiv w:val="1"/>
      <w:marLeft w:val="0"/>
      <w:marRight w:val="0"/>
      <w:marTop w:val="0"/>
      <w:marBottom w:val="0"/>
      <w:divBdr>
        <w:top w:val="none" w:sz="0" w:space="0" w:color="auto"/>
        <w:left w:val="none" w:sz="0" w:space="0" w:color="auto"/>
        <w:bottom w:val="none" w:sz="0" w:space="0" w:color="auto"/>
        <w:right w:val="none" w:sz="0" w:space="0" w:color="auto"/>
      </w:divBdr>
    </w:div>
    <w:div w:id="143394359">
      <w:bodyDiv w:val="1"/>
      <w:marLeft w:val="0"/>
      <w:marRight w:val="0"/>
      <w:marTop w:val="0"/>
      <w:marBottom w:val="0"/>
      <w:divBdr>
        <w:top w:val="none" w:sz="0" w:space="0" w:color="auto"/>
        <w:left w:val="none" w:sz="0" w:space="0" w:color="auto"/>
        <w:bottom w:val="none" w:sz="0" w:space="0" w:color="auto"/>
        <w:right w:val="none" w:sz="0" w:space="0" w:color="auto"/>
      </w:divBdr>
    </w:div>
    <w:div w:id="151222566">
      <w:bodyDiv w:val="1"/>
      <w:marLeft w:val="0"/>
      <w:marRight w:val="0"/>
      <w:marTop w:val="0"/>
      <w:marBottom w:val="0"/>
      <w:divBdr>
        <w:top w:val="none" w:sz="0" w:space="0" w:color="auto"/>
        <w:left w:val="none" w:sz="0" w:space="0" w:color="auto"/>
        <w:bottom w:val="none" w:sz="0" w:space="0" w:color="auto"/>
        <w:right w:val="none" w:sz="0" w:space="0" w:color="auto"/>
      </w:divBdr>
    </w:div>
    <w:div w:id="151682265">
      <w:bodyDiv w:val="1"/>
      <w:marLeft w:val="0"/>
      <w:marRight w:val="0"/>
      <w:marTop w:val="0"/>
      <w:marBottom w:val="0"/>
      <w:divBdr>
        <w:top w:val="none" w:sz="0" w:space="0" w:color="auto"/>
        <w:left w:val="none" w:sz="0" w:space="0" w:color="auto"/>
        <w:bottom w:val="none" w:sz="0" w:space="0" w:color="auto"/>
        <w:right w:val="none" w:sz="0" w:space="0" w:color="auto"/>
      </w:divBdr>
    </w:div>
    <w:div w:id="152454220">
      <w:bodyDiv w:val="1"/>
      <w:marLeft w:val="0"/>
      <w:marRight w:val="0"/>
      <w:marTop w:val="0"/>
      <w:marBottom w:val="0"/>
      <w:divBdr>
        <w:top w:val="none" w:sz="0" w:space="0" w:color="auto"/>
        <w:left w:val="none" w:sz="0" w:space="0" w:color="auto"/>
        <w:bottom w:val="none" w:sz="0" w:space="0" w:color="auto"/>
        <w:right w:val="none" w:sz="0" w:space="0" w:color="auto"/>
      </w:divBdr>
    </w:div>
    <w:div w:id="154883773">
      <w:bodyDiv w:val="1"/>
      <w:marLeft w:val="0"/>
      <w:marRight w:val="0"/>
      <w:marTop w:val="0"/>
      <w:marBottom w:val="0"/>
      <w:divBdr>
        <w:top w:val="none" w:sz="0" w:space="0" w:color="auto"/>
        <w:left w:val="none" w:sz="0" w:space="0" w:color="auto"/>
        <w:bottom w:val="none" w:sz="0" w:space="0" w:color="auto"/>
        <w:right w:val="none" w:sz="0" w:space="0" w:color="auto"/>
      </w:divBdr>
    </w:div>
    <w:div w:id="155079128">
      <w:bodyDiv w:val="1"/>
      <w:marLeft w:val="0"/>
      <w:marRight w:val="0"/>
      <w:marTop w:val="0"/>
      <w:marBottom w:val="0"/>
      <w:divBdr>
        <w:top w:val="none" w:sz="0" w:space="0" w:color="auto"/>
        <w:left w:val="none" w:sz="0" w:space="0" w:color="auto"/>
        <w:bottom w:val="none" w:sz="0" w:space="0" w:color="auto"/>
        <w:right w:val="none" w:sz="0" w:space="0" w:color="auto"/>
      </w:divBdr>
    </w:div>
    <w:div w:id="157693750">
      <w:bodyDiv w:val="1"/>
      <w:marLeft w:val="0"/>
      <w:marRight w:val="0"/>
      <w:marTop w:val="0"/>
      <w:marBottom w:val="0"/>
      <w:divBdr>
        <w:top w:val="none" w:sz="0" w:space="0" w:color="auto"/>
        <w:left w:val="none" w:sz="0" w:space="0" w:color="auto"/>
        <w:bottom w:val="none" w:sz="0" w:space="0" w:color="auto"/>
        <w:right w:val="none" w:sz="0" w:space="0" w:color="auto"/>
      </w:divBdr>
    </w:div>
    <w:div w:id="159776935">
      <w:bodyDiv w:val="1"/>
      <w:marLeft w:val="0"/>
      <w:marRight w:val="0"/>
      <w:marTop w:val="0"/>
      <w:marBottom w:val="0"/>
      <w:divBdr>
        <w:top w:val="none" w:sz="0" w:space="0" w:color="auto"/>
        <w:left w:val="none" w:sz="0" w:space="0" w:color="auto"/>
        <w:bottom w:val="none" w:sz="0" w:space="0" w:color="auto"/>
        <w:right w:val="none" w:sz="0" w:space="0" w:color="auto"/>
      </w:divBdr>
    </w:div>
    <w:div w:id="163399634">
      <w:bodyDiv w:val="1"/>
      <w:marLeft w:val="0"/>
      <w:marRight w:val="0"/>
      <w:marTop w:val="0"/>
      <w:marBottom w:val="0"/>
      <w:divBdr>
        <w:top w:val="none" w:sz="0" w:space="0" w:color="auto"/>
        <w:left w:val="none" w:sz="0" w:space="0" w:color="auto"/>
        <w:bottom w:val="none" w:sz="0" w:space="0" w:color="auto"/>
        <w:right w:val="none" w:sz="0" w:space="0" w:color="auto"/>
      </w:divBdr>
    </w:div>
    <w:div w:id="173421304">
      <w:bodyDiv w:val="1"/>
      <w:marLeft w:val="0"/>
      <w:marRight w:val="0"/>
      <w:marTop w:val="0"/>
      <w:marBottom w:val="0"/>
      <w:divBdr>
        <w:top w:val="none" w:sz="0" w:space="0" w:color="auto"/>
        <w:left w:val="none" w:sz="0" w:space="0" w:color="auto"/>
        <w:bottom w:val="none" w:sz="0" w:space="0" w:color="auto"/>
        <w:right w:val="none" w:sz="0" w:space="0" w:color="auto"/>
      </w:divBdr>
    </w:div>
    <w:div w:id="173569024">
      <w:bodyDiv w:val="1"/>
      <w:marLeft w:val="0"/>
      <w:marRight w:val="0"/>
      <w:marTop w:val="0"/>
      <w:marBottom w:val="0"/>
      <w:divBdr>
        <w:top w:val="none" w:sz="0" w:space="0" w:color="auto"/>
        <w:left w:val="none" w:sz="0" w:space="0" w:color="auto"/>
        <w:bottom w:val="none" w:sz="0" w:space="0" w:color="auto"/>
        <w:right w:val="none" w:sz="0" w:space="0" w:color="auto"/>
      </w:divBdr>
    </w:div>
    <w:div w:id="175851389">
      <w:bodyDiv w:val="1"/>
      <w:marLeft w:val="0"/>
      <w:marRight w:val="0"/>
      <w:marTop w:val="0"/>
      <w:marBottom w:val="0"/>
      <w:divBdr>
        <w:top w:val="none" w:sz="0" w:space="0" w:color="auto"/>
        <w:left w:val="none" w:sz="0" w:space="0" w:color="auto"/>
        <w:bottom w:val="none" w:sz="0" w:space="0" w:color="auto"/>
        <w:right w:val="none" w:sz="0" w:space="0" w:color="auto"/>
      </w:divBdr>
    </w:div>
    <w:div w:id="176626460">
      <w:bodyDiv w:val="1"/>
      <w:marLeft w:val="0"/>
      <w:marRight w:val="0"/>
      <w:marTop w:val="0"/>
      <w:marBottom w:val="0"/>
      <w:divBdr>
        <w:top w:val="none" w:sz="0" w:space="0" w:color="auto"/>
        <w:left w:val="none" w:sz="0" w:space="0" w:color="auto"/>
        <w:bottom w:val="none" w:sz="0" w:space="0" w:color="auto"/>
        <w:right w:val="none" w:sz="0" w:space="0" w:color="auto"/>
      </w:divBdr>
    </w:div>
    <w:div w:id="179395541">
      <w:bodyDiv w:val="1"/>
      <w:marLeft w:val="0"/>
      <w:marRight w:val="0"/>
      <w:marTop w:val="0"/>
      <w:marBottom w:val="0"/>
      <w:divBdr>
        <w:top w:val="none" w:sz="0" w:space="0" w:color="auto"/>
        <w:left w:val="none" w:sz="0" w:space="0" w:color="auto"/>
        <w:bottom w:val="none" w:sz="0" w:space="0" w:color="auto"/>
        <w:right w:val="none" w:sz="0" w:space="0" w:color="auto"/>
      </w:divBdr>
    </w:div>
    <w:div w:id="191961330">
      <w:bodyDiv w:val="1"/>
      <w:marLeft w:val="0"/>
      <w:marRight w:val="0"/>
      <w:marTop w:val="0"/>
      <w:marBottom w:val="0"/>
      <w:divBdr>
        <w:top w:val="none" w:sz="0" w:space="0" w:color="auto"/>
        <w:left w:val="none" w:sz="0" w:space="0" w:color="auto"/>
        <w:bottom w:val="none" w:sz="0" w:space="0" w:color="auto"/>
        <w:right w:val="none" w:sz="0" w:space="0" w:color="auto"/>
      </w:divBdr>
    </w:div>
    <w:div w:id="192039766">
      <w:bodyDiv w:val="1"/>
      <w:marLeft w:val="0"/>
      <w:marRight w:val="0"/>
      <w:marTop w:val="0"/>
      <w:marBottom w:val="0"/>
      <w:divBdr>
        <w:top w:val="none" w:sz="0" w:space="0" w:color="auto"/>
        <w:left w:val="none" w:sz="0" w:space="0" w:color="auto"/>
        <w:bottom w:val="none" w:sz="0" w:space="0" w:color="auto"/>
        <w:right w:val="none" w:sz="0" w:space="0" w:color="auto"/>
      </w:divBdr>
    </w:div>
    <w:div w:id="192961738">
      <w:bodyDiv w:val="1"/>
      <w:marLeft w:val="0"/>
      <w:marRight w:val="0"/>
      <w:marTop w:val="0"/>
      <w:marBottom w:val="0"/>
      <w:divBdr>
        <w:top w:val="none" w:sz="0" w:space="0" w:color="auto"/>
        <w:left w:val="none" w:sz="0" w:space="0" w:color="auto"/>
        <w:bottom w:val="none" w:sz="0" w:space="0" w:color="auto"/>
        <w:right w:val="none" w:sz="0" w:space="0" w:color="auto"/>
      </w:divBdr>
    </w:div>
    <w:div w:id="195704428">
      <w:bodyDiv w:val="1"/>
      <w:marLeft w:val="0"/>
      <w:marRight w:val="0"/>
      <w:marTop w:val="0"/>
      <w:marBottom w:val="0"/>
      <w:divBdr>
        <w:top w:val="none" w:sz="0" w:space="0" w:color="auto"/>
        <w:left w:val="none" w:sz="0" w:space="0" w:color="auto"/>
        <w:bottom w:val="none" w:sz="0" w:space="0" w:color="auto"/>
        <w:right w:val="none" w:sz="0" w:space="0" w:color="auto"/>
      </w:divBdr>
    </w:div>
    <w:div w:id="195851079">
      <w:bodyDiv w:val="1"/>
      <w:marLeft w:val="0"/>
      <w:marRight w:val="0"/>
      <w:marTop w:val="0"/>
      <w:marBottom w:val="0"/>
      <w:divBdr>
        <w:top w:val="none" w:sz="0" w:space="0" w:color="auto"/>
        <w:left w:val="none" w:sz="0" w:space="0" w:color="auto"/>
        <w:bottom w:val="none" w:sz="0" w:space="0" w:color="auto"/>
        <w:right w:val="none" w:sz="0" w:space="0" w:color="auto"/>
      </w:divBdr>
    </w:div>
    <w:div w:id="198400114">
      <w:bodyDiv w:val="1"/>
      <w:marLeft w:val="0"/>
      <w:marRight w:val="0"/>
      <w:marTop w:val="0"/>
      <w:marBottom w:val="0"/>
      <w:divBdr>
        <w:top w:val="none" w:sz="0" w:space="0" w:color="auto"/>
        <w:left w:val="none" w:sz="0" w:space="0" w:color="auto"/>
        <w:bottom w:val="none" w:sz="0" w:space="0" w:color="auto"/>
        <w:right w:val="none" w:sz="0" w:space="0" w:color="auto"/>
      </w:divBdr>
    </w:div>
    <w:div w:id="203949653">
      <w:bodyDiv w:val="1"/>
      <w:marLeft w:val="0"/>
      <w:marRight w:val="0"/>
      <w:marTop w:val="0"/>
      <w:marBottom w:val="0"/>
      <w:divBdr>
        <w:top w:val="none" w:sz="0" w:space="0" w:color="auto"/>
        <w:left w:val="none" w:sz="0" w:space="0" w:color="auto"/>
        <w:bottom w:val="none" w:sz="0" w:space="0" w:color="auto"/>
        <w:right w:val="none" w:sz="0" w:space="0" w:color="auto"/>
      </w:divBdr>
    </w:div>
    <w:div w:id="205878153">
      <w:bodyDiv w:val="1"/>
      <w:marLeft w:val="0"/>
      <w:marRight w:val="0"/>
      <w:marTop w:val="0"/>
      <w:marBottom w:val="0"/>
      <w:divBdr>
        <w:top w:val="none" w:sz="0" w:space="0" w:color="auto"/>
        <w:left w:val="none" w:sz="0" w:space="0" w:color="auto"/>
        <w:bottom w:val="none" w:sz="0" w:space="0" w:color="auto"/>
        <w:right w:val="none" w:sz="0" w:space="0" w:color="auto"/>
      </w:divBdr>
    </w:div>
    <w:div w:id="207955898">
      <w:bodyDiv w:val="1"/>
      <w:marLeft w:val="0"/>
      <w:marRight w:val="0"/>
      <w:marTop w:val="0"/>
      <w:marBottom w:val="0"/>
      <w:divBdr>
        <w:top w:val="none" w:sz="0" w:space="0" w:color="auto"/>
        <w:left w:val="none" w:sz="0" w:space="0" w:color="auto"/>
        <w:bottom w:val="none" w:sz="0" w:space="0" w:color="auto"/>
        <w:right w:val="none" w:sz="0" w:space="0" w:color="auto"/>
      </w:divBdr>
    </w:div>
    <w:div w:id="210461412">
      <w:bodyDiv w:val="1"/>
      <w:marLeft w:val="0"/>
      <w:marRight w:val="0"/>
      <w:marTop w:val="0"/>
      <w:marBottom w:val="0"/>
      <w:divBdr>
        <w:top w:val="none" w:sz="0" w:space="0" w:color="auto"/>
        <w:left w:val="none" w:sz="0" w:space="0" w:color="auto"/>
        <w:bottom w:val="none" w:sz="0" w:space="0" w:color="auto"/>
        <w:right w:val="none" w:sz="0" w:space="0" w:color="auto"/>
      </w:divBdr>
    </w:div>
    <w:div w:id="214507283">
      <w:bodyDiv w:val="1"/>
      <w:marLeft w:val="0"/>
      <w:marRight w:val="0"/>
      <w:marTop w:val="0"/>
      <w:marBottom w:val="0"/>
      <w:divBdr>
        <w:top w:val="none" w:sz="0" w:space="0" w:color="auto"/>
        <w:left w:val="none" w:sz="0" w:space="0" w:color="auto"/>
        <w:bottom w:val="none" w:sz="0" w:space="0" w:color="auto"/>
        <w:right w:val="none" w:sz="0" w:space="0" w:color="auto"/>
      </w:divBdr>
    </w:div>
    <w:div w:id="224031862">
      <w:bodyDiv w:val="1"/>
      <w:marLeft w:val="0"/>
      <w:marRight w:val="0"/>
      <w:marTop w:val="0"/>
      <w:marBottom w:val="0"/>
      <w:divBdr>
        <w:top w:val="none" w:sz="0" w:space="0" w:color="auto"/>
        <w:left w:val="none" w:sz="0" w:space="0" w:color="auto"/>
        <w:bottom w:val="none" w:sz="0" w:space="0" w:color="auto"/>
        <w:right w:val="none" w:sz="0" w:space="0" w:color="auto"/>
      </w:divBdr>
    </w:div>
    <w:div w:id="225915504">
      <w:bodyDiv w:val="1"/>
      <w:marLeft w:val="0"/>
      <w:marRight w:val="0"/>
      <w:marTop w:val="0"/>
      <w:marBottom w:val="0"/>
      <w:divBdr>
        <w:top w:val="none" w:sz="0" w:space="0" w:color="auto"/>
        <w:left w:val="none" w:sz="0" w:space="0" w:color="auto"/>
        <w:bottom w:val="none" w:sz="0" w:space="0" w:color="auto"/>
        <w:right w:val="none" w:sz="0" w:space="0" w:color="auto"/>
      </w:divBdr>
    </w:div>
    <w:div w:id="229191281">
      <w:bodyDiv w:val="1"/>
      <w:marLeft w:val="0"/>
      <w:marRight w:val="0"/>
      <w:marTop w:val="0"/>
      <w:marBottom w:val="0"/>
      <w:divBdr>
        <w:top w:val="none" w:sz="0" w:space="0" w:color="auto"/>
        <w:left w:val="none" w:sz="0" w:space="0" w:color="auto"/>
        <w:bottom w:val="none" w:sz="0" w:space="0" w:color="auto"/>
        <w:right w:val="none" w:sz="0" w:space="0" w:color="auto"/>
      </w:divBdr>
    </w:div>
    <w:div w:id="237716335">
      <w:bodyDiv w:val="1"/>
      <w:marLeft w:val="0"/>
      <w:marRight w:val="0"/>
      <w:marTop w:val="0"/>
      <w:marBottom w:val="0"/>
      <w:divBdr>
        <w:top w:val="none" w:sz="0" w:space="0" w:color="auto"/>
        <w:left w:val="none" w:sz="0" w:space="0" w:color="auto"/>
        <w:bottom w:val="none" w:sz="0" w:space="0" w:color="auto"/>
        <w:right w:val="none" w:sz="0" w:space="0" w:color="auto"/>
      </w:divBdr>
    </w:div>
    <w:div w:id="242182309">
      <w:bodyDiv w:val="1"/>
      <w:marLeft w:val="0"/>
      <w:marRight w:val="0"/>
      <w:marTop w:val="0"/>
      <w:marBottom w:val="0"/>
      <w:divBdr>
        <w:top w:val="none" w:sz="0" w:space="0" w:color="auto"/>
        <w:left w:val="none" w:sz="0" w:space="0" w:color="auto"/>
        <w:bottom w:val="none" w:sz="0" w:space="0" w:color="auto"/>
        <w:right w:val="none" w:sz="0" w:space="0" w:color="auto"/>
      </w:divBdr>
    </w:div>
    <w:div w:id="243537998">
      <w:bodyDiv w:val="1"/>
      <w:marLeft w:val="0"/>
      <w:marRight w:val="0"/>
      <w:marTop w:val="0"/>
      <w:marBottom w:val="0"/>
      <w:divBdr>
        <w:top w:val="none" w:sz="0" w:space="0" w:color="auto"/>
        <w:left w:val="none" w:sz="0" w:space="0" w:color="auto"/>
        <w:bottom w:val="none" w:sz="0" w:space="0" w:color="auto"/>
        <w:right w:val="none" w:sz="0" w:space="0" w:color="auto"/>
      </w:divBdr>
    </w:div>
    <w:div w:id="247813782">
      <w:bodyDiv w:val="1"/>
      <w:marLeft w:val="0"/>
      <w:marRight w:val="0"/>
      <w:marTop w:val="0"/>
      <w:marBottom w:val="0"/>
      <w:divBdr>
        <w:top w:val="none" w:sz="0" w:space="0" w:color="auto"/>
        <w:left w:val="none" w:sz="0" w:space="0" w:color="auto"/>
        <w:bottom w:val="none" w:sz="0" w:space="0" w:color="auto"/>
        <w:right w:val="none" w:sz="0" w:space="0" w:color="auto"/>
      </w:divBdr>
    </w:div>
    <w:div w:id="248003522">
      <w:bodyDiv w:val="1"/>
      <w:marLeft w:val="0"/>
      <w:marRight w:val="0"/>
      <w:marTop w:val="0"/>
      <w:marBottom w:val="0"/>
      <w:divBdr>
        <w:top w:val="none" w:sz="0" w:space="0" w:color="auto"/>
        <w:left w:val="none" w:sz="0" w:space="0" w:color="auto"/>
        <w:bottom w:val="none" w:sz="0" w:space="0" w:color="auto"/>
        <w:right w:val="none" w:sz="0" w:space="0" w:color="auto"/>
      </w:divBdr>
    </w:div>
    <w:div w:id="250967854">
      <w:bodyDiv w:val="1"/>
      <w:marLeft w:val="0"/>
      <w:marRight w:val="0"/>
      <w:marTop w:val="0"/>
      <w:marBottom w:val="0"/>
      <w:divBdr>
        <w:top w:val="none" w:sz="0" w:space="0" w:color="auto"/>
        <w:left w:val="none" w:sz="0" w:space="0" w:color="auto"/>
        <w:bottom w:val="none" w:sz="0" w:space="0" w:color="auto"/>
        <w:right w:val="none" w:sz="0" w:space="0" w:color="auto"/>
      </w:divBdr>
    </w:div>
    <w:div w:id="251204749">
      <w:bodyDiv w:val="1"/>
      <w:marLeft w:val="0"/>
      <w:marRight w:val="0"/>
      <w:marTop w:val="0"/>
      <w:marBottom w:val="0"/>
      <w:divBdr>
        <w:top w:val="none" w:sz="0" w:space="0" w:color="auto"/>
        <w:left w:val="none" w:sz="0" w:space="0" w:color="auto"/>
        <w:bottom w:val="none" w:sz="0" w:space="0" w:color="auto"/>
        <w:right w:val="none" w:sz="0" w:space="0" w:color="auto"/>
      </w:divBdr>
    </w:div>
    <w:div w:id="252126268">
      <w:bodyDiv w:val="1"/>
      <w:marLeft w:val="0"/>
      <w:marRight w:val="0"/>
      <w:marTop w:val="0"/>
      <w:marBottom w:val="0"/>
      <w:divBdr>
        <w:top w:val="none" w:sz="0" w:space="0" w:color="auto"/>
        <w:left w:val="none" w:sz="0" w:space="0" w:color="auto"/>
        <w:bottom w:val="none" w:sz="0" w:space="0" w:color="auto"/>
        <w:right w:val="none" w:sz="0" w:space="0" w:color="auto"/>
      </w:divBdr>
    </w:div>
    <w:div w:id="255595195">
      <w:bodyDiv w:val="1"/>
      <w:marLeft w:val="0"/>
      <w:marRight w:val="0"/>
      <w:marTop w:val="0"/>
      <w:marBottom w:val="0"/>
      <w:divBdr>
        <w:top w:val="none" w:sz="0" w:space="0" w:color="auto"/>
        <w:left w:val="none" w:sz="0" w:space="0" w:color="auto"/>
        <w:bottom w:val="none" w:sz="0" w:space="0" w:color="auto"/>
        <w:right w:val="none" w:sz="0" w:space="0" w:color="auto"/>
      </w:divBdr>
    </w:div>
    <w:div w:id="257062582">
      <w:bodyDiv w:val="1"/>
      <w:marLeft w:val="0"/>
      <w:marRight w:val="0"/>
      <w:marTop w:val="0"/>
      <w:marBottom w:val="0"/>
      <w:divBdr>
        <w:top w:val="none" w:sz="0" w:space="0" w:color="auto"/>
        <w:left w:val="none" w:sz="0" w:space="0" w:color="auto"/>
        <w:bottom w:val="none" w:sz="0" w:space="0" w:color="auto"/>
        <w:right w:val="none" w:sz="0" w:space="0" w:color="auto"/>
      </w:divBdr>
    </w:div>
    <w:div w:id="259918996">
      <w:bodyDiv w:val="1"/>
      <w:marLeft w:val="0"/>
      <w:marRight w:val="0"/>
      <w:marTop w:val="0"/>
      <w:marBottom w:val="0"/>
      <w:divBdr>
        <w:top w:val="none" w:sz="0" w:space="0" w:color="auto"/>
        <w:left w:val="none" w:sz="0" w:space="0" w:color="auto"/>
        <w:bottom w:val="none" w:sz="0" w:space="0" w:color="auto"/>
        <w:right w:val="none" w:sz="0" w:space="0" w:color="auto"/>
      </w:divBdr>
    </w:div>
    <w:div w:id="260576759">
      <w:bodyDiv w:val="1"/>
      <w:marLeft w:val="0"/>
      <w:marRight w:val="0"/>
      <w:marTop w:val="0"/>
      <w:marBottom w:val="0"/>
      <w:divBdr>
        <w:top w:val="none" w:sz="0" w:space="0" w:color="auto"/>
        <w:left w:val="none" w:sz="0" w:space="0" w:color="auto"/>
        <w:bottom w:val="none" w:sz="0" w:space="0" w:color="auto"/>
        <w:right w:val="none" w:sz="0" w:space="0" w:color="auto"/>
      </w:divBdr>
    </w:div>
    <w:div w:id="266277207">
      <w:bodyDiv w:val="1"/>
      <w:marLeft w:val="0"/>
      <w:marRight w:val="0"/>
      <w:marTop w:val="0"/>
      <w:marBottom w:val="0"/>
      <w:divBdr>
        <w:top w:val="none" w:sz="0" w:space="0" w:color="auto"/>
        <w:left w:val="none" w:sz="0" w:space="0" w:color="auto"/>
        <w:bottom w:val="none" w:sz="0" w:space="0" w:color="auto"/>
        <w:right w:val="none" w:sz="0" w:space="0" w:color="auto"/>
      </w:divBdr>
    </w:div>
    <w:div w:id="267472188">
      <w:bodyDiv w:val="1"/>
      <w:marLeft w:val="0"/>
      <w:marRight w:val="0"/>
      <w:marTop w:val="0"/>
      <w:marBottom w:val="0"/>
      <w:divBdr>
        <w:top w:val="none" w:sz="0" w:space="0" w:color="auto"/>
        <w:left w:val="none" w:sz="0" w:space="0" w:color="auto"/>
        <w:bottom w:val="none" w:sz="0" w:space="0" w:color="auto"/>
        <w:right w:val="none" w:sz="0" w:space="0" w:color="auto"/>
      </w:divBdr>
    </w:div>
    <w:div w:id="269315881">
      <w:bodyDiv w:val="1"/>
      <w:marLeft w:val="0"/>
      <w:marRight w:val="0"/>
      <w:marTop w:val="0"/>
      <w:marBottom w:val="0"/>
      <w:divBdr>
        <w:top w:val="none" w:sz="0" w:space="0" w:color="auto"/>
        <w:left w:val="none" w:sz="0" w:space="0" w:color="auto"/>
        <w:bottom w:val="none" w:sz="0" w:space="0" w:color="auto"/>
        <w:right w:val="none" w:sz="0" w:space="0" w:color="auto"/>
      </w:divBdr>
    </w:div>
    <w:div w:id="270092479">
      <w:bodyDiv w:val="1"/>
      <w:marLeft w:val="0"/>
      <w:marRight w:val="0"/>
      <w:marTop w:val="0"/>
      <w:marBottom w:val="0"/>
      <w:divBdr>
        <w:top w:val="none" w:sz="0" w:space="0" w:color="auto"/>
        <w:left w:val="none" w:sz="0" w:space="0" w:color="auto"/>
        <w:bottom w:val="none" w:sz="0" w:space="0" w:color="auto"/>
        <w:right w:val="none" w:sz="0" w:space="0" w:color="auto"/>
      </w:divBdr>
    </w:div>
    <w:div w:id="273053279">
      <w:bodyDiv w:val="1"/>
      <w:marLeft w:val="0"/>
      <w:marRight w:val="0"/>
      <w:marTop w:val="0"/>
      <w:marBottom w:val="0"/>
      <w:divBdr>
        <w:top w:val="none" w:sz="0" w:space="0" w:color="auto"/>
        <w:left w:val="none" w:sz="0" w:space="0" w:color="auto"/>
        <w:bottom w:val="none" w:sz="0" w:space="0" w:color="auto"/>
        <w:right w:val="none" w:sz="0" w:space="0" w:color="auto"/>
      </w:divBdr>
    </w:div>
    <w:div w:id="275791739">
      <w:bodyDiv w:val="1"/>
      <w:marLeft w:val="0"/>
      <w:marRight w:val="0"/>
      <w:marTop w:val="0"/>
      <w:marBottom w:val="0"/>
      <w:divBdr>
        <w:top w:val="none" w:sz="0" w:space="0" w:color="auto"/>
        <w:left w:val="none" w:sz="0" w:space="0" w:color="auto"/>
        <w:bottom w:val="none" w:sz="0" w:space="0" w:color="auto"/>
        <w:right w:val="none" w:sz="0" w:space="0" w:color="auto"/>
      </w:divBdr>
    </w:div>
    <w:div w:id="276304255">
      <w:bodyDiv w:val="1"/>
      <w:marLeft w:val="0"/>
      <w:marRight w:val="0"/>
      <w:marTop w:val="0"/>
      <w:marBottom w:val="0"/>
      <w:divBdr>
        <w:top w:val="none" w:sz="0" w:space="0" w:color="auto"/>
        <w:left w:val="none" w:sz="0" w:space="0" w:color="auto"/>
        <w:bottom w:val="none" w:sz="0" w:space="0" w:color="auto"/>
        <w:right w:val="none" w:sz="0" w:space="0" w:color="auto"/>
      </w:divBdr>
    </w:div>
    <w:div w:id="276371724">
      <w:bodyDiv w:val="1"/>
      <w:marLeft w:val="0"/>
      <w:marRight w:val="0"/>
      <w:marTop w:val="0"/>
      <w:marBottom w:val="0"/>
      <w:divBdr>
        <w:top w:val="none" w:sz="0" w:space="0" w:color="auto"/>
        <w:left w:val="none" w:sz="0" w:space="0" w:color="auto"/>
        <w:bottom w:val="none" w:sz="0" w:space="0" w:color="auto"/>
        <w:right w:val="none" w:sz="0" w:space="0" w:color="auto"/>
      </w:divBdr>
    </w:div>
    <w:div w:id="278881837">
      <w:bodyDiv w:val="1"/>
      <w:marLeft w:val="0"/>
      <w:marRight w:val="0"/>
      <w:marTop w:val="0"/>
      <w:marBottom w:val="0"/>
      <w:divBdr>
        <w:top w:val="none" w:sz="0" w:space="0" w:color="auto"/>
        <w:left w:val="none" w:sz="0" w:space="0" w:color="auto"/>
        <w:bottom w:val="none" w:sz="0" w:space="0" w:color="auto"/>
        <w:right w:val="none" w:sz="0" w:space="0" w:color="auto"/>
      </w:divBdr>
    </w:div>
    <w:div w:id="280573350">
      <w:bodyDiv w:val="1"/>
      <w:marLeft w:val="0"/>
      <w:marRight w:val="0"/>
      <w:marTop w:val="0"/>
      <w:marBottom w:val="0"/>
      <w:divBdr>
        <w:top w:val="none" w:sz="0" w:space="0" w:color="auto"/>
        <w:left w:val="none" w:sz="0" w:space="0" w:color="auto"/>
        <w:bottom w:val="none" w:sz="0" w:space="0" w:color="auto"/>
        <w:right w:val="none" w:sz="0" w:space="0" w:color="auto"/>
      </w:divBdr>
    </w:div>
    <w:div w:id="283467374">
      <w:bodyDiv w:val="1"/>
      <w:marLeft w:val="0"/>
      <w:marRight w:val="0"/>
      <w:marTop w:val="0"/>
      <w:marBottom w:val="0"/>
      <w:divBdr>
        <w:top w:val="none" w:sz="0" w:space="0" w:color="auto"/>
        <w:left w:val="none" w:sz="0" w:space="0" w:color="auto"/>
        <w:bottom w:val="none" w:sz="0" w:space="0" w:color="auto"/>
        <w:right w:val="none" w:sz="0" w:space="0" w:color="auto"/>
      </w:divBdr>
    </w:div>
    <w:div w:id="286355141">
      <w:bodyDiv w:val="1"/>
      <w:marLeft w:val="0"/>
      <w:marRight w:val="0"/>
      <w:marTop w:val="0"/>
      <w:marBottom w:val="0"/>
      <w:divBdr>
        <w:top w:val="none" w:sz="0" w:space="0" w:color="auto"/>
        <w:left w:val="none" w:sz="0" w:space="0" w:color="auto"/>
        <w:bottom w:val="none" w:sz="0" w:space="0" w:color="auto"/>
        <w:right w:val="none" w:sz="0" w:space="0" w:color="auto"/>
      </w:divBdr>
    </w:div>
    <w:div w:id="286862047">
      <w:bodyDiv w:val="1"/>
      <w:marLeft w:val="0"/>
      <w:marRight w:val="0"/>
      <w:marTop w:val="0"/>
      <w:marBottom w:val="0"/>
      <w:divBdr>
        <w:top w:val="none" w:sz="0" w:space="0" w:color="auto"/>
        <w:left w:val="none" w:sz="0" w:space="0" w:color="auto"/>
        <w:bottom w:val="none" w:sz="0" w:space="0" w:color="auto"/>
        <w:right w:val="none" w:sz="0" w:space="0" w:color="auto"/>
      </w:divBdr>
    </w:div>
    <w:div w:id="297497797">
      <w:bodyDiv w:val="1"/>
      <w:marLeft w:val="0"/>
      <w:marRight w:val="0"/>
      <w:marTop w:val="0"/>
      <w:marBottom w:val="0"/>
      <w:divBdr>
        <w:top w:val="none" w:sz="0" w:space="0" w:color="auto"/>
        <w:left w:val="none" w:sz="0" w:space="0" w:color="auto"/>
        <w:bottom w:val="none" w:sz="0" w:space="0" w:color="auto"/>
        <w:right w:val="none" w:sz="0" w:space="0" w:color="auto"/>
      </w:divBdr>
    </w:div>
    <w:div w:id="304508588">
      <w:bodyDiv w:val="1"/>
      <w:marLeft w:val="0"/>
      <w:marRight w:val="0"/>
      <w:marTop w:val="0"/>
      <w:marBottom w:val="0"/>
      <w:divBdr>
        <w:top w:val="none" w:sz="0" w:space="0" w:color="auto"/>
        <w:left w:val="none" w:sz="0" w:space="0" w:color="auto"/>
        <w:bottom w:val="none" w:sz="0" w:space="0" w:color="auto"/>
        <w:right w:val="none" w:sz="0" w:space="0" w:color="auto"/>
      </w:divBdr>
    </w:div>
    <w:div w:id="309746736">
      <w:bodyDiv w:val="1"/>
      <w:marLeft w:val="0"/>
      <w:marRight w:val="0"/>
      <w:marTop w:val="0"/>
      <w:marBottom w:val="0"/>
      <w:divBdr>
        <w:top w:val="none" w:sz="0" w:space="0" w:color="auto"/>
        <w:left w:val="none" w:sz="0" w:space="0" w:color="auto"/>
        <w:bottom w:val="none" w:sz="0" w:space="0" w:color="auto"/>
        <w:right w:val="none" w:sz="0" w:space="0" w:color="auto"/>
      </w:divBdr>
    </w:div>
    <w:div w:id="311251639">
      <w:bodyDiv w:val="1"/>
      <w:marLeft w:val="0"/>
      <w:marRight w:val="0"/>
      <w:marTop w:val="0"/>
      <w:marBottom w:val="0"/>
      <w:divBdr>
        <w:top w:val="none" w:sz="0" w:space="0" w:color="auto"/>
        <w:left w:val="none" w:sz="0" w:space="0" w:color="auto"/>
        <w:bottom w:val="none" w:sz="0" w:space="0" w:color="auto"/>
        <w:right w:val="none" w:sz="0" w:space="0" w:color="auto"/>
      </w:divBdr>
    </w:div>
    <w:div w:id="311715161">
      <w:bodyDiv w:val="1"/>
      <w:marLeft w:val="0"/>
      <w:marRight w:val="0"/>
      <w:marTop w:val="0"/>
      <w:marBottom w:val="0"/>
      <w:divBdr>
        <w:top w:val="none" w:sz="0" w:space="0" w:color="auto"/>
        <w:left w:val="none" w:sz="0" w:space="0" w:color="auto"/>
        <w:bottom w:val="none" w:sz="0" w:space="0" w:color="auto"/>
        <w:right w:val="none" w:sz="0" w:space="0" w:color="auto"/>
      </w:divBdr>
    </w:div>
    <w:div w:id="312487804">
      <w:bodyDiv w:val="1"/>
      <w:marLeft w:val="0"/>
      <w:marRight w:val="0"/>
      <w:marTop w:val="0"/>
      <w:marBottom w:val="0"/>
      <w:divBdr>
        <w:top w:val="none" w:sz="0" w:space="0" w:color="auto"/>
        <w:left w:val="none" w:sz="0" w:space="0" w:color="auto"/>
        <w:bottom w:val="none" w:sz="0" w:space="0" w:color="auto"/>
        <w:right w:val="none" w:sz="0" w:space="0" w:color="auto"/>
      </w:divBdr>
    </w:div>
    <w:div w:id="324628333">
      <w:bodyDiv w:val="1"/>
      <w:marLeft w:val="0"/>
      <w:marRight w:val="0"/>
      <w:marTop w:val="0"/>
      <w:marBottom w:val="0"/>
      <w:divBdr>
        <w:top w:val="none" w:sz="0" w:space="0" w:color="auto"/>
        <w:left w:val="none" w:sz="0" w:space="0" w:color="auto"/>
        <w:bottom w:val="none" w:sz="0" w:space="0" w:color="auto"/>
        <w:right w:val="none" w:sz="0" w:space="0" w:color="auto"/>
      </w:divBdr>
    </w:div>
    <w:div w:id="326251045">
      <w:bodyDiv w:val="1"/>
      <w:marLeft w:val="0"/>
      <w:marRight w:val="0"/>
      <w:marTop w:val="0"/>
      <w:marBottom w:val="0"/>
      <w:divBdr>
        <w:top w:val="none" w:sz="0" w:space="0" w:color="auto"/>
        <w:left w:val="none" w:sz="0" w:space="0" w:color="auto"/>
        <w:bottom w:val="none" w:sz="0" w:space="0" w:color="auto"/>
        <w:right w:val="none" w:sz="0" w:space="0" w:color="auto"/>
      </w:divBdr>
    </w:div>
    <w:div w:id="327175008">
      <w:bodyDiv w:val="1"/>
      <w:marLeft w:val="0"/>
      <w:marRight w:val="0"/>
      <w:marTop w:val="0"/>
      <w:marBottom w:val="0"/>
      <w:divBdr>
        <w:top w:val="none" w:sz="0" w:space="0" w:color="auto"/>
        <w:left w:val="none" w:sz="0" w:space="0" w:color="auto"/>
        <w:bottom w:val="none" w:sz="0" w:space="0" w:color="auto"/>
        <w:right w:val="none" w:sz="0" w:space="0" w:color="auto"/>
      </w:divBdr>
    </w:div>
    <w:div w:id="329217564">
      <w:bodyDiv w:val="1"/>
      <w:marLeft w:val="0"/>
      <w:marRight w:val="0"/>
      <w:marTop w:val="0"/>
      <w:marBottom w:val="0"/>
      <w:divBdr>
        <w:top w:val="none" w:sz="0" w:space="0" w:color="auto"/>
        <w:left w:val="none" w:sz="0" w:space="0" w:color="auto"/>
        <w:bottom w:val="none" w:sz="0" w:space="0" w:color="auto"/>
        <w:right w:val="none" w:sz="0" w:space="0" w:color="auto"/>
      </w:divBdr>
    </w:div>
    <w:div w:id="330376258">
      <w:bodyDiv w:val="1"/>
      <w:marLeft w:val="0"/>
      <w:marRight w:val="0"/>
      <w:marTop w:val="0"/>
      <w:marBottom w:val="0"/>
      <w:divBdr>
        <w:top w:val="none" w:sz="0" w:space="0" w:color="auto"/>
        <w:left w:val="none" w:sz="0" w:space="0" w:color="auto"/>
        <w:bottom w:val="none" w:sz="0" w:space="0" w:color="auto"/>
        <w:right w:val="none" w:sz="0" w:space="0" w:color="auto"/>
      </w:divBdr>
    </w:div>
    <w:div w:id="336273032">
      <w:bodyDiv w:val="1"/>
      <w:marLeft w:val="0"/>
      <w:marRight w:val="0"/>
      <w:marTop w:val="0"/>
      <w:marBottom w:val="0"/>
      <w:divBdr>
        <w:top w:val="none" w:sz="0" w:space="0" w:color="auto"/>
        <w:left w:val="none" w:sz="0" w:space="0" w:color="auto"/>
        <w:bottom w:val="none" w:sz="0" w:space="0" w:color="auto"/>
        <w:right w:val="none" w:sz="0" w:space="0" w:color="auto"/>
      </w:divBdr>
    </w:div>
    <w:div w:id="338044290">
      <w:bodyDiv w:val="1"/>
      <w:marLeft w:val="0"/>
      <w:marRight w:val="0"/>
      <w:marTop w:val="0"/>
      <w:marBottom w:val="0"/>
      <w:divBdr>
        <w:top w:val="none" w:sz="0" w:space="0" w:color="auto"/>
        <w:left w:val="none" w:sz="0" w:space="0" w:color="auto"/>
        <w:bottom w:val="none" w:sz="0" w:space="0" w:color="auto"/>
        <w:right w:val="none" w:sz="0" w:space="0" w:color="auto"/>
      </w:divBdr>
    </w:div>
    <w:div w:id="341443894">
      <w:bodyDiv w:val="1"/>
      <w:marLeft w:val="0"/>
      <w:marRight w:val="0"/>
      <w:marTop w:val="0"/>
      <w:marBottom w:val="0"/>
      <w:divBdr>
        <w:top w:val="none" w:sz="0" w:space="0" w:color="auto"/>
        <w:left w:val="none" w:sz="0" w:space="0" w:color="auto"/>
        <w:bottom w:val="none" w:sz="0" w:space="0" w:color="auto"/>
        <w:right w:val="none" w:sz="0" w:space="0" w:color="auto"/>
      </w:divBdr>
    </w:div>
    <w:div w:id="343215345">
      <w:bodyDiv w:val="1"/>
      <w:marLeft w:val="0"/>
      <w:marRight w:val="0"/>
      <w:marTop w:val="0"/>
      <w:marBottom w:val="0"/>
      <w:divBdr>
        <w:top w:val="none" w:sz="0" w:space="0" w:color="auto"/>
        <w:left w:val="none" w:sz="0" w:space="0" w:color="auto"/>
        <w:bottom w:val="none" w:sz="0" w:space="0" w:color="auto"/>
        <w:right w:val="none" w:sz="0" w:space="0" w:color="auto"/>
      </w:divBdr>
    </w:div>
    <w:div w:id="344212195">
      <w:bodyDiv w:val="1"/>
      <w:marLeft w:val="0"/>
      <w:marRight w:val="0"/>
      <w:marTop w:val="0"/>
      <w:marBottom w:val="0"/>
      <w:divBdr>
        <w:top w:val="none" w:sz="0" w:space="0" w:color="auto"/>
        <w:left w:val="none" w:sz="0" w:space="0" w:color="auto"/>
        <w:bottom w:val="none" w:sz="0" w:space="0" w:color="auto"/>
        <w:right w:val="none" w:sz="0" w:space="0" w:color="auto"/>
      </w:divBdr>
    </w:div>
    <w:div w:id="344327003">
      <w:bodyDiv w:val="1"/>
      <w:marLeft w:val="0"/>
      <w:marRight w:val="0"/>
      <w:marTop w:val="0"/>
      <w:marBottom w:val="0"/>
      <w:divBdr>
        <w:top w:val="none" w:sz="0" w:space="0" w:color="auto"/>
        <w:left w:val="none" w:sz="0" w:space="0" w:color="auto"/>
        <w:bottom w:val="none" w:sz="0" w:space="0" w:color="auto"/>
        <w:right w:val="none" w:sz="0" w:space="0" w:color="auto"/>
      </w:divBdr>
    </w:div>
    <w:div w:id="345135232">
      <w:bodyDiv w:val="1"/>
      <w:marLeft w:val="0"/>
      <w:marRight w:val="0"/>
      <w:marTop w:val="0"/>
      <w:marBottom w:val="0"/>
      <w:divBdr>
        <w:top w:val="none" w:sz="0" w:space="0" w:color="auto"/>
        <w:left w:val="none" w:sz="0" w:space="0" w:color="auto"/>
        <w:bottom w:val="none" w:sz="0" w:space="0" w:color="auto"/>
        <w:right w:val="none" w:sz="0" w:space="0" w:color="auto"/>
      </w:divBdr>
    </w:div>
    <w:div w:id="348260384">
      <w:bodyDiv w:val="1"/>
      <w:marLeft w:val="0"/>
      <w:marRight w:val="0"/>
      <w:marTop w:val="0"/>
      <w:marBottom w:val="0"/>
      <w:divBdr>
        <w:top w:val="none" w:sz="0" w:space="0" w:color="auto"/>
        <w:left w:val="none" w:sz="0" w:space="0" w:color="auto"/>
        <w:bottom w:val="none" w:sz="0" w:space="0" w:color="auto"/>
        <w:right w:val="none" w:sz="0" w:space="0" w:color="auto"/>
      </w:divBdr>
    </w:div>
    <w:div w:id="352731647">
      <w:bodyDiv w:val="1"/>
      <w:marLeft w:val="0"/>
      <w:marRight w:val="0"/>
      <w:marTop w:val="0"/>
      <w:marBottom w:val="0"/>
      <w:divBdr>
        <w:top w:val="none" w:sz="0" w:space="0" w:color="auto"/>
        <w:left w:val="none" w:sz="0" w:space="0" w:color="auto"/>
        <w:bottom w:val="none" w:sz="0" w:space="0" w:color="auto"/>
        <w:right w:val="none" w:sz="0" w:space="0" w:color="auto"/>
      </w:divBdr>
    </w:div>
    <w:div w:id="356077733">
      <w:bodyDiv w:val="1"/>
      <w:marLeft w:val="0"/>
      <w:marRight w:val="0"/>
      <w:marTop w:val="0"/>
      <w:marBottom w:val="0"/>
      <w:divBdr>
        <w:top w:val="none" w:sz="0" w:space="0" w:color="auto"/>
        <w:left w:val="none" w:sz="0" w:space="0" w:color="auto"/>
        <w:bottom w:val="none" w:sz="0" w:space="0" w:color="auto"/>
        <w:right w:val="none" w:sz="0" w:space="0" w:color="auto"/>
      </w:divBdr>
    </w:div>
    <w:div w:id="358822987">
      <w:bodyDiv w:val="1"/>
      <w:marLeft w:val="0"/>
      <w:marRight w:val="0"/>
      <w:marTop w:val="0"/>
      <w:marBottom w:val="0"/>
      <w:divBdr>
        <w:top w:val="none" w:sz="0" w:space="0" w:color="auto"/>
        <w:left w:val="none" w:sz="0" w:space="0" w:color="auto"/>
        <w:bottom w:val="none" w:sz="0" w:space="0" w:color="auto"/>
        <w:right w:val="none" w:sz="0" w:space="0" w:color="auto"/>
      </w:divBdr>
    </w:div>
    <w:div w:id="361789616">
      <w:bodyDiv w:val="1"/>
      <w:marLeft w:val="0"/>
      <w:marRight w:val="0"/>
      <w:marTop w:val="0"/>
      <w:marBottom w:val="0"/>
      <w:divBdr>
        <w:top w:val="none" w:sz="0" w:space="0" w:color="auto"/>
        <w:left w:val="none" w:sz="0" w:space="0" w:color="auto"/>
        <w:bottom w:val="none" w:sz="0" w:space="0" w:color="auto"/>
        <w:right w:val="none" w:sz="0" w:space="0" w:color="auto"/>
      </w:divBdr>
    </w:div>
    <w:div w:id="364526557">
      <w:bodyDiv w:val="1"/>
      <w:marLeft w:val="0"/>
      <w:marRight w:val="0"/>
      <w:marTop w:val="0"/>
      <w:marBottom w:val="0"/>
      <w:divBdr>
        <w:top w:val="none" w:sz="0" w:space="0" w:color="auto"/>
        <w:left w:val="none" w:sz="0" w:space="0" w:color="auto"/>
        <w:bottom w:val="none" w:sz="0" w:space="0" w:color="auto"/>
        <w:right w:val="none" w:sz="0" w:space="0" w:color="auto"/>
      </w:divBdr>
    </w:div>
    <w:div w:id="366033627">
      <w:bodyDiv w:val="1"/>
      <w:marLeft w:val="0"/>
      <w:marRight w:val="0"/>
      <w:marTop w:val="0"/>
      <w:marBottom w:val="0"/>
      <w:divBdr>
        <w:top w:val="none" w:sz="0" w:space="0" w:color="auto"/>
        <w:left w:val="none" w:sz="0" w:space="0" w:color="auto"/>
        <w:bottom w:val="none" w:sz="0" w:space="0" w:color="auto"/>
        <w:right w:val="none" w:sz="0" w:space="0" w:color="auto"/>
      </w:divBdr>
    </w:div>
    <w:div w:id="370493520">
      <w:bodyDiv w:val="1"/>
      <w:marLeft w:val="0"/>
      <w:marRight w:val="0"/>
      <w:marTop w:val="0"/>
      <w:marBottom w:val="0"/>
      <w:divBdr>
        <w:top w:val="none" w:sz="0" w:space="0" w:color="auto"/>
        <w:left w:val="none" w:sz="0" w:space="0" w:color="auto"/>
        <w:bottom w:val="none" w:sz="0" w:space="0" w:color="auto"/>
        <w:right w:val="none" w:sz="0" w:space="0" w:color="auto"/>
      </w:divBdr>
    </w:div>
    <w:div w:id="371996816">
      <w:bodyDiv w:val="1"/>
      <w:marLeft w:val="0"/>
      <w:marRight w:val="0"/>
      <w:marTop w:val="0"/>
      <w:marBottom w:val="0"/>
      <w:divBdr>
        <w:top w:val="none" w:sz="0" w:space="0" w:color="auto"/>
        <w:left w:val="none" w:sz="0" w:space="0" w:color="auto"/>
        <w:bottom w:val="none" w:sz="0" w:space="0" w:color="auto"/>
        <w:right w:val="none" w:sz="0" w:space="0" w:color="auto"/>
      </w:divBdr>
    </w:div>
    <w:div w:id="375201825">
      <w:bodyDiv w:val="1"/>
      <w:marLeft w:val="0"/>
      <w:marRight w:val="0"/>
      <w:marTop w:val="0"/>
      <w:marBottom w:val="0"/>
      <w:divBdr>
        <w:top w:val="none" w:sz="0" w:space="0" w:color="auto"/>
        <w:left w:val="none" w:sz="0" w:space="0" w:color="auto"/>
        <w:bottom w:val="none" w:sz="0" w:space="0" w:color="auto"/>
        <w:right w:val="none" w:sz="0" w:space="0" w:color="auto"/>
      </w:divBdr>
    </w:div>
    <w:div w:id="376785787">
      <w:bodyDiv w:val="1"/>
      <w:marLeft w:val="0"/>
      <w:marRight w:val="0"/>
      <w:marTop w:val="0"/>
      <w:marBottom w:val="0"/>
      <w:divBdr>
        <w:top w:val="none" w:sz="0" w:space="0" w:color="auto"/>
        <w:left w:val="none" w:sz="0" w:space="0" w:color="auto"/>
        <w:bottom w:val="none" w:sz="0" w:space="0" w:color="auto"/>
        <w:right w:val="none" w:sz="0" w:space="0" w:color="auto"/>
      </w:divBdr>
    </w:div>
    <w:div w:id="383070560">
      <w:bodyDiv w:val="1"/>
      <w:marLeft w:val="0"/>
      <w:marRight w:val="0"/>
      <w:marTop w:val="0"/>
      <w:marBottom w:val="0"/>
      <w:divBdr>
        <w:top w:val="none" w:sz="0" w:space="0" w:color="auto"/>
        <w:left w:val="none" w:sz="0" w:space="0" w:color="auto"/>
        <w:bottom w:val="none" w:sz="0" w:space="0" w:color="auto"/>
        <w:right w:val="none" w:sz="0" w:space="0" w:color="auto"/>
      </w:divBdr>
    </w:div>
    <w:div w:id="383332171">
      <w:bodyDiv w:val="1"/>
      <w:marLeft w:val="0"/>
      <w:marRight w:val="0"/>
      <w:marTop w:val="0"/>
      <w:marBottom w:val="0"/>
      <w:divBdr>
        <w:top w:val="none" w:sz="0" w:space="0" w:color="auto"/>
        <w:left w:val="none" w:sz="0" w:space="0" w:color="auto"/>
        <w:bottom w:val="none" w:sz="0" w:space="0" w:color="auto"/>
        <w:right w:val="none" w:sz="0" w:space="0" w:color="auto"/>
      </w:divBdr>
    </w:div>
    <w:div w:id="383332565">
      <w:bodyDiv w:val="1"/>
      <w:marLeft w:val="0"/>
      <w:marRight w:val="0"/>
      <w:marTop w:val="0"/>
      <w:marBottom w:val="0"/>
      <w:divBdr>
        <w:top w:val="none" w:sz="0" w:space="0" w:color="auto"/>
        <w:left w:val="none" w:sz="0" w:space="0" w:color="auto"/>
        <w:bottom w:val="none" w:sz="0" w:space="0" w:color="auto"/>
        <w:right w:val="none" w:sz="0" w:space="0" w:color="auto"/>
      </w:divBdr>
    </w:div>
    <w:div w:id="389429913">
      <w:bodyDiv w:val="1"/>
      <w:marLeft w:val="0"/>
      <w:marRight w:val="0"/>
      <w:marTop w:val="0"/>
      <w:marBottom w:val="0"/>
      <w:divBdr>
        <w:top w:val="none" w:sz="0" w:space="0" w:color="auto"/>
        <w:left w:val="none" w:sz="0" w:space="0" w:color="auto"/>
        <w:bottom w:val="none" w:sz="0" w:space="0" w:color="auto"/>
        <w:right w:val="none" w:sz="0" w:space="0" w:color="auto"/>
      </w:divBdr>
    </w:div>
    <w:div w:id="391000597">
      <w:bodyDiv w:val="1"/>
      <w:marLeft w:val="0"/>
      <w:marRight w:val="0"/>
      <w:marTop w:val="0"/>
      <w:marBottom w:val="0"/>
      <w:divBdr>
        <w:top w:val="none" w:sz="0" w:space="0" w:color="auto"/>
        <w:left w:val="none" w:sz="0" w:space="0" w:color="auto"/>
        <w:bottom w:val="none" w:sz="0" w:space="0" w:color="auto"/>
        <w:right w:val="none" w:sz="0" w:space="0" w:color="auto"/>
      </w:divBdr>
    </w:div>
    <w:div w:id="392580401">
      <w:bodyDiv w:val="1"/>
      <w:marLeft w:val="0"/>
      <w:marRight w:val="0"/>
      <w:marTop w:val="0"/>
      <w:marBottom w:val="0"/>
      <w:divBdr>
        <w:top w:val="none" w:sz="0" w:space="0" w:color="auto"/>
        <w:left w:val="none" w:sz="0" w:space="0" w:color="auto"/>
        <w:bottom w:val="none" w:sz="0" w:space="0" w:color="auto"/>
        <w:right w:val="none" w:sz="0" w:space="0" w:color="auto"/>
      </w:divBdr>
    </w:div>
    <w:div w:id="396361935">
      <w:bodyDiv w:val="1"/>
      <w:marLeft w:val="0"/>
      <w:marRight w:val="0"/>
      <w:marTop w:val="0"/>
      <w:marBottom w:val="0"/>
      <w:divBdr>
        <w:top w:val="none" w:sz="0" w:space="0" w:color="auto"/>
        <w:left w:val="none" w:sz="0" w:space="0" w:color="auto"/>
        <w:bottom w:val="none" w:sz="0" w:space="0" w:color="auto"/>
        <w:right w:val="none" w:sz="0" w:space="0" w:color="auto"/>
      </w:divBdr>
    </w:div>
    <w:div w:id="402727945">
      <w:bodyDiv w:val="1"/>
      <w:marLeft w:val="0"/>
      <w:marRight w:val="0"/>
      <w:marTop w:val="0"/>
      <w:marBottom w:val="0"/>
      <w:divBdr>
        <w:top w:val="none" w:sz="0" w:space="0" w:color="auto"/>
        <w:left w:val="none" w:sz="0" w:space="0" w:color="auto"/>
        <w:bottom w:val="none" w:sz="0" w:space="0" w:color="auto"/>
        <w:right w:val="none" w:sz="0" w:space="0" w:color="auto"/>
      </w:divBdr>
    </w:div>
    <w:div w:id="403335432">
      <w:bodyDiv w:val="1"/>
      <w:marLeft w:val="0"/>
      <w:marRight w:val="0"/>
      <w:marTop w:val="0"/>
      <w:marBottom w:val="0"/>
      <w:divBdr>
        <w:top w:val="none" w:sz="0" w:space="0" w:color="auto"/>
        <w:left w:val="none" w:sz="0" w:space="0" w:color="auto"/>
        <w:bottom w:val="none" w:sz="0" w:space="0" w:color="auto"/>
        <w:right w:val="none" w:sz="0" w:space="0" w:color="auto"/>
      </w:divBdr>
    </w:div>
    <w:div w:id="406073890">
      <w:bodyDiv w:val="1"/>
      <w:marLeft w:val="0"/>
      <w:marRight w:val="0"/>
      <w:marTop w:val="0"/>
      <w:marBottom w:val="0"/>
      <w:divBdr>
        <w:top w:val="none" w:sz="0" w:space="0" w:color="auto"/>
        <w:left w:val="none" w:sz="0" w:space="0" w:color="auto"/>
        <w:bottom w:val="none" w:sz="0" w:space="0" w:color="auto"/>
        <w:right w:val="none" w:sz="0" w:space="0" w:color="auto"/>
      </w:divBdr>
    </w:div>
    <w:div w:id="409041403">
      <w:bodyDiv w:val="1"/>
      <w:marLeft w:val="0"/>
      <w:marRight w:val="0"/>
      <w:marTop w:val="0"/>
      <w:marBottom w:val="0"/>
      <w:divBdr>
        <w:top w:val="none" w:sz="0" w:space="0" w:color="auto"/>
        <w:left w:val="none" w:sz="0" w:space="0" w:color="auto"/>
        <w:bottom w:val="none" w:sz="0" w:space="0" w:color="auto"/>
        <w:right w:val="none" w:sz="0" w:space="0" w:color="auto"/>
      </w:divBdr>
    </w:div>
    <w:div w:id="409429041">
      <w:bodyDiv w:val="1"/>
      <w:marLeft w:val="0"/>
      <w:marRight w:val="0"/>
      <w:marTop w:val="0"/>
      <w:marBottom w:val="0"/>
      <w:divBdr>
        <w:top w:val="none" w:sz="0" w:space="0" w:color="auto"/>
        <w:left w:val="none" w:sz="0" w:space="0" w:color="auto"/>
        <w:bottom w:val="none" w:sz="0" w:space="0" w:color="auto"/>
        <w:right w:val="none" w:sz="0" w:space="0" w:color="auto"/>
      </w:divBdr>
    </w:div>
    <w:div w:id="412431113">
      <w:bodyDiv w:val="1"/>
      <w:marLeft w:val="0"/>
      <w:marRight w:val="0"/>
      <w:marTop w:val="0"/>
      <w:marBottom w:val="0"/>
      <w:divBdr>
        <w:top w:val="none" w:sz="0" w:space="0" w:color="auto"/>
        <w:left w:val="none" w:sz="0" w:space="0" w:color="auto"/>
        <w:bottom w:val="none" w:sz="0" w:space="0" w:color="auto"/>
        <w:right w:val="none" w:sz="0" w:space="0" w:color="auto"/>
      </w:divBdr>
    </w:div>
    <w:div w:id="418603810">
      <w:bodyDiv w:val="1"/>
      <w:marLeft w:val="0"/>
      <w:marRight w:val="0"/>
      <w:marTop w:val="0"/>
      <w:marBottom w:val="0"/>
      <w:divBdr>
        <w:top w:val="none" w:sz="0" w:space="0" w:color="auto"/>
        <w:left w:val="none" w:sz="0" w:space="0" w:color="auto"/>
        <w:bottom w:val="none" w:sz="0" w:space="0" w:color="auto"/>
        <w:right w:val="none" w:sz="0" w:space="0" w:color="auto"/>
      </w:divBdr>
    </w:div>
    <w:div w:id="419058052">
      <w:bodyDiv w:val="1"/>
      <w:marLeft w:val="0"/>
      <w:marRight w:val="0"/>
      <w:marTop w:val="0"/>
      <w:marBottom w:val="0"/>
      <w:divBdr>
        <w:top w:val="none" w:sz="0" w:space="0" w:color="auto"/>
        <w:left w:val="none" w:sz="0" w:space="0" w:color="auto"/>
        <w:bottom w:val="none" w:sz="0" w:space="0" w:color="auto"/>
        <w:right w:val="none" w:sz="0" w:space="0" w:color="auto"/>
      </w:divBdr>
    </w:div>
    <w:div w:id="424696083">
      <w:bodyDiv w:val="1"/>
      <w:marLeft w:val="0"/>
      <w:marRight w:val="0"/>
      <w:marTop w:val="0"/>
      <w:marBottom w:val="0"/>
      <w:divBdr>
        <w:top w:val="none" w:sz="0" w:space="0" w:color="auto"/>
        <w:left w:val="none" w:sz="0" w:space="0" w:color="auto"/>
        <w:bottom w:val="none" w:sz="0" w:space="0" w:color="auto"/>
        <w:right w:val="none" w:sz="0" w:space="0" w:color="auto"/>
      </w:divBdr>
    </w:div>
    <w:div w:id="424812682">
      <w:bodyDiv w:val="1"/>
      <w:marLeft w:val="0"/>
      <w:marRight w:val="0"/>
      <w:marTop w:val="0"/>
      <w:marBottom w:val="0"/>
      <w:divBdr>
        <w:top w:val="none" w:sz="0" w:space="0" w:color="auto"/>
        <w:left w:val="none" w:sz="0" w:space="0" w:color="auto"/>
        <w:bottom w:val="none" w:sz="0" w:space="0" w:color="auto"/>
        <w:right w:val="none" w:sz="0" w:space="0" w:color="auto"/>
      </w:divBdr>
    </w:div>
    <w:div w:id="428622738">
      <w:bodyDiv w:val="1"/>
      <w:marLeft w:val="0"/>
      <w:marRight w:val="0"/>
      <w:marTop w:val="0"/>
      <w:marBottom w:val="0"/>
      <w:divBdr>
        <w:top w:val="none" w:sz="0" w:space="0" w:color="auto"/>
        <w:left w:val="none" w:sz="0" w:space="0" w:color="auto"/>
        <w:bottom w:val="none" w:sz="0" w:space="0" w:color="auto"/>
        <w:right w:val="none" w:sz="0" w:space="0" w:color="auto"/>
      </w:divBdr>
    </w:div>
    <w:div w:id="431970777">
      <w:bodyDiv w:val="1"/>
      <w:marLeft w:val="0"/>
      <w:marRight w:val="0"/>
      <w:marTop w:val="0"/>
      <w:marBottom w:val="0"/>
      <w:divBdr>
        <w:top w:val="none" w:sz="0" w:space="0" w:color="auto"/>
        <w:left w:val="none" w:sz="0" w:space="0" w:color="auto"/>
        <w:bottom w:val="none" w:sz="0" w:space="0" w:color="auto"/>
        <w:right w:val="none" w:sz="0" w:space="0" w:color="auto"/>
      </w:divBdr>
    </w:div>
    <w:div w:id="432014649">
      <w:bodyDiv w:val="1"/>
      <w:marLeft w:val="0"/>
      <w:marRight w:val="0"/>
      <w:marTop w:val="0"/>
      <w:marBottom w:val="0"/>
      <w:divBdr>
        <w:top w:val="none" w:sz="0" w:space="0" w:color="auto"/>
        <w:left w:val="none" w:sz="0" w:space="0" w:color="auto"/>
        <w:bottom w:val="none" w:sz="0" w:space="0" w:color="auto"/>
        <w:right w:val="none" w:sz="0" w:space="0" w:color="auto"/>
      </w:divBdr>
    </w:div>
    <w:div w:id="433944054">
      <w:bodyDiv w:val="1"/>
      <w:marLeft w:val="0"/>
      <w:marRight w:val="0"/>
      <w:marTop w:val="0"/>
      <w:marBottom w:val="0"/>
      <w:divBdr>
        <w:top w:val="none" w:sz="0" w:space="0" w:color="auto"/>
        <w:left w:val="none" w:sz="0" w:space="0" w:color="auto"/>
        <w:bottom w:val="none" w:sz="0" w:space="0" w:color="auto"/>
        <w:right w:val="none" w:sz="0" w:space="0" w:color="auto"/>
      </w:divBdr>
    </w:div>
    <w:div w:id="447743135">
      <w:bodyDiv w:val="1"/>
      <w:marLeft w:val="0"/>
      <w:marRight w:val="0"/>
      <w:marTop w:val="0"/>
      <w:marBottom w:val="0"/>
      <w:divBdr>
        <w:top w:val="none" w:sz="0" w:space="0" w:color="auto"/>
        <w:left w:val="none" w:sz="0" w:space="0" w:color="auto"/>
        <w:bottom w:val="none" w:sz="0" w:space="0" w:color="auto"/>
        <w:right w:val="none" w:sz="0" w:space="0" w:color="auto"/>
      </w:divBdr>
    </w:div>
    <w:div w:id="451870846">
      <w:bodyDiv w:val="1"/>
      <w:marLeft w:val="0"/>
      <w:marRight w:val="0"/>
      <w:marTop w:val="0"/>
      <w:marBottom w:val="0"/>
      <w:divBdr>
        <w:top w:val="none" w:sz="0" w:space="0" w:color="auto"/>
        <w:left w:val="none" w:sz="0" w:space="0" w:color="auto"/>
        <w:bottom w:val="none" w:sz="0" w:space="0" w:color="auto"/>
        <w:right w:val="none" w:sz="0" w:space="0" w:color="auto"/>
      </w:divBdr>
    </w:div>
    <w:div w:id="454300446">
      <w:bodyDiv w:val="1"/>
      <w:marLeft w:val="0"/>
      <w:marRight w:val="0"/>
      <w:marTop w:val="0"/>
      <w:marBottom w:val="0"/>
      <w:divBdr>
        <w:top w:val="none" w:sz="0" w:space="0" w:color="auto"/>
        <w:left w:val="none" w:sz="0" w:space="0" w:color="auto"/>
        <w:bottom w:val="none" w:sz="0" w:space="0" w:color="auto"/>
        <w:right w:val="none" w:sz="0" w:space="0" w:color="auto"/>
      </w:divBdr>
    </w:div>
    <w:div w:id="455367862">
      <w:bodyDiv w:val="1"/>
      <w:marLeft w:val="0"/>
      <w:marRight w:val="0"/>
      <w:marTop w:val="0"/>
      <w:marBottom w:val="0"/>
      <w:divBdr>
        <w:top w:val="none" w:sz="0" w:space="0" w:color="auto"/>
        <w:left w:val="none" w:sz="0" w:space="0" w:color="auto"/>
        <w:bottom w:val="none" w:sz="0" w:space="0" w:color="auto"/>
        <w:right w:val="none" w:sz="0" w:space="0" w:color="auto"/>
      </w:divBdr>
    </w:div>
    <w:div w:id="456529360">
      <w:bodyDiv w:val="1"/>
      <w:marLeft w:val="0"/>
      <w:marRight w:val="0"/>
      <w:marTop w:val="0"/>
      <w:marBottom w:val="0"/>
      <w:divBdr>
        <w:top w:val="none" w:sz="0" w:space="0" w:color="auto"/>
        <w:left w:val="none" w:sz="0" w:space="0" w:color="auto"/>
        <w:bottom w:val="none" w:sz="0" w:space="0" w:color="auto"/>
        <w:right w:val="none" w:sz="0" w:space="0" w:color="auto"/>
      </w:divBdr>
    </w:div>
    <w:div w:id="458499664">
      <w:bodyDiv w:val="1"/>
      <w:marLeft w:val="0"/>
      <w:marRight w:val="0"/>
      <w:marTop w:val="0"/>
      <w:marBottom w:val="0"/>
      <w:divBdr>
        <w:top w:val="none" w:sz="0" w:space="0" w:color="auto"/>
        <w:left w:val="none" w:sz="0" w:space="0" w:color="auto"/>
        <w:bottom w:val="none" w:sz="0" w:space="0" w:color="auto"/>
        <w:right w:val="none" w:sz="0" w:space="0" w:color="auto"/>
      </w:divBdr>
    </w:div>
    <w:div w:id="460736155">
      <w:bodyDiv w:val="1"/>
      <w:marLeft w:val="0"/>
      <w:marRight w:val="0"/>
      <w:marTop w:val="0"/>
      <w:marBottom w:val="0"/>
      <w:divBdr>
        <w:top w:val="none" w:sz="0" w:space="0" w:color="auto"/>
        <w:left w:val="none" w:sz="0" w:space="0" w:color="auto"/>
        <w:bottom w:val="none" w:sz="0" w:space="0" w:color="auto"/>
        <w:right w:val="none" w:sz="0" w:space="0" w:color="auto"/>
      </w:divBdr>
    </w:div>
    <w:div w:id="461116748">
      <w:bodyDiv w:val="1"/>
      <w:marLeft w:val="0"/>
      <w:marRight w:val="0"/>
      <w:marTop w:val="0"/>
      <w:marBottom w:val="0"/>
      <w:divBdr>
        <w:top w:val="none" w:sz="0" w:space="0" w:color="auto"/>
        <w:left w:val="none" w:sz="0" w:space="0" w:color="auto"/>
        <w:bottom w:val="none" w:sz="0" w:space="0" w:color="auto"/>
        <w:right w:val="none" w:sz="0" w:space="0" w:color="auto"/>
      </w:divBdr>
    </w:div>
    <w:div w:id="461506298">
      <w:bodyDiv w:val="1"/>
      <w:marLeft w:val="0"/>
      <w:marRight w:val="0"/>
      <w:marTop w:val="0"/>
      <w:marBottom w:val="0"/>
      <w:divBdr>
        <w:top w:val="none" w:sz="0" w:space="0" w:color="auto"/>
        <w:left w:val="none" w:sz="0" w:space="0" w:color="auto"/>
        <w:bottom w:val="none" w:sz="0" w:space="0" w:color="auto"/>
        <w:right w:val="none" w:sz="0" w:space="0" w:color="auto"/>
      </w:divBdr>
    </w:div>
    <w:div w:id="464545949">
      <w:bodyDiv w:val="1"/>
      <w:marLeft w:val="0"/>
      <w:marRight w:val="0"/>
      <w:marTop w:val="0"/>
      <w:marBottom w:val="0"/>
      <w:divBdr>
        <w:top w:val="none" w:sz="0" w:space="0" w:color="auto"/>
        <w:left w:val="none" w:sz="0" w:space="0" w:color="auto"/>
        <w:bottom w:val="none" w:sz="0" w:space="0" w:color="auto"/>
        <w:right w:val="none" w:sz="0" w:space="0" w:color="auto"/>
      </w:divBdr>
    </w:div>
    <w:div w:id="469321415">
      <w:bodyDiv w:val="1"/>
      <w:marLeft w:val="0"/>
      <w:marRight w:val="0"/>
      <w:marTop w:val="0"/>
      <w:marBottom w:val="0"/>
      <w:divBdr>
        <w:top w:val="none" w:sz="0" w:space="0" w:color="auto"/>
        <w:left w:val="none" w:sz="0" w:space="0" w:color="auto"/>
        <w:bottom w:val="none" w:sz="0" w:space="0" w:color="auto"/>
        <w:right w:val="none" w:sz="0" w:space="0" w:color="auto"/>
      </w:divBdr>
    </w:div>
    <w:div w:id="470755090">
      <w:bodyDiv w:val="1"/>
      <w:marLeft w:val="0"/>
      <w:marRight w:val="0"/>
      <w:marTop w:val="0"/>
      <w:marBottom w:val="0"/>
      <w:divBdr>
        <w:top w:val="none" w:sz="0" w:space="0" w:color="auto"/>
        <w:left w:val="none" w:sz="0" w:space="0" w:color="auto"/>
        <w:bottom w:val="none" w:sz="0" w:space="0" w:color="auto"/>
        <w:right w:val="none" w:sz="0" w:space="0" w:color="auto"/>
      </w:divBdr>
    </w:div>
    <w:div w:id="471561032">
      <w:bodyDiv w:val="1"/>
      <w:marLeft w:val="0"/>
      <w:marRight w:val="0"/>
      <w:marTop w:val="0"/>
      <w:marBottom w:val="0"/>
      <w:divBdr>
        <w:top w:val="none" w:sz="0" w:space="0" w:color="auto"/>
        <w:left w:val="none" w:sz="0" w:space="0" w:color="auto"/>
        <w:bottom w:val="none" w:sz="0" w:space="0" w:color="auto"/>
        <w:right w:val="none" w:sz="0" w:space="0" w:color="auto"/>
      </w:divBdr>
    </w:div>
    <w:div w:id="474638927">
      <w:bodyDiv w:val="1"/>
      <w:marLeft w:val="0"/>
      <w:marRight w:val="0"/>
      <w:marTop w:val="0"/>
      <w:marBottom w:val="0"/>
      <w:divBdr>
        <w:top w:val="none" w:sz="0" w:space="0" w:color="auto"/>
        <w:left w:val="none" w:sz="0" w:space="0" w:color="auto"/>
        <w:bottom w:val="none" w:sz="0" w:space="0" w:color="auto"/>
        <w:right w:val="none" w:sz="0" w:space="0" w:color="auto"/>
      </w:divBdr>
    </w:div>
    <w:div w:id="477843443">
      <w:bodyDiv w:val="1"/>
      <w:marLeft w:val="0"/>
      <w:marRight w:val="0"/>
      <w:marTop w:val="0"/>
      <w:marBottom w:val="0"/>
      <w:divBdr>
        <w:top w:val="none" w:sz="0" w:space="0" w:color="auto"/>
        <w:left w:val="none" w:sz="0" w:space="0" w:color="auto"/>
        <w:bottom w:val="none" w:sz="0" w:space="0" w:color="auto"/>
        <w:right w:val="none" w:sz="0" w:space="0" w:color="auto"/>
      </w:divBdr>
    </w:div>
    <w:div w:id="485048949">
      <w:bodyDiv w:val="1"/>
      <w:marLeft w:val="0"/>
      <w:marRight w:val="0"/>
      <w:marTop w:val="0"/>
      <w:marBottom w:val="0"/>
      <w:divBdr>
        <w:top w:val="none" w:sz="0" w:space="0" w:color="auto"/>
        <w:left w:val="none" w:sz="0" w:space="0" w:color="auto"/>
        <w:bottom w:val="none" w:sz="0" w:space="0" w:color="auto"/>
        <w:right w:val="none" w:sz="0" w:space="0" w:color="auto"/>
      </w:divBdr>
    </w:div>
    <w:div w:id="485980168">
      <w:bodyDiv w:val="1"/>
      <w:marLeft w:val="0"/>
      <w:marRight w:val="0"/>
      <w:marTop w:val="0"/>
      <w:marBottom w:val="0"/>
      <w:divBdr>
        <w:top w:val="none" w:sz="0" w:space="0" w:color="auto"/>
        <w:left w:val="none" w:sz="0" w:space="0" w:color="auto"/>
        <w:bottom w:val="none" w:sz="0" w:space="0" w:color="auto"/>
        <w:right w:val="none" w:sz="0" w:space="0" w:color="auto"/>
      </w:divBdr>
    </w:div>
    <w:div w:id="494106993">
      <w:bodyDiv w:val="1"/>
      <w:marLeft w:val="0"/>
      <w:marRight w:val="0"/>
      <w:marTop w:val="0"/>
      <w:marBottom w:val="0"/>
      <w:divBdr>
        <w:top w:val="none" w:sz="0" w:space="0" w:color="auto"/>
        <w:left w:val="none" w:sz="0" w:space="0" w:color="auto"/>
        <w:bottom w:val="none" w:sz="0" w:space="0" w:color="auto"/>
        <w:right w:val="none" w:sz="0" w:space="0" w:color="auto"/>
      </w:divBdr>
    </w:div>
    <w:div w:id="496261962">
      <w:bodyDiv w:val="1"/>
      <w:marLeft w:val="0"/>
      <w:marRight w:val="0"/>
      <w:marTop w:val="0"/>
      <w:marBottom w:val="0"/>
      <w:divBdr>
        <w:top w:val="none" w:sz="0" w:space="0" w:color="auto"/>
        <w:left w:val="none" w:sz="0" w:space="0" w:color="auto"/>
        <w:bottom w:val="none" w:sz="0" w:space="0" w:color="auto"/>
        <w:right w:val="none" w:sz="0" w:space="0" w:color="auto"/>
      </w:divBdr>
    </w:div>
    <w:div w:id="496530792">
      <w:bodyDiv w:val="1"/>
      <w:marLeft w:val="0"/>
      <w:marRight w:val="0"/>
      <w:marTop w:val="0"/>
      <w:marBottom w:val="0"/>
      <w:divBdr>
        <w:top w:val="none" w:sz="0" w:space="0" w:color="auto"/>
        <w:left w:val="none" w:sz="0" w:space="0" w:color="auto"/>
        <w:bottom w:val="none" w:sz="0" w:space="0" w:color="auto"/>
        <w:right w:val="none" w:sz="0" w:space="0" w:color="auto"/>
      </w:divBdr>
    </w:div>
    <w:div w:id="497620962">
      <w:bodyDiv w:val="1"/>
      <w:marLeft w:val="0"/>
      <w:marRight w:val="0"/>
      <w:marTop w:val="0"/>
      <w:marBottom w:val="0"/>
      <w:divBdr>
        <w:top w:val="none" w:sz="0" w:space="0" w:color="auto"/>
        <w:left w:val="none" w:sz="0" w:space="0" w:color="auto"/>
        <w:bottom w:val="none" w:sz="0" w:space="0" w:color="auto"/>
        <w:right w:val="none" w:sz="0" w:space="0" w:color="auto"/>
      </w:divBdr>
    </w:div>
    <w:div w:id="499202594">
      <w:bodyDiv w:val="1"/>
      <w:marLeft w:val="0"/>
      <w:marRight w:val="0"/>
      <w:marTop w:val="0"/>
      <w:marBottom w:val="0"/>
      <w:divBdr>
        <w:top w:val="none" w:sz="0" w:space="0" w:color="auto"/>
        <w:left w:val="none" w:sz="0" w:space="0" w:color="auto"/>
        <w:bottom w:val="none" w:sz="0" w:space="0" w:color="auto"/>
        <w:right w:val="none" w:sz="0" w:space="0" w:color="auto"/>
      </w:divBdr>
    </w:div>
    <w:div w:id="505677722">
      <w:bodyDiv w:val="1"/>
      <w:marLeft w:val="0"/>
      <w:marRight w:val="0"/>
      <w:marTop w:val="0"/>
      <w:marBottom w:val="0"/>
      <w:divBdr>
        <w:top w:val="none" w:sz="0" w:space="0" w:color="auto"/>
        <w:left w:val="none" w:sz="0" w:space="0" w:color="auto"/>
        <w:bottom w:val="none" w:sz="0" w:space="0" w:color="auto"/>
        <w:right w:val="none" w:sz="0" w:space="0" w:color="auto"/>
      </w:divBdr>
    </w:div>
    <w:div w:id="505898348">
      <w:bodyDiv w:val="1"/>
      <w:marLeft w:val="0"/>
      <w:marRight w:val="0"/>
      <w:marTop w:val="0"/>
      <w:marBottom w:val="0"/>
      <w:divBdr>
        <w:top w:val="none" w:sz="0" w:space="0" w:color="auto"/>
        <w:left w:val="none" w:sz="0" w:space="0" w:color="auto"/>
        <w:bottom w:val="none" w:sz="0" w:space="0" w:color="auto"/>
        <w:right w:val="none" w:sz="0" w:space="0" w:color="auto"/>
      </w:divBdr>
    </w:div>
    <w:div w:id="511603958">
      <w:bodyDiv w:val="1"/>
      <w:marLeft w:val="0"/>
      <w:marRight w:val="0"/>
      <w:marTop w:val="0"/>
      <w:marBottom w:val="0"/>
      <w:divBdr>
        <w:top w:val="none" w:sz="0" w:space="0" w:color="auto"/>
        <w:left w:val="none" w:sz="0" w:space="0" w:color="auto"/>
        <w:bottom w:val="none" w:sz="0" w:space="0" w:color="auto"/>
        <w:right w:val="none" w:sz="0" w:space="0" w:color="auto"/>
      </w:divBdr>
    </w:div>
    <w:div w:id="512114813">
      <w:bodyDiv w:val="1"/>
      <w:marLeft w:val="0"/>
      <w:marRight w:val="0"/>
      <w:marTop w:val="0"/>
      <w:marBottom w:val="0"/>
      <w:divBdr>
        <w:top w:val="none" w:sz="0" w:space="0" w:color="auto"/>
        <w:left w:val="none" w:sz="0" w:space="0" w:color="auto"/>
        <w:bottom w:val="none" w:sz="0" w:space="0" w:color="auto"/>
        <w:right w:val="none" w:sz="0" w:space="0" w:color="auto"/>
      </w:divBdr>
    </w:div>
    <w:div w:id="514727572">
      <w:bodyDiv w:val="1"/>
      <w:marLeft w:val="0"/>
      <w:marRight w:val="0"/>
      <w:marTop w:val="0"/>
      <w:marBottom w:val="0"/>
      <w:divBdr>
        <w:top w:val="none" w:sz="0" w:space="0" w:color="auto"/>
        <w:left w:val="none" w:sz="0" w:space="0" w:color="auto"/>
        <w:bottom w:val="none" w:sz="0" w:space="0" w:color="auto"/>
        <w:right w:val="none" w:sz="0" w:space="0" w:color="auto"/>
      </w:divBdr>
    </w:div>
    <w:div w:id="521284284">
      <w:bodyDiv w:val="1"/>
      <w:marLeft w:val="0"/>
      <w:marRight w:val="0"/>
      <w:marTop w:val="0"/>
      <w:marBottom w:val="0"/>
      <w:divBdr>
        <w:top w:val="none" w:sz="0" w:space="0" w:color="auto"/>
        <w:left w:val="none" w:sz="0" w:space="0" w:color="auto"/>
        <w:bottom w:val="none" w:sz="0" w:space="0" w:color="auto"/>
        <w:right w:val="none" w:sz="0" w:space="0" w:color="auto"/>
      </w:divBdr>
    </w:div>
    <w:div w:id="521362404">
      <w:bodyDiv w:val="1"/>
      <w:marLeft w:val="0"/>
      <w:marRight w:val="0"/>
      <w:marTop w:val="0"/>
      <w:marBottom w:val="0"/>
      <w:divBdr>
        <w:top w:val="none" w:sz="0" w:space="0" w:color="auto"/>
        <w:left w:val="none" w:sz="0" w:space="0" w:color="auto"/>
        <w:bottom w:val="none" w:sz="0" w:space="0" w:color="auto"/>
        <w:right w:val="none" w:sz="0" w:space="0" w:color="auto"/>
      </w:divBdr>
    </w:div>
    <w:div w:id="522940194">
      <w:bodyDiv w:val="1"/>
      <w:marLeft w:val="0"/>
      <w:marRight w:val="0"/>
      <w:marTop w:val="0"/>
      <w:marBottom w:val="0"/>
      <w:divBdr>
        <w:top w:val="none" w:sz="0" w:space="0" w:color="auto"/>
        <w:left w:val="none" w:sz="0" w:space="0" w:color="auto"/>
        <w:bottom w:val="none" w:sz="0" w:space="0" w:color="auto"/>
        <w:right w:val="none" w:sz="0" w:space="0" w:color="auto"/>
      </w:divBdr>
    </w:div>
    <w:div w:id="527984737">
      <w:bodyDiv w:val="1"/>
      <w:marLeft w:val="0"/>
      <w:marRight w:val="0"/>
      <w:marTop w:val="0"/>
      <w:marBottom w:val="0"/>
      <w:divBdr>
        <w:top w:val="none" w:sz="0" w:space="0" w:color="auto"/>
        <w:left w:val="none" w:sz="0" w:space="0" w:color="auto"/>
        <w:bottom w:val="none" w:sz="0" w:space="0" w:color="auto"/>
        <w:right w:val="none" w:sz="0" w:space="0" w:color="auto"/>
      </w:divBdr>
    </w:div>
    <w:div w:id="532302820">
      <w:bodyDiv w:val="1"/>
      <w:marLeft w:val="0"/>
      <w:marRight w:val="0"/>
      <w:marTop w:val="0"/>
      <w:marBottom w:val="0"/>
      <w:divBdr>
        <w:top w:val="none" w:sz="0" w:space="0" w:color="auto"/>
        <w:left w:val="none" w:sz="0" w:space="0" w:color="auto"/>
        <w:bottom w:val="none" w:sz="0" w:space="0" w:color="auto"/>
        <w:right w:val="none" w:sz="0" w:space="0" w:color="auto"/>
      </w:divBdr>
    </w:div>
    <w:div w:id="534924475">
      <w:bodyDiv w:val="1"/>
      <w:marLeft w:val="0"/>
      <w:marRight w:val="0"/>
      <w:marTop w:val="0"/>
      <w:marBottom w:val="0"/>
      <w:divBdr>
        <w:top w:val="none" w:sz="0" w:space="0" w:color="auto"/>
        <w:left w:val="none" w:sz="0" w:space="0" w:color="auto"/>
        <w:bottom w:val="none" w:sz="0" w:space="0" w:color="auto"/>
        <w:right w:val="none" w:sz="0" w:space="0" w:color="auto"/>
      </w:divBdr>
    </w:div>
    <w:div w:id="535897478">
      <w:bodyDiv w:val="1"/>
      <w:marLeft w:val="0"/>
      <w:marRight w:val="0"/>
      <w:marTop w:val="0"/>
      <w:marBottom w:val="0"/>
      <w:divBdr>
        <w:top w:val="none" w:sz="0" w:space="0" w:color="auto"/>
        <w:left w:val="none" w:sz="0" w:space="0" w:color="auto"/>
        <w:bottom w:val="none" w:sz="0" w:space="0" w:color="auto"/>
        <w:right w:val="none" w:sz="0" w:space="0" w:color="auto"/>
      </w:divBdr>
    </w:div>
    <w:div w:id="536238368">
      <w:bodyDiv w:val="1"/>
      <w:marLeft w:val="0"/>
      <w:marRight w:val="0"/>
      <w:marTop w:val="0"/>
      <w:marBottom w:val="0"/>
      <w:divBdr>
        <w:top w:val="none" w:sz="0" w:space="0" w:color="auto"/>
        <w:left w:val="none" w:sz="0" w:space="0" w:color="auto"/>
        <w:bottom w:val="none" w:sz="0" w:space="0" w:color="auto"/>
        <w:right w:val="none" w:sz="0" w:space="0" w:color="auto"/>
      </w:divBdr>
    </w:div>
    <w:div w:id="537595226">
      <w:bodyDiv w:val="1"/>
      <w:marLeft w:val="0"/>
      <w:marRight w:val="0"/>
      <w:marTop w:val="0"/>
      <w:marBottom w:val="0"/>
      <w:divBdr>
        <w:top w:val="none" w:sz="0" w:space="0" w:color="auto"/>
        <w:left w:val="none" w:sz="0" w:space="0" w:color="auto"/>
        <w:bottom w:val="none" w:sz="0" w:space="0" w:color="auto"/>
        <w:right w:val="none" w:sz="0" w:space="0" w:color="auto"/>
      </w:divBdr>
    </w:div>
    <w:div w:id="542407164">
      <w:bodyDiv w:val="1"/>
      <w:marLeft w:val="0"/>
      <w:marRight w:val="0"/>
      <w:marTop w:val="0"/>
      <w:marBottom w:val="0"/>
      <w:divBdr>
        <w:top w:val="none" w:sz="0" w:space="0" w:color="auto"/>
        <w:left w:val="none" w:sz="0" w:space="0" w:color="auto"/>
        <w:bottom w:val="none" w:sz="0" w:space="0" w:color="auto"/>
        <w:right w:val="none" w:sz="0" w:space="0" w:color="auto"/>
      </w:divBdr>
    </w:div>
    <w:div w:id="543644133">
      <w:bodyDiv w:val="1"/>
      <w:marLeft w:val="0"/>
      <w:marRight w:val="0"/>
      <w:marTop w:val="0"/>
      <w:marBottom w:val="0"/>
      <w:divBdr>
        <w:top w:val="none" w:sz="0" w:space="0" w:color="auto"/>
        <w:left w:val="none" w:sz="0" w:space="0" w:color="auto"/>
        <w:bottom w:val="none" w:sz="0" w:space="0" w:color="auto"/>
        <w:right w:val="none" w:sz="0" w:space="0" w:color="auto"/>
      </w:divBdr>
    </w:div>
    <w:div w:id="544370526">
      <w:bodyDiv w:val="1"/>
      <w:marLeft w:val="0"/>
      <w:marRight w:val="0"/>
      <w:marTop w:val="0"/>
      <w:marBottom w:val="0"/>
      <w:divBdr>
        <w:top w:val="none" w:sz="0" w:space="0" w:color="auto"/>
        <w:left w:val="none" w:sz="0" w:space="0" w:color="auto"/>
        <w:bottom w:val="none" w:sz="0" w:space="0" w:color="auto"/>
        <w:right w:val="none" w:sz="0" w:space="0" w:color="auto"/>
      </w:divBdr>
    </w:div>
    <w:div w:id="544684203">
      <w:bodyDiv w:val="1"/>
      <w:marLeft w:val="0"/>
      <w:marRight w:val="0"/>
      <w:marTop w:val="0"/>
      <w:marBottom w:val="0"/>
      <w:divBdr>
        <w:top w:val="none" w:sz="0" w:space="0" w:color="auto"/>
        <w:left w:val="none" w:sz="0" w:space="0" w:color="auto"/>
        <w:bottom w:val="none" w:sz="0" w:space="0" w:color="auto"/>
        <w:right w:val="none" w:sz="0" w:space="0" w:color="auto"/>
      </w:divBdr>
    </w:div>
    <w:div w:id="554775763">
      <w:bodyDiv w:val="1"/>
      <w:marLeft w:val="0"/>
      <w:marRight w:val="0"/>
      <w:marTop w:val="0"/>
      <w:marBottom w:val="0"/>
      <w:divBdr>
        <w:top w:val="none" w:sz="0" w:space="0" w:color="auto"/>
        <w:left w:val="none" w:sz="0" w:space="0" w:color="auto"/>
        <w:bottom w:val="none" w:sz="0" w:space="0" w:color="auto"/>
        <w:right w:val="none" w:sz="0" w:space="0" w:color="auto"/>
      </w:divBdr>
    </w:div>
    <w:div w:id="556671732">
      <w:bodyDiv w:val="1"/>
      <w:marLeft w:val="0"/>
      <w:marRight w:val="0"/>
      <w:marTop w:val="0"/>
      <w:marBottom w:val="0"/>
      <w:divBdr>
        <w:top w:val="none" w:sz="0" w:space="0" w:color="auto"/>
        <w:left w:val="none" w:sz="0" w:space="0" w:color="auto"/>
        <w:bottom w:val="none" w:sz="0" w:space="0" w:color="auto"/>
        <w:right w:val="none" w:sz="0" w:space="0" w:color="auto"/>
      </w:divBdr>
    </w:div>
    <w:div w:id="564149859">
      <w:bodyDiv w:val="1"/>
      <w:marLeft w:val="0"/>
      <w:marRight w:val="0"/>
      <w:marTop w:val="0"/>
      <w:marBottom w:val="0"/>
      <w:divBdr>
        <w:top w:val="none" w:sz="0" w:space="0" w:color="auto"/>
        <w:left w:val="none" w:sz="0" w:space="0" w:color="auto"/>
        <w:bottom w:val="none" w:sz="0" w:space="0" w:color="auto"/>
        <w:right w:val="none" w:sz="0" w:space="0" w:color="auto"/>
      </w:divBdr>
    </w:div>
    <w:div w:id="568275383">
      <w:bodyDiv w:val="1"/>
      <w:marLeft w:val="0"/>
      <w:marRight w:val="0"/>
      <w:marTop w:val="0"/>
      <w:marBottom w:val="0"/>
      <w:divBdr>
        <w:top w:val="none" w:sz="0" w:space="0" w:color="auto"/>
        <w:left w:val="none" w:sz="0" w:space="0" w:color="auto"/>
        <w:bottom w:val="none" w:sz="0" w:space="0" w:color="auto"/>
        <w:right w:val="none" w:sz="0" w:space="0" w:color="auto"/>
      </w:divBdr>
    </w:div>
    <w:div w:id="570235740">
      <w:bodyDiv w:val="1"/>
      <w:marLeft w:val="0"/>
      <w:marRight w:val="0"/>
      <w:marTop w:val="0"/>
      <w:marBottom w:val="0"/>
      <w:divBdr>
        <w:top w:val="none" w:sz="0" w:space="0" w:color="auto"/>
        <w:left w:val="none" w:sz="0" w:space="0" w:color="auto"/>
        <w:bottom w:val="none" w:sz="0" w:space="0" w:color="auto"/>
        <w:right w:val="none" w:sz="0" w:space="0" w:color="auto"/>
      </w:divBdr>
    </w:div>
    <w:div w:id="576207383">
      <w:bodyDiv w:val="1"/>
      <w:marLeft w:val="0"/>
      <w:marRight w:val="0"/>
      <w:marTop w:val="0"/>
      <w:marBottom w:val="0"/>
      <w:divBdr>
        <w:top w:val="none" w:sz="0" w:space="0" w:color="auto"/>
        <w:left w:val="none" w:sz="0" w:space="0" w:color="auto"/>
        <w:bottom w:val="none" w:sz="0" w:space="0" w:color="auto"/>
        <w:right w:val="none" w:sz="0" w:space="0" w:color="auto"/>
      </w:divBdr>
    </w:div>
    <w:div w:id="576524900">
      <w:bodyDiv w:val="1"/>
      <w:marLeft w:val="0"/>
      <w:marRight w:val="0"/>
      <w:marTop w:val="0"/>
      <w:marBottom w:val="0"/>
      <w:divBdr>
        <w:top w:val="none" w:sz="0" w:space="0" w:color="auto"/>
        <w:left w:val="none" w:sz="0" w:space="0" w:color="auto"/>
        <w:bottom w:val="none" w:sz="0" w:space="0" w:color="auto"/>
        <w:right w:val="none" w:sz="0" w:space="0" w:color="auto"/>
      </w:divBdr>
    </w:div>
    <w:div w:id="577134838">
      <w:bodyDiv w:val="1"/>
      <w:marLeft w:val="0"/>
      <w:marRight w:val="0"/>
      <w:marTop w:val="0"/>
      <w:marBottom w:val="0"/>
      <w:divBdr>
        <w:top w:val="none" w:sz="0" w:space="0" w:color="auto"/>
        <w:left w:val="none" w:sz="0" w:space="0" w:color="auto"/>
        <w:bottom w:val="none" w:sz="0" w:space="0" w:color="auto"/>
        <w:right w:val="none" w:sz="0" w:space="0" w:color="auto"/>
      </w:divBdr>
    </w:div>
    <w:div w:id="580338721">
      <w:bodyDiv w:val="1"/>
      <w:marLeft w:val="0"/>
      <w:marRight w:val="0"/>
      <w:marTop w:val="0"/>
      <w:marBottom w:val="0"/>
      <w:divBdr>
        <w:top w:val="none" w:sz="0" w:space="0" w:color="auto"/>
        <w:left w:val="none" w:sz="0" w:space="0" w:color="auto"/>
        <w:bottom w:val="none" w:sz="0" w:space="0" w:color="auto"/>
        <w:right w:val="none" w:sz="0" w:space="0" w:color="auto"/>
      </w:divBdr>
    </w:div>
    <w:div w:id="583532623">
      <w:bodyDiv w:val="1"/>
      <w:marLeft w:val="0"/>
      <w:marRight w:val="0"/>
      <w:marTop w:val="0"/>
      <w:marBottom w:val="0"/>
      <w:divBdr>
        <w:top w:val="none" w:sz="0" w:space="0" w:color="auto"/>
        <w:left w:val="none" w:sz="0" w:space="0" w:color="auto"/>
        <w:bottom w:val="none" w:sz="0" w:space="0" w:color="auto"/>
        <w:right w:val="none" w:sz="0" w:space="0" w:color="auto"/>
      </w:divBdr>
    </w:div>
    <w:div w:id="587033178">
      <w:bodyDiv w:val="1"/>
      <w:marLeft w:val="0"/>
      <w:marRight w:val="0"/>
      <w:marTop w:val="0"/>
      <w:marBottom w:val="0"/>
      <w:divBdr>
        <w:top w:val="none" w:sz="0" w:space="0" w:color="auto"/>
        <w:left w:val="none" w:sz="0" w:space="0" w:color="auto"/>
        <w:bottom w:val="none" w:sz="0" w:space="0" w:color="auto"/>
        <w:right w:val="none" w:sz="0" w:space="0" w:color="auto"/>
      </w:divBdr>
    </w:div>
    <w:div w:id="587661968">
      <w:bodyDiv w:val="1"/>
      <w:marLeft w:val="0"/>
      <w:marRight w:val="0"/>
      <w:marTop w:val="0"/>
      <w:marBottom w:val="0"/>
      <w:divBdr>
        <w:top w:val="none" w:sz="0" w:space="0" w:color="auto"/>
        <w:left w:val="none" w:sz="0" w:space="0" w:color="auto"/>
        <w:bottom w:val="none" w:sz="0" w:space="0" w:color="auto"/>
        <w:right w:val="none" w:sz="0" w:space="0" w:color="auto"/>
      </w:divBdr>
    </w:div>
    <w:div w:id="591744665">
      <w:bodyDiv w:val="1"/>
      <w:marLeft w:val="0"/>
      <w:marRight w:val="0"/>
      <w:marTop w:val="0"/>
      <w:marBottom w:val="0"/>
      <w:divBdr>
        <w:top w:val="none" w:sz="0" w:space="0" w:color="auto"/>
        <w:left w:val="none" w:sz="0" w:space="0" w:color="auto"/>
        <w:bottom w:val="none" w:sz="0" w:space="0" w:color="auto"/>
        <w:right w:val="none" w:sz="0" w:space="0" w:color="auto"/>
      </w:divBdr>
    </w:div>
    <w:div w:id="592209249">
      <w:bodyDiv w:val="1"/>
      <w:marLeft w:val="0"/>
      <w:marRight w:val="0"/>
      <w:marTop w:val="0"/>
      <w:marBottom w:val="0"/>
      <w:divBdr>
        <w:top w:val="none" w:sz="0" w:space="0" w:color="auto"/>
        <w:left w:val="none" w:sz="0" w:space="0" w:color="auto"/>
        <w:bottom w:val="none" w:sz="0" w:space="0" w:color="auto"/>
        <w:right w:val="none" w:sz="0" w:space="0" w:color="auto"/>
      </w:divBdr>
    </w:div>
    <w:div w:id="595526758">
      <w:bodyDiv w:val="1"/>
      <w:marLeft w:val="0"/>
      <w:marRight w:val="0"/>
      <w:marTop w:val="0"/>
      <w:marBottom w:val="0"/>
      <w:divBdr>
        <w:top w:val="none" w:sz="0" w:space="0" w:color="auto"/>
        <w:left w:val="none" w:sz="0" w:space="0" w:color="auto"/>
        <w:bottom w:val="none" w:sz="0" w:space="0" w:color="auto"/>
        <w:right w:val="none" w:sz="0" w:space="0" w:color="auto"/>
      </w:divBdr>
    </w:div>
    <w:div w:id="596794461">
      <w:bodyDiv w:val="1"/>
      <w:marLeft w:val="0"/>
      <w:marRight w:val="0"/>
      <w:marTop w:val="0"/>
      <w:marBottom w:val="0"/>
      <w:divBdr>
        <w:top w:val="none" w:sz="0" w:space="0" w:color="auto"/>
        <w:left w:val="none" w:sz="0" w:space="0" w:color="auto"/>
        <w:bottom w:val="none" w:sz="0" w:space="0" w:color="auto"/>
        <w:right w:val="none" w:sz="0" w:space="0" w:color="auto"/>
      </w:divBdr>
    </w:div>
    <w:div w:id="596912708">
      <w:bodyDiv w:val="1"/>
      <w:marLeft w:val="0"/>
      <w:marRight w:val="0"/>
      <w:marTop w:val="0"/>
      <w:marBottom w:val="0"/>
      <w:divBdr>
        <w:top w:val="none" w:sz="0" w:space="0" w:color="auto"/>
        <w:left w:val="none" w:sz="0" w:space="0" w:color="auto"/>
        <w:bottom w:val="none" w:sz="0" w:space="0" w:color="auto"/>
        <w:right w:val="none" w:sz="0" w:space="0" w:color="auto"/>
      </w:divBdr>
    </w:div>
    <w:div w:id="598947191">
      <w:bodyDiv w:val="1"/>
      <w:marLeft w:val="0"/>
      <w:marRight w:val="0"/>
      <w:marTop w:val="0"/>
      <w:marBottom w:val="0"/>
      <w:divBdr>
        <w:top w:val="none" w:sz="0" w:space="0" w:color="auto"/>
        <w:left w:val="none" w:sz="0" w:space="0" w:color="auto"/>
        <w:bottom w:val="none" w:sz="0" w:space="0" w:color="auto"/>
        <w:right w:val="none" w:sz="0" w:space="0" w:color="auto"/>
      </w:divBdr>
    </w:div>
    <w:div w:id="602692892">
      <w:bodyDiv w:val="1"/>
      <w:marLeft w:val="0"/>
      <w:marRight w:val="0"/>
      <w:marTop w:val="0"/>
      <w:marBottom w:val="0"/>
      <w:divBdr>
        <w:top w:val="none" w:sz="0" w:space="0" w:color="auto"/>
        <w:left w:val="none" w:sz="0" w:space="0" w:color="auto"/>
        <w:bottom w:val="none" w:sz="0" w:space="0" w:color="auto"/>
        <w:right w:val="none" w:sz="0" w:space="0" w:color="auto"/>
      </w:divBdr>
    </w:div>
    <w:div w:id="604122301">
      <w:bodyDiv w:val="1"/>
      <w:marLeft w:val="0"/>
      <w:marRight w:val="0"/>
      <w:marTop w:val="0"/>
      <w:marBottom w:val="0"/>
      <w:divBdr>
        <w:top w:val="none" w:sz="0" w:space="0" w:color="auto"/>
        <w:left w:val="none" w:sz="0" w:space="0" w:color="auto"/>
        <w:bottom w:val="none" w:sz="0" w:space="0" w:color="auto"/>
        <w:right w:val="none" w:sz="0" w:space="0" w:color="auto"/>
      </w:divBdr>
    </w:div>
    <w:div w:id="606812553">
      <w:bodyDiv w:val="1"/>
      <w:marLeft w:val="0"/>
      <w:marRight w:val="0"/>
      <w:marTop w:val="0"/>
      <w:marBottom w:val="0"/>
      <w:divBdr>
        <w:top w:val="none" w:sz="0" w:space="0" w:color="auto"/>
        <w:left w:val="none" w:sz="0" w:space="0" w:color="auto"/>
        <w:bottom w:val="none" w:sz="0" w:space="0" w:color="auto"/>
        <w:right w:val="none" w:sz="0" w:space="0" w:color="auto"/>
      </w:divBdr>
    </w:div>
    <w:div w:id="607810185">
      <w:bodyDiv w:val="1"/>
      <w:marLeft w:val="0"/>
      <w:marRight w:val="0"/>
      <w:marTop w:val="0"/>
      <w:marBottom w:val="0"/>
      <w:divBdr>
        <w:top w:val="none" w:sz="0" w:space="0" w:color="auto"/>
        <w:left w:val="none" w:sz="0" w:space="0" w:color="auto"/>
        <w:bottom w:val="none" w:sz="0" w:space="0" w:color="auto"/>
        <w:right w:val="none" w:sz="0" w:space="0" w:color="auto"/>
      </w:divBdr>
    </w:div>
    <w:div w:id="608700069">
      <w:bodyDiv w:val="1"/>
      <w:marLeft w:val="0"/>
      <w:marRight w:val="0"/>
      <w:marTop w:val="0"/>
      <w:marBottom w:val="0"/>
      <w:divBdr>
        <w:top w:val="none" w:sz="0" w:space="0" w:color="auto"/>
        <w:left w:val="none" w:sz="0" w:space="0" w:color="auto"/>
        <w:bottom w:val="none" w:sz="0" w:space="0" w:color="auto"/>
        <w:right w:val="none" w:sz="0" w:space="0" w:color="auto"/>
      </w:divBdr>
    </w:div>
    <w:div w:id="609430958">
      <w:bodyDiv w:val="1"/>
      <w:marLeft w:val="0"/>
      <w:marRight w:val="0"/>
      <w:marTop w:val="0"/>
      <w:marBottom w:val="0"/>
      <w:divBdr>
        <w:top w:val="none" w:sz="0" w:space="0" w:color="auto"/>
        <w:left w:val="none" w:sz="0" w:space="0" w:color="auto"/>
        <w:bottom w:val="none" w:sz="0" w:space="0" w:color="auto"/>
        <w:right w:val="none" w:sz="0" w:space="0" w:color="auto"/>
      </w:divBdr>
    </w:div>
    <w:div w:id="611090396">
      <w:bodyDiv w:val="1"/>
      <w:marLeft w:val="0"/>
      <w:marRight w:val="0"/>
      <w:marTop w:val="0"/>
      <w:marBottom w:val="0"/>
      <w:divBdr>
        <w:top w:val="none" w:sz="0" w:space="0" w:color="auto"/>
        <w:left w:val="none" w:sz="0" w:space="0" w:color="auto"/>
        <w:bottom w:val="none" w:sz="0" w:space="0" w:color="auto"/>
        <w:right w:val="none" w:sz="0" w:space="0" w:color="auto"/>
      </w:divBdr>
    </w:div>
    <w:div w:id="613288692">
      <w:bodyDiv w:val="1"/>
      <w:marLeft w:val="0"/>
      <w:marRight w:val="0"/>
      <w:marTop w:val="0"/>
      <w:marBottom w:val="0"/>
      <w:divBdr>
        <w:top w:val="none" w:sz="0" w:space="0" w:color="auto"/>
        <w:left w:val="none" w:sz="0" w:space="0" w:color="auto"/>
        <w:bottom w:val="none" w:sz="0" w:space="0" w:color="auto"/>
        <w:right w:val="none" w:sz="0" w:space="0" w:color="auto"/>
      </w:divBdr>
    </w:div>
    <w:div w:id="616527041">
      <w:bodyDiv w:val="1"/>
      <w:marLeft w:val="0"/>
      <w:marRight w:val="0"/>
      <w:marTop w:val="0"/>
      <w:marBottom w:val="0"/>
      <w:divBdr>
        <w:top w:val="none" w:sz="0" w:space="0" w:color="auto"/>
        <w:left w:val="none" w:sz="0" w:space="0" w:color="auto"/>
        <w:bottom w:val="none" w:sz="0" w:space="0" w:color="auto"/>
        <w:right w:val="none" w:sz="0" w:space="0" w:color="auto"/>
      </w:divBdr>
    </w:div>
    <w:div w:id="618338498">
      <w:bodyDiv w:val="1"/>
      <w:marLeft w:val="0"/>
      <w:marRight w:val="0"/>
      <w:marTop w:val="0"/>
      <w:marBottom w:val="0"/>
      <w:divBdr>
        <w:top w:val="none" w:sz="0" w:space="0" w:color="auto"/>
        <w:left w:val="none" w:sz="0" w:space="0" w:color="auto"/>
        <w:bottom w:val="none" w:sz="0" w:space="0" w:color="auto"/>
        <w:right w:val="none" w:sz="0" w:space="0" w:color="auto"/>
      </w:divBdr>
    </w:div>
    <w:div w:id="618682153">
      <w:bodyDiv w:val="1"/>
      <w:marLeft w:val="0"/>
      <w:marRight w:val="0"/>
      <w:marTop w:val="0"/>
      <w:marBottom w:val="0"/>
      <w:divBdr>
        <w:top w:val="none" w:sz="0" w:space="0" w:color="auto"/>
        <w:left w:val="none" w:sz="0" w:space="0" w:color="auto"/>
        <w:bottom w:val="none" w:sz="0" w:space="0" w:color="auto"/>
        <w:right w:val="none" w:sz="0" w:space="0" w:color="auto"/>
      </w:divBdr>
    </w:div>
    <w:div w:id="620573445">
      <w:bodyDiv w:val="1"/>
      <w:marLeft w:val="0"/>
      <w:marRight w:val="0"/>
      <w:marTop w:val="0"/>
      <w:marBottom w:val="0"/>
      <w:divBdr>
        <w:top w:val="none" w:sz="0" w:space="0" w:color="auto"/>
        <w:left w:val="none" w:sz="0" w:space="0" w:color="auto"/>
        <w:bottom w:val="none" w:sz="0" w:space="0" w:color="auto"/>
        <w:right w:val="none" w:sz="0" w:space="0" w:color="auto"/>
      </w:divBdr>
    </w:div>
    <w:div w:id="624506108">
      <w:bodyDiv w:val="1"/>
      <w:marLeft w:val="0"/>
      <w:marRight w:val="0"/>
      <w:marTop w:val="0"/>
      <w:marBottom w:val="0"/>
      <w:divBdr>
        <w:top w:val="none" w:sz="0" w:space="0" w:color="auto"/>
        <w:left w:val="none" w:sz="0" w:space="0" w:color="auto"/>
        <w:bottom w:val="none" w:sz="0" w:space="0" w:color="auto"/>
        <w:right w:val="none" w:sz="0" w:space="0" w:color="auto"/>
      </w:divBdr>
    </w:div>
    <w:div w:id="636883354">
      <w:bodyDiv w:val="1"/>
      <w:marLeft w:val="0"/>
      <w:marRight w:val="0"/>
      <w:marTop w:val="0"/>
      <w:marBottom w:val="0"/>
      <w:divBdr>
        <w:top w:val="none" w:sz="0" w:space="0" w:color="auto"/>
        <w:left w:val="none" w:sz="0" w:space="0" w:color="auto"/>
        <w:bottom w:val="none" w:sz="0" w:space="0" w:color="auto"/>
        <w:right w:val="none" w:sz="0" w:space="0" w:color="auto"/>
      </w:divBdr>
    </w:div>
    <w:div w:id="641158340">
      <w:bodyDiv w:val="1"/>
      <w:marLeft w:val="0"/>
      <w:marRight w:val="0"/>
      <w:marTop w:val="0"/>
      <w:marBottom w:val="0"/>
      <w:divBdr>
        <w:top w:val="none" w:sz="0" w:space="0" w:color="auto"/>
        <w:left w:val="none" w:sz="0" w:space="0" w:color="auto"/>
        <w:bottom w:val="none" w:sz="0" w:space="0" w:color="auto"/>
        <w:right w:val="none" w:sz="0" w:space="0" w:color="auto"/>
      </w:divBdr>
    </w:div>
    <w:div w:id="643582831">
      <w:bodyDiv w:val="1"/>
      <w:marLeft w:val="0"/>
      <w:marRight w:val="0"/>
      <w:marTop w:val="0"/>
      <w:marBottom w:val="0"/>
      <w:divBdr>
        <w:top w:val="none" w:sz="0" w:space="0" w:color="auto"/>
        <w:left w:val="none" w:sz="0" w:space="0" w:color="auto"/>
        <w:bottom w:val="none" w:sz="0" w:space="0" w:color="auto"/>
        <w:right w:val="none" w:sz="0" w:space="0" w:color="auto"/>
      </w:divBdr>
    </w:div>
    <w:div w:id="650209959">
      <w:bodyDiv w:val="1"/>
      <w:marLeft w:val="0"/>
      <w:marRight w:val="0"/>
      <w:marTop w:val="0"/>
      <w:marBottom w:val="0"/>
      <w:divBdr>
        <w:top w:val="none" w:sz="0" w:space="0" w:color="auto"/>
        <w:left w:val="none" w:sz="0" w:space="0" w:color="auto"/>
        <w:bottom w:val="none" w:sz="0" w:space="0" w:color="auto"/>
        <w:right w:val="none" w:sz="0" w:space="0" w:color="auto"/>
      </w:divBdr>
    </w:div>
    <w:div w:id="652877729">
      <w:bodyDiv w:val="1"/>
      <w:marLeft w:val="0"/>
      <w:marRight w:val="0"/>
      <w:marTop w:val="0"/>
      <w:marBottom w:val="0"/>
      <w:divBdr>
        <w:top w:val="none" w:sz="0" w:space="0" w:color="auto"/>
        <w:left w:val="none" w:sz="0" w:space="0" w:color="auto"/>
        <w:bottom w:val="none" w:sz="0" w:space="0" w:color="auto"/>
        <w:right w:val="none" w:sz="0" w:space="0" w:color="auto"/>
      </w:divBdr>
    </w:div>
    <w:div w:id="654142838">
      <w:bodyDiv w:val="1"/>
      <w:marLeft w:val="0"/>
      <w:marRight w:val="0"/>
      <w:marTop w:val="0"/>
      <w:marBottom w:val="0"/>
      <w:divBdr>
        <w:top w:val="none" w:sz="0" w:space="0" w:color="auto"/>
        <w:left w:val="none" w:sz="0" w:space="0" w:color="auto"/>
        <w:bottom w:val="none" w:sz="0" w:space="0" w:color="auto"/>
        <w:right w:val="none" w:sz="0" w:space="0" w:color="auto"/>
      </w:divBdr>
    </w:div>
    <w:div w:id="654264023">
      <w:bodyDiv w:val="1"/>
      <w:marLeft w:val="0"/>
      <w:marRight w:val="0"/>
      <w:marTop w:val="0"/>
      <w:marBottom w:val="0"/>
      <w:divBdr>
        <w:top w:val="none" w:sz="0" w:space="0" w:color="auto"/>
        <w:left w:val="none" w:sz="0" w:space="0" w:color="auto"/>
        <w:bottom w:val="none" w:sz="0" w:space="0" w:color="auto"/>
        <w:right w:val="none" w:sz="0" w:space="0" w:color="auto"/>
      </w:divBdr>
    </w:div>
    <w:div w:id="654409420">
      <w:bodyDiv w:val="1"/>
      <w:marLeft w:val="0"/>
      <w:marRight w:val="0"/>
      <w:marTop w:val="0"/>
      <w:marBottom w:val="0"/>
      <w:divBdr>
        <w:top w:val="none" w:sz="0" w:space="0" w:color="auto"/>
        <w:left w:val="none" w:sz="0" w:space="0" w:color="auto"/>
        <w:bottom w:val="none" w:sz="0" w:space="0" w:color="auto"/>
        <w:right w:val="none" w:sz="0" w:space="0" w:color="auto"/>
      </w:divBdr>
    </w:div>
    <w:div w:id="655842916">
      <w:bodyDiv w:val="1"/>
      <w:marLeft w:val="0"/>
      <w:marRight w:val="0"/>
      <w:marTop w:val="0"/>
      <w:marBottom w:val="0"/>
      <w:divBdr>
        <w:top w:val="none" w:sz="0" w:space="0" w:color="auto"/>
        <w:left w:val="none" w:sz="0" w:space="0" w:color="auto"/>
        <w:bottom w:val="none" w:sz="0" w:space="0" w:color="auto"/>
        <w:right w:val="none" w:sz="0" w:space="0" w:color="auto"/>
      </w:divBdr>
    </w:div>
    <w:div w:id="656227523">
      <w:bodyDiv w:val="1"/>
      <w:marLeft w:val="0"/>
      <w:marRight w:val="0"/>
      <w:marTop w:val="0"/>
      <w:marBottom w:val="0"/>
      <w:divBdr>
        <w:top w:val="none" w:sz="0" w:space="0" w:color="auto"/>
        <w:left w:val="none" w:sz="0" w:space="0" w:color="auto"/>
        <w:bottom w:val="none" w:sz="0" w:space="0" w:color="auto"/>
        <w:right w:val="none" w:sz="0" w:space="0" w:color="auto"/>
      </w:divBdr>
    </w:div>
    <w:div w:id="658070741">
      <w:bodyDiv w:val="1"/>
      <w:marLeft w:val="0"/>
      <w:marRight w:val="0"/>
      <w:marTop w:val="0"/>
      <w:marBottom w:val="0"/>
      <w:divBdr>
        <w:top w:val="none" w:sz="0" w:space="0" w:color="auto"/>
        <w:left w:val="none" w:sz="0" w:space="0" w:color="auto"/>
        <w:bottom w:val="none" w:sz="0" w:space="0" w:color="auto"/>
        <w:right w:val="none" w:sz="0" w:space="0" w:color="auto"/>
      </w:divBdr>
    </w:div>
    <w:div w:id="660088143">
      <w:bodyDiv w:val="1"/>
      <w:marLeft w:val="0"/>
      <w:marRight w:val="0"/>
      <w:marTop w:val="0"/>
      <w:marBottom w:val="0"/>
      <w:divBdr>
        <w:top w:val="none" w:sz="0" w:space="0" w:color="auto"/>
        <w:left w:val="none" w:sz="0" w:space="0" w:color="auto"/>
        <w:bottom w:val="none" w:sz="0" w:space="0" w:color="auto"/>
        <w:right w:val="none" w:sz="0" w:space="0" w:color="auto"/>
      </w:divBdr>
    </w:div>
    <w:div w:id="660736077">
      <w:bodyDiv w:val="1"/>
      <w:marLeft w:val="0"/>
      <w:marRight w:val="0"/>
      <w:marTop w:val="0"/>
      <w:marBottom w:val="0"/>
      <w:divBdr>
        <w:top w:val="none" w:sz="0" w:space="0" w:color="auto"/>
        <w:left w:val="none" w:sz="0" w:space="0" w:color="auto"/>
        <w:bottom w:val="none" w:sz="0" w:space="0" w:color="auto"/>
        <w:right w:val="none" w:sz="0" w:space="0" w:color="auto"/>
      </w:divBdr>
    </w:div>
    <w:div w:id="662902546">
      <w:bodyDiv w:val="1"/>
      <w:marLeft w:val="0"/>
      <w:marRight w:val="0"/>
      <w:marTop w:val="0"/>
      <w:marBottom w:val="0"/>
      <w:divBdr>
        <w:top w:val="none" w:sz="0" w:space="0" w:color="auto"/>
        <w:left w:val="none" w:sz="0" w:space="0" w:color="auto"/>
        <w:bottom w:val="none" w:sz="0" w:space="0" w:color="auto"/>
        <w:right w:val="none" w:sz="0" w:space="0" w:color="auto"/>
      </w:divBdr>
    </w:div>
    <w:div w:id="664287056">
      <w:bodyDiv w:val="1"/>
      <w:marLeft w:val="0"/>
      <w:marRight w:val="0"/>
      <w:marTop w:val="0"/>
      <w:marBottom w:val="0"/>
      <w:divBdr>
        <w:top w:val="none" w:sz="0" w:space="0" w:color="auto"/>
        <w:left w:val="none" w:sz="0" w:space="0" w:color="auto"/>
        <w:bottom w:val="none" w:sz="0" w:space="0" w:color="auto"/>
        <w:right w:val="none" w:sz="0" w:space="0" w:color="auto"/>
      </w:divBdr>
    </w:div>
    <w:div w:id="665212800">
      <w:bodyDiv w:val="1"/>
      <w:marLeft w:val="0"/>
      <w:marRight w:val="0"/>
      <w:marTop w:val="0"/>
      <w:marBottom w:val="0"/>
      <w:divBdr>
        <w:top w:val="none" w:sz="0" w:space="0" w:color="auto"/>
        <w:left w:val="none" w:sz="0" w:space="0" w:color="auto"/>
        <w:bottom w:val="none" w:sz="0" w:space="0" w:color="auto"/>
        <w:right w:val="none" w:sz="0" w:space="0" w:color="auto"/>
      </w:divBdr>
    </w:div>
    <w:div w:id="665671611">
      <w:bodyDiv w:val="1"/>
      <w:marLeft w:val="0"/>
      <w:marRight w:val="0"/>
      <w:marTop w:val="0"/>
      <w:marBottom w:val="0"/>
      <w:divBdr>
        <w:top w:val="none" w:sz="0" w:space="0" w:color="auto"/>
        <w:left w:val="none" w:sz="0" w:space="0" w:color="auto"/>
        <w:bottom w:val="none" w:sz="0" w:space="0" w:color="auto"/>
        <w:right w:val="none" w:sz="0" w:space="0" w:color="auto"/>
      </w:divBdr>
    </w:div>
    <w:div w:id="677848550">
      <w:bodyDiv w:val="1"/>
      <w:marLeft w:val="0"/>
      <w:marRight w:val="0"/>
      <w:marTop w:val="0"/>
      <w:marBottom w:val="0"/>
      <w:divBdr>
        <w:top w:val="none" w:sz="0" w:space="0" w:color="auto"/>
        <w:left w:val="none" w:sz="0" w:space="0" w:color="auto"/>
        <w:bottom w:val="none" w:sz="0" w:space="0" w:color="auto"/>
        <w:right w:val="none" w:sz="0" w:space="0" w:color="auto"/>
      </w:divBdr>
    </w:div>
    <w:div w:id="678436098">
      <w:bodyDiv w:val="1"/>
      <w:marLeft w:val="0"/>
      <w:marRight w:val="0"/>
      <w:marTop w:val="0"/>
      <w:marBottom w:val="0"/>
      <w:divBdr>
        <w:top w:val="none" w:sz="0" w:space="0" w:color="auto"/>
        <w:left w:val="none" w:sz="0" w:space="0" w:color="auto"/>
        <w:bottom w:val="none" w:sz="0" w:space="0" w:color="auto"/>
        <w:right w:val="none" w:sz="0" w:space="0" w:color="auto"/>
      </w:divBdr>
    </w:div>
    <w:div w:id="681395816">
      <w:bodyDiv w:val="1"/>
      <w:marLeft w:val="0"/>
      <w:marRight w:val="0"/>
      <w:marTop w:val="0"/>
      <w:marBottom w:val="0"/>
      <w:divBdr>
        <w:top w:val="none" w:sz="0" w:space="0" w:color="auto"/>
        <w:left w:val="none" w:sz="0" w:space="0" w:color="auto"/>
        <w:bottom w:val="none" w:sz="0" w:space="0" w:color="auto"/>
        <w:right w:val="none" w:sz="0" w:space="0" w:color="auto"/>
      </w:divBdr>
    </w:div>
    <w:div w:id="684281495">
      <w:bodyDiv w:val="1"/>
      <w:marLeft w:val="0"/>
      <w:marRight w:val="0"/>
      <w:marTop w:val="0"/>
      <w:marBottom w:val="0"/>
      <w:divBdr>
        <w:top w:val="none" w:sz="0" w:space="0" w:color="auto"/>
        <w:left w:val="none" w:sz="0" w:space="0" w:color="auto"/>
        <w:bottom w:val="none" w:sz="0" w:space="0" w:color="auto"/>
        <w:right w:val="none" w:sz="0" w:space="0" w:color="auto"/>
      </w:divBdr>
    </w:div>
    <w:div w:id="684524571">
      <w:bodyDiv w:val="1"/>
      <w:marLeft w:val="0"/>
      <w:marRight w:val="0"/>
      <w:marTop w:val="0"/>
      <w:marBottom w:val="0"/>
      <w:divBdr>
        <w:top w:val="none" w:sz="0" w:space="0" w:color="auto"/>
        <w:left w:val="none" w:sz="0" w:space="0" w:color="auto"/>
        <w:bottom w:val="none" w:sz="0" w:space="0" w:color="auto"/>
        <w:right w:val="none" w:sz="0" w:space="0" w:color="auto"/>
      </w:divBdr>
    </w:div>
    <w:div w:id="687372969">
      <w:bodyDiv w:val="1"/>
      <w:marLeft w:val="0"/>
      <w:marRight w:val="0"/>
      <w:marTop w:val="0"/>
      <w:marBottom w:val="0"/>
      <w:divBdr>
        <w:top w:val="none" w:sz="0" w:space="0" w:color="auto"/>
        <w:left w:val="none" w:sz="0" w:space="0" w:color="auto"/>
        <w:bottom w:val="none" w:sz="0" w:space="0" w:color="auto"/>
        <w:right w:val="none" w:sz="0" w:space="0" w:color="auto"/>
      </w:divBdr>
    </w:div>
    <w:div w:id="688600986">
      <w:bodyDiv w:val="1"/>
      <w:marLeft w:val="0"/>
      <w:marRight w:val="0"/>
      <w:marTop w:val="0"/>
      <w:marBottom w:val="0"/>
      <w:divBdr>
        <w:top w:val="none" w:sz="0" w:space="0" w:color="auto"/>
        <w:left w:val="none" w:sz="0" w:space="0" w:color="auto"/>
        <w:bottom w:val="none" w:sz="0" w:space="0" w:color="auto"/>
        <w:right w:val="none" w:sz="0" w:space="0" w:color="auto"/>
      </w:divBdr>
    </w:div>
    <w:div w:id="689837681">
      <w:bodyDiv w:val="1"/>
      <w:marLeft w:val="0"/>
      <w:marRight w:val="0"/>
      <w:marTop w:val="0"/>
      <w:marBottom w:val="0"/>
      <w:divBdr>
        <w:top w:val="none" w:sz="0" w:space="0" w:color="auto"/>
        <w:left w:val="none" w:sz="0" w:space="0" w:color="auto"/>
        <w:bottom w:val="none" w:sz="0" w:space="0" w:color="auto"/>
        <w:right w:val="none" w:sz="0" w:space="0" w:color="auto"/>
      </w:divBdr>
    </w:div>
    <w:div w:id="690372427">
      <w:bodyDiv w:val="1"/>
      <w:marLeft w:val="0"/>
      <w:marRight w:val="0"/>
      <w:marTop w:val="0"/>
      <w:marBottom w:val="0"/>
      <w:divBdr>
        <w:top w:val="none" w:sz="0" w:space="0" w:color="auto"/>
        <w:left w:val="none" w:sz="0" w:space="0" w:color="auto"/>
        <w:bottom w:val="none" w:sz="0" w:space="0" w:color="auto"/>
        <w:right w:val="none" w:sz="0" w:space="0" w:color="auto"/>
      </w:divBdr>
    </w:div>
    <w:div w:id="693310432">
      <w:bodyDiv w:val="1"/>
      <w:marLeft w:val="0"/>
      <w:marRight w:val="0"/>
      <w:marTop w:val="0"/>
      <w:marBottom w:val="0"/>
      <w:divBdr>
        <w:top w:val="none" w:sz="0" w:space="0" w:color="auto"/>
        <w:left w:val="none" w:sz="0" w:space="0" w:color="auto"/>
        <w:bottom w:val="none" w:sz="0" w:space="0" w:color="auto"/>
        <w:right w:val="none" w:sz="0" w:space="0" w:color="auto"/>
      </w:divBdr>
    </w:div>
    <w:div w:id="693383220">
      <w:bodyDiv w:val="1"/>
      <w:marLeft w:val="0"/>
      <w:marRight w:val="0"/>
      <w:marTop w:val="0"/>
      <w:marBottom w:val="0"/>
      <w:divBdr>
        <w:top w:val="none" w:sz="0" w:space="0" w:color="auto"/>
        <w:left w:val="none" w:sz="0" w:space="0" w:color="auto"/>
        <w:bottom w:val="none" w:sz="0" w:space="0" w:color="auto"/>
        <w:right w:val="none" w:sz="0" w:space="0" w:color="auto"/>
      </w:divBdr>
    </w:div>
    <w:div w:id="693578216">
      <w:bodyDiv w:val="1"/>
      <w:marLeft w:val="0"/>
      <w:marRight w:val="0"/>
      <w:marTop w:val="0"/>
      <w:marBottom w:val="0"/>
      <w:divBdr>
        <w:top w:val="none" w:sz="0" w:space="0" w:color="auto"/>
        <w:left w:val="none" w:sz="0" w:space="0" w:color="auto"/>
        <w:bottom w:val="none" w:sz="0" w:space="0" w:color="auto"/>
        <w:right w:val="none" w:sz="0" w:space="0" w:color="auto"/>
      </w:divBdr>
    </w:div>
    <w:div w:id="695079045">
      <w:bodyDiv w:val="1"/>
      <w:marLeft w:val="0"/>
      <w:marRight w:val="0"/>
      <w:marTop w:val="0"/>
      <w:marBottom w:val="0"/>
      <w:divBdr>
        <w:top w:val="none" w:sz="0" w:space="0" w:color="auto"/>
        <w:left w:val="none" w:sz="0" w:space="0" w:color="auto"/>
        <w:bottom w:val="none" w:sz="0" w:space="0" w:color="auto"/>
        <w:right w:val="none" w:sz="0" w:space="0" w:color="auto"/>
      </w:divBdr>
    </w:div>
    <w:div w:id="696077393">
      <w:bodyDiv w:val="1"/>
      <w:marLeft w:val="0"/>
      <w:marRight w:val="0"/>
      <w:marTop w:val="0"/>
      <w:marBottom w:val="0"/>
      <w:divBdr>
        <w:top w:val="none" w:sz="0" w:space="0" w:color="auto"/>
        <w:left w:val="none" w:sz="0" w:space="0" w:color="auto"/>
        <w:bottom w:val="none" w:sz="0" w:space="0" w:color="auto"/>
        <w:right w:val="none" w:sz="0" w:space="0" w:color="auto"/>
      </w:divBdr>
    </w:div>
    <w:div w:id="696464594">
      <w:bodyDiv w:val="1"/>
      <w:marLeft w:val="0"/>
      <w:marRight w:val="0"/>
      <w:marTop w:val="0"/>
      <w:marBottom w:val="0"/>
      <w:divBdr>
        <w:top w:val="none" w:sz="0" w:space="0" w:color="auto"/>
        <w:left w:val="none" w:sz="0" w:space="0" w:color="auto"/>
        <w:bottom w:val="none" w:sz="0" w:space="0" w:color="auto"/>
        <w:right w:val="none" w:sz="0" w:space="0" w:color="auto"/>
      </w:divBdr>
    </w:div>
    <w:div w:id="699160511">
      <w:bodyDiv w:val="1"/>
      <w:marLeft w:val="0"/>
      <w:marRight w:val="0"/>
      <w:marTop w:val="0"/>
      <w:marBottom w:val="0"/>
      <w:divBdr>
        <w:top w:val="none" w:sz="0" w:space="0" w:color="auto"/>
        <w:left w:val="none" w:sz="0" w:space="0" w:color="auto"/>
        <w:bottom w:val="none" w:sz="0" w:space="0" w:color="auto"/>
        <w:right w:val="none" w:sz="0" w:space="0" w:color="auto"/>
      </w:divBdr>
    </w:div>
    <w:div w:id="704135032">
      <w:bodyDiv w:val="1"/>
      <w:marLeft w:val="0"/>
      <w:marRight w:val="0"/>
      <w:marTop w:val="0"/>
      <w:marBottom w:val="0"/>
      <w:divBdr>
        <w:top w:val="none" w:sz="0" w:space="0" w:color="auto"/>
        <w:left w:val="none" w:sz="0" w:space="0" w:color="auto"/>
        <w:bottom w:val="none" w:sz="0" w:space="0" w:color="auto"/>
        <w:right w:val="none" w:sz="0" w:space="0" w:color="auto"/>
      </w:divBdr>
    </w:div>
    <w:div w:id="704795019">
      <w:bodyDiv w:val="1"/>
      <w:marLeft w:val="0"/>
      <w:marRight w:val="0"/>
      <w:marTop w:val="0"/>
      <w:marBottom w:val="0"/>
      <w:divBdr>
        <w:top w:val="none" w:sz="0" w:space="0" w:color="auto"/>
        <w:left w:val="none" w:sz="0" w:space="0" w:color="auto"/>
        <w:bottom w:val="none" w:sz="0" w:space="0" w:color="auto"/>
        <w:right w:val="none" w:sz="0" w:space="0" w:color="auto"/>
      </w:divBdr>
    </w:div>
    <w:div w:id="705564537">
      <w:bodyDiv w:val="1"/>
      <w:marLeft w:val="0"/>
      <w:marRight w:val="0"/>
      <w:marTop w:val="0"/>
      <w:marBottom w:val="0"/>
      <w:divBdr>
        <w:top w:val="none" w:sz="0" w:space="0" w:color="auto"/>
        <w:left w:val="none" w:sz="0" w:space="0" w:color="auto"/>
        <w:bottom w:val="none" w:sz="0" w:space="0" w:color="auto"/>
        <w:right w:val="none" w:sz="0" w:space="0" w:color="auto"/>
      </w:divBdr>
    </w:div>
    <w:div w:id="706108402">
      <w:bodyDiv w:val="1"/>
      <w:marLeft w:val="0"/>
      <w:marRight w:val="0"/>
      <w:marTop w:val="0"/>
      <w:marBottom w:val="0"/>
      <w:divBdr>
        <w:top w:val="none" w:sz="0" w:space="0" w:color="auto"/>
        <w:left w:val="none" w:sz="0" w:space="0" w:color="auto"/>
        <w:bottom w:val="none" w:sz="0" w:space="0" w:color="auto"/>
        <w:right w:val="none" w:sz="0" w:space="0" w:color="auto"/>
      </w:divBdr>
    </w:div>
    <w:div w:id="709690545">
      <w:bodyDiv w:val="1"/>
      <w:marLeft w:val="0"/>
      <w:marRight w:val="0"/>
      <w:marTop w:val="0"/>
      <w:marBottom w:val="0"/>
      <w:divBdr>
        <w:top w:val="none" w:sz="0" w:space="0" w:color="auto"/>
        <w:left w:val="none" w:sz="0" w:space="0" w:color="auto"/>
        <w:bottom w:val="none" w:sz="0" w:space="0" w:color="auto"/>
        <w:right w:val="none" w:sz="0" w:space="0" w:color="auto"/>
      </w:divBdr>
    </w:div>
    <w:div w:id="711154499">
      <w:bodyDiv w:val="1"/>
      <w:marLeft w:val="0"/>
      <w:marRight w:val="0"/>
      <w:marTop w:val="0"/>
      <w:marBottom w:val="0"/>
      <w:divBdr>
        <w:top w:val="none" w:sz="0" w:space="0" w:color="auto"/>
        <w:left w:val="none" w:sz="0" w:space="0" w:color="auto"/>
        <w:bottom w:val="none" w:sz="0" w:space="0" w:color="auto"/>
        <w:right w:val="none" w:sz="0" w:space="0" w:color="auto"/>
      </w:divBdr>
    </w:div>
    <w:div w:id="717822795">
      <w:bodyDiv w:val="1"/>
      <w:marLeft w:val="0"/>
      <w:marRight w:val="0"/>
      <w:marTop w:val="0"/>
      <w:marBottom w:val="0"/>
      <w:divBdr>
        <w:top w:val="none" w:sz="0" w:space="0" w:color="auto"/>
        <w:left w:val="none" w:sz="0" w:space="0" w:color="auto"/>
        <w:bottom w:val="none" w:sz="0" w:space="0" w:color="auto"/>
        <w:right w:val="none" w:sz="0" w:space="0" w:color="auto"/>
      </w:divBdr>
    </w:div>
    <w:div w:id="718624555">
      <w:bodyDiv w:val="1"/>
      <w:marLeft w:val="0"/>
      <w:marRight w:val="0"/>
      <w:marTop w:val="0"/>
      <w:marBottom w:val="0"/>
      <w:divBdr>
        <w:top w:val="none" w:sz="0" w:space="0" w:color="auto"/>
        <w:left w:val="none" w:sz="0" w:space="0" w:color="auto"/>
        <w:bottom w:val="none" w:sz="0" w:space="0" w:color="auto"/>
        <w:right w:val="none" w:sz="0" w:space="0" w:color="auto"/>
      </w:divBdr>
    </w:div>
    <w:div w:id="719552384">
      <w:bodyDiv w:val="1"/>
      <w:marLeft w:val="0"/>
      <w:marRight w:val="0"/>
      <w:marTop w:val="0"/>
      <w:marBottom w:val="0"/>
      <w:divBdr>
        <w:top w:val="none" w:sz="0" w:space="0" w:color="auto"/>
        <w:left w:val="none" w:sz="0" w:space="0" w:color="auto"/>
        <w:bottom w:val="none" w:sz="0" w:space="0" w:color="auto"/>
        <w:right w:val="none" w:sz="0" w:space="0" w:color="auto"/>
      </w:divBdr>
    </w:div>
    <w:div w:id="721632074">
      <w:bodyDiv w:val="1"/>
      <w:marLeft w:val="0"/>
      <w:marRight w:val="0"/>
      <w:marTop w:val="0"/>
      <w:marBottom w:val="0"/>
      <w:divBdr>
        <w:top w:val="none" w:sz="0" w:space="0" w:color="auto"/>
        <w:left w:val="none" w:sz="0" w:space="0" w:color="auto"/>
        <w:bottom w:val="none" w:sz="0" w:space="0" w:color="auto"/>
        <w:right w:val="none" w:sz="0" w:space="0" w:color="auto"/>
      </w:divBdr>
    </w:div>
    <w:div w:id="723480137">
      <w:bodyDiv w:val="1"/>
      <w:marLeft w:val="0"/>
      <w:marRight w:val="0"/>
      <w:marTop w:val="0"/>
      <w:marBottom w:val="0"/>
      <w:divBdr>
        <w:top w:val="none" w:sz="0" w:space="0" w:color="auto"/>
        <w:left w:val="none" w:sz="0" w:space="0" w:color="auto"/>
        <w:bottom w:val="none" w:sz="0" w:space="0" w:color="auto"/>
        <w:right w:val="none" w:sz="0" w:space="0" w:color="auto"/>
      </w:divBdr>
    </w:div>
    <w:div w:id="724454523">
      <w:bodyDiv w:val="1"/>
      <w:marLeft w:val="0"/>
      <w:marRight w:val="0"/>
      <w:marTop w:val="0"/>
      <w:marBottom w:val="0"/>
      <w:divBdr>
        <w:top w:val="none" w:sz="0" w:space="0" w:color="auto"/>
        <w:left w:val="none" w:sz="0" w:space="0" w:color="auto"/>
        <w:bottom w:val="none" w:sz="0" w:space="0" w:color="auto"/>
        <w:right w:val="none" w:sz="0" w:space="0" w:color="auto"/>
      </w:divBdr>
    </w:div>
    <w:div w:id="726417604">
      <w:bodyDiv w:val="1"/>
      <w:marLeft w:val="0"/>
      <w:marRight w:val="0"/>
      <w:marTop w:val="0"/>
      <w:marBottom w:val="0"/>
      <w:divBdr>
        <w:top w:val="none" w:sz="0" w:space="0" w:color="auto"/>
        <w:left w:val="none" w:sz="0" w:space="0" w:color="auto"/>
        <w:bottom w:val="none" w:sz="0" w:space="0" w:color="auto"/>
        <w:right w:val="none" w:sz="0" w:space="0" w:color="auto"/>
      </w:divBdr>
    </w:div>
    <w:div w:id="727074963">
      <w:bodyDiv w:val="1"/>
      <w:marLeft w:val="0"/>
      <w:marRight w:val="0"/>
      <w:marTop w:val="0"/>
      <w:marBottom w:val="0"/>
      <w:divBdr>
        <w:top w:val="none" w:sz="0" w:space="0" w:color="auto"/>
        <w:left w:val="none" w:sz="0" w:space="0" w:color="auto"/>
        <w:bottom w:val="none" w:sz="0" w:space="0" w:color="auto"/>
        <w:right w:val="none" w:sz="0" w:space="0" w:color="auto"/>
      </w:divBdr>
    </w:div>
    <w:div w:id="731579576">
      <w:bodyDiv w:val="1"/>
      <w:marLeft w:val="0"/>
      <w:marRight w:val="0"/>
      <w:marTop w:val="0"/>
      <w:marBottom w:val="0"/>
      <w:divBdr>
        <w:top w:val="none" w:sz="0" w:space="0" w:color="auto"/>
        <w:left w:val="none" w:sz="0" w:space="0" w:color="auto"/>
        <w:bottom w:val="none" w:sz="0" w:space="0" w:color="auto"/>
        <w:right w:val="none" w:sz="0" w:space="0" w:color="auto"/>
      </w:divBdr>
    </w:div>
    <w:div w:id="735979443">
      <w:bodyDiv w:val="1"/>
      <w:marLeft w:val="0"/>
      <w:marRight w:val="0"/>
      <w:marTop w:val="0"/>
      <w:marBottom w:val="0"/>
      <w:divBdr>
        <w:top w:val="none" w:sz="0" w:space="0" w:color="auto"/>
        <w:left w:val="none" w:sz="0" w:space="0" w:color="auto"/>
        <w:bottom w:val="none" w:sz="0" w:space="0" w:color="auto"/>
        <w:right w:val="none" w:sz="0" w:space="0" w:color="auto"/>
      </w:divBdr>
    </w:div>
    <w:div w:id="740326885">
      <w:bodyDiv w:val="1"/>
      <w:marLeft w:val="0"/>
      <w:marRight w:val="0"/>
      <w:marTop w:val="0"/>
      <w:marBottom w:val="0"/>
      <w:divBdr>
        <w:top w:val="none" w:sz="0" w:space="0" w:color="auto"/>
        <w:left w:val="none" w:sz="0" w:space="0" w:color="auto"/>
        <w:bottom w:val="none" w:sz="0" w:space="0" w:color="auto"/>
        <w:right w:val="none" w:sz="0" w:space="0" w:color="auto"/>
      </w:divBdr>
    </w:div>
    <w:div w:id="751124645">
      <w:bodyDiv w:val="1"/>
      <w:marLeft w:val="0"/>
      <w:marRight w:val="0"/>
      <w:marTop w:val="0"/>
      <w:marBottom w:val="0"/>
      <w:divBdr>
        <w:top w:val="none" w:sz="0" w:space="0" w:color="auto"/>
        <w:left w:val="none" w:sz="0" w:space="0" w:color="auto"/>
        <w:bottom w:val="none" w:sz="0" w:space="0" w:color="auto"/>
        <w:right w:val="none" w:sz="0" w:space="0" w:color="auto"/>
      </w:divBdr>
    </w:div>
    <w:div w:id="753211736">
      <w:bodyDiv w:val="1"/>
      <w:marLeft w:val="0"/>
      <w:marRight w:val="0"/>
      <w:marTop w:val="0"/>
      <w:marBottom w:val="0"/>
      <w:divBdr>
        <w:top w:val="none" w:sz="0" w:space="0" w:color="auto"/>
        <w:left w:val="none" w:sz="0" w:space="0" w:color="auto"/>
        <w:bottom w:val="none" w:sz="0" w:space="0" w:color="auto"/>
        <w:right w:val="none" w:sz="0" w:space="0" w:color="auto"/>
      </w:divBdr>
    </w:div>
    <w:div w:id="757219393">
      <w:bodyDiv w:val="1"/>
      <w:marLeft w:val="0"/>
      <w:marRight w:val="0"/>
      <w:marTop w:val="0"/>
      <w:marBottom w:val="0"/>
      <w:divBdr>
        <w:top w:val="none" w:sz="0" w:space="0" w:color="auto"/>
        <w:left w:val="none" w:sz="0" w:space="0" w:color="auto"/>
        <w:bottom w:val="none" w:sz="0" w:space="0" w:color="auto"/>
        <w:right w:val="none" w:sz="0" w:space="0" w:color="auto"/>
      </w:divBdr>
    </w:div>
    <w:div w:id="757752172">
      <w:bodyDiv w:val="1"/>
      <w:marLeft w:val="0"/>
      <w:marRight w:val="0"/>
      <w:marTop w:val="0"/>
      <w:marBottom w:val="0"/>
      <w:divBdr>
        <w:top w:val="none" w:sz="0" w:space="0" w:color="auto"/>
        <w:left w:val="none" w:sz="0" w:space="0" w:color="auto"/>
        <w:bottom w:val="none" w:sz="0" w:space="0" w:color="auto"/>
        <w:right w:val="none" w:sz="0" w:space="0" w:color="auto"/>
      </w:divBdr>
    </w:div>
    <w:div w:id="760957263">
      <w:bodyDiv w:val="1"/>
      <w:marLeft w:val="0"/>
      <w:marRight w:val="0"/>
      <w:marTop w:val="0"/>
      <w:marBottom w:val="0"/>
      <w:divBdr>
        <w:top w:val="none" w:sz="0" w:space="0" w:color="auto"/>
        <w:left w:val="none" w:sz="0" w:space="0" w:color="auto"/>
        <w:bottom w:val="none" w:sz="0" w:space="0" w:color="auto"/>
        <w:right w:val="none" w:sz="0" w:space="0" w:color="auto"/>
      </w:divBdr>
    </w:div>
    <w:div w:id="766081558">
      <w:bodyDiv w:val="1"/>
      <w:marLeft w:val="0"/>
      <w:marRight w:val="0"/>
      <w:marTop w:val="0"/>
      <w:marBottom w:val="0"/>
      <w:divBdr>
        <w:top w:val="none" w:sz="0" w:space="0" w:color="auto"/>
        <w:left w:val="none" w:sz="0" w:space="0" w:color="auto"/>
        <w:bottom w:val="none" w:sz="0" w:space="0" w:color="auto"/>
        <w:right w:val="none" w:sz="0" w:space="0" w:color="auto"/>
      </w:divBdr>
    </w:div>
    <w:div w:id="771164182">
      <w:bodyDiv w:val="1"/>
      <w:marLeft w:val="0"/>
      <w:marRight w:val="0"/>
      <w:marTop w:val="0"/>
      <w:marBottom w:val="0"/>
      <w:divBdr>
        <w:top w:val="none" w:sz="0" w:space="0" w:color="auto"/>
        <w:left w:val="none" w:sz="0" w:space="0" w:color="auto"/>
        <w:bottom w:val="none" w:sz="0" w:space="0" w:color="auto"/>
        <w:right w:val="none" w:sz="0" w:space="0" w:color="auto"/>
      </w:divBdr>
    </w:div>
    <w:div w:id="774717997">
      <w:bodyDiv w:val="1"/>
      <w:marLeft w:val="0"/>
      <w:marRight w:val="0"/>
      <w:marTop w:val="0"/>
      <w:marBottom w:val="0"/>
      <w:divBdr>
        <w:top w:val="none" w:sz="0" w:space="0" w:color="auto"/>
        <w:left w:val="none" w:sz="0" w:space="0" w:color="auto"/>
        <w:bottom w:val="none" w:sz="0" w:space="0" w:color="auto"/>
        <w:right w:val="none" w:sz="0" w:space="0" w:color="auto"/>
      </w:divBdr>
    </w:div>
    <w:div w:id="774978813">
      <w:bodyDiv w:val="1"/>
      <w:marLeft w:val="0"/>
      <w:marRight w:val="0"/>
      <w:marTop w:val="0"/>
      <w:marBottom w:val="0"/>
      <w:divBdr>
        <w:top w:val="none" w:sz="0" w:space="0" w:color="auto"/>
        <w:left w:val="none" w:sz="0" w:space="0" w:color="auto"/>
        <w:bottom w:val="none" w:sz="0" w:space="0" w:color="auto"/>
        <w:right w:val="none" w:sz="0" w:space="0" w:color="auto"/>
      </w:divBdr>
    </w:div>
    <w:div w:id="778795665">
      <w:bodyDiv w:val="1"/>
      <w:marLeft w:val="0"/>
      <w:marRight w:val="0"/>
      <w:marTop w:val="0"/>
      <w:marBottom w:val="0"/>
      <w:divBdr>
        <w:top w:val="none" w:sz="0" w:space="0" w:color="auto"/>
        <w:left w:val="none" w:sz="0" w:space="0" w:color="auto"/>
        <w:bottom w:val="none" w:sz="0" w:space="0" w:color="auto"/>
        <w:right w:val="none" w:sz="0" w:space="0" w:color="auto"/>
      </w:divBdr>
    </w:div>
    <w:div w:id="780104553">
      <w:bodyDiv w:val="1"/>
      <w:marLeft w:val="0"/>
      <w:marRight w:val="0"/>
      <w:marTop w:val="0"/>
      <w:marBottom w:val="0"/>
      <w:divBdr>
        <w:top w:val="none" w:sz="0" w:space="0" w:color="auto"/>
        <w:left w:val="none" w:sz="0" w:space="0" w:color="auto"/>
        <w:bottom w:val="none" w:sz="0" w:space="0" w:color="auto"/>
        <w:right w:val="none" w:sz="0" w:space="0" w:color="auto"/>
      </w:divBdr>
    </w:div>
    <w:div w:id="782843081">
      <w:bodyDiv w:val="1"/>
      <w:marLeft w:val="0"/>
      <w:marRight w:val="0"/>
      <w:marTop w:val="0"/>
      <w:marBottom w:val="0"/>
      <w:divBdr>
        <w:top w:val="none" w:sz="0" w:space="0" w:color="auto"/>
        <w:left w:val="none" w:sz="0" w:space="0" w:color="auto"/>
        <w:bottom w:val="none" w:sz="0" w:space="0" w:color="auto"/>
        <w:right w:val="none" w:sz="0" w:space="0" w:color="auto"/>
      </w:divBdr>
    </w:div>
    <w:div w:id="783311087">
      <w:bodyDiv w:val="1"/>
      <w:marLeft w:val="0"/>
      <w:marRight w:val="0"/>
      <w:marTop w:val="0"/>
      <w:marBottom w:val="0"/>
      <w:divBdr>
        <w:top w:val="none" w:sz="0" w:space="0" w:color="auto"/>
        <w:left w:val="none" w:sz="0" w:space="0" w:color="auto"/>
        <w:bottom w:val="none" w:sz="0" w:space="0" w:color="auto"/>
        <w:right w:val="none" w:sz="0" w:space="0" w:color="auto"/>
      </w:divBdr>
    </w:div>
    <w:div w:id="786773833">
      <w:bodyDiv w:val="1"/>
      <w:marLeft w:val="0"/>
      <w:marRight w:val="0"/>
      <w:marTop w:val="0"/>
      <w:marBottom w:val="0"/>
      <w:divBdr>
        <w:top w:val="none" w:sz="0" w:space="0" w:color="auto"/>
        <w:left w:val="none" w:sz="0" w:space="0" w:color="auto"/>
        <w:bottom w:val="none" w:sz="0" w:space="0" w:color="auto"/>
        <w:right w:val="none" w:sz="0" w:space="0" w:color="auto"/>
      </w:divBdr>
    </w:div>
    <w:div w:id="786853062">
      <w:bodyDiv w:val="1"/>
      <w:marLeft w:val="0"/>
      <w:marRight w:val="0"/>
      <w:marTop w:val="0"/>
      <w:marBottom w:val="0"/>
      <w:divBdr>
        <w:top w:val="none" w:sz="0" w:space="0" w:color="auto"/>
        <w:left w:val="none" w:sz="0" w:space="0" w:color="auto"/>
        <w:bottom w:val="none" w:sz="0" w:space="0" w:color="auto"/>
        <w:right w:val="none" w:sz="0" w:space="0" w:color="auto"/>
      </w:divBdr>
    </w:div>
    <w:div w:id="790631542">
      <w:bodyDiv w:val="1"/>
      <w:marLeft w:val="0"/>
      <w:marRight w:val="0"/>
      <w:marTop w:val="0"/>
      <w:marBottom w:val="0"/>
      <w:divBdr>
        <w:top w:val="none" w:sz="0" w:space="0" w:color="auto"/>
        <w:left w:val="none" w:sz="0" w:space="0" w:color="auto"/>
        <w:bottom w:val="none" w:sz="0" w:space="0" w:color="auto"/>
        <w:right w:val="none" w:sz="0" w:space="0" w:color="auto"/>
      </w:divBdr>
    </w:div>
    <w:div w:id="796410288">
      <w:bodyDiv w:val="1"/>
      <w:marLeft w:val="0"/>
      <w:marRight w:val="0"/>
      <w:marTop w:val="0"/>
      <w:marBottom w:val="0"/>
      <w:divBdr>
        <w:top w:val="none" w:sz="0" w:space="0" w:color="auto"/>
        <w:left w:val="none" w:sz="0" w:space="0" w:color="auto"/>
        <w:bottom w:val="none" w:sz="0" w:space="0" w:color="auto"/>
        <w:right w:val="none" w:sz="0" w:space="0" w:color="auto"/>
      </w:divBdr>
    </w:div>
    <w:div w:id="799228154">
      <w:bodyDiv w:val="1"/>
      <w:marLeft w:val="0"/>
      <w:marRight w:val="0"/>
      <w:marTop w:val="0"/>
      <w:marBottom w:val="0"/>
      <w:divBdr>
        <w:top w:val="none" w:sz="0" w:space="0" w:color="auto"/>
        <w:left w:val="none" w:sz="0" w:space="0" w:color="auto"/>
        <w:bottom w:val="none" w:sz="0" w:space="0" w:color="auto"/>
        <w:right w:val="none" w:sz="0" w:space="0" w:color="auto"/>
      </w:divBdr>
    </w:div>
    <w:div w:id="799961936">
      <w:bodyDiv w:val="1"/>
      <w:marLeft w:val="0"/>
      <w:marRight w:val="0"/>
      <w:marTop w:val="0"/>
      <w:marBottom w:val="0"/>
      <w:divBdr>
        <w:top w:val="none" w:sz="0" w:space="0" w:color="auto"/>
        <w:left w:val="none" w:sz="0" w:space="0" w:color="auto"/>
        <w:bottom w:val="none" w:sz="0" w:space="0" w:color="auto"/>
        <w:right w:val="none" w:sz="0" w:space="0" w:color="auto"/>
      </w:divBdr>
    </w:div>
    <w:div w:id="801970830">
      <w:bodyDiv w:val="1"/>
      <w:marLeft w:val="0"/>
      <w:marRight w:val="0"/>
      <w:marTop w:val="0"/>
      <w:marBottom w:val="0"/>
      <w:divBdr>
        <w:top w:val="none" w:sz="0" w:space="0" w:color="auto"/>
        <w:left w:val="none" w:sz="0" w:space="0" w:color="auto"/>
        <w:bottom w:val="none" w:sz="0" w:space="0" w:color="auto"/>
        <w:right w:val="none" w:sz="0" w:space="0" w:color="auto"/>
      </w:divBdr>
    </w:div>
    <w:div w:id="805319890">
      <w:bodyDiv w:val="1"/>
      <w:marLeft w:val="0"/>
      <w:marRight w:val="0"/>
      <w:marTop w:val="0"/>
      <w:marBottom w:val="0"/>
      <w:divBdr>
        <w:top w:val="none" w:sz="0" w:space="0" w:color="auto"/>
        <w:left w:val="none" w:sz="0" w:space="0" w:color="auto"/>
        <w:bottom w:val="none" w:sz="0" w:space="0" w:color="auto"/>
        <w:right w:val="none" w:sz="0" w:space="0" w:color="auto"/>
      </w:divBdr>
    </w:div>
    <w:div w:id="806778000">
      <w:bodyDiv w:val="1"/>
      <w:marLeft w:val="0"/>
      <w:marRight w:val="0"/>
      <w:marTop w:val="0"/>
      <w:marBottom w:val="0"/>
      <w:divBdr>
        <w:top w:val="none" w:sz="0" w:space="0" w:color="auto"/>
        <w:left w:val="none" w:sz="0" w:space="0" w:color="auto"/>
        <w:bottom w:val="none" w:sz="0" w:space="0" w:color="auto"/>
        <w:right w:val="none" w:sz="0" w:space="0" w:color="auto"/>
      </w:divBdr>
    </w:div>
    <w:div w:id="814493110">
      <w:bodyDiv w:val="1"/>
      <w:marLeft w:val="0"/>
      <w:marRight w:val="0"/>
      <w:marTop w:val="0"/>
      <w:marBottom w:val="0"/>
      <w:divBdr>
        <w:top w:val="none" w:sz="0" w:space="0" w:color="auto"/>
        <w:left w:val="none" w:sz="0" w:space="0" w:color="auto"/>
        <w:bottom w:val="none" w:sz="0" w:space="0" w:color="auto"/>
        <w:right w:val="none" w:sz="0" w:space="0" w:color="auto"/>
      </w:divBdr>
    </w:div>
    <w:div w:id="815025039">
      <w:bodyDiv w:val="1"/>
      <w:marLeft w:val="0"/>
      <w:marRight w:val="0"/>
      <w:marTop w:val="0"/>
      <w:marBottom w:val="0"/>
      <w:divBdr>
        <w:top w:val="none" w:sz="0" w:space="0" w:color="auto"/>
        <w:left w:val="none" w:sz="0" w:space="0" w:color="auto"/>
        <w:bottom w:val="none" w:sz="0" w:space="0" w:color="auto"/>
        <w:right w:val="none" w:sz="0" w:space="0" w:color="auto"/>
      </w:divBdr>
    </w:div>
    <w:div w:id="818619993">
      <w:bodyDiv w:val="1"/>
      <w:marLeft w:val="0"/>
      <w:marRight w:val="0"/>
      <w:marTop w:val="0"/>
      <w:marBottom w:val="0"/>
      <w:divBdr>
        <w:top w:val="none" w:sz="0" w:space="0" w:color="auto"/>
        <w:left w:val="none" w:sz="0" w:space="0" w:color="auto"/>
        <w:bottom w:val="none" w:sz="0" w:space="0" w:color="auto"/>
        <w:right w:val="none" w:sz="0" w:space="0" w:color="auto"/>
      </w:divBdr>
    </w:div>
    <w:div w:id="820195532">
      <w:bodyDiv w:val="1"/>
      <w:marLeft w:val="0"/>
      <w:marRight w:val="0"/>
      <w:marTop w:val="0"/>
      <w:marBottom w:val="0"/>
      <w:divBdr>
        <w:top w:val="none" w:sz="0" w:space="0" w:color="auto"/>
        <w:left w:val="none" w:sz="0" w:space="0" w:color="auto"/>
        <w:bottom w:val="none" w:sz="0" w:space="0" w:color="auto"/>
        <w:right w:val="none" w:sz="0" w:space="0" w:color="auto"/>
      </w:divBdr>
    </w:div>
    <w:div w:id="822740924">
      <w:bodyDiv w:val="1"/>
      <w:marLeft w:val="0"/>
      <w:marRight w:val="0"/>
      <w:marTop w:val="0"/>
      <w:marBottom w:val="0"/>
      <w:divBdr>
        <w:top w:val="none" w:sz="0" w:space="0" w:color="auto"/>
        <w:left w:val="none" w:sz="0" w:space="0" w:color="auto"/>
        <w:bottom w:val="none" w:sz="0" w:space="0" w:color="auto"/>
        <w:right w:val="none" w:sz="0" w:space="0" w:color="auto"/>
      </w:divBdr>
    </w:div>
    <w:div w:id="824588612">
      <w:bodyDiv w:val="1"/>
      <w:marLeft w:val="0"/>
      <w:marRight w:val="0"/>
      <w:marTop w:val="0"/>
      <w:marBottom w:val="0"/>
      <w:divBdr>
        <w:top w:val="none" w:sz="0" w:space="0" w:color="auto"/>
        <w:left w:val="none" w:sz="0" w:space="0" w:color="auto"/>
        <w:bottom w:val="none" w:sz="0" w:space="0" w:color="auto"/>
        <w:right w:val="none" w:sz="0" w:space="0" w:color="auto"/>
      </w:divBdr>
    </w:div>
    <w:div w:id="826242092">
      <w:bodyDiv w:val="1"/>
      <w:marLeft w:val="0"/>
      <w:marRight w:val="0"/>
      <w:marTop w:val="0"/>
      <w:marBottom w:val="0"/>
      <w:divBdr>
        <w:top w:val="none" w:sz="0" w:space="0" w:color="auto"/>
        <w:left w:val="none" w:sz="0" w:space="0" w:color="auto"/>
        <w:bottom w:val="none" w:sz="0" w:space="0" w:color="auto"/>
        <w:right w:val="none" w:sz="0" w:space="0" w:color="auto"/>
      </w:divBdr>
    </w:div>
    <w:div w:id="827525853">
      <w:bodyDiv w:val="1"/>
      <w:marLeft w:val="0"/>
      <w:marRight w:val="0"/>
      <w:marTop w:val="0"/>
      <w:marBottom w:val="0"/>
      <w:divBdr>
        <w:top w:val="none" w:sz="0" w:space="0" w:color="auto"/>
        <w:left w:val="none" w:sz="0" w:space="0" w:color="auto"/>
        <w:bottom w:val="none" w:sz="0" w:space="0" w:color="auto"/>
        <w:right w:val="none" w:sz="0" w:space="0" w:color="auto"/>
      </w:divBdr>
    </w:div>
    <w:div w:id="829518300">
      <w:bodyDiv w:val="1"/>
      <w:marLeft w:val="0"/>
      <w:marRight w:val="0"/>
      <w:marTop w:val="0"/>
      <w:marBottom w:val="0"/>
      <w:divBdr>
        <w:top w:val="none" w:sz="0" w:space="0" w:color="auto"/>
        <w:left w:val="none" w:sz="0" w:space="0" w:color="auto"/>
        <w:bottom w:val="none" w:sz="0" w:space="0" w:color="auto"/>
        <w:right w:val="none" w:sz="0" w:space="0" w:color="auto"/>
      </w:divBdr>
    </w:div>
    <w:div w:id="832531116">
      <w:bodyDiv w:val="1"/>
      <w:marLeft w:val="0"/>
      <w:marRight w:val="0"/>
      <w:marTop w:val="0"/>
      <w:marBottom w:val="0"/>
      <w:divBdr>
        <w:top w:val="none" w:sz="0" w:space="0" w:color="auto"/>
        <w:left w:val="none" w:sz="0" w:space="0" w:color="auto"/>
        <w:bottom w:val="none" w:sz="0" w:space="0" w:color="auto"/>
        <w:right w:val="none" w:sz="0" w:space="0" w:color="auto"/>
      </w:divBdr>
    </w:div>
    <w:div w:id="834150738">
      <w:bodyDiv w:val="1"/>
      <w:marLeft w:val="0"/>
      <w:marRight w:val="0"/>
      <w:marTop w:val="0"/>
      <w:marBottom w:val="0"/>
      <w:divBdr>
        <w:top w:val="none" w:sz="0" w:space="0" w:color="auto"/>
        <w:left w:val="none" w:sz="0" w:space="0" w:color="auto"/>
        <w:bottom w:val="none" w:sz="0" w:space="0" w:color="auto"/>
        <w:right w:val="none" w:sz="0" w:space="0" w:color="auto"/>
      </w:divBdr>
    </w:div>
    <w:div w:id="837577178">
      <w:bodyDiv w:val="1"/>
      <w:marLeft w:val="0"/>
      <w:marRight w:val="0"/>
      <w:marTop w:val="0"/>
      <w:marBottom w:val="0"/>
      <w:divBdr>
        <w:top w:val="none" w:sz="0" w:space="0" w:color="auto"/>
        <w:left w:val="none" w:sz="0" w:space="0" w:color="auto"/>
        <w:bottom w:val="none" w:sz="0" w:space="0" w:color="auto"/>
        <w:right w:val="none" w:sz="0" w:space="0" w:color="auto"/>
      </w:divBdr>
    </w:div>
    <w:div w:id="837696966">
      <w:bodyDiv w:val="1"/>
      <w:marLeft w:val="0"/>
      <w:marRight w:val="0"/>
      <w:marTop w:val="0"/>
      <w:marBottom w:val="0"/>
      <w:divBdr>
        <w:top w:val="none" w:sz="0" w:space="0" w:color="auto"/>
        <w:left w:val="none" w:sz="0" w:space="0" w:color="auto"/>
        <w:bottom w:val="none" w:sz="0" w:space="0" w:color="auto"/>
        <w:right w:val="none" w:sz="0" w:space="0" w:color="auto"/>
      </w:divBdr>
    </w:div>
    <w:div w:id="849221313">
      <w:bodyDiv w:val="1"/>
      <w:marLeft w:val="0"/>
      <w:marRight w:val="0"/>
      <w:marTop w:val="0"/>
      <w:marBottom w:val="0"/>
      <w:divBdr>
        <w:top w:val="none" w:sz="0" w:space="0" w:color="auto"/>
        <w:left w:val="none" w:sz="0" w:space="0" w:color="auto"/>
        <w:bottom w:val="none" w:sz="0" w:space="0" w:color="auto"/>
        <w:right w:val="none" w:sz="0" w:space="0" w:color="auto"/>
      </w:divBdr>
    </w:div>
    <w:div w:id="849443229">
      <w:bodyDiv w:val="1"/>
      <w:marLeft w:val="0"/>
      <w:marRight w:val="0"/>
      <w:marTop w:val="0"/>
      <w:marBottom w:val="0"/>
      <w:divBdr>
        <w:top w:val="none" w:sz="0" w:space="0" w:color="auto"/>
        <w:left w:val="none" w:sz="0" w:space="0" w:color="auto"/>
        <w:bottom w:val="none" w:sz="0" w:space="0" w:color="auto"/>
        <w:right w:val="none" w:sz="0" w:space="0" w:color="auto"/>
      </w:divBdr>
    </w:div>
    <w:div w:id="850686175">
      <w:bodyDiv w:val="1"/>
      <w:marLeft w:val="0"/>
      <w:marRight w:val="0"/>
      <w:marTop w:val="0"/>
      <w:marBottom w:val="0"/>
      <w:divBdr>
        <w:top w:val="none" w:sz="0" w:space="0" w:color="auto"/>
        <w:left w:val="none" w:sz="0" w:space="0" w:color="auto"/>
        <w:bottom w:val="none" w:sz="0" w:space="0" w:color="auto"/>
        <w:right w:val="none" w:sz="0" w:space="0" w:color="auto"/>
      </w:divBdr>
    </w:div>
    <w:div w:id="854467462">
      <w:bodyDiv w:val="1"/>
      <w:marLeft w:val="0"/>
      <w:marRight w:val="0"/>
      <w:marTop w:val="0"/>
      <w:marBottom w:val="0"/>
      <w:divBdr>
        <w:top w:val="none" w:sz="0" w:space="0" w:color="auto"/>
        <w:left w:val="none" w:sz="0" w:space="0" w:color="auto"/>
        <w:bottom w:val="none" w:sz="0" w:space="0" w:color="auto"/>
        <w:right w:val="none" w:sz="0" w:space="0" w:color="auto"/>
      </w:divBdr>
    </w:div>
    <w:div w:id="857812748">
      <w:bodyDiv w:val="1"/>
      <w:marLeft w:val="0"/>
      <w:marRight w:val="0"/>
      <w:marTop w:val="0"/>
      <w:marBottom w:val="0"/>
      <w:divBdr>
        <w:top w:val="none" w:sz="0" w:space="0" w:color="auto"/>
        <w:left w:val="none" w:sz="0" w:space="0" w:color="auto"/>
        <w:bottom w:val="none" w:sz="0" w:space="0" w:color="auto"/>
        <w:right w:val="none" w:sz="0" w:space="0" w:color="auto"/>
      </w:divBdr>
    </w:div>
    <w:div w:id="859467273">
      <w:bodyDiv w:val="1"/>
      <w:marLeft w:val="0"/>
      <w:marRight w:val="0"/>
      <w:marTop w:val="0"/>
      <w:marBottom w:val="0"/>
      <w:divBdr>
        <w:top w:val="none" w:sz="0" w:space="0" w:color="auto"/>
        <w:left w:val="none" w:sz="0" w:space="0" w:color="auto"/>
        <w:bottom w:val="none" w:sz="0" w:space="0" w:color="auto"/>
        <w:right w:val="none" w:sz="0" w:space="0" w:color="auto"/>
      </w:divBdr>
    </w:div>
    <w:div w:id="861478395">
      <w:bodyDiv w:val="1"/>
      <w:marLeft w:val="0"/>
      <w:marRight w:val="0"/>
      <w:marTop w:val="0"/>
      <w:marBottom w:val="0"/>
      <w:divBdr>
        <w:top w:val="none" w:sz="0" w:space="0" w:color="auto"/>
        <w:left w:val="none" w:sz="0" w:space="0" w:color="auto"/>
        <w:bottom w:val="none" w:sz="0" w:space="0" w:color="auto"/>
        <w:right w:val="none" w:sz="0" w:space="0" w:color="auto"/>
      </w:divBdr>
    </w:div>
    <w:div w:id="862091967">
      <w:bodyDiv w:val="1"/>
      <w:marLeft w:val="0"/>
      <w:marRight w:val="0"/>
      <w:marTop w:val="0"/>
      <w:marBottom w:val="0"/>
      <w:divBdr>
        <w:top w:val="none" w:sz="0" w:space="0" w:color="auto"/>
        <w:left w:val="none" w:sz="0" w:space="0" w:color="auto"/>
        <w:bottom w:val="none" w:sz="0" w:space="0" w:color="auto"/>
        <w:right w:val="none" w:sz="0" w:space="0" w:color="auto"/>
      </w:divBdr>
    </w:div>
    <w:div w:id="862789116">
      <w:bodyDiv w:val="1"/>
      <w:marLeft w:val="0"/>
      <w:marRight w:val="0"/>
      <w:marTop w:val="0"/>
      <w:marBottom w:val="0"/>
      <w:divBdr>
        <w:top w:val="none" w:sz="0" w:space="0" w:color="auto"/>
        <w:left w:val="none" w:sz="0" w:space="0" w:color="auto"/>
        <w:bottom w:val="none" w:sz="0" w:space="0" w:color="auto"/>
        <w:right w:val="none" w:sz="0" w:space="0" w:color="auto"/>
      </w:divBdr>
    </w:div>
    <w:div w:id="864712984">
      <w:bodyDiv w:val="1"/>
      <w:marLeft w:val="0"/>
      <w:marRight w:val="0"/>
      <w:marTop w:val="0"/>
      <w:marBottom w:val="0"/>
      <w:divBdr>
        <w:top w:val="none" w:sz="0" w:space="0" w:color="auto"/>
        <w:left w:val="none" w:sz="0" w:space="0" w:color="auto"/>
        <w:bottom w:val="none" w:sz="0" w:space="0" w:color="auto"/>
        <w:right w:val="none" w:sz="0" w:space="0" w:color="auto"/>
      </w:divBdr>
    </w:div>
    <w:div w:id="871110690">
      <w:bodyDiv w:val="1"/>
      <w:marLeft w:val="0"/>
      <w:marRight w:val="0"/>
      <w:marTop w:val="0"/>
      <w:marBottom w:val="0"/>
      <w:divBdr>
        <w:top w:val="none" w:sz="0" w:space="0" w:color="auto"/>
        <w:left w:val="none" w:sz="0" w:space="0" w:color="auto"/>
        <w:bottom w:val="none" w:sz="0" w:space="0" w:color="auto"/>
        <w:right w:val="none" w:sz="0" w:space="0" w:color="auto"/>
      </w:divBdr>
    </w:div>
    <w:div w:id="872108622">
      <w:bodyDiv w:val="1"/>
      <w:marLeft w:val="0"/>
      <w:marRight w:val="0"/>
      <w:marTop w:val="0"/>
      <w:marBottom w:val="0"/>
      <w:divBdr>
        <w:top w:val="none" w:sz="0" w:space="0" w:color="auto"/>
        <w:left w:val="none" w:sz="0" w:space="0" w:color="auto"/>
        <w:bottom w:val="none" w:sz="0" w:space="0" w:color="auto"/>
        <w:right w:val="none" w:sz="0" w:space="0" w:color="auto"/>
      </w:divBdr>
    </w:div>
    <w:div w:id="872573436">
      <w:bodyDiv w:val="1"/>
      <w:marLeft w:val="0"/>
      <w:marRight w:val="0"/>
      <w:marTop w:val="0"/>
      <w:marBottom w:val="0"/>
      <w:divBdr>
        <w:top w:val="none" w:sz="0" w:space="0" w:color="auto"/>
        <w:left w:val="none" w:sz="0" w:space="0" w:color="auto"/>
        <w:bottom w:val="none" w:sz="0" w:space="0" w:color="auto"/>
        <w:right w:val="none" w:sz="0" w:space="0" w:color="auto"/>
      </w:divBdr>
    </w:div>
    <w:div w:id="873234105">
      <w:bodyDiv w:val="1"/>
      <w:marLeft w:val="0"/>
      <w:marRight w:val="0"/>
      <w:marTop w:val="0"/>
      <w:marBottom w:val="0"/>
      <w:divBdr>
        <w:top w:val="none" w:sz="0" w:space="0" w:color="auto"/>
        <w:left w:val="none" w:sz="0" w:space="0" w:color="auto"/>
        <w:bottom w:val="none" w:sz="0" w:space="0" w:color="auto"/>
        <w:right w:val="none" w:sz="0" w:space="0" w:color="auto"/>
      </w:divBdr>
    </w:div>
    <w:div w:id="877350144">
      <w:bodyDiv w:val="1"/>
      <w:marLeft w:val="0"/>
      <w:marRight w:val="0"/>
      <w:marTop w:val="0"/>
      <w:marBottom w:val="0"/>
      <w:divBdr>
        <w:top w:val="none" w:sz="0" w:space="0" w:color="auto"/>
        <w:left w:val="none" w:sz="0" w:space="0" w:color="auto"/>
        <w:bottom w:val="none" w:sz="0" w:space="0" w:color="auto"/>
        <w:right w:val="none" w:sz="0" w:space="0" w:color="auto"/>
      </w:divBdr>
    </w:div>
    <w:div w:id="887647763">
      <w:bodyDiv w:val="1"/>
      <w:marLeft w:val="0"/>
      <w:marRight w:val="0"/>
      <w:marTop w:val="0"/>
      <w:marBottom w:val="0"/>
      <w:divBdr>
        <w:top w:val="none" w:sz="0" w:space="0" w:color="auto"/>
        <w:left w:val="none" w:sz="0" w:space="0" w:color="auto"/>
        <w:bottom w:val="none" w:sz="0" w:space="0" w:color="auto"/>
        <w:right w:val="none" w:sz="0" w:space="0" w:color="auto"/>
      </w:divBdr>
    </w:div>
    <w:div w:id="891771422">
      <w:bodyDiv w:val="1"/>
      <w:marLeft w:val="0"/>
      <w:marRight w:val="0"/>
      <w:marTop w:val="0"/>
      <w:marBottom w:val="0"/>
      <w:divBdr>
        <w:top w:val="none" w:sz="0" w:space="0" w:color="auto"/>
        <w:left w:val="none" w:sz="0" w:space="0" w:color="auto"/>
        <w:bottom w:val="none" w:sz="0" w:space="0" w:color="auto"/>
        <w:right w:val="none" w:sz="0" w:space="0" w:color="auto"/>
      </w:divBdr>
    </w:div>
    <w:div w:id="893395069">
      <w:bodyDiv w:val="1"/>
      <w:marLeft w:val="0"/>
      <w:marRight w:val="0"/>
      <w:marTop w:val="0"/>
      <w:marBottom w:val="0"/>
      <w:divBdr>
        <w:top w:val="none" w:sz="0" w:space="0" w:color="auto"/>
        <w:left w:val="none" w:sz="0" w:space="0" w:color="auto"/>
        <w:bottom w:val="none" w:sz="0" w:space="0" w:color="auto"/>
        <w:right w:val="none" w:sz="0" w:space="0" w:color="auto"/>
      </w:divBdr>
    </w:div>
    <w:div w:id="894388664">
      <w:bodyDiv w:val="1"/>
      <w:marLeft w:val="0"/>
      <w:marRight w:val="0"/>
      <w:marTop w:val="0"/>
      <w:marBottom w:val="0"/>
      <w:divBdr>
        <w:top w:val="none" w:sz="0" w:space="0" w:color="auto"/>
        <w:left w:val="none" w:sz="0" w:space="0" w:color="auto"/>
        <w:bottom w:val="none" w:sz="0" w:space="0" w:color="auto"/>
        <w:right w:val="none" w:sz="0" w:space="0" w:color="auto"/>
      </w:divBdr>
    </w:div>
    <w:div w:id="894900155">
      <w:bodyDiv w:val="1"/>
      <w:marLeft w:val="0"/>
      <w:marRight w:val="0"/>
      <w:marTop w:val="0"/>
      <w:marBottom w:val="0"/>
      <w:divBdr>
        <w:top w:val="none" w:sz="0" w:space="0" w:color="auto"/>
        <w:left w:val="none" w:sz="0" w:space="0" w:color="auto"/>
        <w:bottom w:val="none" w:sz="0" w:space="0" w:color="auto"/>
        <w:right w:val="none" w:sz="0" w:space="0" w:color="auto"/>
      </w:divBdr>
    </w:div>
    <w:div w:id="897083646">
      <w:bodyDiv w:val="1"/>
      <w:marLeft w:val="0"/>
      <w:marRight w:val="0"/>
      <w:marTop w:val="0"/>
      <w:marBottom w:val="0"/>
      <w:divBdr>
        <w:top w:val="none" w:sz="0" w:space="0" w:color="auto"/>
        <w:left w:val="none" w:sz="0" w:space="0" w:color="auto"/>
        <w:bottom w:val="none" w:sz="0" w:space="0" w:color="auto"/>
        <w:right w:val="none" w:sz="0" w:space="0" w:color="auto"/>
      </w:divBdr>
    </w:div>
    <w:div w:id="903221735">
      <w:bodyDiv w:val="1"/>
      <w:marLeft w:val="0"/>
      <w:marRight w:val="0"/>
      <w:marTop w:val="0"/>
      <w:marBottom w:val="0"/>
      <w:divBdr>
        <w:top w:val="none" w:sz="0" w:space="0" w:color="auto"/>
        <w:left w:val="none" w:sz="0" w:space="0" w:color="auto"/>
        <w:bottom w:val="none" w:sz="0" w:space="0" w:color="auto"/>
        <w:right w:val="none" w:sz="0" w:space="0" w:color="auto"/>
      </w:divBdr>
    </w:div>
    <w:div w:id="904946629">
      <w:bodyDiv w:val="1"/>
      <w:marLeft w:val="0"/>
      <w:marRight w:val="0"/>
      <w:marTop w:val="0"/>
      <w:marBottom w:val="0"/>
      <w:divBdr>
        <w:top w:val="none" w:sz="0" w:space="0" w:color="auto"/>
        <w:left w:val="none" w:sz="0" w:space="0" w:color="auto"/>
        <w:bottom w:val="none" w:sz="0" w:space="0" w:color="auto"/>
        <w:right w:val="none" w:sz="0" w:space="0" w:color="auto"/>
      </w:divBdr>
    </w:div>
    <w:div w:id="907955057">
      <w:bodyDiv w:val="1"/>
      <w:marLeft w:val="0"/>
      <w:marRight w:val="0"/>
      <w:marTop w:val="0"/>
      <w:marBottom w:val="0"/>
      <w:divBdr>
        <w:top w:val="none" w:sz="0" w:space="0" w:color="auto"/>
        <w:left w:val="none" w:sz="0" w:space="0" w:color="auto"/>
        <w:bottom w:val="none" w:sz="0" w:space="0" w:color="auto"/>
        <w:right w:val="none" w:sz="0" w:space="0" w:color="auto"/>
      </w:divBdr>
    </w:div>
    <w:div w:id="912932514">
      <w:bodyDiv w:val="1"/>
      <w:marLeft w:val="0"/>
      <w:marRight w:val="0"/>
      <w:marTop w:val="0"/>
      <w:marBottom w:val="0"/>
      <w:divBdr>
        <w:top w:val="none" w:sz="0" w:space="0" w:color="auto"/>
        <w:left w:val="none" w:sz="0" w:space="0" w:color="auto"/>
        <w:bottom w:val="none" w:sz="0" w:space="0" w:color="auto"/>
        <w:right w:val="none" w:sz="0" w:space="0" w:color="auto"/>
      </w:divBdr>
    </w:div>
    <w:div w:id="913928433">
      <w:bodyDiv w:val="1"/>
      <w:marLeft w:val="0"/>
      <w:marRight w:val="0"/>
      <w:marTop w:val="0"/>
      <w:marBottom w:val="0"/>
      <w:divBdr>
        <w:top w:val="none" w:sz="0" w:space="0" w:color="auto"/>
        <w:left w:val="none" w:sz="0" w:space="0" w:color="auto"/>
        <w:bottom w:val="none" w:sz="0" w:space="0" w:color="auto"/>
        <w:right w:val="none" w:sz="0" w:space="0" w:color="auto"/>
      </w:divBdr>
    </w:div>
    <w:div w:id="914586239">
      <w:bodyDiv w:val="1"/>
      <w:marLeft w:val="0"/>
      <w:marRight w:val="0"/>
      <w:marTop w:val="0"/>
      <w:marBottom w:val="0"/>
      <w:divBdr>
        <w:top w:val="none" w:sz="0" w:space="0" w:color="auto"/>
        <w:left w:val="none" w:sz="0" w:space="0" w:color="auto"/>
        <w:bottom w:val="none" w:sz="0" w:space="0" w:color="auto"/>
        <w:right w:val="none" w:sz="0" w:space="0" w:color="auto"/>
      </w:divBdr>
    </w:div>
    <w:div w:id="914633379">
      <w:bodyDiv w:val="1"/>
      <w:marLeft w:val="0"/>
      <w:marRight w:val="0"/>
      <w:marTop w:val="0"/>
      <w:marBottom w:val="0"/>
      <w:divBdr>
        <w:top w:val="none" w:sz="0" w:space="0" w:color="auto"/>
        <w:left w:val="none" w:sz="0" w:space="0" w:color="auto"/>
        <w:bottom w:val="none" w:sz="0" w:space="0" w:color="auto"/>
        <w:right w:val="none" w:sz="0" w:space="0" w:color="auto"/>
      </w:divBdr>
    </w:div>
    <w:div w:id="916789758">
      <w:bodyDiv w:val="1"/>
      <w:marLeft w:val="0"/>
      <w:marRight w:val="0"/>
      <w:marTop w:val="0"/>
      <w:marBottom w:val="0"/>
      <w:divBdr>
        <w:top w:val="none" w:sz="0" w:space="0" w:color="auto"/>
        <w:left w:val="none" w:sz="0" w:space="0" w:color="auto"/>
        <w:bottom w:val="none" w:sz="0" w:space="0" w:color="auto"/>
        <w:right w:val="none" w:sz="0" w:space="0" w:color="auto"/>
      </w:divBdr>
    </w:div>
    <w:div w:id="917439514">
      <w:bodyDiv w:val="1"/>
      <w:marLeft w:val="0"/>
      <w:marRight w:val="0"/>
      <w:marTop w:val="0"/>
      <w:marBottom w:val="0"/>
      <w:divBdr>
        <w:top w:val="none" w:sz="0" w:space="0" w:color="auto"/>
        <w:left w:val="none" w:sz="0" w:space="0" w:color="auto"/>
        <w:bottom w:val="none" w:sz="0" w:space="0" w:color="auto"/>
        <w:right w:val="none" w:sz="0" w:space="0" w:color="auto"/>
      </w:divBdr>
    </w:div>
    <w:div w:id="917903840">
      <w:bodyDiv w:val="1"/>
      <w:marLeft w:val="0"/>
      <w:marRight w:val="0"/>
      <w:marTop w:val="0"/>
      <w:marBottom w:val="0"/>
      <w:divBdr>
        <w:top w:val="none" w:sz="0" w:space="0" w:color="auto"/>
        <w:left w:val="none" w:sz="0" w:space="0" w:color="auto"/>
        <w:bottom w:val="none" w:sz="0" w:space="0" w:color="auto"/>
        <w:right w:val="none" w:sz="0" w:space="0" w:color="auto"/>
      </w:divBdr>
    </w:div>
    <w:div w:id="918708809">
      <w:bodyDiv w:val="1"/>
      <w:marLeft w:val="0"/>
      <w:marRight w:val="0"/>
      <w:marTop w:val="0"/>
      <w:marBottom w:val="0"/>
      <w:divBdr>
        <w:top w:val="none" w:sz="0" w:space="0" w:color="auto"/>
        <w:left w:val="none" w:sz="0" w:space="0" w:color="auto"/>
        <w:bottom w:val="none" w:sz="0" w:space="0" w:color="auto"/>
        <w:right w:val="none" w:sz="0" w:space="0" w:color="auto"/>
      </w:divBdr>
    </w:div>
    <w:div w:id="919873622">
      <w:bodyDiv w:val="1"/>
      <w:marLeft w:val="0"/>
      <w:marRight w:val="0"/>
      <w:marTop w:val="0"/>
      <w:marBottom w:val="0"/>
      <w:divBdr>
        <w:top w:val="none" w:sz="0" w:space="0" w:color="auto"/>
        <w:left w:val="none" w:sz="0" w:space="0" w:color="auto"/>
        <w:bottom w:val="none" w:sz="0" w:space="0" w:color="auto"/>
        <w:right w:val="none" w:sz="0" w:space="0" w:color="auto"/>
      </w:divBdr>
    </w:div>
    <w:div w:id="921993072">
      <w:bodyDiv w:val="1"/>
      <w:marLeft w:val="0"/>
      <w:marRight w:val="0"/>
      <w:marTop w:val="0"/>
      <w:marBottom w:val="0"/>
      <w:divBdr>
        <w:top w:val="none" w:sz="0" w:space="0" w:color="auto"/>
        <w:left w:val="none" w:sz="0" w:space="0" w:color="auto"/>
        <w:bottom w:val="none" w:sz="0" w:space="0" w:color="auto"/>
        <w:right w:val="none" w:sz="0" w:space="0" w:color="auto"/>
      </w:divBdr>
    </w:div>
    <w:div w:id="923340335">
      <w:bodyDiv w:val="1"/>
      <w:marLeft w:val="0"/>
      <w:marRight w:val="0"/>
      <w:marTop w:val="0"/>
      <w:marBottom w:val="0"/>
      <w:divBdr>
        <w:top w:val="none" w:sz="0" w:space="0" w:color="auto"/>
        <w:left w:val="none" w:sz="0" w:space="0" w:color="auto"/>
        <w:bottom w:val="none" w:sz="0" w:space="0" w:color="auto"/>
        <w:right w:val="none" w:sz="0" w:space="0" w:color="auto"/>
      </w:divBdr>
    </w:div>
    <w:div w:id="925262936">
      <w:bodyDiv w:val="1"/>
      <w:marLeft w:val="0"/>
      <w:marRight w:val="0"/>
      <w:marTop w:val="0"/>
      <w:marBottom w:val="0"/>
      <w:divBdr>
        <w:top w:val="none" w:sz="0" w:space="0" w:color="auto"/>
        <w:left w:val="none" w:sz="0" w:space="0" w:color="auto"/>
        <w:bottom w:val="none" w:sz="0" w:space="0" w:color="auto"/>
        <w:right w:val="none" w:sz="0" w:space="0" w:color="auto"/>
      </w:divBdr>
    </w:div>
    <w:div w:id="925462444">
      <w:bodyDiv w:val="1"/>
      <w:marLeft w:val="0"/>
      <w:marRight w:val="0"/>
      <w:marTop w:val="0"/>
      <w:marBottom w:val="0"/>
      <w:divBdr>
        <w:top w:val="none" w:sz="0" w:space="0" w:color="auto"/>
        <w:left w:val="none" w:sz="0" w:space="0" w:color="auto"/>
        <w:bottom w:val="none" w:sz="0" w:space="0" w:color="auto"/>
        <w:right w:val="none" w:sz="0" w:space="0" w:color="auto"/>
      </w:divBdr>
    </w:div>
    <w:div w:id="925529238">
      <w:bodyDiv w:val="1"/>
      <w:marLeft w:val="0"/>
      <w:marRight w:val="0"/>
      <w:marTop w:val="0"/>
      <w:marBottom w:val="0"/>
      <w:divBdr>
        <w:top w:val="none" w:sz="0" w:space="0" w:color="auto"/>
        <w:left w:val="none" w:sz="0" w:space="0" w:color="auto"/>
        <w:bottom w:val="none" w:sz="0" w:space="0" w:color="auto"/>
        <w:right w:val="none" w:sz="0" w:space="0" w:color="auto"/>
      </w:divBdr>
    </w:div>
    <w:div w:id="931160548">
      <w:bodyDiv w:val="1"/>
      <w:marLeft w:val="0"/>
      <w:marRight w:val="0"/>
      <w:marTop w:val="0"/>
      <w:marBottom w:val="0"/>
      <w:divBdr>
        <w:top w:val="none" w:sz="0" w:space="0" w:color="auto"/>
        <w:left w:val="none" w:sz="0" w:space="0" w:color="auto"/>
        <w:bottom w:val="none" w:sz="0" w:space="0" w:color="auto"/>
        <w:right w:val="none" w:sz="0" w:space="0" w:color="auto"/>
      </w:divBdr>
    </w:div>
    <w:div w:id="933591067">
      <w:bodyDiv w:val="1"/>
      <w:marLeft w:val="0"/>
      <w:marRight w:val="0"/>
      <w:marTop w:val="0"/>
      <w:marBottom w:val="0"/>
      <w:divBdr>
        <w:top w:val="none" w:sz="0" w:space="0" w:color="auto"/>
        <w:left w:val="none" w:sz="0" w:space="0" w:color="auto"/>
        <w:bottom w:val="none" w:sz="0" w:space="0" w:color="auto"/>
        <w:right w:val="none" w:sz="0" w:space="0" w:color="auto"/>
      </w:divBdr>
    </w:div>
    <w:div w:id="935937712">
      <w:bodyDiv w:val="1"/>
      <w:marLeft w:val="0"/>
      <w:marRight w:val="0"/>
      <w:marTop w:val="0"/>
      <w:marBottom w:val="0"/>
      <w:divBdr>
        <w:top w:val="none" w:sz="0" w:space="0" w:color="auto"/>
        <w:left w:val="none" w:sz="0" w:space="0" w:color="auto"/>
        <w:bottom w:val="none" w:sz="0" w:space="0" w:color="auto"/>
        <w:right w:val="none" w:sz="0" w:space="0" w:color="auto"/>
      </w:divBdr>
    </w:div>
    <w:div w:id="937521577">
      <w:bodyDiv w:val="1"/>
      <w:marLeft w:val="0"/>
      <w:marRight w:val="0"/>
      <w:marTop w:val="0"/>
      <w:marBottom w:val="0"/>
      <w:divBdr>
        <w:top w:val="none" w:sz="0" w:space="0" w:color="auto"/>
        <w:left w:val="none" w:sz="0" w:space="0" w:color="auto"/>
        <w:bottom w:val="none" w:sz="0" w:space="0" w:color="auto"/>
        <w:right w:val="none" w:sz="0" w:space="0" w:color="auto"/>
      </w:divBdr>
    </w:div>
    <w:div w:id="938369783">
      <w:bodyDiv w:val="1"/>
      <w:marLeft w:val="0"/>
      <w:marRight w:val="0"/>
      <w:marTop w:val="0"/>
      <w:marBottom w:val="0"/>
      <w:divBdr>
        <w:top w:val="none" w:sz="0" w:space="0" w:color="auto"/>
        <w:left w:val="none" w:sz="0" w:space="0" w:color="auto"/>
        <w:bottom w:val="none" w:sz="0" w:space="0" w:color="auto"/>
        <w:right w:val="none" w:sz="0" w:space="0" w:color="auto"/>
      </w:divBdr>
    </w:div>
    <w:div w:id="946548601">
      <w:bodyDiv w:val="1"/>
      <w:marLeft w:val="0"/>
      <w:marRight w:val="0"/>
      <w:marTop w:val="0"/>
      <w:marBottom w:val="0"/>
      <w:divBdr>
        <w:top w:val="none" w:sz="0" w:space="0" w:color="auto"/>
        <w:left w:val="none" w:sz="0" w:space="0" w:color="auto"/>
        <w:bottom w:val="none" w:sz="0" w:space="0" w:color="auto"/>
        <w:right w:val="none" w:sz="0" w:space="0" w:color="auto"/>
      </w:divBdr>
    </w:div>
    <w:div w:id="948396895">
      <w:bodyDiv w:val="1"/>
      <w:marLeft w:val="0"/>
      <w:marRight w:val="0"/>
      <w:marTop w:val="0"/>
      <w:marBottom w:val="0"/>
      <w:divBdr>
        <w:top w:val="none" w:sz="0" w:space="0" w:color="auto"/>
        <w:left w:val="none" w:sz="0" w:space="0" w:color="auto"/>
        <w:bottom w:val="none" w:sz="0" w:space="0" w:color="auto"/>
        <w:right w:val="none" w:sz="0" w:space="0" w:color="auto"/>
      </w:divBdr>
    </w:div>
    <w:div w:id="948585853">
      <w:bodyDiv w:val="1"/>
      <w:marLeft w:val="0"/>
      <w:marRight w:val="0"/>
      <w:marTop w:val="0"/>
      <w:marBottom w:val="0"/>
      <w:divBdr>
        <w:top w:val="none" w:sz="0" w:space="0" w:color="auto"/>
        <w:left w:val="none" w:sz="0" w:space="0" w:color="auto"/>
        <w:bottom w:val="none" w:sz="0" w:space="0" w:color="auto"/>
        <w:right w:val="none" w:sz="0" w:space="0" w:color="auto"/>
      </w:divBdr>
    </w:div>
    <w:div w:id="948898604">
      <w:bodyDiv w:val="1"/>
      <w:marLeft w:val="0"/>
      <w:marRight w:val="0"/>
      <w:marTop w:val="0"/>
      <w:marBottom w:val="0"/>
      <w:divBdr>
        <w:top w:val="none" w:sz="0" w:space="0" w:color="auto"/>
        <w:left w:val="none" w:sz="0" w:space="0" w:color="auto"/>
        <w:bottom w:val="none" w:sz="0" w:space="0" w:color="auto"/>
        <w:right w:val="none" w:sz="0" w:space="0" w:color="auto"/>
      </w:divBdr>
    </w:div>
    <w:div w:id="954403791">
      <w:bodyDiv w:val="1"/>
      <w:marLeft w:val="0"/>
      <w:marRight w:val="0"/>
      <w:marTop w:val="0"/>
      <w:marBottom w:val="0"/>
      <w:divBdr>
        <w:top w:val="none" w:sz="0" w:space="0" w:color="auto"/>
        <w:left w:val="none" w:sz="0" w:space="0" w:color="auto"/>
        <w:bottom w:val="none" w:sz="0" w:space="0" w:color="auto"/>
        <w:right w:val="none" w:sz="0" w:space="0" w:color="auto"/>
      </w:divBdr>
    </w:div>
    <w:div w:id="954406106">
      <w:bodyDiv w:val="1"/>
      <w:marLeft w:val="0"/>
      <w:marRight w:val="0"/>
      <w:marTop w:val="0"/>
      <w:marBottom w:val="0"/>
      <w:divBdr>
        <w:top w:val="none" w:sz="0" w:space="0" w:color="auto"/>
        <w:left w:val="none" w:sz="0" w:space="0" w:color="auto"/>
        <w:bottom w:val="none" w:sz="0" w:space="0" w:color="auto"/>
        <w:right w:val="none" w:sz="0" w:space="0" w:color="auto"/>
      </w:divBdr>
    </w:div>
    <w:div w:id="954865775">
      <w:bodyDiv w:val="1"/>
      <w:marLeft w:val="0"/>
      <w:marRight w:val="0"/>
      <w:marTop w:val="0"/>
      <w:marBottom w:val="0"/>
      <w:divBdr>
        <w:top w:val="none" w:sz="0" w:space="0" w:color="auto"/>
        <w:left w:val="none" w:sz="0" w:space="0" w:color="auto"/>
        <w:bottom w:val="none" w:sz="0" w:space="0" w:color="auto"/>
        <w:right w:val="none" w:sz="0" w:space="0" w:color="auto"/>
      </w:divBdr>
    </w:div>
    <w:div w:id="955256541">
      <w:bodyDiv w:val="1"/>
      <w:marLeft w:val="0"/>
      <w:marRight w:val="0"/>
      <w:marTop w:val="0"/>
      <w:marBottom w:val="0"/>
      <w:divBdr>
        <w:top w:val="none" w:sz="0" w:space="0" w:color="auto"/>
        <w:left w:val="none" w:sz="0" w:space="0" w:color="auto"/>
        <w:bottom w:val="none" w:sz="0" w:space="0" w:color="auto"/>
        <w:right w:val="none" w:sz="0" w:space="0" w:color="auto"/>
      </w:divBdr>
    </w:div>
    <w:div w:id="963384358">
      <w:bodyDiv w:val="1"/>
      <w:marLeft w:val="0"/>
      <w:marRight w:val="0"/>
      <w:marTop w:val="0"/>
      <w:marBottom w:val="0"/>
      <w:divBdr>
        <w:top w:val="none" w:sz="0" w:space="0" w:color="auto"/>
        <w:left w:val="none" w:sz="0" w:space="0" w:color="auto"/>
        <w:bottom w:val="none" w:sz="0" w:space="0" w:color="auto"/>
        <w:right w:val="none" w:sz="0" w:space="0" w:color="auto"/>
      </w:divBdr>
    </w:div>
    <w:div w:id="964585439">
      <w:bodyDiv w:val="1"/>
      <w:marLeft w:val="0"/>
      <w:marRight w:val="0"/>
      <w:marTop w:val="0"/>
      <w:marBottom w:val="0"/>
      <w:divBdr>
        <w:top w:val="none" w:sz="0" w:space="0" w:color="auto"/>
        <w:left w:val="none" w:sz="0" w:space="0" w:color="auto"/>
        <w:bottom w:val="none" w:sz="0" w:space="0" w:color="auto"/>
        <w:right w:val="none" w:sz="0" w:space="0" w:color="auto"/>
      </w:divBdr>
    </w:div>
    <w:div w:id="976910080">
      <w:bodyDiv w:val="1"/>
      <w:marLeft w:val="0"/>
      <w:marRight w:val="0"/>
      <w:marTop w:val="0"/>
      <w:marBottom w:val="0"/>
      <w:divBdr>
        <w:top w:val="none" w:sz="0" w:space="0" w:color="auto"/>
        <w:left w:val="none" w:sz="0" w:space="0" w:color="auto"/>
        <w:bottom w:val="none" w:sz="0" w:space="0" w:color="auto"/>
        <w:right w:val="none" w:sz="0" w:space="0" w:color="auto"/>
      </w:divBdr>
    </w:div>
    <w:div w:id="977027346">
      <w:bodyDiv w:val="1"/>
      <w:marLeft w:val="0"/>
      <w:marRight w:val="0"/>
      <w:marTop w:val="0"/>
      <w:marBottom w:val="0"/>
      <w:divBdr>
        <w:top w:val="none" w:sz="0" w:space="0" w:color="auto"/>
        <w:left w:val="none" w:sz="0" w:space="0" w:color="auto"/>
        <w:bottom w:val="none" w:sz="0" w:space="0" w:color="auto"/>
        <w:right w:val="none" w:sz="0" w:space="0" w:color="auto"/>
      </w:divBdr>
    </w:div>
    <w:div w:id="979917695">
      <w:bodyDiv w:val="1"/>
      <w:marLeft w:val="0"/>
      <w:marRight w:val="0"/>
      <w:marTop w:val="0"/>
      <w:marBottom w:val="0"/>
      <w:divBdr>
        <w:top w:val="none" w:sz="0" w:space="0" w:color="auto"/>
        <w:left w:val="none" w:sz="0" w:space="0" w:color="auto"/>
        <w:bottom w:val="none" w:sz="0" w:space="0" w:color="auto"/>
        <w:right w:val="none" w:sz="0" w:space="0" w:color="auto"/>
      </w:divBdr>
    </w:div>
    <w:div w:id="982347566">
      <w:bodyDiv w:val="1"/>
      <w:marLeft w:val="0"/>
      <w:marRight w:val="0"/>
      <w:marTop w:val="0"/>
      <w:marBottom w:val="0"/>
      <w:divBdr>
        <w:top w:val="none" w:sz="0" w:space="0" w:color="auto"/>
        <w:left w:val="none" w:sz="0" w:space="0" w:color="auto"/>
        <w:bottom w:val="none" w:sz="0" w:space="0" w:color="auto"/>
        <w:right w:val="none" w:sz="0" w:space="0" w:color="auto"/>
      </w:divBdr>
    </w:div>
    <w:div w:id="982805907">
      <w:bodyDiv w:val="1"/>
      <w:marLeft w:val="0"/>
      <w:marRight w:val="0"/>
      <w:marTop w:val="0"/>
      <w:marBottom w:val="0"/>
      <w:divBdr>
        <w:top w:val="none" w:sz="0" w:space="0" w:color="auto"/>
        <w:left w:val="none" w:sz="0" w:space="0" w:color="auto"/>
        <w:bottom w:val="none" w:sz="0" w:space="0" w:color="auto"/>
        <w:right w:val="none" w:sz="0" w:space="0" w:color="auto"/>
      </w:divBdr>
    </w:div>
    <w:div w:id="986586911">
      <w:bodyDiv w:val="1"/>
      <w:marLeft w:val="0"/>
      <w:marRight w:val="0"/>
      <w:marTop w:val="0"/>
      <w:marBottom w:val="0"/>
      <w:divBdr>
        <w:top w:val="none" w:sz="0" w:space="0" w:color="auto"/>
        <w:left w:val="none" w:sz="0" w:space="0" w:color="auto"/>
        <w:bottom w:val="none" w:sz="0" w:space="0" w:color="auto"/>
        <w:right w:val="none" w:sz="0" w:space="0" w:color="auto"/>
      </w:divBdr>
    </w:div>
    <w:div w:id="994644500">
      <w:bodyDiv w:val="1"/>
      <w:marLeft w:val="0"/>
      <w:marRight w:val="0"/>
      <w:marTop w:val="0"/>
      <w:marBottom w:val="0"/>
      <w:divBdr>
        <w:top w:val="none" w:sz="0" w:space="0" w:color="auto"/>
        <w:left w:val="none" w:sz="0" w:space="0" w:color="auto"/>
        <w:bottom w:val="none" w:sz="0" w:space="0" w:color="auto"/>
        <w:right w:val="none" w:sz="0" w:space="0" w:color="auto"/>
      </w:divBdr>
    </w:div>
    <w:div w:id="995887183">
      <w:bodyDiv w:val="1"/>
      <w:marLeft w:val="0"/>
      <w:marRight w:val="0"/>
      <w:marTop w:val="0"/>
      <w:marBottom w:val="0"/>
      <w:divBdr>
        <w:top w:val="none" w:sz="0" w:space="0" w:color="auto"/>
        <w:left w:val="none" w:sz="0" w:space="0" w:color="auto"/>
        <w:bottom w:val="none" w:sz="0" w:space="0" w:color="auto"/>
        <w:right w:val="none" w:sz="0" w:space="0" w:color="auto"/>
      </w:divBdr>
    </w:div>
    <w:div w:id="996155954">
      <w:bodyDiv w:val="1"/>
      <w:marLeft w:val="0"/>
      <w:marRight w:val="0"/>
      <w:marTop w:val="0"/>
      <w:marBottom w:val="0"/>
      <w:divBdr>
        <w:top w:val="none" w:sz="0" w:space="0" w:color="auto"/>
        <w:left w:val="none" w:sz="0" w:space="0" w:color="auto"/>
        <w:bottom w:val="none" w:sz="0" w:space="0" w:color="auto"/>
        <w:right w:val="none" w:sz="0" w:space="0" w:color="auto"/>
      </w:divBdr>
    </w:div>
    <w:div w:id="997155376">
      <w:bodyDiv w:val="1"/>
      <w:marLeft w:val="0"/>
      <w:marRight w:val="0"/>
      <w:marTop w:val="0"/>
      <w:marBottom w:val="0"/>
      <w:divBdr>
        <w:top w:val="none" w:sz="0" w:space="0" w:color="auto"/>
        <w:left w:val="none" w:sz="0" w:space="0" w:color="auto"/>
        <w:bottom w:val="none" w:sz="0" w:space="0" w:color="auto"/>
        <w:right w:val="none" w:sz="0" w:space="0" w:color="auto"/>
      </w:divBdr>
    </w:div>
    <w:div w:id="998115397">
      <w:bodyDiv w:val="1"/>
      <w:marLeft w:val="0"/>
      <w:marRight w:val="0"/>
      <w:marTop w:val="0"/>
      <w:marBottom w:val="0"/>
      <w:divBdr>
        <w:top w:val="none" w:sz="0" w:space="0" w:color="auto"/>
        <w:left w:val="none" w:sz="0" w:space="0" w:color="auto"/>
        <w:bottom w:val="none" w:sz="0" w:space="0" w:color="auto"/>
        <w:right w:val="none" w:sz="0" w:space="0" w:color="auto"/>
      </w:divBdr>
    </w:div>
    <w:div w:id="998995503">
      <w:bodyDiv w:val="1"/>
      <w:marLeft w:val="0"/>
      <w:marRight w:val="0"/>
      <w:marTop w:val="0"/>
      <w:marBottom w:val="0"/>
      <w:divBdr>
        <w:top w:val="none" w:sz="0" w:space="0" w:color="auto"/>
        <w:left w:val="none" w:sz="0" w:space="0" w:color="auto"/>
        <w:bottom w:val="none" w:sz="0" w:space="0" w:color="auto"/>
        <w:right w:val="none" w:sz="0" w:space="0" w:color="auto"/>
      </w:divBdr>
    </w:div>
    <w:div w:id="1005789327">
      <w:bodyDiv w:val="1"/>
      <w:marLeft w:val="0"/>
      <w:marRight w:val="0"/>
      <w:marTop w:val="0"/>
      <w:marBottom w:val="0"/>
      <w:divBdr>
        <w:top w:val="none" w:sz="0" w:space="0" w:color="auto"/>
        <w:left w:val="none" w:sz="0" w:space="0" w:color="auto"/>
        <w:bottom w:val="none" w:sz="0" w:space="0" w:color="auto"/>
        <w:right w:val="none" w:sz="0" w:space="0" w:color="auto"/>
      </w:divBdr>
    </w:div>
    <w:div w:id="1011302325">
      <w:bodyDiv w:val="1"/>
      <w:marLeft w:val="0"/>
      <w:marRight w:val="0"/>
      <w:marTop w:val="0"/>
      <w:marBottom w:val="0"/>
      <w:divBdr>
        <w:top w:val="none" w:sz="0" w:space="0" w:color="auto"/>
        <w:left w:val="none" w:sz="0" w:space="0" w:color="auto"/>
        <w:bottom w:val="none" w:sz="0" w:space="0" w:color="auto"/>
        <w:right w:val="none" w:sz="0" w:space="0" w:color="auto"/>
      </w:divBdr>
    </w:div>
    <w:div w:id="1011377546">
      <w:bodyDiv w:val="1"/>
      <w:marLeft w:val="0"/>
      <w:marRight w:val="0"/>
      <w:marTop w:val="0"/>
      <w:marBottom w:val="0"/>
      <w:divBdr>
        <w:top w:val="none" w:sz="0" w:space="0" w:color="auto"/>
        <w:left w:val="none" w:sz="0" w:space="0" w:color="auto"/>
        <w:bottom w:val="none" w:sz="0" w:space="0" w:color="auto"/>
        <w:right w:val="none" w:sz="0" w:space="0" w:color="auto"/>
      </w:divBdr>
    </w:div>
    <w:div w:id="1014381822">
      <w:bodyDiv w:val="1"/>
      <w:marLeft w:val="0"/>
      <w:marRight w:val="0"/>
      <w:marTop w:val="0"/>
      <w:marBottom w:val="0"/>
      <w:divBdr>
        <w:top w:val="none" w:sz="0" w:space="0" w:color="auto"/>
        <w:left w:val="none" w:sz="0" w:space="0" w:color="auto"/>
        <w:bottom w:val="none" w:sz="0" w:space="0" w:color="auto"/>
        <w:right w:val="none" w:sz="0" w:space="0" w:color="auto"/>
      </w:divBdr>
    </w:div>
    <w:div w:id="1021856427">
      <w:bodyDiv w:val="1"/>
      <w:marLeft w:val="0"/>
      <w:marRight w:val="0"/>
      <w:marTop w:val="0"/>
      <w:marBottom w:val="0"/>
      <w:divBdr>
        <w:top w:val="none" w:sz="0" w:space="0" w:color="auto"/>
        <w:left w:val="none" w:sz="0" w:space="0" w:color="auto"/>
        <w:bottom w:val="none" w:sz="0" w:space="0" w:color="auto"/>
        <w:right w:val="none" w:sz="0" w:space="0" w:color="auto"/>
      </w:divBdr>
    </w:div>
    <w:div w:id="1022632763">
      <w:bodyDiv w:val="1"/>
      <w:marLeft w:val="0"/>
      <w:marRight w:val="0"/>
      <w:marTop w:val="0"/>
      <w:marBottom w:val="0"/>
      <w:divBdr>
        <w:top w:val="none" w:sz="0" w:space="0" w:color="auto"/>
        <w:left w:val="none" w:sz="0" w:space="0" w:color="auto"/>
        <w:bottom w:val="none" w:sz="0" w:space="0" w:color="auto"/>
        <w:right w:val="none" w:sz="0" w:space="0" w:color="auto"/>
      </w:divBdr>
    </w:div>
    <w:div w:id="1023900689">
      <w:bodyDiv w:val="1"/>
      <w:marLeft w:val="0"/>
      <w:marRight w:val="0"/>
      <w:marTop w:val="0"/>
      <w:marBottom w:val="0"/>
      <w:divBdr>
        <w:top w:val="none" w:sz="0" w:space="0" w:color="auto"/>
        <w:left w:val="none" w:sz="0" w:space="0" w:color="auto"/>
        <w:bottom w:val="none" w:sz="0" w:space="0" w:color="auto"/>
        <w:right w:val="none" w:sz="0" w:space="0" w:color="auto"/>
      </w:divBdr>
    </w:div>
    <w:div w:id="1025862793">
      <w:bodyDiv w:val="1"/>
      <w:marLeft w:val="0"/>
      <w:marRight w:val="0"/>
      <w:marTop w:val="0"/>
      <w:marBottom w:val="0"/>
      <w:divBdr>
        <w:top w:val="none" w:sz="0" w:space="0" w:color="auto"/>
        <w:left w:val="none" w:sz="0" w:space="0" w:color="auto"/>
        <w:bottom w:val="none" w:sz="0" w:space="0" w:color="auto"/>
        <w:right w:val="none" w:sz="0" w:space="0" w:color="auto"/>
      </w:divBdr>
    </w:div>
    <w:div w:id="1025983510">
      <w:bodyDiv w:val="1"/>
      <w:marLeft w:val="0"/>
      <w:marRight w:val="0"/>
      <w:marTop w:val="0"/>
      <w:marBottom w:val="0"/>
      <w:divBdr>
        <w:top w:val="none" w:sz="0" w:space="0" w:color="auto"/>
        <w:left w:val="none" w:sz="0" w:space="0" w:color="auto"/>
        <w:bottom w:val="none" w:sz="0" w:space="0" w:color="auto"/>
        <w:right w:val="none" w:sz="0" w:space="0" w:color="auto"/>
      </w:divBdr>
    </w:div>
    <w:div w:id="1035691987">
      <w:bodyDiv w:val="1"/>
      <w:marLeft w:val="0"/>
      <w:marRight w:val="0"/>
      <w:marTop w:val="0"/>
      <w:marBottom w:val="0"/>
      <w:divBdr>
        <w:top w:val="none" w:sz="0" w:space="0" w:color="auto"/>
        <w:left w:val="none" w:sz="0" w:space="0" w:color="auto"/>
        <w:bottom w:val="none" w:sz="0" w:space="0" w:color="auto"/>
        <w:right w:val="none" w:sz="0" w:space="0" w:color="auto"/>
      </w:divBdr>
    </w:div>
    <w:div w:id="1043670822">
      <w:bodyDiv w:val="1"/>
      <w:marLeft w:val="0"/>
      <w:marRight w:val="0"/>
      <w:marTop w:val="0"/>
      <w:marBottom w:val="0"/>
      <w:divBdr>
        <w:top w:val="none" w:sz="0" w:space="0" w:color="auto"/>
        <w:left w:val="none" w:sz="0" w:space="0" w:color="auto"/>
        <w:bottom w:val="none" w:sz="0" w:space="0" w:color="auto"/>
        <w:right w:val="none" w:sz="0" w:space="0" w:color="auto"/>
      </w:divBdr>
    </w:div>
    <w:div w:id="1043947201">
      <w:bodyDiv w:val="1"/>
      <w:marLeft w:val="0"/>
      <w:marRight w:val="0"/>
      <w:marTop w:val="0"/>
      <w:marBottom w:val="0"/>
      <w:divBdr>
        <w:top w:val="none" w:sz="0" w:space="0" w:color="auto"/>
        <w:left w:val="none" w:sz="0" w:space="0" w:color="auto"/>
        <w:bottom w:val="none" w:sz="0" w:space="0" w:color="auto"/>
        <w:right w:val="none" w:sz="0" w:space="0" w:color="auto"/>
      </w:divBdr>
    </w:div>
    <w:div w:id="1047799761">
      <w:bodyDiv w:val="1"/>
      <w:marLeft w:val="0"/>
      <w:marRight w:val="0"/>
      <w:marTop w:val="0"/>
      <w:marBottom w:val="0"/>
      <w:divBdr>
        <w:top w:val="none" w:sz="0" w:space="0" w:color="auto"/>
        <w:left w:val="none" w:sz="0" w:space="0" w:color="auto"/>
        <w:bottom w:val="none" w:sz="0" w:space="0" w:color="auto"/>
        <w:right w:val="none" w:sz="0" w:space="0" w:color="auto"/>
      </w:divBdr>
    </w:div>
    <w:div w:id="1047804973">
      <w:bodyDiv w:val="1"/>
      <w:marLeft w:val="0"/>
      <w:marRight w:val="0"/>
      <w:marTop w:val="0"/>
      <w:marBottom w:val="0"/>
      <w:divBdr>
        <w:top w:val="none" w:sz="0" w:space="0" w:color="auto"/>
        <w:left w:val="none" w:sz="0" w:space="0" w:color="auto"/>
        <w:bottom w:val="none" w:sz="0" w:space="0" w:color="auto"/>
        <w:right w:val="none" w:sz="0" w:space="0" w:color="auto"/>
      </w:divBdr>
    </w:div>
    <w:div w:id="1057821851">
      <w:bodyDiv w:val="1"/>
      <w:marLeft w:val="0"/>
      <w:marRight w:val="0"/>
      <w:marTop w:val="0"/>
      <w:marBottom w:val="0"/>
      <w:divBdr>
        <w:top w:val="none" w:sz="0" w:space="0" w:color="auto"/>
        <w:left w:val="none" w:sz="0" w:space="0" w:color="auto"/>
        <w:bottom w:val="none" w:sz="0" w:space="0" w:color="auto"/>
        <w:right w:val="none" w:sz="0" w:space="0" w:color="auto"/>
      </w:divBdr>
    </w:div>
    <w:div w:id="1060445960">
      <w:bodyDiv w:val="1"/>
      <w:marLeft w:val="0"/>
      <w:marRight w:val="0"/>
      <w:marTop w:val="0"/>
      <w:marBottom w:val="0"/>
      <w:divBdr>
        <w:top w:val="none" w:sz="0" w:space="0" w:color="auto"/>
        <w:left w:val="none" w:sz="0" w:space="0" w:color="auto"/>
        <w:bottom w:val="none" w:sz="0" w:space="0" w:color="auto"/>
        <w:right w:val="none" w:sz="0" w:space="0" w:color="auto"/>
      </w:divBdr>
    </w:div>
    <w:div w:id="1061369288">
      <w:bodyDiv w:val="1"/>
      <w:marLeft w:val="0"/>
      <w:marRight w:val="0"/>
      <w:marTop w:val="0"/>
      <w:marBottom w:val="0"/>
      <w:divBdr>
        <w:top w:val="none" w:sz="0" w:space="0" w:color="auto"/>
        <w:left w:val="none" w:sz="0" w:space="0" w:color="auto"/>
        <w:bottom w:val="none" w:sz="0" w:space="0" w:color="auto"/>
        <w:right w:val="none" w:sz="0" w:space="0" w:color="auto"/>
      </w:divBdr>
    </w:div>
    <w:div w:id="1062561558">
      <w:bodyDiv w:val="1"/>
      <w:marLeft w:val="0"/>
      <w:marRight w:val="0"/>
      <w:marTop w:val="0"/>
      <w:marBottom w:val="0"/>
      <w:divBdr>
        <w:top w:val="none" w:sz="0" w:space="0" w:color="auto"/>
        <w:left w:val="none" w:sz="0" w:space="0" w:color="auto"/>
        <w:bottom w:val="none" w:sz="0" w:space="0" w:color="auto"/>
        <w:right w:val="none" w:sz="0" w:space="0" w:color="auto"/>
      </w:divBdr>
    </w:div>
    <w:div w:id="1067143356">
      <w:bodyDiv w:val="1"/>
      <w:marLeft w:val="0"/>
      <w:marRight w:val="0"/>
      <w:marTop w:val="0"/>
      <w:marBottom w:val="0"/>
      <w:divBdr>
        <w:top w:val="none" w:sz="0" w:space="0" w:color="auto"/>
        <w:left w:val="none" w:sz="0" w:space="0" w:color="auto"/>
        <w:bottom w:val="none" w:sz="0" w:space="0" w:color="auto"/>
        <w:right w:val="none" w:sz="0" w:space="0" w:color="auto"/>
      </w:divBdr>
    </w:div>
    <w:div w:id="1070540710">
      <w:bodyDiv w:val="1"/>
      <w:marLeft w:val="0"/>
      <w:marRight w:val="0"/>
      <w:marTop w:val="0"/>
      <w:marBottom w:val="0"/>
      <w:divBdr>
        <w:top w:val="none" w:sz="0" w:space="0" w:color="auto"/>
        <w:left w:val="none" w:sz="0" w:space="0" w:color="auto"/>
        <w:bottom w:val="none" w:sz="0" w:space="0" w:color="auto"/>
        <w:right w:val="none" w:sz="0" w:space="0" w:color="auto"/>
      </w:divBdr>
    </w:div>
    <w:div w:id="1070544922">
      <w:bodyDiv w:val="1"/>
      <w:marLeft w:val="0"/>
      <w:marRight w:val="0"/>
      <w:marTop w:val="0"/>
      <w:marBottom w:val="0"/>
      <w:divBdr>
        <w:top w:val="none" w:sz="0" w:space="0" w:color="auto"/>
        <w:left w:val="none" w:sz="0" w:space="0" w:color="auto"/>
        <w:bottom w:val="none" w:sz="0" w:space="0" w:color="auto"/>
        <w:right w:val="none" w:sz="0" w:space="0" w:color="auto"/>
      </w:divBdr>
    </w:div>
    <w:div w:id="1072510199">
      <w:bodyDiv w:val="1"/>
      <w:marLeft w:val="0"/>
      <w:marRight w:val="0"/>
      <w:marTop w:val="0"/>
      <w:marBottom w:val="0"/>
      <w:divBdr>
        <w:top w:val="none" w:sz="0" w:space="0" w:color="auto"/>
        <w:left w:val="none" w:sz="0" w:space="0" w:color="auto"/>
        <w:bottom w:val="none" w:sz="0" w:space="0" w:color="auto"/>
        <w:right w:val="none" w:sz="0" w:space="0" w:color="auto"/>
      </w:divBdr>
    </w:div>
    <w:div w:id="1072972632">
      <w:bodyDiv w:val="1"/>
      <w:marLeft w:val="0"/>
      <w:marRight w:val="0"/>
      <w:marTop w:val="0"/>
      <w:marBottom w:val="0"/>
      <w:divBdr>
        <w:top w:val="none" w:sz="0" w:space="0" w:color="auto"/>
        <w:left w:val="none" w:sz="0" w:space="0" w:color="auto"/>
        <w:bottom w:val="none" w:sz="0" w:space="0" w:color="auto"/>
        <w:right w:val="none" w:sz="0" w:space="0" w:color="auto"/>
      </w:divBdr>
    </w:div>
    <w:div w:id="1074887916">
      <w:bodyDiv w:val="1"/>
      <w:marLeft w:val="0"/>
      <w:marRight w:val="0"/>
      <w:marTop w:val="0"/>
      <w:marBottom w:val="0"/>
      <w:divBdr>
        <w:top w:val="none" w:sz="0" w:space="0" w:color="auto"/>
        <w:left w:val="none" w:sz="0" w:space="0" w:color="auto"/>
        <w:bottom w:val="none" w:sz="0" w:space="0" w:color="auto"/>
        <w:right w:val="none" w:sz="0" w:space="0" w:color="auto"/>
      </w:divBdr>
    </w:div>
    <w:div w:id="1076786026">
      <w:bodyDiv w:val="1"/>
      <w:marLeft w:val="0"/>
      <w:marRight w:val="0"/>
      <w:marTop w:val="0"/>
      <w:marBottom w:val="0"/>
      <w:divBdr>
        <w:top w:val="none" w:sz="0" w:space="0" w:color="auto"/>
        <w:left w:val="none" w:sz="0" w:space="0" w:color="auto"/>
        <w:bottom w:val="none" w:sz="0" w:space="0" w:color="auto"/>
        <w:right w:val="none" w:sz="0" w:space="0" w:color="auto"/>
      </w:divBdr>
    </w:div>
    <w:div w:id="1077826784">
      <w:bodyDiv w:val="1"/>
      <w:marLeft w:val="0"/>
      <w:marRight w:val="0"/>
      <w:marTop w:val="0"/>
      <w:marBottom w:val="0"/>
      <w:divBdr>
        <w:top w:val="none" w:sz="0" w:space="0" w:color="auto"/>
        <w:left w:val="none" w:sz="0" w:space="0" w:color="auto"/>
        <w:bottom w:val="none" w:sz="0" w:space="0" w:color="auto"/>
        <w:right w:val="none" w:sz="0" w:space="0" w:color="auto"/>
      </w:divBdr>
    </w:div>
    <w:div w:id="1084572259">
      <w:bodyDiv w:val="1"/>
      <w:marLeft w:val="0"/>
      <w:marRight w:val="0"/>
      <w:marTop w:val="0"/>
      <w:marBottom w:val="0"/>
      <w:divBdr>
        <w:top w:val="none" w:sz="0" w:space="0" w:color="auto"/>
        <w:left w:val="none" w:sz="0" w:space="0" w:color="auto"/>
        <w:bottom w:val="none" w:sz="0" w:space="0" w:color="auto"/>
        <w:right w:val="none" w:sz="0" w:space="0" w:color="auto"/>
      </w:divBdr>
    </w:div>
    <w:div w:id="1086540681">
      <w:bodyDiv w:val="1"/>
      <w:marLeft w:val="0"/>
      <w:marRight w:val="0"/>
      <w:marTop w:val="0"/>
      <w:marBottom w:val="0"/>
      <w:divBdr>
        <w:top w:val="none" w:sz="0" w:space="0" w:color="auto"/>
        <w:left w:val="none" w:sz="0" w:space="0" w:color="auto"/>
        <w:bottom w:val="none" w:sz="0" w:space="0" w:color="auto"/>
        <w:right w:val="none" w:sz="0" w:space="0" w:color="auto"/>
      </w:divBdr>
    </w:div>
    <w:div w:id="1088228846">
      <w:bodyDiv w:val="1"/>
      <w:marLeft w:val="0"/>
      <w:marRight w:val="0"/>
      <w:marTop w:val="0"/>
      <w:marBottom w:val="0"/>
      <w:divBdr>
        <w:top w:val="none" w:sz="0" w:space="0" w:color="auto"/>
        <w:left w:val="none" w:sz="0" w:space="0" w:color="auto"/>
        <w:bottom w:val="none" w:sz="0" w:space="0" w:color="auto"/>
        <w:right w:val="none" w:sz="0" w:space="0" w:color="auto"/>
      </w:divBdr>
    </w:div>
    <w:div w:id="1090666110">
      <w:bodyDiv w:val="1"/>
      <w:marLeft w:val="0"/>
      <w:marRight w:val="0"/>
      <w:marTop w:val="0"/>
      <w:marBottom w:val="0"/>
      <w:divBdr>
        <w:top w:val="none" w:sz="0" w:space="0" w:color="auto"/>
        <w:left w:val="none" w:sz="0" w:space="0" w:color="auto"/>
        <w:bottom w:val="none" w:sz="0" w:space="0" w:color="auto"/>
        <w:right w:val="none" w:sz="0" w:space="0" w:color="auto"/>
      </w:divBdr>
    </w:div>
    <w:div w:id="1094085424">
      <w:bodyDiv w:val="1"/>
      <w:marLeft w:val="0"/>
      <w:marRight w:val="0"/>
      <w:marTop w:val="0"/>
      <w:marBottom w:val="0"/>
      <w:divBdr>
        <w:top w:val="none" w:sz="0" w:space="0" w:color="auto"/>
        <w:left w:val="none" w:sz="0" w:space="0" w:color="auto"/>
        <w:bottom w:val="none" w:sz="0" w:space="0" w:color="auto"/>
        <w:right w:val="none" w:sz="0" w:space="0" w:color="auto"/>
      </w:divBdr>
    </w:div>
    <w:div w:id="1099258975">
      <w:bodyDiv w:val="1"/>
      <w:marLeft w:val="0"/>
      <w:marRight w:val="0"/>
      <w:marTop w:val="0"/>
      <w:marBottom w:val="0"/>
      <w:divBdr>
        <w:top w:val="none" w:sz="0" w:space="0" w:color="auto"/>
        <w:left w:val="none" w:sz="0" w:space="0" w:color="auto"/>
        <w:bottom w:val="none" w:sz="0" w:space="0" w:color="auto"/>
        <w:right w:val="none" w:sz="0" w:space="0" w:color="auto"/>
      </w:divBdr>
    </w:div>
    <w:div w:id="1099911417">
      <w:bodyDiv w:val="1"/>
      <w:marLeft w:val="0"/>
      <w:marRight w:val="0"/>
      <w:marTop w:val="0"/>
      <w:marBottom w:val="0"/>
      <w:divBdr>
        <w:top w:val="none" w:sz="0" w:space="0" w:color="auto"/>
        <w:left w:val="none" w:sz="0" w:space="0" w:color="auto"/>
        <w:bottom w:val="none" w:sz="0" w:space="0" w:color="auto"/>
        <w:right w:val="none" w:sz="0" w:space="0" w:color="auto"/>
      </w:divBdr>
    </w:div>
    <w:div w:id="1102722209">
      <w:bodyDiv w:val="1"/>
      <w:marLeft w:val="0"/>
      <w:marRight w:val="0"/>
      <w:marTop w:val="0"/>
      <w:marBottom w:val="0"/>
      <w:divBdr>
        <w:top w:val="none" w:sz="0" w:space="0" w:color="auto"/>
        <w:left w:val="none" w:sz="0" w:space="0" w:color="auto"/>
        <w:bottom w:val="none" w:sz="0" w:space="0" w:color="auto"/>
        <w:right w:val="none" w:sz="0" w:space="0" w:color="auto"/>
      </w:divBdr>
    </w:div>
    <w:div w:id="1102843715">
      <w:bodyDiv w:val="1"/>
      <w:marLeft w:val="0"/>
      <w:marRight w:val="0"/>
      <w:marTop w:val="0"/>
      <w:marBottom w:val="0"/>
      <w:divBdr>
        <w:top w:val="none" w:sz="0" w:space="0" w:color="auto"/>
        <w:left w:val="none" w:sz="0" w:space="0" w:color="auto"/>
        <w:bottom w:val="none" w:sz="0" w:space="0" w:color="auto"/>
        <w:right w:val="none" w:sz="0" w:space="0" w:color="auto"/>
      </w:divBdr>
    </w:div>
    <w:div w:id="1106271903">
      <w:bodyDiv w:val="1"/>
      <w:marLeft w:val="0"/>
      <w:marRight w:val="0"/>
      <w:marTop w:val="0"/>
      <w:marBottom w:val="0"/>
      <w:divBdr>
        <w:top w:val="none" w:sz="0" w:space="0" w:color="auto"/>
        <w:left w:val="none" w:sz="0" w:space="0" w:color="auto"/>
        <w:bottom w:val="none" w:sz="0" w:space="0" w:color="auto"/>
        <w:right w:val="none" w:sz="0" w:space="0" w:color="auto"/>
      </w:divBdr>
    </w:div>
    <w:div w:id="1112551487">
      <w:bodyDiv w:val="1"/>
      <w:marLeft w:val="0"/>
      <w:marRight w:val="0"/>
      <w:marTop w:val="0"/>
      <w:marBottom w:val="0"/>
      <w:divBdr>
        <w:top w:val="none" w:sz="0" w:space="0" w:color="auto"/>
        <w:left w:val="none" w:sz="0" w:space="0" w:color="auto"/>
        <w:bottom w:val="none" w:sz="0" w:space="0" w:color="auto"/>
        <w:right w:val="none" w:sz="0" w:space="0" w:color="auto"/>
      </w:divBdr>
    </w:div>
    <w:div w:id="1113087697">
      <w:bodyDiv w:val="1"/>
      <w:marLeft w:val="0"/>
      <w:marRight w:val="0"/>
      <w:marTop w:val="0"/>
      <w:marBottom w:val="0"/>
      <w:divBdr>
        <w:top w:val="none" w:sz="0" w:space="0" w:color="auto"/>
        <w:left w:val="none" w:sz="0" w:space="0" w:color="auto"/>
        <w:bottom w:val="none" w:sz="0" w:space="0" w:color="auto"/>
        <w:right w:val="none" w:sz="0" w:space="0" w:color="auto"/>
      </w:divBdr>
    </w:div>
    <w:div w:id="1116362722">
      <w:bodyDiv w:val="1"/>
      <w:marLeft w:val="0"/>
      <w:marRight w:val="0"/>
      <w:marTop w:val="0"/>
      <w:marBottom w:val="0"/>
      <w:divBdr>
        <w:top w:val="none" w:sz="0" w:space="0" w:color="auto"/>
        <w:left w:val="none" w:sz="0" w:space="0" w:color="auto"/>
        <w:bottom w:val="none" w:sz="0" w:space="0" w:color="auto"/>
        <w:right w:val="none" w:sz="0" w:space="0" w:color="auto"/>
      </w:divBdr>
    </w:div>
    <w:div w:id="1117137645">
      <w:bodyDiv w:val="1"/>
      <w:marLeft w:val="0"/>
      <w:marRight w:val="0"/>
      <w:marTop w:val="0"/>
      <w:marBottom w:val="0"/>
      <w:divBdr>
        <w:top w:val="none" w:sz="0" w:space="0" w:color="auto"/>
        <w:left w:val="none" w:sz="0" w:space="0" w:color="auto"/>
        <w:bottom w:val="none" w:sz="0" w:space="0" w:color="auto"/>
        <w:right w:val="none" w:sz="0" w:space="0" w:color="auto"/>
      </w:divBdr>
    </w:div>
    <w:div w:id="1127240837">
      <w:bodyDiv w:val="1"/>
      <w:marLeft w:val="0"/>
      <w:marRight w:val="0"/>
      <w:marTop w:val="0"/>
      <w:marBottom w:val="0"/>
      <w:divBdr>
        <w:top w:val="none" w:sz="0" w:space="0" w:color="auto"/>
        <w:left w:val="none" w:sz="0" w:space="0" w:color="auto"/>
        <w:bottom w:val="none" w:sz="0" w:space="0" w:color="auto"/>
        <w:right w:val="none" w:sz="0" w:space="0" w:color="auto"/>
      </w:divBdr>
    </w:div>
    <w:div w:id="1128862949">
      <w:bodyDiv w:val="1"/>
      <w:marLeft w:val="0"/>
      <w:marRight w:val="0"/>
      <w:marTop w:val="0"/>
      <w:marBottom w:val="0"/>
      <w:divBdr>
        <w:top w:val="none" w:sz="0" w:space="0" w:color="auto"/>
        <w:left w:val="none" w:sz="0" w:space="0" w:color="auto"/>
        <w:bottom w:val="none" w:sz="0" w:space="0" w:color="auto"/>
        <w:right w:val="none" w:sz="0" w:space="0" w:color="auto"/>
      </w:divBdr>
    </w:div>
    <w:div w:id="1130056839">
      <w:bodyDiv w:val="1"/>
      <w:marLeft w:val="0"/>
      <w:marRight w:val="0"/>
      <w:marTop w:val="0"/>
      <w:marBottom w:val="0"/>
      <w:divBdr>
        <w:top w:val="none" w:sz="0" w:space="0" w:color="auto"/>
        <w:left w:val="none" w:sz="0" w:space="0" w:color="auto"/>
        <w:bottom w:val="none" w:sz="0" w:space="0" w:color="auto"/>
        <w:right w:val="none" w:sz="0" w:space="0" w:color="auto"/>
      </w:divBdr>
    </w:div>
    <w:div w:id="1134759874">
      <w:bodyDiv w:val="1"/>
      <w:marLeft w:val="0"/>
      <w:marRight w:val="0"/>
      <w:marTop w:val="0"/>
      <w:marBottom w:val="0"/>
      <w:divBdr>
        <w:top w:val="none" w:sz="0" w:space="0" w:color="auto"/>
        <w:left w:val="none" w:sz="0" w:space="0" w:color="auto"/>
        <w:bottom w:val="none" w:sz="0" w:space="0" w:color="auto"/>
        <w:right w:val="none" w:sz="0" w:space="0" w:color="auto"/>
      </w:divBdr>
    </w:div>
    <w:div w:id="1135104811">
      <w:bodyDiv w:val="1"/>
      <w:marLeft w:val="0"/>
      <w:marRight w:val="0"/>
      <w:marTop w:val="0"/>
      <w:marBottom w:val="0"/>
      <w:divBdr>
        <w:top w:val="none" w:sz="0" w:space="0" w:color="auto"/>
        <w:left w:val="none" w:sz="0" w:space="0" w:color="auto"/>
        <w:bottom w:val="none" w:sz="0" w:space="0" w:color="auto"/>
        <w:right w:val="none" w:sz="0" w:space="0" w:color="auto"/>
      </w:divBdr>
    </w:div>
    <w:div w:id="1141384097">
      <w:bodyDiv w:val="1"/>
      <w:marLeft w:val="0"/>
      <w:marRight w:val="0"/>
      <w:marTop w:val="0"/>
      <w:marBottom w:val="0"/>
      <w:divBdr>
        <w:top w:val="none" w:sz="0" w:space="0" w:color="auto"/>
        <w:left w:val="none" w:sz="0" w:space="0" w:color="auto"/>
        <w:bottom w:val="none" w:sz="0" w:space="0" w:color="auto"/>
        <w:right w:val="none" w:sz="0" w:space="0" w:color="auto"/>
      </w:divBdr>
    </w:div>
    <w:div w:id="1142695713">
      <w:bodyDiv w:val="1"/>
      <w:marLeft w:val="0"/>
      <w:marRight w:val="0"/>
      <w:marTop w:val="0"/>
      <w:marBottom w:val="0"/>
      <w:divBdr>
        <w:top w:val="none" w:sz="0" w:space="0" w:color="auto"/>
        <w:left w:val="none" w:sz="0" w:space="0" w:color="auto"/>
        <w:bottom w:val="none" w:sz="0" w:space="0" w:color="auto"/>
        <w:right w:val="none" w:sz="0" w:space="0" w:color="auto"/>
      </w:divBdr>
    </w:div>
    <w:div w:id="1146120114">
      <w:bodyDiv w:val="1"/>
      <w:marLeft w:val="0"/>
      <w:marRight w:val="0"/>
      <w:marTop w:val="0"/>
      <w:marBottom w:val="0"/>
      <w:divBdr>
        <w:top w:val="none" w:sz="0" w:space="0" w:color="auto"/>
        <w:left w:val="none" w:sz="0" w:space="0" w:color="auto"/>
        <w:bottom w:val="none" w:sz="0" w:space="0" w:color="auto"/>
        <w:right w:val="none" w:sz="0" w:space="0" w:color="auto"/>
      </w:divBdr>
    </w:div>
    <w:div w:id="1151605538">
      <w:bodyDiv w:val="1"/>
      <w:marLeft w:val="0"/>
      <w:marRight w:val="0"/>
      <w:marTop w:val="0"/>
      <w:marBottom w:val="0"/>
      <w:divBdr>
        <w:top w:val="none" w:sz="0" w:space="0" w:color="auto"/>
        <w:left w:val="none" w:sz="0" w:space="0" w:color="auto"/>
        <w:bottom w:val="none" w:sz="0" w:space="0" w:color="auto"/>
        <w:right w:val="none" w:sz="0" w:space="0" w:color="auto"/>
      </w:divBdr>
    </w:div>
    <w:div w:id="1158181831">
      <w:bodyDiv w:val="1"/>
      <w:marLeft w:val="0"/>
      <w:marRight w:val="0"/>
      <w:marTop w:val="0"/>
      <w:marBottom w:val="0"/>
      <w:divBdr>
        <w:top w:val="none" w:sz="0" w:space="0" w:color="auto"/>
        <w:left w:val="none" w:sz="0" w:space="0" w:color="auto"/>
        <w:bottom w:val="none" w:sz="0" w:space="0" w:color="auto"/>
        <w:right w:val="none" w:sz="0" w:space="0" w:color="auto"/>
      </w:divBdr>
    </w:div>
    <w:div w:id="1158182824">
      <w:bodyDiv w:val="1"/>
      <w:marLeft w:val="0"/>
      <w:marRight w:val="0"/>
      <w:marTop w:val="0"/>
      <w:marBottom w:val="0"/>
      <w:divBdr>
        <w:top w:val="none" w:sz="0" w:space="0" w:color="auto"/>
        <w:left w:val="none" w:sz="0" w:space="0" w:color="auto"/>
        <w:bottom w:val="none" w:sz="0" w:space="0" w:color="auto"/>
        <w:right w:val="none" w:sz="0" w:space="0" w:color="auto"/>
      </w:divBdr>
    </w:div>
    <w:div w:id="1163399420">
      <w:bodyDiv w:val="1"/>
      <w:marLeft w:val="0"/>
      <w:marRight w:val="0"/>
      <w:marTop w:val="0"/>
      <w:marBottom w:val="0"/>
      <w:divBdr>
        <w:top w:val="none" w:sz="0" w:space="0" w:color="auto"/>
        <w:left w:val="none" w:sz="0" w:space="0" w:color="auto"/>
        <w:bottom w:val="none" w:sz="0" w:space="0" w:color="auto"/>
        <w:right w:val="none" w:sz="0" w:space="0" w:color="auto"/>
      </w:divBdr>
    </w:div>
    <w:div w:id="1164393814">
      <w:bodyDiv w:val="1"/>
      <w:marLeft w:val="0"/>
      <w:marRight w:val="0"/>
      <w:marTop w:val="0"/>
      <w:marBottom w:val="0"/>
      <w:divBdr>
        <w:top w:val="none" w:sz="0" w:space="0" w:color="auto"/>
        <w:left w:val="none" w:sz="0" w:space="0" w:color="auto"/>
        <w:bottom w:val="none" w:sz="0" w:space="0" w:color="auto"/>
        <w:right w:val="none" w:sz="0" w:space="0" w:color="auto"/>
      </w:divBdr>
    </w:div>
    <w:div w:id="1165977166">
      <w:bodyDiv w:val="1"/>
      <w:marLeft w:val="0"/>
      <w:marRight w:val="0"/>
      <w:marTop w:val="0"/>
      <w:marBottom w:val="0"/>
      <w:divBdr>
        <w:top w:val="none" w:sz="0" w:space="0" w:color="auto"/>
        <w:left w:val="none" w:sz="0" w:space="0" w:color="auto"/>
        <w:bottom w:val="none" w:sz="0" w:space="0" w:color="auto"/>
        <w:right w:val="none" w:sz="0" w:space="0" w:color="auto"/>
      </w:divBdr>
    </w:div>
    <w:div w:id="1166239716">
      <w:bodyDiv w:val="1"/>
      <w:marLeft w:val="0"/>
      <w:marRight w:val="0"/>
      <w:marTop w:val="0"/>
      <w:marBottom w:val="0"/>
      <w:divBdr>
        <w:top w:val="none" w:sz="0" w:space="0" w:color="auto"/>
        <w:left w:val="none" w:sz="0" w:space="0" w:color="auto"/>
        <w:bottom w:val="none" w:sz="0" w:space="0" w:color="auto"/>
        <w:right w:val="none" w:sz="0" w:space="0" w:color="auto"/>
      </w:divBdr>
    </w:div>
    <w:div w:id="1168405958">
      <w:bodyDiv w:val="1"/>
      <w:marLeft w:val="0"/>
      <w:marRight w:val="0"/>
      <w:marTop w:val="0"/>
      <w:marBottom w:val="0"/>
      <w:divBdr>
        <w:top w:val="none" w:sz="0" w:space="0" w:color="auto"/>
        <w:left w:val="none" w:sz="0" w:space="0" w:color="auto"/>
        <w:bottom w:val="none" w:sz="0" w:space="0" w:color="auto"/>
        <w:right w:val="none" w:sz="0" w:space="0" w:color="auto"/>
      </w:divBdr>
    </w:div>
    <w:div w:id="1168516168">
      <w:bodyDiv w:val="1"/>
      <w:marLeft w:val="0"/>
      <w:marRight w:val="0"/>
      <w:marTop w:val="0"/>
      <w:marBottom w:val="0"/>
      <w:divBdr>
        <w:top w:val="none" w:sz="0" w:space="0" w:color="auto"/>
        <w:left w:val="none" w:sz="0" w:space="0" w:color="auto"/>
        <w:bottom w:val="none" w:sz="0" w:space="0" w:color="auto"/>
        <w:right w:val="none" w:sz="0" w:space="0" w:color="auto"/>
      </w:divBdr>
    </w:div>
    <w:div w:id="1170219502">
      <w:bodyDiv w:val="1"/>
      <w:marLeft w:val="0"/>
      <w:marRight w:val="0"/>
      <w:marTop w:val="0"/>
      <w:marBottom w:val="0"/>
      <w:divBdr>
        <w:top w:val="none" w:sz="0" w:space="0" w:color="auto"/>
        <w:left w:val="none" w:sz="0" w:space="0" w:color="auto"/>
        <w:bottom w:val="none" w:sz="0" w:space="0" w:color="auto"/>
        <w:right w:val="none" w:sz="0" w:space="0" w:color="auto"/>
      </w:divBdr>
    </w:div>
    <w:div w:id="1171024347">
      <w:bodyDiv w:val="1"/>
      <w:marLeft w:val="0"/>
      <w:marRight w:val="0"/>
      <w:marTop w:val="0"/>
      <w:marBottom w:val="0"/>
      <w:divBdr>
        <w:top w:val="none" w:sz="0" w:space="0" w:color="auto"/>
        <w:left w:val="none" w:sz="0" w:space="0" w:color="auto"/>
        <w:bottom w:val="none" w:sz="0" w:space="0" w:color="auto"/>
        <w:right w:val="none" w:sz="0" w:space="0" w:color="auto"/>
      </w:divBdr>
    </w:div>
    <w:div w:id="1171414795">
      <w:bodyDiv w:val="1"/>
      <w:marLeft w:val="0"/>
      <w:marRight w:val="0"/>
      <w:marTop w:val="0"/>
      <w:marBottom w:val="0"/>
      <w:divBdr>
        <w:top w:val="none" w:sz="0" w:space="0" w:color="auto"/>
        <w:left w:val="none" w:sz="0" w:space="0" w:color="auto"/>
        <w:bottom w:val="none" w:sz="0" w:space="0" w:color="auto"/>
        <w:right w:val="none" w:sz="0" w:space="0" w:color="auto"/>
      </w:divBdr>
    </w:div>
    <w:div w:id="1177035346">
      <w:bodyDiv w:val="1"/>
      <w:marLeft w:val="0"/>
      <w:marRight w:val="0"/>
      <w:marTop w:val="0"/>
      <w:marBottom w:val="0"/>
      <w:divBdr>
        <w:top w:val="none" w:sz="0" w:space="0" w:color="auto"/>
        <w:left w:val="none" w:sz="0" w:space="0" w:color="auto"/>
        <w:bottom w:val="none" w:sz="0" w:space="0" w:color="auto"/>
        <w:right w:val="none" w:sz="0" w:space="0" w:color="auto"/>
      </w:divBdr>
    </w:div>
    <w:div w:id="1179470665">
      <w:bodyDiv w:val="1"/>
      <w:marLeft w:val="0"/>
      <w:marRight w:val="0"/>
      <w:marTop w:val="0"/>
      <w:marBottom w:val="0"/>
      <w:divBdr>
        <w:top w:val="none" w:sz="0" w:space="0" w:color="auto"/>
        <w:left w:val="none" w:sz="0" w:space="0" w:color="auto"/>
        <w:bottom w:val="none" w:sz="0" w:space="0" w:color="auto"/>
        <w:right w:val="none" w:sz="0" w:space="0" w:color="auto"/>
      </w:divBdr>
    </w:div>
    <w:div w:id="1179924138">
      <w:bodyDiv w:val="1"/>
      <w:marLeft w:val="0"/>
      <w:marRight w:val="0"/>
      <w:marTop w:val="0"/>
      <w:marBottom w:val="0"/>
      <w:divBdr>
        <w:top w:val="none" w:sz="0" w:space="0" w:color="auto"/>
        <w:left w:val="none" w:sz="0" w:space="0" w:color="auto"/>
        <w:bottom w:val="none" w:sz="0" w:space="0" w:color="auto"/>
        <w:right w:val="none" w:sz="0" w:space="0" w:color="auto"/>
      </w:divBdr>
    </w:div>
    <w:div w:id="1180773170">
      <w:bodyDiv w:val="1"/>
      <w:marLeft w:val="0"/>
      <w:marRight w:val="0"/>
      <w:marTop w:val="0"/>
      <w:marBottom w:val="0"/>
      <w:divBdr>
        <w:top w:val="none" w:sz="0" w:space="0" w:color="auto"/>
        <w:left w:val="none" w:sz="0" w:space="0" w:color="auto"/>
        <w:bottom w:val="none" w:sz="0" w:space="0" w:color="auto"/>
        <w:right w:val="none" w:sz="0" w:space="0" w:color="auto"/>
      </w:divBdr>
    </w:div>
    <w:div w:id="1180850336">
      <w:bodyDiv w:val="1"/>
      <w:marLeft w:val="0"/>
      <w:marRight w:val="0"/>
      <w:marTop w:val="0"/>
      <w:marBottom w:val="0"/>
      <w:divBdr>
        <w:top w:val="none" w:sz="0" w:space="0" w:color="auto"/>
        <w:left w:val="none" w:sz="0" w:space="0" w:color="auto"/>
        <w:bottom w:val="none" w:sz="0" w:space="0" w:color="auto"/>
        <w:right w:val="none" w:sz="0" w:space="0" w:color="auto"/>
      </w:divBdr>
    </w:div>
    <w:div w:id="1182865551">
      <w:bodyDiv w:val="1"/>
      <w:marLeft w:val="0"/>
      <w:marRight w:val="0"/>
      <w:marTop w:val="0"/>
      <w:marBottom w:val="0"/>
      <w:divBdr>
        <w:top w:val="none" w:sz="0" w:space="0" w:color="auto"/>
        <w:left w:val="none" w:sz="0" w:space="0" w:color="auto"/>
        <w:bottom w:val="none" w:sz="0" w:space="0" w:color="auto"/>
        <w:right w:val="none" w:sz="0" w:space="0" w:color="auto"/>
      </w:divBdr>
    </w:div>
    <w:div w:id="1183204450">
      <w:bodyDiv w:val="1"/>
      <w:marLeft w:val="0"/>
      <w:marRight w:val="0"/>
      <w:marTop w:val="0"/>
      <w:marBottom w:val="0"/>
      <w:divBdr>
        <w:top w:val="none" w:sz="0" w:space="0" w:color="auto"/>
        <w:left w:val="none" w:sz="0" w:space="0" w:color="auto"/>
        <w:bottom w:val="none" w:sz="0" w:space="0" w:color="auto"/>
        <w:right w:val="none" w:sz="0" w:space="0" w:color="auto"/>
      </w:divBdr>
    </w:div>
    <w:div w:id="1183592596">
      <w:bodyDiv w:val="1"/>
      <w:marLeft w:val="0"/>
      <w:marRight w:val="0"/>
      <w:marTop w:val="0"/>
      <w:marBottom w:val="0"/>
      <w:divBdr>
        <w:top w:val="none" w:sz="0" w:space="0" w:color="auto"/>
        <w:left w:val="none" w:sz="0" w:space="0" w:color="auto"/>
        <w:bottom w:val="none" w:sz="0" w:space="0" w:color="auto"/>
        <w:right w:val="none" w:sz="0" w:space="0" w:color="auto"/>
      </w:divBdr>
    </w:div>
    <w:div w:id="1185902519">
      <w:bodyDiv w:val="1"/>
      <w:marLeft w:val="0"/>
      <w:marRight w:val="0"/>
      <w:marTop w:val="0"/>
      <w:marBottom w:val="0"/>
      <w:divBdr>
        <w:top w:val="none" w:sz="0" w:space="0" w:color="auto"/>
        <w:left w:val="none" w:sz="0" w:space="0" w:color="auto"/>
        <w:bottom w:val="none" w:sz="0" w:space="0" w:color="auto"/>
        <w:right w:val="none" w:sz="0" w:space="0" w:color="auto"/>
      </w:divBdr>
    </w:div>
    <w:div w:id="1186482113">
      <w:bodyDiv w:val="1"/>
      <w:marLeft w:val="0"/>
      <w:marRight w:val="0"/>
      <w:marTop w:val="0"/>
      <w:marBottom w:val="0"/>
      <w:divBdr>
        <w:top w:val="none" w:sz="0" w:space="0" w:color="auto"/>
        <w:left w:val="none" w:sz="0" w:space="0" w:color="auto"/>
        <w:bottom w:val="none" w:sz="0" w:space="0" w:color="auto"/>
        <w:right w:val="none" w:sz="0" w:space="0" w:color="auto"/>
      </w:divBdr>
    </w:div>
    <w:div w:id="1188376425">
      <w:bodyDiv w:val="1"/>
      <w:marLeft w:val="0"/>
      <w:marRight w:val="0"/>
      <w:marTop w:val="0"/>
      <w:marBottom w:val="0"/>
      <w:divBdr>
        <w:top w:val="none" w:sz="0" w:space="0" w:color="auto"/>
        <w:left w:val="none" w:sz="0" w:space="0" w:color="auto"/>
        <w:bottom w:val="none" w:sz="0" w:space="0" w:color="auto"/>
        <w:right w:val="none" w:sz="0" w:space="0" w:color="auto"/>
      </w:divBdr>
    </w:div>
    <w:div w:id="1189367551">
      <w:bodyDiv w:val="1"/>
      <w:marLeft w:val="0"/>
      <w:marRight w:val="0"/>
      <w:marTop w:val="0"/>
      <w:marBottom w:val="0"/>
      <w:divBdr>
        <w:top w:val="none" w:sz="0" w:space="0" w:color="auto"/>
        <w:left w:val="none" w:sz="0" w:space="0" w:color="auto"/>
        <w:bottom w:val="none" w:sz="0" w:space="0" w:color="auto"/>
        <w:right w:val="none" w:sz="0" w:space="0" w:color="auto"/>
      </w:divBdr>
    </w:div>
    <w:div w:id="1189946974">
      <w:bodyDiv w:val="1"/>
      <w:marLeft w:val="0"/>
      <w:marRight w:val="0"/>
      <w:marTop w:val="0"/>
      <w:marBottom w:val="0"/>
      <w:divBdr>
        <w:top w:val="none" w:sz="0" w:space="0" w:color="auto"/>
        <w:left w:val="none" w:sz="0" w:space="0" w:color="auto"/>
        <w:bottom w:val="none" w:sz="0" w:space="0" w:color="auto"/>
        <w:right w:val="none" w:sz="0" w:space="0" w:color="auto"/>
      </w:divBdr>
    </w:div>
    <w:div w:id="1190339848">
      <w:bodyDiv w:val="1"/>
      <w:marLeft w:val="0"/>
      <w:marRight w:val="0"/>
      <w:marTop w:val="0"/>
      <w:marBottom w:val="0"/>
      <w:divBdr>
        <w:top w:val="none" w:sz="0" w:space="0" w:color="auto"/>
        <w:left w:val="none" w:sz="0" w:space="0" w:color="auto"/>
        <w:bottom w:val="none" w:sz="0" w:space="0" w:color="auto"/>
        <w:right w:val="none" w:sz="0" w:space="0" w:color="auto"/>
      </w:divBdr>
    </w:div>
    <w:div w:id="1199660364">
      <w:bodyDiv w:val="1"/>
      <w:marLeft w:val="0"/>
      <w:marRight w:val="0"/>
      <w:marTop w:val="0"/>
      <w:marBottom w:val="0"/>
      <w:divBdr>
        <w:top w:val="none" w:sz="0" w:space="0" w:color="auto"/>
        <w:left w:val="none" w:sz="0" w:space="0" w:color="auto"/>
        <w:bottom w:val="none" w:sz="0" w:space="0" w:color="auto"/>
        <w:right w:val="none" w:sz="0" w:space="0" w:color="auto"/>
      </w:divBdr>
    </w:div>
    <w:div w:id="1201239518">
      <w:bodyDiv w:val="1"/>
      <w:marLeft w:val="0"/>
      <w:marRight w:val="0"/>
      <w:marTop w:val="0"/>
      <w:marBottom w:val="0"/>
      <w:divBdr>
        <w:top w:val="none" w:sz="0" w:space="0" w:color="auto"/>
        <w:left w:val="none" w:sz="0" w:space="0" w:color="auto"/>
        <w:bottom w:val="none" w:sz="0" w:space="0" w:color="auto"/>
        <w:right w:val="none" w:sz="0" w:space="0" w:color="auto"/>
      </w:divBdr>
    </w:div>
    <w:div w:id="1202476092">
      <w:bodyDiv w:val="1"/>
      <w:marLeft w:val="0"/>
      <w:marRight w:val="0"/>
      <w:marTop w:val="0"/>
      <w:marBottom w:val="0"/>
      <w:divBdr>
        <w:top w:val="none" w:sz="0" w:space="0" w:color="auto"/>
        <w:left w:val="none" w:sz="0" w:space="0" w:color="auto"/>
        <w:bottom w:val="none" w:sz="0" w:space="0" w:color="auto"/>
        <w:right w:val="none" w:sz="0" w:space="0" w:color="auto"/>
      </w:divBdr>
    </w:div>
    <w:div w:id="1206060851">
      <w:bodyDiv w:val="1"/>
      <w:marLeft w:val="0"/>
      <w:marRight w:val="0"/>
      <w:marTop w:val="0"/>
      <w:marBottom w:val="0"/>
      <w:divBdr>
        <w:top w:val="none" w:sz="0" w:space="0" w:color="auto"/>
        <w:left w:val="none" w:sz="0" w:space="0" w:color="auto"/>
        <w:bottom w:val="none" w:sz="0" w:space="0" w:color="auto"/>
        <w:right w:val="none" w:sz="0" w:space="0" w:color="auto"/>
      </w:divBdr>
    </w:div>
    <w:div w:id="1209297980">
      <w:bodyDiv w:val="1"/>
      <w:marLeft w:val="0"/>
      <w:marRight w:val="0"/>
      <w:marTop w:val="0"/>
      <w:marBottom w:val="0"/>
      <w:divBdr>
        <w:top w:val="none" w:sz="0" w:space="0" w:color="auto"/>
        <w:left w:val="none" w:sz="0" w:space="0" w:color="auto"/>
        <w:bottom w:val="none" w:sz="0" w:space="0" w:color="auto"/>
        <w:right w:val="none" w:sz="0" w:space="0" w:color="auto"/>
      </w:divBdr>
    </w:div>
    <w:div w:id="1209534648">
      <w:bodyDiv w:val="1"/>
      <w:marLeft w:val="0"/>
      <w:marRight w:val="0"/>
      <w:marTop w:val="0"/>
      <w:marBottom w:val="0"/>
      <w:divBdr>
        <w:top w:val="none" w:sz="0" w:space="0" w:color="auto"/>
        <w:left w:val="none" w:sz="0" w:space="0" w:color="auto"/>
        <w:bottom w:val="none" w:sz="0" w:space="0" w:color="auto"/>
        <w:right w:val="none" w:sz="0" w:space="0" w:color="auto"/>
      </w:divBdr>
    </w:div>
    <w:div w:id="1210721495">
      <w:bodyDiv w:val="1"/>
      <w:marLeft w:val="0"/>
      <w:marRight w:val="0"/>
      <w:marTop w:val="0"/>
      <w:marBottom w:val="0"/>
      <w:divBdr>
        <w:top w:val="none" w:sz="0" w:space="0" w:color="auto"/>
        <w:left w:val="none" w:sz="0" w:space="0" w:color="auto"/>
        <w:bottom w:val="none" w:sz="0" w:space="0" w:color="auto"/>
        <w:right w:val="none" w:sz="0" w:space="0" w:color="auto"/>
      </w:divBdr>
    </w:div>
    <w:div w:id="1211844078">
      <w:bodyDiv w:val="1"/>
      <w:marLeft w:val="0"/>
      <w:marRight w:val="0"/>
      <w:marTop w:val="0"/>
      <w:marBottom w:val="0"/>
      <w:divBdr>
        <w:top w:val="none" w:sz="0" w:space="0" w:color="auto"/>
        <w:left w:val="none" w:sz="0" w:space="0" w:color="auto"/>
        <w:bottom w:val="none" w:sz="0" w:space="0" w:color="auto"/>
        <w:right w:val="none" w:sz="0" w:space="0" w:color="auto"/>
      </w:divBdr>
    </w:div>
    <w:div w:id="1216771897">
      <w:bodyDiv w:val="1"/>
      <w:marLeft w:val="0"/>
      <w:marRight w:val="0"/>
      <w:marTop w:val="0"/>
      <w:marBottom w:val="0"/>
      <w:divBdr>
        <w:top w:val="none" w:sz="0" w:space="0" w:color="auto"/>
        <w:left w:val="none" w:sz="0" w:space="0" w:color="auto"/>
        <w:bottom w:val="none" w:sz="0" w:space="0" w:color="auto"/>
        <w:right w:val="none" w:sz="0" w:space="0" w:color="auto"/>
      </w:divBdr>
    </w:div>
    <w:div w:id="1217157592">
      <w:bodyDiv w:val="1"/>
      <w:marLeft w:val="0"/>
      <w:marRight w:val="0"/>
      <w:marTop w:val="0"/>
      <w:marBottom w:val="0"/>
      <w:divBdr>
        <w:top w:val="none" w:sz="0" w:space="0" w:color="auto"/>
        <w:left w:val="none" w:sz="0" w:space="0" w:color="auto"/>
        <w:bottom w:val="none" w:sz="0" w:space="0" w:color="auto"/>
        <w:right w:val="none" w:sz="0" w:space="0" w:color="auto"/>
      </w:divBdr>
    </w:div>
    <w:div w:id="1223637174">
      <w:bodyDiv w:val="1"/>
      <w:marLeft w:val="0"/>
      <w:marRight w:val="0"/>
      <w:marTop w:val="0"/>
      <w:marBottom w:val="0"/>
      <w:divBdr>
        <w:top w:val="none" w:sz="0" w:space="0" w:color="auto"/>
        <w:left w:val="none" w:sz="0" w:space="0" w:color="auto"/>
        <w:bottom w:val="none" w:sz="0" w:space="0" w:color="auto"/>
        <w:right w:val="none" w:sz="0" w:space="0" w:color="auto"/>
      </w:divBdr>
    </w:div>
    <w:div w:id="1227254524">
      <w:bodyDiv w:val="1"/>
      <w:marLeft w:val="0"/>
      <w:marRight w:val="0"/>
      <w:marTop w:val="0"/>
      <w:marBottom w:val="0"/>
      <w:divBdr>
        <w:top w:val="none" w:sz="0" w:space="0" w:color="auto"/>
        <w:left w:val="none" w:sz="0" w:space="0" w:color="auto"/>
        <w:bottom w:val="none" w:sz="0" w:space="0" w:color="auto"/>
        <w:right w:val="none" w:sz="0" w:space="0" w:color="auto"/>
      </w:divBdr>
    </w:div>
    <w:div w:id="1227842994">
      <w:bodyDiv w:val="1"/>
      <w:marLeft w:val="0"/>
      <w:marRight w:val="0"/>
      <w:marTop w:val="0"/>
      <w:marBottom w:val="0"/>
      <w:divBdr>
        <w:top w:val="none" w:sz="0" w:space="0" w:color="auto"/>
        <w:left w:val="none" w:sz="0" w:space="0" w:color="auto"/>
        <w:bottom w:val="none" w:sz="0" w:space="0" w:color="auto"/>
        <w:right w:val="none" w:sz="0" w:space="0" w:color="auto"/>
      </w:divBdr>
    </w:div>
    <w:div w:id="1231765944">
      <w:bodyDiv w:val="1"/>
      <w:marLeft w:val="0"/>
      <w:marRight w:val="0"/>
      <w:marTop w:val="0"/>
      <w:marBottom w:val="0"/>
      <w:divBdr>
        <w:top w:val="none" w:sz="0" w:space="0" w:color="auto"/>
        <w:left w:val="none" w:sz="0" w:space="0" w:color="auto"/>
        <w:bottom w:val="none" w:sz="0" w:space="0" w:color="auto"/>
        <w:right w:val="none" w:sz="0" w:space="0" w:color="auto"/>
      </w:divBdr>
    </w:div>
    <w:div w:id="1233347515">
      <w:bodyDiv w:val="1"/>
      <w:marLeft w:val="0"/>
      <w:marRight w:val="0"/>
      <w:marTop w:val="0"/>
      <w:marBottom w:val="0"/>
      <w:divBdr>
        <w:top w:val="none" w:sz="0" w:space="0" w:color="auto"/>
        <w:left w:val="none" w:sz="0" w:space="0" w:color="auto"/>
        <w:bottom w:val="none" w:sz="0" w:space="0" w:color="auto"/>
        <w:right w:val="none" w:sz="0" w:space="0" w:color="auto"/>
      </w:divBdr>
    </w:div>
    <w:div w:id="1235816945">
      <w:bodyDiv w:val="1"/>
      <w:marLeft w:val="0"/>
      <w:marRight w:val="0"/>
      <w:marTop w:val="0"/>
      <w:marBottom w:val="0"/>
      <w:divBdr>
        <w:top w:val="none" w:sz="0" w:space="0" w:color="auto"/>
        <w:left w:val="none" w:sz="0" w:space="0" w:color="auto"/>
        <w:bottom w:val="none" w:sz="0" w:space="0" w:color="auto"/>
        <w:right w:val="none" w:sz="0" w:space="0" w:color="auto"/>
      </w:divBdr>
    </w:div>
    <w:div w:id="1239511105">
      <w:bodyDiv w:val="1"/>
      <w:marLeft w:val="0"/>
      <w:marRight w:val="0"/>
      <w:marTop w:val="0"/>
      <w:marBottom w:val="0"/>
      <w:divBdr>
        <w:top w:val="none" w:sz="0" w:space="0" w:color="auto"/>
        <w:left w:val="none" w:sz="0" w:space="0" w:color="auto"/>
        <w:bottom w:val="none" w:sz="0" w:space="0" w:color="auto"/>
        <w:right w:val="none" w:sz="0" w:space="0" w:color="auto"/>
      </w:divBdr>
    </w:div>
    <w:div w:id="1241521234">
      <w:bodyDiv w:val="1"/>
      <w:marLeft w:val="0"/>
      <w:marRight w:val="0"/>
      <w:marTop w:val="0"/>
      <w:marBottom w:val="0"/>
      <w:divBdr>
        <w:top w:val="none" w:sz="0" w:space="0" w:color="auto"/>
        <w:left w:val="none" w:sz="0" w:space="0" w:color="auto"/>
        <w:bottom w:val="none" w:sz="0" w:space="0" w:color="auto"/>
        <w:right w:val="none" w:sz="0" w:space="0" w:color="auto"/>
      </w:divBdr>
    </w:div>
    <w:div w:id="1242567634">
      <w:bodyDiv w:val="1"/>
      <w:marLeft w:val="0"/>
      <w:marRight w:val="0"/>
      <w:marTop w:val="0"/>
      <w:marBottom w:val="0"/>
      <w:divBdr>
        <w:top w:val="none" w:sz="0" w:space="0" w:color="auto"/>
        <w:left w:val="none" w:sz="0" w:space="0" w:color="auto"/>
        <w:bottom w:val="none" w:sz="0" w:space="0" w:color="auto"/>
        <w:right w:val="none" w:sz="0" w:space="0" w:color="auto"/>
      </w:divBdr>
    </w:div>
    <w:div w:id="1249539934">
      <w:bodyDiv w:val="1"/>
      <w:marLeft w:val="0"/>
      <w:marRight w:val="0"/>
      <w:marTop w:val="0"/>
      <w:marBottom w:val="0"/>
      <w:divBdr>
        <w:top w:val="none" w:sz="0" w:space="0" w:color="auto"/>
        <w:left w:val="none" w:sz="0" w:space="0" w:color="auto"/>
        <w:bottom w:val="none" w:sz="0" w:space="0" w:color="auto"/>
        <w:right w:val="none" w:sz="0" w:space="0" w:color="auto"/>
      </w:divBdr>
    </w:div>
    <w:div w:id="1251308671">
      <w:bodyDiv w:val="1"/>
      <w:marLeft w:val="0"/>
      <w:marRight w:val="0"/>
      <w:marTop w:val="0"/>
      <w:marBottom w:val="0"/>
      <w:divBdr>
        <w:top w:val="none" w:sz="0" w:space="0" w:color="auto"/>
        <w:left w:val="none" w:sz="0" w:space="0" w:color="auto"/>
        <w:bottom w:val="none" w:sz="0" w:space="0" w:color="auto"/>
        <w:right w:val="none" w:sz="0" w:space="0" w:color="auto"/>
      </w:divBdr>
    </w:div>
    <w:div w:id="1252161729">
      <w:bodyDiv w:val="1"/>
      <w:marLeft w:val="0"/>
      <w:marRight w:val="0"/>
      <w:marTop w:val="0"/>
      <w:marBottom w:val="0"/>
      <w:divBdr>
        <w:top w:val="none" w:sz="0" w:space="0" w:color="auto"/>
        <w:left w:val="none" w:sz="0" w:space="0" w:color="auto"/>
        <w:bottom w:val="none" w:sz="0" w:space="0" w:color="auto"/>
        <w:right w:val="none" w:sz="0" w:space="0" w:color="auto"/>
      </w:divBdr>
    </w:div>
    <w:div w:id="1252543316">
      <w:bodyDiv w:val="1"/>
      <w:marLeft w:val="0"/>
      <w:marRight w:val="0"/>
      <w:marTop w:val="0"/>
      <w:marBottom w:val="0"/>
      <w:divBdr>
        <w:top w:val="none" w:sz="0" w:space="0" w:color="auto"/>
        <w:left w:val="none" w:sz="0" w:space="0" w:color="auto"/>
        <w:bottom w:val="none" w:sz="0" w:space="0" w:color="auto"/>
        <w:right w:val="none" w:sz="0" w:space="0" w:color="auto"/>
      </w:divBdr>
    </w:div>
    <w:div w:id="1256282560">
      <w:bodyDiv w:val="1"/>
      <w:marLeft w:val="0"/>
      <w:marRight w:val="0"/>
      <w:marTop w:val="0"/>
      <w:marBottom w:val="0"/>
      <w:divBdr>
        <w:top w:val="none" w:sz="0" w:space="0" w:color="auto"/>
        <w:left w:val="none" w:sz="0" w:space="0" w:color="auto"/>
        <w:bottom w:val="none" w:sz="0" w:space="0" w:color="auto"/>
        <w:right w:val="none" w:sz="0" w:space="0" w:color="auto"/>
      </w:divBdr>
    </w:div>
    <w:div w:id="1257444229">
      <w:bodyDiv w:val="1"/>
      <w:marLeft w:val="0"/>
      <w:marRight w:val="0"/>
      <w:marTop w:val="0"/>
      <w:marBottom w:val="0"/>
      <w:divBdr>
        <w:top w:val="none" w:sz="0" w:space="0" w:color="auto"/>
        <w:left w:val="none" w:sz="0" w:space="0" w:color="auto"/>
        <w:bottom w:val="none" w:sz="0" w:space="0" w:color="auto"/>
        <w:right w:val="none" w:sz="0" w:space="0" w:color="auto"/>
      </w:divBdr>
    </w:div>
    <w:div w:id="1257515113">
      <w:bodyDiv w:val="1"/>
      <w:marLeft w:val="0"/>
      <w:marRight w:val="0"/>
      <w:marTop w:val="0"/>
      <w:marBottom w:val="0"/>
      <w:divBdr>
        <w:top w:val="none" w:sz="0" w:space="0" w:color="auto"/>
        <w:left w:val="none" w:sz="0" w:space="0" w:color="auto"/>
        <w:bottom w:val="none" w:sz="0" w:space="0" w:color="auto"/>
        <w:right w:val="none" w:sz="0" w:space="0" w:color="auto"/>
      </w:divBdr>
    </w:div>
    <w:div w:id="1257593761">
      <w:bodyDiv w:val="1"/>
      <w:marLeft w:val="0"/>
      <w:marRight w:val="0"/>
      <w:marTop w:val="0"/>
      <w:marBottom w:val="0"/>
      <w:divBdr>
        <w:top w:val="none" w:sz="0" w:space="0" w:color="auto"/>
        <w:left w:val="none" w:sz="0" w:space="0" w:color="auto"/>
        <w:bottom w:val="none" w:sz="0" w:space="0" w:color="auto"/>
        <w:right w:val="none" w:sz="0" w:space="0" w:color="auto"/>
      </w:divBdr>
    </w:div>
    <w:div w:id="1260217431">
      <w:bodyDiv w:val="1"/>
      <w:marLeft w:val="0"/>
      <w:marRight w:val="0"/>
      <w:marTop w:val="0"/>
      <w:marBottom w:val="0"/>
      <w:divBdr>
        <w:top w:val="none" w:sz="0" w:space="0" w:color="auto"/>
        <w:left w:val="none" w:sz="0" w:space="0" w:color="auto"/>
        <w:bottom w:val="none" w:sz="0" w:space="0" w:color="auto"/>
        <w:right w:val="none" w:sz="0" w:space="0" w:color="auto"/>
      </w:divBdr>
    </w:div>
    <w:div w:id="1262109433">
      <w:bodyDiv w:val="1"/>
      <w:marLeft w:val="0"/>
      <w:marRight w:val="0"/>
      <w:marTop w:val="0"/>
      <w:marBottom w:val="0"/>
      <w:divBdr>
        <w:top w:val="none" w:sz="0" w:space="0" w:color="auto"/>
        <w:left w:val="none" w:sz="0" w:space="0" w:color="auto"/>
        <w:bottom w:val="none" w:sz="0" w:space="0" w:color="auto"/>
        <w:right w:val="none" w:sz="0" w:space="0" w:color="auto"/>
      </w:divBdr>
    </w:div>
    <w:div w:id="1264221481">
      <w:bodyDiv w:val="1"/>
      <w:marLeft w:val="0"/>
      <w:marRight w:val="0"/>
      <w:marTop w:val="0"/>
      <w:marBottom w:val="0"/>
      <w:divBdr>
        <w:top w:val="none" w:sz="0" w:space="0" w:color="auto"/>
        <w:left w:val="none" w:sz="0" w:space="0" w:color="auto"/>
        <w:bottom w:val="none" w:sz="0" w:space="0" w:color="auto"/>
        <w:right w:val="none" w:sz="0" w:space="0" w:color="auto"/>
      </w:divBdr>
    </w:div>
    <w:div w:id="1265765431">
      <w:bodyDiv w:val="1"/>
      <w:marLeft w:val="0"/>
      <w:marRight w:val="0"/>
      <w:marTop w:val="0"/>
      <w:marBottom w:val="0"/>
      <w:divBdr>
        <w:top w:val="none" w:sz="0" w:space="0" w:color="auto"/>
        <w:left w:val="none" w:sz="0" w:space="0" w:color="auto"/>
        <w:bottom w:val="none" w:sz="0" w:space="0" w:color="auto"/>
        <w:right w:val="none" w:sz="0" w:space="0" w:color="auto"/>
      </w:divBdr>
    </w:div>
    <w:div w:id="1269462430">
      <w:bodyDiv w:val="1"/>
      <w:marLeft w:val="0"/>
      <w:marRight w:val="0"/>
      <w:marTop w:val="0"/>
      <w:marBottom w:val="0"/>
      <w:divBdr>
        <w:top w:val="none" w:sz="0" w:space="0" w:color="auto"/>
        <w:left w:val="none" w:sz="0" w:space="0" w:color="auto"/>
        <w:bottom w:val="none" w:sz="0" w:space="0" w:color="auto"/>
        <w:right w:val="none" w:sz="0" w:space="0" w:color="auto"/>
      </w:divBdr>
    </w:div>
    <w:div w:id="1277903576">
      <w:bodyDiv w:val="1"/>
      <w:marLeft w:val="0"/>
      <w:marRight w:val="0"/>
      <w:marTop w:val="0"/>
      <w:marBottom w:val="0"/>
      <w:divBdr>
        <w:top w:val="none" w:sz="0" w:space="0" w:color="auto"/>
        <w:left w:val="none" w:sz="0" w:space="0" w:color="auto"/>
        <w:bottom w:val="none" w:sz="0" w:space="0" w:color="auto"/>
        <w:right w:val="none" w:sz="0" w:space="0" w:color="auto"/>
      </w:divBdr>
    </w:div>
    <w:div w:id="1278022493">
      <w:bodyDiv w:val="1"/>
      <w:marLeft w:val="0"/>
      <w:marRight w:val="0"/>
      <w:marTop w:val="0"/>
      <w:marBottom w:val="0"/>
      <w:divBdr>
        <w:top w:val="none" w:sz="0" w:space="0" w:color="auto"/>
        <w:left w:val="none" w:sz="0" w:space="0" w:color="auto"/>
        <w:bottom w:val="none" w:sz="0" w:space="0" w:color="auto"/>
        <w:right w:val="none" w:sz="0" w:space="0" w:color="auto"/>
      </w:divBdr>
    </w:div>
    <w:div w:id="1279218474">
      <w:bodyDiv w:val="1"/>
      <w:marLeft w:val="0"/>
      <w:marRight w:val="0"/>
      <w:marTop w:val="0"/>
      <w:marBottom w:val="0"/>
      <w:divBdr>
        <w:top w:val="none" w:sz="0" w:space="0" w:color="auto"/>
        <w:left w:val="none" w:sz="0" w:space="0" w:color="auto"/>
        <w:bottom w:val="none" w:sz="0" w:space="0" w:color="auto"/>
        <w:right w:val="none" w:sz="0" w:space="0" w:color="auto"/>
      </w:divBdr>
    </w:div>
    <w:div w:id="1281257145">
      <w:bodyDiv w:val="1"/>
      <w:marLeft w:val="0"/>
      <w:marRight w:val="0"/>
      <w:marTop w:val="0"/>
      <w:marBottom w:val="0"/>
      <w:divBdr>
        <w:top w:val="none" w:sz="0" w:space="0" w:color="auto"/>
        <w:left w:val="none" w:sz="0" w:space="0" w:color="auto"/>
        <w:bottom w:val="none" w:sz="0" w:space="0" w:color="auto"/>
        <w:right w:val="none" w:sz="0" w:space="0" w:color="auto"/>
      </w:divBdr>
    </w:div>
    <w:div w:id="1281377577">
      <w:bodyDiv w:val="1"/>
      <w:marLeft w:val="0"/>
      <w:marRight w:val="0"/>
      <w:marTop w:val="0"/>
      <w:marBottom w:val="0"/>
      <w:divBdr>
        <w:top w:val="none" w:sz="0" w:space="0" w:color="auto"/>
        <w:left w:val="none" w:sz="0" w:space="0" w:color="auto"/>
        <w:bottom w:val="none" w:sz="0" w:space="0" w:color="auto"/>
        <w:right w:val="none" w:sz="0" w:space="0" w:color="auto"/>
      </w:divBdr>
    </w:div>
    <w:div w:id="1289970262">
      <w:bodyDiv w:val="1"/>
      <w:marLeft w:val="0"/>
      <w:marRight w:val="0"/>
      <w:marTop w:val="0"/>
      <w:marBottom w:val="0"/>
      <w:divBdr>
        <w:top w:val="none" w:sz="0" w:space="0" w:color="auto"/>
        <w:left w:val="none" w:sz="0" w:space="0" w:color="auto"/>
        <w:bottom w:val="none" w:sz="0" w:space="0" w:color="auto"/>
        <w:right w:val="none" w:sz="0" w:space="0" w:color="auto"/>
      </w:divBdr>
    </w:div>
    <w:div w:id="1298418788">
      <w:bodyDiv w:val="1"/>
      <w:marLeft w:val="0"/>
      <w:marRight w:val="0"/>
      <w:marTop w:val="0"/>
      <w:marBottom w:val="0"/>
      <w:divBdr>
        <w:top w:val="none" w:sz="0" w:space="0" w:color="auto"/>
        <w:left w:val="none" w:sz="0" w:space="0" w:color="auto"/>
        <w:bottom w:val="none" w:sz="0" w:space="0" w:color="auto"/>
        <w:right w:val="none" w:sz="0" w:space="0" w:color="auto"/>
      </w:divBdr>
    </w:div>
    <w:div w:id="1299991245">
      <w:bodyDiv w:val="1"/>
      <w:marLeft w:val="0"/>
      <w:marRight w:val="0"/>
      <w:marTop w:val="0"/>
      <w:marBottom w:val="0"/>
      <w:divBdr>
        <w:top w:val="none" w:sz="0" w:space="0" w:color="auto"/>
        <w:left w:val="none" w:sz="0" w:space="0" w:color="auto"/>
        <w:bottom w:val="none" w:sz="0" w:space="0" w:color="auto"/>
        <w:right w:val="none" w:sz="0" w:space="0" w:color="auto"/>
      </w:divBdr>
    </w:div>
    <w:div w:id="1301809109">
      <w:bodyDiv w:val="1"/>
      <w:marLeft w:val="0"/>
      <w:marRight w:val="0"/>
      <w:marTop w:val="0"/>
      <w:marBottom w:val="0"/>
      <w:divBdr>
        <w:top w:val="none" w:sz="0" w:space="0" w:color="auto"/>
        <w:left w:val="none" w:sz="0" w:space="0" w:color="auto"/>
        <w:bottom w:val="none" w:sz="0" w:space="0" w:color="auto"/>
        <w:right w:val="none" w:sz="0" w:space="0" w:color="auto"/>
      </w:divBdr>
    </w:div>
    <w:div w:id="1305162278">
      <w:bodyDiv w:val="1"/>
      <w:marLeft w:val="0"/>
      <w:marRight w:val="0"/>
      <w:marTop w:val="0"/>
      <w:marBottom w:val="0"/>
      <w:divBdr>
        <w:top w:val="none" w:sz="0" w:space="0" w:color="auto"/>
        <w:left w:val="none" w:sz="0" w:space="0" w:color="auto"/>
        <w:bottom w:val="none" w:sz="0" w:space="0" w:color="auto"/>
        <w:right w:val="none" w:sz="0" w:space="0" w:color="auto"/>
      </w:divBdr>
    </w:div>
    <w:div w:id="1307592571">
      <w:bodyDiv w:val="1"/>
      <w:marLeft w:val="0"/>
      <w:marRight w:val="0"/>
      <w:marTop w:val="0"/>
      <w:marBottom w:val="0"/>
      <w:divBdr>
        <w:top w:val="none" w:sz="0" w:space="0" w:color="auto"/>
        <w:left w:val="none" w:sz="0" w:space="0" w:color="auto"/>
        <w:bottom w:val="none" w:sz="0" w:space="0" w:color="auto"/>
        <w:right w:val="none" w:sz="0" w:space="0" w:color="auto"/>
      </w:divBdr>
    </w:div>
    <w:div w:id="1308169319">
      <w:bodyDiv w:val="1"/>
      <w:marLeft w:val="0"/>
      <w:marRight w:val="0"/>
      <w:marTop w:val="0"/>
      <w:marBottom w:val="0"/>
      <w:divBdr>
        <w:top w:val="none" w:sz="0" w:space="0" w:color="auto"/>
        <w:left w:val="none" w:sz="0" w:space="0" w:color="auto"/>
        <w:bottom w:val="none" w:sz="0" w:space="0" w:color="auto"/>
        <w:right w:val="none" w:sz="0" w:space="0" w:color="auto"/>
      </w:divBdr>
    </w:div>
    <w:div w:id="1312175038">
      <w:bodyDiv w:val="1"/>
      <w:marLeft w:val="0"/>
      <w:marRight w:val="0"/>
      <w:marTop w:val="0"/>
      <w:marBottom w:val="0"/>
      <w:divBdr>
        <w:top w:val="none" w:sz="0" w:space="0" w:color="auto"/>
        <w:left w:val="none" w:sz="0" w:space="0" w:color="auto"/>
        <w:bottom w:val="none" w:sz="0" w:space="0" w:color="auto"/>
        <w:right w:val="none" w:sz="0" w:space="0" w:color="auto"/>
      </w:divBdr>
    </w:div>
    <w:div w:id="1312439216">
      <w:bodyDiv w:val="1"/>
      <w:marLeft w:val="0"/>
      <w:marRight w:val="0"/>
      <w:marTop w:val="0"/>
      <w:marBottom w:val="0"/>
      <w:divBdr>
        <w:top w:val="none" w:sz="0" w:space="0" w:color="auto"/>
        <w:left w:val="none" w:sz="0" w:space="0" w:color="auto"/>
        <w:bottom w:val="none" w:sz="0" w:space="0" w:color="auto"/>
        <w:right w:val="none" w:sz="0" w:space="0" w:color="auto"/>
      </w:divBdr>
    </w:div>
    <w:div w:id="1314144229">
      <w:bodyDiv w:val="1"/>
      <w:marLeft w:val="0"/>
      <w:marRight w:val="0"/>
      <w:marTop w:val="0"/>
      <w:marBottom w:val="0"/>
      <w:divBdr>
        <w:top w:val="none" w:sz="0" w:space="0" w:color="auto"/>
        <w:left w:val="none" w:sz="0" w:space="0" w:color="auto"/>
        <w:bottom w:val="none" w:sz="0" w:space="0" w:color="auto"/>
        <w:right w:val="none" w:sz="0" w:space="0" w:color="auto"/>
      </w:divBdr>
    </w:div>
    <w:div w:id="1320228387">
      <w:bodyDiv w:val="1"/>
      <w:marLeft w:val="0"/>
      <w:marRight w:val="0"/>
      <w:marTop w:val="0"/>
      <w:marBottom w:val="0"/>
      <w:divBdr>
        <w:top w:val="none" w:sz="0" w:space="0" w:color="auto"/>
        <w:left w:val="none" w:sz="0" w:space="0" w:color="auto"/>
        <w:bottom w:val="none" w:sz="0" w:space="0" w:color="auto"/>
        <w:right w:val="none" w:sz="0" w:space="0" w:color="auto"/>
      </w:divBdr>
    </w:div>
    <w:div w:id="1323699123">
      <w:bodyDiv w:val="1"/>
      <w:marLeft w:val="0"/>
      <w:marRight w:val="0"/>
      <w:marTop w:val="0"/>
      <w:marBottom w:val="0"/>
      <w:divBdr>
        <w:top w:val="none" w:sz="0" w:space="0" w:color="auto"/>
        <w:left w:val="none" w:sz="0" w:space="0" w:color="auto"/>
        <w:bottom w:val="none" w:sz="0" w:space="0" w:color="auto"/>
        <w:right w:val="none" w:sz="0" w:space="0" w:color="auto"/>
      </w:divBdr>
    </w:div>
    <w:div w:id="1324045193">
      <w:bodyDiv w:val="1"/>
      <w:marLeft w:val="0"/>
      <w:marRight w:val="0"/>
      <w:marTop w:val="0"/>
      <w:marBottom w:val="0"/>
      <w:divBdr>
        <w:top w:val="none" w:sz="0" w:space="0" w:color="auto"/>
        <w:left w:val="none" w:sz="0" w:space="0" w:color="auto"/>
        <w:bottom w:val="none" w:sz="0" w:space="0" w:color="auto"/>
        <w:right w:val="none" w:sz="0" w:space="0" w:color="auto"/>
      </w:divBdr>
    </w:div>
    <w:div w:id="1324354459">
      <w:bodyDiv w:val="1"/>
      <w:marLeft w:val="0"/>
      <w:marRight w:val="0"/>
      <w:marTop w:val="0"/>
      <w:marBottom w:val="0"/>
      <w:divBdr>
        <w:top w:val="none" w:sz="0" w:space="0" w:color="auto"/>
        <w:left w:val="none" w:sz="0" w:space="0" w:color="auto"/>
        <w:bottom w:val="none" w:sz="0" w:space="0" w:color="auto"/>
        <w:right w:val="none" w:sz="0" w:space="0" w:color="auto"/>
      </w:divBdr>
    </w:div>
    <w:div w:id="1326082419">
      <w:bodyDiv w:val="1"/>
      <w:marLeft w:val="0"/>
      <w:marRight w:val="0"/>
      <w:marTop w:val="0"/>
      <w:marBottom w:val="0"/>
      <w:divBdr>
        <w:top w:val="none" w:sz="0" w:space="0" w:color="auto"/>
        <w:left w:val="none" w:sz="0" w:space="0" w:color="auto"/>
        <w:bottom w:val="none" w:sz="0" w:space="0" w:color="auto"/>
        <w:right w:val="none" w:sz="0" w:space="0" w:color="auto"/>
      </w:divBdr>
    </w:div>
    <w:div w:id="1326471626">
      <w:bodyDiv w:val="1"/>
      <w:marLeft w:val="0"/>
      <w:marRight w:val="0"/>
      <w:marTop w:val="0"/>
      <w:marBottom w:val="0"/>
      <w:divBdr>
        <w:top w:val="none" w:sz="0" w:space="0" w:color="auto"/>
        <w:left w:val="none" w:sz="0" w:space="0" w:color="auto"/>
        <w:bottom w:val="none" w:sz="0" w:space="0" w:color="auto"/>
        <w:right w:val="none" w:sz="0" w:space="0" w:color="auto"/>
      </w:divBdr>
    </w:div>
    <w:div w:id="1330599032">
      <w:bodyDiv w:val="1"/>
      <w:marLeft w:val="0"/>
      <w:marRight w:val="0"/>
      <w:marTop w:val="0"/>
      <w:marBottom w:val="0"/>
      <w:divBdr>
        <w:top w:val="none" w:sz="0" w:space="0" w:color="auto"/>
        <w:left w:val="none" w:sz="0" w:space="0" w:color="auto"/>
        <w:bottom w:val="none" w:sz="0" w:space="0" w:color="auto"/>
        <w:right w:val="none" w:sz="0" w:space="0" w:color="auto"/>
      </w:divBdr>
    </w:div>
    <w:div w:id="1332634424">
      <w:bodyDiv w:val="1"/>
      <w:marLeft w:val="0"/>
      <w:marRight w:val="0"/>
      <w:marTop w:val="0"/>
      <w:marBottom w:val="0"/>
      <w:divBdr>
        <w:top w:val="none" w:sz="0" w:space="0" w:color="auto"/>
        <w:left w:val="none" w:sz="0" w:space="0" w:color="auto"/>
        <w:bottom w:val="none" w:sz="0" w:space="0" w:color="auto"/>
        <w:right w:val="none" w:sz="0" w:space="0" w:color="auto"/>
      </w:divBdr>
    </w:div>
    <w:div w:id="1333140439">
      <w:bodyDiv w:val="1"/>
      <w:marLeft w:val="0"/>
      <w:marRight w:val="0"/>
      <w:marTop w:val="0"/>
      <w:marBottom w:val="0"/>
      <w:divBdr>
        <w:top w:val="none" w:sz="0" w:space="0" w:color="auto"/>
        <w:left w:val="none" w:sz="0" w:space="0" w:color="auto"/>
        <w:bottom w:val="none" w:sz="0" w:space="0" w:color="auto"/>
        <w:right w:val="none" w:sz="0" w:space="0" w:color="auto"/>
      </w:divBdr>
    </w:div>
    <w:div w:id="1336106850">
      <w:bodyDiv w:val="1"/>
      <w:marLeft w:val="0"/>
      <w:marRight w:val="0"/>
      <w:marTop w:val="0"/>
      <w:marBottom w:val="0"/>
      <w:divBdr>
        <w:top w:val="none" w:sz="0" w:space="0" w:color="auto"/>
        <w:left w:val="none" w:sz="0" w:space="0" w:color="auto"/>
        <w:bottom w:val="none" w:sz="0" w:space="0" w:color="auto"/>
        <w:right w:val="none" w:sz="0" w:space="0" w:color="auto"/>
      </w:divBdr>
    </w:div>
    <w:div w:id="1336689770">
      <w:bodyDiv w:val="1"/>
      <w:marLeft w:val="0"/>
      <w:marRight w:val="0"/>
      <w:marTop w:val="0"/>
      <w:marBottom w:val="0"/>
      <w:divBdr>
        <w:top w:val="none" w:sz="0" w:space="0" w:color="auto"/>
        <w:left w:val="none" w:sz="0" w:space="0" w:color="auto"/>
        <w:bottom w:val="none" w:sz="0" w:space="0" w:color="auto"/>
        <w:right w:val="none" w:sz="0" w:space="0" w:color="auto"/>
      </w:divBdr>
    </w:div>
    <w:div w:id="1345858234">
      <w:bodyDiv w:val="1"/>
      <w:marLeft w:val="0"/>
      <w:marRight w:val="0"/>
      <w:marTop w:val="0"/>
      <w:marBottom w:val="0"/>
      <w:divBdr>
        <w:top w:val="none" w:sz="0" w:space="0" w:color="auto"/>
        <w:left w:val="none" w:sz="0" w:space="0" w:color="auto"/>
        <w:bottom w:val="none" w:sz="0" w:space="0" w:color="auto"/>
        <w:right w:val="none" w:sz="0" w:space="0" w:color="auto"/>
      </w:divBdr>
    </w:div>
    <w:div w:id="1349721534">
      <w:bodyDiv w:val="1"/>
      <w:marLeft w:val="0"/>
      <w:marRight w:val="0"/>
      <w:marTop w:val="0"/>
      <w:marBottom w:val="0"/>
      <w:divBdr>
        <w:top w:val="none" w:sz="0" w:space="0" w:color="auto"/>
        <w:left w:val="none" w:sz="0" w:space="0" w:color="auto"/>
        <w:bottom w:val="none" w:sz="0" w:space="0" w:color="auto"/>
        <w:right w:val="none" w:sz="0" w:space="0" w:color="auto"/>
      </w:divBdr>
    </w:div>
    <w:div w:id="1353914645">
      <w:bodyDiv w:val="1"/>
      <w:marLeft w:val="0"/>
      <w:marRight w:val="0"/>
      <w:marTop w:val="0"/>
      <w:marBottom w:val="0"/>
      <w:divBdr>
        <w:top w:val="none" w:sz="0" w:space="0" w:color="auto"/>
        <w:left w:val="none" w:sz="0" w:space="0" w:color="auto"/>
        <w:bottom w:val="none" w:sz="0" w:space="0" w:color="auto"/>
        <w:right w:val="none" w:sz="0" w:space="0" w:color="auto"/>
      </w:divBdr>
    </w:div>
    <w:div w:id="1354922531">
      <w:bodyDiv w:val="1"/>
      <w:marLeft w:val="0"/>
      <w:marRight w:val="0"/>
      <w:marTop w:val="0"/>
      <w:marBottom w:val="0"/>
      <w:divBdr>
        <w:top w:val="none" w:sz="0" w:space="0" w:color="auto"/>
        <w:left w:val="none" w:sz="0" w:space="0" w:color="auto"/>
        <w:bottom w:val="none" w:sz="0" w:space="0" w:color="auto"/>
        <w:right w:val="none" w:sz="0" w:space="0" w:color="auto"/>
      </w:divBdr>
    </w:div>
    <w:div w:id="1355306990">
      <w:bodyDiv w:val="1"/>
      <w:marLeft w:val="0"/>
      <w:marRight w:val="0"/>
      <w:marTop w:val="0"/>
      <w:marBottom w:val="0"/>
      <w:divBdr>
        <w:top w:val="none" w:sz="0" w:space="0" w:color="auto"/>
        <w:left w:val="none" w:sz="0" w:space="0" w:color="auto"/>
        <w:bottom w:val="none" w:sz="0" w:space="0" w:color="auto"/>
        <w:right w:val="none" w:sz="0" w:space="0" w:color="auto"/>
      </w:divBdr>
    </w:div>
    <w:div w:id="1358458929">
      <w:bodyDiv w:val="1"/>
      <w:marLeft w:val="0"/>
      <w:marRight w:val="0"/>
      <w:marTop w:val="0"/>
      <w:marBottom w:val="0"/>
      <w:divBdr>
        <w:top w:val="none" w:sz="0" w:space="0" w:color="auto"/>
        <w:left w:val="none" w:sz="0" w:space="0" w:color="auto"/>
        <w:bottom w:val="none" w:sz="0" w:space="0" w:color="auto"/>
        <w:right w:val="none" w:sz="0" w:space="0" w:color="auto"/>
      </w:divBdr>
    </w:div>
    <w:div w:id="1362823347">
      <w:bodyDiv w:val="1"/>
      <w:marLeft w:val="0"/>
      <w:marRight w:val="0"/>
      <w:marTop w:val="0"/>
      <w:marBottom w:val="0"/>
      <w:divBdr>
        <w:top w:val="none" w:sz="0" w:space="0" w:color="auto"/>
        <w:left w:val="none" w:sz="0" w:space="0" w:color="auto"/>
        <w:bottom w:val="none" w:sz="0" w:space="0" w:color="auto"/>
        <w:right w:val="none" w:sz="0" w:space="0" w:color="auto"/>
      </w:divBdr>
    </w:div>
    <w:div w:id="1366058190">
      <w:bodyDiv w:val="1"/>
      <w:marLeft w:val="0"/>
      <w:marRight w:val="0"/>
      <w:marTop w:val="0"/>
      <w:marBottom w:val="0"/>
      <w:divBdr>
        <w:top w:val="none" w:sz="0" w:space="0" w:color="auto"/>
        <w:left w:val="none" w:sz="0" w:space="0" w:color="auto"/>
        <w:bottom w:val="none" w:sz="0" w:space="0" w:color="auto"/>
        <w:right w:val="none" w:sz="0" w:space="0" w:color="auto"/>
      </w:divBdr>
    </w:div>
    <w:div w:id="1368408903">
      <w:bodyDiv w:val="1"/>
      <w:marLeft w:val="0"/>
      <w:marRight w:val="0"/>
      <w:marTop w:val="0"/>
      <w:marBottom w:val="0"/>
      <w:divBdr>
        <w:top w:val="none" w:sz="0" w:space="0" w:color="auto"/>
        <w:left w:val="none" w:sz="0" w:space="0" w:color="auto"/>
        <w:bottom w:val="none" w:sz="0" w:space="0" w:color="auto"/>
        <w:right w:val="none" w:sz="0" w:space="0" w:color="auto"/>
      </w:divBdr>
    </w:div>
    <w:div w:id="1369140124">
      <w:bodyDiv w:val="1"/>
      <w:marLeft w:val="0"/>
      <w:marRight w:val="0"/>
      <w:marTop w:val="0"/>
      <w:marBottom w:val="0"/>
      <w:divBdr>
        <w:top w:val="none" w:sz="0" w:space="0" w:color="auto"/>
        <w:left w:val="none" w:sz="0" w:space="0" w:color="auto"/>
        <w:bottom w:val="none" w:sz="0" w:space="0" w:color="auto"/>
        <w:right w:val="none" w:sz="0" w:space="0" w:color="auto"/>
      </w:divBdr>
    </w:div>
    <w:div w:id="1370031195">
      <w:bodyDiv w:val="1"/>
      <w:marLeft w:val="0"/>
      <w:marRight w:val="0"/>
      <w:marTop w:val="0"/>
      <w:marBottom w:val="0"/>
      <w:divBdr>
        <w:top w:val="none" w:sz="0" w:space="0" w:color="auto"/>
        <w:left w:val="none" w:sz="0" w:space="0" w:color="auto"/>
        <w:bottom w:val="none" w:sz="0" w:space="0" w:color="auto"/>
        <w:right w:val="none" w:sz="0" w:space="0" w:color="auto"/>
      </w:divBdr>
    </w:div>
    <w:div w:id="1371372826">
      <w:bodyDiv w:val="1"/>
      <w:marLeft w:val="0"/>
      <w:marRight w:val="0"/>
      <w:marTop w:val="0"/>
      <w:marBottom w:val="0"/>
      <w:divBdr>
        <w:top w:val="none" w:sz="0" w:space="0" w:color="auto"/>
        <w:left w:val="none" w:sz="0" w:space="0" w:color="auto"/>
        <w:bottom w:val="none" w:sz="0" w:space="0" w:color="auto"/>
        <w:right w:val="none" w:sz="0" w:space="0" w:color="auto"/>
      </w:divBdr>
    </w:div>
    <w:div w:id="1373458837">
      <w:bodyDiv w:val="1"/>
      <w:marLeft w:val="0"/>
      <w:marRight w:val="0"/>
      <w:marTop w:val="0"/>
      <w:marBottom w:val="0"/>
      <w:divBdr>
        <w:top w:val="none" w:sz="0" w:space="0" w:color="auto"/>
        <w:left w:val="none" w:sz="0" w:space="0" w:color="auto"/>
        <w:bottom w:val="none" w:sz="0" w:space="0" w:color="auto"/>
        <w:right w:val="none" w:sz="0" w:space="0" w:color="auto"/>
      </w:divBdr>
    </w:div>
    <w:div w:id="1387215695">
      <w:bodyDiv w:val="1"/>
      <w:marLeft w:val="0"/>
      <w:marRight w:val="0"/>
      <w:marTop w:val="0"/>
      <w:marBottom w:val="0"/>
      <w:divBdr>
        <w:top w:val="none" w:sz="0" w:space="0" w:color="auto"/>
        <w:left w:val="none" w:sz="0" w:space="0" w:color="auto"/>
        <w:bottom w:val="none" w:sz="0" w:space="0" w:color="auto"/>
        <w:right w:val="none" w:sz="0" w:space="0" w:color="auto"/>
      </w:divBdr>
    </w:div>
    <w:div w:id="1391539235">
      <w:bodyDiv w:val="1"/>
      <w:marLeft w:val="0"/>
      <w:marRight w:val="0"/>
      <w:marTop w:val="0"/>
      <w:marBottom w:val="0"/>
      <w:divBdr>
        <w:top w:val="none" w:sz="0" w:space="0" w:color="auto"/>
        <w:left w:val="none" w:sz="0" w:space="0" w:color="auto"/>
        <w:bottom w:val="none" w:sz="0" w:space="0" w:color="auto"/>
        <w:right w:val="none" w:sz="0" w:space="0" w:color="auto"/>
      </w:divBdr>
    </w:div>
    <w:div w:id="1394423511">
      <w:bodyDiv w:val="1"/>
      <w:marLeft w:val="0"/>
      <w:marRight w:val="0"/>
      <w:marTop w:val="0"/>
      <w:marBottom w:val="0"/>
      <w:divBdr>
        <w:top w:val="none" w:sz="0" w:space="0" w:color="auto"/>
        <w:left w:val="none" w:sz="0" w:space="0" w:color="auto"/>
        <w:bottom w:val="none" w:sz="0" w:space="0" w:color="auto"/>
        <w:right w:val="none" w:sz="0" w:space="0" w:color="auto"/>
      </w:divBdr>
    </w:div>
    <w:div w:id="1394936656">
      <w:bodyDiv w:val="1"/>
      <w:marLeft w:val="0"/>
      <w:marRight w:val="0"/>
      <w:marTop w:val="0"/>
      <w:marBottom w:val="0"/>
      <w:divBdr>
        <w:top w:val="none" w:sz="0" w:space="0" w:color="auto"/>
        <w:left w:val="none" w:sz="0" w:space="0" w:color="auto"/>
        <w:bottom w:val="none" w:sz="0" w:space="0" w:color="auto"/>
        <w:right w:val="none" w:sz="0" w:space="0" w:color="auto"/>
      </w:divBdr>
    </w:div>
    <w:div w:id="1396393927">
      <w:bodyDiv w:val="1"/>
      <w:marLeft w:val="0"/>
      <w:marRight w:val="0"/>
      <w:marTop w:val="0"/>
      <w:marBottom w:val="0"/>
      <w:divBdr>
        <w:top w:val="none" w:sz="0" w:space="0" w:color="auto"/>
        <w:left w:val="none" w:sz="0" w:space="0" w:color="auto"/>
        <w:bottom w:val="none" w:sz="0" w:space="0" w:color="auto"/>
        <w:right w:val="none" w:sz="0" w:space="0" w:color="auto"/>
      </w:divBdr>
    </w:div>
    <w:div w:id="1397046526">
      <w:bodyDiv w:val="1"/>
      <w:marLeft w:val="0"/>
      <w:marRight w:val="0"/>
      <w:marTop w:val="0"/>
      <w:marBottom w:val="0"/>
      <w:divBdr>
        <w:top w:val="none" w:sz="0" w:space="0" w:color="auto"/>
        <w:left w:val="none" w:sz="0" w:space="0" w:color="auto"/>
        <w:bottom w:val="none" w:sz="0" w:space="0" w:color="auto"/>
        <w:right w:val="none" w:sz="0" w:space="0" w:color="auto"/>
      </w:divBdr>
    </w:div>
    <w:div w:id="1397505746">
      <w:bodyDiv w:val="1"/>
      <w:marLeft w:val="0"/>
      <w:marRight w:val="0"/>
      <w:marTop w:val="0"/>
      <w:marBottom w:val="0"/>
      <w:divBdr>
        <w:top w:val="none" w:sz="0" w:space="0" w:color="auto"/>
        <w:left w:val="none" w:sz="0" w:space="0" w:color="auto"/>
        <w:bottom w:val="none" w:sz="0" w:space="0" w:color="auto"/>
        <w:right w:val="none" w:sz="0" w:space="0" w:color="auto"/>
      </w:divBdr>
    </w:div>
    <w:div w:id="1402215390">
      <w:bodyDiv w:val="1"/>
      <w:marLeft w:val="0"/>
      <w:marRight w:val="0"/>
      <w:marTop w:val="0"/>
      <w:marBottom w:val="0"/>
      <w:divBdr>
        <w:top w:val="none" w:sz="0" w:space="0" w:color="auto"/>
        <w:left w:val="none" w:sz="0" w:space="0" w:color="auto"/>
        <w:bottom w:val="none" w:sz="0" w:space="0" w:color="auto"/>
        <w:right w:val="none" w:sz="0" w:space="0" w:color="auto"/>
      </w:divBdr>
    </w:div>
    <w:div w:id="1402408917">
      <w:bodyDiv w:val="1"/>
      <w:marLeft w:val="0"/>
      <w:marRight w:val="0"/>
      <w:marTop w:val="0"/>
      <w:marBottom w:val="0"/>
      <w:divBdr>
        <w:top w:val="none" w:sz="0" w:space="0" w:color="auto"/>
        <w:left w:val="none" w:sz="0" w:space="0" w:color="auto"/>
        <w:bottom w:val="none" w:sz="0" w:space="0" w:color="auto"/>
        <w:right w:val="none" w:sz="0" w:space="0" w:color="auto"/>
      </w:divBdr>
    </w:div>
    <w:div w:id="1403602036">
      <w:bodyDiv w:val="1"/>
      <w:marLeft w:val="0"/>
      <w:marRight w:val="0"/>
      <w:marTop w:val="0"/>
      <w:marBottom w:val="0"/>
      <w:divBdr>
        <w:top w:val="none" w:sz="0" w:space="0" w:color="auto"/>
        <w:left w:val="none" w:sz="0" w:space="0" w:color="auto"/>
        <w:bottom w:val="none" w:sz="0" w:space="0" w:color="auto"/>
        <w:right w:val="none" w:sz="0" w:space="0" w:color="auto"/>
      </w:divBdr>
    </w:div>
    <w:div w:id="1405377782">
      <w:bodyDiv w:val="1"/>
      <w:marLeft w:val="0"/>
      <w:marRight w:val="0"/>
      <w:marTop w:val="0"/>
      <w:marBottom w:val="0"/>
      <w:divBdr>
        <w:top w:val="none" w:sz="0" w:space="0" w:color="auto"/>
        <w:left w:val="none" w:sz="0" w:space="0" w:color="auto"/>
        <w:bottom w:val="none" w:sz="0" w:space="0" w:color="auto"/>
        <w:right w:val="none" w:sz="0" w:space="0" w:color="auto"/>
      </w:divBdr>
    </w:div>
    <w:div w:id="1405683901">
      <w:bodyDiv w:val="1"/>
      <w:marLeft w:val="0"/>
      <w:marRight w:val="0"/>
      <w:marTop w:val="0"/>
      <w:marBottom w:val="0"/>
      <w:divBdr>
        <w:top w:val="none" w:sz="0" w:space="0" w:color="auto"/>
        <w:left w:val="none" w:sz="0" w:space="0" w:color="auto"/>
        <w:bottom w:val="none" w:sz="0" w:space="0" w:color="auto"/>
        <w:right w:val="none" w:sz="0" w:space="0" w:color="auto"/>
      </w:divBdr>
    </w:div>
    <w:div w:id="1406100214">
      <w:bodyDiv w:val="1"/>
      <w:marLeft w:val="0"/>
      <w:marRight w:val="0"/>
      <w:marTop w:val="0"/>
      <w:marBottom w:val="0"/>
      <w:divBdr>
        <w:top w:val="none" w:sz="0" w:space="0" w:color="auto"/>
        <w:left w:val="none" w:sz="0" w:space="0" w:color="auto"/>
        <w:bottom w:val="none" w:sz="0" w:space="0" w:color="auto"/>
        <w:right w:val="none" w:sz="0" w:space="0" w:color="auto"/>
      </w:divBdr>
    </w:div>
    <w:div w:id="1411462070">
      <w:bodyDiv w:val="1"/>
      <w:marLeft w:val="0"/>
      <w:marRight w:val="0"/>
      <w:marTop w:val="0"/>
      <w:marBottom w:val="0"/>
      <w:divBdr>
        <w:top w:val="none" w:sz="0" w:space="0" w:color="auto"/>
        <w:left w:val="none" w:sz="0" w:space="0" w:color="auto"/>
        <w:bottom w:val="none" w:sz="0" w:space="0" w:color="auto"/>
        <w:right w:val="none" w:sz="0" w:space="0" w:color="auto"/>
      </w:divBdr>
    </w:div>
    <w:div w:id="1411655199">
      <w:bodyDiv w:val="1"/>
      <w:marLeft w:val="0"/>
      <w:marRight w:val="0"/>
      <w:marTop w:val="0"/>
      <w:marBottom w:val="0"/>
      <w:divBdr>
        <w:top w:val="none" w:sz="0" w:space="0" w:color="auto"/>
        <w:left w:val="none" w:sz="0" w:space="0" w:color="auto"/>
        <w:bottom w:val="none" w:sz="0" w:space="0" w:color="auto"/>
        <w:right w:val="none" w:sz="0" w:space="0" w:color="auto"/>
      </w:divBdr>
    </w:div>
    <w:div w:id="1417554024">
      <w:bodyDiv w:val="1"/>
      <w:marLeft w:val="0"/>
      <w:marRight w:val="0"/>
      <w:marTop w:val="0"/>
      <w:marBottom w:val="0"/>
      <w:divBdr>
        <w:top w:val="none" w:sz="0" w:space="0" w:color="auto"/>
        <w:left w:val="none" w:sz="0" w:space="0" w:color="auto"/>
        <w:bottom w:val="none" w:sz="0" w:space="0" w:color="auto"/>
        <w:right w:val="none" w:sz="0" w:space="0" w:color="auto"/>
      </w:divBdr>
    </w:div>
    <w:div w:id="1419137786">
      <w:bodyDiv w:val="1"/>
      <w:marLeft w:val="0"/>
      <w:marRight w:val="0"/>
      <w:marTop w:val="0"/>
      <w:marBottom w:val="0"/>
      <w:divBdr>
        <w:top w:val="none" w:sz="0" w:space="0" w:color="auto"/>
        <w:left w:val="none" w:sz="0" w:space="0" w:color="auto"/>
        <w:bottom w:val="none" w:sz="0" w:space="0" w:color="auto"/>
        <w:right w:val="none" w:sz="0" w:space="0" w:color="auto"/>
      </w:divBdr>
    </w:div>
    <w:div w:id="1422873361">
      <w:bodyDiv w:val="1"/>
      <w:marLeft w:val="0"/>
      <w:marRight w:val="0"/>
      <w:marTop w:val="0"/>
      <w:marBottom w:val="0"/>
      <w:divBdr>
        <w:top w:val="none" w:sz="0" w:space="0" w:color="auto"/>
        <w:left w:val="none" w:sz="0" w:space="0" w:color="auto"/>
        <w:bottom w:val="none" w:sz="0" w:space="0" w:color="auto"/>
        <w:right w:val="none" w:sz="0" w:space="0" w:color="auto"/>
      </w:divBdr>
    </w:div>
    <w:div w:id="1423723122">
      <w:bodyDiv w:val="1"/>
      <w:marLeft w:val="0"/>
      <w:marRight w:val="0"/>
      <w:marTop w:val="0"/>
      <w:marBottom w:val="0"/>
      <w:divBdr>
        <w:top w:val="none" w:sz="0" w:space="0" w:color="auto"/>
        <w:left w:val="none" w:sz="0" w:space="0" w:color="auto"/>
        <w:bottom w:val="none" w:sz="0" w:space="0" w:color="auto"/>
        <w:right w:val="none" w:sz="0" w:space="0" w:color="auto"/>
      </w:divBdr>
    </w:div>
    <w:div w:id="1427271179">
      <w:bodyDiv w:val="1"/>
      <w:marLeft w:val="0"/>
      <w:marRight w:val="0"/>
      <w:marTop w:val="0"/>
      <w:marBottom w:val="0"/>
      <w:divBdr>
        <w:top w:val="none" w:sz="0" w:space="0" w:color="auto"/>
        <w:left w:val="none" w:sz="0" w:space="0" w:color="auto"/>
        <w:bottom w:val="none" w:sz="0" w:space="0" w:color="auto"/>
        <w:right w:val="none" w:sz="0" w:space="0" w:color="auto"/>
      </w:divBdr>
    </w:div>
    <w:div w:id="1428885393">
      <w:bodyDiv w:val="1"/>
      <w:marLeft w:val="0"/>
      <w:marRight w:val="0"/>
      <w:marTop w:val="0"/>
      <w:marBottom w:val="0"/>
      <w:divBdr>
        <w:top w:val="none" w:sz="0" w:space="0" w:color="auto"/>
        <w:left w:val="none" w:sz="0" w:space="0" w:color="auto"/>
        <w:bottom w:val="none" w:sz="0" w:space="0" w:color="auto"/>
        <w:right w:val="none" w:sz="0" w:space="0" w:color="auto"/>
      </w:divBdr>
    </w:div>
    <w:div w:id="1429353988">
      <w:bodyDiv w:val="1"/>
      <w:marLeft w:val="0"/>
      <w:marRight w:val="0"/>
      <w:marTop w:val="0"/>
      <w:marBottom w:val="0"/>
      <w:divBdr>
        <w:top w:val="none" w:sz="0" w:space="0" w:color="auto"/>
        <w:left w:val="none" w:sz="0" w:space="0" w:color="auto"/>
        <w:bottom w:val="none" w:sz="0" w:space="0" w:color="auto"/>
        <w:right w:val="none" w:sz="0" w:space="0" w:color="auto"/>
      </w:divBdr>
    </w:div>
    <w:div w:id="1431314273">
      <w:bodyDiv w:val="1"/>
      <w:marLeft w:val="0"/>
      <w:marRight w:val="0"/>
      <w:marTop w:val="0"/>
      <w:marBottom w:val="0"/>
      <w:divBdr>
        <w:top w:val="none" w:sz="0" w:space="0" w:color="auto"/>
        <w:left w:val="none" w:sz="0" w:space="0" w:color="auto"/>
        <w:bottom w:val="none" w:sz="0" w:space="0" w:color="auto"/>
        <w:right w:val="none" w:sz="0" w:space="0" w:color="auto"/>
      </w:divBdr>
    </w:div>
    <w:div w:id="1433285948">
      <w:bodyDiv w:val="1"/>
      <w:marLeft w:val="0"/>
      <w:marRight w:val="0"/>
      <w:marTop w:val="0"/>
      <w:marBottom w:val="0"/>
      <w:divBdr>
        <w:top w:val="none" w:sz="0" w:space="0" w:color="auto"/>
        <w:left w:val="none" w:sz="0" w:space="0" w:color="auto"/>
        <w:bottom w:val="none" w:sz="0" w:space="0" w:color="auto"/>
        <w:right w:val="none" w:sz="0" w:space="0" w:color="auto"/>
      </w:divBdr>
    </w:div>
    <w:div w:id="1435635458">
      <w:bodyDiv w:val="1"/>
      <w:marLeft w:val="0"/>
      <w:marRight w:val="0"/>
      <w:marTop w:val="0"/>
      <w:marBottom w:val="0"/>
      <w:divBdr>
        <w:top w:val="none" w:sz="0" w:space="0" w:color="auto"/>
        <w:left w:val="none" w:sz="0" w:space="0" w:color="auto"/>
        <w:bottom w:val="none" w:sz="0" w:space="0" w:color="auto"/>
        <w:right w:val="none" w:sz="0" w:space="0" w:color="auto"/>
      </w:divBdr>
    </w:div>
    <w:div w:id="1438718277">
      <w:bodyDiv w:val="1"/>
      <w:marLeft w:val="0"/>
      <w:marRight w:val="0"/>
      <w:marTop w:val="0"/>
      <w:marBottom w:val="0"/>
      <w:divBdr>
        <w:top w:val="none" w:sz="0" w:space="0" w:color="auto"/>
        <w:left w:val="none" w:sz="0" w:space="0" w:color="auto"/>
        <w:bottom w:val="none" w:sz="0" w:space="0" w:color="auto"/>
        <w:right w:val="none" w:sz="0" w:space="0" w:color="auto"/>
      </w:divBdr>
    </w:div>
    <w:div w:id="1438985962">
      <w:bodyDiv w:val="1"/>
      <w:marLeft w:val="0"/>
      <w:marRight w:val="0"/>
      <w:marTop w:val="0"/>
      <w:marBottom w:val="0"/>
      <w:divBdr>
        <w:top w:val="none" w:sz="0" w:space="0" w:color="auto"/>
        <w:left w:val="none" w:sz="0" w:space="0" w:color="auto"/>
        <w:bottom w:val="none" w:sz="0" w:space="0" w:color="auto"/>
        <w:right w:val="none" w:sz="0" w:space="0" w:color="auto"/>
      </w:divBdr>
    </w:div>
    <w:div w:id="1440489803">
      <w:bodyDiv w:val="1"/>
      <w:marLeft w:val="0"/>
      <w:marRight w:val="0"/>
      <w:marTop w:val="0"/>
      <w:marBottom w:val="0"/>
      <w:divBdr>
        <w:top w:val="none" w:sz="0" w:space="0" w:color="auto"/>
        <w:left w:val="none" w:sz="0" w:space="0" w:color="auto"/>
        <w:bottom w:val="none" w:sz="0" w:space="0" w:color="auto"/>
        <w:right w:val="none" w:sz="0" w:space="0" w:color="auto"/>
      </w:divBdr>
    </w:div>
    <w:div w:id="1446463095">
      <w:bodyDiv w:val="1"/>
      <w:marLeft w:val="0"/>
      <w:marRight w:val="0"/>
      <w:marTop w:val="0"/>
      <w:marBottom w:val="0"/>
      <w:divBdr>
        <w:top w:val="none" w:sz="0" w:space="0" w:color="auto"/>
        <w:left w:val="none" w:sz="0" w:space="0" w:color="auto"/>
        <w:bottom w:val="none" w:sz="0" w:space="0" w:color="auto"/>
        <w:right w:val="none" w:sz="0" w:space="0" w:color="auto"/>
      </w:divBdr>
    </w:div>
    <w:div w:id="1448236004">
      <w:bodyDiv w:val="1"/>
      <w:marLeft w:val="0"/>
      <w:marRight w:val="0"/>
      <w:marTop w:val="0"/>
      <w:marBottom w:val="0"/>
      <w:divBdr>
        <w:top w:val="none" w:sz="0" w:space="0" w:color="auto"/>
        <w:left w:val="none" w:sz="0" w:space="0" w:color="auto"/>
        <w:bottom w:val="none" w:sz="0" w:space="0" w:color="auto"/>
        <w:right w:val="none" w:sz="0" w:space="0" w:color="auto"/>
      </w:divBdr>
    </w:div>
    <w:div w:id="1449548527">
      <w:bodyDiv w:val="1"/>
      <w:marLeft w:val="0"/>
      <w:marRight w:val="0"/>
      <w:marTop w:val="0"/>
      <w:marBottom w:val="0"/>
      <w:divBdr>
        <w:top w:val="none" w:sz="0" w:space="0" w:color="auto"/>
        <w:left w:val="none" w:sz="0" w:space="0" w:color="auto"/>
        <w:bottom w:val="none" w:sz="0" w:space="0" w:color="auto"/>
        <w:right w:val="none" w:sz="0" w:space="0" w:color="auto"/>
      </w:divBdr>
    </w:div>
    <w:div w:id="1450199899">
      <w:bodyDiv w:val="1"/>
      <w:marLeft w:val="0"/>
      <w:marRight w:val="0"/>
      <w:marTop w:val="0"/>
      <w:marBottom w:val="0"/>
      <w:divBdr>
        <w:top w:val="none" w:sz="0" w:space="0" w:color="auto"/>
        <w:left w:val="none" w:sz="0" w:space="0" w:color="auto"/>
        <w:bottom w:val="none" w:sz="0" w:space="0" w:color="auto"/>
        <w:right w:val="none" w:sz="0" w:space="0" w:color="auto"/>
      </w:divBdr>
    </w:div>
    <w:div w:id="1454247511">
      <w:bodyDiv w:val="1"/>
      <w:marLeft w:val="0"/>
      <w:marRight w:val="0"/>
      <w:marTop w:val="0"/>
      <w:marBottom w:val="0"/>
      <w:divBdr>
        <w:top w:val="none" w:sz="0" w:space="0" w:color="auto"/>
        <w:left w:val="none" w:sz="0" w:space="0" w:color="auto"/>
        <w:bottom w:val="none" w:sz="0" w:space="0" w:color="auto"/>
        <w:right w:val="none" w:sz="0" w:space="0" w:color="auto"/>
      </w:divBdr>
    </w:div>
    <w:div w:id="1458068566">
      <w:bodyDiv w:val="1"/>
      <w:marLeft w:val="0"/>
      <w:marRight w:val="0"/>
      <w:marTop w:val="0"/>
      <w:marBottom w:val="0"/>
      <w:divBdr>
        <w:top w:val="none" w:sz="0" w:space="0" w:color="auto"/>
        <w:left w:val="none" w:sz="0" w:space="0" w:color="auto"/>
        <w:bottom w:val="none" w:sz="0" w:space="0" w:color="auto"/>
        <w:right w:val="none" w:sz="0" w:space="0" w:color="auto"/>
      </w:divBdr>
    </w:div>
    <w:div w:id="1460612786">
      <w:bodyDiv w:val="1"/>
      <w:marLeft w:val="0"/>
      <w:marRight w:val="0"/>
      <w:marTop w:val="0"/>
      <w:marBottom w:val="0"/>
      <w:divBdr>
        <w:top w:val="none" w:sz="0" w:space="0" w:color="auto"/>
        <w:left w:val="none" w:sz="0" w:space="0" w:color="auto"/>
        <w:bottom w:val="none" w:sz="0" w:space="0" w:color="auto"/>
        <w:right w:val="none" w:sz="0" w:space="0" w:color="auto"/>
      </w:divBdr>
    </w:div>
    <w:div w:id="1462336146">
      <w:bodyDiv w:val="1"/>
      <w:marLeft w:val="0"/>
      <w:marRight w:val="0"/>
      <w:marTop w:val="0"/>
      <w:marBottom w:val="0"/>
      <w:divBdr>
        <w:top w:val="none" w:sz="0" w:space="0" w:color="auto"/>
        <w:left w:val="none" w:sz="0" w:space="0" w:color="auto"/>
        <w:bottom w:val="none" w:sz="0" w:space="0" w:color="auto"/>
        <w:right w:val="none" w:sz="0" w:space="0" w:color="auto"/>
      </w:divBdr>
    </w:div>
    <w:div w:id="1464496990">
      <w:bodyDiv w:val="1"/>
      <w:marLeft w:val="0"/>
      <w:marRight w:val="0"/>
      <w:marTop w:val="0"/>
      <w:marBottom w:val="0"/>
      <w:divBdr>
        <w:top w:val="none" w:sz="0" w:space="0" w:color="auto"/>
        <w:left w:val="none" w:sz="0" w:space="0" w:color="auto"/>
        <w:bottom w:val="none" w:sz="0" w:space="0" w:color="auto"/>
        <w:right w:val="none" w:sz="0" w:space="0" w:color="auto"/>
      </w:divBdr>
    </w:div>
    <w:div w:id="1465545184">
      <w:bodyDiv w:val="1"/>
      <w:marLeft w:val="0"/>
      <w:marRight w:val="0"/>
      <w:marTop w:val="0"/>
      <w:marBottom w:val="0"/>
      <w:divBdr>
        <w:top w:val="none" w:sz="0" w:space="0" w:color="auto"/>
        <w:left w:val="none" w:sz="0" w:space="0" w:color="auto"/>
        <w:bottom w:val="none" w:sz="0" w:space="0" w:color="auto"/>
        <w:right w:val="none" w:sz="0" w:space="0" w:color="auto"/>
      </w:divBdr>
    </w:div>
    <w:div w:id="1467627525">
      <w:bodyDiv w:val="1"/>
      <w:marLeft w:val="0"/>
      <w:marRight w:val="0"/>
      <w:marTop w:val="0"/>
      <w:marBottom w:val="0"/>
      <w:divBdr>
        <w:top w:val="none" w:sz="0" w:space="0" w:color="auto"/>
        <w:left w:val="none" w:sz="0" w:space="0" w:color="auto"/>
        <w:bottom w:val="none" w:sz="0" w:space="0" w:color="auto"/>
        <w:right w:val="none" w:sz="0" w:space="0" w:color="auto"/>
      </w:divBdr>
    </w:div>
    <w:div w:id="1472668434">
      <w:bodyDiv w:val="1"/>
      <w:marLeft w:val="0"/>
      <w:marRight w:val="0"/>
      <w:marTop w:val="0"/>
      <w:marBottom w:val="0"/>
      <w:divBdr>
        <w:top w:val="none" w:sz="0" w:space="0" w:color="auto"/>
        <w:left w:val="none" w:sz="0" w:space="0" w:color="auto"/>
        <w:bottom w:val="none" w:sz="0" w:space="0" w:color="auto"/>
        <w:right w:val="none" w:sz="0" w:space="0" w:color="auto"/>
      </w:divBdr>
    </w:div>
    <w:div w:id="1473131175">
      <w:bodyDiv w:val="1"/>
      <w:marLeft w:val="0"/>
      <w:marRight w:val="0"/>
      <w:marTop w:val="0"/>
      <w:marBottom w:val="0"/>
      <w:divBdr>
        <w:top w:val="none" w:sz="0" w:space="0" w:color="auto"/>
        <w:left w:val="none" w:sz="0" w:space="0" w:color="auto"/>
        <w:bottom w:val="none" w:sz="0" w:space="0" w:color="auto"/>
        <w:right w:val="none" w:sz="0" w:space="0" w:color="auto"/>
      </w:divBdr>
    </w:div>
    <w:div w:id="1473789501">
      <w:bodyDiv w:val="1"/>
      <w:marLeft w:val="0"/>
      <w:marRight w:val="0"/>
      <w:marTop w:val="0"/>
      <w:marBottom w:val="0"/>
      <w:divBdr>
        <w:top w:val="none" w:sz="0" w:space="0" w:color="auto"/>
        <w:left w:val="none" w:sz="0" w:space="0" w:color="auto"/>
        <w:bottom w:val="none" w:sz="0" w:space="0" w:color="auto"/>
        <w:right w:val="none" w:sz="0" w:space="0" w:color="auto"/>
      </w:divBdr>
    </w:div>
    <w:div w:id="1474522651">
      <w:bodyDiv w:val="1"/>
      <w:marLeft w:val="0"/>
      <w:marRight w:val="0"/>
      <w:marTop w:val="0"/>
      <w:marBottom w:val="0"/>
      <w:divBdr>
        <w:top w:val="none" w:sz="0" w:space="0" w:color="auto"/>
        <w:left w:val="none" w:sz="0" w:space="0" w:color="auto"/>
        <w:bottom w:val="none" w:sz="0" w:space="0" w:color="auto"/>
        <w:right w:val="none" w:sz="0" w:space="0" w:color="auto"/>
      </w:divBdr>
    </w:div>
    <w:div w:id="1475413779">
      <w:bodyDiv w:val="1"/>
      <w:marLeft w:val="0"/>
      <w:marRight w:val="0"/>
      <w:marTop w:val="0"/>
      <w:marBottom w:val="0"/>
      <w:divBdr>
        <w:top w:val="none" w:sz="0" w:space="0" w:color="auto"/>
        <w:left w:val="none" w:sz="0" w:space="0" w:color="auto"/>
        <w:bottom w:val="none" w:sz="0" w:space="0" w:color="auto"/>
        <w:right w:val="none" w:sz="0" w:space="0" w:color="auto"/>
      </w:divBdr>
    </w:div>
    <w:div w:id="1477068694">
      <w:bodyDiv w:val="1"/>
      <w:marLeft w:val="0"/>
      <w:marRight w:val="0"/>
      <w:marTop w:val="0"/>
      <w:marBottom w:val="0"/>
      <w:divBdr>
        <w:top w:val="none" w:sz="0" w:space="0" w:color="auto"/>
        <w:left w:val="none" w:sz="0" w:space="0" w:color="auto"/>
        <w:bottom w:val="none" w:sz="0" w:space="0" w:color="auto"/>
        <w:right w:val="none" w:sz="0" w:space="0" w:color="auto"/>
      </w:divBdr>
    </w:div>
    <w:div w:id="1481340411">
      <w:bodyDiv w:val="1"/>
      <w:marLeft w:val="0"/>
      <w:marRight w:val="0"/>
      <w:marTop w:val="0"/>
      <w:marBottom w:val="0"/>
      <w:divBdr>
        <w:top w:val="none" w:sz="0" w:space="0" w:color="auto"/>
        <w:left w:val="none" w:sz="0" w:space="0" w:color="auto"/>
        <w:bottom w:val="none" w:sz="0" w:space="0" w:color="auto"/>
        <w:right w:val="none" w:sz="0" w:space="0" w:color="auto"/>
      </w:divBdr>
    </w:div>
    <w:div w:id="1483277570">
      <w:bodyDiv w:val="1"/>
      <w:marLeft w:val="0"/>
      <w:marRight w:val="0"/>
      <w:marTop w:val="0"/>
      <w:marBottom w:val="0"/>
      <w:divBdr>
        <w:top w:val="none" w:sz="0" w:space="0" w:color="auto"/>
        <w:left w:val="none" w:sz="0" w:space="0" w:color="auto"/>
        <w:bottom w:val="none" w:sz="0" w:space="0" w:color="auto"/>
        <w:right w:val="none" w:sz="0" w:space="0" w:color="auto"/>
      </w:divBdr>
    </w:div>
    <w:div w:id="1483815540">
      <w:bodyDiv w:val="1"/>
      <w:marLeft w:val="0"/>
      <w:marRight w:val="0"/>
      <w:marTop w:val="0"/>
      <w:marBottom w:val="0"/>
      <w:divBdr>
        <w:top w:val="none" w:sz="0" w:space="0" w:color="auto"/>
        <w:left w:val="none" w:sz="0" w:space="0" w:color="auto"/>
        <w:bottom w:val="none" w:sz="0" w:space="0" w:color="auto"/>
        <w:right w:val="none" w:sz="0" w:space="0" w:color="auto"/>
      </w:divBdr>
    </w:div>
    <w:div w:id="1486169835">
      <w:bodyDiv w:val="1"/>
      <w:marLeft w:val="0"/>
      <w:marRight w:val="0"/>
      <w:marTop w:val="0"/>
      <w:marBottom w:val="0"/>
      <w:divBdr>
        <w:top w:val="none" w:sz="0" w:space="0" w:color="auto"/>
        <w:left w:val="none" w:sz="0" w:space="0" w:color="auto"/>
        <w:bottom w:val="none" w:sz="0" w:space="0" w:color="auto"/>
        <w:right w:val="none" w:sz="0" w:space="0" w:color="auto"/>
      </w:divBdr>
    </w:div>
    <w:div w:id="1488857978">
      <w:bodyDiv w:val="1"/>
      <w:marLeft w:val="0"/>
      <w:marRight w:val="0"/>
      <w:marTop w:val="0"/>
      <w:marBottom w:val="0"/>
      <w:divBdr>
        <w:top w:val="none" w:sz="0" w:space="0" w:color="auto"/>
        <w:left w:val="none" w:sz="0" w:space="0" w:color="auto"/>
        <w:bottom w:val="none" w:sz="0" w:space="0" w:color="auto"/>
        <w:right w:val="none" w:sz="0" w:space="0" w:color="auto"/>
      </w:divBdr>
    </w:div>
    <w:div w:id="1492940638">
      <w:bodyDiv w:val="1"/>
      <w:marLeft w:val="0"/>
      <w:marRight w:val="0"/>
      <w:marTop w:val="0"/>
      <w:marBottom w:val="0"/>
      <w:divBdr>
        <w:top w:val="none" w:sz="0" w:space="0" w:color="auto"/>
        <w:left w:val="none" w:sz="0" w:space="0" w:color="auto"/>
        <w:bottom w:val="none" w:sz="0" w:space="0" w:color="auto"/>
        <w:right w:val="none" w:sz="0" w:space="0" w:color="auto"/>
      </w:divBdr>
    </w:div>
    <w:div w:id="1497916425">
      <w:bodyDiv w:val="1"/>
      <w:marLeft w:val="0"/>
      <w:marRight w:val="0"/>
      <w:marTop w:val="0"/>
      <w:marBottom w:val="0"/>
      <w:divBdr>
        <w:top w:val="none" w:sz="0" w:space="0" w:color="auto"/>
        <w:left w:val="none" w:sz="0" w:space="0" w:color="auto"/>
        <w:bottom w:val="none" w:sz="0" w:space="0" w:color="auto"/>
        <w:right w:val="none" w:sz="0" w:space="0" w:color="auto"/>
      </w:divBdr>
    </w:div>
    <w:div w:id="1498111890">
      <w:bodyDiv w:val="1"/>
      <w:marLeft w:val="0"/>
      <w:marRight w:val="0"/>
      <w:marTop w:val="0"/>
      <w:marBottom w:val="0"/>
      <w:divBdr>
        <w:top w:val="none" w:sz="0" w:space="0" w:color="auto"/>
        <w:left w:val="none" w:sz="0" w:space="0" w:color="auto"/>
        <w:bottom w:val="none" w:sz="0" w:space="0" w:color="auto"/>
        <w:right w:val="none" w:sz="0" w:space="0" w:color="auto"/>
      </w:divBdr>
    </w:div>
    <w:div w:id="1498493314">
      <w:bodyDiv w:val="1"/>
      <w:marLeft w:val="0"/>
      <w:marRight w:val="0"/>
      <w:marTop w:val="0"/>
      <w:marBottom w:val="0"/>
      <w:divBdr>
        <w:top w:val="none" w:sz="0" w:space="0" w:color="auto"/>
        <w:left w:val="none" w:sz="0" w:space="0" w:color="auto"/>
        <w:bottom w:val="none" w:sz="0" w:space="0" w:color="auto"/>
        <w:right w:val="none" w:sz="0" w:space="0" w:color="auto"/>
      </w:divBdr>
    </w:div>
    <w:div w:id="1501853705">
      <w:bodyDiv w:val="1"/>
      <w:marLeft w:val="0"/>
      <w:marRight w:val="0"/>
      <w:marTop w:val="0"/>
      <w:marBottom w:val="0"/>
      <w:divBdr>
        <w:top w:val="none" w:sz="0" w:space="0" w:color="auto"/>
        <w:left w:val="none" w:sz="0" w:space="0" w:color="auto"/>
        <w:bottom w:val="none" w:sz="0" w:space="0" w:color="auto"/>
        <w:right w:val="none" w:sz="0" w:space="0" w:color="auto"/>
      </w:divBdr>
    </w:div>
    <w:div w:id="1510287342">
      <w:bodyDiv w:val="1"/>
      <w:marLeft w:val="0"/>
      <w:marRight w:val="0"/>
      <w:marTop w:val="0"/>
      <w:marBottom w:val="0"/>
      <w:divBdr>
        <w:top w:val="none" w:sz="0" w:space="0" w:color="auto"/>
        <w:left w:val="none" w:sz="0" w:space="0" w:color="auto"/>
        <w:bottom w:val="none" w:sz="0" w:space="0" w:color="auto"/>
        <w:right w:val="none" w:sz="0" w:space="0" w:color="auto"/>
      </w:divBdr>
    </w:div>
    <w:div w:id="1511867609">
      <w:bodyDiv w:val="1"/>
      <w:marLeft w:val="0"/>
      <w:marRight w:val="0"/>
      <w:marTop w:val="0"/>
      <w:marBottom w:val="0"/>
      <w:divBdr>
        <w:top w:val="none" w:sz="0" w:space="0" w:color="auto"/>
        <w:left w:val="none" w:sz="0" w:space="0" w:color="auto"/>
        <w:bottom w:val="none" w:sz="0" w:space="0" w:color="auto"/>
        <w:right w:val="none" w:sz="0" w:space="0" w:color="auto"/>
      </w:divBdr>
    </w:div>
    <w:div w:id="1513567946">
      <w:bodyDiv w:val="1"/>
      <w:marLeft w:val="0"/>
      <w:marRight w:val="0"/>
      <w:marTop w:val="0"/>
      <w:marBottom w:val="0"/>
      <w:divBdr>
        <w:top w:val="none" w:sz="0" w:space="0" w:color="auto"/>
        <w:left w:val="none" w:sz="0" w:space="0" w:color="auto"/>
        <w:bottom w:val="none" w:sz="0" w:space="0" w:color="auto"/>
        <w:right w:val="none" w:sz="0" w:space="0" w:color="auto"/>
      </w:divBdr>
    </w:div>
    <w:div w:id="1518690938">
      <w:bodyDiv w:val="1"/>
      <w:marLeft w:val="0"/>
      <w:marRight w:val="0"/>
      <w:marTop w:val="0"/>
      <w:marBottom w:val="0"/>
      <w:divBdr>
        <w:top w:val="none" w:sz="0" w:space="0" w:color="auto"/>
        <w:left w:val="none" w:sz="0" w:space="0" w:color="auto"/>
        <w:bottom w:val="none" w:sz="0" w:space="0" w:color="auto"/>
        <w:right w:val="none" w:sz="0" w:space="0" w:color="auto"/>
      </w:divBdr>
    </w:div>
    <w:div w:id="1519155118">
      <w:bodyDiv w:val="1"/>
      <w:marLeft w:val="0"/>
      <w:marRight w:val="0"/>
      <w:marTop w:val="0"/>
      <w:marBottom w:val="0"/>
      <w:divBdr>
        <w:top w:val="none" w:sz="0" w:space="0" w:color="auto"/>
        <w:left w:val="none" w:sz="0" w:space="0" w:color="auto"/>
        <w:bottom w:val="none" w:sz="0" w:space="0" w:color="auto"/>
        <w:right w:val="none" w:sz="0" w:space="0" w:color="auto"/>
      </w:divBdr>
    </w:div>
    <w:div w:id="1523862835">
      <w:bodyDiv w:val="1"/>
      <w:marLeft w:val="0"/>
      <w:marRight w:val="0"/>
      <w:marTop w:val="0"/>
      <w:marBottom w:val="0"/>
      <w:divBdr>
        <w:top w:val="none" w:sz="0" w:space="0" w:color="auto"/>
        <w:left w:val="none" w:sz="0" w:space="0" w:color="auto"/>
        <w:bottom w:val="none" w:sz="0" w:space="0" w:color="auto"/>
        <w:right w:val="none" w:sz="0" w:space="0" w:color="auto"/>
      </w:divBdr>
    </w:div>
    <w:div w:id="1523933655">
      <w:bodyDiv w:val="1"/>
      <w:marLeft w:val="0"/>
      <w:marRight w:val="0"/>
      <w:marTop w:val="0"/>
      <w:marBottom w:val="0"/>
      <w:divBdr>
        <w:top w:val="none" w:sz="0" w:space="0" w:color="auto"/>
        <w:left w:val="none" w:sz="0" w:space="0" w:color="auto"/>
        <w:bottom w:val="none" w:sz="0" w:space="0" w:color="auto"/>
        <w:right w:val="none" w:sz="0" w:space="0" w:color="auto"/>
      </w:divBdr>
    </w:div>
    <w:div w:id="1530145889">
      <w:bodyDiv w:val="1"/>
      <w:marLeft w:val="0"/>
      <w:marRight w:val="0"/>
      <w:marTop w:val="0"/>
      <w:marBottom w:val="0"/>
      <w:divBdr>
        <w:top w:val="none" w:sz="0" w:space="0" w:color="auto"/>
        <w:left w:val="none" w:sz="0" w:space="0" w:color="auto"/>
        <w:bottom w:val="none" w:sz="0" w:space="0" w:color="auto"/>
        <w:right w:val="none" w:sz="0" w:space="0" w:color="auto"/>
      </w:divBdr>
    </w:div>
    <w:div w:id="1531256006">
      <w:bodyDiv w:val="1"/>
      <w:marLeft w:val="0"/>
      <w:marRight w:val="0"/>
      <w:marTop w:val="0"/>
      <w:marBottom w:val="0"/>
      <w:divBdr>
        <w:top w:val="none" w:sz="0" w:space="0" w:color="auto"/>
        <w:left w:val="none" w:sz="0" w:space="0" w:color="auto"/>
        <w:bottom w:val="none" w:sz="0" w:space="0" w:color="auto"/>
        <w:right w:val="none" w:sz="0" w:space="0" w:color="auto"/>
      </w:divBdr>
    </w:div>
    <w:div w:id="1531994333">
      <w:bodyDiv w:val="1"/>
      <w:marLeft w:val="0"/>
      <w:marRight w:val="0"/>
      <w:marTop w:val="0"/>
      <w:marBottom w:val="0"/>
      <w:divBdr>
        <w:top w:val="none" w:sz="0" w:space="0" w:color="auto"/>
        <w:left w:val="none" w:sz="0" w:space="0" w:color="auto"/>
        <w:bottom w:val="none" w:sz="0" w:space="0" w:color="auto"/>
        <w:right w:val="none" w:sz="0" w:space="0" w:color="auto"/>
      </w:divBdr>
    </w:div>
    <w:div w:id="1533155677">
      <w:bodyDiv w:val="1"/>
      <w:marLeft w:val="0"/>
      <w:marRight w:val="0"/>
      <w:marTop w:val="0"/>
      <w:marBottom w:val="0"/>
      <w:divBdr>
        <w:top w:val="none" w:sz="0" w:space="0" w:color="auto"/>
        <w:left w:val="none" w:sz="0" w:space="0" w:color="auto"/>
        <w:bottom w:val="none" w:sz="0" w:space="0" w:color="auto"/>
        <w:right w:val="none" w:sz="0" w:space="0" w:color="auto"/>
      </w:divBdr>
    </w:div>
    <w:div w:id="1533305147">
      <w:bodyDiv w:val="1"/>
      <w:marLeft w:val="0"/>
      <w:marRight w:val="0"/>
      <w:marTop w:val="0"/>
      <w:marBottom w:val="0"/>
      <w:divBdr>
        <w:top w:val="none" w:sz="0" w:space="0" w:color="auto"/>
        <w:left w:val="none" w:sz="0" w:space="0" w:color="auto"/>
        <w:bottom w:val="none" w:sz="0" w:space="0" w:color="auto"/>
        <w:right w:val="none" w:sz="0" w:space="0" w:color="auto"/>
      </w:divBdr>
    </w:div>
    <w:div w:id="1534147401">
      <w:bodyDiv w:val="1"/>
      <w:marLeft w:val="0"/>
      <w:marRight w:val="0"/>
      <w:marTop w:val="0"/>
      <w:marBottom w:val="0"/>
      <w:divBdr>
        <w:top w:val="none" w:sz="0" w:space="0" w:color="auto"/>
        <w:left w:val="none" w:sz="0" w:space="0" w:color="auto"/>
        <w:bottom w:val="none" w:sz="0" w:space="0" w:color="auto"/>
        <w:right w:val="none" w:sz="0" w:space="0" w:color="auto"/>
      </w:divBdr>
    </w:div>
    <w:div w:id="1534801908">
      <w:bodyDiv w:val="1"/>
      <w:marLeft w:val="0"/>
      <w:marRight w:val="0"/>
      <w:marTop w:val="0"/>
      <w:marBottom w:val="0"/>
      <w:divBdr>
        <w:top w:val="none" w:sz="0" w:space="0" w:color="auto"/>
        <w:left w:val="none" w:sz="0" w:space="0" w:color="auto"/>
        <w:bottom w:val="none" w:sz="0" w:space="0" w:color="auto"/>
        <w:right w:val="none" w:sz="0" w:space="0" w:color="auto"/>
      </w:divBdr>
    </w:div>
    <w:div w:id="1537232288">
      <w:bodyDiv w:val="1"/>
      <w:marLeft w:val="0"/>
      <w:marRight w:val="0"/>
      <w:marTop w:val="0"/>
      <w:marBottom w:val="0"/>
      <w:divBdr>
        <w:top w:val="none" w:sz="0" w:space="0" w:color="auto"/>
        <w:left w:val="none" w:sz="0" w:space="0" w:color="auto"/>
        <w:bottom w:val="none" w:sz="0" w:space="0" w:color="auto"/>
        <w:right w:val="none" w:sz="0" w:space="0" w:color="auto"/>
      </w:divBdr>
    </w:div>
    <w:div w:id="1538011414">
      <w:bodyDiv w:val="1"/>
      <w:marLeft w:val="0"/>
      <w:marRight w:val="0"/>
      <w:marTop w:val="0"/>
      <w:marBottom w:val="0"/>
      <w:divBdr>
        <w:top w:val="none" w:sz="0" w:space="0" w:color="auto"/>
        <w:left w:val="none" w:sz="0" w:space="0" w:color="auto"/>
        <w:bottom w:val="none" w:sz="0" w:space="0" w:color="auto"/>
        <w:right w:val="none" w:sz="0" w:space="0" w:color="auto"/>
      </w:divBdr>
    </w:div>
    <w:div w:id="1543132349">
      <w:bodyDiv w:val="1"/>
      <w:marLeft w:val="0"/>
      <w:marRight w:val="0"/>
      <w:marTop w:val="0"/>
      <w:marBottom w:val="0"/>
      <w:divBdr>
        <w:top w:val="none" w:sz="0" w:space="0" w:color="auto"/>
        <w:left w:val="none" w:sz="0" w:space="0" w:color="auto"/>
        <w:bottom w:val="none" w:sz="0" w:space="0" w:color="auto"/>
        <w:right w:val="none" w:sz="0" w:space="0" w:color="auto"/>
      </w:divBdr>
    </w:div>
    <w:div w:id="1545487199">
      <w:bodyDiv w:val="1"/>
      <w:marLeft w:val="0"/>
      <w:marRight w:val="0"/>
      <w:marTop w:val="0"/>
      <w:marBottom w:val="0"/>
      <w:divBdr>
        <w:top w:val="none" w:sz="0" w:space="0" w:color="auto"/>
        <w:left w:val="none" w:sz="0" w:space="0" w:color="auto"/>
        <w:bottom w:val="none" w:sz="0" w:space="0" w:color="auto"/>
        <w:right w:val="none" w:sz="0" w:space="0" w:color="auto"/>
      </w:divBdr>
    </w:div>
    <w:div w:id="1546715822">
      <w:bodyDiv w:val="1"/>
      <w:marLeft w:val="0"/>
      <w:marRight w:val="0"/>
      <w:marTop w:val="0"/>
      <w:marBottom w:val="0"/>
      <w:divBdr>
        <w:top w:val="none" w:sz="0" w:space="0" w:color="auto"/>
        <w:left w:val="none" w:sz="0" w:space="0" w:color="auto"/>
        <w:bottom w:val="none" w:sz="0" w:space="0" w:color="auto"/>
        <w:right w:val="none" w:sz="0" w:space="0" w:color="auto"/>
      </w:divBdr>
    </w:div>
    <w:div w:id="1548644438">
      <w:bodyDiv w:val="1"/>
      <w:marLeft w:val="0"/>
      <w:marRight w:val="0"/>
      <w:marTop w:val="0"/>
      <w:marBottom w:val="0"/>
      <w:divBdr>
        <w:top w:val="none" w:sz="0" w:space="0" w:color="auto"/>
        <w:left w:val="none" w:sz="0" w:space="0" w:color="auto"/>
        <w:bottom w:val="none" w:sz="0" w:space="0" w:color="auto"/>
        <w:right w:val="none" w:sz="0" w:space="0" w:color="auto"/>
      </w:divBdr>
    </w:div>
    <w:div w:id="1550875925">
      <w:bodyDiv w:val="1"/>
      <w:marLeft w:val="0"/>
      <w:marRight w:val="0"/>
      <w:marTop w:val="0"/>
      <w:marBottom w:val="0"/>
      <w:divBdr>
        <w:top w:val="none" w:sz="0" w:space="0" w:color="auto"/>
        <w:left w:val="none" w:sz="0" w:space="0" w:color="auto"/>
        <w:bottom w:val="none" w:sz="0" w:space="0" w:color="auto"/>
        <w:right w:val="none" w:sz="0" w:space="0" w:color="auto"/>
      </w:divBdr>
    </w:div>
    <w:div w:id="1556698675">
      <w:bodyDiv w:val="1"/>
      <w:marLeft w:val="0"/>
      <w:marRight w:val="0"/>
      <w:marTop w:val="0"/>
      <w:marBottom w:val="0"/>
      <w:divBdr>
        <w:top w:val="none" w:sz="0" w:space="0" w:color="auto"/>
        <w:left w:val="none" w:sz="0" w:space="0" w:color="auto"/>
        <w:bottom w:val="none" w:sz="0" w:space="0" w:color="auto"/>
        <w:right w:val="none" w:sz="0" w:space="0" w:color="auto"/>
      </w:divBdr>
    </w:div>
    <w:div w:id="1557624738">
      <w:bodyDiv w:val="1"/>
      <w:marLeft w:val="0"/>
      <w:marRight w:val="0"/>
      <w:marTop w:val="0"/>
      <w:marBottom w:val="0"/>
      <w:divBdr>
        <w:top w:val="none" w:sz="0" w:space="0" w:color="auto"/>
        <w:left w:val="none" w:sz="0" w:space="0" w:color="auto"/>
        <w:bottom w:val="none" w:sz="0" w:space="0" w:color="auto"/>
        <w:right w:val="none" w:sz="0" w:space="0" w:color="auto"/>
      </w:divBdr>
    </w:div>
    <w:div w:id="1557814271">
      <w:bodyDiv w:val="1"/>
      <w:marLeft w:val="0"/>
      <w:marRight w:val="0"/>
      <w:marTop w:val="0"/>
      <w:marBottom w:val="0"/>
      <w:divBdr>
        <w:top w:val="none" w:sz="0" w:space="0" w:color="auto"/>
        <w:left w:val="none" w:sz="0" w:space="0" w:color="auto"/>
        <w:bottom w:val="none" w:sz="0" w:space="0" w:color="auto"/>
        <w:right w:val="none" w:sz="0" w:space="0" w:color="auto"/>
      </w:divBdr>
    </w:div>
    <w:div w:id="1559171190">
      <w:bodyDiv w:val="1"/>
      <w:marLeft w:val="0"/>
      <w:marRight w:val="0"/>
      <w:marTop w:val="0"/>
      <w:marBottom w:val="0"/>
      <w:divBdr>
        <w:top w:val="none" w:sz="0" w:space="0" w:color="auto"/>
        <w:left w:val="none" w:sz="0" w:space="0" w:color="auto"/>
        <w:bottom w:val="none" w:sz="0" w:space="0" w:color="auto"/>
        <w:right w:val="none" w:sz="0" w:space="0" w:color="auto"/>
      </w:divBdr>
    </w:div>
    <w:div w:id="1560629008">
      <w:bodyDiv w:val="1"/>
      <w:marLeft w:val="0"/>
      <w:marRight w:val="0"/>
      <w:marTop w:val="0"/>
      <w:marBottom w:val="0"/>
      <w:divBdr>
        <w:top w:val="none" w:sz="0" w:space="0" w:color="auto"/>
        <w:left w:val="none" w:sz="0" w:space="0" w:color="auto"/>
        <w:bottom w:val="none" w:sz="0" w:space="0" w:color="auto"/>
        <w:right w:val="none" w:sz="0" w:space="0" w:color="auto"/>
      </w:divBdr>
    </w:div>
    <w:div w:id="1563131162">
      <w:bodyDiv w:val="1"/>
      <w:marLeft w:val="0"/>
      <w:marRight w:val="0"/>
      <w:marTop w:val="0"/>
      <w:marBottom w:val="0"/>
      <w:divBdr>
        <w:top w:val="none" w:sz="0" w:space="0" w:color="auto"/>
        <w:left w:val="none" w:sz="0" w:space="0" w:color="auto"/>
        <w:bottom w:val="none" w:sz="0" w:space="0" w:color="auto"/>
        <w:right w:val="none" w:sz="0" w:space="0" w:color="auto"/>
      </w:divBdr>
    </w:div>
    <w:div w:id="1563901657">
      <w:bodyDiv w:val="1"/>
      <w:marLeft w:val="0"/>
      <w:marRight w:val="0"/>
      <w:marTop w:val="0"/>
      <w:marBottom w:val="0"/>
      <w:divBdr>
        <w:top w:val="none" w:sz="0" w:space="0" w:color="auto"/>
        <w:left w:val="none" w:sz="0" w:space="0" w:color="auto"/>
        <w:bottom w:val="none" w:sz="0" w:space="0" w:color="auto"/>
        <w:right w:val="none" w:sz="0" w:space="0" w:color="auto"/>
      </w:divBdr>
    </w:div>
    <w:div w:id="1565097084">
      <w:bodyDiv w:val="1"/>
      <w:marLeft w:val="0"/>
      <w:marRight w:val="0"/>
      <w:marTop w:val="0"/>
      <w:marBottom w:val="0"/>
      <w:divBdr>
        <w:top w:val="none" w:sz="0" w:space="0" w:color="auto"/>
        <w:left w:val="none" w:sz="0" w:space="0" w:color="auto"/>
        <w:bottom w:val="none" w:sz="0" w:space="0" w:color="auto"/>
        <w:right w:val="none" w:sz="0" w:space="0" w:color="auto"/>
      </w:divBdr>
    </w:div>
    <w:div w:id="1566064119">
      <w:bodyDiv w:val="1"/>
      <w:marLeft w:val="0"/>
      <w:marRight w:val="0"/>
      <w:marTop w:val="0"/>
      <w:marBottom w:val="0"/>
      <w:divBdr>
        <w:top w:val="none" w:sz="0" w:space="0" w:color="auto"/>
        <w:left w:val="none" w:sz="0" w:space="0" w:color="auto"/>
        <w:bottom w:val="none" w:sz="0" w:space="0" w:color="auto"/>
        <w:right w:val="none" w:sz="0" w:space="0" w:color="auto"/>
      </w:divBdr>
    </w:div>
    <w:div w:id="1566722078">
      <w:bodyDiv w:val="1"/>
      <w:marLeft w:val="0"/>
      <w:marRight w:val="0"/>
      <w:marTop w:val="0"/>
      <w:marBottom w:val="0"/>
      <w:divBdr>
        <w:top w:val="none" w:sz="0" w:space="0" w:color="auto"/>
        <w:left w:val="none" w:sz="0" w:space="0" w:color="auto"/>
        <w:bottom w:val="none" w:sz="0" w:space="0" w:color="auto"/>
        <w:right w:val="none" w:sz="0" w:space="0" w:color="auto"/>
      </w:divBdr>
    </w:div>
    <w:div w:id="1566834828">
      <w:bodyDiv w:val="1"/>
      <w:marLeft w:val="0"/>
      <w:marRight w:val="0"/>
      <w:marTop w:val="0"/>
      <w:marBottom w:val="0"/>
      <w:divBdr>
        <w:top w:val="none" w:sz="0" w:space="0" w:color="auto"/>
        <w:left w:val="none" w:sz="0" w:space="0" w:color="auto"/>
        <w:bottom w:val="none" w:sz="0" w:space="0" w:color="auto"/>
        <w:right w:val="none" w:sz="0" w:space="0" w:color="auto"/>
      </w:divBdr>
    </w:div>
    <w:div w:id="1567033731">
      <w:bodyDiv w:val="1"/>
      <w:marLeft w:val="0"/>
      <w:marRight w:val="0"/>
      <w:marTop w:val="0"/>
      <w:marBottom w:val="0"/>
      <w:divBdr>
        <w:top w:val="none" w:sz="0" w:space="0" w:color="auto"/>
        <w:left w:val="none" w:sz="0" w:space="0" w:color="auto"/>
        <w:bottom w:val="none" w:sz="0" w:space="0" w:color="auto"/>
        <w:right w:val="none" w:sz="0" w:space="0" w:color="auto"/>
      </w:divBdr>
    </w:div>
    <w:div w:id="1574579167">
      <w:bodyDiv w:val="1"/>
      <w:marLeft w:val="0"/>
      <w:marRight w:val="0"/>
      <w:marTop w:val="0"/>
      <w:marBottom w:val="0"/>
      <w:divBdr>
        <w:top w:val="none" w:sz="0" w:space="0" w:color="auto"/>
        <w:left w:val="none" w:sz="0" w:space="0" w:color="auto"/>
        <w:bottom w:val="none" w:sz="0" w:space="0" w:color="auto"/>
        <w:right w:val="none" w:sz="0" w:space="0" w:color="auto"/>
      </w:divBdr>
    </w:div>
    <w:div w:id="1576549089">
      <w:bodyDiv w:val="1"/>
      <w:marLeft w:val="0"/>
      <w:marRight w:val="0"/>
      <w:marTop w:val="0"/>
      <w:marBottom w:val="0"/>
      <w:divBdr>
        <w:top w:val="none" w:sz="0" w:space="0" w:color="auto"/>
        <w:left w:val="none" w:sz="0" w:space="0" w:color="auto"/>
        <w:bottom w:val="none" w:sz="0" w:space="0" w:color="auto"/>
        <w:right w:val="none" w:sz="0" w:space="0" w:color="auto"/>
      </w:divBdr>
    </w:div>
    <w:div w:id="1576739559">
      <w:bodyDiv w:val="1"/>
      <w:marLeft w:val="0"/>
      <w:marRight w:val="0"/>
      <w:marTop w:val="0"/>
      <w:marBottom w:val="0"/>
      <w:divBdr>
        <w:top w:val="none" w:sz="0" w:space="0" w:color="auto"/>
        <w:left w:val="none" w:sz="0" w:space="0" w:color="auto"/>
        <w:bottom w:val="none" w:sz="0" w:space="0" w:color="auto"/>
        <w:right w:val="none" w:sz="0" w:space="0" w:color="auto"/>
      </w:divBdr>
    </w:div>
    <w:div w:id="1579286954">
      <w:bodyDiv w:val="1"/>
      <w:marLeft w:val="0"/>
      <w:marRight w:val="0"/>
      <w:marTop w:val="0"/>
      <w:marBottom w:val="0"/>
      <w:divBdr>
        <w:top w:val="none" w:sz="0" w:space="0" w:color="auto"/>
        <w:left w:val="none" w:sz="0" w:space="0" w:color="auto"/>
        <w:bottom w:val="none" w:sz="0" w:space="0" w:color="auto"/>
        <w:right w:val="none" w:sz="0" w:space="0" w:color="auto"/>
      </w:divBdr>
    </w:div>
    <w:div w:id="1580408245">
      <w:bodyDiv w:val="1"/>
      <w:marLeft w:val="0"/>
      <w:marRight w:val="0"/>
      <w:marTop w:val="0"/>
      <w:marBottom w:val="0"/>
      <w:divBdr>
        <w:top w:val="none" w:sz="0" w:space="0" w:color="auto"/>
        <w:left w:val="none" w:sz="0" w:space="0" w:color="auto"/>
        <w:bottom w:val="none" w:sz="0" w:space="0" w:color="auto"/>
        <w:right w:val="none" w:sz="0" w:space="0" w:color="auto"/>
      </w:divBdr>
    </w:div>
    <w:div w:id="1582988149">
      <w:bodyDiv w:val="1"/>
      <w:marLeft w:val="0"/>
      <w:marRight w:val="0"/>
      <w:marTop w:val="0"/>
      <w:marBottom w:val="0"/>
      <w:divBdr>
        <w:top w:val="none" w:sz="0" w:space="0" w:color="auto"/>
        <w:left w:val="none" w:sz="0" w:space="0" w:color="auto"/>
        <w:bottom w:val="none" w:sz="0" w:space="0" w:color="auto"/>
        <w:right w:val="none" w:sz="0" w:space="0" w:color="auto"/>
      </w:divBdr>
    </w:div>
    <w:div w:id="1583028919">
      <w:bodyDiv w:val="1"/>
      <w:marLeft w:val="0"/>
      <w:marRight w:val="0"/>
      <w:marTop w:val="0"/>
      <w:marBottom w:val="0"/>
      <w:divBdr>
        <w:top w:val="none" w:sz="0" w:space="0" w:color="auto"/>
        <w:left w:val="none" w:sz="0" w:space="0" w:color="auto"/>
        <w:bottom w:val="none" w:sz="0" w:space="0" w:color="auto"/>
        <w:right w:val="none" w:sz="0" w:space="0" w:color="auto"/>
      </w:divBdr>
    </w:div>
    <w:div w:id="1583374299">
      <w:bodyDiv w:val="1"/>
      <w:marLeft w:val="0"/>
      <w:marRight w:val="0"/>
      <w:marTop w:val="0"/>
      <w:marBottom w:val="0"/>
      <w:divBdr>
        <w:top w:val="none" w:sz="0" w:space="0" w:color="auto"/>
        <w:left w:val="none" w:sz="0" w:space="0" w:color="auto"/>
        <w:bottom w:val="none" w:sz="0" w:space="0" w:color="auto"/>
        <w:right w:val="none" w:sz="0" w:space="0" w:color="auto"/>
      </w:divBdr>
    </w:div>
    <w:div w:id="1586306730">
      <w:bodyDiv w:val="1"/>
      <w:marLeft w:val="0"/>
      <w:marRight w:val="0"/>
      <w:marTop w:val="0"/>
      <w:marBottom w:val="0"/>
      <w:divBdr>
        <w:top w:val="none" w:sz="0" w:space="0" w:color="auto"/>
        <w:left w:val="none" w:sz="0" w:space="0" w:color="auto"/>
        <w:bottom w:val="none" w:sz="0" w:space="0" w:color="auto"/>
        <w:right w:val="none" w:sz="0" w:space="0" w:color="auto"/>
      </w:divBdr>
    </w:div>
    <w:div w:id="1587231096">
      <w:bodyDiv w:val="1"/>
      <w:marLeft w:val="0"/>
      <w:marRight w:val="0"/>
      <w:marTop w:val="0"/>
      <w:marBottom w:val="0"/>
      <w:divBdr>
        <w:top w:val="none" w:sz="0" w:space="0" w:color="auto"/>
        <w:left w:val="none" w:sz="0" w:space="0" w:color="auto"/>
        <w:bottom w:val="none" w:sz="0" w:space="0" w:color="auto"/>
        <w:right w:val="none" w:sz="0" w:space="0" w:color="auto"/>
      </w:divBdr>
    </w:div>
    <w:div w:id="1591232330">
      <w:bodyDiv w:val="1"/>
      <w:marLeft w:val="0"/>
      <w:marRight w:val="0"/>
      <w:marTop w:val="0"/>
      <w:marBottom w:val="0"/>
      <w:divBdr>
        <w:top w:val="none" w:sz="0" w:space="0" w:color="auto"/>
        <w:left w:val="none" w:sz="0" w:space="0" w:color="auto"/>
        <w:bottom w:val="none" w:sz="0" w:space="0" w:color="auto"/>
        <w:right w:val="none" w:sz="0" w:space="0" w:color="auto"/>
      </w:divBdr>
    </w:div>
    <w:div w:id="1601403657">
      <w:bodyDiv w:val="1"/>
      <w:marLeft w:val="0"/>
      <w:marRight w:val="0"/>
      <w:marTop w:val="0"/>
      <w:marBottom w:val="0"/>
      <w:divBdr>
        <w:top w:val="none" w:sz="0" w:space="0" w:color="auto"/>
        <w:left w:val="none" w:sz="0" w:space="0" w:color="auto"/>
        <w:bottom w:val="none" w:sz="0" w:space="0" w:color="auto"/>
        <w:right w:val="none" w:sz="0" w:space="0" w:color="auto"/>
      </w:divBdr>
    </w:div>
    <w:div w:id="1604922085">
      <w:bodyDiv w:val="1"/>
      <w:marLeft w:val="0"/>
      <w:marRight w:val="0"/>
      <w:marTop w:val="0"/>
      <w:marBottom w:val="0"/>
      <w:divBdr>
        <w:top w:val="none" w:sz="0" w:space="0" w:color="auto"/>
        <w:left w:val="none" w:sz="0" w:space="0" w:color="auto"/>
        <w:bottom w:val="none" w:sz="0" w:space="0" w:color="auto"/>
        <w:right w:val="none" w:sz="0" w:space="0" w:color="auto"/>
      </w:divBdr>
    </w:div>
    <w:div w:id="1608349606">
      <w:bodyDiv w:val="1"/>
      <w:marLeft w:val="0"/>
      <w:marRight w:val="0"/>
      <w:marTop w:val="0"/>
      <w:marBottom w:val="0"/>
      <w:divBdr>
        <w:top w:val="none" w:sz="0" w:space="0" w:color="auto"/>
        <w:left w:val="none" w:sz="0" w:space="0" w:color="auto"/>
        <w:bottom w:val="none" w:sz="0" w:space="0" w:color="auto"/>
        <w:right w:val="none" w:sz="0" w:space="0" w:color="auto"/>
      </w:divBdr>
    </w:div>
    <w:div w:id="1611087626">
      <w:bodyDiv w:val="1"/>
      <w:marLeft w:val="0"/>
      <w:marRight w:val="0"/>
      <w:marTop w:val="0"/>
      <w:marBottom w:val="0"/>
      <w:divBdr>
        <w:top w:val="none" w:sz="0" w:space="0" w:color="auto"/>
        <w:left w:val="none" w:sz="0" w:space="0" w:color="auto"/>
        <w:bottom w:val="none" w:sz="0" w:space="0" w:color="auto"/>
        <w:right w:val="none" w:sz="0" w:space="0" w:color="auto"/>
      </w:divBdr>
    </w:div>
    <w:div w:id="1612013372">
      <w:bodyDiv w:val="1"/>
      <w:marLeft w:val="0"/>
      <w:marRight w:val="0"/>
      <w:marTop w:val="0"/>
      <w:marBottom w:val="0"/>
      <w:divBdr>
        <w:top w:val="none" w:sz="0" w:space="0" w:color="auto"/>
        <w:left w:val="none" w:sz="0" w:space="0" w:color="auto"/>
        <w:bottom w:val="none" w:sz="0" w:space="0" w:color="auto"/>
        <w:right w:val="none" w:sz="0" w:space="0" w:color="auto"/>
      </w:divBdr>
    </w:div>
    <w:div w:id="1613631207">
      <w:bodyDiv w:val="1"/>
      <w:marLeft w:val="0"/>
      <w:marRight w:val="0"/>
      <w:marTop w:val="0"/>
      <w:marBottom w:val="0"/>
      <w:divBdr>
        <w:top w:val="none" w:sz="0" w:space="0" w:color="auto"/>
        <w:left w:val="none" w:sz="0" w:space="0" w:color="auto"/>
        <w:bottom w:val="none" w:sz="0" w:space="0" w:color="auto"/>
        <w:right w:val="none" w:sz="0" w:space="0" w:color="auto"/>
      </w:divBdr>
    </w:div>
    <w:div w:id="1613974708">
      <w:bodyDiv w:val="1"/>
      <w:marLeft w:val="0"/>
      <w:marRight w:val="0"/>
      <w:marTop w:val="0"/>
      <w:marBottom w:val="0"/>
      <w:divBdr>
        <w:top w:val="none" w:sz="0" w:space="0" w:color="auto"/>
        <w:left w:val="none" w:sz="0" w:space="0" w:color="auto"/>
        <w:bottom w:val="none" w:sz="0" w:space="0" w:color="auto"/>
        <w:right w:val="none" w:sz="0" w:space="0" w:color="auto"/>
      </w:divBdr>
    </w:div>
    <w:div w:id="1614096143">
      <w:bodyDiv w:val="1"/>
      <w:marLeft w:val="0"/>
      <w:marRight w:val="0"/>
      <w:marTop w:val="0"/>
      <w:marBottom w:val="0"/>
      <w:divBdr>
        <w:top w:val="none" w:sz="0" w:space="0" w:color="auto"/>
        <w:left w:val="none" w:sz="0" w:space="0" w:color="auto"/>
        <w:bottom w:val="none" w:sz="0" w:space="0" w:color="auto"/>
        <w:right w:val="none" w:sz="0" w:space="0" w:color="auto"/>
      </w:divBdr>
    </w:div>
    <w:div w:id="1617366872">
      <w:bodyDiv w:val="1"/>
      <w:marLeft w:val="0"/>
      <w:marRight w:val="0"/>
      <w:marTop w:val="0"/>
      <w:marBottom w:val="0"/>
      <w:divBdr>
        <w:top w:val="none" w:sz="0" w:space="0" w:color="auto"/>
        <w:left w:val="none" w:sz="0" w:space="0" w:color="auto"/>
        <w:bottom w:val="none" w:sz="0" w:space="0" w:color="auto"/>
        <w:right w:val="none" w:sz="0" w:space="0" w:color="auto"/>
      </w:divBdr>
    </w:div>
    <w:div w:id="1619098134">
      <w:bodyDiv w:val="1"/>
      <w:marLeft w:val="0"/>
      <w:marRight w:val="0"/>
      <w:marTop w:val="0"/>
      <w:marBottom w:val="0"/>
      <w:divBdr>
        <w:top w:val="none" w:sz="0" w:space="0" w:color="auto"/>
        <w:left w:val="none" w:sz="0" w:space="0" w:color="auto"/>
        <w:bottom w:val="none" w:sz="0" w:space="0" w:color="auto"/>
        <w:right w:val="none" w:sz="0" w:space="0" w:color="auto"/>
      </w:divBdr>
    </w:div>
    <w:div w:id="1621642265">
      <w:bodyDiv w:val="1"/>
      <w:marLeft w:val="0"/>
      <w:marRight w:val="0"/>
      <w:marTop w:val="0"/>
      <w:marBottom w:val="0"/>
      <w:divBdr>
        <w:top w:val="none" w:sz="0" w:space="0" w:color="auto"/>
        <w:left w:val="none" w:sz="0" w:space="0" w:color="auto"/>
        <w:bottom w:val="none" w:sz="0" w:space="0" w:color="auto"/>
        <w:right w:val="none" w:sz="0" w:space="0" w:color="auto"/>
      </w:divBdr>
    </w:div>
    <w:div w:id="1626228758">
      <w:bodyDiv w:val="1"/>
      <w:marLeft w:val="0"/>
      <w:marRight w:val="0"/>
      <w:marTop w:val="0"/>
      <w:marBottom w:val="0"/>
      <w:divBdr>
        <w:top w:val="none" w:sz="0" w:space="0" w:color="auto"/>
        <w:left w:val="none" w:sz="0" w:space="0" w:color="auto"/>
        <w:bottom w:val="none" w:sz="0" w:space="0" w:color="auto"/>
        <w:right w:val="none" w:sz="0" w:space="0" w:color="auto"/>
      </w:divBdr>
    </w:div>
    <w:div w:id="1652559524">
      <w:bodyDiv w:val="1"/>
      <w:marLeft w:val="0"/>
      <w:marRight w:val="0"/>
      <w:marTop w:val="0"/>
      <w:marBottom w:val="0"/>
      <w:divBdr>
        <w:top w:val="none" w:sz="0" w:space="0" w:color="auto"/>
        <w:left w:val="none" w:sz="0" w:space="0" w:color="auto"/>
        <w:bottom w:val="none" w:sz="0" w:space="0" w:color="auto"/>
        <w:right w:val="none" w:sz="0" w:space="0" w:color="auto"/>
      </w:divBdr>
    </w:div>
    <w:div w:id="1654336420">
      <w:bodyDiv w:val="1"/>
      <w:marLeft w:val="0"/>
      <w:marRight w:val="0"/>
      <w:marTop w:val="0"/>
      <w:marBottom w:val="0"/>
      <w:divBdr>
        <w:top w:val="none" w:sz="0" w:space="0" w:color="auto"/>
        <w:left w:val="none" w:sz="0" w:space="0" w:color="auto"/>
        <w:bottom w:val="none" w:sz="0" w:space="0" w:color="auto"/>
        <w:right w:val="none" w:sz="0" w:space="0" w:color="auto"/>
      </w:divBdr>
    </w:div>
    <w:div w:id="1656839915">
      <w:bodyDiv w:val="1"/>
      <w:marLeft w:val="0"/>
      <w:marRight w:val="0"/>
      <w:marTop w:val="0"/>
      <w:marBottom w:val="0"/>
      <w:divBdr>
        <w:top w:val="none" w:sz="0" w:space="0" w:color="auto"/>
        <w:left w:val="none" w:sz="0" w:space="0" w:color="auto"/>
        <w:bottom w:val="none" w:sz="0" w:space="0" w:color="auto"/>
        <w:right w:val="none" w:sz="0" w:space="0" w:color="auto"/>
      </w:divBdr>
    </w:div>
    <w:div w:id="1656840014">
      <w:bodyDiv w:val="1"/>
      <w:marLeft w:val="0"/>
      <w:marRight w:val="0"/>
      <w:marTop w:val="0"/>
      <w:marBottom w:val="0"/>
      <w:divBdr>
        <w:top w:val="none" w:sz="0" w:space="0" w:color="auto"/>
        <w:left w:val="none" w:sz="0" w:space="0" w:color="auto"/>
        <w:bottom w:val="none" w:sz="0" w:space="0" w:color="auto"/>
        <w:right w:val="none" w:sz="0" w:space="0" w:color="auto"/>
      </w:divBdr>
    </w:div>
    <w:div w:id="1658607155">
      <w:bodyDiv w:val="1"/>
      <w:marLeft w:val="0"/>
      <w:marRight w:val="0"/>
      <w:marTop w:val="0"/>
      <w:marBottom w:val="0"/>
      <w:divBdr>
        <w:top w:val="none" w:sz="0" w:space="0" w:color="auto"/>
        <w:left w:val="none" w:sz="0" w:space="0" w:color="auto"/>
        <w:bottom w:val="none" w:sz="0" w:space="0" w:color="auto"/>
        <w:right w:val="none" w:sz="0" w:space="0" w:color="auto"/>
      </w:divBdr>
    </w:div>
    <w:div w:id="1658874808">
      <w:bodyDiv w:val="1"/>
      <w:marLeft w:val="0"/>
      <w:marRight w:val="0"/>
      <w:marTop w:val="0"/>
      <w:marBottom w:val="0"/>
      <w:divBdr>
        <w:top w:val="none" w:sz="0" w:space="0" w:color="auto"/>
        <w:left w:val="none" w:sz="0" w:space="0" w:color="auto"/>
        <w:bottom w:val="none" w:sz="0" w:space="0" w:color="auto"/>
        <w:right w:val="none" w:sz="0" w:space="0" w:color="auto"/>
      </w:divBdr>
    </w:div>
    <w:div w:id="1660695627">
      <w:bodyDiv w:val="1"/>
      <w:marLeft w:val="0"/>
      <w:marRight w:val="0"/>
      <w:marTop w:val="0"/>
      <w:marBottom w:val="0"/>
      <w:divBdr>
        <w:top w:val="none" w:sz="0" w:space="0" w:color="auto"/>
        <w:left w:val="none" w:sz="0" w:space="0" w:color="auto"/>
        <w:bottom w:val="none" w:sz="0" w:space="0" w:color="auto"/>
        <w:right w:val="none" w:sz="0" w:space="0" w:color="auto"/>
      </w:divBdr>
    </w:div>
    <w:div w:id="1673947954">
      <w:bodyDiv w:val="1"/>
      <w:marLeft w:val="0"/>
      <w:marRight w:val="0"/>
      <w:marTop w:val="0"/>
      <w:marBottom w:val="0"/>
      <w:divBdr>
        <w:top w:val="none" w:sz="0" w:space="0" w:color="auto"/>
        <w:left w:val="none" w:sz="0" w:space="0" w:color="auto"/>
        <w:bottom w:val="none" w:sz="0" w:space="0" w:color="auto"/>
        <w:right w:val="none" w:sz="0" w:space="0" w:color="auto"/>
      </w:divBdr>
    </w:div>
    <w:div w:id="1674065867">
      <w:bodyDiv w:val="1"/>
      <w:marLeft w:val="0"/>
      <w:marRight w:val="0"/>
      <w:marTop w:val="0"/>
      <w:marBottom w:val="0"/>
      <w:divBdr>
        <w:top w:val="none" w:sz="0" w:space="0" w:color="auto"/>
        <w:left w:val="none" w:sz="0" w:space="0" w:color="auto"/>
        <w:bottom w:val="none" w:sz="0" w:space="0" w:color="auto"/>
        <w:right w:val="none" w:sz="0" w:space="0" w:color="auto"/>
      </w:divBdr>
    </w:div>
    <w:div w:id="1677924831">
      <w:bodyDiv w:val="1"/>
      <w:marLeft w:val="0"/>
      <w:marRight w:val="0"/>
      <w:marTop w:val="0"/>
      <w:marBottom w:val="0"/>
      <w:divBdr>
        <w:top w:val="none" w:sz="0" w:space="0" w:color="auto"/>
        <w:left w:val="none" w:sz="0" w:space="0" w:color="auto"/>
        <w:bottom w:val="none" w:sz="0" w:space="0" w:color="auto"/>
        <w:right w:val="none" w:sz="0" w:space="0" w:color="auto"/>
      </w:divBdr>
    </w:div>
    <w:div w:id="1678069052">
      <w:bodyDiv w:val="1"/>
      <w:marLeft w:val="0"/>
      <w:marRight w:val="0"/>
      <w:marTop w:val="0"/>
      <w:marBottom w:val="0"/>
      <w:divBdr>
        <w:top w:val="none" w:sz="0" w:space="0" w:color="auto"/>
        <w:left w:val="none" w:sz="0" w:space="0" w:color="auto"/>
        <w:bottom w:val="none" w:sz="0" w:space="0" w:color="auto"/>
        <w:right w:val="none" w:sz="0" w:space="0" w:color="auto"/>
      </w:divBdr>
    </w:div>
    <w:div w:id="1678119894">
      <w:bodyDiv w:val="1"/>
      <w:marLeft w:val="0"/>
      <w:marRight w:val="0"/>
      <w:marTop w:val="0"/>
      <w:marBottom w:val="0"/>
      <w:divBdr>
        <w:top w:val="none" w:sz="0" w:space="0" w:color="auto"/>
        <w:left w:val="none" w:sz="0" w:space="0" w:color="auto"/>
        <w:bottom w:val="none" w:sz="0" w:space="0" w:color="auto"/>
        <w:right w:val="none" w:sz="0" w:space="0" w:color="auto"/>
      </w:divBdr>
    </w:div>
    <w:div w:id="1680690320">
      <w:bodyDiv w:val="1"/>
      <w:marLeft w:val="0"/>
      <w:marRight w:val="0"/>
      <w:marTop w:val="0"/>
      <w:marBottom w:val="0"/>
      <w:divBdr>
        <w:top w:val="none" w:sz="0" w:space="0" w:color="auto"/>
        <w:left w:val="none" w:sz="0" w:space="0" w:color="auto"/>
        <w:bottom w:val="none" w:sz="0" w:space="0" w:color="auto"/>
        <w:right w:val="none" w:sz="0" w:space="0" w:color="auto"/>
      </w:divBdr>
    </w:div>
    <w:div w:id="1685934911">
      <w:bodyDiv w:val="1"/>
      <w:marLeft w:val="0"/>
      <w:marRight w:val="0"/>
      <w:marTop w:val="0"/>
      <w:marBottom w:val="0"/>
      <w:divBdr>
        <w:top w:val="none" w:sz="0" w:space="0" w:color="auto"/>
        <w:left w:val="none" w:sz="0" w:space="0" w:color="auto"/>
        <w:bottom w:val="none" w:sz="0" w:space="0" w:color="auto"/>
        <w:right w:val="none" w:sz="0" w:space="0" w:color="auto"/>
      </w:divBdr>
    </w:div>
    <w:div w:id="1688484465">
      <w:bodyDiv w:val="1"/>
      <w:marLeft w:val="0"/>
      <w:marRight w:val="0"/>
      <w:marTop w:val="0"/>
      <w:marBottom w:val="0"/>
      <w:divBdr>
        <w:top w:val="none" w:sz="0" w:space="0" w:color="auto"/>
        <w:left w:val="none" w:sz="0" w:space="0" w:color="auto"/>
        <w:bottom w:val="none" w:sz="0" w:space="0" w:color="auto"/>
        <w:right w:val="none" w:sz="0" w:space="0" w:color="auto"/>
      </w:divBdr>
    </w:div>
    <w:div w:id="1690065943">
      <w:bodyDiv w:val="1"/>
      <w:marLeft w:val="0"/>
      <w:marRight w:val="0"/>
      <w:marTop w:val="0"/>
      <w:marBottom w:val="0"/>
      <w:divBdr>
        <w:top w:val="none" w:sz="0" w:space="0" w:color="auto"/>
        <w:left w:val="none" w:sz="0" w:space="0" w:color="auto"/>
        <w:bottom w:val="none" w:sz="0" w:space="0" w:color="auto"/>
        <w:right w:val="none" w:sz="0" w:space="0" w:color="auto"/>
      </w:divBdr>
    </w:div>
    <w:div w:id="1691563262">
      <w:bodyDiv w:val="1"/>
      <w:marLeft w:val="0"/>
      <w:marRight w:val="0"/>
      <w:marTop w:val="0"/>
      <w:marBottom w:val="0"/>
      <w:divBdr>
        <w:top w:val="none" w:sz="0" w:space="0" w:color="auto"/>
        <w:left w:val="none" w:sz="0" w:space="0" w:color="auto"/>
        <w:bottom w:val="none" w:sz="0" w:space="0" w:color="auto"/>
        <w:right w:val="none" w:sz="0" w:space="0" w:color="auto"/>
      </w:divBdr>
    </w:div>
    <w:div w:id="1692102796">
      <w:bodyDiv w:val="1"/>
      <w:marLeft w:val="0"/>
      <w:marRight w:val="0"/>
      <w:marTop w:val="0"/>
      <w:marBottom w:val="0"/>
      <w:divBdr>
        <w:top w:val="none" w:sz="0" w:space="0" w:color="auto"/>
        <w:left w:val="none" w:sz="0" w:space="0" w:color="auto"/>
        <w:bottom w:val="none" w:sz="0" w:space="0" w:color="auto"/>
        <w:right w:val="none" w:sz="0" w:space="0" w:color="auto"/>
      </w:divBdr>
    </w:div>
    <w:div w:id="1694721931">
      <w:bodyDiv w:val="1"/>
      <w:marLeft w:val="0"/>
      <w:marRight w:val="0"/>
      <w:marTop w:val="0"/>
      <w:marBottom w:val="0"/>
      <w:divBdr>
        <w:top w:val="none" w:sz="0" w:space="0" w:color="auto"/>
        <w:left w:val="none" w:sz="0" w:space="0" w:color="auto"/>
        <w:bottom w:val="none" w:sz="0" w:space="0" w:color="auto"/>
        <w:right w:val="none" w:sz="0" w:space="0" w:color="auto"/>
      </w:divBdr>
    </w:div>
    <w:div w:id="1698431163">
      <w:bodyDiv w:val="1"/>
      <w:marLeft w:val="0"/>
      <w:marRight w:val="0"/>
      <w:marTop w:val="0"/>
      <w:marBottom w:val="0"/>
      <w:divBdr>
        <w:top w:val="none" w:sz="0" w:space="0" w:color="auto"/>
        <w:left w:val="none" w:sz="0" w:space="0" w:color="auto"/>
        <w:bottom w:val="none" w:sz="0" w:space="0" w:color="auto"/>
        <w:right w:val="none" w:sz="0" w:space="0" w:color="auto"/>
      </w:divBdr>
    </w:div>
    <w:div w:id="1699549204">
      <w:bodyDiv w:val="1"/>
      <w:marLeft w:val="0"/>
      <w:marRight w:val="0"/>
      <w:marTop w:val="0"/>
      <w:marBottom w:val="0"/>
      <w:divBdr>
        <w:top w:val="none" w:sz="0" w:space="0" w:color="auto"/>
        <w:left w:val="none" w:sz="0" w:space="0" w:color="auto"/>
        <w:bottom w:val="none" w:sz="0" w:space="0" w:color="auto"/>
        <w:right w:val="none" w:sz="0" w:space="0" w:color="auto"/>
      </w:divBdr>
    </w:div>
    <w:div w:id="1702170513">
      <w:bodyDiv w:val="1"/>
      <w:marLeft w:val="0"/>
      <w:marRight w:val="0"/>
      <w:marTop w:val="0"/>
      <w:marBottom w:val="0"/>
      <w:divBdr>
        <w:top w:val="none" w:sz="0" w:space="0" w:color="auto"/>
        <w:left w:val="none" w:sz="0" w:space="0" w:color="auto"/>
        <w:bottom w:val="none" w:sz="0" w:space="0" w:color="auto"/>
        <w:right w:val="none" w:sz="0" w:space="0" w:color="auto"/>
      </w:divBdr>
    </w:div>
    <w:div w:id="1705668450">
      <w:bodyDiv w:val="1"/>
      <w:marLeft w:val="0"/>
      <w:marRight w:val="0"/>
      <w:marTop w:val="0"/>
      <w:marBottom w:val="0"/>
      <w:divBdr>
        <w:top w:val="none" w:sz="0" w:space="0" w:color="auto"/>
        <w:left w:val="none" w:sz="0" w:space="0" w:color="auto"/>
        <w:bottom w:val="none" w:sz="0" w:space="0" w:color="auto"/>
        <w:right w:val="none" w:sz="0" w:space="0" w:color="auto"/>
      </w:divBdr>
    </w:div>
    <w:div w:id="1706443550">
      <w:bodyDiv w:val="1"/>
      <w:marLeft w:val="0"/>
      <w:marRight w:val="0"/>
      <w:marTop w:val="0"/>
      <w:marBottom w:val="0"/>
      <w:divBdr>
        <w:top w:val="none" w:sz="0" w:space="0" w:color="auto"/>
        <w:left w:val="none" w:sz="0" w:space="0" w:color="auto"/>
        <w:bottom w:val="none" w:sz="0" w:space="0" w:color="auto"/>
        <w:right w:val="none" w:sz="0" w:space="0" w:color="auto"/>
      </w:divBdr>
    </w:div>
    <w:div w:id="1706712437">
      <w:bodyDiv w:val="1"/>
      <w:marLeft w:val="0"/>
      <w:marRight w:val="0"/>
      <w:marTop w:val="0"/>
      <w:marBottom w:val="0"/>
      <w:divBdr>
        <w:top w:val="none" w:sz="0" w:space="0" w:color="auto"/>
        <w:left w:val="none" w:sz="0" w:space="0" w:color="auto"/>
        <w:bottom w:val="none" w:sz="0" w:space="0" w:color="auto"/>
        <w:right w:val="none" w:sz="0" w:space="0" w:color="auto"/>
      </w:divBdr>
    </w:div>
    <w:div w:id="1708142398">
      <w:bodyDiv w:val="1"/>
      <w:marLeft w:val="0"/>
      <w:marRight w:val="0"/>
      <w:marTop w:val="0"/>
      <w:marBottom w:val="0"/>
      <w:divBdr>
        <w:top w:val="none" w:sz="0" w:space="0" w:color="auto"/>
        <w:left w:val="none" w:sz="0" w:space="0" w:color="auto"/>
        <w:bottom w:val="none" w:sz="0" w:space="0" w:color="auto"/>
        <w:right w:val="none" w:sz="0" w:space="0" w:color="auto"/>
      </w:divBdr>
    </w:div>
    <w:div w:id="1709645189">
      <w:bodyDiv w:val="1"/>
      <w:marLeft w:val="0"/>
      <w:marRight w:val="0"/>
      <w:marTop w:val="0"/>
      <w:marBottom w:val="0"/>
      <w:divBdr>
        <w:top w:val="none" w:sz="0" w:space="0" w:color="auto"/>
        <w:left w:val="none" w:sz="0" w:space="0" w:color="auto"/>
        <w:bottom w:val="none" w:sz="0" w:space="0" w:color="auto"/>
        <w:right w:val="none" w:sz="0" w:space="0" w:color="auto"/>
      </w:divBdr>
    </w:div>
    <w:div w:id="1710376268">
      <w:bodyDiv w:val="1"/>
      <w:marLeft w:val="0"/>
      <w:marRight w:val="0"/>
      <w:marTop w:val="0"/>
      <w:marBottom w:val="0"/>
      <w:divBdr>
        <w:top w:val="none" w:sz="0" w:space="0" w:color="auto"/>
        <w:left w:val="none" w:sz="0" w:space="0" w:color="auto"/>
        <w:bottom w:val="none" w:sz="0" w:space="0" w:color="auto"/>
        <w:right w:val="none" w:sz="0" w:space="0" w:color="auto"/>
      </w:divBdr>
    </w:div>
    <w:div w:id="1711683914">
      <w:bodyDiv w:val="1"/>
      <w:marLeft w:val="0"/>
      <w:marRight w:val="0"/>
      <w:marTop w:val="0"/>
      <w:marBottom w:val="0"/>
      <w:divBdr>
        <w:top w:val="none" w:sz="0" w:space="0" w:color="auto"/>
        <w:left w:val="none" w:sz="0" w:space="0" w:color="auto"/>
        <w:bottom w:val="none" w:sz="0" w:space="0" w:color="auto"/>
        <w:right w:val="none" w:sz="0" w:space="0" w:color="auto"/>
      </w:divBdr>
    </w:div>
    <w:div w:id="1712723239">
      <w:bodyDiv w:val="1"/>
      <w:marLeft w:val="0"/>
      <w:marRight w:val="0"/>
      <w:marTop w:val="0"/>
      <w:marBottom w:val="0"/>
      <w:divBdr>
        <w:top w:val="none" w:sz="0" w:space="0" w:color="auto"/>
        <w:left w:val="none" w:sz="0" w:space="0" w:color="auto"/>
        <w:bottom w:val="none" w:sz="0" w:space="0" w:color="auto"/>
        <w:right w:val="none" w:sz="0" w:space="0" w:color="auto"/>
      </w:divBdr>
    </w:div>
    <w:div w:id="1714385712">
      <w:bodyDiv w:val="1"/>
      <w:marLeft w:val="0"/>
      <w:marRight w:val="0"/>
      <w:marTop w:val="0"/>
      <w:marBottom w:val="0"/>
      <w:divBdr>
        <w:top w:val="none" w:sz="0" w:space="0" w:color="auto"/>
        <w:left w:val="none" w:sz="0" w:space="0" w:color="auto"/>
        <w:bottom w:val="none" w:sz="0" w:space="0" w:color="auto"/>
        <w:right w:val="none" w:sz="0" w:space="0" w:color="auto"/>
      </w:divBdr>
    </w:div>
    <w:div w:id="1716588488">
      <w:bodyDiv w:val="1"/>
      <w:marLeft w:val="0"/>
      <w:marRight w:val="0"/>
      <w:marTop w:val="0"/>
      <w:marBottom w:val="0"/>
      <w:divBdr>
        <w:top w:val="none" w:sz="0" w:space="0" w:color="auto"/>
        <w:left w:val="none" w:sz="0" w:space="0" w:color="auto"/>
        <w:bottom w:val="none" w:sz="0" w:space="0" w:color="auto"/>
        <w:right w:val="none" w:sz="0" w:space="0" w:color="auto"/>
      </w:divBdr>
    </w:div>
    <w:div w:id="1718315983">
      <w:bodyDiv w:val="1"/>
      <w:marLeft w:val="0"/>
      <w:marRight w:val="0"/>
      <w:marTop w:val="0"/>
      <w:marBottom w:val="0"/>
      <w:divBdr>
        <w:top w:val="none" w:sz="0" w:space="0" w:color="auto"/>
        <w:left w:val="none" w:sz="0" w:space="0" w:color="auto"/>
        <w:bottom w:val="none" w:sz="0" w:space="0" w:color="auto"/>
        <w:right w:val="none" w:sz="0" w:space="0" w:color="auto"/>
      </w:divBdr>
    </w:div>
    <w:div w:id="1719671369">
      <w:bodyDiv w:val="1"/>
      <w:marLeft w:val="0"/>
      <w:marRight w:val="0"/>
      <w:marTop w:val="0"/>
      <w:marBottom w:val="0"/>
      <w:divBdr>
        <w:top w:val="none" w:sz="0" w:space="0" w:color="auto"/>
        <w:left w:val="none" w:sz="0" w:space="0" w:color="auto"/>
        <w:bottom w:val="none" w:sz="0" w:space="0" w:color="auto"/>
        <w:right w:val="none" w:sz="0" w:space="0" w:color="auto"/>
      </w:divBdr>
    </w:div>
    <w:div w:id="1720786731">
      <w:bodyDiv w:val="1"/>
      <w:marLeft w:val="0"/>
      <w:marRight w:val="0"/>
      <w:marTop w:val="0"/>
      <w:marBottom w:val="0"/>
      <w:divBdr>
        <w:top w:val="none" w:sz="0" w:space="0" w:color="auto"/>
        <w:left w:val="none" w:sz="0" w:space="0" w:color="auto"/>
        <w:bottom w:val="none" w:sz="0" w:space="0" w:color="auto"/>
        <w:right w:val="none" w:sz="0" w:space="0" w:color="auto"/>
      </w:divBdr>
    </w:div>
    <w:div w:id="1723288381">
      <w:bodyDiv w:val="1"/>
      <w:marLeft w:val="0"/>
      <w:marRight w:val="0"/>
      <w:marTop w:val="0"/>
      <w:marBottom w:val="0"/>
      <w:divBdr>
        <w:top w:val="none" w:sz="0" w:space="0" w:color="auto"/>
        <w:left w:val="none" w:sz="0" w:space="0" w:color="auto"/>
        <w:bottom w:val="none" w:sz="0" w:space="0" w:color="auto"/>
        <w:right w:val="none" w:sz="0" w:space="0" w:color="auto"/>
      </w:divBdr>
    </w:div>
    <w:div w:id="1726105312">
      <w:bodyDiv w:val="1"/>
      <w:marLeft w:val="0"/>
      <w:marRight w:val="0"/>
      <w:marTop w:val="0"/>
      <w:marBottom w:val="0"/>
      <w:divBdr>
        <w:top w:val="none" w:sz="0" w:space="0" w:color="auto"/>
        <w:left w:val="none" w:sz="0" w:space="0" w:color="auto"/>
        <w:bottom w:val="none" w:sz="0" w:space="0" w:color="auto"/>
        <w:right w:val="none" w:sz="0" w:space="0" w:color="auto"/>
      </w:divBdr>
    </w:div>
    <w:div w:id="1726177262">
      <w:bodyDiv w:val="1"/>
      <w:marLeft w:val="0"/>
      <w:marRight w:val="0"/>
      <w:marTop w:val="0"/>
      <w:marBottom w:val="0"/>
      <w:divBdr>
        <w:top w:val="none" w:sz="0" w:space="0" w:color="auto"/>
        <w:left w:val="none" w:sz="0" w:space="0" w:color="auto"/>
        <w:bottom w:val="none" w:sz="0" w:space="0" w:color="auto"/>
        <w:right w:val="none" w:sz="0" w:space="0" w:color="auto"/>
      </w:divBdr>
    </w:div>
    <w:div w:id="1726831080">
      <w:bodyDiv w:val="1"/>
      <w:marLeft w:val="0"/>
      <w:marRight w:val="0"/>
      <w:marTop w:val="0"/>
      <w:marBottom w:val="0"/>
      <w:divBdr>
        <w:top w:val="none" w:sz="0" w:space="0" w:color="auto"/>
        <w:left w:val="none" w:sz="0" w:space="0" w:color="auto"/>
        <w:bottom w:val="none" w:sz="0" w:space="0" w:color="auto"/>
        <w:right w:val="none" w:sz="0" w:space="0" w:color="auto"/>
      </w:divBdr>
    </w:div>
    <w:div w:id="1735078040">
      <w:bodyDiv w:val="1"/>
      <w:marLeft w:val="0"/>
      <w:marRight w:val="0"/>
      <w:marTop w:val="0"/>
      <w:marBottom w:val="0"/>
      <w:divBdr>
        <w:top w:val="none" w:sz="0" w:space="0" w:color="auto"/>
        <w:left w:val="none" w:sz="0" w:space="0" w:color="auto"/>
        <w:bottom w:val="none" w:sz="0" w:space="0" w:color="auto"/>
        <w:right w:val="none" w:sz="0" w:space="0" w:color="auto"/>
      </w:divBdr>
    </w:div>
    <w:div w:id="1735659959">
      <w:bodyDiv w:val="1"/>
      <w:marLeft w:val="0"/>
      <w:marRight w:val="0"/>
      <w:marTop w:val="0"/>
      <w:marBottom w:val="0"/>
      <w:divBdr>
        <w:top w:val="none" w:sz="0" w:space="0" w:color="auto"/>
        <w:left w:val="none" w:sz="0" w:space="0" w:color="auto"/>
        <w:bottom w:val="none" w:sz="0" w:space="0" w:color="auto"/>
        <w:right w:val="none" w:sz="0" w:space="0" w:color="auto"/>
      </w:divBdr>
    </w:div>
    <w:div w:id="1737044244">
      <w:bodyDiv w:val="1"/>
      <w:marLeft w:val="0"/>
      <w:marRight w:val="0"/>
      <w:marTop w:val="0"/>
      <w:marBottom w:val="0"/>
      <w:divBdr>
        <w:top w:val="none" w:sz="0" w:space="0" w:color="auto"/>
        <w:left w:val="none" w:sz="0" w:space="0" w:color="auto"/>
        <w:bottom w:val="none" w:sz="0" w:space="0" w:color="auto"/>
        <w:right w:val="none" w:sz="0" w:space="0" w:color="auto"/>
      </w:divBdr>
    </w:div>
    <w:div w:id="1740447196">
      <w:bodyDiv w:val="1"/>
      <w:marLeft w:val="0"/>
      <w:marRight w:val="0"/>
      <w:marTop w:val="0"/>
      <w:marBottom w:val="0"/>
      <w:divBdr>
        <w:top w:val="none" w:sz="0" w:space="0" w:color="auto"/>
        <w:left w:val="none" w:sz="0" w:space="0" w:color="auto"/>
        <w:bottom w:val="none" w:sz="0" w:space="0" w:color="auto"/>
        <w:right w:val="none" w:sz="0" w:space="0" w:color="auto"/>
      </w:divBdr>
    </w:div>
    <w:div w:id="1747846508">
      <w:bodyDiv w:val="1"/>
      <w:marLeft w:val="0"/>
      <w:marRight w:val="0"/>
      <w:marTop w:val="0"/>
      <w:marBottom w:val="0"/>
      <w:divBdr>
        <w:top w:val="none" w:sz="0" w:space="0" w:color="auto"/>
        <w:left w:val="none" w:sz="0" w:space="0" w:color="auto"/>
        <w:bottom w:val="none" w:sz="0" w:space="0" w:color="auto"/>
        <w:right w:val="none" w:sz="0" w:space="0" w:color="auto"/>
      </w:divBdr>
    </w:div>
    <w:div w:id="1748654374">
      <w:bodyDiv w:val="1"/>
      <w:marLeft w:val="0"/>
      <w:marRight w:val="0"/>
      <w:marTop w:val="0"/>
      <w:marBottom w:val="0"/>
      <w:divBdr>
        <w:top w:val="none" w:sz="0" w:space="0" w:color="auto"/>
        <w:left w:val="none" w:sz="0" w:space="0" w:color="auto"/>
        <w:bottom w:val="none" w:sz="0" w:space="0" w:color="auto"/>
        <w:right w:val="none" w:sz="0" w:space="0" w:color="auto"/>
      </w:divBdr>
    </w:div>
    <w:div w:id="1752001210">
      <w:bodyDiv w:val="1"/>
      <w:marLeft w:val="0"/>
      <w:marRight w:val="0"/>
      <w:marTop w:val="0"/>
      <w:marBottom w:val="0"/>
      <w:divBdr>
        <w:top w:val="none" w:sz="0" w:space="0" w:color="auto"/>
        <w:left w:val="none" w:sz="0" w:space="0" w:color="auto"/>
        <w:bottom w:val="none" w:sz="0" w:space="0" w:color="auto"/>
        <w:right w:val="none" w:sz="0" w:space="0" w:color="auto"/>
      </w:divBdr>
    </w:div>
    <w:div w:id="1758477593">
      <w:bodyDiv w:val="1"/>
      <w:marLeft w:val="0"/>
      <w:marRight w:val="0"/>
      <w:marTop w:val="0"/>
      <w:marBottom w:val="0"/>
      <w:divBdr>
        <w:top w:val="none" w:sz="0" w:space="0" w:color="auto"/>
        <w:left w:val="none" w:sz="0" w:space="0" w:color="auto"/>
        <w:bottom w:val="none" w:sz="0" w:space="0" w:color="auto"/>
        <w:right w:val="none" w:sz="0" w:space="0" w:color="auto"/>
      </w:divBdr>
    </w:div>
    <w:div w:id="1758936516">
      <w:bodyDiv w:val="1"/>
      <w:marLeft w:val="0"/>
      <w:marRight w:val="0"/>
      <w:marTop w:val="0"/>
      <w:marBottom w:val="0"/>
      <w:divBdr>
        <w:top w:val="none" w:sz="0" w:space="0" w:color="auto"/>
        <w:left w:val="none" w:sz="0" w:space="0" w:color="auto"/>
        <w:bottom w:val="none" w:sz="0" w:space="0" w:color="auto"/>
        <w:right w:val="none" w:sz="0" w:space="0" w:color="auto"/>
      </w:divBdr>
    </w:div>
    <w:div w:id="1761411297">
      <w:bodyDiv w:val="1"/>
      <w:marLeft w:val="0"/>
      <w:marRight w:val="0"/>
      <w:marTop w:val="0"/>
      <w:marBottom w:val="0"/>
      <w:divBdr>
        <w:top w:val="none" w:sz="0" w:space="0" w:color="auto"/>
        <w:left w:val="none" w:sz="0" w:space="0" w:color="auto"/>
        <w:bottom w:val="none" w:sz="0" w:space="0" w:color="auto"/>
        <w:right w:val="none" w:sz="0" w:space="0" w:color="auto"/>
      </w:divBdr>
    </w:div>
    <w:div w:id="1770151493">
      <w:bodyDiv w:val="1"/>
      <w:marLeft w:val="0"/>
      <w:marRight w:val="0"/>
      <w:marTop w:val="0"/>
      <w:marBottom w:val="0"/>
      <w:divBdr>
        <w:top w:val="none" w:sz="0" w:space="0" w:color="auto"/>
        <w:left w:val="none" w:sz="0" w:space="0" w:color="auto"/>
        <w:bottom w:val="none" w:sz="0" w:space="0" w:color="auto"/>
        <w:right w:val="none" w:sz="0" w:space="0" w:color="auto"/>
      </w:divBdr>
    </w:div>
    <w:div w:id="1770855072">
      <w:bodyDiv w:val="1"/>
      <w:marLeft w:val="0"/>
      <w:marRight w:val="0"/>
      <w:marTop w:val="0"/>
      <w:marBottom w:val="0"/>
      <w:divBdr>
        <w:top w:val="none" w:sz="0" w:space="0" w:color="auto"/>
        <w:left w:val="none" w:sz="0" w:space="0" w:color="auto"/>
        <w:bottom w:val="none" w:sz="0" w:space="0" w:color="auto"/>
        <w:right w:val="none" w:sz="0" w:space="0" w:color="auto"/>
      </w:divBdr>
    </w:div>
    <w:div w:id="1777408093">
      <w:bodyDiv w:val="1"/>
      <w:marLeft w:val="0"/>
      <w:marRight w:val="0"/>
      <w:marTop w:val="0"/>
      <w:marBottom w:val="0"/>
      <w:divBdr>
        <w:top w:val="none" w:sz="0" w:space="0" w:color="auto"/>
        <w:left w:val="none" w:sz="0" w:space="0" w:color="auto"/>
        <w:bottom w:val="none" w:sz="0" w:space="0" w:color="auto"/>
        <w:right w:val="none" w:sz="0" w:space="0" w:color="auto"/>
      </w:divBdr>
    </w:div>
    <w:div w:id="1777559022">
      <w:bodyDiv w:val="1"/>
      <w:marLeft w:val="0"/>
      <w:marRight w:val="0"/>
      <w:marTop w:val="0"/>
      <w:marBottom w:val="0"/>
      <w:divBdr>
        <w:top w:val="none" w:sz="0" w:space="0" w:color="auto"/>
        <w:left w:val="none" w:sz="0" w:space="0" w:color="auto"/>
        <w:bottom w:val="none" w:sz="0" w:space="0" w:color="auto"/>
        <w:right w:val="none" w:sz="0" w:space="0" w:color="auto"/>
      </w:divBdr>
    </w:div>
    <w:div w:id="1778016639">
      <w:bodyDiv w:val="1"/>
      <w:marLeft w:val="0"/>
      <w:marRight w:val="0"/>
      <w:marTop w:val="0"/>
      <w:marBottom w:val="0"/>
      <w:divBdr>
        <w:top w:val="none" w:sz="0" w:space="0" w:color="auto"/>
        <w:left w:val="none" w:sz="0" w:space="0" w:color="auto"/>
        <w:bottom w:val="none" w:sz="0" w:space="0" w:color="auto"/>
        <w:right w:val="none" w:sz="0" w:space="0" w:color="auto"/>
      </w:divBdr>
    </w:div>
    <w:div w:id="1779249767">
      <w:bodyDiv w:val="1"/>
      <w:marLeft w:val="0"/>
      <w:marRight w:val="0"/>
      <w:marTop w:val="0"/>
      <w:marBottom w:val="0"/>
      <w:divBdr>
        <w:top w:val="none" w:sz="0" w:space="0" w:color="auto"/>
        <w:left w:val="none" w:sz="0" w:space="0" w:color="auto"/>
        <w:bottom w:val="none" w:sz="0" w:space="0" w:color="auto"/>
        <w:right w:val="none" w:sz="0" w:space="0" w:color="auto"/>
      </w:divBdr>
    </w:div>
    <w:div w:id="1780101368">
      <w:bodyDiv w:val="1"/>
      <w:marLeft w:val="0"/>
      <w:marRight w:val="0"/>
      <w:marTop w:val="0"/>
      <w:marBottom w:val="0"/>
      <w:divBdr>
        <w:top w:val="none" w:sz="0" w:space="0" w:color="auto"/>
        <w:left w:val="none" w:sz="0" w:space="0" w:color="auto"/>
        <w:bottom w:val="none" w:sz="0" w:space="0" w:color="auto"/>
        <w:right w:val="none" w:sz="0" w:space="0" w:color="auto"/>
      </w:divBdr>
    </w:div>
    <w:div w:id="1781873906">
      <w:bodyDiv w:val="1"/>
      <w:marLeft w:val="0"/>
      <w:marRight w:val="0"/>
      <w:marTop w:val="0"/>
      <w:marBottom w:val="0"/>
      <w:divBdr>
        <w:top w:val="none" w:sz="0" w:space="0" w:color="auto"/>
        <w:left w:val="none" w:sz="0" w:space="0" w:color="auto"/>
        <w:bottom w:val="none" w:sz="0" w:space="0" w:color="auto"/>
        <w:right w:val="none" w:sz="0" w:space="0" w:color="auto"/>
      </w:divBdr>
    </w:div>
    <w:div w:id="1783185354">
      <w:bodyDiv w:val="1"/>
      <w:marLeft w:val="0"/>
      <w:marRight w:val="0"/>
      <w:marTop w:val="0"/>
      <w:marBottom w:val="0"/>
      <w:divBdr>
        <w:top w:val="none" w:sz="0" w:space="0" w:color="auto"/>
        <w:left w:val="none" w:sz="0" w:space="0" w:color="auto"/>
        <w:bottom w:val="none" w:sz="0" w:space="0" w:color="auto"/>
        <w:right w:val="none" w:sz="0" w:space="0" w:color="auto"/>
      </w:divBdr>
    </w:div>
    <w:div w:id="1784037313">
      <w:bodyDiv w:val="1"/>
      <w:marLeft w:val="0"/>
      <w:marRight w:val="0"/>
      <w:marTop w:val="0"/>
      <w:marBottom w:val="0"/>
      <w:divBdr>
        <w:top w:val="none" w:sz="0" w:space="0" w:color="auto"/>
        <w:left w:val="none" w:sz="0" w:space="0" w:color="auto"/>
        <w:bottom w:val="none" w:sz="0" w:space="0" w:color="auto"/>
        <w:right w:val="none" w:sz="0" w:space="0" w:color="auto"/>
      </w:divBdr>
    </w:div>
    <w:div w:id="1786920470">
      <w:bodyDiv w:val="1"/>
      <w:marLeft w:val="0"/>
      <w:marRight w:val="0"/>
      <w:marTop w:val="0"/>
      <w:marBottom w:val="0"/>
      <w:divBdr>
        <w:top w:val="none" w:sz="0" w:space="0" w:color="auto"/>
        <w:left w:val="none" w:sz="0" w:space="0" w:color="auto"/>
        <w:bottom w:val="none" w:sz="0" w:space="0" w:color="auto"/>
        <w:right w:val="none" w:sz="0" w:space="0" w:color="auto"/>
      </w:divBdr>
    </w:div>
    <w:div w:id="1787967797">
      <w:bodyDiv w:val="1"/>
      <w:marLeft w:val="0"/>
      <w:marRight w:val="0"/>
      <w:marTop w:val="0"/>
      <w:marBottom w:val="0"/>
      <w:divBdr>
        <w:top w:val="none" w:sz="0" w:space="0" w:color="auto"/>
        <w:left w:val="none" w:sz="0" w:space="0" w:color="auto"/>
        <w:bottom w:val="none" w:sz="0" w:space="0" w:color="auto"/>
        <w:right w:val="none" w:sz="0" w:space="0" w:color="auto"/>
      </w:divBdr>
    </w:div>
    <w:div w:id="1788037859">
      <w:bodyDiv w:val="1"/>
      <w:marLeft w:val="0"/>
      <w:marRight w:val="0"/>
      <w:marTop w:val="0"/>
      <w:marBottom w:val="0"/>
      <w:divBdr>
        <w:top w:val="none" w:sz="0" w:space="0" w:color="auto"/>
        <w:left w:val="none" w:sz="0" w:space="0" w:color="auto"/>
        <w:bottom w:val="none" w:sz="0" w:space="0" w:color="auto"/>
        <w:right w:val="none" w:sz="0" w:space="0" w:color="auto"/>
      </w:divBdr>
    </w:div>
    <w:div w:id="1791897982">
      <w:bodyDiv w:val="1"/>
      <w:marLeft w:val="0"/>
      <w:marRight w:val="0"/>
      <w:marTop w:val="0"/>
      <w:marBottom w:val="0"/>
      <w:divBdr>
        <w:top w:val="none" w:sz="0" w:space="0" w:color="auto"/>
        <w:left w:val="none" w:sz="0" w:space="0" w:color="auto"/>
        <w:bottom w:val="none" w:sz="0" w:space="0" w:color="auto"/>
        <w:right w:val="none" w:sz="0" w:space="0" w:color="auto"/>
      </w:divBdr>
    </w:div>
    <w:div w:id="1792744090">
      <w:bodyDiv w:val="1"/>
      <w:marLeft w:val="0"/>
      <w:marRight w:val="0"/>
      <w:marTop w:val="0"/>
      <w:marBottom w:val="0"/>
      <w:divBdr>
        <w:top w:val="none" w:sz="0" w:space="0" w:color="auto"/>
        <w:left w:val="none" w:sz="0" w:space="0" w:color="auto"/>
        <w:bottom w:val="none" w:sz="0" w:space="0" w:color="auto"/>
        <w:right w:val="none" w:sz="0" w:space="0" w:color="auto"/>
      </w:divBdr>
    </w:div>
    <w:div w:id="1793553811">
      <w:bodyDiv w:val="1"/>
      <w:marLeft w:val="0"/>
      <w:marRight w:val="0"/>
      <w:marTop w:val="0"/>
      <w:marBottom w:val="0"/>
      <w:divBdr>
        <w:top w:val="none" w:sz="0" w:space="0" w:color="auto"/>
        <w:left w:val="none" w:sz="0" w:space="0" w:color="auto"/>
        <w:bottom w:val="none" w:sz="0" w:space="0" w:color="auto"/>
        <w:right w:val="none" w:sz="0" w:space="0" w:color="auto"/>
      </w:divBdr>
    </w:div>
    <w:div w:id="1796755902">
      <w:bodyDiv w:val="1"/>
      <w:marLeft w:val="0"/>
      <w:marRight w:val="0"/>
      <w:marTop w:val="0"/>
      <w:marBottom w:val="0"/>
      <w:divBdr>
        <w:top w:val="none" w:sz="0" w:space="0" w:color="auto"/>
        <w:left w:val="none" w:sz="0" w:space="0" w:color="auto"/>
        <w:bottom w:val="none" w:sz="0" w:space="0" w:color="auto"/>
        <w:right w:val="none" w:sz="0" w:space="0" w:color="auto"/>
      </w:divBdr>
    </w:div>
    <w:div w:id="1797135635">
      <w:bodyDiv w:val="1"/>
      <w:marLeft w:val="0"/>
      <w:marRight w:val="0"/>
      <w:marTop w:val="0"/>
      <w:marBottom w:val="0"/>
      <w:divBdr>
        <w:top w:val="none" w:sz="0" w:space="0" w:color="auto"/>
        <w:left w:val="none" w:sz="0" w:space="0" w:color="auto"/>
        <w:bottom w:val="none" w:sz="0" w:space="0" w:color="auto"/>
        <w:right w:val="none" w:sz="0" w:space="0" w:color="auto"/>
      </w:divBdr>
    </w:div>
    <w:div w:id="1803424474">
      <w:bodyDiv w:val="1"/>
      <w:marLeft w:val="0"/>
      <w:marRight w:val="0"/>
      <w:marTop w:val="0"/>
      <w:marBottom w:val="0"/>
      <w:divBdr>
        <w:top w:val="none" w:sz="0" w:space="0" w:color="auto"/>
        <w:left w:val="none" w:sz="0" w:space="0" w:color="auto"/>
        <w:bottom w:val="none" w:sz="0" w:space="0" w:color="auto"/>
        <w:right w:val="none" w:sz="0" w:space="0" w:color="auto"/>
      </w:divBdr>
    </w:div>
    <w:div w:id="1804806728">
      <w:bodyDiv w:val="1"/>
      <w:marLeft w:val="0"/>
      <w:marRight w:val="0"/>
      <w:marTop w:val="0"/>
      <w:marBottom w:val="0"/>
      <w:divBdr>
        <w:top w:val="none" w:sz="0" w:space="0" w:color="auto"/>
        <w:left w:val="none" w:sz="0" w:space="0" w:color="auto"/>
        <w:bottom w:val="none" w:sz="0" w:space="0" w:color="auto"/>
        <w:right w:val="none" w:sz="0" w:space="0" w:color="auto"/>
      </w:divBdr>
    </w:div>
    <w:div w:id="1806847862">
      <w:bodyDiv w:val="1"/>
      <w:marLeft w:val="0"/>
      <w:marRight w:val="0"/>
      <w:marTop w:val="0"/>
      <w:marBottom w:val="0"/>
      <w:divBdr>
        <w:top w:val="none" w:sz="0" w:space="0" w:color="auto"/>
        <w:left w:val="none" w:sz="0" w:space="0" w:color="auto"/>
        <w:bottom w:val="none" w:sz="0" w:space="0" w:color="auto"/>
        <w:right w:val="none" w:sz="0" w:space="0" w:color="auto"/>
      </w:divBdr>
    </w:div>
    <w:div w:id="1810781807">
      <w:bodyDiv w:val="1"/>
      <w:marLeft w:val="0"/>
      <w:marRight w:val="0"/>
      <w:marTop w:val="0"/>
      <w:marBottom w:val="0"/>
      <w:divBdr>
        <w:top w:val="none" w:sz="0" w:space="0" w:color="auto"/>
        <w:left w:val="none" w:sz="0" w:space="0" w:color="auto"/>
        <w:bottom w:val="none" w:sz="0" w:space="0" w:color="auto"/>
        <w:right w:val="none" w:sz="0" w:space="0" w:color="auto"/>
      </w:divBdr>
    </w:div>
    <w:div w:id="1815684442">
      <w:bodyDiv w:val="1"/>
      <w:marLeft w:val="0"/>
      <w:marRight w:val="0"/>
      <w:marTop w:val="0"/>
      <w:marBottom w:val="0"/>
      <w:divBdr>
        <w:top w:val="none" w:sz="0" w:space="0" w:color="auto"/>
        <w:left w:val="none" w:sz="0" w:space="0" w:color="auto"/>
        <w:bottom w:val="none" w:sz="0" w:space="0" w:color="auto"/>
        <w:right w:val="none" w:sz="0" w:space="0" w:color="auto"/>
      </w:divBdr>
    </w:div>
    <w:div w:id="1819305435">
      <w:bodyDiv w:val="1"/>
      <w:marLeft w:val="0"/>
      <w:marRight w:val="0"/>
      <w:marTop w:val="0"/>
      <w:marBottom w:val="0"/>
      <w:divBdr>
        <w:top w:val="none" w:sz="0" w:space="0" w:color="auto"/>
        <w:left w:val="none" w:sz="0" w:space="0" w:color="auto"/>
        <w:bottom w:val="none" w:sz="0" w:space="0" w:color="auto"/>
        <w:right w:val="none" w:sz="0" w:space="0" w:color="auto"/>
      </w:divBdr>
    </w:div>
    <w:div w:id="1822843075">
      <w:bodyDiv w:val="1"/>
      <w:marLeft w:val="0"/>
      <w:marRight w:val="0"/>
      <w:marTop w:val="0"/>
      <w:marBottom w:val="0"/>
      <w:divBdr>
        <w:top w:val="none" w:sz="0" w:space="0" w:color="auto"/>
        <w:left w:val="none" w:sz="0" w:space="0" w:color="auto"/>
        <w:bottom w:val="none" w:sz="0" w:space="0" w:color="auto"/>
        <w:right w:val="none" w:sz="0" w:space="0" w:color="auto"/>
      </w:divBdr>
    </w:div>
    <w:div w:id="1824201381">
      <w:bodyDiv w:val="1"/>
      <w:marLeft w:val="0"/>
      <w:marRight w:val="0"/>
      <w:marTop w:val="0"/>
      <w:marBottom w:val="0"/>
      <w:divBdr>
        <w:top w:val="none" w:sz="0" w:space="0" w:color="auto"/>
        <w:left w:val="none" w:sz="0" w:space="0" w:color="auto"/>
        <w:bottom w:val="none" w:sz="0" w:space="0" w:color="auto"/>
        <w:right w:val="none" w:sz="0" w:space="0" w:color="auto"/>
      </w:divBdr>
    </w:div>
    <w:div w:id="1824396341">
      <w:bodyDiv w:val="1"/>
      <w:marLeft w:val="0"/>
      <w:marRight w:val="0"/>
      <w:marTop w:val="0"/>
      <w:marBottom w:val="0"/>
      <w:divBdr>
        <w:top w:val="none" w:sz="0" w:space="0" w:color="auto"/>
        <w:left w:val="none" w:sz="0" w:space="0" w:color="auto"/>
        <w:bottom w:val="none" w:sz="0" w:space="0" w:color="auto"/>
        <w:right w:val="none" w:sz="0" w:space="0" w:color="auto"/>
      </w:divBdr>
    </w:div>
    <w:div w:id="1827475502">
      <w:bodyDiv w:val="1"/>
      <w:marLeft w:val="0"/>
      <w:marRight w:val="0"/>
      <w:marTop w:val="0"/>
      <w:marBottom w:val="0"/>
      <w:divBdr>
        <w:top w:val="none" w:sz="0" w:space="0" w:color="auto"/>
        <w:left w:val="none" w:sz="0" w:space="0" w:color="auto"/>
        <w:bottom w:val="none" w:sz="0" w:space="0" w:color="auto"/>
        <w:right w:val="none" w:sz="0" w:space="0" w:color="auto"/>
      </w:divBdr>
    </w:div>
    <w:div w:id="1828593583">
      <w:bodyDiv w:val="1"/>
      <w:marLeft w:val="0"/>
      <w:marRight w:val="0"/>
      <w:marTop w:val="0"/>
      <w:marBottom w:val="0"/>
      <w:divBdr>
        <w:top w:val="none" w:sz="0" w:space="0" w:color="auto"/>
        <w:left w:val="none" w:sz="0" w:space="0" w:color="auto"/>
        <w:bottom w:val="none" w:sz="0" w:space="0" w:color="auto"/>
        <w:right w:val="none" w:sz="0" w:space="0" w:color="auto"/>
      </w:divBdr>
    </w:div>
    <w:div w:id="1836605892">
      <w:bodyDiv w:val="1"/>
      <w:marLeft w:val="0"/>
      <w:marRight w:val="0"/>
      <w:marTop w:val="0"/>
      <w:marBottom w:val="0"/>
      <w:divBdr>
        <w:top w:val="none" w:sz="0" w:space="0" w:color="auto"/>
        <w:left w:val="none" w:sz="0" w:space="0" w:color="auto"/>
        <w:bottom w:val="none" w:sz="0" w:space="0" w:color="auto"/>
        <w:right w:val="none" w:sz="0" w:space="0" w:color="auto"/>
      </w:divBdr>
    </w:div>
    <w:div w:id="1837915365">
      <w:bodyDiv w:val="1"/>
      <w:marLeft w:val="0"/>
      <w:marRight w:val="0"/>
      <w:marTop w:val="0"/>
      <w:marBottom w:val="0"/>
      <w:divBdr>
        <w:top w:val="none" w:sz="0" w:space="0" w:color="auto"/>
        <w:left w:val="none" w:sz="0" w:space="0" w:color="auto"/>
        <w:bottom w:val="none" w:sz="0" w:space="0" w:color="auto"/>
        <w:right w:val="none" w:sz="0" w:space="0" w:color="auto"/>
      </w:divBdr>
    </w:div>
    <w:div w:id="1838885689">
      <w:bodyDiv w:val="1"/>
      <w:marLeft w:val="0"/>
      <w:marRight w:val="0"/>
      <w:marTop w:val="0"/>
      <w:marBottom w:val="0"/>
      <w:divBdr>
        <w:top w:val="none" w:sz="0" w:space="0" w:color="auto"/>
        <w:left w:val="none" w:sz="0" w:space="0" w:color="auto"/>
        <w:bottom w:val="none" w:sz="0" w:space="0" w:color="auto"/>
        <w:right w:val="none" w:sz="0" w:space="0" w:color="auto"/>
      </w:divBdr>
    </w:div>
    <w:div w:id="1849710021">
      <w:bodyDiv w:val="1"/>
      <w:marLeft w:val="0"/>
      <w:marRight w:val="0"/>
      <w:marTop w:val="0"/>
      <w:marBottom w:val="0"/>
      <w:divBdr>
        <w:top w:val="none" w:sz="0" w:space="0" w:color="auto"/>
        <w:left w:val="none" w:sz="0" w:space="0" w:color="auto"/>
        <w:bottom w:val="none" w:sz="0" w:space="0" w:color="auto"/>
        <w:right w:val="none" w:sz="0" w:space="0" w:color="auto"/>
      </w:divBdr>
    </w:div>
    <w:div w:id="1850291945">
      <w:bodyDiv w:val="1"/>
      <w:marLeft w:val="0"/>
      <w:marRight w:val="0"/>
      <w:marTop w:val="0"/>
      <w:marBottom w:val="0"/>
      <w:divBdr>
        <w:top w:val="none" w:sz="0" w:space="0" w:color="auto"/>
        <w:left w:val="none" w:sz="0" w:space="0" w:color="auto"/>
        <w:bottom w:val="none" w:sz="0" w:space="0" w:color="auto"/>
        <w:right w:val="none" w:sz="0" w:space="0" w:color="auto"/>
      </w:divBdr>
    </w:div>
    <w:div w:id="1852378608">
      <w:bodyDiv w:val="1"/>
      <w:marLeft w:val="0"/>
      <w:marRight w:val="0"/>
      <w:marTop w:val="0"/>
      <w:marBottom w:val="0"/>
      <w:divBdr>
        <w:top w:val="none" w:sz="0" w:space="0" w:color="auto"/>
        <w:left w:val="none" w:sz="0" w:space="0" w:color="auto"/>
        <w:bottom w:val="none" w:sz="0" w:space="0" w:color="auto"/>
        <w:right w:val="none" w:sz="0" w:space="0" w:color="auto"/>
      </w:divBdr>
    </w:div>
    <w:div w:id="1854565862">
      <w:bodyDiv w:val="1"/>
      <w:marLeft w:val="0"/>
      <w:marRight w:val="0"/>
      <w:marTop w:val="0"/>
      <w:marBottom w:val="0"/>
      <w:divBdr>
        <w:top w:val="none" w:sz="0" w:space="0" w:color="auto"/>
        <w:left w:val="none" w:sz="0" w:space="0" w:color="auto"/>
        <w:bottom w:val="none" w:sz="0" w:space="0" w:color="auto"/>
        <w:right w:val="none" w:sz="0" w:space="0" w:color="auto"/>
      </w:divBdr>
    </w:div>
    <w:div w:id="1855458027">
      <w:bodyDiv w:val="1"/>
      <w:marLeft w:val="0"/>
      <w:marRight w:val="0"/>
      <w:marTop w:val="0"/>
      <w:marBottom w:val="0"/>
      <w:divBdr>
        <w:top w:val="none" w:sz="0" w:space="0" w:color="auto"/>
        <w:left w:val="none" w:sz="0" w:space="0" w:color="auto"/>
        <w:bottom w:val="none" w:sz="0" w:space="0" w:color="auto"/>
        <w:right w:val="none" w:sz="0" w:space="0" w:color="auto"/>
      </w:divBdr>
    </w:div>
    <w:div w:id="1863083552">
      <w:bodyDiv w:val="1"/>
      <w:marLeft w:val="0"/>
      <w:marRight w:val="0"/>
      <w:marTop w:val="0"/>
      <w:marBottom w:val="0"/>
      <w:divBdr>
        <w:top w:val="none" w:sz="0" w:space="0" w:color="auto"/>
        <w:left w:val="none" w:sz="0" w:space="0" w:color="auto"/>
        <w:bottom w:val="none" w:sz="0" w:space="0" w:color="auto"/>
        <w:right w:val="none" w:sz="0" w:space="0" w:color="auto"/>
      </w:divBdr>
    </w:div>
    <w:div w:id="1864436464">
      <w:bodyDiv w:val="1"/>
      <w:marLeft w:val="0"/>
      <w:marRight w:val="0"/>
      <w:marTop w:val="0"/>
      <w:marBottom w:val="0"/>
      <w:divBdr>
        <w:top w:val="none" w:sz="0" w:space="0" w:color="auto"/>
        <w:left w:val="none" w:sz="0" w:space="0" w:color="auto"/>
        <w:bottom w:val="none" w:sz="0" w:space="0" w:color="auto"/>
        <w:right w:val="none" w:sz="0" w:space="0" w:color="auto"/>
      </w:divBdr>
    </w:div>
    <w:div w:id="1864708573">
      <w:bodyDiv w:val="1"/>
      <w:marLeft w:val="0"/>
      <w:marRight w:val="0"/>
      <w:marTop w:val="0"/>
      <w:marBottom w:val="0"/>
      <w:divBdr>
        <w:top w:val="none" w:sz="0" w:space="0" w:color="auto"/>
        <w:left w:val="none" w:sz="0" w:space="0" w:color="auto"/>
        <w:bottom w:val="none" w:sz="0" w:space="0" w:color="auto"/>
        <w:right w:val="none" w:sz="0" w:space="0" w:color="auto"/>
      </w:divBdr>
    </w:div>
    <w:div w:id="1871650040">
      <w:bodyDiv w:val="1"/>
      <w:marLeft w:val="0"/>
      <w:marRight w:val="0"/>
      <w:marTop w:val="0"/>
      <w:marBottom w:val="0"/>
      <w:divBdr>
        <w:top w:val="none" w:sz="0" w:space="0" w:color="auto"/>
        <w:left w:val="none" w:sz="0" w:space="0" w:color="auto"/>
        <w:bottom w:val="none" w:sz="0" w:space="0" w:color="auto"/>
        <w:right w:val="none" w:sz="0" w:space="0" w:color="auto"/>
      </w:divBdr>
    </w:div>
    <w:div w:id="1876650404">
      <w:bodyDiv w:val="1"/>
      <w:marLeft w:val="0"/>
      <w:marRight w:val="0"/>
      <w:marTop w:val="0"/>
      <w:marBottom w:val="0"/>
      <w:divBdr>
        <w:top w:val="none" w:sz="0" w:space="0" w:color="auto"/>
        <w:left w:val="none" w:sz="0" w:space="0" w:color="auto"/>
        <w:bottom w:val="none" w:sz="0" w:space="0" w:color="auto"/>
        <w:right w:val="none" w:sz="0" w:space="0" w:color="auto"/>
      </w:divBdr>
    </w:div>
    <w:div w:id="1882284259">
      <w:bodyDiv w:val="1"/>
      <w:marLeft w:val="0"/>
      <w:marRight w:val="0"/>
      <w:marTop w:val="0"/>
      <w:marBottom w:val="0"/>
      <w:divBdr>
        <w:top w:val="none" w:sz="0" w:space="0" w:color="auto"/>
        <w:left w:val="none" w:sz="0" w:space="0" w:color="auto"/>
        <w:bottom w:val="none" w:sz="0" w:space="0" w:color="auto"/>
        <w:right w:val="none" w:sz="0" w:space="0" w:color="auto"/>
      </w:divBdr>
    </w:div>
    <w:div w:id="1886063313">
      <w:bodyDiv w:val="1"/>
      <w:marLeft w:val="0"/>
      <w:marRight w:val="0"/>
      <w:marTop w:val="0"/>
      <w:marBottom w:val="0"/>
      <w:divBdr>
        <w:top w:val="none" w:sz="0" w:space="0" w:color="auto"/>
        <w:left w:val="none" w:sz="0" w:space="0" w:color="auto"/>
        <w:bottom w:val="none" w:sz="0" w:space="0" w:color="auto"/>
        <w:right w:val="none" w:sz="0" w:space="0" w:color="auto"/>
      </w:divBdr>
    </w:div>
    <w:div w:id="1887137879">
      <w:bodyDiv w:val="1"/>
      <w:marLeft w:val="0"/>
      <w:marRight w:val="0"/>
      <w:marTop w:val="0"/>
      <w:marBottom w:val="0"/>
      <w:divBdr>
        <w:top w:val="none" w:sz="0" w:space="0" w:color="auto"/>
        <w:left w:val="none" w:sz="0" w:space="0" w:color="auto"/>
        <w:bottom w:val="none" w:sz="0" w:space="0" w:color="auto"/>
        <w:right w:val="none" w:sz="0" w:space="0" w:color="auto"/>
      </w:divBdr>
    </w:div>
    <w:div w:id="1888839114">
      <w:bodyDiv w:val="1"/>
      <w:marLeft w:val="0"/>
      <w:marRight w:val="0"/>
      <w:marTop w:val="0"/>
      <w:marBottom w:val="0"/>
      <w:divBdr>
        <w:top w:val="none" w:sz="0" w:space="0" w:color="auto"/>
        <w:left w:val="none" w:sz="0" w:space="0" w:color="auto"/>
        <w:bottom w:val="none" w:sz="0" w:space="0" w:color="auto"/>
        <w:right w:val="none" w:sz="0" w:space="0" w:color="auto"/>
      </w:divBdr>
    </w:div>
    <w:div w:id="1889030983">
      <w:bodyDiv w:val="1"/>
      <w:marLeft w:val="0"/>
      <w:marRight w:val="0"/>
      <w:marTop w:val="0"/>
      <w:marBottom w:val="0"/>
      <w:divBdr>
        <w:top w:val="none" w:sz="0" w:space="0" w:color="auto"/>
        <w:left w:val="none" w:sz="0" w:space="0" w:color="auto"/>
        <w:bottom w:val="none" w:sz="0" w:space="0" w:color="auto"/>
        <w:right w:val="none" w:sz="0" w:space="0" w:color="auto"/>
      </w:divBdr>
    </w:div>
    <w:div w:id="1892109656">
      <w:bodyDiv w:val="1"/>
      <w:marLeft w:val="0"/>
      <w:marRight w:val="0"/>
      <w:marTop w:val="0"/>
      <w:marBottom w:val="0"/>
      <w:divBdr>
        <w:top w:val="none" w:sz="0" w:space="0" w:color="auto"/>
        <w:left w:val="none" w:sz="0" w:space="0" w:color="auto"/>
        <w:bottom w:val="none" w:sz="0" w:space="0" w:color="auto"/>
        <w:right w:val="none" w:sz="0" w:space="0" w:color="auto"/>
      </w:divBdr>
    </w:div>
    <w:div w:id="1893615236">
      <w:bodyDiv w:val="1"/>
      <w:marLeft w:val="0"/>
      <w:marRight w:val="0"/>
      <w:marTop w:val="0"/>
      <w:marBottom w:val="0"/>
      <w:divBdr>
        <w:top w:val="none" w:sz="0" w:space="0" w:color="auto"/>
        <w:left w:val="none" w:sz="0" w:space="0" w:color="auto"/>
        <w:bottom w:val="none" w:sz="0" w:space="0" w:color="auto"/>
        <w:right w:val="none" w:sz="0" w:space="0" w:color="auto"/>
      </w:divBdr>
    </w:div>
    <w:div w:id="1895702452">
      <w:bodyDiv w:val="1"/>
      <w:marLeft w:val="0"/>
      <w:marRight w:val="0"/>
      <w:marTop w:val="0"/>
      <w:marBottom w:val="0"/>
      <w:divBdr>
        <w:top w:val="none" w:sz="0" w:space="0" w:color="auto"/>
        <w:left w:val="none" w:sz="0" w:space="0" w:color="auto"/>
        <w:bottom w:val="none" w:sz="0" w:space="0" w:color="auto"/>
        <w:right w:val="none" w:sz="0" w:space="0" w:color="auto"/>
      </w:divBdr>
    </w:div>
    <w:div w:id="1896577183">
      <w:bodyDiv w:val="1"/>
      <w:marLeft w:val="0"/>
      <w:marRight w:val="0"/>
      <w:marTop w:val="0"/>
      <w:marBottom w:val="0"/>
      <w:divBdr>
        <w:top w:val="none" w:sz="0" w:space="0" w:color="auto"/>
        <w:left w:val="none" w:sz="0" w:space="0" w:color="auto"/>
        <w:bottom w:val="none" w:sz="0" w:space="0" w:color="auto"/>
        <w:right w:val="none" w:sz="0" w:space="0" w:color="auto"/>
      </w:divBdr>
    </w:div>
    <w:div w:id="1896698328">
      <w:bodyDiv w:val="1"/>
      <w:marLeft w:val="0"/>
      <w:marRight w:val="0"/>
      <w:marTop w:val="0"/>
      <w:marBottom w:val="0"/>
      <w:divBdr>
        <w:top w:val="none" w:sz="0" w:space="0" w:color="auto"/>
        <w:left w:val="none" w:sz="0" w:space="0" w:color="auto"/>
        <w:bottom w:val="none" w:sz="0" w:space="0" w:color="auto"/>
        <w:right w:val="none" w:sz="0" w:space="0" w:color="auto"/>
      </w:divBdr>
    </w:div>
    <w:div w:id="1897087981">
      <w:bodyDiv w:val="1"/>
      <w:marLeft w:val="0"/>
      <w:marRight w:val="0"/>
      <w:marTop w:val="0"/>
      <w:marBottom w:val="0"/>
      <w:divBdr>
        <w:top w:val="none" w:sz="0" w:space="0" w:color="auto"/>
        <w:left w:val="none" w:sz="0" w:space="0" w:color="auto"/>
        <w:bottom w:val="none" w:sz="0" w:space="0" w:color="auto"/>
        <w:right w:val="none" w:sz="0" w:space="0" w:color="auto"/>
      </w:divBdr>
    </w:div>
    <w:div w:id="1897423623">
      <w:bodyDiv w:val="1"/>
      <w:marLeft w:val="0"/>
      <w:marRight w:val="0"/>
      <w:marTop w:val="0"/>
      <w:marBottom w:val="0"/>
      <w:divBdr>
        <w:top w:val="none" w:sz="0" w:space="0" w:color="auto"/>
        <w:left w:val="none" w:sz="0" w:space="0" w:color="auto"/>
        <w:bottom w:val="none" w:sz="0" w:space="0" w:color="auto"/>
        <w:right w:val="none" w:sz="0" w:space="0" w:color="auto"/>
      </w:divBdr>
    </w:div>
    <w:div w:id="1904291187">
      <w:bodyDiv w:val="1"/>
      <w:marLeft w:val="0"/>
      <w:marRight w:val="0"/>
      <w:marTop w:val="0"/>
      <w:marBottom w:val="0"/>
      <w:divBdr>
        <w:top w:val="none" w:sz="0" w:space="0" w:color="auto"/>
        <w:left w:val="none" w:sz="0" w:space="0" w:color="auto"/>
        <w:bottom w:val="none" w:sz="0" w:space="0" w:color="auto"/>
        <w:right w:val="none" w:sz="0" w:space="0" w:color="auto"/>
      </w:divBdr>
    </w:div>
    <w:div w:id="1907299809">
      <w:bodyDiv w:val="1"/>
      <w:marLeft w:val="0"/>
      <w:marRight w:val="0"/>
      <w:marTop w:val="0"/>
      <w:marBottom w:val="0"/>
      <w:divBdr>
        <w:top w:val="none" w:sz="0" w:space="0" w:color="auto"/>
        <w:left w:val="none" w:sz="0" w:space="0" w:color="auto"/>
        <w:bottom w:val="none" w:sz="0" w:space="0" w:color="auto"/>
        <w:right w:val="none" w:sz="0" w:space="0" w:color="auto"/>
      </w:divBdr>
    </w:div>
    <w:div w:id="1907955705">
      <w:bodyDiv w:val="1"/>
      <w:marLeft w:val="0"/>
      <w:marRight w:val="0"/>
      <w:marTop w:val="0"/>
      <w:marBottom w:val="0"/>
      <w:divBdr>
        <w:top w:val="none" w:sz="0" w:space="0" w:color="auto"/>
        <w:left w:val="none" w:sz="0" w:space="0" w:color="auto"/>
        <w:bottom w:val="none" w:sz="0" w:space="0" w:color="auto"/>
        <w:right w:val="none" w:sz="0" w:space="0" w:color="auto"/>
      </w:divBdr>
    </w:div>
    <w:div w:id="1908030164">
      <w:bodyDiv w:val="1"/>
      <w:marLeft w:val="0"/>
      <w:marRight w:val="0"/>
      <w:marTop w:val="0"/>
      <w:marBottom w:val="0"/>
      <w:divBdr>
        <w:top w:val="none" w:sz="0" w:space="0" w:color="auto"/>
        <w:left w:val="none" w:sz="0" w:space="0" w:color="auto"/>
        <w:bottom w:val="none" w:sz="0" w:space="0" w:color="auto"/>
        <w:right w:val="none" w:sz="0" w:space="0" w:color="auto"/>
      </w:divBdr>
    </w:div>
    <w:div w:id="1908496503">
      <w:bodyDiv w:val="1"/>
      <w:marLeft w:val="0"/>
      <w:marRight w:val="0"/>
      <w:marTop w:val="0"/>
      <w:marBottom w:val="0"/>
      <w:divBdr>
        <w:top w:val="none" w:sz="0" w:space="0" w:color="auto"/>
        <w:left w:val="none" w:sz="0" w:space="0" w:color="auto"/>
        <w:bottom w:val="none" w:sz="0" w:space="0" w:color="auto"/>
        <w:right w:val="none" w:sz="0" w:space="0" w:color="auto"/>
      </w:divBdr>
    </w:div>
    <w:div w:id="1909067854">
      <w:bodyDiv w:val="1"/>
      <w:marLeft w:val="0"/>
      <w:marRight w:val="0"/>
      <w:marTop w:val="0"/>
      <w:marBottom w:val="0"/>
      <w:divBdr>
        <w:top w:val="none" w:sz="0" w:space="0" w:color="auto"/>
        <w:left w:val="none" w:sz="0" w:space="0" w:color="auto"/>
        <w:bottom w:val="none" w:sz="0" w:space="0" w:color="auto"/>
        <w:right w:val="none" w:sz="0" w:space="0" w:color="auto"/>
      </w:divBdr>
    </w:div>
    <w:div w:id="1911423580">
      <w:bodyDiv w:val="1"/>
      <w:marLeft w:val="0"/>
      <w:marRight w:val="0"/>
      <w:marTop w:val="0"/>
      <w:marBottom w:val="0"/>
      <w:divBdr>
        <w:top w:val="none" w:sz="0" w:space="0" w:color="auto"/>
        <w:left w:val="none" w:sz="0" w:space="0" w:color="auto"/>
        <w:bottom w:val="none" w:sz="0" w:space="0" w:color="auto"/>
        <w:right w:val="none" w:sz="0" w:space="0" w:color="auto"/>
      </w:divBdr>
    </w:div>
    <w:div w:id="1912038701">
      <w:bodyDiv w:val="1"/>
      <w:marLeft w:val="0"/>
      <w:marRight w:val="0"/>
      <w:marTop w:val="0"/>
      <w:marBottom w:val="0"/>
      <w:divBdr>
        <w:top w:val="none" w:sz="0" w:space="0" w:color="auto"/>
        <w:left w:val="none" w:sz="0" w:space="0" w:color="auto"/>
        <w:bottom w:val="none" w:sz="0" w:space="0" w:color="auto"/>
        <w:right w:val="none" w:sz="0" w:space="0" w:color="auto"/>
      </w:divBdr>
    </w:div>
    <w:div w:id="1912346310">
      <w:bodyDiv w:val="1"/>
      <w:marLeft w:val="0"/>
      <w:marRight w:val="0"/>
      <w:marTop w:val="0"/>
      <w:marBottom w:val="0"/>
      <w:divBdr>
        <w:top w:val="none" w:sz="0" w:space="0" w:color="auto"/>
        <w:left w:val="none" w:sz="0" w:space="0" w:color="auto"/>
        <w:bottom w:val="none" w:sz="0" w:space="0" w:color="auto"/>
        <w:right w:val="none" w:sz="0" w:space="0" w:color="auto"/>
      </w:divBdr>
    </w:div>
    <w:div w:id="1914847765">
      <w:bodyDiv w:val="1"/>
      <w:marLeft w:val="0"/>
      <w:marRight w:val="0"/>
      <w:marTop w:val="0"/>
      <w:marBottom w:val="0"/>
      <w:divBdr>
        <w:top w:val="none" w:sz="0" w:space="0" w:color="auto"/>
        <w:left w:val="none" w:sz="0" w:space="0" w:color="auto"/>
        <w:bottom w:val="none" w:sz="0" w:space="0" w:color="auto"/>
        <w:right w:val="none" w:sz="0" w:space="0" w:color="auto"/>
      </w:divBdr>
    </w:div>
    <w:div w:id="1915698441">
      <w:bodyDiv w:val="1"/>
      <w:marLeft w:val="0"/>
      <w:marRight w:val="0"/>
      <w:marTop w:val="0"/>
      <w:marBottom w:val="0"/>
      <w:divBdr>
        <w:top w:val="none" w:sz="0" w:space="0" w:color="auto"/>
        <w:left w:val="none" w:sz="0" w:space="0" w:color="auto"/>
        <w:bottom w:val="none" w:sz="0" w:space="0" w:color="auto"/>
        <w:right w:val="none" w:sz="0" w:space="0" w:color="auto"/>
      </w:divBdr>
    </w:div>
    <w:div w:id="1917548306">
      <w:bodyDiv w:val="1"/>
      <w:marLeft w:val="0"/>
      <w:marRight w:val="0"/>
      <w:marTop w:val="0"/>
      <w:marBottom w:val="0"/>
      <w:divBdr>
        <w:top w:val="none" w:sz="0" w:space="0" w:color="auto"/>
        <w:left w:val="none" w:sz="0" w:space="0" w:color="auto"/>
        <w:bottom w:val="none" w:sz="0" w:space="0" w:color="auto"/>
        <w:right w:val="none" w:sz="0" w:space="0" w:color="auto"/>
      </w:divBdr>
    </w:div>
    <w:div w:id="1920825665">
      <w:bodyDiv w:val="1"/>
      <w:marLeft w:val="0"/>
      <w:marRight w:val="0"/>
      <w:marTop w:val="0"/>
      <w:marBottom w:val="0"/>
      <w:divBdr>
        <w:top w:val="none" w:sz="0" w:space="0" w:color="auto"/>
        <w:left w:val="none" w:sz="0" w:space="0" w:color="auto"/>
        <w:bottom w:val="none" w:sz="0" w:space="0" w:color="auto"/>
        <w:right w:val="none" w:sz="0" w:space="0" w:color="auto"/>
      </w:divBdr>
    </w:div>
    <w:div w:id="1921215965">
      <w:bodyDiv w:val="1"/>
      <w:marLeft w:val="0"/>
      <w:marRight w:val="0"/>
      <w:marTop w:val="0"/>
      <w:marBottom w:val="0"/>
      <w:divBdr>
        <w:top w:val="none" w:sz="0" w:space="0" w:color="auto"/>
        <w:left w:val="none" w:sz="0" w:space="0" w:color="auto"/>
        <w:bottom w:val="none" w:sz="0" w:space="0" w:color="auto"/>
        <w:right w:val="none" w:sz="0" w:space="0" w:color="auto"/>
      </w:divBdr>
    </w:div>
    <w:div w:id="1924607512">
      <w:bodyDiv w:val="1"/>
      <w:marLeft w:val="0"/>
      <w:marRight w:val="0"/>
      <w:marTop w:val="0"/>
      <w:marBottom w:val="0"/>
      <w:divBdr>
        <w:top w:val="none" w:sz="0" w:space="0" w:color="auto"/>
        <w:left w:val="none" w:sz="0" w:space="0" w:color="auto"/>
        <w:bottom w:val="none" w:sz="0" w:space="0" w:color="auto"/>
        <w:right w:val="none" w:sz="0" w:space="0" w:color="auto"/>
      </w:divBdr>
    </w:div>
    <w:div w:id="1930697838">
      <w:bodyDiv w:val="1"/>
      <w:marLeft w:val="0"/>
      <w:marRight w:val="0"/>
      <w:marTop w:val="0"/>
      <w:marBottom w:val="0"/>
      <w:divBdr>
        <w:top w:val="none" w:sz="0" w:space="0" w:color="auto"/>
        <w:left w:val="none" w:sz="0" w:space="0" w:color="auto"/>
        <w:bottom w:val="none" w:sz="0" w:space="0" w:color="auto"/>
        <w:right w:val="none" w:sz="0" w:space="0" w:color="auto"/>
      </w:divBdr>
    </w:div>
    <w:div w:id="1931307962">
      <w:bodyDiv w:val="1"/>
      <w:marLeft w:val="0"/>
      <w:marRight w:val="0"/>
      <w:marTop w:val="0"/>
      <w:marBottom w:val="0"/>
      <w:divBdr>
        <w:top w:val="none" w:sz="0" w:space="0" w:color="auto"/>
        <w:left w:val="none" w:sz="0" w:space="0" w:color="auto"/>
        <w:bottom w:val="none" w:sz="0" w:space="0" w:color="auto"/>
        <w:right w:val="none" w:sz="0" w:space="0" w:color="auto"/>
      </w:divBdr>
    </w:div>
    <w:div w:id="1932622220">
      <w:bodyDiv w:val="1"/>
      <w:marLeft w:val="0"/>
      <w:marRight w:val="0"/>
      <w:marTop w:val="0"/>
      <w:marBottom w:val="0"/>
      <w:divBdr>
        <w:top w:val="none" w:sz="0" w:space="0" w:color="auto"/>
        <w:left w:val="none" w:sz="0" w:space="0" w:color="auto"/>
        <w:bottom w:val="none" w:sz="0" w:space="0" w:color="auto"/>
        <w:right w:val="none" w:sz="0" w:space="0" w:color="auto"/>
      </w:divBdr>
    </w:div>
    <w:div w:id="1937253378">
      <w:bodyDiv w:val="1"/>
      <w:marLeft w:val="0"/>
      <w:marRight w:val="0"/>
      <w:marTop w:val="0"/>
      <w:marBottom w:val="0"/>
      <w:divBdr>
        <w:top w:val="none" w:sz="0" w:space="0" w:color="auto"/>
        <w:left w:val="none" w:sz="0" w:space="0" w:color="auto"/>
        <w:bottom w:val="none" w:sz="0" w:space="0" w:color="auto"/>
        <w:right w:val="none" w:sz="0" w:space="0" w:color="auto"/>
      </w:divBdr>
    </w:div>
    <w:div w:id="1940063925">
      <w:bodyDiv w:val="1"/>
      <w:marLeft w:val="0"/>
      <w:marRight w:val="0"/>
      <w:marTop w:val="0"/>
      <w:marBottom w:val="0"/>
      <w:divBdr>
        <w:top w:val="none" w:sz="0" w:space="0" w:color="auto"/>
        <w:left w:val="none" w:sz="0" w:space="0" w:color="auto"/>
        <w:bottom w:val="none" w:sz="0" w:space="0" w:color="auto"/>
        <w:right w:val="none" w:sz="0" w:space="0" w:color="auto"/>
      </w:divBdr>
    </w:div>
    <w:div w:id="1947692657">
      <w:bodyDiv w:val="1"/>
      <w:marLeft w:val="0"/>
      <w:marRight w:val="0"/>
      <w:marTop w:val="0"/>
      <w:marBottom w:val="0"/>
      <w:divBdr>
        <w:top w:val="none" w:sz="0" w:space="0" w:color="auto"/>
        <w:left w:val="none" w:sz="0" w:space="0" w:color="auto"/>
        <w:bottom w:val="none" w:sz="0" w:space="0" w:color="auto"/>
        <w:right w:val="none" w:sz="0" w:space="0" w:color="auto"/>
      </w:divBdr>
    </w:div>
    <w:div w:id="1949501493">
      <w:bodyDiv w:val="1"/>
      <w:marLeft w:val="0"/>
      <w:marRight w:val="0"/>
      <w:marTop w:val="0"/>
      <w:marBottom w:val="0"/>
      <w:divBdr>
        <w:top w:val="none" w:sz="0" w:space="0" w:color="auto"/>
        <w:left w:val="none" w:sz="0" w:space="0" w:color="auto"/>
        <w:bottom w:val="none" w:sz="0" w:space="0" w:color="auto"/>
        <w:right w:val="none" w:sz="0" w:space="0" w:color="auto"/>
      </w:divBdr>
    </w:div>
    <w:div w:id="1953704098">
      <w:bodyDiv w:val="1"/>
      <w:marLeft w:val="0"/>
      <w:marRight w:val="0"/>
      <w:marTop w:val="0"/>
      <w:marBottom w:val="0"/>
      <w:divBdr>
        <w:top w:val="none" w:sz="0" w:space="0" w:color="auto"/>
        <w:left w:val="none" w:sz="0" w:space="0" w:color="auto"/>
        <w:bottom w:val="none" w:sz="0" w:space="0" w:color="auto"/>
        <w:right w:val="none" w:sz="0" w:space="0" w:color="auto"/>
      </w:divBdr>
    </w:div>
    <w:div w:id="1955749504">
      <w:bodyDiv w:val="1"/>
      <w:marLeft w:val="0"/>
      <w:marRight w:val="0"/>
      <w:marTop w:val="0"/>
      <w:marBottom w:val="0"/>
      <w:divBdr>
        <w:top w:val="none" w:sz="0" w:space="0" w:color="auto"/>
        <w:left w:val="none" w:sz="0" w:space="0" w:color="auto"/>
        <w:bottom w:val="none" w:sz="0" w:space="0" w:color="auto"/>
        <w:right w:val="none" w:sz="0" w:space="0" w:color="auto"/>
      </w:divBdr>
    </w:div>
    <w:div w:id="1959218043">
      <w:bodyDiv w:val="1"/>
      <w:marLeft w:val="0"/>
      <w:marRight w:val="0"/>
      <w:marTop w:val="0"/>
      <w:marBottom w:val="0"/>
      <w:divBdr>
        <w:top w:val="none" w:sz="0" w:space="0" w:color="auto"/>
        <w:left w:val="none" w:sz="0" w:space="0" w:color="auto"/>
        <w:bottom w:val="none" w:sz="0" w:space="0" w:color="auto"/>
        <w:right w:val="none" w:sz="0" w:space="0" w:color="auto"/>
      </w:divBdr>
    </w:div>
    <w:div w:id="1959949682">
      <w:bodyDiv w:val="1"/>
      <w:marLeft w:val="0"/>
      <w:marRight w:val="0"/>
      <w:marTop w:val="0"/>
      <w:marBottom w:val="0"/>
      <w:divBdr>
        <w:top w:val="none" w:sz="0" w:space="0" w:color="auto"/>
        <w:left w:val="none" w:sz="0" w:space="0" w:color="auto"/>
        <w:bottom w:val="none" w:sz="0" w:space="0" w:color="auto"/>
        <w:right w:val="none" w:sz="0" w:space="0" w:color="auto"/>
      </w:divBdr>
    </w:div>
    <w:div w:id="1966545009">
      <w:bodyDiv w:val="1"/>
      <w:marLeft w:val="0"/>
      <w:marRight w:val="0"/>
      <w:marTop w:val="0"/>
      <w:marBottom w:val="0"/>
      <w:divBdr>
        <w:top w:val="none" w:sz="0" w:space="0" w:color="auto"/>
        <w:left w:val="none" w:sz="0" w:space="0" w:color="auto"/>
        <w:bottom w:val="none" w:sz="0" w:space="0" w:color="auto"/>
        <w:right w:val="none" w:sz="0" w:space="0" w:color="auto"/>
      </w:divBdr>
    </w:div>
    <w:div w:id="1969360214">
      <w:bodyDiv w:val="1"/>
      <w:marLeft w:val="0"/>
      <w:marRight w:val="0"/>
      <w:marTop w:val="0"/>
      <w:marBottom w:val="0"/>
      <w:divBdr>
        <w:top w:val="none" w:sz="0" w:space="0" w:color="auto"/>
        <w:left w:val="none" w:sz="0" w:space="0" w:color="auto"/>
        <w:bottom w:val="none" w:sz="0" w:space="0" w:color="auto"/>
        <w:right w:val="none" w:sz="0" w:space="0" w:color="auto"/>
      </w:divBdr>
    </w:div>
    <w:div w:id="1973094979">
      <w:bodyDiv w:val="1"/>
      <w:marLeft w:val="0"/>
      <w:marRight w:val="0"/>
      <w:marTop w:val="0"/>
      <w:marBottom w:val="0"/>
      <w:divBdr>
        <w:top w:val="none" w:sz="0" w:space="0" w:color="auto"/>
        <w:left w:val="none" w:sz="0" w:space="0" w:color="auto"/>
        <w:bottom w:val="none" w:sz="0" w:space="0" w:color="auto"/>
        <w:right w:val="none" w:sz="0" w:space="0" w:color="auto"/>
      </w:divBdr>
    </w:div>
    <w:div w:id="1973096036">
      <w:bodyDiv w:val="1"/>
      <w:marLeft w:val="0"/>
      <w:marRight w:val="0"/>
      <w:marTop w:val="0"/>
      <w:marBottom w:val="0"/>
      <w:divBdr>
        <w:top w:val="none" w:sz="0" w:space="0" w:color="auto"/>
        <w:left w:val="none" w:sz="0" w:space="0" w:color="auto"/>
        <w:bottom w:val="none" w:sz="0" w:space="0" w:color="auto"/>
        <w:right w:val="none" w:sz="0" w:space="0" w:color="auto"/>
      </w:divBdr>
    </w:div>
    <w:div w:id="1973632219">
      <w:bodyDiv w:val="1"/>
      <w:marLeft w:val="0"/>
      <w:marRight w:val="0"/>
      <w:marTop w:val="0"/>
      <w:marBottom w:val="0"/>
      <w:divBdr>
        <w:top w:val="none" w:sz="0" w:space="0" w:color="auto"/>
        <w:left w:val="none" w:sz="0" w:space="0" w:color="auto"/>
        <w:bottom w:val="none" w:sz="0" w:space="0" w:color="auto"/>
        <w:right w:val="none" w:sz="0" w:space="0" w:color="auto"/>
      </w:divBdr>
    </w:div>
    <w:div w:id="1973752056">
      <w:bodyDiv w:val="1"/>
      <w:marLeft w:val="0"/>
      <w:marRight w:val="0"/>
      <w:marTop w:val="0"/>
      <w:marBottom w:val="0"/>
      <w:divBdr>
        <w:top w:val="none" w:sz="0" w:space="0" w:color="auto"/>
        <w:left w:val="none" w:sz="0" w:space="0" w:color="auto"/>
        <w:bottom w:val="none" w:sz="0" w:space="0" w:color="auto"/>
        <w:right w:val="none" w:sz="0" w:space="0" w:color="auto"/>
      </w:divBdr>
    </w:div>
    <w:div w:id="1976641140">
      <w:bodyDiv w:val="1"/>
      <w:marLeft w:val="0"/>
      <w:marRight w:val="0"/>
      <w:marTop w:val="0"/>
      <w:marBottom w:val="0"/>
      <w:divBdr>
        <w:top w:val="none" w:sz="0" w:space="0" w:color="auto"/>
        <w:left w:val="none" w:sz="0" w:space="0" w:color="auto"/>
        <w:bottom w:val="none" w:sz="0" w:space="0" w:color="auto"/>
        <w:right w:val="none" w:sz="0" w:space="0" w:color="auto"/>
      </w:divBdr>
    </w:div>
    <w:div w:id="1981689498">
      <w:bodyDiv w:val="1"/>
      <w:marLeft w:val="0"/>
      <w:marRight w:val="0"/>
      <w:marTop w:val="0"/>
      <w:marBottom w:val="0"/>
      <w:divBdr>
        <w:top w:val="none" w:sz="0" w:space="0" w:color="auto"/>
        <w:left w:val="none" w:sz="0" w:space="0" w:color="auto"/>
        <w:bottom w:val="none" w:sz="0" w:space="0" w:color="auto"/>
        <w:right w:val="none" w:sz="0" w:space="0" w:color="auto"/>
      </w:divBdr>
    </w:div>
    <w:div w:id="1990475127">
      <w:bodyDiv w:val="1"/>
      <w:marLeft w:val="0"/>
      <w:marRight w:val="0"/>
      <w:marTop w:val="0"/>
      <w:marBottom w:val="0"/>
      <w:divBdr>
        <w:top w:val="none" w:sz="0" w:space="0" w:color="auto"/>
        <w:left w:val="none" w:sz="0" w:space="0" w:color="auto"/>
        <w:bottom w:val="none" w:sz="0" w:space="0" w:color="auto"/>
        <w:right w:val="none" w:sz="0" w:space="0" w:color="auto"/>
      </w:divBdr>
    </w:div>
    <w:div w:id="1994024983">
      <w:bodyDiv w:val="1"/>
      <w:marLeft w:val="0"/>
      <w:marRight w:val="0"/>
      <w:marTop w:val="0"/>
      <w:marBottom w:val="0"/>
      <w:divBdr>
        <w:top w:val="none" w:sz="0" w:space="0" w:color="auto"/>
        <w:left w:val="none" w:sz="0" w:space="0" w:color="auto"/>
        <w:bottom w:val="none" w:sz="0" w:space="0" w:color="auto"/>
        <w:right w:val="none" w:sz="0" w:space="0" w:color="auto"/>
      </w:divBdr>
    </w:div>
    <w:div w:id="1998612626">
      <w:bodyDiv w:val="1"/>
      <w:marLeft w:val="0"/>
      <w:marRight w:val="0"/>
      <w:marTop w:val="0"/>
      <w:marBottom w:val="0"/>
      <w:divBdr>
        <w:top w:val="none" w:sz="0" w:space="0" w:color="auto"/>
        <w:left w:val="none" w:sz="0" w:space="0" w:color="auto"/>
        <w:bottom w:val="none" w:sz="0" w:space="0" w:color="auto"/>
        <w:right w:val="none" w:sz="0" w:space="0" w:color="auto"/>
      </w:divBdr>
    </w:div>
    <w:div w:id="1999267869">
      <w:bodyDiv w:val="1"/>
      <w:marLeft w:val="0"/>
      <w:marRight w:val="0"/>
      <w:marTop w:val="0"/>
      <w:marBottom w:val="0"/>
      <w:divBdr>
        <w:top w:val="none" w:sz="0" w:space="0" w:color="auto"/>
        <w:left w:val="none" w:sz="0" w:space="0" w:color="auto"/>
        <w:bottom w:val="none" w:sz="0" w:space="0" w:color="auto"/>
        <w:right w:val="none" w:sz="0" w:space="0" w:color="auto"/>
      </w:divBdr>
    </w:div>
    <w:div w:id="1999572768">
      <w:bodyDiv w:val="1"/>
      <w:marLeft w:val="0"/>
      <w:marRight w:val="0"/>
      <w:marTop w:val="0"/>
      <w:marBottom w:val="0"/>
      <w:divBdr>
        <w:top w:val="none" w:sz="0" w:space="0" w:color="auto"/>
        <w:left w:val="none" w:sz="0" w:space="0" w:color="auto"/>
        <w:bottom w:val="none" w:sz="0" w:space="0" w:color="auto"/>
        <w:right w:val="none" w:sz="0" w:space="0" w:color="auto"/>
      </w:divBdr>
    </w:div>
    <w:div w:id="2006667090">
      <w:bodyDiv w:val="1"/>
      <w:marLeft w:val="0"/>
      <w:marRight w:val="0"/>
      <w:marTop w:val="0"/>
      <w:marBottom w:val="0"/>
      <w:divBdr>
        <w:top w:val="none" w:sz="0" w:space="0" w:color="auto"/>
        <w:left w:val="none" w:sz="0" w:space="0" w:color="auto"/>
        <w:bottom w:val="none" w:sz="0" w:space="0" w:color="auto"/>
        <w:right w:val="none" w:sz="0" w:space="0" w:color="auto"/>
      </w:divBdr>
    </w:div>
    <w:div w:id="2012364639">
      <w:bodyDiv w:val="1"/>
      <w:marLeft w:val="0"/>
      <w:marRight w:val="0"/>
      <w:marTop w:val="0"/>
      <w:marBottom w:val="0"/>
      <w:divBdr>
        <w:top w:val="none" w:sz="0" w:space="0" w:color="auto"/>
        <w:left w:val="none" w:sz="0" w:space="0" w:color="auto"/>
        <w:bottom w:val="none" w:sz="0" w:space="0" w:color="auto"/>
        <w:right w:val="none" w:sz="0" w:space="0" w:color="auto"/>
      </w:divBdr>
    </w:div>
    <w:div w:id="2014793258">
      <w:bodyDiv w:val="1"/>
      <w:marLeft w:val="0"/>
      <w:marRight w:val="0"/>
      <w:marTop w:val="0"/>
      <w:marBottom w:val="0"/>
      <w:divBdr>
        <w:top w:val="none" w:sz="0" w:space="0" w:color="auto"/>
        <w:left w:val="none" w:sz="0" w:space="0" w:color="auto"/>
        <w:bottom w:val="none" w:sz="0" w:space="0" w:color="auto"/>
        <w:right w:val="none" w:sz="0" w:space="0" w:color="auto"/>
      </w:divBdr>
    </w:div>
    <w:div w:id="2015263003">
      <w:bodyDiv w:val="1"/>
      <w:marLeft w:val="0"/>
      <w:marRight w:val="0"/>
      <w:marTop w:val="0"/>
      <w:marBottom w:val="0"/>
      <w:divBdr>
        <w:top w:val="none" w:sz="0" w:space="0" w:color="auto"/>
        <w:left w:val="none" w:sz="0" w:space="0" w:color="auto"/>
        <w:bottom w:val="none" w:sz="0" w:space="0" w:color="auto"/>
        <w:right w:val="none" w:sz="0" w:space="0" w:color="auto"/>
      </w:divBdr>
    </w:div>
    <w:div w:id="2016153263">
      <w:bodyDiv w:val="1"/>
      <w:marLeft w:val="0"/>
      <w:marRight w:val="0"/>
      <w:marTop w:val="0"/>
      <w:marBottom w:val="0"/>
      <w:divBdr>
        <w:top w:val="none" w:sz="0" w:space="0" w:color="auto"/>
        <w:left w:val="none" w:sz="0" w:space="0" w:color="auto"/>
        <w:bottom w:val="none" w:sz="0" w:space="0" w:color="auto"/>
        <w:right w:val="none" w:sz="0" w:space="0" w:color="auto"/>
      </w:divBdr>
    </w:div>
    <w:div w:id="2016418819">
      <w:bodyDiv w:val="1"/>
      <w:marLeft w:val="0"/>
      <w:marRight w:val="0"/>
      <w:marTop w:val="0"/>
      <w:marBottom w:val="0"/>
      <w:divBdr>
        <w:top w:val="none" w:sz="0" w:space="0" w:color="auto"/>
        <w:left w:val="none" w:sz="0" w:space="0" w:color="auto"/>
        <w:bottom w:val="none" w:sz="0" w:space="0" w:color="auto"/>
        <w:right w:val="none" w:sz="0" w:space="0" w:color="auto"/>
      </w:divBdr>
    </w:div>
    <w:div w:id="2016422190">
      <w:bodyDiv w:val="1"/>
      <w:marLeft w:val="0"/>
      <w:marRight w:val="0"/>
      <w:marTop w:val="0"/>
      <w:marBottom w:val="0"/>
      <w:divBdr>
        <w:top w:val="none" w:sz="0" w:space="0" w:color="auto"/>
        <w:left w:val="none" w:sz="0" w:space="0" w:color="auto"/>
        <w:bottom w:val="none" w:sz="0" w:space="0" w:color="auto"/>
        <w:right w:val="none" w:sz="0" w:space="0" w:color="auto"/>
      </w:divBdr>
    </w:div>
    <w:div w:id="2017270615">
      <w:bodyDiv w:val="1"/>
      <w:marLeft w:val="0"/>
      <w:marRight w:val="0"/>
      <w:marTop w:val="0"/>
      <w:marBottom w:val="0"/>
      <w:divBdr>
        <w:top w:val="none" w:sz="0" w:space="0" w:color="auto"/>
        <w:left w:val="none" w:sz="0" w:space="0" w:color="auto"/>
        <w:bottom w:val="none" w:sz="0" w:space="0" w:color="auto"/>
        <w:right w:val="none" w:sz="0" w:space="0" w:color="auto"/>
      </w:divBdr>
    </w:div>
    <w:div w:id="2018000062">
      <w:bodyDiv w:val="1"/>
      <w:marLeft w:val="0"/>
      <w:marRight w:val="0"/>
      <w:marTop w:val="0"/>
      <w:marBottom w:val="0"/>
      <w:divBdr>
        <w:top w:val="none" w:sz="0" w:space="0" w:color="auto"/>
        <w:left w:val="none" w:sz="0" w:space="0" w:color="auto"/>
        <w:bottom w:val="none" w:sz="0" w:space="0" w:color="auto"/>
        <w:right w:val="none" w:sz="0" w:space="0" w:color="auto"/>
      </w:divBdr>
    </w:div>
    <w:div w:id="2021659229">
      <w:bodyDiv w:val="1"/>
      <w:marLeft w:val="0"/>
      <w:marRight w:val="0"/>
      <w:marTop w:val="0"/>
      <w:marBottom w:val="0"/>
      <w:divBdr>
        <w:top w:val="none" w:sz="0" w:space="0" w:color="auto"/>
        <w:left w:val="none" w:sz="0" w:space="0" w:color="auto"/>
        <w:bottom w:val="none" w:sz="0" w:space="0" w:color="auto"/>
        <w:right w:val="none" w:sz="0" w:space="0" w:color="auto"/>
      </w:divBdr>
    </w:div>
    <w:div w:id="2022275523">
      <w:bodyDiv w:val="1"/>
      <w:marLeft w:val="0"/>
      <w:marRight w:val="0"/>
      <w:marTop w:val="0"/>
      <w:marBottom w:val="0"/>
      <w:divBdr>
        <w:top w:val="none" w:sz="0" w:space="0" w:color="auto"/>
        <w:left w:val="none" w:sz="0" w:space="0" w:color="auto"/>
        <w:bottom w:val="none" w:sz="0" w:space="0" w:color="auto"/>
        <w:right w:val="none" w:sz="0" w:space="0" w:color="auto"/>
      </w:divBdr>
    </w:div>
    <w:div w:id="2023436473">
      <w:bodyDiv w:val="1"/>
      <w:marLeft w:val="0"/>
      <w:marRight w:val="0"/>
      <w:marTop w:val="0"/>
      <w:marBottom w:val="0"/>
      <w:divBdr>
        <w:top w:val="none" w:sz="0" w:space="0" w:color="auto"/>
        <w:left w:val="none" w:sz="0" w:space="0" w:color="auto"/>
        <w:bottom w:val="none" w:sz="0" w:space="0" w:color="auto"/>
        <w:right w:val="none" w:sz="0" w:space="0" w:color="auto"/>
      </w:divBdr>
    </w:div>
    <w:div w:id="2025551497">
      <w:bodyDiv w:val="1"/>
      <w:marLeft w:val="0"/>
      <w:marRight w:val="0"/>
      <w:marTop w:val="0"/>
      <w:marBottom w:val="0"/>
      <w:divBdr>
        <w:top w:val="none" w:sz="0" w:space="0" w:color="auto"/>
        <w:left w:val="none" w:sz="0" w:space="0" w:color="auto"/>
        <w:bottom w:val="none" w:sz="0" w:space="0" w:color="auto"/>
        <w:right w:val="none" w:sz="0" w:space="0" w:color="auto"/>
      </w:divBdr>
    </w:div>
    <w:div w:id="2029522589">
      <w:bodyDiv w:val="1"/>
      <w:marLeft w:val="0"/>
      <w:marRight w:val="0"/>
      <w:marTop w:val="0"/>
      <w:marBottom w:val="0"/>
      <w:divBdr>
        <w:top w:val="none" w:sz="0" w:space="0" w:color="auto"/>
        <w:left w:val="none" w:sz="0" w:space="0" w:color="auto"/>
        <w:bottom w:val="none" w:sz="0" w:space="0" w:color="auto"/>
        <w:right w:val="none" w:sz="0" w:space="0" w:color="auto"/>
      </w:divBdr>
    </w:div>
    <w:div w:id="2031838734">
      <w:bodyDiv w:val="1"/>
      <w:marLeft w:val="0"/>
      <w:marRight w:val="0"/>
      <w:marTop w:val="0"/>
      <w:marBottom w:val="0"/>
      <w:divBdr>
        <w:top w:val="none" w:sz="0" w:space="0" w:color="auto"/>
        <w:left w:val="none" w:sz="0" w:space="0" w:color="auto"/>
        <w:bottom w:val="none" w:sz="0" w:space="0" w:color="auto"/>
        <w:right w:val="none" w:sz="0" w:space="0" w:color="auto"/>
      </w:divBdr>
    </w:div>
    <w:div w:id="2035108781">
      <w:bodyDiv w:val="1"/>
      <w:marLeft w:val="0"/>
      <w:marRight w:val="0"/>
      <w:marTop w:val="0"/>
      <w:marBottom w:val="0"/>
      <w:divBdr>
        <w:top w:val="none" w:sz="0" w:space="0" w:color="auto"/>
        <w:left w:val="none" w:sz="0" w:space="0" w:color="auto"/>
        <w:bottom w:val="none" w:sz="0" w:space="0" w:color="auto"/>
        <w:right w:val="none" w:sz="0" w:space="0" w:color="auto"/>
      </w:divBdr>
    </w:div>
    <w:div w:id="2035500666">
      <w:bodyDiv w:val="1"/>
      <w:marLeft w:val="0"/>
      <w:marRight w:val="0"/>
      <w:marTop w:val="0"/>
      <w:marBottom w:val="0"/>
      <w:divBdr>
        <w:top w:val="none" w:sz="0" w:space="0" w:color="auto"/>
        <w:left w:val="none" w:sz="0" w:space="0" w:color="auto"/>
        <w:bottom w:val="none" w:sz="0" w:space="0" w:color="auto"/>
        <w:right w:val="none" w:sz="0" w:space="0" w:color="auto"/>
      </w:divBdr>
    </w:div>
    <w:div w:id="2036543048">
      <w:bodyDiv w:val="1"/>
      <w:marLeft w:val="0"/>
      <w:marRight w:val="0"/>
      <w:marTop w:val="0"/>
      <w:marBottom w:val="0"/>
      <w:divBdr>
        <w:top w:val="none" w:sz="0" w:space="0" w:color="auto"/>
        <w:left w:val="none" w:sz="0" w:space="0" w:color="auto"/>
        <w:bottom w:val="none" w:sz="0" w:space="0" w:color="auto"/>
        <w:right w:val="none" w:sz="0" w:space="0" w:color="auto"/>
      </w:divBdr>
    </w:div>
    <w:div w:id="2043941610">
      <w:bodyDiv w:val="1"/>
      <w:marLeft w:val="0"/>
      <w:marRight w:val="0"/>
      <w:marTop w:val="0"/>
      <w:marBottom w:val="0"/>
      <w:divBdr>
        <w:top w:val="none" w:sz="0" w:space="0" w:color="auto"/>
        <w:left w:val="none" w:sz="0" w:space="0" w:color="auto"/>
        <w:bottom w:val="none" w:sz="0" w:space="0" w:color="auto"/>
        <w:right w:val="none" w:sz="0" w:space="0" w:color="auto"/>
      </w:divBdr>
    </w:div>
    <w:div w:id="2045908986">
      <w:bodyDiv w:val="1"/>
      <w:marLeft w:val="0"/>
      <w:marRight w:val="0"/>
      <w:marTop w:val="0"/>
      <w:marBottom w:val="0"/>
      <w:divBdr>
        <w:top w:val="none" w:sz="0" w:space="0" w:color="auto"/>
        <w:left w:val="none" w:sz="0" w:space="0" w:color="auto"/>
        <w:bottom w:val="none" w:sz="0" w:space="0" w:color="auto"/>
        <w:right w:val="none" w:sz="0" w:space="0" w:color="auto"/>
      </w:divBdr>
    </w:div>
    <w:div w:id="2046129949">
      <w:bodyDiv w:val="1"/>
      <w:marLeft w:val="0"/>
      <w:marRight w:val="0"/>
      <w:marTop w:val="0"/>
      <w:marBottom w:val="0"/>
      <w:divBdr>
        <w:top w:val="none" w:sz="0" w:space="0" w:color="auto"/>
        <w:left w:val="none" w:sz="0" w:space="0" w:color="auto"/>
        <w:bottom w:val="none" w:sz="0" w:space="0" w:color="auto"/>
        <w:right w:val="none" w:sz="0" w:space="0" w:color="auto"/>
      </w:divBdr>
    </w:div>
    <w:div w:id="2048949469">
      <w:bodyDiv w:val="1"/>
      <w:marLeft w:val="0"/>
      <w:marRight w:val="0"/>
      <w:marTop w:val="0"/>
      <w:marBottom w:val="0"/>
      <w:divBdr>
        <w:top w:val="none" w:sz="0" w:space="0" w:color="auto"/>
        <w:left w:val="none" w:sz="0" w:space="0" w:color="auto"/>
        <w:bottom w:val="none" w:sz="0" w:space="0" w:color="auto"/>
        <w:right w:val="none" w:sz="0" w:space="0" w:color="auto"/>
      </w:divBdr>
    </w:div>
    <w:div w:id="2049210634">
      <w:bodyDiv w:val="1"/>
      <w:marLeft w:val="0"/>
      <w:marRight w:val="0"/>
      <w:marTop w:val="0"/>
      <w:marBottom w:val="0"/>
      <w:divBdr>
        <w:top w:val="none" w:sz="0" w:space="0" w:color="auto"/>
        <w:left w:val="none" w:sz="0" w:space="0" w:color="auto"/>
        <w:bottom w:val="none" w:sz="0" w:space="0" w:color="auto"/>
        <w:right w:val="none" w:sz="0" w:space="0" w:color="auto"/>
      </w:divBdr>
    </w:div>
    <w:div w:id="2050494865">
      <w:bodyDiv w:val="1"/>
      <w:marLeft w:val="0"/>
      <w:marRight w:val="0"/>
      <w:marTop w:val="0"/>
      <w:marBottom w:val="0"/>
      <w:divBdr>
        <w:top w:val="none" w:sz="0" w:space="0" w:color="auto"/>
        <w:left w:val="none" w:sz="0" w:space="0" w:color="auto"/>
        <w:bottom w:val="none" w:sz="0" w:space="0" w:color="auto"/>
        <w:right w:val="none" w:sz="0" w:space="0" w:color="auto"/>
      </w:divBdr>
    </w:div>
    <w:div w:id="2055153215">
      <w:bodyDiv w:val="1"/>
      <w:marLeft w:val="0"/>
      <w:marRight w:val="0"/>
      <w:marTop w:val="0"/>
      <w:marBottom w:val="0"/>
      <w:divBdr>
        <w:top w:val="none" w:sz="0" w:space="0" w:color="auto"/>
        <w:left w:val="none" w:sz="0" w:space="0" w:color="auto"/>
        <w:bottom w:val="none" w:sz="0" w:space="0" w:color="auto"/>
        <w:right w:val="none" w:sz="0" w:space="0" w:color="auto"/>
      </w:divBdr>
    </w:div>
    <w:div w:id="2056155563">
      <w:bodyDiv w:val="1"/>
      <w:marLeft w:val="0"/>
      <w:marRight w:val="0"/>
      <w:marTop w:val="0"/>
      <w:marBottom w:val="0"/>
      <w:divBdr>
        <w:top w:val="none" w:sz="0" w:space="0" w:color="auto"/>
        <w:left w:val="none" w:sz="0" w:space="0" w:color="auto"/>
        <w:bottom w:val="none" w:sz="0" w:space="0" w:color="auto"/>
        <w:right w:val="none" w:sz="0" w:space="0" w:color="auto"/>
      </w:divBdr>
    </w:div>
    <w:div w:id="2060548049">
      <w:bodyDiv w:val="1"/>
      <w:marLeft w:val="0"/>
      <w:marRight w:val="0"/>
      <w:marTop w:val="0"/>
      <w:marBottom w:val="0"/>
      <w:divBdr>
        <w:top w:val="none" w:sz="0" w:space="0" w:color="auto"/>
        <w:left w:val="none" w:sz="0" w:space="0" w:color="auto"/>
        <w:bottom w:val="none" w:sz="0" w:space="0" w:color="auto"/>
        <w:right w:val="none" w:sz="0" w:space="0" w:color="auto"/>
      </w:divBdr>
    </w:div>
    <w:div w:id="2061131429">
      <w:bodyDiv w:val="1"/>
      <w:marLeft w:val="0"/>
      <w:marRight w:val="0"/>
      <w:marTop w:val="0"/>
      <w:marBottom w:val="0"/>
      <w:divBdr>
        <w:top w:val="none" w:sz="0" w:space="0" w:color="auto"/>
        <w:left w:val="none" w:sz="0" w:space="0" w:color="auto"/>
        <w:bottom w:val="none" w:sz="0" w:space="0" w:color="auto"/>
        <w:right w:val="none" w:sz="0" w:space="0" w:color="auto"/>
      </w:divBdr>
    </w:div>
    <w:div w:id="2062628173">
      <w:bodyDiv w:val="1"/>
      <w:marLeft w:val="0"/>
      <w:marRight w:val="0"/>
      <w:marTop w:val="0"/>
      <w:marBottom w:val="0"/>
      <w:divBdr>
        <w:top w:val="none" w:sz="0" w:space="0" w:color="auto"/>
        <w:left w:val="none" w:sz="0" w:space="0" w:color="auto"/>
        <w:bottom w:val="none" w:sz="0" w:space="0" w:color="auto"/>
        <w:right w:val="none" w:sz="0" w:space="0" w:color="auto"/>
      </w:divBdr>
    </w:div>
    <w:div w:id="2062901540">
      <w:bodyDiv w:val="1"/>
      <w:marLeft w:val="0"/>
      <w:marRight w:val="0"/>
      <w:marTop w:val="0"/>
      <w:marBottom w:val="0"/>
      <w:divBdr>
        <w:top w:val="none" w:sz="0" w:space="0" w:color="auto"/>
        <w:left w:val="none" w:sz="0" w:space="0" w:color="auto"/>
        <w:bottom w:val="none" w:sz="0" w:space="0" w:color="auto"/>
        <w:right w:val="none" w:sz="0" w:space="0" w:color="auto"/>
      </w:divBdr>
    </w:div>
    <w:div w:id="2069650951">
      <w:bodyDiv w:val="1"/>
      <w:marLeft w:val="0"/>
      <w:marRight w:val="0"/>
      <w:marTop w:val="0"/>
      <w:marBottom w:val="0"/>
      <w:divBdr>
        <w:top w:val="none" w:sz="0" w:space="0" w:color="auto"/>
        <w:left w:val="none" w:sz="0" w:space="0" w:color="auto"/>
        <w:bottom w:val="none" w:sz="0" w:space="0" w:color="auto"/>
        <w:right w:val="none" w:sz="0" w:space="0" w:color="auto"/>
      </w:divBdr>
    </w:div>
    <w:div w:id="2072345907">
      <w:bodyDiv w:val="1"/>
      <w:marLeft w:val="0"/>
      <w:marRight w:val="0"/>
      <w:marTop w:val="0"/>
      <w:marBottom w:val="0"/>
      <w:divBdr>
        <w:top w:val="none" w:sz="0" w:space="0" w:color="auto"/>
        <w:left w:val="none" w:sz="0" w:space="0" w:color="auto"/>
        <w:bottom w:val="none" w:sz="0" w:space="0" w:color="auto"/>
        <w:right w:val="none" w:sz="0" w:space="0" w:color="auto"/>
      </w:divBdr>
    </w:div>
    <w:div w:id="2073891517">
      <w:bodyDiv w:val="1"/>
      <w:marLeft w:val="0"/>
      <w:marRight w:val="0"/>
      <w:marTop w:val="0"/>
      <w:marBottom w:val="0"/>
      <w:divBdr>
        <w:top w:val="none" w:sz="0" w:space="0" w:color="auto"/>
        <w:left w:val="none" w:sz="0" w:space="0" w:color="auto"/>
        <w:bottom w:val="none" w:sz="0" w:space="0" w:color="auto"/>
        <w:right w:val="none" w:sz="0" w:space="0" w:color="auto"/>
      </w:divBdr>
    </w:div>
    <w:div w:id="2085562549">
      <w:bodyDiv w:val="1"/>
      <w:marLeft w:val="0"/>
      <w:marRight w:val="0"/>
      <w:marTop w:val="0"/>
      <w:marBottom w:val="0"/>
      <w:divBdr>
        <w:top w:val="none" w:sz="0" w:space="0" w:color="auto"/>
        <w:left w:val="none" w:sz="0" w:space="0" w:color="auto"/>
        <w:bottom w:val="none" w:sz="0" w:space="0" w:color="auto"/>
        <w:right w:val="none" w:sz="0" w:space="0" w:color="auto"/>
      </w:divBdr>
    </w:div>
    <w:div w:id="2095974581">
      <w:bodyDiv w:val="1"/>
      <w:marLeft w:val="0"/>
      <w:marRight w:val="0"/>
      <w:marTop w:val="0"/>
      <w:marBottom w:val="0"/>
      <w:divBdr>
        <w:top w:val="none" w:sz="0" w:space="0" w:color="auto"/>
        <w:left w:val="none" w:sz="0" w:space="0" w:color="auto"/>
        <w:bottom w:val="none" w:sz="0" w:space="0" w:color="auto"/>
        <w:right w:val="none" w:sz="0" w:space="0" w:color="auto"/>
      </w:divBdr>
    </w:div>
    <w:div w:id="2096004259">
      <w:bodyDiv w:val="1"/>
      <w:marLeft w:val="0"/>
      <w:marRight w:val="0"/>
      <w:marTop w:val="0"/>
      <w:marBottom w:val="0"/>
      <w:divBdr>
        <w:top w:val="none" w:sz="0" w:space="0" w:color="auto"/>
        <w:left w:val="none" w:sz="0" w:space="0" w:color="auto"/>
        <w:bottom w:val="none" w:sz="0" w:space="0" w:color="auto"/>
        <w:right w:val="none" w:sz="0" w:space="0" w:color="auto"/>
      </w:divBdr>
    </w:div>
    <w:div w:id="2098361153">
      <w:bodyDiv w:val="1"/>
      <w:marLeft w:val="0"/>
      <w:marRight w:val="0"/>
      <w:marTop w:val="0"/>
      <w:marBottom w:val="0"/>
      <w:divBdr>
        <w:top w:val="none" w:sz="0" w:space="0" w:color="auto"/>
        <w:left w:val="none" w:sz="0" w:space="0" w:color="auto"/>
        <w:bottom w:val="none" w:sz="0" w:space="0" w:color="auto"/>
        <w:right w:val="none" w:sz="0" w:space="0" w:color="auto"/>
      </w:divBdr>
    </w:div>
    <w:div w:id="2100711214">
      <w:bodyDiv w:val="1"/>
      <w:marLeft w:val="0"/>
      <w:marRight w:val="0"/>
      <w:marTop w:val="0"/>
      <w:marBottom w:val="0"/>
      <w:divBdr>
        <w:top w:val="none" w:sz="0" w:space="0" w:color="auto"/>
        <w:left w:val="none" w:sz="0" w:space="0" w:color="auto"/>
        <w:bottom w:val="none" w:sz="0" w:space="0" w:color="auto"/>
        <w:right w:val="none" w:sz="0" w:space="0" w:color="auto"/>
      </w:divBdr>
    </w:div>
    <w:div w:id="2101027525">
      <w:bodyDiv w:val="1"/>
      <w:marLeft w:val="0"/>
      <w:marRight w:val="0"/>
      <w:marTop w:val="0"/>
      <w:marBottom w:val="0"/>
      <w:divBdr>
        <w:top w:val="none" w:sz="0" w:space="0" w:color="auto"/>
        <w:left w:val="none" w:sz="0" w:space="0" w:color="auto"/>
        <w:bottom w:val="none" w:sz="0" w:space="0" w:color="auto"/>
        <w:right w:val="none" w:sz="0" w:space="0" w:color="auto"/>
      </w:divBdr>
    </w:div>
    <w:div w:id="2102330915">
      <w:bodyDiv w:val="1"/>
      <w:marLeft w:val="0"/>
      <w:marRight w:val="0"/>
      <w:marTop w:val="0"/>
      <w:marBottom w:val="0"/>
      <w:divBdr>
        <w:top w:val="none" w:sz="0" w:space="0" w:color="auto"/>
        <w:left w:val="none" w:sz="0" w:space="0" w:color="auto"/>
        <w:bottom w:val="none" w:sz="0" w:space="0" w:color="auto"/>
        <w:right w:val="none" w:sz="0" w:space="0" w:color="auto"/>
      </w:divBdr>
    </w:div>
    <w:div w:id="2103724896">
      <w:bodyDiv w:val="1"/>
      <w:marLeft w:val="0"/>
      <w:marRight w:val="0"/>
      <w:marTop w:val="0"/>
      <w:marBottom w:val="0"/>
      <w:divBdr>
        <w:top w:val="none" w:sz="0" w:space="0" w:color="auto"/>
        <w:left w:val="none" w:sz="0" w:space="0" w:color="auto"/>
        <w:bottom w:val="none" w:sz="0" w:space="0" w:color="auto"/>
        <w:right w:val="none" w:sz="0" w:space="0" w:color="auto"/>
      </w:divBdr>
    </w:div>
    <w:div w:id="2104065813">
      <w:bodyDiv w:val="1"/>
      <w:marLeft w:val="0"/>
      <w:marRight w:val="0"/>
      <w:marTop w:val="0"/>
      <w:marBottom w:val="0"/>
      <w:divBdr>
        <w:top w:val="none" w:sz="0" w:space="0" w:color="auto"/>
        <w:left w:val="none" w:sz="0" w:space="0" w:color="auto"/>
        <w:bottom w:val="none" w:sz="0" w:space="0" w:color="auto"/>
        <w:right w:val="none" w:sz="0" w:space="0" w:color="auto"/>
      </w:divBdr>
    </w:div>
    <w:div w:id="2109886525">
      <w:bodyDiv w:val="1"/>
      <w:marLeft w:val="0"/>
      <w:marRight w:val="0"/>
      <w:marTop w:val="0"/>
      <w:marBottom w:val="0"/>
      <w:divBdr>
        <w:top w:val="none" w:sz="0" w:space="0" w:color="auto"/>
        <w:left w:val="none" w:sz="0" w:space="0" w:color="auto"/>
        <w:bottom w:val="none" w:sz="0" w:space="0" w:color="auto"/>
        <w:right w:val="none" w:sz="0" w:space="0" w:color="auto"/>
      </w:divBdr>
    </w:div>
    <w:div w:id="2112585380">
      <w:bodyDiv w:val="1"/>
      <w:marLeft w:val="0"/>
      <w:marRight w:val="0"/>
      <w:marTop w:val="0"/>
      <w:marBottom w:val="0"/>
      <w:divBdr>
        <w:top w:val="none" w:sz="0" w:space="0" w:color="auto"/>
        <w:left w:val="none" w:sz="0" w:space="0" w:color="auto"/>
        <w:bottom w:val="none" w:sz="0" w:space="0" w:color="auto"/>
        <w:right w:val="none" w:sz="0" w:space="0" w:color="auto"/>
      </w:divBdr>
    </w:div>
    <w:div w:id="2113434506">
      <w:bodyDiv w:val="1"/>
      <w:marLeft w:val="0"/>
      <w:marRight w:val="0"/>
      <w:marTop w:val="0"/>
      <w:marBottom w:val="0"/>
      <w:divBdr>
        <w:top w:val="none" w:sz="0" w:space="0" w:color="auto"/>
        <w:left w:val="none" w:sz="0" w:space="0" w:color="auto"/>
        <w:bottom w:val="none" w:sz="0" w:space="0" w:color="auto"/>
        <w:right w:val="none" w:sz="0" w:space="0" w:color="auto"/>
      </w:divBdr>
    </w:div>
    <w:div w:id="2116248909">
      <w:bodyDiv w:val="1"/>
      <w:marLeft w:val="0"/>
      <w:marRight w:val="0"/>
      <w:marTop w:val="0"/>
      <w:marBottom w:val="0"/>
      <w:divBdr>
        <w:top w:val="none" w:sz="0" w:space="0" w:color="auto"/>
        <w:left w:val="none" w:sz="0" w:space="0" w:color="auto"/>
        <w:bottom w:val="none" w:sz="0" w:space="0" w:color="auto"/>
        <w:right w:val="none" w:sz="0" w:space="0" w:color="auto"/>
      </w:divBdr>
    </w:div>
    <w:div w:id="2116751613">
      <w:bodyDiv w:val="1"/>
      <w:marLeft w:val="0"/>
      <w:marRight w:val="0"/>
      <w:marTop w:val="0"/>
      <w:marBottom w:val="0"/>
      <w:divBdr>
        <w:top w:val="none" w:sz="0" w:space="0" w:color="auto"/>
        <w:left w:val="none" w:sz="0" w:space="0" w:color="auto"/>
        <w:bottom w:val="none" w:sz="0" w:space="0" w:color="auto"/>
        <w:right w:val="none" w:sz="0" w:space="0" w:color="auto"/>
      </w:divBdr>
    </w:div>
    <w:div w:id="2119790823">
      <w:bodyDiv w:val="1"/>
      <w:marLeft w:val="0"/>
      <w:marRight w:val="0"/>
      <w:marTop w:val="0"/>
      <w:marBottom w:val="0"/>
      <w:divBdr>
        <w:top w:val="none" w:sz="0" w:space="0" w:color="auto"/>
        <w:left w:val="none" w:sz="0" w:space="0" w:color="auto"/>
        <w:bottom w:val="none" w:sz="0" w:space="0" w:color="auto"/>
        <w:right w:val="none" w:sz="0" w:space="0" w:color="auto"/>
      </w:divBdr>
    </w:div>
    <w:div w:id="2120681405">
      <w:bodyDiv w:val="1"/>
      <w:marLeft w:val="0"/>
      <w:marRight w:val="0"/>
      <w:marTop w:val="0"/>
      <w:marBottom w:val="0"/>
      <w:divBdr>
        <w:top w:val="none" w:sz="0" w:space="0" w:color="auto"/>
        <w:left w:val="none" w:sz="0" w:space="0" w:color="auto"/>
        <w:bottom w:val="none" w:sz="0" w:space="0" w:color="auto"/>
        <w:right w:val="none" w:sz="0" w:space="0" w:color="auto"/>
      </w:divBdr>
    </w:div>
    <w:div w:id="2121760225">
      <w:bodyDiv w:val="1"/>
      <w:marLeft w:val="0"/>
      <w:marRight w:val="0"/>
      <w:marTop w:val="0"/>
      <w:marBottom w:val="0"/>
      <w:divBdr>
        <w:top w:val="none" w:sz="0" w:space="0" w:color="auto"/>
        <w:left w:val="none" w:sz="0" w:space="0" w:color="auto"/>
        <w:bottom w:val="none" w:sz="0" w:space="0" w:color="auto"/>
        <w:right w:val="none" w:sz="0" w:space="0" w:color="auto"/>
      </w:divBdr>
    </w:div>
    <w:div w:id="2122338010">
      <w:bodyDiv w:val="1"/>
      <w:marLeft w:val="0"/>
      <w:marRight w:val="0"/>
      <w:marTop w:val="0"/>
      <w:marBottom w:val="0"/>
      <w:divBdr>
        <w:top w:val="none" w:sz="0" w:space="0" w:color="auto"/>
        <w:left w:val="none" w:sz="0" w:space="0" w:color="auto"/>
        <w:bottom w:val="none" w:sz="0" w:space="0" w:color="auto"/>
        <w:right w:val="none" w:sz="0" w:space="0" w:color="auto"/>
      </w:divBdr>
    </w:div>
    <w:div w:id="2123380862">
      <w:bodyDiv w:val="1"/>
      <w:marLeft w:val="0"/>
      <w:marRight w:val="0"/>
      <w:marTop w:val="0"/>
      <w:marBottom w:val="0"/>
      <w:divBdr>
        <w:top w:val="none" w:sz="0" w:space="0" w:color="auto"/>
        <w:left w:val="none" w:sz="0" w:space="0" w:color="auto"/>
        <w:bottom w:val="none" w:sz="0" w:space="0" w:color="auto"/>
        <w:right w:val="none" w:sz="0" w:space="0" w:color="auto"/>
      </w:divBdr>
    </w:div>
    <w:div w:id="2127195209">
      <w:bodyDiv w:val="1"/>
      <w:marLeft w:val="0"/>
      <w:marRight w:val="0"/>
      <w:marTop w:val="0"/>
      <w:marBottom w:val="0"/>
      <w:divBdr>
        <w:top w:val="none" w:sz="0" w:space="0" w:color="auto"/>
        <w:left w:val="none" w:sz="0" w:space="0" w:color="auto"/>
        <w:bottom w:val="none" w:sz="0" w:space="0" w:color="auto"/>
        <w:right w:val="none" w:sz="0" w:space="0" w:color="auto"/>
      </w:divBdr>
    </w:div>
    <w:div w:id="2129084047">
      <w:bodyDiv w:val="1"/>
      <w:marLeft w:val="0"/>
      <w:marRight w:val="0"/>
      <w:marTop w:val="0"/>
      <w:marBottom w:val="0"/>
      <w:divBdr>
        <w:top w:val="none" w:sz="0" w:space="0" w:color="auto"/>
        <w:left w:val="none" w:sz="0" w:space="0" w:color="auto"/>
        <w:bottom w:val="none" w:sz="0" w:space="0" w:color="auto"/>
        <w:right w:val="none" w:sz="0" w:space="0" w:color="auto"/>
      </w:divBdr>
    </w:div>
    <w:div w:id="2133280727">
      <w:bodyDiv w:val="1"/>
      <w:marLeft w:val="0"/>
      <w:marRight w:val="0"/>
      <w:marTop w:val="0"/>
      <w:marBottom w:val="0"/>
      <w:divBdr>
        <w:top w:val="none" w:sz="0" w:space="0" w:color="auto"/>
        <w:left w:val="none" w:sz="0" w:space="0" w:color="auto"/>
        <w:bottom w:val="none" w:sz="0" w:space="0" w:color="auto"/>
        <w:right w:val="none" w:sz="0" w:space="0" w:color="auto"/>
      </w:divBdr>
    </w:div>
    <w:div w:id="213558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eader" Target="header1.xml"/><Relationship Id="rId42" Type="http://schemas.openxmlformats.org/officeDocument/2006/relationships/diagramColors" Target="diagrams/colors2.xml"/><Relationship Id="rId47" Type="http://schemas.openxmlformats.org/officeDocument/2006/relationships/image" Target="media/image17.png"/><Relationship Id="rId63" Type="http://schemas.openxmlformats.org/officeDocument/2006/relationships/image" Target="media/image31.png"/><Relationship Id="rId6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header" Target="header5.xml"/><Relationship Id="rId11" Type="http://schemas.openxmlformats.org/officeDocument/2006/relationships/image" Target="media/image3.png"/><Relationship Id="rId24" Type="http://schemas.openxmlformats.org/officeDocument/2006/relationships/footer" Target="footer2.xml"/><Relationship Id="rId32" Type="http://schemas.openxmlformats.org/officeDocument/2006/relationships/diagramLayout" Target="diagrams/layout1.xml"/><Relationship Id="rId37" Type="http://schemas.openxmlformats.org/officeDocument/2006/relationships/footer" Target="footer6.xml"/><Relationship Id="rId40" Type="http://schemas.openxmlformats.org/officeDocument/2006/relationships/diagramLayout" Target="diagrams/layout2.xml"/><Relationship Id="rId45"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image" Target="media/image26.png"/><Relationship Id="rId66" Type="http://schemas.openxmlformats.org/officeDocument/2006/relationships/image" Target="media/image34.png"/><Relationship Id="rId5" Type="http://schemas.openxmlformats.org/officeDocument/2006/relationships/settings" Target="settings.xml"/><Relationship Id="rId61" Type="http://schemas.openxmlformats.org/officeDocument/2006/relationships/image" Target="media/image29.png"/><Relationship Id="rId19" Type="http://schemas.openxmlformats.org/officeDocument/2006/relationships/image" Target="media/image11.png"/><Relationship Id="rId14" Type="http://schemas.openxmlformats.org/officeDocument/2006/relationships/image" Target="media/image6.svg"/><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oter" Target="footer5.xml"/><Relationship Id="rId35" Type="http://schemas.microsoft.com/office/2007/relationships/diagramDrawing" Target="diagrams/drawing1.xml"/><Relationship Id="rId43" Type="http://schemas.microsoft.com/office/2007/relationships/diagramDrawing" Target="diagrams/drawing2.xml"/><Relationship Id="rId48" Type="http://schemas.openxmlformats.org/officeDocument/2006/relationships/image" Target="media/image18.png"/><Relationship Id="rId56" Type="http://schemas.openxmlformats.org/officeDocument/2006/relationships/header" Target="header7.xml"/><Relationship Id="rId64" Type="http://schemas.openxmlformats.org/officeDocument/2006/relationships/image" Target="media/image32.png"/><Relationship Id="rId69"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image" Target="media/image21.png"/><Relationship Id="rId72" Type="http://schemas.openxmlformats.org/officeDocument/2006/relationships/customXml" Target="../customXml/item4.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3.xml"/><Relationship Id="rId33" Type="http://schemas.openxmlformats.org/officeDocument/2006/relationships/diagramQuickStyle" Target="diagrams/quickStyle1.xml"/><Relationship Id="rId38" Type="http://schemas.openxmlformats.org/officeDocument/2006/relationships/image" Target="media/image13.png"/><Relationship Id="rId46" Type="http://schemas.openxmlformats.org/officeDocument/2006/relationships/image" Target="media/image16.png"/><Relationship Id="rId59" Type="http://schemas.openxmlformats.org/officeDocument/2006/relationships/image" Target="media/image27.png"/><Relationship Id="rId67" Type="http://schemas.openxmlformats.org/officeDocument/2006/relationships/image" Target="media/image35.png"/><Relationship Id="rId20" Type="http://schemas.openxmlformats.org/officeDocument/2006/relationships/image" Target="media/image12.png"/><Relationship Id="rId41" Type="http://schemas.openxmlformats.org/officeDocument/2006/relationships/diagramQuickStyle" Target="diagrams/quickStyle2.xml"/><Relationship Id="rId54" Type="http://schemas.openxmlformats.org/officeDocument/2006/relationships/image" Target="media/image24.png"/><Relationship Id="rId62" Type="http://schemas.openxmlformats.org/officeDocument/2006/relationships/image" Target="media/image30.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footer" Target="footer4.xml"/><Relationship Id="rId36" Type="http://schemas.openxmlformats.org/officeDocument/2006/relationships/header" Target="header6.xml"/><Relationship Id="rId49" Type="http://schemas.openxmlformats.org/officeDocument/2006/relationships/image" Target="media/image19.png"/><Relationship Id="rId57" Type="http://schemas.openxmlformats.org/officeDocument/2006/relationships/footer" Target="footer7.xml"/><Relationship Id="rId10" Type="http://schemas.openxmlformats.org/officeDocument/2006/relationships/image" Target="media/image2.png"/><Relationship Id="rId31" Type="http://schemas.openxmlformats.org/officeDocument/2006/relationships/diagramData" Target="diagrams/data1.xml"/><Relationship Id="rId44" Type="http://schemas.openxmlformats.org/officeDocument/2006/relationships/image" Target="media/image14.png"/><Relationship Id="rId52" Type="http://schemas.openxmlformats.org/officeDocument/2006/relationships/image" Target="media/image22.png"/><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diagramData" Target="diagrams/data2.xml"/><Relationship Id="rId34" Type="http://schemas.openxmlformats.org/officeDocument/2006/relationships/diagramColors" Target="diagrams/colors1.xml"/><Relationship Id="rId50" Type="http://schemas.openxmlformats.org/officeDocument/2006/relationships/image" Target="media/image20.png"/><Relationship Id="rId55" Type="http://schemas.openxmlformats.org/officeDocument/2006/relationships/image" Target="media/image25.png"/><Relationship Id="rId7" Type="http://schemas.openxmlformats.org/officeDocument/2006/relationships/footnotes" Target="footnotes.xml"/><Relationship Id="rId71"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9FA020-C9F3-4D0C-B2A4-E3E39AD049FC}" type="doc">
      <dgm:prSet loTypeId="urn:microsoft.com/office/officeart/2005/8/layout/process1" loCatId="process" qsTypeId="urn:microsoft.com/office/officeart/2005/8/quickstyle/simple1" qsCatId="simple" csTypeId="urn:microsoft.com/office/officeart/2005/8/colors/colorful2" csCatId="colorful" phldr="1"/>
      <dgm:spPr/>
    </dgm:pt>
    <dgm:pt modelId="{B7127C07-53C5-4661-BDDC-164B33D686C0}">
      <dgm:prSet phldrT="[Text]" custT="1"/>
      <dgm:spPr/>
      <dgm:t>
        <a:bodyPr/>
        <a:lstStyle/>
        <a:p>
          <a:r>
            <a:rPr lang="en-AU" sz="900" b="1">
              <a:solidFill>
                <a:sysClr val="windowText" lastClr="000000"/>
              </a:solidFill>
            </a:rPr>
            <a:t>Stage 1</a:t>
          </a:r>
        </a:p>
        <a:p>
          <a:r>
            <a:rPr lang="en-AU" sz="900" b="1">
              <a:solidFill>
                <a:sysClr val="windowText" lastClr="000000"/>
              </a:solidFill>
            </a:rPr>
            <a:t> </a:t>
          </a:r>
          <a:r>
            <a:rPr lang="en-AU" sz="900" b="0">
              <a:solidFill>
                <a:sysClr val="windowText" lastClr="000000"/>
              </a:solidFill>
            </a:rPr>
            <a:t>Project initiation </a:t>
          </a:r>
          <a:br>
            <a:rPr lang="en-AU" sz="900" b="1">
              <a:solidFill>
                <a:sysClr val="windowText" lastClr="000000"/>
              </a:solidFill>
            </a:rPr>
          </a:br>
          <a:br>
            <a:rPr lang="en-AU" sz="600">
              <a:solidFill>
                <a:sysClr val="windowText" lastClr="000000"/>
              </a:solidFill>
            </a:rPr>
          </a:br>
          <a:r>
            <a:rPr lang="en-AU" sz="900">
              <a:solidFill>
                <a:sysClr val="windowText" lastClr="000000"/>
              </a:solidFill>
            </a:rPr>
            <a:t>March 2025</a:t>
          </a:r>
        </a:p>
      </dgm:t>
    </dgm:pt>
    <dgm:pt modelId="{B406A9D0-0A5A-495B-87D2-EBC7FCAE0770}" type="parTrans" cxnId="{C86C4B56-895A-4E4A-8E52-6D28025D7F1D}">
      <dgm:prSet/>
      <dgm:spPr/>
      <dgm:t>
        <a:bodyPr/>
        <a:lstStyle/>
        <a:p>
          <a:endParaRPr lang="en-AU" sz="1200">
            <a:solidFill>
              <a:sysClr val="windowText" lastClr="000000"/>
            </a:solidFill>
          </a:endParaRPr>
        </a:p>
      </dgm:t>
    </dgm:pt>
    <dgm:pt modelId="{D6B1825D-7D8A-4A7E-BEA9-437920D83056}" type="sibTrans" cxnId="{C86C4B56-895A-4E4A-8E52-6D28025D7F1D}">
      <dgm:prSet custT="1"/>
      <dgm:spPr/>
      <dgm:t>
        <a:bodyPr/>
        <a:lstStyle/>
        <a:p>
          <a:endParaRPr lang="en-AU" sz="600">
            <a:solidFill>
              <a:sysClr val="windowText" lastClr="000000"/>
            </a:solidFill>
          </a:endParaRPr>
        </a:p>
      </dgm:t>
    </dgm:pt>
    <dgm:pt modelId="{CEC2E05D-46C4-462A-B880-A9E5B45A1136}">
      <dgm:prSet phldrT="[Text]" custT="1"/>
      <dgm:spPr/>
      <dgm:t>
        <a:bodyPr/>
        <a:lstStyle/>
        <a:p>
          <a:r>
            <a:rPr lang="en-AU" sz="900" b="1">
              <a:solidFill>
                <a:sysClr val="windowText" lastClr="000000"/>
              </a:solidFill>
            </a:rPr>
            <a:t>Stage 3</a:t>
          </a:r>
        </a:p>
        <a:p>
          <a:r>
            <a:rPr lang="en-AU" sz="900" b="1">
              <a:solidFill>
                <a:sysClr val="windowText" lastClr="000000"/>
              </a:solidFill>
            </a:rPr>
            <a:t> </a:t>
          </a:r>
          <a:r>
            <a:rPr lang="en-AU" sz="900" b="0">
              <a:solidFill>
                <a:sysClr val="windowText" lastClr="000000"/>
              </a:solidFill>
            </a:rPr>
            <a:t>Develop data collection instruments </a:t>
          </a:r>
          <a:br>
            <a:rPr lang="en-AU" sz="900" b="1">
              <a:solidFill>
                <a:sysClr val="windowText" lastClr="000000"/>
              </a:solidFill>
            </a:rPr>
          </a:br>
          <a:br>
            <a:rPr lang="en-AU" sz="600" b="1">
              <a:solidFill>
                <a:sysClr val="windowText" lastClr="000000"/>
              </a:solidFill>
            </a:rPr>
          </a:br>
          <a:r>
            <a:rPr lang="en-AU" sz="900">
              <a:solidFill>
                <a:sysClr val="windowText" lastClr="000000"/>
              </a:solidFill>
            </a:rPr>
            <a:t>May 2025</a:t>
          </a:r>
        </a:p>
      </dgm:t>
    </dgm:pt>
    <dgm:pt modelId="{5430F161-B846-4F1F-8797-6AD37D2FDB40}" type="parTrans" cxnId="{0C45316C-9E4B-4D6B-A5AE-A50169C781BE}">
      <dgm:prSet/>
      <dgm:spPr/>
      <dgm:t>
        <a:bodyPr/>
        <a:lstStyle/>
        <a:p>
          <a:endParaRPr lang="en-AU" sz="1200">
            <a:solidFill>
              <a:sysClr val="windowText" lastClr="000000"/>
            </a:solidFill>
          </a:endParaRPr>
        </a:p>
      </dgm:t>
    </dgm:pt>
    <dgm:pt modelId="{AAFD6FF3-4A00-41EC-AE3D-6B043425CE23}" type="sibTrans" cxnId="{0C45316C-9E4B-4D6B-A5AE-A50169C781BE}">
      <dgm:prSet custT="1"/>
      <dgm:spPr/>
      <dgm:t>
        <a:bodyPr/>
        <a:lstStyle/>
        <a:p>
          <a:endParaRPr lang="en-AU" sz="600">
            <a:solidFill>
              <a:sysClr val="windowText" lastClr="000000"/>
            </a:solidFill>
          </a:endParaRPr>
        </a:p>
      </dgm:t>
    </dgm:pt>
    <dgm:pt modelId="{0A77BAC0-2A54-4F6E-A2FC-332BBA70507C}">
      <dgm:prSet phldrT="[Text]" custT="1"/>
      <dgm:spPr>
        <a:solidFill>
          <a:schemeClr val="bg1">
            <a:lumMod val="75000"/>
          </a:schemeClr>
        </a:solidFill>
      </dgm:spPr>
      <dgm:t>
        <a:bodyPr/>
        <a:lstStyle/>
        <a:p>
          <a:r>
            <a:rPr lang="en-AU" sz="900" b="1">
              <a:solidFill>
                <a:sysClr val="windowText" lastClr="000000"/>
              </a:solidFill>
            </a:rPr>
            <a:t>Stage 4</a:t>
          </a:r>
        </a:p>
        <a:p>
          <a:r>
            <a:rPr lang="en-AU" sz="900" b="0">
              <a:solidFill>
                <a:sysClr val="windowText" lastClr="000000"/>
              </a:solidFill>
            </a:rPr>
            <a:t>Data collection, analysis, and reporting </a:t>
          </a:r>
          <a:br>
            <a:rPr lang="en-AU" sz="900">
              <a:solidFill>
                <a:sysClr val="windowText" lastClr="000000"/>
              </a:solidFill>
            </a:rPr>
          </a:br>
          <a:br>
            <a:rPr lang="en-AU" sz="600">
              <a:solidFill>
                <a:sysClr val="windowText" lastClr="000000"/>
              </a:solidFill>
            </a:rPr>
          </a:br>
          <a:r>
            <a:rPr lang="en-AU" sz="900">
              <a:solidFill>
                <a:sysClr val="windowText" lastClr="000000"/>
              </a:solidFill>
            </a:rPr>
            <a:t>June</a:t>
          </a:r>
          <a:r>
            <a:rPr lang="en-US" sz="900">
              <a:solidFill>
                <a:sysClr val="windowText" lastClr="000000"/>
              </a:solidFill>
            </a:rPr>
            <a:t>–</a:t>
          </a:r>
          <a:r>
            <a:rPr lang="en-AU" sz="900">
              <a:solidFill>
                <a:sysClr val="windowText" lastClr="000000"/>
              </a:solidFill>
            </a:rPr>
            <a:t>October 2025</a:t>
          </a:r>
        </a:p>
      </dgm:t>
    </dgm:pt>
    <dgm:pt modelId="{024694F8-7AE2-4C22-AFDF-7FBFB8DE21B9}" type="parTrans" cxnId="{76C67273-A9CE-42A2-AFBC-372EA60A0671}">
      <dgm:prSet/>
      <dgm:spPr/>
      <dgm:t>
        <a:bodyPr/>
        <a:lstStyle/>
        <a:p>
          <a:endParaRPr lang="en-AU" sz="1200">
            <a:solidFill>
              <a:sysClr val="windowText" lastClr="000000"/>
            </a:solidFill>
          </a:endParaRPr>
        </a:p>
      </dgm:t>
    </dgm:pt>
    <dgm:pt modelId="{BE8B97BB-CADA-45AB-A1C4-40EC288952DA}" type="sibTrans" cxnId="{76C67273-A9CE-42A2-AFBC-372EA60A0671}">
      <dgm:prSet custT="1"/>
      <dgm:spPr/>
      <dgm:t>
        <a:bodyPr/>
        <a:lstStyle/>
        <a:p>
          <a:endParaRPr lang="en-AU" sz="600">
            <a:solidFill>
              <a:sysClr val="windowText" lastClr="000000"/>
            </a:solidFill>
          </a:endParaRPr>
        </a:p>
      </dgm:t>
    </dgm:pt>
    <dgm:pt modelId="{3A151963-85C9-4CEC-A422-240FD7323D70}">
      <dgm:prSet phldrT="[Text]" custT="1"/>
      <dgm:spPr/>
      <dgm:t>
        <a:bodyPr/>
        <a:lstStyle/>
        <a:p>
          <a:r>
            <a:rPr lang="en-AU" sz="900" b="1">
              <a:solidFill>
                <a:sysClr val="windowText" lastClr="000000"/>
              </a:solidFill>
            </a:rPr>
            <a:t>Stage 2</a:t>
          </a:r>
        </a:p>
        <a:p>
          <a:r>
            <a:rPr lang="en-AU" sz="900" b="1">
              <a:solidFill>
                <a:sysClr val="windowText" lastClr="000000"/>
              </a:solidFill>
            </a:rPr>
            <a:t> </a:t>
          </a:r>
          <a:r>
            <a:rPr lang="en-AU" sz="900" b="0">
              <a:solidFill>
                <a:sysClr val="windowText" lastClr="000000"/>
              </a:solidFill>
            </a:rPr>
            <a:t>Evaluation Plan </a:t>
          </a:r>
          <a:br>
            <a:rPr lang="en-AU" sz="900" b="1">
              <a:solidFill>
                <a:sysClr val="windowText" lastClr="000000"/>
              </a:solidFill>
            </a:rPr>
          </a:br>
          <a:br>
            <a:rPr lang="en-AU" sz="600">
              <a:solidFill>
                <a:sysClr val="windowText" lastClr="000000"/>
              </a:solidFill>
            </a:rPr>
          </a:br>
          <a:r>
            <a:rPr lang="en-AU" sz="900">
              <a:solidFill>
                <a:sysClr val="windowText" lastClr="000000"/>
              </a:solidFill>
            </a:rPr>
            <a:t>April 2025</a:t>
          </a:r>
        </a:p>
      </dgm:t>
    </dgm:pt>
    <dgm:pt modelId="{8E1435B6-F0CB-4C1A-AD7A-65AB0BF3E455}" type="parTrans" cxnId="{85194F81-FC6C-40CD-94C1-4EE2DA1BBE65}">
      <dgm:prSet/>
      <dgm:spPr/>
      <dgm:t>
        <a:bodyPr/>
        <a:lstStyle/>
        <a:p>
          <a:endParaRPr lang="en-AU" sz="1200">
            <a:solidFill>
              <a:sysClr val="windowText" lastClr="000000"/>
            </a:solidFill>
          </a:endParaRPr>
        </a:p>
      </dgm:t>
    </dgm:pt>
    <dgm:pt modelId="{B400789B-2117-43BC-B993-E0B545BC06BD}" type="sibTrans" cxnId="{85194F81-FC6C-40CD-94C1-4EE2DA1BBE65}">
      <dgm:prSet custT="1"/>
      <dgm:spPr/>
      <dgm:t>
        <a:bodyPr/>
        <a:lstStyle/>
        <a:p>
          <a:endParaRPr lang="en-AU" sz="600">
            <a:solidFill>
              <a:sysClr val="windowText" lastClr="000000"/>
            </a:solidFill>
          </a:endParaRPr>
        </a:p>
      </dgm:t>
    </dgm:pt>
    <dgm:pt modelId="{31604864-3F1B-4CCE-9330-601A44217E8C}">
      <dgm:prSet phldrT="[Text]" custT="1"/>
      <dgm:spPr>
        <a:solidFill>
          <a:schemeClr val="bg1">
            <a:lumMod val="65000"/>
          </a:schemeClr>
        </a:solidFill>
      </dgm:spPr>
      <dgm:t>
        <a:bodyPr/>
        <a:lstStyle/>
        <a:p>
          <a:r>
            <a:rPr lang="en-AU" sz="900" b="1">
              <a:solidFill>
                <a:sysClr val="windowText" lastClr="000000"/>
              </a:solidFill>
            </a:rPr>
            <a:t>Stage 5</a:t>
          </a:r>
        </a:p>
        <a:p>
          <a:r>
            <a:rPr lang="en-AU" sz="900" b="0">
              <a:solidFill>
                <a:sysClr val="windowText" lastClr="000000"/>
              </a:solidFill>
            </a:rPr>
            <a:t>Final reporting </a:t>
          </a:r>
          <a:br>
            <a:rPr lang="en-AU" sz="900">
              <a:solidFill>
                <a:sysClr val="windowText" lastClr="000000"/>
              </a:solidFill>
            </a:rPr>
          </a:br>
          <a:br>
            <a:rPr lang="en-AU" sz="600">
              <a:solidFill>
                <a:sysClr val="windowText" lastClr="000000"/>
              </a:solidFill>
            </a:rPr>
          </a:br>
          <a:r>
            <a:rPr lang="en-AU" sz="900">
              <a:solidFill>
                <a:sysClr val="windowText" lastClr="000000"/>
              </a:solidFill>
            </a:rPr>
            <a:t>March 2026</a:t>
          </a:r>
        </a:p>
      </dgm:t>
    </dgm:pt>
    <dgm:pt modelId="{89DB1944-6F52-493B-8ED7-980BD676AEBA}" type="parTrans" cxnId="{1235ACC5-BE2D-429A-A4AF-616573D99FF7}">
      <dgm:prSet/>
      <dgm:spPr/>
      <dgm:t>
        <a:bodyPr/>
        <a:lstStyle/>
        <a:p>
          <a:endParaRPr lang="en-AU" sz="1200">
            <a:solidFill>
              <a:sysClr val="windowText" lastClr="000000"/>
            </a:solidFill>
          </a:endParaRPr>
        </a:p>
      </dgm:t>
    </dgm:pt>
    <dgm:pt modelId="{C7AA6FFD-D43C-4EE9-A0AF-B8236D92E989}" type="sibTrans" cxnId="{1235ACC5-BE2D-429A-A4AF-616573D99FF7}">
      <dgm:prSet/>
      <dgm:spPr/>
      <dgm:t>
        <a:bodyPr/>
        <a:lstStyle/>
        <a:p>
          <a:endParaRPr lang="en-AU" sz="1200">
            <a:solidFill>
              <a:sysClr val="windowText" lastClr="000000"/>
            </a:solidFill>
          </a:endParaRPr>
        </a:p>
      </dgm:t>
    </dgm:pt>
    <dgm:pt modelId="{72731960-9843-416E-AB13-325A6D2E69A2}" type="pres">
      <dgm:prSet presAssocID="{259FA020-C9F3-4D0C-B2A4-E3E39AD049FC}" presName="Name0" presStyleCnt="0">
        <dgm:presLayoutVars>
          <dgm:dir/>
          <dgm:resizeHandles val="exact"/>
        </dgm:presLayoutVars>
      </dgm:prSet>
      <dgm:spPr/>
    </dgm:pt>
    <dgm:pt modelId="{815F8B47-A3FF-4FE7-B897-A5FB5EE69354}" type="pres">
      <dgm:prSet presAssocID="{B7127C07-53C5-4661-BDDC-164B33D686C0}" presName="node" presStyleLbl="node1" presStyleIdx="0" presStyleCnt="5" custScaleX="156104" custScaleY="136260" custLinFactNeighborY="868">
        <dgm:presLayoutVars>
          <dgm:bulletEnabled val="1"/>
        </dgm:presLayoutVars>
      </dgm:prSet>
      <dgm:spPr/>
    </dgm:pt>
    <dgm:pt modelId="{E9D1194F-F229-4DD1-B39F-18A71AB5054D}" type="pres">
      <dgm:prSet presAssocID="{D6B1825D-7D8A-4A7E-BEA9-437920D83056}" presName="sibTrans" presStyleLbl="sibTrans2D1" presStyleIdx="0" presStyleCnt="4" custScaleY="115391"/>
      <dgm:spPr/>
    </dgm:pt>
    <dgm:pt modelId="{4C09CDB1-CF01-4896-80C6-1792A9EB4EAC}" type="pres">
      <dgm:prSet presAssocID="{D6B1825D-7D8A-4A7E-BEA9-437920D83056}" presName="connectorText" presStyleLbl="sibTrans2D1" presStyleIdx="0" presStyleCnt="4"/>
      <dgm:spPr/>
    </dgm:pt>
    <dgm:pt modelId="{DB9802D9-2DD6-4C9D-8F79-62A82D0316B5}" type="pres">
      <dgm:prSet presAssocID="{3A151963-85C9-4CEC-A422-240FD7323D70}" presName="node" presStyleLbl="node1" presStyleIdx="1" presStyleCnt="5" custScaleX="156104" custScaleY="136260" custLinFactNeighborY="868">
        <dgm:presLayoutVars>
          <dgm:bulletEnabled val="1"/>
        </dgm:presLayoutVars>
      </dgm:prSet>
      <dgm:spPr/>
    </dgm:pt>
    <dgm:pt modelId="{4489EE75-A92E-45FC-B420-6BC9C7D37FDF}" type="pres">
      <dgm:prSet presAssocID="{B400789B-2117-43BC-B993-E0B545BC06BD}" presName="sibTrans" presStyleLbl="sibTrans2D1" presStyleIdx="1" presStyleCnt="4" custScaleY="115391"/>
      <dgm:spPr/>
    </dgm:pt>
    <dgm:pt modelId="{13FE079F-45DB-47A4-9A05-B103CFA80665}" type="pres">
      <dgm:prSet presAssocID="{B400789B-2117-43BC-B993-E0B545BC06BD}" presName="connectorText" presStyleLbl="sibTrans2D1" presStyleIdx="1" presStyleCnt="4"/>
      <dgm:spPr/>
    </dgm:pt>
    <dgm:pt modelId="{8290E9B3-4BA9-4BAD-B573-4F74B8DB8956}" type="pres">
      <dgm:prSet presAssocID="{CEC2E05D-46C4-462A-B880-A9E5B45A1136}" presName="node" presStyleLbl="node1" presStyleIdx="2" presStyleCnt="5" custScaleX="156104" custScaleY="136260" custLinFactNeighborY="868">
        <dgm:presLayoutVars>
          <dgm:bulletEnabled val="1"/>
        </dgm:presLayoutVars>
      </dgm:prSet>
      <dgm:spPr/>
    </dgm:pt>
    <dgm:pt modelId="{EC38E429-070B-491D-8FE3-D870CA860D10}" type="pres">
      <dgm:prSet presAssocID="{AAFD6FF3-4A00-41EC-AE3D-6B043425CE23}" presName="sibTrans" presStyleLbl="sibTrans2D1" presStyleIdx="2" presStyleCnt="4" custScaleY="115391"/>
      <dgm:spPr/>
    </dgm:pt>
    <dgm:pt modelId="{98A20C91-97C3-4637-9DB4-ED9FB7024D9F}" type="pres">
      <dgm:prSet presAssocID="{AAFD6FF3-4A00-41EC-AE3D-6B043425CE23}" presName="connectorText" presStyleLbl="sibTrans2D1" presStyleIdx="2" presStyleCnt="4"/>
      <dgm:spPr/>
    </dgm:pt>
    <dgm:pt modelId="{9331389D-DDB9-4638-AAE6-DB1CBBE79A08}" type="pres">
      <dgm:prSet presAssocID="{0A77BAC0-2A54-4F6E-A2FC-332BBA70507C}" presName="node" presStyleLbl="node1" presStyleIdx="3" presStyleCnt="5" custScaleX="156104" custScaleY="136260" custLinFactNeighborY="868">
        <dgm:presLayoutVars>
          <dgm:bulletEnabled val="1"/>
        </dgm:presLayoutVars>
      </dgm:prSet>
      <dgm:spPr/>
    </dgm:pt>
    <dgm:pt modelId="{D814C5DB-95F6-49A5-8909-72673DC309D6}" type="pres">
      <dgm:prSet presAssocID="{BE8B97BB-CADA-45AB-A1C4-40EC288952DA}" presName="sibTrans" presStyleLbl="sibTrans2D1" presStyleIdx="3" presStyleCnt="4" custScaleY="115391"/>
      <dgm:spPr/>
    </dgm:pt>
    <dgm:pt modelId="{F7502E1D-6A3D-4E3A-8CB4-21771AC3BDA4}" type="pres">
      <dgm:prSet presAssocID="{BE8B97BB-CADA-45AB-A1C4-40EC288952DA}" presName="connectorText" presStyleLbl="sibTrans2D1" presStyleIdx="3" presStyleCnt="4"/>
      <dgm:spPr/>
    </dgm:pt>
    <dgm:pt modelId="{3F4C1FB6-AA96-46D0-A614-940170B09091}" type="pres">
      <dgm:prSet presAssocID="{31604864-3F1B-4CCE-9330-601A44217E8C}" presName="node" presStyleLbl="node1" presStyleIdx="4" presStyleCnt="5" custScaleX="156104" custScaleY="136260" custLinFactNeighborY="868">
        <dgm:presLayoutVars>
          <dgm:bulletEnabled val="1"/>
        </dgm:presLayoutVars>
      </dgm:prSet>
      <dgm:spPr/>
    </dgm:pt>
  </dgm:ptLst>
  <dgm:cxnLst>
    <dgm:cxn modelId="{BA4CEE0D-8468-40A6-B424-0794B0A1BA98}" type="presOf" srcId="{B7127C07-53C5-4661-BDDC-164B33D686C0}" destId="{815F8B47-A3FF-4FE7-B897-A5FB5EE69354}" srcOrd="0" destOrd="0" presId="urn:microsoft.com/office/officeart/2005/8/layout/process1"/>
    <dgm:cxn modelId="{07F9E013-63B1-4125-95FD-5D8098A09F0C}" type="presOf" srcId="{BE8B97BB-CADA-45AB-A1C4-40EC288952DA}" destId="{D814C5DB-95F6-49A5-8909-72673DC309D6}" srcOrd="0" destOrd="0" presId="urn:microsoft.com/office/officeart/2005/8/layout/process1"/>
    <dgm:cxn modelId="{3CE3F01B-ED66-43E4-9324-69296AD86FCD}" type="presOf" srcId="{AAFD6FF3-4A00-41EC-AE3D-6B043425CE23}" destId="{EC38E429-070B-491D-8FE3-D870CA860D10}" srcOrd="0" destOrd="0" presId="urn:microsoft.com/office/officeart/2005/8/layout/process1"/>
    <dgm:cxn modelId="{7B5ED329-239C-4320-8B7D-43BC823BB340}" type="presOf" srcId="{CEC2E05D-46C4-462A-B880-A9E5B45A1136}" destId="{8290E9B3-4BA9-4BAD-B573-4F74B8DB8956}" srcOrd="0" destOrd="0" presId="urn:microsoft.com/office/officeart/2005/8/layout/process1"/>
    <dgm:cxn modelId="{1CF70968-C051-4AFA-9F6A-9967A3DD0500}" type="presOf" srcId="{B400789B-2117-43BC-B993-E0B545BC06BD}" destId="{4489EE75-A92E-45FC-B420-6BC9C7D37FDF}" srcOrd="0" destOrd="0" presId="urn:microsoft.com/office/officeart/2005/8/layout/process1"/>
    <dgm:cxn modelId="{0C45316C-9E4B-4D6B-A5AE-A50169C781BE}" srcId="{259FA020-C9F3-4D0C-B2A4-E3E39AD049FC}" destId="{CEC2E05D-46C4-462A-B880-A9E5B45A1136}" srcOrd="2" destOrd="0" parTransId="{5430F161-B846-4F1F-8797-6AD37D2FDB40}" sibTransId="{AAFD6FF3-4A00-41EC-AE3D-6B043425CE23}"/>
    <dgm:cxn modelId="{9586D070-540C-4793-9B9B-4E5394423ABB}" type="presOf" srcId="{D6B1825D-7D8A-4A7E-BEA9-437920D83056}" destId="{4C09CDB1-CF01-4896-80C6-1792A9EB4EAC}" srcOrd="1" destOrd="0" presId="urn:microsoft.com/office/officeart/2005/8/layout/process1"/>
    <dgm:cxn modelId="{76C67273-A9CE-42A2-AFBC-372EA60A0671}" srcId="{259FA020-C9F3-4D0C-B2A4-E3E39AD049FC}" destId="{0A77BAC0-2A54-4F6E-A2FC-332BBA70507C}" srcOrd="3" destOrd="0" parTransId="{024694F8-7AE2-4C22-AFDF-7FBFB8DE21B9}" sibTransId="{BE8B97BB-CADA-45AB-A1C4-40EC288952DA}"/>
    <dgm:cxn modelId="{C86C4B56-895A-4E4A-8E52-6D28025D7F1D}" srcId="{259FA020-C9F3-4D0C-B2A4-E3E39AD049FC}" destId="{B7127C07-53C5-4661-BDDC-164B33D686C0}" srcOrd="0" destOrd="0" parTransId="{B406A9D0-0A5A-495B-87D2-EBC7FCAE0770}" sibTransId="{D6B1825D-7D8A-4A7E-BEA9-437920D83056}"/>
    <dgm:cxn modelId="{DD59EB7C-CC4B-4A26-A94A-3F510935297D}" type="presOf" srcId="{BE8B97BB-CADA-45AB-A1C4-40EC288952DA}" destId="{F7502E1D-6A3D-4E3A-8CB4-21771AC3BDA4}" srcOrd="1" destOrd="0" presId="urn:microsoft.com/office/officeart/2005/8/layout/process1"/>
    <dgm:cxn modelId="{18C9157F-72F2-4E39-8DCD-D46E374626A6}" type="presOf" srcId="{259FA020-C9F3-4D0C-B2A4-E3E39AD049FC}" destId="{72731960-9843-416E-AB13-325A6D2E69A2}" srcOrd="0" destOrd="0" presId="urn:microsoft.com/office/officeart/2005/8/layout/process1"/>
    <dgm:cxn modelId="{85194F81-FC6C-40CD-94C1-4EE2DA1BBE65}" srcId="{259FA020-C9F3-4D0C-B2A4-E3E39AD049FC}" destId="{3A151963-85C9-4CEC-A422-240FD7323D70}" srcOrd="1" destOrd="0" parTransId="{8E1435B6-F0CB-4C1A-AD7A-65AB0BF3E455}" sibTransId="{B400789B-2117-43BC-B993-E0B545BC06BD}"/>
    <dgm:cxn modelId="{D3BA1D85-D1F7-4932-872D-4AA3DEA650D1}" type="presOf" srcId="{D6B1825D-7D8A-4A7E-BEA9-437920D83056}" destId="{E9D1194F-F229-4DD1-B39F-18A71AB5054D}" srcOrd="0" destOrd="0" presId="urn:microsoft.com/office/officeart/2005/8/layout/process1"/>
    <dgm:cxn modelId="{B640548E-86A3-458F-846B-784D8B126A25}" type="presOf" srcId="{AAFD6FF3-4A00-41EC-AE3D-6B043425CE23}" destId="{98A20C91-97C3-4637-9DB4-ED9FB7024D9F}" srcOrd="1" destOrd="0" presId="urn:microsoft.com/office/officeart/2005/8/layout/process1"/>
    <dgm:cxn modelId="{37FEBFBB-2EE1-4AA4-BB47-822488AD1288}" type="presOf" srcId="{0A77BAC0-2A54-4F6E-A2FC-332BBA70507C}" destId="{9331389D-DDB9-4638-AAE6-DB1CBBE79A08}" srcOrd="0" destOrd="0" presId="urn:microsoft.com/office/officeart/2005/8/layout/process1"/>
    <dgm:cxn modelId="{1235ACC5-BE2D-429A-A4AF-616573D99FF7}" srcId="{259FA020-C9F3-4D0C-B2A4-E3E39AD049FC}" destId="{31604864-3F1B-4CCE-9330-601A44217E8C}" srcOrd="4" destOrd="0" parTransId="{89DB1944-6F52-493B-8ED7-980BD676AEBA}" sibTransId="{C7AA6FFD-D43C-4EE9-A0AF-B8236D92E989}"/>
    <dgm:cxn modelId="{47B7B9CD-8359-4A89-8C72-72E6F36A2674}" type="presOf" srcId="{3A151963-85C9-4CEC-A422-240FD7323D70}" destId="{DB9802D9-2DD6-4C9D-8F79-62A82D0316B5}" srcOrd="0" destOrd="0" presId="urn:microsoft.com/office/officeart/2005/8/layout/process1"/>
    <dgm:cxn modelId="{27D622D1-A095-487B-9D1C-6BB0C7F9A64D}" type="presOf" srcId="{31604864-3F1B-4CCE-9330-601A44217E8C}" destId="{3F4C1FB6-AA96-46D0-A614-940170B09091}" srcOrd="0" destOrd="0" presId="urn:microsoft.com/office/officeart/2005/8/layout/process1"/>
    <dgm:cxn modelId="{6AD725E0-D045-4045-B438-4F9D22E25093}" type="presOf" srcId="{B400789B-2117-43BC-B993-E0B545BC06BD}" destId="{13FE079F-45DB-47A4-9A05-B103CFA80665}" srcOrd="1" destOrd="0" presId="urn:microsoft.com/office/officeart/2005/8/layout/process1"/>
    <dgm:cxn modelId="{0E5447A7-5F79-4B72-8E05-5F6B0CE3BD9B}" type="presParOf" srcId="{72731960-9843-416E-AB13-325A6D2E69A2}" destId="{815F8B47-A3FF-4FE7-B897-A5FB5EE69354}" srcOrd="0" destOrd="0" presId="urn:microsoft.com/office/officeart/2005/8/layout/process1"/>
    <dgm:cxn modelId="{09056005-2F28-4DB7-BD0A-F6F6ADDCC23A}" type="presParOf" srcId="{72731960-9843-416E-AB13-325A6D2E69A2}" destId="{E9D1194F-F229-4DD1-B39F-18A71AB5054D}" srcOrd="1" destOrd="0" presId="urn:microsoft.com/office/officeart/2005/8/layout/process1"/>
    <dgm:cxn modelId="{3AD1DDCE-DDA5-4D35-A2B8-A1648FD30E4E}" type="presParOf" srcId="{E9D1194F-F229-4DD1-B39F-18A71AB5054D}" destId="{4C09CDB1-CF01-4896-80C6-1792A9EB4EAC}" srcOrd="0" destOrd="0" presId="urn:microsoft.com/office/officeart/2005/8/layout/process1"/>
    <dgm:cxn modelId="{DA5FEB68-C8E9-4288-92F1-E4074AFD54C1}" type="presParOf" srcId="{72731960-9843-416E-AB13-325A6D2E69A2}" destId="{DB9802D9-2DD6-4C9D-8F79-62A82D0316B5}" srcOrd="2" destOrd="0" presId="urn:microsoft.com/office/officeart/2005/8/layout/process1"/>
    <dgm:cxn modelId="{2B3BD93D-262F-49A5-AE03-6E5CFA5014EC}" type="presParOf" srcId="{72731960-9843-416E-AB13-325A6D2E69A2}" destId="{4489EE75-A92E-45FC-B420-6BC9C7D37FDF}" srcOrd="3" destOrd="0" presId="urn:microsoft.com/office/officeart/2005/8/layout/process1"/>
    <dgm:cxn modelId="{A3776245-0348-48F1-A427-14619746AC99}" type="presParOf" srcId="{4489EE75-A92E-45FC-B420-6BC9C7D37FDF}" destId="{13FE079F-45DB-47A4-9A05-B103CFA80665}" srcOrd="0" destOrd="0" presId="urn:microsoft.com/office/officeart/2005/8/layout/process1"/>
    <dgm:cxn modelId="{8741619B-14B4-4DA5-9195-802FD49F0604}" type="presParOf" srcId="{72731960-9843-416E-AB13-325A6D2E69A2}" destId="{8290E9B3-4BA9-4BAD-B573-4F74B8DB8956}" srcOrd="4" destOrd="0" presId="urn:microsoft.com/office/officeart/2005/8/layout/process1"/>
    <dgm:cxn modelId="{DBC21014-1114-4B7A-ADC5-C521C5BC8C0F}" type="presParOf" srcId="{72731960-9843-416E-AB13-325A6D2E69A2}" destId="{EC38E429-070B-491D-8FE3-D870CA860D10}" srcOrd="5" destOrd="0" presId="urn:microsoft.com/office/officeart/2005/8/layout/process1"/>
    <dgm:cxn modelId="{827F85A1-F41D-4E16-8C7D-FF00FBAACD74}" type="presParOf" srcId="{EC38E429-070B-491D-8FE3-D870CA860D10}" destId="{98A20C91-97C3-4637-9DB4-ED9FB7024D9F}" srcOrd="0" destOrd="0" presId="urn:microsoft.com/office/officeart/2005/8/layout/process1"/>
    <dgm:cxn modelId="{15AC0D09-F85E-4B1D-BD31-4DE0870D646B}" type="presParOf" srcId="{72731960-9843-416E-AB13-325A6D2E69A2}" destId="{9331389D-DDB9-4638-AAE6-DB1CBBE79A08}" srcOrd="6" destOrd="0" presId="urn:microsoft.com/office/officeart/2005/8/layout/process1"/>
    <dgm:cxn modelId="{6730ED84-9E8D-425A-B1B3-21300BD79863}" type="presParOf" srcId="{72731960-9843-416E-AB13-325A6D2E69A2}" destId="{D814C5DB-95F6-49A5-8909-72673DC309D6}" srcOrd="7" destOrd="0" presId="urn:microsoft.com/office/officeart/2005/8/layout/process1"/>
    <dgm:cxn modelId="{6C785FBC-7EA8-46FE-AE7F-4EF734668BA4}" type="presParOf" srcId="{D814C5DB-95F6-49A5-8909-72673DC309D6}" destId="{F7502E1D-6A3D-4E3A-8CB4-21771AC3BDA4}" srcOrd="0" destOrd="0" presId="urn:microsoft.com/office/officeart/2005/8/layout/process1"/>
    <dgm:cxn modelId="{90343CC1-3C8C-4908-B845-8A93C0D88451}" type="presParOf" srcId="{72731960-9843-416E-AB13-325A6D2E69A2}" destId="{3F4C1FB6-AA96-46D0-A614-940170B09091}" srcOrd="8" destOrd="0" presId="urn:microsoft.com/office/officeart/2005/8/layout/process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128026-353F-431B-960E-07DAA242D628}" type="doc">
      <dgm:prSet loTypeId="urn:microsoft.com/office/officeart/2005/8/layout/list1" loCatId="list" qsTypeId="urn:microsoft.com/office/officeart/2005/8/quickstyle/simple1" qsCatId="simple" csTypeId="urn:microsoft.com/office/officeart/2005/8/colors/accent2_3" csCatId="accent2" phldr="1"/>
      <dgm:spPr/>
      <dgm:t>
        <a:bodyPr/>
        <a:lstStyle/>
        <a:p>
          <a:endParaRPr lang="en-AU"/>
        </a:p>
      </dgm:t>
    </dgm:pt>
    <dgm:pt modelId="{39C1737F-E52B-43D3-BDB0-70E49C20EC54}">
      <dgm:prSet phldrT="[Text]"/>
      <dgm:spPr/>
      <dgm:t>
        <a:bodyPr/>
        <a:lstStyle/>
        <a:p>
          <a:r>
            <a:rPr lang="en-AU">
              <a:solidFill>
                <a:sysClr val="windowText" lastClr="000000"/>
              </a:solidFill>
            </a:rPr>
            <a:t>Implementation</a:t>
          </a:r>
        </a:p>
      </dgm:t>
    </dgm:pt>
    <dgm:pt modelId="{EF012A45-9226-4134-9F0A-9C92826DC134}" type="parTrans" cxnId="{7A6D8B1F-E294-4A72-8633-AAFF8C65A8D0}">
      <dgm:prSet/>
      <dgm:spPr/>
      <dgm:t>
        <a:bodyPr/>
        <a:lstStyle/>
        <a:p>
          <a:endParaRPr lang="en-AU">
            <a:solidFill>
              <a:sysClr val="windowText" lastClr="000000"/>
            </a:solidFill>
          </a:endParaRPr>
        </a:p>
      </dgm:t>
    </dgm:pt>
    <dgm:pt modelId="{DE70720D-3708-4105-9E2B-CA8D69B3E398}" type="sibTrans" cxnId="{7A6D8B1F-E294-4A72-8633-AAFF8C65A8D0}">
      <dgm:prSet/>
      <dgm:spPr/>
      <dgm:t>
        <a:bodyPr/>
        <a:lstStyle/>
        <a:p>
          <a:endParaRPr lang="en-AU">
            <a:solidFill>
              <a:sysClr val="windowText" lastClr="000000"/>
            </a:solidFill>
          </a:endParaRPr>
        </a:p>
      </dgm:t>
    </dgm:pt>
    <dgm:pt modelId="{03271A5E-84F9-4C4E-A658-612EF663DF94}">
      <dgm:prSet phldrT="[Text]"/>
      <dgm:spPr/>
      <dgm:t>
        <a:bodyPr/>
        <a:lstStyle/>
        <a:p>
          <a:r>
            <a:rPr lang="en-AU">
              <a:solidFill>
                <a:sysClr val="windowText" lastClr="000000"/>
              </a:solidFill>
            </a:rPr>
            <a:t> How (well) is the Measure being delivered?</a:t>
          </a:r>
        </a:p>
      </dgm:t>
    </dgm:pt>
    <dgm:pt modelId="{74168046-DF4C-433C-8A09-8D1DFE5EB001}" type="parTrans" cxnId="{AF38631B-E4B9-4120-9DAE-C378E939E76A}">
      <dgm:prSet/>
      <dgm:spPr/>
      <dgm:t>
        <a:bodyPr/>
        <a:lstStyle/>
        <a:p>
          <a:endParaRPr lang="en-AU">
            <a:solidFill>
              <a:sysClr val="windowText" lastClr="000000"/>
            </a:solidFill>
          </a:endParaRPr>
        </a:p>
      </dgm:t>
    </dgm:pt>
    <dgm:pt modelId="{152A379F-A1E4-4A88-A759-4E494069F33F}" type="sibTrans" cxnId="{AF38631B-E4B9-4120-9DAE-C378E939E76A}">
      <dgm:prSet/>
      <dgm:spPr/>
      <dgm:t>
        <a:bodyPr/>
        <a:lstStyle/>
        <a:p>
          <a:endParaRPr lang="en-AU">
            <a:solidFill>
              <a:sysClr val="windowText" lastClr="000000"/>
            </a:solidFill>
          </a:endParaRPr>
        </a:p>
      </dgm:t>
    </dgm:pt>
    <dgm:pt modelId="{EDCC17D8-FFB5-4A95-9FA8-7EC4B1FCD931}">
      <dgm:prSet phldrT="[Text]"/>
      <dgm:spPr/>
      <dgm:t>
        <a:bodyPr/>
        <a:lstStyle/>
        <a:p>
          <a:r>
            <a:rPr lang="en-AU">
              <a:solidFill>
                <a:sysClr val="windowText" lastClr="000000"/>
              </a:solidFill>
            </a:rPr>
            <a:t>Appropriateness</a:t>
          </a:r>
        </a:p>
      </dgm:t>
    </dgm:pt>
    <dgm:pt modelId="{9AB5CB0B-6E49-4800-BDF6-825ADE14F21D}" type="parTrans" cxnId="{3AB8A26E-F3CC-4CBB-AEB5-1FD3F0D6A78A}">
      <dgm:prSet/>
      <dgm:spPr/>
      <dgm:t>
        <a:bodyPr/>
        <a:lstStyle/>
        <a:p>
          <a:endParaRPr lang="en-AU">
            <a:solidFill>
              <a:sysClr val="windowText" lastClr="000000"/>
            </a:solidFill>
          </a:endParaRPr>
        </a:p>
      </dgm:t>
    </dgm:pt>
    <dgm:pt modelId="{8C63A1D1-CAEA-4D1D-B096-72F37FEF31A1}" type="sibTrans" cxnId="{3AB8A26E-F3CC-4CBB-AEB5-1FD3F0D6A78A}">
      <dgm:prSet/>
      <dgm:spPr/>
      <dgm:t>
        <a:bodyPr/>
        <a:lstStyle/>
        <a:p>
          <a:endParaRPr lang="en-AU">
            <a:solidFill>
              <a:sysClr val="windowText" lastClr="000000"/>
            </a:solidFill>
          </a:endParaRPr>
        </a:p>
      </dgm:t>
    </dgm:pt>
    <dgm:pt modelId="{C4C97FA1-75D2-4119-90E4-3CE4D69BCEB9}">
      <dgm:prSet phldrT="[Text]"/>
      <dgm:spPr/>
      <dgm:t>
        <a:bodyPr/>
        <a:lstStyle/>
        <a:p>
          <a:r>
            <a:rPr lang="en-AU">
              <a:solidFill>
                <a:sysClr val="windowText" lastClr="000000"/>
              </a:solidFill>
            </a:rPr>
            <a:t> Is the Measure (still) the right response?</a:t>
          </a:r>
        </a:p>
      </dgm:t>
    </dgm:pt>
    <dgm:pt modelId="{EC86B66F-2B2B-481B-B975-CE8D61EACECA}" type="parTrans" cxnId="{BF5ACA09-A841-4060-AFBA-EE846D30B4BF}">
      <dgm:prSet/>
      <dgm:spPr/>
      <dgm:t>
        <a:bodyPr/>
        <a:lstStyle/>
        <a:p>
          <a:endParaRPr lang="en-AU">
            <a:solidFill>
              <a:sysClr val="windowText" lastClr="000000"/>
            </a:solidFill>
          </a:endParaRPr>
        </a:p>
      </dgm:t>
    </dgm:pt>
    <dgm:pt modelId="{1ED8945B-B1B8-4228-BD2F-E00B02834745}" type="sibTrans" cxnId="{BF5ACA09-A841-4060-AFBA-EE846D30B4BF}">
      <dgm:prSet/>
      <dgm:spPr/>
      <dgm:t>
        <a:bodyPr/>
        <a:lstStyle/>
        <a:p>
          <a:endParaRPr lang="en-AU">
            <a:solidFill>
              <a:sysClr val="windowText" lastClr="000000"/>
            </a:solidFill>
          </a:endParaRPr>
        </a:p>
      </dgm:t>
    </dgm:pt>
    <dgm:pt modelId="{96F9D360-4D64-471E-A47D-F75D6B34C59D}">
      <dgm:prSet phldrT="[Text]"/>
      <dgm:spPr/>
      <dgm:t>
        <a:bodyPr/>
        <a:lstStyle/>
        <a:p>
          <a:r>
            <a:rPr lang="en-AU">
              <a:solidFill>
                <a:sysClr val="windowText" lastClr="000000"/>
              </a:solidFill>
            </a:rPr>
            <a:t>Effectiveness</a:t>
          </a:r>
        </a:p>
      </dgm:t>
    </dgm:pt>
    <dgm:pt modelId="{135A77FC-B330-48CC-AFF2-1A708395ADE5}" type="parTrans" cxnId="{0E2359BF-D964-4B34-89FD-382438621987}">
      <dgm:prSet/>
      <dgm:spPr/>
      <dgm:t>
        <a:bodyPr/>
        <a:lstStyle/>
        <a:p>
          <a:endParaRPr lang="en-AU">
            <a:solidFill>
              <a:sysClr val="windowText" lastClr="000000"/>
            </a:solidFill>
          </a:endParaRPr>
        </a:p>
      </dgm:t>
    </dgm:pt>
    <dgm:pt modelId="{92B6521B-A934-46A6-B6E9-1E075D38D8BE}" type="sibTrans" cxnId="{0E2359BF-D964-4B34-89FD-382438621987}">
      <dgm:prSet/>
      <dgm:spPr/>
      <dgm:t>
        <a:bodyPr/>
        <a:lstStyle/>
        <a:p>
          <a:endParaRPr lang="en-AU">
            <a:solidFill>
              <a:sysClr val="windowText" lastClr="000000"/>
            </a:solidFill>
          </a:endParaRPr>
        </a:p>
      </dgm:t>
    </dgm:pt>
    <dgm:pt modelId="{49636F2E-CD3B-4BEC-832C-5C3B37023415}">
      <dgm:prSet phldrT="[Text]"/>
      <dgm:spPr/>
      <dgm:t>
        <a:bodyPr/>
        <a:lstStyle/>
        <a:p>
          <a:r>
            <a:rPr lang="en-AU">
              <a:solidFill>
                <a:sysClr val="windowText" lastClr="000000"/>
              </a:solidFill>
            </a:rPr>
            <a:t> What difference is the Measure making?</a:t>
          </a:r>
        </a:p>
      </dgm:t>
    </dgm:pt>
    <dgm:pt modelId="{E2DC1B31-EA0B-4552-BDE4-1E74EABF1D77}" type="parTrans" cxnId="{2B346F35-9D29-4F28-92B3-6D57E407F27C}">
      <dgm:prSet/>
      <dgm:spPr/>
      <dgm:t>
        <a:bodyPr/>
        <a:lstStyle/>
        <a:p>
          <a:endParaRPr lang="en-AU">
            <a:solidFill>
              <a:sysClr val="windowText" lastClr="000000"/>
            </a:solidFill>
          </a:endParaRPr>
        </a:p>
      </dgm:t>
    </dgm:pt>
    <dgm:pt modelId="{29DE43A6-19DD-4DC4-973D-9831401F8658}" type="sibTrans" cxnId="{2B346F35-9D29-4F28-92B3-6D57E407F27C}">
      <dgm:prSet/>
      <dgm:spPr/>
      <dgm:t>
        <a:bodyPr/>
        <a:lstStyle/>
        <a:p>
          <a:endParaRPr lang="en-AU">
            <a:solidFill>
              <a:sysClr val="windowText" lastClr="000000"/>
            </a:solidFill>
          </a:endParaRPr>
        </a:p>
      </dgm:t>
    </dgm:pt>
    <dgm:pt modelId="{45AC0FA1-F144-4994-9A07-037BC6A57E7F}">
      <dgm:prSet phldrT="[Text]"/>
      <dgm:spPr/>
      <dgm:t>
        <a:bodyPr/>
        <a:lstStyle/>
        <a:p>
          <a:r>
            <a:rPr lang="en-AU">
              <a:solidFill>
                <a:sysClr val="windowText" lastClr="000000"/>
              </a:solidFill>
            </a:rPr>
            <a:t>Efficiency</a:t>
          </a:r>
        </a:p>
      </dgm:t>
    </dgm:pt>
    <dgm:pt modelId="{872580B3-084D-49FA-B5AE-E6FB2DD08696}" type="parTrans" cxnId="{7F6C28F4-3D15-45A5-929F-F7CEA5F16187}">
      <dgm:prSet/>
      <dgm:spPr/>
      <dgm:t>
        <a:bodyPr/>
        <a:lstStyle/>
        <a:p>
          <a:endParaRPr lang="en-AU">
            <a:solidFill>
              <a:sysClr val="windowText" lastClr="000000"/>
            </a:solidFill>
          </a:endParaRPr>
        </a:p>
      </dgm:t>
    </dgm:pt>
    <dgm:pt modelId="{8E794459-B867-4AEE-A4D2-F82092E6DC3E}" type="sibTrans" cxnId="{7F6C28F4-3D15-45A5-929F-F7CEA5F16187}">
      <dgm:prSet/>
      <dgm:spPr/>
      <dgm:t>
        <a:bodyPr/>
        <a:lstStyle/>
        <a:p>
          <a:endParaRPr lang="en-AU">
            <a:solidFill>
              <a:sysClr val="windowText" lastClr="000000"/>
            </a:solidFill>
          </a:endParaRPr>
        </a:p>
      </dgm:t>
    </dgm:pt>
    <dgm:pt modelId="{E66251A7-4D4B-41FB-9C90-0753375CB653}">
      <dgm:prSet phldrT="[Text]"/>
      <dgm:spPr/>
      <dgm:t>
        <a:bodyPr/>
        <a:lstStyle/>
        <a:p>
          <a:r>
            <a:rPr lang="en-AU">
              <a:solidFill>
                <a:sysClr val="windowText" lastClr="000000"/>
              </a:solidFill>
            </a:rPr>
            <a:t>How well have resources been used?</a:t>
          </a:r>
        </a:p>
      </dgm:t>
    </dgm:pt>
    <dgm:pt modelId="{937B0561-BEC2-4FAD-B51E-48C8F0D9B4EB}" type="parTrans" cxnId="{F0DC0C8C-DF42-4210-9C20-25357B4EBE33}">
      <dgm:prSet/>
      <dgm:spPr/>
      <dgm:t>
        <a:bodyPr/>
        <a:lstStyle/>
        <a:p>
          <a:endParaRPr lang="en-AU">
            <a:solidFill>
              <a:sysClr val="windowText" lastClr="000000"/>
            </a:solidFill>
          </a:endParaRPr>
        </a:p>
      </dgm:t>
    </dgm:pt>
    <dgm:pt modelId="{BD6566E5-AEE4-424A-84C0-924FE9528AF9}" type="sibTrans" cxnId="{F0DC0C8C-DF42-4210-9C20-25357B4EBE33}">
      <dgm:prSet/>
      <dgm:spPr/>
      <dgm:t>
        <a:bodyPr/>
        <a:lstStyle/>
        <a:p>
          <a:endParaRPr lang="en-AU">
            <a:solidFill>
              <a:sysClr val="windowText" lastClr="000000"/>
            </a:solidFill>
          </a:endParaRPr>
        </a:p>
      </dgm:t>
    </dgm:pt>
    <dgm:pt modelId="{5468B860-4111-407D-8206-E73EA4980D98}" type="pres">
      <dgm:prSet presAssocID="{BF128026-353F-431B-960E-07DAA242D628}" presName="linear" presStyleCnt="0">
        <dgm:presLayoutVars>
          <dgm:dir/>
          <dgm:animLvl val="lvl"/>
          <dgm:resizeHandles val="exact"/>
        </dgm:presLayoutVars>
      </dgm:prSet>
      <dgm:spPr/>
    </dgm:pt>
    <dgm:pt modelId="{64341E19-4B27-4F60-8FEA-70E157DFE83B}" type="pres">
      <dgm:prSet presAssocID="{39C1737F-E52B-43D3-BDB0-70E49C20EC54}" presName="parentLin" presStyleCnt="0"/>
      <dgm:spPr/>
    </dgm:pt>
    <dgm:pt modelId="{55E676DA-384A-4EBD-8401-FE5396A011E3}" type="pres">
      <dgm:prSet presAssocID="{39C1737F-E52B-43D3-BDB0-70E49C20EC54}" presName="parentLeftMargin" presStyleLbl="node1" presStyleIdx="0" presStyleCnt="4"/>
      <dgm:spPr/>
    </dgm:pt>
    <dgm:pt modelId="{56E6DB3C-D731-4177-9FF8-D0E37CC1218C}" type="pres">
      <dgm:prSet presAssocID="{39C1737F-E52B-43D3-BDB0-70E49C20EC54}" presName="parentText" presStyleLbl="node1" presStyleIdx="0" presStyleCnt="4">
        <dgm:presLayoutVars>
          <dgm:chMax val="0"/>
          <dgm:bulletEnabled val="1"/>
        </dgm:presLayoutVars>
      </dgm:prSet>
      <dgm:spPr/>
    </dgm:pt>
    <dgm:pt modelId="{02AB6BC8-3345-408A-8113-76B664CB92CE}" type="pres">
      <dgm:prSet presAssocID="{39C1737F-E52B-43D3-BDB0-70E49C20EC54}" presName="negativeSpace" presStyleCnt="0"/>
      <dgm:spPr/>
    </dgm:pt>
    <dgm:pt modelId="{C78518C4-FEAB-4AD1-BF35-3EDB19FDF18D}" type="pres">
      <dgm:prSet presAssocID="{39C1737F-E52B-43D3-BDB0-70E49C20EC54}" presName="childText" presStyleLbl="conFgAcc1" presStyleIdx="0" presStyleCnt="4">
        <dgm:presLayoutVars>
          <dgm:bulletEnabled val="1"/>
        </dgm:presLayoutVars>
      </dgm:prSet>
      <dgm:spPr/>
    </dgm:pt>
    <dgm:pt modelId="{F774F078-52EC-4D58-8942-98CB4BF79C28}" type="pres">
      <dgm:prSet presAssocID="{DE70720D-3708-4105-9E2B-CA8D69B3E398}" presName="spaceBetweenRectangles" presStyleCnt="0"/>
      <dgm:spPr/>
    </dgm:pt>
    <dgm:pt modelId="{A28008A4-A68B-489C-B071-BDC342BC55A0}" type="pres">
      <dgm:prSet presAssocID="{EDCC17D8-FFB5-4A95-9FA8-7EC4B1FCD931}" presName="parentLin" presStyleCnt="0"/>
      <dgm:spPr/>
    </dgm:pt>
    <dgm:pt modelId="{4324251F-5FEC-4863-8887-FA91C0E3058A}" type="pres">
      <dgm:prSet presAssocID="{EDCC17D8-FFB5-4A95-9FA8-7EC4B1FCD931}" presName="parentLeftMargin" presStyleLbl="node1" presStyleIdx="0" presStyleCnt="4"/>
      <dgm:spPr/>
    </dgm:pt>
    <dgm:pt modelId="{D84C9BBE-4A5A-409D-8581-C65D8AC00BED}" type="pres">
      <dgm:prSet presAssocID="{EDCC17D8-FFB5-4A95-9FA8-7EC4B1FCD931}" presName="parentText" presStyleLbl="node1" presStyleIdx="1" presStyleCnt="4">
        <dgm:presLayoutVars>
          <dgm:chMax val="0"/>
          <dgm:bulletEnabled val="1"/>
        </dgm:presLayoutVars>
      </dgm:prSet>
      <dgm:spPr/>
    </dgm:pt>
    <dgm:pt modelId="{A5C53C36-1228-4E3B-8DF2-1C17461005AE}" type="pres">
      <dgm:prSet presAssocID="{EDCC17D8-FFB5-4A95-9FA8-7EC4B1FCD931}" presName="negativeSpace" presStyleCnt="0"/>
      <dgm:spPr/>
    </dgm:pt>
    <dgm:pt modelId="{9A7D4104-9B67-4D4B-8E30-9FEE49113F41}" type="pres">
      <dgm:prSet presAssocID="{EDCC17D8-FFB5-4A95-9FA8-7EC4B1FCD931}" presName="childText" presStyleLbl="conFgAcc1" presStyleIdx="1" presStyleCnt="4">
        <dgm:presLayoutVars>
          <dgm:bulletEnabled val="1"/>
        </dgm:presLayoutVars>
      </dgm:prSet>
      <dgm:spPr/>
    </dgm:pt>
    <dgm:pt modelId="{5DF0CED0-FA1D-44D5-BAC5-010F63BE77AC}" type="pres">
      <dgm:prSet presAssocID="{8C63A1D1-CAEA-4D1D-B096-72F37FEF31A1}" presName="spaceBetweenRectangles" presStyleCnt="0"/>
      <dgm:spPr/>
    </dgm:pt>
    <dgm:pt modelId="{C68F5F2D-EC0B-4DDB-888E-048A36F5AA17}" type="pres">
      <dgm:prSet presAssocID="{96F9D360-4D64-471E-A47D-F75D6B34C59D}" presName="parentLin" presStyleCnt="0"/>
      <dgm:spPr/>
    </dgm:pt>
    <dgm:pt modelId="{D472B05B-F4C3-4908-BE5E-0C2ECC95A9D2}" type="pres">
      <dgm:prSet presAssocID="{96F9D360-4D64-471E-A47D-F75D6B34C59D}" presName="parentLeftMargin" presStyleLbl="node1" presStyleIdx="1" presStyleCnt="4"/>
      <dgm:spPr/>
    </dgm:pt>
    <dgm:pt modelId="{96CE9955-ADB5-4FF8-8E0E-480ADA7C2FDE}" type="pres">
      <dgm:prSet presAssocID="{96F9D360-4D64-471E-A47D-F75D6B34C59D}" presName="parentText" presStyleLbl="node1" presStyleIdx="2" presStyleCnt="4">
        <dgm:presLayoutVars>
          <dgm:chMax val="0"/>
          <dgm:bulletEnabled val="1"/>
        </dgm:presLayoutVars>
      </dgm:prSet>
      <dgm:spPr/>
    </dgm:pt>
    <dgm:pt modelId="{25AD466B-DE30-4FC3-AF88-7A29A036BA78}" type="pres">
      <dgm:prSet presAssocID="{96F9D360-4D64-471E-A47D-F75D6B34C59D}" presName="negativeSpace" presStyleCnt="0"/>
      <dgm:spPr/>
    </dgm:pt>
    <dgm:pt modelId="{E21E47F5-4A9D-4BAD-AE1D-B3C55045A758}" type="pres">
      <dgm:prSet presAssocID="{96F9D360-4D64-471E-A47D-F75D6B34C59D}" presName="childText" presStyleLbl="conFgAcc1" presStyleIdx="2" presStyleCnt="4">
        <dgm:presLayoutVars>
          <dgm:bulletEnabled val="1"/>
        </dgm:presLayoutVars>
      </dgm:prSet>
      <dgm:spPr/>
    </dgm:pt>
    <dgm:pt modelId="{4CB72B7D-7A28-46C9-A071-C14AC85C1484}" type="pres">
      <dgm:prSet presAssocID="{92B6521B-A934-46A6-B6E9-1E075D38D8BE}" presName="spaceBetweenRectangles" presStyleCnt="0"/>
      <dgm:spPr/>
    </dgm:pt>
    <dgm:pt modelId="{74DEC5C9-DCFB-4D79-A5FE-A94F66A022DC}" type="pres">
      <dgm:prSet presAssocID="{45AC0FA1-F144-4994-9A07-037BC6A57E7F}" presName="parentLin" presStyleCnt="0"/>
      <dgm:spPr/>
    </dgm:pt>
    <dgm:pt modelId="{C07F3875-A10A-432D-8A87-E4BD44A9BEA4}" type="pres">
      <dgm:prSet presAssocID="{45AC0FA1-F144-4994-9A07-037BC6A57E7F}" presName="parentLeftMargin" presStyleLbl="node1" presStyleIdx="2" presStyleCnt="4"/>
      <dgm:spPr/>
    </dgm:pt>
    <dgm:pt modelId="{0AB01570-CC3A-4AD4-85B7-81CD6DD6ACF3}" type="pres">
      <dgm:prSet presAssocID="{45AC0FA1-F144-4994-9A07-037BC6A57E7F}" presName="parentText" presStyleLbl="node1" presStyleIdx="3" presStyleCnt="4">
        <dgm:presLayoutVars>
          <dgm:chMax val="0"/>
          <dgm:bulletEnabled val="1"/>
        </dgm:presLayoutVars>
      </dgm:prSet>
      <dgm:spPr/>
    </dgm:pt>
    <dgm:pt modelId="{AC24CB23-ABD2-4FDD-9584-D5F00D0FB0A7}" type="pres">
      <dgm:prSet presAssocID="{45AC0FA1-F144-4994-9A07-037BC6A57E7F}" presName="negativeSpace" presStyleCnt="0"/>
      <dgm:spPr/>
    </dgm:pt>
    <dgm:pt modelId="{BF9D229C-3F6B-4751-9A52-CE69F3F635D8}" type="pres">
      <dgm:prSet presAssocID="{45AC0FA1-F144-4994-9A07-037BC6A57E7F}" presName="childText" presStyleLbl="conFgAcc1" presStyleIdx="3" presStyleCnt="4">
        <dgm:presLayoutVars>
          <dgm:bulletEnabled val="1"/>
        </dgm:presLayoutVars>
      </dgm:prSet>
      <dgm:spPr/>
    </dgm:pt>
  </dgm:ptLst>
  <dgm:cxnLst>
    <dgm:cxn modelId="{BF5ACA09-A841-4060-AFBA-EE846D30B4BF}" srcId="{EDCC17D8-FFB5-4A95-9FA8-7EC4B1FCD931}" destId="{C4C97FA1-75D2-4119-90E4-3CE4D69BCEB9}" srcOrd="0" destOrd="0" parTransId="{EC86B66F-2B2B-481B-B975-CE8D61EACECA}" sibTransId="{1ED8945B-B1B8-4228-BD2F-E00B02834745}"/>
    <dgm:cxn modelId="{C6DD2712-8E3A-4F07-AC5E-85E3E6E82A6E}" type="presOf" srcId="{C4C97FA1-75D2-4119-90E4-3CE4D69BCEB9}" destId="{9A7D4104-9B67-4D4B-8E30-9FEE49113F41}" srcOrd="0" destOrd="0" presId="urn:microsoft.com/office/officeart/2005/8/layout/list1"/>
    <dgm:cxn modelId="{AF38631B-E4B9-4120-9DAE-C378E939E76A}" srcId="{39C1737F-E52B-43D3-BDB0-70E49C20EC54}" destId="{03271A5E-84F9-4C4E-A658-612EF663DF94}" srcOrd="0" destOrd="0" parTransId="{74168046-DF4C-433C-8A09-8D1DFE5EB001}" sibTransId="{152A379F-A1E4-4A88-A759-4E494069F33F}"/>
    <dgm:cxn modelId="{7A6D8B1F-E294-4A72-8633-AAFF8C65A8D0}" srcId="{BF128026-353F-431B-960E-07DAA242D628}" destId="{39C1737F-E52B-43D3-BDB0-70E49C20EC54}" srcOrd="0" destOrd="0" parTransId="{EF012A45-9226-4134-9F0A-9C92826DC134}" sibTransId="{DE70720D-3708-4105-9E2B-CA8D69B3E398}"/>
    <dgm:cxn modelId="{C1BE5F2C-4177-4AE7-85BA-434056346C42}" type="presOf" srcId="{39C1737F-E52B-43D3-BDB0-70E49C20EC54}" destId="{56E6DB3C-D731-4177-9FF8-D0E37CC1218C}" srcOrd="1" destOrd="0" presId="urn:microsoft.com/office/officeart/2005/8/layout/list1"/>
    <dgm:cxn modelId="{AFBD142D-DB8E-4639-B7AB-06E310531B2B}" type="presOf" srcId="{49636F2E-CD3B-4BEC-832C-5C3B37023415}" destId="{E21E47F5-4A9D-4BAD-AE1D-B3C55045A758}" srcOrd="0" destOrd="0" presId="urn:microsoft.com/office/officeart/2005/8/layout/list1"/>
    <dgm:cxn modelId="{70A88233-7636-47F9-A082-9939A6E22D70}" type="presOf" srcId="{45AC0FA1-F144-4994-9A07-037BC6A57E7F}" destId="{C07F3875-A10A-432D-8A87-E4BD44A9BEA4}" srcOrd="0" destOrd="0" presId="urn:microsoft.com/office/officeart/2005/8/layout/list1"/>
    <dgm:cxn modelId="{2B346F35-9D29-4F28-92B3-6D57E407F27C}" srcId="{96F9D360-4D64-471E-A47D-F75D6B34C59D}" destId="{49636F2E-CD3B-4BEC-832C-5C3B37023415}" srcOrd="0" destOrd="0" parTransId="{E2DC1B31-EA0B-4552-BDE4-1E74EABF1D77}" sibTransId="{29DE43A6-19DD-4DC4-973D-9831401F8658}"/>
    <dgm:cxn modelId="{55FCB43C-9A46-4C6B-BBE7-0480462D9976}" type="presOf" srcId="{96F9D360-4D64-471E-A47D-F75D6B34C59D}" destId="{D472B05B-F4C3-4908-BE5E-0C2ECC95A9D2}" srcOrd="0" destOrd="0" presId="urn:microsoft.com/office/officeart/2005/8/layout/list1"/>
    <dgm:cxn modelId="{8EAF8A5F-6C2D-47F7-B205-BA25D5F78107}" type="presOf" srcId="{EDCC17D8-FFB5-4A95-9FA8-7EC4B1FCD931}" destId="{4324251F-5FEC-4863-8887-FA91C0E3058A}" srcOrd="0" destOrd="0" presId="urn:microsoft.com/office/officeart/2005/8/layout/list1"/>
    <dgm:cxn modelId="{B1005949-269D-4DB4-A467-6CACFFD18D04}" type="presOf" srcId="{45AC0FA1-F144-4994-9A07-037BC6A57E7F}" destId="{0AB01570-CC3A-4AD4-85B7-81CD6DD6ACF3}" srcOrd="1" destOrd="0" presId="urn:microsoft.com/office/officeart/2005/8/layout/list1"/>
    <dgm:cxn modelId="{C532D24D-B75A-4418-9DB2-F8F9EC27F39B}" type="presOf" srcId="{BF128026-353F-431B-960E-07DAA242D628}" destId="{5468B860-4111-407D-8206-E73EA4980D98}" srcOrd="0" destOrd="0" presId="urn:microsoft.com/office/officeart/2005/8/layout/list1"/>
    <dgm:cxn modelId="{3AB8A26E-F3CC-4CBB-AEB5-1FD3F0D6A78A}" srcId="{BF128026-353F-431B-960E-07DAA242D628}" destId="{EDCC17D8-FFB5-4A95-9FA8-7EC4B1FCD931}" srcOrd="1" destOrd="0" parTransId="{9AB5CB0B-6E49-4800-BDF6-825ADE14F21D}" sibTransId="{8C63A1D1-CAEA-4D1D-B096-72F37FEF31A1}"/>
    <dgm:cxn modelId="{0E9A866F-D104-4A1C-A710-4B238E56B9A7}" type="presOf" srcId="{E66251A7-4D4B-41FB-9C90-0753375CB653}" destId="{BF9D229C-3F6B-4751-9A52-CE69F3F635D8}" srcOrd="0" destOrd="0" presId="urn:microsoft.com/office/officeart/2005/8/layout/list1"/>
    <dgm:cxn modelId="{F2D29358-9D5E-4070-9E4A-3A665C8CFD12}" type="presOf" srcId="{96F9D360-4D64-471E-A47D-F75D6B34C59D}" destId="{96CE9955-ADB5-4FF8-8E0E-480ADA7C2FDE}" srcOrd="1" destOrd="0" presId="urn:microsoft.com/office/officeart/2005/8/layout/list1"/>
    <dgm:cxn modelId="{F0DC0C8C-DF42-4210-9C20-25357B4EBE33}" srcId="{45AC0FA1-F144-4994-9A07-037BC6A57E7F}" destId="{E66251A7-4D4B-41FB-9C90-0753375CB653}" srcOrd="0" destOrd="0" parTransId="{937B0561-BEC2-4FAD-B51E-48C8F0D9B4EB}" sibTransId="{BD6566E5-AEE4-424A-84C0-924FE9528AF9}"/>
    <dgm:cxn modelId="{AB033C93-B6F7-480F-A914-454B146D7780}" type="presOf" srcId="{03271A5E-84F9-4C4E-A658-612EF663DF94}" destId="{C78518C4-FEAB-4AD1-BF35-3EDB19FDF18D}" srcOrd="0" destOrd="0" presId="urn:microsoft.com/office/officeart/2005/8/layout/list1"/>
    <dgm:cxn modelId="{0E2359BF-D964-4B34-89FD-382438621987}" srcId="{BF128026-353F-431B-960E-07DAA242D628}" destId="{96F9D360-4D64-471E-A47D-F75D6B34C59D}" srcOrd="2" destOrd="0" parTransId="{135A77FC-B330-48CC-AFF2-1A708395ADE5}" sibTransId="{92B6521B-A934-46A6-B6E9-1E075D38D8BE}"/>
    <dgm:cxn modelId="{3ACA86E0-3E2D-4A77-98EE-8ED6181FCF22}" type="presOf" srcId="{39C1737F-E52B-43D3-BDB0-70E49C20EC54}" destId="{55E676DA-384A-4EBD-8401-FE5396A011E3}" srcOrd="0" destOrd="0" presId="urn:microsoft.com/office/officeart/2005/8/layout/list1"/>
    <dgm:cxn modelId="{0F1929EE-FE4E-4FF7-8A4B-32C8376577F3}" type="presOf" srcId="{EDCC17D8-FFB5-4A95-9FA8-7EC4B1FCD931}" destId="{D84C9BBE-4A5A-409D-8581-C65D8AC00BED}" srcOrd="1" destOrd="0" presId="urn:microsoft.com/office/officeart/2005/8/layout/list1"/>
    <dgm:cxn modelId="{7F6C28F4-3D15-45A5-929F-F7CEA5F16187}" srcId="{BF128026-353F-431B-960E-07DAA242D628}" destId="{45AC0FA1-F144-4994-9A07-037BC6A57E7F}" srcOrd="3" destOrd="0" parTransId="{872580B3-084D-49FA-B5AE-E6FB2DD08696}" sibTransId="{8E794459-B867-4AEE-A4D2-F82092E6DC3E}"/>
    <dgm:cxn modelId="{DDF5AA64-A001-4D83-80A9-830B4A5A9D46}" type="presParOf" srcId="{5468B860-4111-407D-8206-E73EA4980D98}" destId="{64341E19-4B27-4F60-8FEA-70E157DFE83B}" srcOrd="0" destOrd="0" presId="urn:microsoft.com/office/officeart/2005/8/layout/list1"/>
    <dgm:cxn modelId="{DEBCEA2F-0161-45C3-9EF1-A8BB8AB3F402}" type="presParOf" srcId="{64341E19-4B27-4F60-8FEA-70E157DFE83B}" destId="{55E676DA-384A-4EBD-8401-FE5396A011E3}" srcOrd="0" destOrd="0" presId="urn:microsoft.com/office/officeart/2005/8/layout/list1"/>
    <dgm:cxn modelId="{FF3390FD-74EB-4B4D-A9EC-47D4D4F36F6E}" type="presParOf" srcId="{64341E19-4B27-4F60-8FEA-70E157DFE83B}" destId="{56E6DB3C-D731-4177-9FF8-D0E37CC1218C}" srcOrd="1" destOrd="0" presId="urn:microsoft.com/office/officeart/2005/8/layout/list1"/>
    <dgm:cxn modelId="{DDED91A0-76E6-4440-A6FA-E57DB8E15B36}" type="presParOf" srcId="{5468B860-4111-407D-8206-E73EA4980D98}" destId="{02AB6BC8-3345-408A-8113-76B664CB92CE}" srcOrd="1" destOrd="0" presId="urn:microsoft.com/office/officeart/2005/8/layout/list1"/>
    <dgm:cxn modelId="{5673C5F9-A003-4448-9644-C2C15609F752}" type="presParOf" srcId="{5468B860-4111-407D-8206-E73EA4980D98}" destId="{C78518C4-FEAB-4AD1-BF35-3EDB19FDF18D}" srcOrd="2" destOrd="0" presId="urn:microsoft.com/office/officeart/2005/8/layout/list1"/>
    <dgm:cxn modelId="{A0176D1C-91CC-4E13-A4F1-3D83F091A4F2}" type="presParOf" srcId="{5468B860-4111-407D-8206-E73EA4980D98}" destId="{F774F078-52EC-4D58-8942-98CB4BF79C28}" srcOrd="3" destOrd="0" presId="urn:microsoft.com/office/officeart/2005/8/layout/list1"/>
    <dgm:cxn modelId="{A2A7F3A5-1A1D-4A96-98A7-F9CF03AF2BC3}" type="presParOf" srcId="{5468B860-4111-407D-8206-E73EA4980D98}" destId="{A28008A4-A68B-489C-B071-BDC342BC55A0}" srcOrd="4" destOrd="0" presId="urn:microsoft.com/office/officeart/2005/8/layout/list1"/>
    <dgm:cxn modelId="{DA46DECF-1A7F-413E-AFE7-E404EA64076A}" type="presParOf" srcId="{A28008A4-A68B-489C-B071-BDC342BC55A0}" destId="{4324251F-5FEC-4863-8887-FA91C0E3058A}" srcOrd="0" destOrd="0" presId="urn:microsoft.com/office/officeart/2005/8/layout/list1"/>
    <dgm:cxn modelId="{7039F9CA-0471-4D5B-AA08-7A481A1D9876}" type="presParOf" srcId="{A28008A4-A68B-489C-B071-BDC342BC55A0}" destId="{D84C9BBE-4A5A-409D-8581-C65D8AC00BED}" srcOrd="1" destOrd="0" presId="urn:microsoft.com/office/officeart/2005/8/layout/list1"/>
    <dgm:cxn modelId="{BF64D588-D87E-40BD-8232-AF5F896222D2}" type="presParOf" srcId="{5468B860-4111-407D-8206-E73EA4980D98}" destId="{A5C53C36-1228-4E3B-8DF2-1C17461005AE}" srcOrd="5" destOrd="0" presId="urn:microsoft.com/office/officeart/2005/8/layout/list1"/>
    <dgm:cxn modelId="{250DCA64-50E1-40C0-B267-2FA94F7BDC77}" type="presParOf" srcId="{5468B860-4111-407D-8206-E73EA4980D98}" destId="{9A7D4104-9B67-4D4B-8E30-9FEE49113F41}" srcOrd="6" destOrd="0" presId="urn:microsoft.com/office/officeart/2005/8/layout/list1"/>
    <dgm:cxn modelId="{158D606F-2ADB-42BF-A367-47F30F1B6AE9}" type="presParOf" srcId="{5468B860-4111-407D-8206-E73EA4980D98}" destId="{5DF0CED0-FA1D-44D5-BAC5-010F63BE77AC}" srcOrd="7" destOrd="0" presId="urn:microsoft.com/office/officeart/2005/8/layout/list1"/>
    <dgm:cxn modelId="{67A6BFD2-4CE0-4B65-89C1-39FC612E6550}" type="presParOf" srcId="{5468B860-4111-407D-8206-E73EA4980D98}" destId="{C68F5F2D-EC0B-4DDB-888E-048A36F5AA17}" srcOrd="8" destOrd="0" presId="urn:microsoft.com/office/officeart/2005/8/layout/list1"/>
    <dgm:cxn modelId="{A943C872-0106-45C0-BE5A-BBDE6F564223}" type="presParOf" srcId="{C68F5F2D-EC0B-4DDB-888E-048A36F5AA17}" destId="{D472B05B-F4C3-4908-BE5E-0C2ECC95A9D2}" srcOrd="0" destOrd="0" presId="urn:microsoft.com/office/officeart/2005/8/layout/list1"/>
    <dgm:cxn modelId="{1AC9AB14-5575-4377-9673-2F1A07B9EAF2}" type="presParOf" srcId="{C68F5F2D-EC0B-4DDB-888E-048A36F5AA17}" destId="{96CE9955-ADB5-4FF8-8E0E-480ADA7C2FDE}" srcOrd="1" destOrd="0" presId="urn:microsoft.com/office/officeart/2005/8/layout/list1"/>
    <dgm:cxn modelId="{254EB2F7-9AD6-4322-BE6C-4D6BE5DACB5C}" type="presParOf" srcId="{5468B860-4111-407D-8206-E73EA4980D98}" destId="{25AD466B-DE30-4FC3-AF88-7A29A036BA78}" srcOrd="9" destOrd="0" presId="urn:microsoft.com/office/officeart/2005/8/layout/list1"/>
    <dgm:cxn modelId="{6E846BAC-D5A6-4787-BD87-1AF1DA9FA05F}" type="presParOf" srcId="{5468B860-4111-407D-8206-E73EA4980D98}" destId="{E21E47F5-4A9D-4BAD-AE1D-B3C55045A758}" srcOrd="10" destOrd="0" presId="urn:microsoft.com/office/officeart/2005/8/layout/list1"/>
    <dgm:cxn modelId="{A7C169EC-1F74-444F-9062-2F4C83DA7D6D}" type="presParOf" srcId="{5468B860-4111-407D-8206-E73EA4980D98}" destId="{4CB72B7D-7A28-46C9-A071-C14AC85C1484}" srcOrd="11" destOrd="0" presId="urn:microsoft.com/office/officeart/2005/8/layout/list1"/>
    <dgm:cxn modelId="{EB39E65A-C42B-4A04-9603-F9471E536AC0}" type="presParOf" srcId="{5468B860-4111-407D-8206-E73EA4980D98}" destId="{74DEC5C9-DCFB-4D79-A5FE-A94F66A022DC}" srcOrd="12" destOrd="0" presId="urn:microsoft.com/office/officeart/2005/8/layout/list1"/>
    <dgm:cxn modelId="{B004D8DC-EF56-422E-8442-0E68909A8755}" type="presParOf" srcId="{74DEC5C9-DCFB-4D79-A5FE-A94F66A022DC}" destId="{C07F3875-A10A-432D-8A87-E4BD44A9BEA4}" srcOrd="0" destOrd="0" presId="urn:microsoft.com/office/officeart/2005/8/layout/list1"/>
    <dgm:cxn modelId="{D809E54B-6964-434E-A7C6-C4B096D28CA1}" type="presParOf" srcId="{74DEC5C9-DCFB-4D79-A5FE-A94F66A022DC}" destId="{0AB01570-CC3A-4AD4-85B7-81CD6DD6ACF3}" srcOrd="1" destOrd="0" presId="urn:microsoft.com/office/officeart/2005/8/layout/list1"/>
    <dgm:cxn modelId="{B8735E24-A50F-41C1-8A1D-995D291E0B60}" type="presParOf" srcId="{5468B860-4111-407D-8206-E73EA4980D98}" destId="{AC24CB23-ABD2-4FDD-9584-D5F00D0FB0A7}" srcOrd="13" destOrd="0" presId="urn:microsoft.com/office/officeart/2005/8/layout/list1"/>
    <dgm:cxn modelId="{E62EF7D7-E3E5-4469-BFB1-E189824B8B7E}" type="presParOf" srcId="{5468B860-4111-407D-8206-E73EA4980D98}" destId="{BF9D229C-3F6B-4751-9A52-CE69F3F635D8}" srcOrd="14" destOrd="0" presId="urn:microsoft.com/office/officeart/2005/8/layout/lis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5F8B47-A3FF-4FE7-B897-A5FB5EE69354}">
      <dsp:nvSpPr>
        <dsp:cNvPr id="0" name=""/>
        <dsp:cNvSpPr/>
      </dsp:nvSpPr>
      <dsp:spPr>
        <a:xfrm>
          <a:off x="2266" y="0"/>
          <a:ext cx="762833" cy="1571625"/>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1</a:t>
          </a:r>
        </a:p>
        <a:p>
          <a:pPr marL="0" lvl="0" indent="0" algn="ctr" defTabSz="400050">
            <a:lnSpc>
              <a:spcPct val="90000"/>
            </a:lnSpc>
            <a:spcBef>
              <a:spcPct val="0"/>
            </a:spcBef>
            <a:spcAft>
              <a:spcPct val="35000"/>
            </a:spcAft>
            <a:buNone/>
          </a:pPr>
          <a:r>
            <a:rPr lang="en-AU" sz="900" b="1" kern="1200">
              <a:solidFill>
                <a:sysClr val="windowText" lastClr="000000"/>
              </a:solidFill>
            </a:rPr>
            <a:t> </a:t>
          </a:r>
          <a:r>
            <a:rPr lang="en-AU" sz="900" b="0" kern="1200">
              <a:solidFill>
                <a:sysClr val="windowText" lastClr="000000"/>
              </a:solidFill>
            </a:rPr>
            <a:t>Project initiation </a:t>
          </a:r>
          <a:br>
            <a:rPr lang="en-AU" sz="900" b="1" kern="1200">
              <a:solidFill>
                <a:sysClr val="windowText" lastClr="000000"/>
              </a:solidFill>
            </a:rPr>
          </a:br>
          <a:br>
            <a:rPr lang="en-AU" sz="600" kern="1200">
              <a:solidFill>
                <a:sysClr val="windowText" lastClr="000000"/>
              </a:solidFill>
            </a:rPr>
          </a:br>
          <a:r>
            <a:rPr lang="en-AU" sz="900" kern="1200">
              <a:solidFill>
                <a:sysClr val="windowText" lastClr="000000"/>
              </a:solidFill>
            </a:rPr>
            <a:t>March 2025</a:t>
          </a:r>
        </a:p>
      </dsp:txBody>
      <dsp:txXfrm>
        <a:off x="24609" y="22343"/>
        <a:ext cx="718147" cy="1526939"/>
      </dsp:txXfrm>
    </dsp:sp>
    <dsp:sp modelId="{E9D1194F-F229-4DD1-B39F-18A71AB5054D}">
      <dsp:nvSpPr>
        <dsp:cNvPr id="0" name=""/>
        <dsp:cNvSpPr/>
      </dsp:nvSpPr>
      <dsp:spPr>
        <a:xfrm>
          <a:off x="813967" y="715891"/>
          <a:ext cx="103598" cy="139842"/>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solidFill>
              <a:sysClr val="windowText" lastClr="000000"/>
            </a:solidFill>
          </a:endParaRPr>
        </a:p>
      </dsp:txBody>
      <dsp:txXfrm>
        <a:off x="813967" y="743859"/>
        <a:ext cx="72519" cy="83906"/>
      </dsp:txXfrm>
    </dsp:sp>
    <dsp:sp modelId="{DB9802D9-2DD6-4C9D-8F79-62A82D0316B5}">
      <dsp:nvSpPr>
        <dsp:cNvPr id="0" name=""/>
        <dsp:cNvSpPr/>
      </dsp:nvSpPr>
      <dsp:spPr>
        <a:xfrm>
          <a:off x="960568" y="0"/>
          <a:ext cx="762833" cy="1571625"/>
        </a:xfrm>
        <a:prstGeom prst="roundRect">
          <a:avLst>
            <a:gd name="adj" fmla="val 10000"/>
          </a:avLst>
        </a:prstGeom>
        <a:solidFill>
          <a:schemeClr val="accent2">
            <a:hueOff val="880784"/>
            <a:satOff val="-10522"/>
            <a:lumOff val="-514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2</a:t>
          </a:r>
        </a:p>
        <a:p>
          <a:pPr marL="0" lvl="0" indent="0" algn="ctr" defTabSz="400050">
            <a:lnSpc>
              <a:spcPct val="90000"/>
            </a:lnSpc>
            <a:spcBef>
              <a:spcPct val="0"/>
            </a:spcBef>
            <a:spcAft>
              <a:spcPct val="35000"/>
            </a:spcAft>
            <a:buNone/>
          </a:pPr>
          <a:r>
            <a:rPr lang="en-AU" sz="900" b="1" kern="1200">
              <a:solidFill>
                <a:sysClr val="windowText" lastClr="000000"/>
              </a:solidFill>
            </a:rPr>
            <a:t> </a:t>
          </a:r>
          <a:r>
            <a:rPr lang="en-AU" sz="900" b="0" kern="1200">
              <a:solidFill>
                <a:sysClr val="windowText" lastClr="000000"/>
              </a:solidFill>
            </a:rPr>
            <a:t>Evaluation Plan </a:t>
          </a:r>
          <a:br>
            <a:rPr lang="en-AU" sz="900" b="1" kern="1200">
              <a:solidFill>
                <a:sysClr val="windowText" lastClr="000000"/>
              </a:solidFill>
            </a:rPr>
          </a:br>
          <a:br>
            <a:rPr lang="en-AU" sz="600" kern="1200">
              <a:solidFill>
                <a:sysClr val="windowText" lastClr="000000"/>
              </a:solidFill>
            </a:rPr>
          </a:br>
          <a:r>
            <a:rPr lang="en-AU" sz="900" kern="1200">
              <a:solidFill>
                <a:sysClr val="windowText" lastClr="000000"/>
              </a:solidFill>
            </a:rPr>
            <a:t>April 2025</a:t>
          </a:r>
        </a:p>
      </dsp:txBody>
      <dsp:txXfrm>
        <a:off x="982911" y="22343"/>
        <a:ext cx="718147" cy="1526939"/>
      </dsp:txXfrm>
    </dsp:sp>
    <dsp:sp modelId="{4489EE75-A92E-45FC-B420-6BC9C7D37FDF}">
      <dsp:nvSpPr>
        <dsp:cNvPr id="0" name=""/>
        <dsp:cNvSpPr/>
      </dsp:nvSpPr>
      <dsp:spPr>
        <a:xfrm>
          <a:off x="1772269" y="715891"/>
          <a:ext cx="103598" cy="139842"/>
        </a:xfrm>
        <a:prstGeom prst="rightArrow">
          <a:avLst>
            <a:gd name="adj1" fmla="val 60000"/>
            <a:gd name="adj2" fmla="val 50000"/>
          </a:avLst>
        </a:prstGeom>
        <a:solidFill>
          <a:schemeClr val="accent2">
            <a:hueOff val="1174378"/>
            <a:satOff val="-14029"/>
            <a:lumOff val="-686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solidFill>
              <a:sysClr val="windowText" lastClr="000000"/>
            </a:solidFill>
          </a:endParaRPr>
        </a:p>
      </dsp:txBody>
      <dsp:txXfrm>
        <a:off x="1772269" y="743859"/>
        <a:ext cx="72519" cy="83906"/>
      </dsp:txXfrm>
    </dsp:sp>
    <dsp:sp modelId="{8290E9B3-4BA9-4BAD-B573-4F74B8DB8956}">
      <dsp:nvSpPr>
        <dsp:cNvPr id="0" name=""/>
        <dsp:cNvSpPr/>
      </dsp:nvSpPr>
      <dsp:spPr>
        <a:xfrm>
          <a:off x="1918870" y="0"/>
          <a:ext cx="762833" cy="1571625"/>
        </a:xfrm>
        <a:prstGeom prst="roundRect">
          <a:avLst>
            <a:gd name="adj" fmla="val 10000"/>
          </a:avLst>
        </a:prstGeom>
        <a:solidFill>
          <a:schemeClr val="accent2">
            <a:hueOff val="1761568"/>
            <a:satOff val="-21044"/>
            <a:lumOff val="-1029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3</a:t>
          </a:r>
        </a:p>
        <a:p>
          <a:pPr marL="0" lvl="0" indent="0" algn="ctr" defTabSz="400050">
            <a:lnSpc>
              <a:spcPct val="90000"/>
            </a:lnSpc>
            <a:spcBef>
              <a:spcPct val="0"/>
            </a:spcBef>
            <a:spcAft>
              <a:spcPct val="35000"/>
            </a:spcAft>
            <a:buNone/>
          </a:pPr>
          <a:r>
            <a:rPr lang="en-AU" sz="900" b="1" kern="1200">
              <a:solidFill>
                <a:sysClr val="windowText" lastClr="000000"/>
              </a:solidFill>
            </a:rPr>
            <a:t> </a:t>
          </a:r>
          <a:r>
            <a:rPr lang="en-AU" sz="900" b="0" kern="1200">
              <a:solidFill>
                <a:sysClr val="windowText" lastClr="000000"/>
              </a:solidFill>
            </a:rPr>
            <a:t>Develop data collection instruments </a:t>
          </a:r>
          <a:br>
            <a:rPr lang="en-AU" sz="900" b="1" kern="1200">
              <a:solidFill>
                <a:sysClr val="windowText" lastClr="000000"/>
              </a:solidFill>
            </a:rPr>
          </a:br>
          <a:br>
            <a:rPr lang="en-AU" sz="600" b="1" kern="1200">
              <a:solidFill>
                <a:sysClr val="windowText" lastClr="000000"/>
              </a:solidFill>
            </a:rPr>
          </a:br>
          <a:r>
            <a:rPr lang="en-AU" sz="900" kern="1200">
              <a:solidFill>
                <a:sysClr val="windowText" lastClr="000000"/>
              </a:solidFill>
            </a:rPr>
            <a:t>May 2025</a:t>
          </a:r>
        </a:p>
      </dsp:txBody>
      <dsp:txXfrm>
        <a:off x="1941213" y="22343"/>
        <a:ext cx="718147" cy="1526939"/>
      </dsp:txXfrm>
    </dsp:sp>
    <dsp:sp modelId="{EC38E429-070B-491D-8FE3-D870CA860D10}">
      <dsp:nvSpPr>
        <dsp:cNvPr id="0" name=""/>
        <dsp:cNvSpPr/>
      </dsp:nvSpPr>
      <dsp:spPr>
        <a:xfrm>
          <a:off x="2730571" y="715891"/>
          <a:ext cx="103598" cy="139842"/>
        </a:xfrm>
        <a:prstGeom prst="rightArrow">
          <a:avLst>
            <a:gd name="adj1" fmla="val 60000"/>
            <a:gd name="adj2" fmla="val 50000"/>
          </a:avLst>
        </a:prstGeom>
        <a:solidFill>
          <a:schemeClr val="accent2">
            <a:hueOff val="2348757"/>
            <a:satOff val="-28058"/>
            <a:lumOff val="-1372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solidFill>
              <a:sysClr val="windowText" lastClr="000000"/>
            </a:solidFill>
          </a:endParaRPr>
        </a:p>
      </dsp:txBody>
      <dsp:txXfrm>
        <a:off x="2730571" y="743859"/>
        <a:ext cx="72519" cy="83906"/>
      </dsp:txXfrm>
    </dsp:sp>
    <dsp:sp modelId="{9331389D-DDB9-4638-AAE6-DB1CBBE79A08}">
      <dsp:nvSpPr>
        <dsp:cNvPr id="0" name=""/>
        <dsp:cNvSpPr/>
      </dsp:nvSpPr>
      <dsp:spPr>
        <a:xfrm>
          <a:off x="2877172" y="0"/>
          <a:ext cx="762833" cy="1571625"/>
        </a:xfrm>
        <a:prstGeom prst="roundRect">
          <a:avLst>
            <a:gd name="adj" fmla="val 10000"/>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4</a:t>
          </a:r>
        </a:p>
        <a:p>
          <a:pPr marL="0" lvl="0" indent="0" algn="ctr" defTabSz="400050">
            <a:lnSpc>
              <a:spcPct val="90000"/>
            </a:lnSpc>
            <a:spcBef>
              <a:spcPct val="0"/>
            </a:spcBef>
            <a:spcAft>
              <a:spcPct val="35000"/>
            </a:spcAft>
            <a:buNone/>
          </a:pPr>
          <a:r>
            <a:rPr lang="en-AU" sz="900" b="0" kern="1200">
              <a:solidFill>
                <a:sysClr val="windowText" lastClr="000000"/>
              </a:solidFill>
            </a:rPr>
            <a:t>Data collection, analysis, and reporting </a:t>
          </a:r>
          <a:br>
            <a:rPr lang="en-AU" sz="900" kern="1200">
              <a:solidFill>
                <a:sysClr val="windowText" lastClr="000000"/>
              </a:solidFill>
            </a:rPr>
          </a:br>
          <a:br>
            <a:rPr lang="en-AU" sz="600" kern="1200">
              <a:solidFill>
                <a:sysClr val="windowText" lastClr="000000"/>
              </a:solidFill>
            </a:rPr>
          </a:br>
          <a:r>
            <a:rPr lang="en-AU" sz="900" kern="1200">
              <a:solidFill>
                <a:sysClr val="windowText" lastClr="000000"/>
              </a:solidFill>
            </a:rPr>
            <a:t>June</a:t>
          </a:r>
          <a:r>
            <a:rPr lang="en-US" sz="900" kern="1200">
              <a:solidFill>
                <a:sysClr val="windowText" lastClr="000000"/>
              </a:solidFill>
            </a:rPr>
            <a:t>–</a:t>
          </a:r>
          <a:r>
            <a:rPr lang="en-AU" sz="900" kern="1200">
              <a:solidFill>
                <a:sysClr val="windowText" lastClr="000000"/>
              </a:solidFill>
            </a:rPr>
            <a:t>October 2025</a:t>
          </a:r>
        </a:p>
      </dsp:txBody>
      <dsp:txXfrm>
        <a:off x="2899515" y="22343"/>
        <a:ext cx="718147" cy="1526939"/>
      </dsp:txXfrm>
    </dsp:sp>
    <dsp:sp modelId="{D814C5DB-95F6-49A5-8909-72673DC309D6}">
      <dsp:nvSpPr>
        <dsp:cNvPr id="0" name=""/>
        <dsp:cNvSpPr/>
      </dsp:nvSpPr>
      <dsp:spPr>
        <a:xfrm>
          <a:off x="3688873" y="715891"/>
          <a:ext cx="103598" cy="139842"/>
        </a:xfrm>
        <a:prstGeom prst="rightArrow">
          <a:avLst>
            <a:gd name="adj1" fmla="val 60000"/>
            <a:gd name="adj2" fmla="val 50000"/>
          </a:avLst>
        </a:prstGeom>
        <a:solidFill>
          <a:schemeClr val="accent2">
            <a:hueOff val="3523135"/>
            <a:satOff val="-42087"/>
            <a:lumOff val="-2058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solidFill>
              <a:sysClr val="windowText" lastClr="000000"/>
            </a:solidFill>
          </a:endParaRPr>
        </a:p>
      </dsp:txBody>
      <dsp:txXfrm>
        <a:off x="3688873" y="743859"/>
        <a:ext cx="72519" cy="83906"/>
      </dsp:txXfrm>
    </dsp:sp>
    <dsp:sp modelId="{3F4C1FB6-AA96-46D0-A614-940170B09091}">
      <dsp:nvSpPr>
        <dsp:cNvPr id="0" name=""/>
        <dsp:cNvSpPr/>
      </dsp:nvSpPr>
      <dsp:spPr>
        <a:xfrm>
          <a:off x="3835474" y="0"/>
          <a:ext cx="762833" cy="1571625"/>
        </a:xfrm>
        <a:prstGeom prst="roundRect">
          <a:avLst>
            <a:gd name="adj" fmla="val 10000"/>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5</a:t>
          </a:r>
        </a:p>
        <a:p>
          <a:pPr marL="0" lvl="0" indent="0" algn="ctr" defTabSz="400050">
            <a:lnSpc>
              <a:spcPct val="90000"/>
            </a:lnSpc>
            <a:spcBef>
              <a:spcPct val="0"/>
            </a:spcBef>
            <a:spcAft>
              <a:spcPct val="35000"/>
            </a:spcAft>
            <a:buNone/>
          </a:pPr>
          <a:r>
            <a:rPr lang="en-AU" sz="900" b="0" kern="1200">
              <a:solidFill>
                <a:sysClr val="windowText" lastClr="000000"/>
              </a:solidFill>
            </a:rPr>
            <a:t>Final reporting </a:t>
          </a:r>
          <a:br>
            <a:rPr lang="en-AU" sz="900" kern="1200">
              <a:solidFill>
                <a:sysClr val="windowText" lastClr="000000"/>
              </a:solidFill>
            </a:rPr>
          </a:br>
          <a:br>
            <a:rPr lang="en-AU" sz="600" kern="1200">
              <a:solidFill>
                <a:sysClr val="windowText" lastClr="000000"/>
              </a:solidFill>
            </a:rPr>
          </a:br>
          <a:r>
            <a:rPr lang="en-AU" sz="900" kern="1200">
              <a:solidFill>
                <a:sysClr val="windowText" lastClr="000000"/>
              </a:solidFill>
            </a:rPr>
            <a:t>March 2026</a:t>
          </a:r>
        </a:p>
      </dsp:txBody>
      <dsp:txXfrm>
        <a:off x="3857817" y="22343"/>
        <a:ext cx="718147" cy="15269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8518C4-FEAB-4AD1-BF35-3EDB19FDF18D}">
      <dsp:nvSpPr>
        <dsp:cNvPr id="0" name=""/>
        <dsp:cNvSpPr/>
      </dsp:nvSpPr>
      <dsp:spPr>
        <a:xfrm>
          <a:off x="0" y="146369"/>
          <a:ext cx="4486275" cy="340200"/>
        </a:xfrm>
        <a:prstGeom prst="rect">
          <a:avLst/>
        </a:prstGeom>
        <a:solidFill>
          <a:schemeClr val="lt1">
            <a:alpha val="90000"/>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8185" tIns="166624" rIns="348185" bIns="56896"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solidFill>
            </a:rPr>
            <a:t> How (well) is the Measure being delivered?</a:t>
          </a:r>
        </a:p>
      </dsp:txBody>
      <dsp:txXfrm>
        <a:off x="0" y="146369"/>
        <a:ext cx="4486275" cy="340200"/>
      </dsp:txXfrm>
    </dsp:sp>
    <dsp:sp modelId="{56E6DB3C-D731-4177-9FF8-D0E37CC1218C}">
      <dsp:nvSpPr>
        <dsp:cNvPr id="0" name=""/>
        <dsp:cNvSpPr/>
      </dsp:nvSpPr>
      <dsp:spPr>
        <a:xfrm>
          <a:off x="224313" y="28289"/>
          <a:ext cx="3140392" cy="236160"/>
        </a:xfrm>
        <a:prstGeom prst="roundRect">
          <a:avLst/>
        </a:prstGeom>
        <a:solidFill>
          <a:schemeClr val="accent2">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marL="0" lvl="0" indent="0" algn="l" defTabSz="355600">
            <a:lnSpc>
              <a:spcPct val="90000"/>
            </a:lnSpc>
            <a:spcBef>
              <a:spcPct val="0"/>
            </a:spcBef>
            <a:spcAft>
              <a:spcPct val="35000"/>
            </a:spcAft>
            <a:buNone/>
          </a:pPr>
          <a:r>
            <a:rPr lang="en-AU" sz="800" kern="1200">
              <a:solidFill>
                <a:sysClr val="windowText" lastClr="000000"/>
              </a:solidFill>
            </a:rPr>
            <a:t>Implementation</a:t>
          </a:r>
        </a:p>
      </dsp:txBody>
      <dsp:txXfrm>
        <a:off x="235841" y="39817"/>
        <a:ext cx="3117336" cy="213104"/>
      </dsp:txXfrm>
    </dsp:sp>
    <dsp:sp modelId="{9A7D4104-9B67-4D4B-8E30-9FEE49113F41}">
      <dsp:nvSpPr>
        <dsp:cNvPr id="0" name=""/>
        <dsp:cNvSpPr/>
      </dsp:nvSpPr>
      <dsp:spPr>
        <a:xfrm>
          <a:off x="0" y="647849"/>
          <a:ext cx="4486275" cy="340200"/>
        </a:xfrm>
        <a:prstGeom prst="rect">
          <a:avLst/>
        </a:prstGeom>
        <a:solidFill>
          <a:schemeClr val="lt1">
            <a:alpha val="90000"/>
            <a:hueOff val="0"/>
            <a:satOff val="0"/>
            <a:lumOff val="0"/>
            <a:alphaOff val="0"/>
          </a:schemeClr>
        </a:solidFill>
        <a:ln w="12700" cap="flat" cmpd="sng" algn="ctr">
          <a:solidFill>
            <a:schemeClr val="accent2">
              <a:shade val="80000"/>
              <a:hueOff val="-67035"/>
              <a:satOff val="66"/>
              <a:lumOff val="814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8185" tIns="166624" rIns="348185" bIns="56896"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solidFill>
            </a:rPr>
            <a:t> Is the Measure (still) the right response?</a:t>
          </a:r>
        </a:p>
      </dsp:txBody>
      <dsp:txXfrm>
        <a:off x="0" y="647849"/>
        <a:ext cx="4486275" cy="340200"/>
      </dsp:txXfrm>
    </dsp:sp>
    <dsp:sp modelId="{D84C9BBE-4A5A-409D-8581-C65D8AC00BED}">
      <dsp:nvSpPr>
        <dsp:cNvPr id="0" name=""/>
        <dsp:cNvSpPr/>
      </dsp:nvSpPr>
      <dsp:spPr>
        <a:xfrm>
          <a:off x="224313" y="529769"/>
          <a:ext cx="3140392" cy="236160"/>
        </a:xfrm>
        <a:prstGeom prst="roundRect">
          <a:avLst/>
        </a:prstGeom>
        <a:solidFill>
          <a:schemeClr val="accent2">
            <a:shade val="80000"/>
            <a:hueOff val="-67035"/>
            <a:satOff val="66"/>
            <a:lumOff val="81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marL="0" lvl="0" indent="0" algn="l" defTabSz="355600">
            <a:lnSpc>
              <a:spcPct val="90000"/>
            </a:lnSpc>
            <a:spcBef>
              <a:spcPct val="0"/>
            </a:spcBef>
            <a:spcAft>
              <a:spcPct val="35000"/>
            </a:spcAft>
            <a:buNone/>
          </a:pPr>
          <a:r>
            <a:rPr lang="en-AU" sz="800" kern="1200">
              <a:solidFill>
                <a:sysClr val="windowText" lastClr="000000"/>
              </a:solidFill>
            </a:rPr>
            <a:t>Appropriateness</a:t>
          </a:r>
        </a:p>
      </dsp:txBody>
      <dsp:txXfrm>
        <a:off x="235841" y="541297"/>
        <a:ext cx="3117336" cy="213104"/>
      </dsp:txXfrm>
    </dsp:sp>
    <dsp:sp modelId="{E21E47F5-4A9D-4BAD-AE1D-B3C55045A758}">
      <dsp:nvSpPr>
        <dsp:cNvPr id="0" name=""/>
        <dsp:cNvSpPr/>
      </dsp:nvSpPr>
      <dsp:spPr>
        <a:xfrm>
          <a:off x="0" y="1149329"/>
          <a:ext cx="4486275" cy="340200"/>
        </a:xfrm>
        <a:prstGeom prst="rect">
          <a:avLst/>
        </a:prstGeom>
        <a:solidFill>
          <a:schemeClr val="lt1">
            <a:alpha val="90000"/>
            <a:hueOff val="0"/>
            <a:satOff val="0"/>
            <a:lumOff val="0"/>
            <a:alphaOff val="0"/>
          </a:schemeClr>
        </a:solidFill>
        <a:ln w="12700" cap="flat" cmpd="sng" algn="ctr">
          <a:solidFill>
            <a:schemeClr val="accent2">
              <a:shade val="80000"/>
              <a:hueOff val="-134070"/>
              <a:satOff val="133"/>
              <a:lumOff val="162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8185" tIns="166624" rIns="348185" bIns="56896"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solidFill>
            </a:rPr>
            <a:t> What difference is the Measure making?</a:t>
          </a:r>
        </a:p>
      </dsp:txBody>
      <dsp:txXfrm>
        <a:off x="0" y="1149329"/>
        <a:ext cx="4486275" cy="340200"/>
      </dsp:txXfrm>
    </dsp:sp>
    <dsp:sp modelId="{96CE9955-ADB5-4FF8-8E0E-480ADA7C2FDE}">
      <dsp:nvSpPr>
        <dsp:cNvPr id="0" name=""/>
        <dsp:cNvSpPr/>
      </dsp:nvSpPr>
      <dsp:spPr>
        <a:xfrm>
          <a:off x="224313" y="1031250"/>
          <a:ext cx="3140392" cy="236160"/>
        </a:xfrm>
        <a:prstGeom prst="roundRect">
          <a:avLst/>
        </a:prstGeom>
        <a:solidFill>
          <a:schemeClr val="accent2">
            <a:shade val="80000"/>
            <a:hueOff val="-134070"/>
            <a:satOff val="133"/>
            <a:lumOff val="162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marL="0" lvl="0" indent="0" algn="l" defTabSz="355600">
            <a:lnSpc>
              <a:spcPct val="90000"/>
            </a:lnSpc>
            <a:spcBef>
              <a:spcPct val="0"/>
            </a:spcBef>
            <a:spcAft>
              <a:spcPct val="35000"/>
            </a:spcAft>
            <a:buNone/>
          </a:pPr>
          <a:r>
            <a:rPr lang="en-AU" sz="800" kern="1200">
              <a:solidFill>
                <a:sysClr val="windowText" lastClr="000000"/>
              </a:solidFill>
            </a:rPr>
            <a:t>Effectiveness</a:t>
          </a:r>
        </a:p>
      </dsp:txBody>
      <dsp:txXfrm>
        <a:off x="235841" y="1042778"/>
        <a:ext cx="3117336" cy="213104"/>
      </dsp:txXfrm>
    </dsp:sp>
    <dsp:sp modelId="{BF9D229C-3F6B-4751-9A52-CE69F3F635D8}">
      <dsp:nvSpPr>
        <dsp:cNvPr id="0" name=""/>
        <dsp:cNvSpPr/>
      </dsp:nvSpPr>
      <dsp:spPr>
        <a:xfrm>
          <a:off x="0" y="1650810"/>
          <a:ext cx="4486275" cy="340200"/>
        </a:xfrm>
        <a:prstGeom prst="rect">
          <a:avLst/>
        </a:prstGeom>
        <a:solidFill>
          <a:schemeClr val="lt1">
            <a:alpha val="90000"/>
            <a:hueOff val="0"/>
            <a:satOff val="0"/>
            <a:lumOff val="0"/>
            <a:alphaOff val="0"/>
          </a:schemeClr>
        </a:solidFill>
        <a:ln w="12700" cap="flat" cmpd="sng" algn="ctr">
          <a:solidFill>
            <a:schemeClr val="accent2">
              <a:shade val="80000"/>
              <a:hueOff val="-201106"/>
              <a:satOff val="199"/>
              <a:lumOff val="2442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8185" tIns="166624" rIns="348185" bIns="56896"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solidFill>
            </a:rPr>
            <a:t>How well have resources been used?</a:t>
          </a:r>
        </a:p>
      </dsp:txBody>
      <dsp:txXfrm>
        <a:off x="0" y="1650810"/>
        <a:ext cx="4486275" cy="340200"/>
      </dsp:txXfrm>
    </dsp:sp>
    <dsp:sp modelId="{0AB01570-CC3A-4AD4-85B7-81CD6DD6ACF3}">
      <dsp:nvSpPr>
        <dsp:cNvPr id="0" name=""/>
        <dsp:cNvSpPr/>
      </dsp:nvSpPr>
      <dsp:spPr>
        <a:xfrm>
          <a:off x="224313" y="1532730"/>
          <a:ext cx="3140392" cy="236160"/>
        </a:xfrm>
        <a:prstGeom prst="roundRect">
          <a:avLst/>
        </a:prstGeom>
        <a:solidFill>
          <a:schemeClr val="accent2">
            <a:shade val="80000"/>
            <a:hueOff val="-201106"/>
            <a:satOff val="199"/>
            <a:lumOff val="244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marL="0" lvl="0" indent="0" algn="l" defTabSz="355600">
            <a:lnSpc>
              <a:spcPct val="90000"/>
            </a:lnSpc>
            <a:spcBef>
              <a:spcPct val="0"/>
            </a:spcBef>
            <a:spcAft>
              <a:spcPct val="35000"/>
            </a:spcAft>
            <a:buNone/>
          </a:pPr>
          <a:r>
            <a:rPr lang="en-AU" sz="800" kern="1200">
              <a:solidFill>
                <a:sysClr val="windowText" lastClr="000000"/>
              </a:solidFill>
            </a:rPr>
            <a:t>Efficiency</a:t>
          </a:r>
        </a:p>
      </dsp:txBody>
      <dsp:txXfrm>
        <a:off x="235841" y="1544258"/>
        <a:ext cx="3117336" cy="21310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8EFE79597643B7A9BBD5E30DB5AD1D"/>
        <w:category>
          <w:name w:val="General"/>
          <w:gallery w:val="placeholder"/>
        </w:category>
        <w:types>
          <w:type w:val="bbPlcHdr"/>
        </w:types>
        <w:behaviors>
          <w:behavior w:val="content"/>
        </w:behaviors>
        <w:guid w:val="{CEBA8B26-040F-4F91-8B86-652ED0280221}"/>
      </w:docPartPr>
      <w:docPartBody>
        <w:p w:rsidR="00FA1587" w:rsidRDefault="005E770D">
          <w:pPr>
            <w:pStyle w:val="ED8EFE79597643B7A9BBD5E30DB5AD1D"/>
          </w:pPr>
          <w:r w:rsidRPr="00D841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eue Haas Grotesk Text Pro">
    <w:charset w:val="00"/>
    <w:family w:val="swiss"/>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Franklin Gothic Demi">
    <w:panose1 w:val="020B07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B54"/>
    <w:rsid w:val="000059E1"/>
    <w:rsid w:val="00023B2B"/>
    <w:rsid w:val="00031F9A"/>
    <w:rsid w:val="000706A7"/>
    <w:rsid w:val="000755E6"/>
    <w:rsid w:val="00081527"/>
    <w:rsid w:val="000F02BE"/>
    <w:rsid w:val="000F2FA7"/>
    <w:rsid w:val="00112929"/>
    <w:rsid w:val="00113F1F"/>
    <w:rsid w:val="00113F91"/>
    <w:rsid w:val="001366CA"/>
    <w:rsid w:val="00157F1B"/>
    <w:rsid w:val="00166535"/>
    <w:rsid w:val="00174B22"/>
    <w:rsid w:val="001B5358"/>
    <w:rsid w:val="001C1CF9"/>
    <w:rsid w:val="001D008B"/>
    <w:rsid w:val="00242387"/>
    <w:rsid w:val="002A38A2"/>
    <w:rsid w:val="002E6836"/>
    <w:rsid w:val="00310619"/>
    <w:rsid w:val="00345E48"/>
    <w:rsid w:val="00355A2C"/>
    <w:rsid w:val="00387FDC"/>
    <w:rsid w:val="003B6BEB"/>
    <w:rsid w:val="003D7C7C"/>
    <w:rsid w:val="003E2232"/>
    <w:rsid w:val="003F22C3"/>
    <w:rsid w:val="003F5F3D"/>
    <w:rsid w:val="00424B54"/>
    <w:rsid w:val="004455CC"/>
    <w:rsid w:val="00492EAE"/>
    <w:rsid w:val="00493BE6"/>
    <w:rsid w:val="004A1107"/>
    <w:rsid w:val="00503650"/>
    <w:rsid w:val="00507950"/>
    <w:rsid w:val="00514C7A"/>
    <w:rsid w:val="00532EB4"/>
    <w:rsid w:val="005524D1"/>
    <w:rsid w:val="00586904"/>
    <w:rsid w:val="005E770D"/>
    <w:rsid w:val="005F1F2C"/>
    <w:rsid w:val="00606BB4"/>
    <w:rsid w:val="00632AFF"/>
    <w:rsid w:val="006514DC"/>
    <w:rsid w:val="006A3E33"/>
    <w:rsid w:val="006B20DD"/>
    <w:rsid w:val="006E02A3"/>
    <w:rsid w:val="00737F36"/>
    <w:rsid w:val="007A3BB2"/>
    <w:rsid w:val="007B4DA0"/>
    <w:rsid w:val="007F5F9A"/>
    <w:rsid w:val="007F78D3"/>
    <w:rsid w:val="00852348"/>
    <w:rsid w:val="008608ED"/>
    <w:rsid w:val="008854CC"/>
    <w:rsid w:val="00894B69"/>
    <w:rsid w:val="008964D5"/>
    <w:rsid w:val="00897367"/>
    <w:rsid w:val="008D4B1E"/>
    <w:rsid w:val="008E572E"/>
    <w:rsid w:val="00901B12"/>
    <w:rsid w:val="00912C6B"/>
    <w:rsid w:val="00932889"/>
    <w:rsid w:val="00935356"/>
    <w:rsid w:val="00997B06"/>
    <w:rsid w:val="009A1C84"/>
    <w:rsid w:val="009A7605"/>
    <w:rsid w:val="009C0840"/>
    <w:rsid w:val="00A707C5"/>
    <w:rsid w:val="00A80DC9"/>
    <w:rsid w:val="00A951F1"/>
    <w:rsid w:val="00A963A3"/>
    <w:rsid w:val="00B403DC"/>
    <w:rsid w:val="00B44262"/>
    <w:rsid w:val="00B70CCA"/>
    <w:rsid w:val="00B76A63"/>
    <w:rsid w:val="00B84D0A"/>
    <w:rsid w:val="00B9033A"/>
    <w:rsid w:val="00BC5A60"/>
    <w:rsid w:val="00C15D11"/>
    <w:rsid w:val="00C24A2C"/>
    <w:rsid w:val="00C31D6F"/>
    <w:rsid w:val="00C3791A"/>
    <w:rsid w:val="00C4200A"/>
    <w:rsid w:val="00C52605"/>
    <w:rsid w:val="00C87BE7"/>
    <w:rsid w:val="00C979D1"/>
    <w:rsid w:val="00CC4684"/>
    <w:rsid w:val="00CD152D"/>
    <w:rsid w:val="00D01944"/>
    <w:rsid w:val="00D04B3D"/>
    <w:rsid w:val="00D45CE2"/>
    <w:rsid w:val="00D57AA8"/>
    <w:rsid w:val="00D73D93"/>
    <w:rsid w:val="00D81207"/>
    <w:rsid w:val="00D87BAB"/>
    <w:rsid w:val="00DA5778"/>
    <w:rsid w:val="00DD281E"/>
    <w:rsid w:val="00DF3ACD"/>
    <w:rsid w:val="00E20DB2"/>
    <w:rsid w:val="00E3166C"/>
    <w:rsid w:val="00E45A14"/>
    <w:rsid w:val="00E47838"/>
    <w:rsid w:val="00E70D00"/>
    <w:rsid w:val="00E84882"/>
    <w:rsid w:val="00EA3426"/>
    <w:rsid w:val="00EB52D2"/>
    <w:rsid w:val="00EE2247"/>
    <w:rsid w:val="00F33FEF"/>
    <w:rsid w:val="00F35432"/>
    <w:rsid w:val="00F46B7C"/>
    <w:rsid w:val="00F666BA"/>
    <w:rsid w:val="00F81DFA"/>
    <w:rsid w:val="00F83A21"/>
    <w:rsid w:val="00FA1587"/>
    <w:rsid w:val="00FA6342"/>
    <w:rsid w:val="00FB3736"/>
    <w:rsid w:val="00FC2BEC"/>
    <w:rsid w:val="00FD36CF"/>
    <w:rsid w:val="00FD7058"/>
    <w:rsid w:val="00FE5E2E"/>
    <w:rsid w:val="00FF49D3"/>
    <w:rsid w:val="00FF68D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styleId="Title">
    <w:name w:val="Title"/>
    <w:basedOn w:val="Normal"/>
    <w:next w:val="Normal"/>
    <w:link w:val="TitleChar"/>
    <w:uiPriority w:val="10"/>
    <w:pPr>
      <w:spacing w:before="80" w:after="0" w:line="240" w:lineRule="auto"/>
      <w:ind w:right="851"/>
      <w:contextualSpacing/>
    </w:pPr>
    <w:rPr>
      <w:rFonts w:eastAsiaTheme="majorEastAsia" w:cstheme="majorBidi"/>
      <w:b/>
      <w:kern w:val="28"/>
      <w:sz w:val="40"/>
      <w:szCs w:val="56"/>
      <w:lang w:eastAsia="en-US"/>
      <w14:ligatures w14:val="none"/>
    </w:rPr>
  </w:style>
  <w:style w:type="character" w:customStyle="1" w:styleId="TitleChar">
    <w:name w:val="Title Char"/>
    <w:basedOn w:val="DefaultParagraphFont"/>
    <w:link w:val="Title"/>
    <w:uiPriority w:val="10"/>
    <w:rPr>
      <w:rFonts w:eastAsiaTheme="majorEastAsia" w:cstheme="majorBidi"/>
      <w:b/>
      <w:kern w:val="28"/>
      <w:sz w:val="40"/>
      <w:szCs w:val="56"/>
      <w:lang w:eastAsia="en-US"/>
      <w14:ligatures w14:val="none"/>
    </w:rPr>
  </w:style>
  <w:style w:type="paragraph" w:customStyle="1" w:styleId="ED8EFE79597643B7A9BBD5E30DB5AD1D">
    <w:name w:val="ED8EFE79597643B7A9BBD5E30DB5AD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MA-Rebrand">
      <a:dk1>
        <a:sysClr val="windowText" lastClr="000000"/>
      </a:dk1>
      <a:lt1>
        <a:sysClr val="window" lastClr="FFFFFF"/>
      </a:lt1>
      <a:dk2>
        <a:srgbClr val="54565B"/>
      </a:dk2>
      <a:lt2>
        <a:srgbClr val="57C1A5"/>
      </a:lt2>
      <a:accent1>
        <a:srgbClr val="FBDC00"/>
      </a:accent1>
      <a:accent2>
        <a:srgbClr val="57C1A5"/>
      </a:accent2>
      <a:accent3>
        <a:srgbClr val="54565B"/>
      </a:accent3>
      <a:accent4>
        <a:srgbClr val="FBDC00"/>
      </a:accent4>
      <a:accent5>
        <a:srgbClr val="57C1A5"/>
      </a:accent5>
      <a:accent6>
        <a:srgbClr val="54565B"/>
      </a:accent6>
      <a:hlink>
        <a:srgbClr val="54565B"/>
      </a:hlink>
      <a:folHlink>
        <a:srgbClr val="54565B"/>
      </a:folHlink>
    </a:clrScheme>
    <a:fontScheme name="HMA-Rebrand">
      <a:majorFont>
        <a:latin typeface="Franklin Gothic Medium"/>
        <a:ea typeface=""/>
        <a:cs typeface=""/>
      </a:majorFont>
      <a:minorFont>
        <a:latin typeface="Neue Haas Grotesk Text Pro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b:Source>
    <b:Tag>Placeholder1</b:Tag>
    <b:SourceType>Report</b:SourceType>
    <b:Guid>{48D61324-909D-4993-8733-CCB024C2677C}</b:Guid>
    <b:Title>Royal Commission into aged care quality and safety final report: care, Dignity and Respect</b:Title>
    <b:Year>2021</b:Year>
    <b:Author>
      <b:Author>
        <b:NameList>
          <b:Person>
            <b:Last>Pagone</b:Last>
            <b:First>G</b:First>
          </b:Person>
          <b:Person>
            <b:Last>Briggs</b:Last>
            <b:First>L</b:First>
          </b:Person>
        </b:NameList>
      </b:Author>
    </b:Author>
    <b:Publisher>Commonwealth Government of Australia</b:Publisher>
    <b:City>Canberra</b:City>
    <b:RefOrder>17</b:RefOrder>
  </b:Source>
  <b:Source>
    <b:Tag>Que21</b:Tag>
    <b:SourceType>Report</b:SourceType>
    <b:Guid>{29AC3F40-8648-4F34-9946-1949D777D2F9}</b:Guid>
    <b:Author>
      <b:Author>
        <b:NameList>
          <b:Person>
            <b:Last>Queensland University of Technology</b:Last>
          </b:Person>
        </b:NameList>
      </b:Author>
    </b:Author>
    <b:Title>PEPA Aged Care 2021-2024 Activity Work Plan</b:Title>
    <b:Year>2021</b:Year>
    <b:Publisher>QUT</b:Publisher>
    <b:RefOrder>18</b:RefOrder>
  </b:Source>
  <b:Source>
    <b:Tag>Que242</b:Tag>
    <b:SourceType>Report</b:SourceType>
    <b:Guid>{40572888-BAB3-4A42-91C2-93C422F5561E}</b:Guid>
    <b:Author>
      <b:Author>
        <b:NameList>
          <b:Person>
            <b:Last>Queensland University of Technology</b:Last>
          </b:Person>
        </b:NameList>
      </b:Author>
    </b:Author>
    <b:Title>PEPA Aged Care 2021-2025 Activity Work Plan</b:Title>
    <b:Year>2024</b:Year>
    <b:Publisher>QUT</b:Publisher>
    <b:RefOrder>19</b:RefOrder>
  </b:Source>
  <b:Source>
    <b:Tag>Que252</b:Tag>
    <b:SourceType>Report</b:SourceType>
    <b:Guid>{309E65B7-4827-4351-9F39-8F51A3BABC98}</b:Guid>
    <b:Author>
      <b:Author>
        <b:NameList>
          <b:Person>
            <b:Last>Queensland University of Technology</b:Last>
          </b:Person>
        </b:NameList>
      </b:Author>
    </b:Author>
    <b:Title>PEPA Aged Care 2025-2026 Activity Work Plan</b:Title>
    <b:Year>2025</b:Year>
    <b:Publisher>QUT</b:Publisher>
    <b:RefOrder>20</b:RefOrder>
  </b:Source>
  <b:Source>
    <b:Tag>Pal25</b:Tag>
    <b:SourceType>InternetSite</b:SourceType>
    <b:Guid>{F1CEA5F7-2949-438A-ACBA-06C18BDAF096}</b:Guid>
    <b:Title>About PCOC</b:Title>
    <b:Year>2025</b:Year>
    <b:Author>
      <b:Author>
        <b:NameList>
          <b:Person>
            <b:Last>Palliative Care Outcomes Collaboration</b:Last>
          </b:Person>
        </b:NameList>
      </b:Author>
    </b:Author>
    <b:URL>https://www.uow.edu.au/australasian-health-outcomes-consortium/pcoc/about/</b:URL>
    <b:RefOrder>21</b:RefOrder>
  </b:Source>
  <b:Source>
    <b:Tag>Uni21</b:Tag>
    <b:SourceType>Report</b:SourceType>
    <b:Guid>{BEC3C555-33F0-4D75-B215-23013C19C610}</b:Guid>
    <b:Author>
      <b:Author>
        <b:NameList>
          <b:Person>
            <b:Last>University of Wollongong</b:Last>
          </b:Person>
        </b:NameList>
      </b:Author>
    </b:Author>
    <b:Title>PACOP Activity Work Plan 2021-2024</b:Title>
    <b:Year>2021</b:Year>
    <b:Publisher>University of Wollongong</b:Publisher>
    <b:RefOrder>22</b:RefOrder>
  </b:Source>
  <b:Source>
    <b:Tag>NSW19</b:Tag>
    <b:SourceType>Report</b:SourceType>
    <b:Guid>{B87AFD8E-A02C-4DC0-82DA-0C60B4A9B2CB}</b:Guid>
    <b:Author>
      <b:Author>
        <b:NameList>
          <b:Person>
            <b:Last>NSW Ministry of Health</b:Last>
          </b:Person>
        </b:NameList>
      </b:Author>
    </b:Author>
    <b:Title>NSW Health End of Life and Palliative Care Framework 2019-2024</b:Title>
    <b:Year>2019</b:Year>
    <b:Publisher>NSW Ministry of Health</b:Publisher>
    <b:RefOrder>2</b:RefOrder>
  </b:Source>
  <b:Source>
    <b:Tag>Sta16</b:Tag>
    <b:SourceType>Report</b:SourceType>
    <b:Guid>{AD74B286-5187-4F54-8704-214350D8E9EE}</b:Guid>
    <b:Author>
      <b:Author>
        <b:NameList>
          <b:Person>
            <b:Last>State of Victoria Department of Health and Human Services</b:Last>
          </b:Person>
        </b:NameList>
      </b:Author>
    </b:Author>
    <b:Title>Victoria’s end of life and palliative care framework</b:Title>
    <b:Year>2016</b:Year>
    <b:Publisher>State of Victoria</b:Publisher>
    <b:RefOrder>3</b:RefOrder>
  </b:Source>
  <b:Source>
    <b:Tag>Sta22</b:Tag>
    <b:SourceType>Report</b:SourceType>
    <b:Guid>{AEA023D6-3644-42DC-89C2-FE85FD04B354}</b:Guid>
    <b:Author>
      <b:Author>
        <b:NameList>
          <b:Person>
            <b:Last>State of Queensland - Queensland Health</b:Last>
          </b:Person>
        </b:NameList>
      </b:Author>
    </b:Author>
    <b:Title>Queensland Health Palliative and End-of-Life Care Strategy</b:Title>
    <b:Year>2022</b:Year>
    <b:Publisher>State of Queensland</b:Publisher>
    <b:RefOrder>4</b:RefOrder>
  </b:Source>
  <b:Source>
    <b:Tag>Gov22</b:Tag>
    <b:SourceType>Report</b:SourceType>
    <b:Guid>{AD125C81-6315-41B2-84B4-CC01AC6EEBB2}</b:Guid>
    <b:Author>
      <b:Author>
        <b:NameList>
          <b:Person>
            <b:Last>Government of South Australia - SA Health</b:Last>
          </b:Person>
        </b:NameList>
      </b:Author>
    </b:Author>
    <b:Title>South Australia's Palliative Care Strategic Framework 2022-2027</b:Title>
    <b:Year>2022</b:Year>
    <b:Publisher>Government of South Australia</b:Publisher>
    <b:RefOrder>5</b:RefOrder>
  </b:Source>
  <b:Source>
    <b:Tag>Gov18</b:Tag>
    <b:SourceType>Report</b:SourceType>
    <b:Guid>{89D01C37-4643-4525-9693-3590E09F9F4F}</b:Guid>
    <b:Author>
      <b:Author>
        <b:NameList>
          <b:Person>
            <b:Last>Government of Western Australia - Department of Health</b:Last>
          </b:Person>
        </b:NameList>
      </b:Author>
    </b:Author>
    <b:Title>Western Australia’s End-of-Life and Palliative Care Strategy 2018–2028 </b:Title>
    <b:Year>2018</b:Year>
    <b:Publisher>Government of Western Australia</b:Publisher>
    <b:RefOrder>6</b:RefOrder>
  </b:Source>
  <b:Source>
    <b:Tag>Sta221</b:Tag>
    <b:SourceType>Report</b:SourceType>
    <b:Guid>{85310671-8502-4BDC-A4A5-BCC68CDFDDDE}</b:Guid>
    <b:Author>
      <b:Author>
        <b:NameList>
          <b:Person>
            <b:Last>State of Tasmania - Department of Health</b:Last>
          </b:Person>
        </b:NameList>
      </b:Author>
    </b:Author>
    <b:Title>Tasmanian Palliative and End of Life Care Policy Framework 2022–27 </b:Title>
    <b:Year>2022</b:Year>
    <b:Publisher>State of Tasmania</b:Publisher>
    <b:RefOrder>7</b:RefOrder>
  </b:Source>
  <b:Source>
    <b:Tag>Pal22</b:Tag>
    <b:SourceType>Report</b:SourceType>
    <b:Guid>{1EDB61FC-0EF5-49D9-9475-0FEDBAC74223}</b:Guid>
    <b:Author>
      <b:Author>
        <b:NameList>
          <b:Person>
            <b:Last>Palliative Care Australia</b:Last>
          </b:Person>
        </b:NameList>
      </b:Author>
    </b:Author>
    <b:Title>National Palliative Care Standards for All Health Professionals and Aged Care Services</b:Title>
    <b:Year>2022</b:Year>
    <b:Publisher>Palliative Care Australia</b:Publisher>
    <b:RefOrder>9</b:RefOrder>
  </b:Source>
  <b:Source>
    <b:Tag>Aus2323</b:Tag>
    <b:SourceType>Report</b:SourceType>
    <b:Guid>{03BE031E-4E87-4F57-8C31-2C0CCA77355C}</b:Guid>
    <b:Author>
      <b:Author>
        <b:NameList>
          <b:Person>
            <b:Last>Australian Commission on Safety and Quality in Health Care</b:Last>
          </b:Person>
        </b:NameList>
      </b:Author>
    </b:Author>
    <b:Title>National Consensus Statement: Essential elements for safe, high-quality end-of-life care </b:Title>
    <b:Year>2023</b:Year>
    <b:Publisher>Australian Commission on Safety and Quality in Health Care</b:Publisher>
    <b:RefOrder>10</b:RefOrder>
  </b:Source>
  <b:Source>
    <b:Tag>Aus219</b:Tag>
    <b:SourceType>Report</b:SourceType>
    <b:Guid>{8E82BAE1-6E01-4D08-9ECD-4D92C5242A49}</b:Guid>
    <b:Author>
      <b:Author>
        <b:NameList>
          <b:Person>
            <b:Last>Australian Government Department of Health and Aged Care</b:Last>
          </b:Person>
        </b:NameList>
      </b:Author>
    </b:Author>
    <b:Title>National framework for advance care planning documents</b:Title>
    <b:Year>2021</b:Year>
    <b:Publisher>Commonwealth of Australia</b:Publisher>
    <b:RefOrder>11</b:RefOrder>
  </b:Source>
  <b:Source>
    <b:Tag>Dep242</b:Tag>
    <b:SourceType>InternetSite</b:SourceType>
    <b:Guid>{30A137C6-79AC-40ED-828C-28132A984A76}</b:Guid>
    <b:Author>
      <b:Author>
        <b:NameList>
          <b:Person>
            <b:Last>Australian Government Department of Health and Aged Care</b:Last>
          </b:Person>
        </b:NameList>
      </b:Author>
    </b:Author>
    <b:Title>Comprehensive Palliative Care in Aged Care measure</b:Title>
    <b:Year>2024</b:Year>
    <b:URL>https://www.health.gov.au/our-work/comprehensive-palliative-care-in-aged-care-measure?language=en</b:URL>
    <b:RefOrder>12</b:RefOrder>
  </b:Source>
  <b:Source>
    <b:Tag>Aus252</b:Tag>
    <b:SourceType>InternetSite</b:SourceType>
    <b:Guid>{A189DF3C-26D5-49DE-8391-889EF89CC5B0}</b:Guid>
    <b:Title>Greater Choice for At Home Palliative Care Program</b:Title>
    <b:Year>2025</b:Year>
    <b:Author>
      <b:Author>
        <b:NameList>
          <b:Person>
            <b:Last>Australian Government Department of Health and Aged Care</b:Last>
          </b:Person>
        </b:NameList>
      </b:Author>
    </b:Author>
    <b:URL>https://www.health.gov.au/our-work/greater-choice-for-at-home-palliative-care-program</b:URL>
    <b:RefOrder>13</b:RefOrder>
  </b:Source>
  <b:Source>
    <b:Tag>End25</b:Tag>
    <b:SourceType>InternetSite</b:SourceType>
    <b:Guid>{C1F10EC1-D13D-4A16-B497-34CCFFF62DB0}</b:Guid>
    <b:Title>About us</b:Title>
    <b:Year>2025</b:Year>
    <b:Author>
      <b:Author>
        <b:NameList>
          <b:Person>
            <b:Last>End of Life Directions for Aged Care</b:Last>
          </b:Person>
        </b:NameList>
      </b:Author>
    </b:Author>
    <b:URL>https://www.eldac.com.au/About-Us</b:URL>
    <b:RefOrder>14</b:RefOrder>
  </b:Source>
  <b:Source>
    <b:Tag>Pal253</b:Tag>
    <b:SourceType>InternetSite</b:SourceType>
    <b:Guid>{F427A8A7-6F9D-42DC-A107-81E50620BC0D}</b:Guid>
    <b:Author>
      <b:Author>
        <b:NameList>
          <b:Person>
            <b:Last>Palliative Care Australia</b:Last>
          </b:Person>
        </b:NameList>
      </b:Author>
    </b:Author>
    <b:Title>End of Life Directions for Aged Care (ELDAC)</b:Title>
    <b:Year>2025</b:Year>
    <b:URL>https://palliativecare.org.au/project/end-of-life-directions-for-aged-care-eldac/</b:URL>
    <b:RefOrder>15</b:RefOrder>
  </b:Source>
  <b:Source>
    <b:Tag>New26</b:Tag>
    <b:SourceType>InternetSite</b:SourceType>
    <b:Guid>{7C851DAE-8240-40D6-8267-28EDEF913D72}</b:Guid>
    <b:Title>New funding for palliative care projects</b:Title>
    <b:Year>2026</b:Year>
    <b:Month>May</b:Month>
    <b:Day>26</b:Day>
    <b:URL>https://www.markbutler.net.au/news/media-releases/new-funding-for-palliative-care-projects</b:URL>
    <b:RefOrder>16</b:RefOrder>
  </b:Source>
  <b:Source>
    <b:Tag>Que256</b:Tag>
    <b:SourceType>Report</b:SourceType>
    <b:Guid>{F2DC84BD-9FD5-491A-807C-54197D94F9CA}</b:Guid>
    <b:Title>PEPA Aged Care Final Report, 31 January 2025</b:Title>
    <b:Year>2025</b:Year>
    <b:Author>
      <b:Author>
        <b:NameList>
          <b:Person>
            <b:Last>Queensland University of Technology</b:Last>
          </b:Person>
        </b:NameList>
      </b:Author>
    </b:Author>
    <b:Publisher>QUT</b:Publisher>
    <b:RefOrder>26</b:RefOrder>
  </b:Source>
  <b:Source>
    <b:Tag>Uni2533</b:Tag>
    <b:SourceType>Report</b:SourceType>
    <b:Guid>{007B508B-84AA-4513-B856-9C7B7903FB76}</b:Guid>
    <b:Author>
      <b:Author>
        <b:NameList>
          <b:Person>
            <b:Last>University of Wollongong</b:Last>
          </b:Person>
        </b:NameList>
      </b:Author>
    </b:Author>
    <b:Title>PACOP Final Report, 31 January 2025</b:Title>
    <b:Year>2025</b:Year>
    <b:Publisher>University of Wollongong</b:Publisher>
    <b:RefOrder>24</b:RefOrder>
  </b:Source>
  <b:Source>
    <b:Tag>Que257</b:Tag>
    <b:SourceType>Report</b:SourceType>
    <b:Guid>{0832CC7B-D55A-4733-AD4B-1BCCF788A527}</b:Guid>
    <b:Author>
      <b:Author>
        <b:NameList>
          <b:Person>
            <b:Last>Queensland University of Technology</b:Last>
          </b:Person>
        </b:NameList>
      </b:Author>
    </b:Author>
    <b:Title>Performance Report, 31 July 2025</b:Title>
    <b:Year>2025</b:Year>
    <b:Publisher>QUT</b:Publisher>
    <b:RefOrder>27</b:RefOrder>
  </b:Source>
  <b:Source>
    <b:Tag>Uni222</b:Tag>
    <b:SourceType>Report</b:SourceType>
    <b:Guid>{456E471A-E935-4A69-9E6A-38088C796A30}</b:Guid>
    <b:Author>
      <b:Author>
        <b:NameList>
          <b:Person>
            <b:Last>University of Wollongong</b:Last>
          </b:Person>
        </b:NameList>
      </b:Author>
    </b:Author>
    <b:Title>PACOP Performance Report, 30 July 2022</b:Title>
    <b:Year>2022</b:Year>
    <b:Publisher>University of Wollongong</b:Publisher>
    <b:RefOrder>28</b:RefOrder>
  </b:Source>
  <b:Source>
    <b:Tag>Uni233</b:Tag>
    <b:SourceType>Report</b:SourceType>
    <b:Guid>{E5EA7070-4E2F-48A0-9DD3-CB66E7064AAF}</b:Guid>
    <b:Author>
      <b:Author>
        <b:NameList>
          <b:Person>
            <b:Last>University of Wollongong</b:Last>
          </b:Person>
        </b:NameList>
      </b:Author>
    </b:Author>
    <b:Title>PACOP Performance Report, 31 January 2023</b:Title>
    <b:Year>2023</b:Year>
    <b:Publisher>University of Wollongong</b:Publisher>
    <b:RefOrder>29</b:RefOrder>
  </b:Source>
  <b:Source>
    <b:Tag>Uni234</b:Tag>
    <b:SourceType>Report</b:SourceType>
    <b:Guid>{63B9694F-2FEA-48F0-9D6B-3226349AC267}</b:Guid>
    <b:Author>
      <b:Author>
        <b:NameList>
          <b:Person>
            <b:Last>University of Wollongong</b:Last>
          </b:Person>
        </b:NameList>
      </b:Author>
    </b:Author>
    <b:Title>PACOP Performance Report, 31 July 2023</b:Title>
    <b:Year>2023</b:Year>
    <b:Publisher>University of Wollongong</b:Publisher>
    <b:RefOrder>30</b:RefOrder>
  </b:Source>
  <b:Source>
    <b:Tag>Uni2411</b:Tag>
    <b:SourceType>Report</b:SourceType>
    <b:Guid>{8E408AAD-06F8-454B-8265-885CA5AE37C3}</b:Guid>
    <b:Author>
      <b:Author>
        <b:NameList>
          <b:Person>
            <b:Last>University of Wollongong</b:Last>
          </b:Person>
        </b:NameList>
      </b:Author>
    </b:Author>
    <b:Title>PACOP Performance Report, 31 July 2024</b:Title>
    <b:Year>2024</b:Year>
    <b:Publisher>University of Wollongong</b:Publisher>
    <b:RefOrder>31</b:RefOrder>
  </b:Source>
  <b:Source>
    <b:Tag>Uni25</b:Tag>
    <b:SourceType>Report</b:SourceType>
    <b:Guid>{73C36A26-C739-4A27-90D9-01229B47F8EC}</b:Guid>
    <b:Title>PACOP Performance Report, 31 July 2025</b:Title>
    <b:Year>2025</b:Year>
    <b:Author>
      <b:Author>
        <b:NameList>
          <b:Person>
            <b:Last>University of Wollongong</b:Last>
          </b:Person>
        </b:NameList>
      </b:Author>
    </b:Author>
    <b:RefOrder>25</b:RefOrder>
  </b:Source>
  <b:Source>
    <b:Tag>Uni252</b:Tag>
    <b:SourceType>Report</b:SourceType>
    <b:Guid>{9DEC209E-F9C5-49BA-B6CD-1E01204EE286}</b:Guid>
    <b:Author>
      <b:Author>
        <b:NameList>
          <b:Person>
            <b:Last>University of Wollongong</b:Last>
          </b:Person>
        </b:NameList>
      </b:Author>
    </b:Author>
    <b:Title>PACOP Activity Work Plan, 2024-25 to 2025-26</b:Title>
    <b:Year>2025</b:Year>
    <b:RefOrder>23</b:RefOrder>
  </b:Source>
  <b:Source>
    <b:Tag>Que243</b:Tag>
    <b:SourceType>Report</b:SourceType>
    <b:Guid>{3FC4B409-C127-4457-BDD7-4DEF07A2F22D}</b:Guid>
    <b:Author>
      <b:Author>
        <b:Corporate>Queensland University of Technology</b:Corporate>
      </b:Author>
    </b:Author>
    <b:Title>PEPA Aged Care Performance Report January 2024 - June 2024</b:Title>
    <b:Year>2024</b:Year>
    <b:Publisher>Department of Health</b:Publisher>
    <b:RefOrder>32</b:RefOrder>
  </b:Source>
  <b:Source>
    <b:Tag>Aus2511</b:Tag>
    <b:SourceType>InternetSite</b:SourceType>
    <b:Guid>{FDA2E493-F7EE-4D87-B165-A535EE219BB8}</b:Guid>
    <b:Author>
      <b:Author>
        <b:Corporate>Australian Institute of Health and Welfare</b:Corporate>
      </b:Author>
    </b:Author>
    <b:Title>Palliative care services in Australia – Palliative care for people living in residential aged care</b:Title>
    <b:Year>2025</b:Year>
    <b:Month>October</b:Month>
    <b:Day>30</b:Day>
    <b:YearAccessed>2025</b:YearAccessed>
    <b:MonthAccessed>December</b:MonthAccessed>
    <b:DayAccessed>16</b:DayAccessed>
    <b:URL>https://www.aihw.gov.au/reports/palliative-care-services/palliative-care-services-in-australia/contents/palliative-care-in-residential-aged-care</b:URL>
    <b:RefOrder>35</b:RefOrder>
  </b:Source>
  <b:Source>
    <b:Tag>Har24</b:Tag>
    <b:SourceType>JournalArticle</b:SourceType>
    <b:Guid>{024F3F38-CA08-4C76-8FC1-218AB4741241}</b:Guid>
    <b:Title>Hospitalisations and emergency department presentations by older individuals accessing long-term aged care in Australia</b:Title>
    <b:Year>2024</b:Year>
    <b:Author>
      <b:Author>
        <b:NameList>
          <b:Person>
            <b:Last>Harrison</b:Last>
            <b:First>SL</b:First>
          </b:Person>
          <b:Person>
            <b:Last>Lang</b:Last>
            <b:First>C</b:First>
          </b:Person>
          <b:Person>
            <b:Last>Eshetie</b:Last>
            <b:First>TC</b:First>
          </b:Person>
          <b:Person>
            <b:Last>Crotty</b:Last>
            <b:First>M</b:First>
          </b:Person>
          <b:Person>
            <b:Last>Whitehead</b:Last>
            <b:First>C</b:First>
          </b:Person>
          <b:Person>
            <b:Last>Evans</b:Last>
            <b:First>K</b:First>
          </b:Person>
          <b:Person>
            <b:Last>Corlis</b:Last>
            <b:First>M</b:First>
          </b:Person>
          <b:Person>
            <b:Last>Wesselingh</b:Last>
            <b:First>S</b:First>
          </b:Person>
          <b:Person>
            <b:Last>Caughey</b:Last>
            <b:First>GE</b:First>
          </b:Person>
          <b:Person>
            <b:Last>Inacio</b:Last>
            <b:First>MC</b:First>
          </b:Person>
        </b:NameList>
      </b:Author>
    </b:Author>
    <b:JournalName>Australian Health Review</b:JournalName>
    <b:Pages>182–190</b:Pages>
    <b:Volume>48</b:Volume>
    <b:Issue>2</b:Issue>
    <b:RefOrder>33</b:RefOrder>
  </b:Source>
  <b:Source>
    <b:Tag>ACT22</b:Tag>
    <b:SourceType>Report</b:SourceType>
    <b:Guid>{F126A828-7F87-462B-872A-A8407A1E6CF5}</b:Guid>
    <b:Author>
      <b:Author>
        <b:Corporate>ACT Government</b:Corporate>
      </b:Author>
    </b:Author>
    <b:Title>ACT Health Services Plan 2022-2030</b:Title>
    <b:Year>2022</b:Year>
    <b:RefOrder>8</b:RefOrder>
  </b:Source>
  <b:Source>
    <b:Tag>Ind25</b:Tag>
    <b:SourceType>Report</b:SourceType>
    <b:Guid>{A1C6CA21-39EB-451A-9BBE-A3F924D7A249}</b:Guid>
    <b:Author>
      <b:Author>
        <b:Corporate>Independent Health and Aged Care Pricing Authority</b:Corporate>
      </b:Author>
    </b:Author>
    <b:Title>National Hospital Cost Data Collection Public Sector Report, 2022-23</b:Title>
    <b:Year>2023</b:Year>
    <b:RefOrder>34</b:RefOrder>
  </b:Source>
  <b:Source>
    <b:Tag>Aus181</b:Tag>
    <b:SourceType>Report</b:SourceType>
    <b:Guid>{57653895-0BE0-4CC6-A2E5-53159FE8DA77}</b:Guid>
    <b:Author>
      <b:Author>
        <b:NameList>
          <b:Person>
            <b:Last>Australian Government Department of Health and Aged Care</b:Last>
          </b:Person>
        </b:NameList>
      </b:Author>
    </b:Author>
    <b:Title>National Palliative Care Strategy 2018</b:Title>
    <b:Year>2019</b:Year>
    <b:RefOrder>1</b:RefOrder>
  </b:Source>
</b:Sourc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32AC60-E7E2-438D-8178-D64FBE558447}">
  <ds:schemaRefs>
    <ds:schemaRef ds:uri="http://schemas.openxmlformats.org/officeDocument/2006/bibliography"/>
  </ds:schemaRefs>
</ds:datastoreItem>
</file>

<file path=customXml/itemProps3.xml><?xml version="1.0" encoding="utf-8"?>
<ds:datastoreItem xmlns:ds="http://schemas.openxmlformats.org/officeDocument/2006/customXml" ds:itemID="{BCC73794-177B-4BCF-A72B-2C6ABC525CF6}"/>
</file>

<file path=customXml/itemProps4.xml><?xml version="1.0" encoding="utf-8"?>
<ds:datastoreItem xmlns:ds="http://schemas.openxmlformats.org/officeDocument/2006/customXml" ds:itemID="{697D75B5-53CF-4174-80D9-8AD1B4983CF1}"/>
</file>

<file path=customXml/itemProps5.xml><?xml version="1.0" encoding="utf-8"?>
<ds:datastoreItem xmlns:ds="http://schemas.openxmlformats.org/officeDocument/2006/customXml" ds:itemID="{808B5E36-62C9-408D-AA21-2CD1865D85BB}"/>
</file>

<file path=docProps/app.xml><?xml version="1.0" encoding="utf-8"?>
<Properties xmlns="http://schemas.openxmlformats.org/officeDocument/2006/extended-properties" xmlns:vt="http://schemas.openxmlformats.org/officeDocument/2006/docPropsVTypes">
  <Template>Normal.dotm</Template>
  <TotalTime>0</TotalTime>
  <Pages>148</Pages>
  <Words>51817</Words>
  <Characters>316089</Characters>
  <Application>Microsoft Office Word</Application>
  <DocSecurity>0</DocSecurity>
  <Lines>9877</Lines>
  <Paragraphs>5839</Paragraphs>
  <ScaleCrop>false</ScaleCrop>
  <HeadingPairs>
    <vt:vector size="2" baseType="variant">
      <vt:variant>
        <vt:lpstr>Title</vt:lpstr>
      </vt:variant>
      <vt:variant>
        <vt:i4>1</vt:i4>
      </vt:variant>
    </vt:vector>
  </HeadingPairs>
  <TitlesOfParts>
    <vt:vector size="1" baseType="lpstr">
      <vt:lpstr>Improving Palliative Care Training and Outcomes in Aged Care Evaluation</vt:lpstr>
    </vt:vector>
  </TitlesOfParts>
  <Company/>
  <LinksUpToDate>false</LinksUpToDate>
  <CharactersWithSpaces>362067</CharactersWithSpaces>
  <SharedDoc>false</SharedDoc>
  <HLinks>
    <vt:vector size="552" baseType="variant">
      <vt:variant>
        <vt:i4>1114166</vt:i4>
      </vt:variant>
      <vt:variant>
        <vt:i4>548</vt:i4>
      </vt:variant>
      <vt:variant>
        <vt:i4>0</vt:i4>
      </vt:variant>
      <vt:variant>
        <vt:i4>5</vt:i4>
      </vt:variant>
      <vt:variant>
        <vt:lpwstr/>
      </vt:variant>
      <vt:variant>
        <vt:lpwstr>_Toc219295403</vt:lpwstr>
      </vt:variant>
      <vt:variant>
        <vt:i4>1114166</vt:i4>
      </vt:variant>
      <vt:variant>
        <vt:i4>542</vt:i4>
      </vt:variant>
      <vt:variant>
        <vt:i4>0</vt:i4>
      </vt:variant>
      <vt:variant>
        <vt:i4>5</vt:i4>
      </vt:variant>
      <vt:variant>
        <vt:lpwstr/>
      </vt:variant>
      <vt:variant>
        <vt:lpwstr>_Toc219295402</vt:lpwstr>
      </vt:variant>
      <vt:variant>
        <vt:i4>1114166</vt:i4>
      </vt:variant>
      <vt:variant>
        <vt:i4>536</vt:i4>
      </vt:variant>
      <vt:variant>
        <vt:i4>0</vt:i4>
      </vt:variant>
      <vt:variant>
        <vt:i4>5</vt:i4>
      </vt:variant>
      <vt:variant>
        <vt:lpwstr/>
      </vt:variant>
      <vt:variant>
        <vt:lpwstr>_Toc219295401</vt:lpwstr>
      </vt:variant>
      <vt:variant>
        <vt:i4>1114166</vt:i4>
      </vt:variant>
      <vt:variant>
        <vt:i4>530</vt:i4>
      </vt:variant>
      <vt:variant>
        <vt:i4>0</vt:i4>
      </vt:variant>
      <vt:variant>
        <vt:i4>5</vt:i4>
      </vt:variant>
      <vt:variant>
        <vt:lpwstr/>
      </vt:variant>
      <vt:variant>
        <vt:lpwstr>_Toc219295400</vt:lpwstr>
      </vt:variant>
      <vt:variant>
        <vt:i4>1572913</vt:i4>
      </vt:variant>
      <vt:variant>
        <vt:i4>524</vt:i4>
      </vt:variant>
      <vt:variant>
        <vt:i4>0</vt:i4>
      </vt:variant>
      <vt:variant>
        <vt:i4>5</vt:i4>
      </vt:variant>
      <vt:variant>
        <vt:lpwstr/>
      </vt:variant>
      <vt:variant>
        <vt:lpwstr>_Toc219295399</vt:lpwstr>
      </vt:variant>
      <vt:variant>
        <vt:i4>1572913</vt:i4>
      </vt:variant>
      <vt:variant>
        <vt:i4>518</vt:i4>
      </vt:variant>
      <vt:variant>
        <vt:i4>0</vt:i4>
      </vt:variant>
      <vt:variant>
        <vt:i4>5</vt:i4>
      </vt:variant>
      <vt:variant>
        <vt:lpwstr/>
      </vt:variant>
      <vt:variant>
        <vt:lpwstr>_Toc219295398</vt:lpwstr>
      </vt:variant>
      <vt:variant>
        <vt:i4>1572913</vt:i4>
      </vt:variant>
      <vt:variant>
        <vt:i4>512</vt:i4>
      </vt:variant>
      <vt:variant>
        <vt:i4>0</vt:i4>
      </vt:variant>
      <vt:variant>
        <vt:i4>5</vt:i4>
      </vt:variant>
      <vt:variant>
        <vt:lpwstr/>
      </vt:variant>
      <vt:variant>
        <vt:lpwstr>_Toc219295397</vt:lpwstr>
      </vt:variant>
      <vt:variant>
        <vt:i4>1572913</vt:i4>
      </vt:variant>
      <vt:variant>
        <vt:i4>506</vt:i4>
      </vt:variant>
      <vt:variant>
        <vt:i4>0</vt:i4>
      </vt:variant>
      <vt:variant>
        <vt:i4>5</vt:i4>
      </vt:variant>
      <vt:variant>
        <vt:lpwstr/>
      </vt:variant>
      <vt:variant>
        <vt:lpwstr>_Toc219295396</vt:lpwstr>
      </vt:variant>
      <vt:variant>
        <vt:i4>1572913</vt:i4>
      </vt:variant>
      <vt:variant>
        <vt:i4>500</vt:i4>
      </vt:variant>
      <vt:variant>
        <vt:i4>0</vt:i4>
      </vt:variant>
      <vt:variant>
        <vt:i4>5</vt:i4>
      </vt:variant>
      <vt:variant>
        <vt:lpwstr/>
      </vt:variant>
      <vt:variant>
        <vt:lpwstr>_Toc219295395</vt:lpwstr>
      </vt:variant>
      <vt:variant>
        <vt:i4>1572913</vt:i4>
      </vt:variant>
      <vt:variant>
        <vt:i4>494</vt:i4>
      </vt:variant>
      <vt:variant>
        <vt:i4>0</vt:i4>
      </vt:variant>
      <vt:variant>
        <vt:i4>5</vt:i4>
      </vt:variant>
      <vt:variant>
        <vt:lpwstr/>
      </vt:variant>
      <vt:variant>
        <vt:lpwstr>_Toc219295394</vt:lpwstr>
      </vt:variant>
      <vt:variant>
        <vt:i4>1572913</vt:i4>
      </vt:variant>
      <vt:variant>
        <vt:i4>488</vt:i4>
      </vt:variant>
      <vt:variant>
        <vt:i4>0</vt:i4>
      </vt:variant>
      <vt:variant>
        <vt:i4>5</vt:i4>
      </vt:variant>
      <vt:variant>
        <vt:lpwstr/>
      </vt:variant>
      <vt:variant>
        <vt:lpwstr>_Toc219295393</vt:lpwstr>
      </vt:variant>
      <vt:variant>
        <vt:i4>1572913</vt:i4>
      </vt:variant>
      <vt:variant>
        <vt:i4>482</vt:i4>
      </vt:variant>
      <vt:variant>
        <vt:i4>0</vt:i4>
      </vt:variant>
      <vt:variant>
        <vt:i4>5</vt:i4>
      </vt:variant>
      <vt:variant>
        <vt:lpwstr/>
      </vt:variant>
      <vt:variant>
        <vt:lpwstr>_Toc219295392</vt:lpwstr>
      </vt:variant>
      <vt:variant>
        <vt:i4>1572913</vt:i4>
      </vt:variant>
      <vt:variant>
        <vt:i4>476</vt:i4>
      </vt:variant>
      <vt:variant>
        <vt:i4>0</vt:i4>
      </vt:variant>
      <vt:variant>
        <vt:i4>5</vt:i4>
      </vt:variant>
      <vt:variant>
        <vt:lpwstr/>
      </vt:variant>
      <vt:variant>
        <vt:lpwstr>_Toc219295391</vt:lpwstr>
      </vt:variant>
      <vt:variant>
        <vt:i4>1572913</vt:i4>
      </vt:variant>
      <vt:variant>
        <vt:i4>470</vt:i4>
      </vt:variant>
      <vt:variant>
        <vt:i4>0</vt:i4>
      </vt:variant>
      <vt:variant>
        <vt:i4>5</vt:i4>
      </vt:variant>
      <vt:variant>
        <vt:lpwstr/>
      </vt:variant>
      <vt:variant>
        <vt:lpwstr>_Toc219295390</vt:lpwstr>
      </vt:variant>
      <vt:variant>
        <vt:i4>1638449</vt:i4>
      </vt:variant>
      <vt:variant>
        <vt:i4>464</vt:i4>
      </vt:variant>
      <vt:variant>
        <vt:i4>0</vt:i4>
      </vt:variant>
      <vt:variant>
        <vt:i4>5</vt:i4>
      </vt:variant>
      <vt:variant>
        <vt:lpwstr/>
      </vt:variant>
      <vt:variant>
        <vt:lpwstr>_Toc219295389</vt:lpwstr>
      </vt:variant>
      <vt:variant>
        <vt:i4>1638449</vt:i4>
      </vt:variant>
      <vt:variant>
        <vt:i4>458</vt:i4>
      </vt:variant>
      <vt:variant>
        <vt:i4>0</vt:i4>
      </vt:variant>
      <vt:variant>
        <vt:i4>5</vt:i4>
      </vt:variant>
      <vt:variant>
        <vt:lpwstr/>
      </vt:variant>
      <vt:variant>
        <vt:lpwstr>_Toc219295388</vt:lpwstr>
      </vt:variant>
      <vt:variant>
        <vt:i4>1638449</vt:i4>
      </vt:variant>
      <vt:variant>
        <vt:i4>452</vt:i4>
      </vt:variant>
      <vt:variant>
        <vt:i4>0</vt:i4>
      </vt:variant>
      <vt:variant>
        <vt:i4>5</vt:i4>
      </vt:variant>
      <vt:variant>
        <vt:lpwstr/>
      </vt:variant>
      <vt:variant>
        <vt:lpwstr>_Toc219295387</vt:lpwstr>
      </vt:variant>
      <vt:variant>
        <vt:i4>1638449</vt:i4>
      </vt:variant>
      <vt:variant>
        <vt:i4>446</vt:i4>
      </vt:variant>
      <vt:variant>
        <vt:i4>0</vt:i4>
      </vt:variant>
      <vt:variant>
        <vt:i4>5</vt:i4>
      </vt:variant>
      <vt:variant>
        <vt:lpwstr/>
      </vt:variant>
      <vt:variant>
        <vt:lpwstr>_Toc219295386</vt:lpwstr>
      </vt:variant>
      <vt:variant>
        <vt:i4>1638449</vt:i4>
      </vt:variant>
      <vt:variant>
        <vt:i4>440</vt:i4>
      </vt:variant>
      <vt:variant>
        <vt:i4>0</vt:i4>
      </vt:variant>
      <vt:variant>
        <vt:i4>5</vt:i4>
      </vt:variant>
      <vt:variant>
        <vt:lpwstr/>
      </vt:variant>
      <vt:variant>
        <vt:lpwstr>_Toc219295385</vt:lpwstr>
      </vt:variant>
      <vt:variant>
        <vt:i4>1638449</vt:i4>
      </vt:variant>
      <vt:variant>
        <vt:i4>434</vt:i4>
      </vt:variant>
      <vt:variant>
        <vt:i4>0</vt:i4>
      </vt:variant>
      <vt:variant>
        <vt:i4>5</vt:i4>
      </vt:variant>
      <vt:variant>
        <vt:lpwstr/>
      </vt:variant>
      <vt:variant>
        <vt:lpwstr>_Toc219295384</vt:lpwstr>
      </vt:variant>
      <vt:variant>
        <vt:i4>1638449</vt:i4>
      </vt:variant>
      <vt:variant>
        <vt:i4>428</vt:i4>
      </vt:variant>
      <vt:variant>
        <vt:i4>0</vt:i4>
      </vt:variant>
      <vt:variant>
        <vt:i4>5</vt:i4>
      </vt:variant>
      <vt:variant>
        <vt:lpwstr/>
      </vt:variant>
      <vt:variant>
        <vt:lpwstr>_Toc219295383</vt:lpwstr>
      </vt:variant>
      <vt:variant>
        <vt:i4>1638449</vt:i4>
      </vt:variant>
      <vt:variant>
        <vt:i4>422</vt:i4>
      </vt:variant>
      <vt:variant>
        <vt:i4>0</vt:i4>
      </vt:variant>
      <vt:variant>
        <vt:i4>5</vt:i4>
      </vt:variant>
      <vt:variant>
        <vt:lpwstr/>
      </vt:variant>
      <vt:variant>
        <vt:lpwstr>_Toc219295382</vt:lpwstr>
      </vt:variant>
      <vt:variant>
        <vt:i4>1638449</vt:i4>
      </vt:variant>
      <vt:variant>
        <vt:i4>416</vt:i4>
      </vt:variant>
      <vt:variant>
        <vt:i4>0</vt:i4>
      </vt:variant>
      <vt:variant>
        <vt:i4>5</vt:i4>
      </vt:variant>
      <vt:variant>
        <vt:lpwstr/>
      </vt:variant>
      <vt:variant>
        <vt:lpwstr>_Toc219295381</vt:lpwstr>
      </vt:variant>
      <vt:variant>
        <vt:i4>1638449</vt:i4>
      </vt:variant>
      <vt:variant>
        <vt:i4>410</vt:i4>
      </vt:variant>
      <vt:variant>
        <vt:i4>0</vt:i4>
      </vt:variant>
      <vt:variant>
        <vt:i4>5</vt:i4>
      </vt:variant>
      <vt:variant>
        <vt:lpwstr/>
      </vt:variant>
      <vt:variant>
        <vt:lpwstr>_Toc219295380</vt:lpwstr>
      </vt:variant>
      <vt:variant>
        <vt:i4>1441841</vt:i4>
      </vt:variant>
      <vt:variant>
        <vt:i4>404</vt:i4>
      </vt:variant>
      <vt:variant>
        <vt:i4>0</vt:i4>
      </vt:variant>
      <vt:variant>
        <vt:i4>5</vt:i4>
      </vt:variant>
      <vt:variant>
        <vt:lpwstr/>
      </vt:variant>
      <vt:variant>
        <vt:lpwstr>_Toc219295379</vt:lpwstr>
      </vt:variant>
      <vt:variant>
        <vt:i4>1441841</vt:i4>
      </vt:variant>
      <vt:variant>
        <vt:i4>398</vt:i4>
      </vt:variant>
      <vt:variant>
        <vt:i4>0</vt:i4>
      </vt:variant>
      <vt:variant>
        <vt:i4>5</vt:i4>
      </vt:variant>
      <vt:variant>
        <vt:lpwstr/>
      </vt:variant>
      <vt:variant>
        <vt:lpwstr>_Toc219295378</vt:lpwstr>
      </vt:variant>
      <vt:variant>
        <vt:i4>1441841</vt:i4>
      </vt:variant>
      <vt:variant>
        <vt:i4>392</vt:i4>
      </vt:variant>
      <vt:variant>
        <vt:i4>0</vt:i4>
      </vt:variant>
      <vt:variant>
        <vt:i4>5</vt:i4>
      </vt:variant>
      <vt:variant>
        <vt:lpwstr/>
      </vt:variant>
      <vt:variant>
        <vt:lpwstr>_Toc219295377</vt:lpwstr>
      </vt:variant>
      <vt:variant>
        <vt:i4>1441841</vt:i4>
      </vt:variant>
      <vt:variant>
        <vt:i4>386</vt:i4>
      </vt:variant>
      <vt:variant>
        <vt:i4>0</vt:i4>
      </vt:variant>
      <vt:variant>
        <vt:i4>5</vt:i4>
      </vt:variant>
      <vt:variant>
        <vt:lpwstr/>
      </vt:variant>
      <vt:variant>
        <vt:lpwstr>_Toc219295376</vt:lpwstr>
      </vt:variant>
      <vt:variant>
        <vt:i4>1441841</vt:i4>
      </vt:variant>
      <vt:variant>
        <vt:i4>380</vt:i4>
      </vt:variant>
      <vt:variant>
        <vt:i4>0</vt:i4>
      </vt:variant>
      <vt:variant>
        <vt:i4>5</vt:i4>
      </vt:variant>
      <vt:variant>
        <vt:lpwstr/>
      </vt:variant>
      <vt:variant>
        <vt:lpwstr>_Toc219295375</vt:lpwstr>
      </vt:variant>
      <vt:variant>
        <vt:i4>1441841</vt:i4>
      </vt:variant>
      <vt:variant>
        <vt:i4>374</vt:i4>
      </vt:variant>
      <vt:variant>
        <vt:i4>0</vt:i4>
      </vt:variant>
      <vt:variant>
        <vt:i4>5</vt:i4>
      </vt:variant>
      <vt:variant>
        <vt:lpwstr/>
      </vt:variant>
      <vt:variant>
        <vt:lpwstr>_Toc219295374</vt:lpwstr>
      </vt:variant>
      <vt:variant>
        <vt:i4>1441841</vt:i4>
      </vt:variant>
      <vt:variant>
        <vt:i4>368</vt:i4>
      </vt:variant>
      <vt:variant>
        <vt:i4>0</vt:i4>
      </vt:variant>
      <vt:variant>
        <vt:i4>5</vt:i4>
      </vt:variant>
      <vt:variant>
        <vt:lpwstr/>
      </vt:variant>
      <vt:variant>
        <vt:lpwstr>_Toc219295373</vt:lpwstr>
      </vt:variant>
      <vt:variant>
        <vt:i4>1441841</vt:i4>
      </vt:variant>
      <vt:variant>
        <vt:i4>362</vt:i4>
      </vt:variant>
      <vt:variant>
        <vt:i4>0</vt:i4>
      </vt:variant>
      <vt:variant>
        <vt:i4>5</vt:i4>
      </vt:variant>
      <vt:variant>
        <vt:lpwstr/>
      </vt:variant>
      <vt:variant>
        <vt:lpwstr>_Toc219295372</vt:lpwstr>
      </vt:variant>
      <vt:variant>
        <vt:i4>1441841</vt:i4>
      </vt:variant>
      <vt:variant>
        <vt:i4>356</vt:i4>
      </vt:variant>
      <vt:variant>
        <vt:i4>0</vt:i4>
      </vt:variant>
      <vt:variant>
        <vt:i4>5</vt:i4>
      </vt:variant>
      <vt:variant>
        <vt:lpwstr/>
      </vt:variant>
      <vt:variant>
        <vt:lpwstr>_Toc219295371</vt:lpwstr>
      </vt:variant>
      <vt:variant>
        <vt:i4>1441841</vt:i4>
      </vt:variant>
      <vt:variant>
        <vt:i4>350</vt:i4>
      </vt:variant>
      <vt:variant>
        <vt:i4>0</vt:i4>
      </vt:variant>
      <vt:variant>
        <vt:i4>5</vt:i4>
      </vt:variant>
      <vt:variant>
        <vt:lpwstr/>
      </vt:variant>
      <vt:variant>
        <vt:lpwstr>_Toc219295370</vt:lpwstr>
      </vt:variant>
      <vt:variant>
        <vt:i4>1507377</vt:i4>
      </vt:variant>
      <vt:variant>
        <vt:i4>344</vt:i4>
      </vt:variant>
      <vt:variant>
        <vt:i4>0</vt:i4>
      </vt:variant>
      <vt:variant>
        <vt:i4>5</vt:i4>
      </vt:variant>
      <vt:variant>
        <vt:lpwstr/>
      </vt:variant>
      <vt:variant>
        <vt:lpwstr>_Toc219295369</vt:lpwstr>
      </vt:variant>
      <vt:variant>
        <vt:i4>1507377</vt:i4>
      </vt:variant>
      <vt:variant>
        <vt:i4>338</vt:i4>
      </vt:variant>
      <vt:variant>
        <vt:i4>0</vt:i4>
      </vt:variant>
      <vt:variant>
        <vt:i4>5</vt:i4>
      </vt:variant>
      <vt:variant>
        <vt:lpwstr/>
      </vt:variant>
      <vt:variant>
        <vt:lpwstr>_Toc219295368</vt:lpwstr>
      </vt:variant>
      <vt:variant>
        <vt:i4>1507377</vt:i4>
      </vt:variant>
      <vt:variant>
        <vt:i4>332</vt:i4>
      </vt:variant>
      <vt:variant>
        <vt:i4>0</vt:i4>
      </vt:variant>
      <vt:variant>
        <vt:i4>5</vt:i4>
      </vt:variant>
      <vt:variant>
        <vt:lpwstr/>
      </vt:variant>
      <vt:variant>
        <vt:lpwstr>_Toc219295367</vt:lpwstr>
      </vt:variant>
      <vt:variant>
        <vt:i4>1507377</vt:i4>
      </vt:variant>
      <vt:variant>
        <vt:i4>326</vt:i4>
      </vt:variant>
      <vt:variant>
        <vt:i4>0</vt:i4>
      </vt:variant>
      <vt:variant>
        <vt:i4>5</vt:i4>
      </vt:variant>
      <vt:variant>
        <vt:lpwstr/>
      </vt:variant>
      <vt:variant>
        <vt:lpwstr>_Toc219295366</vt:lpwstr>
      </vt:variant>
      <vt:variant>
        <vt:i4>1507377</vt:i4>
      </vt:variant>
      <vt:variant>
        <vt:i4>320</vt:i4>
      </vt:variant>
      <vt:variant>
        <vt:i4>0</vt:i4>
      </vt:variant>
      <vt:variant>
        <vt:i4>5</vt:i4>
      </vt:variant>
      <vt:variant>
        <vt:lpwstr/>
      </vt:variant>
      <vt:variant>
        <vt:lpwstr>_Toc219295365</vt:lpwstr>
      </vt:variant>
      <vt:variant>
        <vt:i4>1507377</vt:i4>
      </vt:variant>
      <vt:variant>
        <vt:i4>314</vt:i4>
      </vt:variant>
      <vt:variant>
        <vt:i4>0</vt:i4>
      </vt:variant>
      <vt:variant>
        <vt:i4>5</vt:i4>
      </vt:variant>
      <vt:variant>
        <vt:lpwstr/>
      </vt:variant>
      <vt:variant>
        <vt:lpwstr>_Toc219295364</vt:lpwstr>
      </vt:variant>
      <vt:variant>
        <vt:i4>1507377</vt:i4>
      </vt:variant>
      <vt:variant>
        <vt:i4>308</vt:i4>
      </vt:variant>
      <vt:variant>
        <vt:i4>0</vt:i4>
      </vt:variant>
      <vt:variant>
        <vt:i4>5</vt:i4>
      </vt:variant>
      <vt:variant>
        <vt:lpwstr/>
      </vt:variant>
      <vt:variant>
        <vt:lpwstr>_Toc219295363</vt:lpwstr>
      </vt:variant>
      <vt:variant>
        <vt:i4>1507377</vt:i4>
      </vt:variant>
      <vt:variant>
        <vt:i4>302</vt:i4>
      </vt:variant>
      <vt:variant>
        <vt:i4>0</vt:i4>
      </vt:variant>
      <vt:variant>
        <vt:i4>5</vt:i4>
      </vt:variant>
      <vt:variant>
        <vt:lpwstr/>
      </vt:variant>
      <vt:variant>
        <vt:lpwstr>_Toc219295362</vt:lpwstr>
      </vt:variant>
      <vt:variant>
        <vt:i4>1507377</vt:i4>
      </vt:variant>
      <vt:variant>
        <vt:i4>296</vt:i4>
      </vt:variant>
      <vt:variant>
        <vt:i4>0</vt:i4>
      </vt:variant>
      <vt:variant>
        <vt:i4>5</vt:i4>
      </vt:variant>
      <vt:variant>
        <vt:lpwstr/>
      </vt:variant>
      <vt:variant>
        <vt:lpwstr>_Toc219295361</vt:lpwstr>
      </vt:variant>
      <vt:variant>
        <vt:i4>1507377</vt:i4>
      </vt:variant>
      <vt:variant>
        <vt:i4>290</vt:i4>
      </vt:variant>
      <vt:variant>
        <vt:i4>0</vt:i4>
      </vt:variant>
      <vt:variant>
        <vt:i4>5</vt:i4>
      </vt:variant>
      <vt:variant>
        <vt:lpwstr/>
      </vt:variant>
      <vt:variant>
        <vt:lpwstr>_Toc219295360</vt:lpwstr>
      </vt:variant>
      <vt:variant>
        <vt:i4>1310769</vt:i4>
      </vt:variant>
      <vt:variant>
        <vt:i4>284</vt:i4>
      </vt:variant>
      <vt:variant>
        <vt:i4>0</vt:i4>
      </vt:variant>
      <vt:variant>
        <vt:i4>5</vt:i4>
      </vt:variant>
      <vt:variant>
        <vt:lpwstr/>
      </vt:variant>
      <vt:variant>
        <vt:lpwstr>_Toc219295359</vt:lpwstr>
      </vt:variant>
      <vt:variant>
        <vt:i4>1310769</vt:i4>
      </vt:variant>
      <vt:variant>
        <vt:i4>278</vt:i4>
      </vt:variant>
      <vt:variant>
        <vt:i4>0</vt:i4>
      </vt:variant>
      <vt:variant>
        <vt:i4>5</vt:i4>
      </vt:variant>
      <vt:variant>
        <vt:lpwstr/>
      </vt:variant>
      <vt:variant>
        <vt:lpwstr>_Toc219295358</vt:lpwstr>
      </vt:variant>
      <vt:variant>
        <vt:i4>1310769</vt:i4>
      </vt:variant>
      <vt:variant>
        <vt:i4>272</vt:i4>
      </vt:variant>
      <vt:variant>
        <vt:i4>0</vt:i4>
      </vt:variant>
      <vt:variant>
        <vt:i4>5</vt:i4>
      </vt:variant>
      <vt:variant>
        <vt:lpwstr/>
      </vt:variant>
      <vt:variant>
        <vt:lpwstr>_Toc219295357</vt:lpwstr>
      </vt:variant>
      <vt:variant>
        <vt:i4>1310769</vt:i4>
      </vt:variant>
      <vt:variant>
        <vt:i4>266</vt:i4>
      </vt:variant>
      <vt:variant>
        <vt:i4>0</vt:i4>
      </vt:variant>
      <vt:variant>
        <vt:i4>5</vt:i4>
      </vt:variant>
      <vt:variant>
        <vt:lpwstr/>
      </vt:variant>
      <vt:variant>
        <vt:lpwstr>_Toc219295356</vt:lpwstr>
      </vt:variant>
      <vt:variant>
        <vt:i4>1310769</vt:i4>
      </vt:variant>
      <vt:variant>
        <vt:i4>260</vt:i4>
      </vt:variant>
      <vt:variant>
        <vt:i4>0</vt:i4>
      </vt:variant>
      <vt:variant>
        <vt:i4>5</vt:i4>
      </vt:variant>
      <vt:variant>
        <vt:lpwstr/>
      </vt:variant>
      <vt:variant>
        <vt:lpwstr>_Toc219295355</vt:lpwstr>
      </vt:variant>
      <vt:variant>
        <vt:i4>1310769</vt:i4>
      </vt:variant>
      <vt:variant>
        <vt:i4>254</vt:i4>
      </vt:variant>
      <vt:variant>
        <vt:i4>0</vt:i4>
      </vt:variant>
      <vt:variant>
        <vt:i4>5</vt:i4>
      </vt:variant>
      <vt:variant>
        <vt:lpwstr/>
      </vt:variant>
      <vt:variant>
        <vt:lpwstr>_Toc219295354</vt:lpwstr>
      </vt:variant>
      <vt:variant>
        <vt:i4>1310769</vt:i4>
      </vt:variant>
      <vt:variant>
        <vt:i4>248</vt:i4>
      </vt:variant>
      <vt:variant>
        <vt:i4>0</vt:i4>
      </vt:variant>
      <vt:variant>
        <vt:i4>5</vt:i4>
      </vt:variant>
      <vt:variant>
        <vt:lpwstr/>
      </vt:variant>
      <vt:variant>
        <vt:lpwstr>_Toc219295353</vt:lpwstr>
      </vt:variant>
      <vt:variant>
        <vt:i4>1310769</vt:i4>
      </vt:variant>
      <vt:variant>
        <vt:i4>242</vt:i4>
      </vt:variant>
      <vt:variant>
        <vt:i4>0</vt:i4>
      </vt:variant>
      <vt:variant>
        <vt:i4>5</vt:i4>
      </vt:variant>
      <vt:variant>
        <vt:lpwstr/>
      </vt:variant>
      <vt:variant>
        <vt:lpwstr>_Toc219295352</vt:lpwstr>
      </vt:variant>
      <vt:variant>
        <vt:i4>1310769</vt:i4>
      </vt:variant>
      <vt:variant>
        <vt:i4>236</vt:i4>
      </vt:variant>
      <vt:variant>
        <vt:i4>0</vt:i4>
      </vt:variant>
      <vt:variant>
        <vt:i4>5</vt:i4>
      </vt:variant>
      <vt:variant>
        <vt:lpwstr/>
      </vt:variant>
      <vt:variant>
        <vt:lpwstr>_Toc219295351</vt:lpwstr>
      </vt:variant>
      <vt:variant>
        <vt:i4>1310769</vt:i4>
      </vt:variant>
      <vt:variant>
        <vt:i4>230</vt:i4>
      </vt:variant>
      <vt:variant>
        <vt:i4>0</vt:i4>
      </vt:variant>
      <vt:variant>
        <vt:i4>5</vt:i4>
      </vt:variant>
      <vt:variant>
        <vt:lpwstr/>
      </vt:variant>
      <vt:variant>
        <vt:lpwstr>_Toc219295350</vt:lpwstr>
      </vt:variant>
      <vt:variant>
        <vt:i4>1376305</vt:i4>
      </vt:variant>
      <vt:variant>
        <vt:i4>224</vt:i4>
      </vt:variant>
      <vt:variant>
        <vt:i4>0</vt:i4>
      </vt:variant>
      <vt:variant>
        <vt:i4>5</vt:i4>
      </vt:variant>
      <vt:variant>
        <vt:lpwstr/>
      </vt:variant>
      <vt:variant>
        <vt:lpwstr>_Toc219295349</vt:lpwstr>
      </vt:variant>
      <vt:variant>
        <vt:i4>1376305</vt:i4>
      </vt:variant>
      <vt:variant>
        <vt:i4>218</vt:i4>
      </vt:variant>
      <vt:variant>
        <vt:i4>0</vt:i4>
      </vt:variant>
      <vt:variant>
        <vt:i4>5</vt:i4>
      </vt:variant>
      <vt:variant>
        <vt:lpwstr/>
      </vt:variant>
      <vt:variant>
        <vt:lpwstr>_Toc219295348</vt:lpwstr>
      </vt:variant>
      <vt:variant>
        <vt:i4>1376305</vt:i4>
      </vt:variant>
      <vt:variant>
        <vt:i4>212</vt:i4>
      </vt:variant>
      <vt:variant>
        <vt:i4>0</vt:i4>
      </vt:variant>
      <vt:variant>
        <vt:i4>5</vt:i4>
      </vt:variant>
      <vt:variant>
        <vt:lpwstr/>
      </vt:variant>
      <vt:variant>
        <vt:lpwstr>_Toc219295347</vt:lpwstr>
      </vt:variant>
      <vt:variant>
        <vt:i4>1376305</vt:i4>
      </vt:variant>
      <vt:variant>
        <vt:i4>206</vt:i4>
      </vt:variant>
      <vt:variant>
        <vt:i4>0</vt:i4>
      </vt:variant>
      <vt:variant>
        <vt:i4>5</vt:i4>
      </vt:variant>
      <vt:variant>
        <vt:lpwstr/>
      </vt:variant>
      <vt:variant>
        <vt:lpwstr>_Toc219295346</vt:lpwstr>
      </vt:variant>
      <vt:variant>
        <vt:i4>1376305</vt:i4>
      </vt:variant>
      <vt:variant>
        <vt:i4>200</vt:i4>
      </vt:variant>
      <vt:variant>
        <vt:i4>0</vt:i4>
      </vt:variant>
      <vt:variant>
        <vt:i4>5</vt:i4>
      </vt:variant>
      <vt:variant>
        <vt:lpwstr/>
      </vt:variant>
      <vt:variant>
        <vt:lpwstr>_Toc219295345</vt:lpwstr>
      </vt:variant>
      <vt:variant>
        <vt:i4>1376305</vt:i4>
      </vt:variant>
      <vt:variant>
        <vt:i4>194</vt:i4>
      </vt:variant>
      <vt:variant>
        <vt:i4>0</vt:i4>
      </vt:variant>
      <vt:variant>
        <vt:i4>5</vt:i4>
      </vt:variant>
      <vt:variant>
        <vt:lpwstr/>
      </vt:variant>
      <vt:variant>
        <vt:lpwstr>_Toc219295344</vt:lpwstr>
      </vt:variant>
      <vt:variant>
        <vt:i4>1376305</vt:i4>
      </vt:variant>
      <vt:variant>
        <vt:i4>188</vt:i4>
      </vt:variant>
      <vt:variant>
        <vt:i4>0</vt:i4>
      </vt:variant>
      <vt:variant>
        <vt:i4>5</vt:i4>
      </vt:variant>
      <vt:variant>
        <vt:lpwstr/>
      </vt:variant>
      <vt:variant>
        <vt:lpwstr>_Toc219295343</vt:lpwstr>
      </vt:variant>
      <vt:variant>
        <vt:i4>1376305</vt:i4>
      </vt:variant>
      <vt:variant>
        <vt:i4>182</vt:i4>
      </vt:variant>
      <vt:variant>
        <vt:i4>0</vt:i4>
      </vt:variant>
      <vt:variant>
        <vt:i4>5</vt:i4>
      </vt:variant>
      <vt:variant>
        <vt:lpwstr/>
      </vt:variant>
      <vt:variant>
        <vt:lpwstr>_Toc219295342</vt:lpwstr>
      </vt:variant>
      <vt:variant>
        <vt:i4>1376305</vt:i4>
      </vt:variant>
      <vt:variant>
        <vt:i4>176</vt:i4>
      </vt:variant>
      <vt:variant>
        <vt:i4>0</vt:i4>
      </vt:variant>
      <vt:variant>
        <vt:i4>5</vt:i4>
      </vt:variant>
      <vt:variant>
        <vt:lpwstr/>
      </vt:variant>
      <vt:variant>
        <vt:lpwstr>_Toc219295341</vt:lpwstr>
      </vt:variant>
      <vt:variant>
        <vt:i4>1376305</vt:i4>
      </vt:variant>
      <vt:variant>
        <vt:i4>170</vt:i4>
      </vt:variant>
      <vt:variant>
        <vt:i4>0</vt:i4>
      </vt:variant>
      <vt:variant>
        <vt:i4>5</vt:i4>
      </vt:variant>
      <vt:variant>
        <vt:lpwstr/>
      </vt:variant>
      <vt:variant>
        <vt:lpwstr>_Toc219295340</vt:lpwstr>
      </vt:variant>
      <vt:variant>
        <vt:i4>1179697</vt:i4>
      </vt:variant>
      <vt:variant>
        <vt:i4>164</vt:i4>
      </vt:variant>
      <vt:variant>
        <vt:i4>0</vt:i4>
      </vt:variant>
      <vt:variant>
        <vt:i4>5</vt:i4>
      </vt:variant>
      <vt:variant>
        <vt:lpwstr/>
      </vt:variant>
      <vt:variant>
        <vt:lpwstr>_Toc219295339</vt:lpwstr>
      </vt:variant>
      <vt:variant>
        <vt:i4>1179697</vt:i4>
      </vt:variant>
      <vt:variant>
        <vt:i4>158</vt:i4>
      </vt:variant>
      <vt:variant>
        <vt:i4>0</vt:i4>
      </vt:variant>
      <vt:variant>
        <vt:i4>5</vt:i4>
      </vt:variant>
      <vt:variant>
        <vt:lpwstr/>
      </vt:variant>
      <vt:variant>
        <vt:lpwstr>_Toc219295338</vt:lpwstr>
      </vt:variant>
      <vt:variant>
        <vt:i4>1179697</vt:i4>
      </vt:variant>
      <vt:variant>
        <vt:i4>152</vt:i4>
      </vt:variant>
      <vt:variant>
        <vt:i4>0</vt:i4>
      </vt:variant>
      <vt:variant>
        <vt:i4>5</vt:i4>
      </vt:variant>
      <vt:variant>
        <vt:lpwstr/>
      </vt:variant>
      <vt:variant>
        <vt:lpwstr>_Toc219295337</vt:lpwstr>
      </vt:variant>
      <vt:variant>
        <vt:i4>1179697</vt:i4>
      </vt:variant>
      <vt:variant>
        <vt:i4>146</vt:i4>
      </vt:variant>
      <vt:variant>
        <vt:i4>0</vt:i4>
      </vt:variant>
      <vt:variant>
        <vt:i4>5</vt:i4>
      </vt:variant>
      <vt:variant>
        <vt:lpwstr/>
      </vt:variant>
      <vt:variant>
        <vt:lpwstr>_Toc219295336</vt:lpwstr>
      </vt:variant>
      <vt:variant>
        <vt:i4>1179697</vt:i4>
      </vt:variant>
      <vt:variant>
        <vt:i4>140</vt:i4>
      </vt:variant>
      <vt:variant>
        <vt:i4>0</vt:i4>
      </vt:variant>
      <vt:variant>
        <vt:i4>5</vt:i4>
      </vt:variant>
      <vt:variant>
        <vt:lpwstr/>
      </vt:variant>
      <vt:variant>
        <vt:lpwstr>_Toc219295335</vt:lpwstr>
      </vt:variant>
      <vt:variant>
        <vt:i4>1179697</vt:i4>
      </vt:variant>
      <vt:variant>
        <vt:i4>134</vt:i4>
      </vt:variant>
      <vt:variant>
        <vt:i4>0</vt:i4>
      </vt:variant>
      <vt:variant>
        <vt:i4>5</vt:i4>
      </vt:variant>
      <vt:variant>
        <vt:lpwstr/>
      </vt:variant>
      <vt:variant>
        <vt:lpwstr>_Toc219295334</vt:lpwstr>
      </vt:variant>
      <vt:variant>
        <vt:i4>1179697</vt:i4>
      </vt:variant>
      <vt:variant>
        <vt:i4>128</vt:i4>
      </vt:variant>
      <vt:variant>
        <vt:i4>0</vt:i4>
      </vt:variant>
      <vt:variant>
        <vt:i4>5</vt:i4>
      </vt:variant>
      <vt:variant>
        <vt:lpwstr/>
      </vt:variant>
      <vt:variant>
        <vt:lpwstr>_Toc219295333</vt:lpwstr>
      </vt:variant>
      <vt:variant>
        <vt:i4>1179697</vt:i4>
      </vt:variant>
      <vt:variant>
        <vt:i4>122</vt:i4>
      </vt:variant>
      <vt:variant>
        <vt:i4>0</vt:i4>
      </vt:variant>
      <vt:variant>
        <vt:i4>5</vt:i4>
      </vt:variant>
      <vt:variant>
        <vt:lpwstr/>
      </vt:variant>
      <vt:variant>
        <vt:lpwstr>_Toc219295332</vt:lpwstr>
      </vt:variant>
      <vt:variant>
        <vt:i4>1179697</vt:i4>
      </vt:variant>
      <vt:variant>
        <vt:i4>116</vt:i4>
      </vt:variant>
      <vt:variant>
        <vt:i4>0</vt:i4>
      </vt:variant>
      <vt:variant>
        <vt:i4>5</vt:i4>
      </vt:variant>
      <vt:variant>
        <vt:lpwstr/>
      </vt:variant>
      <vt:variant>
        <vt:lpwstr>_Toc219295331</vt:lpwstr>
      </vt:variant>
      <vt:variant>
        <vt:i4>1179697</vt:i4>
      </vt:variant>
      <vt:variant>
        <vt:i4>110</vt:i4>
      </vt:variant>
      <vt:variant>
        <vt:i4>0</vt:i4>
      </vt:variant>
      <vt:variant>
        <vt:i4>5</vt:i4>
      </vt:variant>
      <vt:variant>
        <vt:lpwstr/>
      </vt:variant>
      <vt:variant>
        <vt:lpwstr>_Toc219295330</vt:lpwstr>
      </vt:variant>
      <vt:variant>
        <vt:i4>1245233</vt:i4>
      </vt:variant>
      <vt:variant>
        <vt:i4>104</vt:i4>
      </vt:variant>
      <vt:variant>
        <vt:i4>0</vt:i4>
      </vt:variant>
      <vt:variant>
        <vt:i4>5</vt:i4>
      </vt:variant>
      <vt:variant>
        <vt:lpwstr/>
      </vt:variant>
      <vt:variant>
        <vt:lpwstr>_Toc219295329</vt:lpwstr>
      </vt:variant>
      <vt:variant>
        <vt:i4>1245233</vt:i4>
      </vt:variant>
      <vt:variant>
        <vt:i4>98</vt:i4>
      </vt:variant>
      <vt:variant>
        <vt:i4>0</vt:i4>
      </vt:variant>
      <vt:variant>
        <vt:i4>5</vt:i4>
      </vt:variant>
      <vt:variant>
        <vt:lpwstr/>
      </vt:variant>
      <vt:variant>
        <vt:lpwstr>_Toc219295328</vt:lpwstr>
      </vt:variant>
      <vt:variant>
        <vt:i4>1245233</vt:i4>
      </vt:variant>
      <vt:variant>
        <vt:i4>92</vt:i4>
      </vt:variant>
      <vt:variant>
        <vt:i4>0</vt:i4>
      </vt:variant>
      <vt:variant>
        <vt:i4>5</vt:i4>
      </vt:variant>
      <vt:variant>
        <vt:lpwstr/>
      </vt:variant>
      <vt:variant>
        <vt:lpwstr>_Toc219295327</vt:lpwstr>
      </vt:variant>
      <vt:variant>
        <vt:i4>1245233</vt:i4>
      </vt:variant>
      <vt:variant>
        <vt:i4>86</vt:i4>
      </vt:variant>
      <vt:variant>
        <vt:i4>0</vt:i4>
      </vt:variant>
      <vt:variant>
        <vt:i4>5</vt:i4>
      </vt:variant>
      <vt:variant>
        <vt:lpwstr/>
      </vt:variant>
      <vt:variant>
        <vt:lpwstr>_Toc219295326</vt:lpwstr>
      </vt:variant>
      <vt:variant>
        <vt:i4>1245233</vt:i4>
      </vt:variant>
      <vt:variant>
        <vt:i4>80</vt:i4>
      </vt:variant>
      <vt:variant>
        <vt:i4>0</vt:i4>
      </vt:variant>
      <vt:variant>
        <vt:i4>5</vt:i4>
      </vt:variant>
      <vt:variant>
        <vt:lpwstr/>
      </vt:variant>
      <vt:variant>
        <vt:lpwstr>_Toc219295325</vt:lpwstr>
      </vt:variant>
      <vt:variant>
        <vt:i4>1245233</vt:i4>
      </vt:variant>
      <vt:variant>
        <vt:i4>74</vt:i4>
      </vt:variant>
      <vt:variant>
        <vt:i4>0</vt:i4>
      </vt:variant>
      <vt:variant>
        <vt:i4>5</vt:i4>
      </vt:variant>
      <vt:variant>
        <vt:lpwstr/>
      </vt:variant>
      <vt:variant>
        <vt:lpwstr>_Toc219295324</vt:lpwstr>
      </vt:variant>
      <vt:variant>
        <vt:i4>1245233</vt:i4>
      </vt:variant>
      <vt:variant>
        <vt:i4>68</vt:i4>
      </vt:variant>
      <vt:variant>
        <vt:i4>0</vt:i4>
      </vt:variant>
      <vt:variant>
        <vt:i4>5</vt:i4>
      </vt:variant>
      <vt:variant>
        <vt:lpwstr/>
      </vt:variant>
      <vt:variant>
        <vt:lpwstr>_Toc219295323</vt:lpwstr>
      </vt:variant>
      <vt:variant>
        <vt:i4>1245233</vt:i4>
      </vt:variant>
      <vt:variant>
        <vt:i4>62</vt:i4>
      </vt:variant>
      <vt:variant>
        <vt:i4>0</vt:i4>
      </vt:variant>
      <vt:variant>
        <vt:i4>5</vt:i4>
      </vt:variant>
      <vt:variant>
        <vt:lpwstr/>
      </vt:variant>
      <vt:variant>
        <vt:lpwstr>_Toc219295322</vt:lpwstr>
      </vt:variant>
      <vt:variant>
        <vt:i4>1245233</vt:i4>
      </vt:variant>
      <vt:variant>
        <vt:i4>56</vt:i4>
      </vt:variant>
      <vt:variant>
        <vt:i4>0</vt:i4>
      </vt:variant>
      <vt:variant>
        <vt:i4>5</vt:i4>
      </vt:variant>
      <vt:variant>
        <vt:lpwstr/>
      </vt:variant>
      <vt:variant>
        <vt:lpwstr>_Toc219295321</vt:lpwstr>
      </vt:variant>
      <vt:variant>
        <vt:i4>1245233</vt:i4>
      </vt:variant>
      <vt:variant>
        <vt:i4>50</vt:i4>
      </vt:variant>
      <vt:variant>
        <vt:i4>0</vt:i4>
      </vt:variant>
      <vt:variant>
        <vt:i4>5</vt:i4>
      </vt:variant>
      <vt:variant>
        <vt:lpwstr/>
      </vt:variant>
      <vt:variant>
        <vt:lpwstr>_Toc219295320</vt:lpwstr>
      </vt:variant>
      <vt:variant>
        <vt:i4>1048625</vt:i4>
      </vt:variant>
      <vt:variant>
        <vt:i4>44</vt:i4>
      </vt:variant>
      <vt:variant>
        <vt:i4>0</vt:i4>
      </vt:variant>
      <vt:variant>
        <vt:i4>5</vt:i4>
      </vt:variant>
      <vt:variant>
        <vt:lpwstr/>
      </vt:variant>
      <vt:variant>
        <vt:lpwstr>_Toc219295319</vt:lpwstr>
      </vt:variant>
      <vt:variant>
        <vt:i4>1048625</vt:i4>
      </vt:variant>
      <vt:variant>
        <vt:i4>38</vt:i4>
      </vt:variant>
      <vt:variant>
        <vt:i4>0</vt:i4>
      </vt:variant>
      <vt:variant>
        <vt:i4>5</vt:i4>
      </vt:variant>
      <vt:variant>
        <vt:lpwstr/>
      </vt:variant>
      <vt:variant>
        <vt:lpwstr>_Toc219295318</vt:lpwstr>
      </vt:variant>
      <vt:variant>
        <vt:i4>1048625</vt:i4>
      </vt:variant>
      <vt:variant>
        <vt:i4>32</vt:i4>
      </vt:variant>
      <vt:variant>
        <vt:i4>0</vt:i4>
      </vt:variant>
      <vt:variant>
        <vt:i4>5</vt:i4>
      </vt:variant>
      <vt:variant>
        <vt:lpwstr/>
      </vt:variant>
      <vt:variant>
        <vt:lpwstr>_Toc219295317</vt:lpwstr>
      </vt:variant>
      <vt:variant>
        <vt:i4>1048625</vt:i4>
      </vt:variant>
      <vt:variant>
        <vt:i4>26</vt:i4>
      </vt:variant>
      <vt:variant>
        <vt:i4>0</vt:i4>
      </vt:variant>
      <vt:variant>
        <vt:i4>5</vt:i4>
      </vt:variant>
      <vt:variant>
        <vt:lpwstr/>
      </vt:variant>
      <vt:variant>
        <vt:lpwstr>_Toc219295316</vt:lpwstr>
      </vt:variant>
      <vt:variant>
        <vt:i4>1048625</vt:i4>
      </vt:variant>
      <vt:variant>
        <vt:i4>20</vt:i4>
      </vt:variant>
      <vt:variant>
        <vt:i4>0</vt:i4>
      </vt:variant>
      <vt:variant>
        <vt:i4>5</vt:i4>
      </vt:variant>
      <vt:variant>
        <vt:lpwstr/>
      </vt:variant>
      <vt:variant>
        <vt:lpwstr>_Toc219295315</vt:lpwstr>
      </vt:variant>
      <vt:variant>
        <vt:i4>1048625</vt:i4>
      </vt:variant>
      <vt:variant>
        <vt:i4>14</vt:i4>
      </vt:variant>
      <vt:variant>
        <vt:i4>0</vt:i4>
      </vt:variant>
      <vt:variant>
        <vt:i4>5</vt:i4>
      </vt:variant>
      <vt:variant>
        <vt:lpwstr/>
      </vt:variant>
      <vt:variant>
        <vt:lpwstr>_Toc219295314</vt:lpwstr>
      </vt:variant>
      <vt:variant>
        <vt:i4>1048625</vt:i4>
      </vt:variant>
      <vt:variant>
        <vt:i4>8</vt:i4>
      </vt:variant>
      <vt:variant>
        <vt:i4>0</vt:i4>
      </vt:variant>
      <vt:variant>
        <vt:i4>5</vt:i4>
      </vt:variant>
      <vt:variant>
        <vt:lpwstr/>
      </vt:variant>
      <vt:variant>
        <vt:lpwstr>_Toc219295313</vt:lpwstr>
      </vt:variant>
      <vt:variant>
        <vt:i4>1048625</vt:i4>
      </vt:variant>
      <vt:variant>
        <vt:i4>2</vt:i4>
      </vt:variant>
      <vt:variant>
        <vt:i4>0</vt:i4>
      </vt:variant>
      <vt:variant>
        <vt:i4>5</vt:i4>
      </vt:variant>
      <vt:variant>
        <vt:lpwstr/>
      </vt:variant>
      <vt:variant>
        <vt:lpwstr>_Toc219295312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Palliative Care Training and Outcomes in Aged Care Evaluation</dc:title>
  <dc:subject/>
  <dc:creator/>
  <cp:keywords>palliative care; aged care</cp:keywords>
  <dc:description/>
  <cp:lastModifiedBy/>
  <cp:revision>1</cp:revision>
  <dcterms:created xsi:type="dcterms:W3CDTF">2026-09-14T03:01:00Z</dcterms:created>
  <dcterms:modified xsi:type="dcterms:W3CDTF">2026-09-14T03:04:00Z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566a2833,1f66529d,6dd3667,4ceedce7,3c42b32,d257e76,2e080011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5da8c501,26ecc2a7,3225c76,af40641,78c3d5d9,117a94a1,371e24b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2026-09-14T03:00:03Z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381b7c2f-02c0-4e80-ad79-f192aedb64a4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