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90CB3" w14:textId="0E9BC4B3" w:rsidR="00685FD4" w:rsidRPr="00DD7A8C" w:rsidRDefault="00685FD4" w:rsidP="0023279C">
      <w:pPr>
        <w:pStyle w:val="Covertitle"/>
        <w:spacing w:before="240"/>
        <w:rPr>
          <w:rFonts w:cs="Segoe UI"/>
          <w:b/>
          <w:color w:val="808080" w:themeColor="background1" w:themeShade="80"/>
          <w:sz w:val="64"/>
          <w:szCs w:val="64"/>
        </w:rPr>
      </w:pPr>
      <w:r w:rsidRPr="00F3115D">
        <w:rPr>
          <w:rFonts w:cs="Segoe UI"/>
          <w:b/>
          <w:noProof/>
          <w:color w:val="FFFFFF" w:themeColor="background1"/>
          <w:sz w:val="64"/>
          <w:szCs w:val="64"/>
        </w:rPr>
        <w:drawing>
          <wp:anchor distT="0" distB="0" distL="114300" distR="114300" simplePos="0" relativeHeight="251661312" behindDoc="1" locked="0" layoutInCell="1" allowOverlap="1" wp14:anchorId="62620C68" wp14:editId="287D4775">
            <wp:simplePos x="0" y="0"/>
            <wp:positionH relativeFrom="page">
              <wp:align>center</wp:align>
            </wp:positionH>
            <wp:positionV relativeFrom="page">
              <wp:align>center</wp:align>
            </wp:positionV>
            <wp:extent cx="7559998" cy="10693741"/>
            <wp:effectExtent l="0" t="0" r="3175" b="0"/>
            <wp:wrapNone/>
            <wp:docPr id="505" name="Picture 56" descr="This artwork was developed by Marcus Lee Design to reflect Nous Group’s Reconciliation Action Plan and our aspirations for respectful and productive engagement with Aboriginal and Torres Strait Islander peopl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6" descr="This artwork was developed by Marcus Lee Design to reflect Nous Group’s Reconciliation Action Plan and our aspirations for respectful and productive engagement with Aboriginal and Torres Strait Islander peoples and communiti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59998" cy="10693741"/>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cs="Segoe UI"/>
            <w:b/>
            <w:color w:val="808080" w:themeColor="background1" w:themeShade="80"/>
            <w:sz w:val="64"/>
            <w:szCs w:val="64"/>
          </w:rPr>
          <w:id w:val="1612473340"/>
          <w:docPartObj>
            <w:docPartGallery w:val="Cover Pages"/>
            <w:docPartUnique/>
          </w:docPartObj>
        </w:sdtPr>
        <w:sdtEndPr>
          <w:rPr>
            <w:color w:val="808080" w:themeColor="background1" w:themeShade="80"/>
            <w:sz w:val="36"/>
            <w:szCs w:val="36"/>
          </w:rPr>
        </w:sdtEndPr>
        <w:sdtContent>
          <w:sdt>
            <w:sdtPr>
              <w:rPr>
                <w:rFonts w:cs="Segoe UI"/>
                <w:b/>
                <w:color w:val="808080" w:themeColor="background1" w:themeShade="80"/>
                <w:sz w:val="64"/>
                <w:szCs w:val="64"/>
              </w:rPr>
              <w:alias w:val="Title"/>
              <w:tag w:val=""/>
              <w:id w:val="313690339"/>
              <w:dataBinding w:prefixMappings="xmlns:ns0='http://purl.org/dc/elements/1.1/' xmlns:ns1='http://schemas.openxmlformats.org/package/2006/metadata/core-properties' " w:xpath="/ns1:coreProperties[1]/ns0:title[1]" w:storeItemID="{6C3C8BC8-F283-45AE-878A-BAB7291924A1}"/>
              <w:text/>
            </w:sdtPr>
            <w:sdtContent>
              <w:r w:rsidR="0023279C" w:rsidRPr="00DD7A8C">
                <w:rPr>
                  <w:rFonts w:cs="Segoe UI"/>
                  <w:b/>
                  <w:color w:val="808080" w:themeColor="background1" w:themeShade="80"/>
                  <w:sz w:val="64"/>
                  <w:szCs w:val="64"/>
                </w:rPr>
                <w:t>Final</w:t>
              </w:r>
              <w:r w:rsidRPr="00DD7A8C">
                <w:rPr>
                  <w:rFonts w:cs="Segoe UI"/>
                  <w:b/>
                  <w:color w:val="808080" w:themeColor="background1" w:themeShade="80"/>
                  <w:sz w:val="64"/>
                  <w:szCs w:val="64"/>
                </w:rPr>
                <w:t xml:space="preserve"> Report – Review of nKPI and OSR</w:t>
              </w:r>
            </w:sdtContent>
          </w:sdt>
        </w:sdtContent>
      </w:sdt>
    </w:p>
    <w:p w14:paraId="3A49189A" w14:textId="57D3EF00" w:rsidR="00685FD4" w:rsidRPr="00DD7A8C" w:rsidRDefault="00000000">
      <w:pPr>
        <w:pStyle w:val="CoverPage-Client"/>
        <w:spacing w:before="360"/>
        <w:rPr>
          <w:rFonts w:cs="Segoe UI"/>
          <w:color w:val="C97306" w:themeColor="accent3" w:themeShade="BF"/>
        </w:rPr>
      </w:pPr>
      <w:sdt>
        <w:sdtPr>
          <w:rPr>
            <w:rStyle w:val="CoverPage-ClientChar"/>
            <w:rFonts w:cs="Segoe UI"/>
            <w:color w:val="C97306" w:themeColor="accent3" w:themeShade="BF"/>
          </w:rPr>
          <w:alias w:val="Subject"/>
          <w:tag w:val=""/>
          <w:id w:val="-1126538960"/>
          <w:dataBinding w:prefixMappings="xmlns:ns0='http://purl.org/dc/elements/1.1/' xmlns:ns1='http://schemas.openxmlformats.org/package/2006/metadata/core-properties' " w:xpath="/ns1:coreProperties[1]/ns0:subject[1]" w:storeItemID="{6C3C8BC8-F283-45AE-878A-BAB7291924A1}"/>
          <w:text/>
        </w:sdtPr>
        <w:sdtContent>
          <w:r w:rsidR="00685FD4" w:rsidRPr="00DD7A8C">
            <w:rPr>
              <w:rStyle w:val="CoverPage-ClientChar"/>
              <w:rFonts w:cs="Segoe UI"/>
              <w:color w:val="C97306" w:themeColor="accent3" w:themeShade="BF"/>
            </w:rPr>
            <w:t>Department of Health, Disability and Ageing</w:t>
          </w:r>
        </w:sdtContent>
      </w:sdt>
    </w:p>
    <w:p w14:paraId="2141A33D" w14:textId="34D8A126" w:rsidR="00685FD4" w:rsidRPr="00E51CD6" w:rsidRDefault="00000000">
      <w:pPr>
        <w:pStyle w:val="CoverPage-Date"/>
        <w:spacing w:before="240"/>
        <w:rPr>
          <w:color w:val="864D04" w:themeColor="accent3" w:themeShade="80"/>
        </w:rPr>
      </w:pPr>
      <w:sdt>
        <w:sdtPr>
          <w:rPr>
            <w:rStyle w:val="CoverPage-DateChar"/>
            <w:rFonts w:cs="Segoe UI"/>
            <w:color w:val="864D04" w:themeColor="accent3" w:themeShade="80"/>
            <w:sz w:val="20"/>
            <w:szCs w:val="20"/>
          </w:rPr>
          <w:alias w:val="Publish Date"/>
          <w:tag w:val=""/>
          <w:id w:val="-1104186058"/>
          <w:dataBinding w:prefixMappings="xmlns:ns0='http://schemas.microsoft.com/office/2006/coverPageProps' " w:xpath="/ns0:CoverPageProperties[1]/ns0:PublishDate[1]" w:storeItemID="{55AF091B-3C7A-41E3-B477-F2FDAA23CFDA}"/>
          <w:date w:fullDate="2026-07-01T00:00:00Z">
            <w:dateFormat w:val="d MMMM yyyy"/>
            <w:lid w:val="en-AU"/>
            <w:storeMappedDataAs w:val="dateTime"/>
            <w:calendar w:val="gregorian"/>
          </w:date>
        </w:sdtPr>
        <w:sdtEndPr>
          <w:rPr>
            <w:rStyle w:val="DefaultParagraphFont"/>
            <w:rFonts w:cs="Times New Roman"/>
            <w:color w:val="864D04" w:themeColor="accent3" w:themeShade="80"/>
            <w:sz w:val="24"/>
            <w:szCs w:val="19"/>
          </w:rPr>
        </w:sdtEndPr>
        <w:sdtContent>
          <w:r w:rsidR="00A1784F" w:rsidRPr="00E51CD6">
            <w:rPr>
              <w:rStyle w:val="CoverPage-DateChar"/>
              <w:rFonts w:cs="Segoe UI"/>
              <w:color w:val="864D04" w:themeColor="accent3" w:themeShade="80"/>
              <w:sz w:val="20"/>
              <w:szCs w:val="20"/>
            </w:rPr>
            <w:t>1 July 2026</w:t>
          </w:r>
        </w:sdtContent>
      </w:sdt>
    </w:p>
    <w:p w14:paraId="6E202616" w14:textId="77777777" w:rsidR="00685FD4" w:rsidRPr="00F3115D" w:rsidRDefault="00685FD4">
      <w:pPr>
        <w:suppressAutoHyphens/>
        <w:spacing w:after="0" w:line="680" w:lineRule="exact"/>
        <w:sectPr w:rsidR="00685FD4" w:rsidRPr="00F3115D" w:rsidSect="00685FD4">
          <w:headerReference w:type="default" r:id="rId13"/>
          <w:footerReference w:type="default" r:id="rId14"/>
          <w:headerReference w:type="first" r:id="rId15"/>
          <w:pgSz w:w="11907" w:h="16839" w:code="9"/>
          <w:pgMar w:top="3402" w:right="1418" w:bottom="1701" w:left="1559" w:header="737" w:footer="567" w:gutter="0"/>
          <w:pgNumType w:start="0"/>
          <w:cols w:space="720"/>
          <w:titlePg/>
          <w:docGrid w:linePitch="360"/>
        </w:sectPr>
      </w:pPr>
    </w:p>
    <w:p w14:paraId="388CF8B4" w14:textId="77777777" w:rsidR="00C76C1E" w:rsidRPr="00F3115D" w:rsidRDefault="008022D7" w:rsidP="00C76C1E">
      <w:pPr>
        <w:pStyle w:val="Heading4"/>
        <w:ind w:right="2409"/>
        <w:rPr>
          <w:rFonts w:asciiTheme="minorHAnsi" w:hAnsiTheme="minorHAnsi" w:cstheme="minorHAnsi"/>
          <w:sz w:val="23"/>
          <w:szCs w:val="23"/>
        </w:rPr>
      </w:pPr>
      <w:r w:rsidRPr="00F3115D">
        <w:lastRenderedPageBreak/>
        <w:br/>
      </w:r>
      <w:bookmarkStart w:id="0" w:name="_Ref226731339"/>
      <w:r w:rsidR="00C76C1E" w:rsidRPr="00F3115D">
        <w:rPr>
          <w:rFonts w:cs="Segoe UI Semibold"/>
          <w:i/>
          <w:noProof/>
          <w:sz w:val="16"/>
          <w:szCs w:val="16"/>
        </w:rPr>
        <w:drawing>
          <wp:anchor distT="0" distB="0" distL="114300" distR="114300" simplePos="0" relativeHeight="251654144" behindDoc="1" locked="0" layoutInCell="1" allowOverlap="1" wp14:anchorId="7EAC46C8" wp14:editId="246B7176">
            <wp:simplePos x="0" y="0"/>
            <wp:positionH relativeFrom="page">
              <wp:align>center</wp:align>
            </wp:positionH>
            <wp:positionV relativeFrom="page">
              <wp:posOffset>107950</wp:posOffset>
            </wp:positionV>
            <wp:extent cx="7560000" cy="9608400"/>
            <wp:effectExtent l="0" t="0" r="3175" b="0"/>
            <wp:wrapNone/>
            <wp:docPr id="806" name="Picture 8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Picture 806">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0000" cy="9608400"/>
                    </a:xfrm>
                    <a:prstGeom prst="rect">
                      <a:avLst/>
                    </a:prstGeom>
                  </pic:spPr>
                </pic:pic>
              </a:graphicData>
            </a:graphic>
            <wp14:sizeRelH relativeFrom="margin">
              <wp14:pctWidth>0</wp14:pctWidth>
            </wp14:sizeRelH>
            <wp14:sizeRelV relativeFrom="margin">
              <wp14:pctHeight>0</wp14:pctHeight>
            </wp14:sizeRelV>
          </wp:anchor>
        </w:drawing>
      </w:r>
      <w:r w:rsidR="00C76C1E" w:rsidRPr="00F3115D">
        <w:rPr>
          <w:rFonts w:asciiTheme="minorHAnsi" w:hAnsiTheme="minorHAnsi" w:cstheme="minorHAnsi"/>
          <w:b/>
          <w:bCs/>
          <w:sz w:val="23"/>
          <w:szCs w:val="23"/>
        </w:rPr>
        <w:t>Nous Group</w:t>
      </w:r>
      <w:r w:rsidR="00C05A43" w:rsidRPr="00F3115D">
        <w:rPr>
          <w:rFonts w:asciiTheme="minorHAnsi" w:hAnsiTheme="minorHAnsi" w:cstheme="minorHAnsi"/>
          <w:sz w:val="23"/>
          <w:szCs w:val="23"/>
        </w:rPr>
        <w:t xml:space="preserve"> acknowledges Aboriginal and Torres Strait Islander peoples as the First Australians and the Traditional Custodians of Country throughout Australia. We pay our respect to Elders past and present, who maintain their culture, Country and spiritual connection to the land, sea and community.</w:t>
      </w:r>
      <w:bookmarkEnd w:id="0"/>
    </w:p>
    <w:p w14:paraId="132DE34A" w14:textId="77777777" w:rsidR="00C76C1E" w:rsidRPr="00F3115D" w:rsidRDefault="00C76C1E" w:rsidP="00C76C1E">
      <w:pPr>
        <w:pBdr>
          <w:bottom w:val="single" w:sz="12" w:space="1" w:color="auto"/>
        </w:pBdr>
        <w:spacing w:before="480"/>
        <w:ind w:right="2267"/>
        <w:rPr>
          <w:sz w:val="18"/>
          <w:szCs w:val="18"/>
          <w:lang w:eastAsia="en-AU"/>
        </w:rPr>
      </w:pPr>
      <w:r w:rsidRPr="00F3115D">
        <w:rPr>
          <w:sz w:val="18"/>
          <w:szCs w:val="18"/>
          <w:lang w:eastAsia="en-AU"/>
        </w:rPr>
        <w:t>This artwork was developed by Marcus Lee Design to reflect Nous Group’s Reconciliation Action Plan and our aspirations for respectful and productive engagement with Aboriginal and Torres Strait Islander peoples and communities.</w:t>
      </w:r>
      <w:r w:rsidRPr="00F3115D">
        <w:rPr>
          <w:sz w:val="18"/>
          <w:szCs w:val="18"/>
          <w:lang w:eastAsia="en-AU"/>
        </w:rPr>
        <w:br/>
      </w:r>
    </w:p>
    <w:p w14:paraId="627555D0" w14:textId="77777777" w:rsidR="00C76C1E" w:rsidRPr="00F3115D" w:rsidRDefault="00C76C1E" w:rsidP="008F288D">
      <w:pPr>
        <w:spacing w:before="1560" w:after="240"/>
        <w:rPr>
          <w:rFonts w:ascii="Segoe UI Semibold" w:hAnsi="Segoe UI Semibold" w:cs="Segoe UI Semibold"/>
          <w:i/>
          <w:sz w:val="16"/>
          <w:szCs w:val="16"/>
        </w:rPr>
      </w:pPr>
      <w:r w:rsidRPr="00F3115D">
        <w:rPr>
          <w:rFonts w:ascii="Segoe UI Semibold" w:hAnsi="Segoe UI Semibold" w:cs="Segoe UI Semibold"/>
          <w:i/>
          <w:sz w:val="16"/>
          <w:szCs w:val="16"/>
        </w:rPr>
        <w:t>Disclaimer:</w:t>
      </w:r>
    </w:p>
    <w:p w14:paraId="10BCE9C1" w14:textId="72699AF6" w:rsidR="00C76C1E" w:rsidRPr="00F3115D" w:rsidRDefault="008B72EE" w:rsidP="008B72EE">
      <w:pPr>
        <w:ind w:right="-1"/>
        <w:rPr>
          <w:i/>
          <w:sz w:val="16"/>
          <w:szCs w:val="16"/>
        </w:rPr>
      </w:pPr>
      <w:r w:rsidRPr="00F3115D">
        <w:rPr>
          <w:i/>
          <w:sz w:val="16"/>
          <w:szCs w:val="16"/>
        </w:rPr>
        <w:t>This is an independent report prepared by Nous Group (</w:t>
      </w:r>
      <w:r w:rsidRPr="00F3115D">
        <w:rPr>
          <w:rFonts w:asciiTheme="majorHAnsi" w:hAnsiTheme="majorHAnsi" w:cstheme="majorHAnsi"/>
          <w:i/>
          <w:sz w:val="16"/>
          <w:szCs w:val="16"/>
        </w:rPr>
        <w:t>Nous</w:t>
      </w:r>
      <w:r w:rsidRPr="00F3115D">
        <w:rPr>
          <w:i/>
          <w:sz w:val="16"/>
          <w:szCs w:val="16"/>
        </w:rPr>
        <w:t>), which has been commissioned by the Department of Health, Disability and Ageing (Client).</w:t>
      </w:r>
      <w:r w:rsidRPr="00F3115D">
        <w:rPr>
          <w:i/>
          <w:sz w:val="16"/>
          <w:szCs w:val="16"/>
        </w:rPr>
        <w:cr/>
        <w:t>The analyses, opinions and conclusions contained in this report are those of Nous. This report does not constitute or contain any legal, financial, or commercial advice and should not be relied upon as such.</w:t>
      </w:r>
      <w:r w:rsidRPr="00F3115D">
        <w:rPr>
          <w:i/>
          <w:sz w:val="16"/>
          <w:szCs w:val="16"/>
        </w:rPr>
        <w:cr/>
        <w:t>This report has been prepared based on information provided by the Client and by other persons as at the date of this report. Nous has relied on that information and has not independently verified or audited that information. Nous does not accept responsibility to update or revise this report.</w:t>
      </w:r>
      <w:r w:rsidRPr="00F3115D">
        <w:rPr>
          <w:i/>
          <w:sz w:val="16"/>
          <w:szCs w:val="16"/>
        </w:rPr>
        <w:cr/>
        <w:t xml:space="preserve">This report may contain forward-looking statements, conclusions, and recommendations. Whilst Nous has prepared this report with care and diligence, Nous makes no representations or warranties, express or implied, regarding the completeness or accuracy of the information in this report. </w:t>
      </w:r>
      <w:proofErr w:type="gramStart"/>
      <w:r w:rsidRPr="00F3115D">
        <w:rPr>
          <w:i/>
          <w:sz w:val="16"/>
          <w:szCs w:val="16"/>
        </w:rPr>
        <w:t>In particular, nothing</w:t>
      </w:r>
      <w:proofErr w:type="gramEnd"/>
      <w:r w:rsidRPr="00F3115D">
        <w:rPr>
          <w:i/>
          <w:sz w:val="16"/>
          <w:szCs w:val="16"/>
        </w:rPr>
        <w:t xml:space="preserve"> in this report represents or guarantees future outcomes, and no representation or warranty is made to this effect.</w:t>
      </w:r>
      <w:r w:rsidRPr="00F3115D">
        <w:rPr>
          <w:i/>
          <w:sz w:val="16"/>
          <w:szCs w:val="16"/>
        </w:rPr>
        <w:cr/>
        <w:t>Any use of this report by third parties is at their own risk. Nous accepts no liability or responsibility for any consequences (direct or indirect) arising from such use. </w:t>
      </w:r>
      <w:r w:rsidR="00C76C1E" w:rsidRPr="00F3115D">
        <w:rPr>
          <w:noProof/>
          <w:sz w:val="16"/>
          <w:szCs w:val="16"/>
          <w:lang w:eastAsia="en-AU"/>
        </w:rPr>
        <mc:AlternateContent>
          <mc:Choice Requires="wps">
            <w:drawing>
              <wp:anchor distT="0" distB="0" distL="114300" distR="114300" simplePos="0" relativeHeight="251656192" behindDoc="0" locked="0" layoutInCell="0" allowOverlap="1" wp14:anchorId="4819F79A" wp14:editId="454E15C9">
                <wp:simplePos x="0" y="0"/>
                <wp:positionH relativeFrom="margin">
                  <wp:align>left</wp:align>
                </wp:positionH>
                <wp:positionV relativeFrom="bottomMargin">
                  <wp:posOffset>-702310</wp:posOffset>
                </wp:positionV>
                <wp:extent cx="1720800" cy="313200"/>
                <wp:effectExtent l="0" t="0" r="0" b="0"/>
                <wp:wrapNone/>
                <wp:docPr id="805" name="Text Box 805"/>
                <wp:cNvGraphicFramePr/>
                <a:graphic xmlns:a="http://schemas.openxmlformats.org/drawingml/2006/main">
                  <a:graphicData uri="http://schemas.microsoft.com/office/word/2010/wordprocessingShape">
                    <wps:wsp>
                      <wps:cNvSpPr txBox="1"/>
                      <wps:spPr>
                        <a:xfrm>
                          <a:off x="0" y="0"/>
                          <a:ext cx="1720800" cy="31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86AD6" w14:textId="77777777" w:rsidR="00C76C1E" w:rsidRPr="00F3115D" w:rsidRDefault="00C76C1E" w:rsidP="00C76C1E">
                            <w:pPr>
                              <w:rPr>
                                <w:color w:val="808080" w:themeColor="background1" w:themeShade="80"/>
                              </w:rPr>
                            </w:pPr>
                            <w:r w:rsidRPr="00F3115D">
                              <w:rPr>
                                <w:color w:val="808080" w:themeColor="background1" w:themeShade="80"/>
                              </w:rPr>
                              <w:t>© Nous Group</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9F79A" id="_x0000_t202" coordsize="21600,21600" o:spt="202" path="m,l,21600r21600,l21600,xe">
                <v:stroke joinstyle="miter"/>
                <v:path gradientshapeok="t" o:connecttype="rect"/>
              </v:shapetype>
              <v:shape id="Text Box 805" o:spid="_x0000_s1026" type="#_x0000_t202" style="position:absolute;margin-left:0;margin-top:-55.3pt;width:135.5pt;height:24.6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" o:allowincell="f" filled="f" stroked="f" strokeweight=".5pt">
                <v:textbox inset="0">
                  <w:txbxContent>
                    <w:p w14:paraId="4EF86AD6" w14:textId="77777777" w:rsidR="00C76C1E" w:rsidRPr="00F3115D" w:rsidRDefault="00C76C1E" w:rsidP="00C76C1E">
                      <w:pPr>
                        <w:rPr>
                          <w:color w:val="808080" w:themeColor="background1" w:themeShade="80"/>
                        </w:rPr>
                      </w:pPr>
                      <w:r w:rsidRPr="00F3115D">
                        <w:rPr>
                          <w:color w:val="808080" w:themeColor="background1" w:themeShade="80"/>
                        </w:rPr>
                        <w:t>© Nous Group</w:t>
                      </w:r>
                    </w:p>
                  </w:txbxContent>
                </v:textbox>
                <w10:wrap anchorx="margin" anchory="margin"/>
              </v:shape>
            </w:pict>
          </mc:Fallback>
        </mc:AlternateContent>
      </w:r>
      <w:r w:rsidR="00C76C1E" w:rsidRPr="00F3115D">
        <w:rPr>
          <w:i/>
          <w:sz w:val="16"/>
          <w:szCs w:val="16"/>
        </w:rPr>
        <w:br w:type="page"/>
      </w:r>
    </w:p>
    <w:p w14:paraId="3A605A8B" w14:textId="77777777" w:rsidR="00FD4AB1" w:rsidRPr="00F3115D" w:rsidRDefault="00FD4AB1" w:rsidP="00C76C1E">
      <w:pPr>
        <w:ind w:right="-1"/>
        <w:rPr>
          <w:sz w:val="16"/>
          <w:szCs w:val="16"/>
        </w:rPr>
        <w:sectPr w:rsidR="00FD4AB1" w:rsidRPr="00F3115D" w:rsidSect="00C05A43">
          <w:headerReference w:type="default" r:id="rId17"/>
          <w:footerReference w:type="default" r:id="rId18"/>
          <w:pgSz w:w="11907" w:h="16839" w:code="9"/>
          <w:pgMar w:top="5954" w:right="1361" w:bottom="1361" w:left="1361" w:header="737" w:footer="720" w:gutter="0"/>
          <w:pgNumType w:start="1"/>
          <w:cols w:space="720"/>
          <w:docGrid w:linePitch="360"/>
        </w:sectPr>
      </w:pPr>
    </w:p>
    <w:p w14:paraId="1D7E60A3" w14:textId="77777777" w:rsidR="00CF7BA0" w:rsidRPr="00F3115D" w:rsidRDefault="00CF7BA0" w:rsidP="000424CD">
      <w:pPr>
        <w:pStyle w:val="ContentsHeading"/>
        <w:spacing w:before="0" w:after="360"/>
      </w:pPr>
      <w:r w:rsidRPr="00F3115D">
        <w:lastRenderedPageBreak/>
        <w:t>Contents</w:t>
      </w:r>
    </w:p>
    <w:p w14:paraId="7E4FD2F7" w14:textId="09860507" w:rsidR="005A63DE" w:rsidRDefault="00373B28">
      <w:pPr>
        <w:pStyle w:val="TOC1"/>
        <w:rPr>
          <w:rFonts w:asciiTheme="minorHAnsi" w:eastAsiaTheme="minorEastAsia" w:hAnsiTheme="minorHAnsi"/>
          <w:kern w:val="2"/>
          <w:sz w:val="24"/>
          <w:szCs w:val="24"/>
          <w:lang w:eastAsia="en-AU"/>
          <w14:ligatures w14:val="standardContextual"/>
        </w:rPr>
      </w:pPr>
      <w:r w:rsidRPr="00F3115D">
        <w:rPr>
          <w:noProof w:val="0"/>
          <w:sz w:val="16"/>
          <w:szCs w:val="16"/>
          <w:lang w:eastAsia="en-AU"/>
        </w:rPr>
        <w:fldChar w:fldCharType="begin"/>
      </w:r>
      <w:r w:rsidRPr="00F3115D">
        <w:rPr>
          <w:noProof w:val="0"/>
          <w:sz w:val="16"/>
          <w:szCs w:val="16"/>
          <w:lang w:eastAsia="en-AU"/>
        </w:rPr>
        <w:instrText xml:space="preserve"> TOC \o "1-2" \h \z \u </w:instrText>
      </w:r>
      <w:r w:rsidRPr="00F3115D">
        <w:rPr>
          <w:noProof w:val="0"/>
          <w:sz w:val="16"/>
          <w:szCs w:val="16"/>
          <w:lang w:eastAsia="en-AU"/>
        </w:rPr>
        <w:fldChar w:fldCharType="separate"/>
      </w:r>
      <w:hyperlink w:anchor="_Toc237357109" w:history="1">
        <w:r w:rsidR="005A63DE" w:rsidRPr="0071714E">
          <w:rPr>
            <w:rStyle w:val="Hyperlink"/>
          </w:rPr>
          <w:t>1</w:t>
        </w:r>
        <w:r w:rsidR="005A63DE">
          <w:rPr>
            <w:rFonts w:asciiTheme="minorHAnsi" w:eastAsiaTheme="minorEastAsia" w:hAnsiTheme="minorHAnsi"/>
            <w:kern w:val="2"/>
            <w:sz w:val="24"/>
            <w:szCs w:val="24"/>
            <w:lang w:eastAsia="en-AU"/>
            <w14:ligatures w14:val="standardContextual"/>
          </w:rPr>
          <w:tab/>
        </w:r>
        <w:r w:rsidR="005A63DE" w:rsidRPr="0071714E">
          <w:rPr>
            <w:rStyle w:val="Hyperlink"/>
          </w:rPr>
          <w:t>Executive Summary</w:t>
        </w:r>
        <w:r w:rsidR="005A63DE">
          <w:rPr>
            <w:webHidden/>
          </w:rPr>
          <w:tab/>
        </w:r>
        <w:r w:rsidR="005A63DE">
          <w:rPr>
            <w:webHidden/>
          </w:rPr>
          <w:fldChar w:fldCharType="begin"/>
        </w:r>
        <w:r w:rsidR="005A63DE">
          <w:rPr>
            <w:webHidden/>
          </w:rPr>
          <w:instrText xml:space="preserve"> PAGEREF _Toc237357109 \h </w:instrText>
        </w:r>
        <w:r w:rsidR="005A63DE">
          <w:rPr>
            <w:webHidden/>
          </w:rPr>
        </w:r>
        <w:r w:rsidR="005A63DE">
          <w:rPr>
            <w:webHidden/>
          </w:rPr>
          <w:fldChar w:fldCharType="separate"/>
        </w:r>
        <w:r w:rsidR="005A63DE">
          <w:rPr>
            <w:webHidden/>
          </w:rPr>
          <w:t>1</w:t>
        </w:r>
        <w:r w:rsidR="005A63DE">
          <w:rPr>
            <w:webHidden/>
          </w:rPr>
          <w:fldChar w:fldCharType="end"/>
        </w:r>
      </w:hyperlink>
    </w:p>
    <w:p w14:paraId="575D3ECC" w14:textId="221DCB7B" w:rsidR="005A63DE" w:rsidRDefault="005A63DE">
      <w:pPr>
        <w:pStyle w:val="TOC1"/>
        <w:rPr>
          <w:rFonts w:asciiTheme="minorHAnsi" w:eastAsiaTheme="minorEastAsia" w:hAnsiTheme="minorHAnsi"/>
          <w:kern w:val="2"/>
          <w:sz w:val="24"/>
          <w:szCs w:val="24"/>
          <w:lang w:eastAsia="en-AU"/>
          <w14:ligatures w14:val="standardContextual"/>
        </w:rPr>
      </w:pPr>
      <w:hyperlink w:anchor="_Toc237357110" w:history="1">
        <w:r w:rsidRPr="0071714E">
          <w:rPr>
            <w:rStyle w:val="Hyperlink"/>
          </w:rPr>
          <w:t>2</w:t>
        </w:r>
        <w:r>
          <w:rPr>
            <w:rFonts w:asciiTheme="minorHAnsi" w:eastAsiaTheme="minorEastAsia" w:hAnsiTheme="minorHAnsi"/>
            <w:kern w:val="2"/>
            <w:sz w:val="24"/>
            <w:szCs w:val="24"/>
            <w:lang w:eastAsia="en-AU"/>
            <w14:ligatures w14:val="standardContextual"/>
          </w:rPr>
          <w:tab/>
        </w:r>
        <w:r w:rsidRPr="0071714E">
          <w:rPr>
            <w:rStyle w:val="Hyperlink"/>
          </w:rPr>
          <w:t>Recommendations</w:t>
        </w:r>
        <w:r>
          <w:rPr>
            <w:webHidden/>
          </w:rPr>
          <w:tab/>
        </w:r>
        <w:r>
          <w:rPr>
            <w:webHidden/>
          </w:rPr>
          <w:fldChar w:fldCharType="begin"/>
        </w:r>
        <w:r>
          <w:rPr>
            <w:webHidden/>
          </w:rPr>
          <w:instrText xml:space="preserve"> PAGEREF _Toc237357110 \h </w:instrText>
        </w:r>
        <w:r>
          <w:rPr>
            <w:webHidden/>
          </w:rPr>
        </w:r>
        <w:r>
          <w:rPr>
            <w:webHidden/>
          </w:rPr>
          <w:fldChar w:fldCharType="separate"/>
        </w:r>
        <w:r>
          <w:rPr>
            <w:webHidden/>
          </w:rPr>
          <w:t>6</w:t>
        </w:r>
        <w:r>
          <w:rPr>
            <w:webHidden/>
          </w:rPr>
          <w:fldChar w:fldCharType="end"/>
        </w:r>
      </w:hyperlink>
    </w:p>
    <w:p w14:paraId="2F3EF5B2" w14:textId="52D6E660" w:rsidR="005A63DE" w:rsidRDefault="005A63DE">
      <w:pPr>
        <w:pStyle w:val="TOC2"/>
        <w:rPr>
          <w:rFonts w:asciiTheme="minorHAnsi" w:eastAsiaTheme="minorEastAsia" w:hAnsiTheme="minorHAnsi"/>
          <w:noProof/>
          <w:kern w:val="2"/>
          <w:sz w:val="24"/>
          <w:szCs w:val="24"/>
          <w:lang w:eastAsia="en-AU"/>
          <w14:ligatures w14:val="standardContextual"/>
        </w:rPr>
      </w:pPr>
      <w:hyperlink w:anchor="_Toc237357111" w:history="1">
        <w:r w:rsidRPr="0071714E">
          <w:rPr>
            <w:rStyle w:val="Hyperlink"/>
            <w:noProof/>
          </w:rPr>
          <w:t>2.1</w:t>
        </w:r>
        <w:r>
          <w:rPr>
            <w:rFonts w:asciiTheme="minorHAnsi" w:eastAsiaTheme="minorEastAsia" w:hAnsiTheme="minorHAnsi"/>
            <w:noProof/>
            <w:kern w:val="2"/>
            <w:sz w:val="24"/>
            <w:szCs w:val="24"/>
            <w:lang w:eastAsia="en-AU"/>
            <w14:ligatures w14:val="standardContextual"/>
          </w:rPr>
          <w:tab/>
        </w:r>
        <w:r w:rsidRPr="0071714E">
          <w:rPr>
            <w:rStyle w:val="Hyperlink"/>
            <w:noProof/>
          </w:rPr>
          <w:t>Overview of recommendations</w:t>
        </w:r>
        <w:r>
          <w:rPr>
            <w:noProof/>
            <w:webHidden/>
          </w:rPr>
          <w:tab/>
        </w:r>
        <w:r>
          <w:rPr>
            <w:noProof/>
            <w:webHidden/>
          </w:rPr>
          <w:fldChar w:fldCharType="begin"/>
        </w:r>
        <w:r>
          <w:rPr>
            <w:noProof/>
            <w:webHidden/>
          </w:rPr>
          <w:instrText xml:space="preserve"> PAGEREF _Toc237357111 \h </w:instrText>
        </w:r>
        <w:r>
          <w:rPr>
            <w:noProof/>
            <w:webHidden/>
          </w:rPr>
        </w:r>
        <w:r>
          <w:rPr>
            <w:noProof/>
            <w:webHidden/>
          </w:rPr>
          <w:fldChar w:fldCharType="separate"/>
        </w:r>
        <w:r>
          <w:rPr>
            <w:noProof/>
            <w:webHidden/>
          </w:rPr>
          <w:t>6</w:t>
        </w:r>
        <w:r>
          <w:rPr>
            <w:noProof/>
            <w:webHidden/>
          </w:rPr>
          <w:fldChar w:fldCharType="end"/>
        </w:r>
      </w:hyperlink>
    </w:p>
    <w:p w14:paraId="1D64827C" w14:textId="4BAB9E15" w:rsidR="005A63DE" w:rsidRDefault="005A63DE">
      <w:pPr>
        <w:pStyle w:val="TOC2"/>
        <w:rPr>
          <w:rFonts w:asciiTheme="minorHAnsi" w:eastAsiaTheme="minorEastAsia" w:hAnsiTheme="minorHAnsi"/>
          <w:noProof/>
          <w:kern w:val="2"/>
          <w:sz w:val="24"/>
          <w:szCs w:val="24"/>
          <w:lang w:eastAsia="en-AU"/>
          <w14:ligatures w14:val="standardContextual"/>
        </w:rPr>
      </w:pPr>
      <w:hyperlink w:anchor="_Toc237357112" w:history="1">
        <w:r w:rsidRPr="0071714E">
          <w:rPr>
            <w:rStyle w:val="Hyperlink"/>
            <w:noProof/>
          </w:rPr>
          <w:t>2.2</w:t>
        </w:r>
        <w:r>
          <w:rPr>
            <w:rFonts w:asciiTheme="minorHAnsi" w:eastAsiaTheme="minorEastAsia" w:hAnsiTheme="minorHAnsi"/>
            <w:noProof/>
            <w:kern w:val="2"/>
            <w:sz w:val="24"/>
            <w:szCs w:val="24"/>
            <w:lang w:eastAsia="en-AU"/>
            <w14:ligatures w14:val="standardContextual"/>
          </w:rPr>
          <w:tab/>
        </w:r>
        <w:r w:rsidRPr="0071714E">
          <w:rPr>
            <w:rStyle w:val="Hyperlink"/>
            <w:noProof/>
          </w:rPr>
          <w:t>Planning considerations</w:t>
        </w:r>
        <w:r>
          <w:rPr>
            <w:noProof/>
            <w:webHidden/>
          </w:rPr>
          <w:tab/>
        </w:r>
        <w:r>
          <w:rPr>
            <w:noProof/>
            <w:webHidden/>
          </w:rPr>
          <w:fldChar w:fldCharType="begin"/>
        </w:r>
        <w:r>
          <w:rPr>
            <w:noProof/>
            <w:webHidden/>
          </w:rPr>
          <w:instrText xml:space="preserve"> PAGEREF _Toc237357112 \h </w:instrText>
        </w:r>
        <w:r>
          <w:rPr>
            <w:noProof/>
            <w:webHidden/>
          </w:rPr>
        </w:r>
        <w:r>
          <w:rPr>
            <w:noProof/>
            <w:webHidden/>
          </w:rPr>
          <w:fldChar w:fldCharType="separate"/>
        </w:r>
        <w:r>
          <w:rPr>
            <w:noProof/>
            <w:webHidden/>
          </w:rPr>
          <w:t>11</w:t>
        </w:r>
        <w:r>
          <w:rPr>
            <w:noProof/>
            <w:webHidden/>
          </w:rPr>
          <w:fldChar w:fldCharType="end"/>
        </w:r>
      </w:hyperlink>
    </w:p>
    <w:p w14:paraId="20FB8E18" w14:textId="33EE9A33" w:rsidR="00347671" w:rsidRPr="00F3115D" w:rsidRDefault="00373B28" w:rsidP="000D5CE3">
      <w:pPr>
        <w:rPr>
          <w:lang w:eastAsia="en-AU"/>
        </w:rPr>
        <w:sectPr w:rsidR="00347671" w:rsidRPr="00F3115D" w:rsidSect="00C05A43">
          <w:pgSz w:w="11907" w:h="16839" w:code="9"/>
          <w:pgMar w:top="1361" w:right="1361" w:bottom="1361" w:left="1361" w:header="720" w:footer="720" w:gutter="0"/>
          <w:cols w:space="720"/>
          <w:docGrid w:linePitch="360"/>
        </w:sectPr>
      </w:pPr>
      <w:r w:rsidRPr="00F3115D">
        <w:rPr>
          <w:rFonts w:ascii="Segoe UI Semibold" w:hAnsi="Segoe UI Semibold"/>
          <w:sz w:val="16"/>
          <w:szCs w:val="16"/>
          <w:lang w:eastAsia="en-AU"/>
        </w:rPr>
        <w:fldChar w:fldCharType="end"/>
      </w:r>
    </w:p>
    <w:p w14:paraId="21E7A2F6" w14:textId="101CF9EC" w:rsidR="00B10C1A" w:rsidRPr="00F3115D" w:rsidRDefault="00B10C1A" w:rsidP="00B10C1A">
      <w:pPr>
        <w:pStyle w:val="Heading1"/>
        <w:ind w:left="567" w:hanging="567"/>
      </w:pPr>
      <w:bookmarkStart w:id="1" w:name="_Toc225433670"/>
      <w:bookmarkStart w:id="2" w:name="_Toc237357109"/>
      <w:r w:rsidRPr="00F3115D">
        <w:lastRenderedPageBreak/>
        <w:t>Executive Summary</w:t>
      </w:r>
      <w:bookmarkEnd w:id="1"/>
      <w:bookmarkEnd w:id="2"/>
    </w:p>
    <w:p w14:paraId="74285061" w14:textId="7C091AF2" w:rsidR="00D8321C" w:rsidRPr="00F3115D" w:rsidRDefault="00D8321C" w:rsidP="00D8321C">
      <w:pPr>
        <w:rPr>
          <w:lang w:eastAsia="en-AU"/>
        </w:rPr>
      </w:pPr>
      <w:r w:rsidRPr="00F3115D">
        <w:rPr>
          <w:lang w:eastAsia="en-AU"/>
        </w:rPr>
        <w:t>This report presents the final findings and recommendations of the review of the national Key Performance Indicators (</w:t>
      </w:r>
      <w:proofErr w:type="spellStart"/>
      <w:r w:rsidRPr="00F3115D">
        <w:rPr>
          <w:lang w:eastAsia="en-AU"/>
        </w:rPr>
        <w:t>nKPIs</w:t>
      </w:r>
      <w:proofErr w:type="spellEnd"/>
      <w:r w:rsidRPr="00F3115D">
        <w:rPr>
          <w:lang w:eastAsia="en-AU"/>
        </w:rPr>
        <w:t xml:space="preserve">) and the Online Services Report (OSR), commissioned by the Department of Health, Disability and Ageing (the Department). The review examines the appropriateness, usefulness, efficiency and governance of the collections, the burden they place on </w:t>
      </w:r>
      <w:r w:rsidR="00952E4D" w:rsidRPr="00F3115D">
        <w:rPr>
          <w:lang w:eastAsia="en-AU"/>
        </w:rPr>
        <w:t>First Nations</w:t>
      </w:r>
      <w:r w:rsidRPr="00F3115D">
        <w:rPr>
          <w:lang w:eastAsia="en-AU"/>
        </w:rPr>
        <w:t xml:space="preserve"> Primary Health Care (PHC) services, and how they can be strengthened in the context of Indigenous Data Sovereignty principles</w:t>
      </w:r>
      <w:r w:rsidR="001364AD" w:rsidRPr="00F3115D">
        <w:rPr>
          <w:rStyle w:val="FootnoteReference"/>
          <w:lang w:eastAsia="en-AU"/>
        </w:rPr>
        <w:footnoteReference w:id="1"/>
      </w:r>
      <w:r w:rsidRPr="00F3115D">
        <w:rPr>
          <w:lang w:eastAsia="en-AU"/>
        </w:rPr>
        <w:t>, broader national digital health reform</w:t>
      </w:r>
      <w:r w:rsidR="00902B01" w:rsidRPr="00F3115D">
        <w:rPr>
          <w:lang w:eastAsia="en-AU"/>
        </w:rPr>
        <w:t>, and the Closing the Gap Priority Reforms, in particular Priority Reform 4 relating to shared access to data and information at a regional level</w:t>
      </w:r>
      <w:r w:rsidRPr="00F3115D">
        <w:rPr>
          <w:lang w:eastAsia="en-AU"/>
        </w:rPr>
        <w:t>.</w:t>
      </w:r>
    </w:p>
    <w:p w14:paraId="49A08489" w14:textId="3F2190AE" w:rsidR="00D8321C" w:rsidRPr="00F3115D" w:rsidRDefault="00D8321C" w:rsidP="00D8321C">
      <w:pPr>
        <w:rPr>
          <w:lang w:eastAsia="en-AU"/>
        </w:rPr>
      </w:pPr>
      <w:r w:rsidRPr="00F3115D">
        <w:rPr>
          <w:lang w:eastAsia="en-AU"/>
        </w:rPr>
        <w:t xml:space="preserve">The </w:t>
      </w:r>
      <w:proofErr w:type="spellStart"/>
      <w:r w:rsidRPr="00F3115D">
        <w:rPr>
          <w:lang w:eastAsia="en-AU"/>
        </w:rPr>
        <w:t>nKPIs</w:t>
      </w:r>
      <w:proofErr w:type="spellEnd"/>
      <w:r w:rsidRPr="00F3115D">
        <w:rPr>
          <w:lang w:eastAsia="en-AU"/>
        </w:rPr>
        <w:t xml:space="preserve"> and the OSR were established at different times and for distinct but complementary purposes within the </w:t>
      </w:r>
      <w:r w:rsidR="00676F10" w:rsidRPr="00F3115D">
        <w:rPr>
          <w:lang w:eastAsia="en-AU"/>
        </w:rPr>
        <w:t>First Nations</w:t>
      </w:r>
      <w:r w:rsidRPr="00F3115D">
        <w:rPr>
          <w:lang w:eastAsia="en-AU"/>
        </w:rPr>
        <w:t xml:space="preserve"> PHC system. The </w:t>
      </w:r>
      <w:proofErr w:type="spellStart"/>
      <w:r w:rsidRPr="00F3115D">
        <w:rPr>
          <w:lang w:eastAsia="en-AU"/>
        </w:rPr>
        <w:t>nKPIs</w:t>
      </w:r>
      <w:proofErr w:type="spellEnd"/>
      <w:r w:rsidRPr="00F3115D">
        <w:rPr>
          <w:lang w:eastAsia="en-AU"/>
        </w:rPr>
        <w:t xml:space="preserve"> were developed</w:t>
      </w:r>
      <w:r w:rsidRPr="00F3115D" w:rsidDel="006F1C75">
        <w:rPr>
          <w:lang w:eastAsia="en-AU"/>
        </w:rPr>
        <w:t xml:space="preserve"> </w:t>
      </w:r>
      <w:r w:rsidR="006F1C75" w:rsidRPr="00F3115D">
        <w:rPr>
          <w:lang w:eastAsia="en-AU"/>
        </w:rPr>
        <w:t xml:space="preserve">in </w:t>
      </w:r>
      <w:r w:rsidRPr="00F3115D">
        <w:rPr>
          <w:lang w:eastAsia="en-AU"/>
        </w:rPr>
        <w:t xml:space="preserve">2010 to support continuous quality improvement (CQI) in First Nations PHC services, by providing a nationally consistent, service‑level view of key clinical activities and outcomes, alongside a secondary role in informing program monitoring and policy development. Since their introduction, the </w:t>
      </w:r>
      <w:proofErr w:type="spellStart"/>
      <w:r w:rsidRPr="00F3115D">
        <w:rPr>
          <w:lang w:eastAsia="en-AU"/>
        </w:rPr>
        <w:t>nKPIs</w:t>
      </w:r>
      <w:proofErr w:type="spellEnd"/>
      <w:r w:rsidRPr="00F3115D">
        <w:rPr>
          <w:lang w:eastAsia="en-AU"/>
        </w:rPr>
        <w:t xml:space="preserve"> have been refined through periodic review and stakeholder input, but their core design as a six‑monthly, aggregated, CQI‑oriented collection has remained unchanged.</w:t>
      </w:r>
    </w:p>
    <w:p w14:paraId="2E0959CE" w14:textId="323F072E" w:rsidR="00D8321C" w:rsidRPr="00F3115D" w:rsidRDefault="00D8321C" w:rsidP="00D8321C">
      <w:pPr>
        <w:rPr>
          <w:lang w:eastAsia="en-AU"/>
        </w:rPr>
      </w:pPr>
      <w:r w:rsidRPr="00F3115D">
        <w:rPr>
          <w:lang w:eastAsia="en-AU"/>
        </w:rPr>
        <w:t xml:space="preserve">The OSR has a longer history, originating in earlier service activity and organisational reporting collections from the late 1990s and later consolidated into a single annual report to support funding accountability, service profiling and system‑level understanding of the First Nations PHC sector. The OSR was designed primarily as an administrative and organisational dataset, capturing workforce, activity and service context information to inform Indigenous Australians’ Health Programme (IAHP) funding assurance, program management and national reporting. Over time, incremental changes to scope and reporting requirements have increased burden and reduced clarity of purpose, </w:t>
      </w:r>
      <w:r w:rsidR="002B0285" w:rsidRPr="00F3115D">
        <w:rPr>
          <w:lang w:eastAsia="en-AU"/>
        </w:rPr>
        <w:t xml:space="preserve">without diminishing the underlying value of the collection for its core roles, </w:t>
      </w:r>
      <w:r w:rsidRPr="00F3115D">
        <w:rPr>
          <w:lang w:eastAsia="en-AU"/>
        </w:rPr>
        <w:t>reinforcing the need to re‑establish the OSR as a focused and proportionate collection aligned to its core funding and stewardship functions.</w:t>
      </w:r>
    </w:p>
    <w:p w14:paraId="3F92F7F4" w14:textId="2932E579" w:rsidR="00F87F33" w:rsidRPr="00F3115D" w:rsidRDefault="00F87F33" w:rsidP="00F87F33">
      <w:pPr>
        <w:rPr>
          <w:lang w:eastAsia="en-AU"/>
        </w:rPr>
      </w:pPr>
      <w:r w:rsidRPr="00F3115D">
        <w:rPr>
          <w:lang w:eastAsia="en-AU"/>
        </w:rPr>
        <w:t xml:space="preserve">The review draws on an extensive evidence base, including </w:t>
      </w:r>
      <w:r w:rsidR="1A525764" w:rsidRPr="00F3115D">
        <w:rPr>
          <w:lang w:eastAsia="en-AU"/>
        </w:rPr>
        <w:t xml:space="preserve">a </w:t>
      </w:r>
      <w:r w:rsidRPr="00F3115D">
        <w:rPr>
          <w:lang w:eastAsia="en-AU"/>
        </w:rPr>
        <w:t xml:space="preserve">documentation and literature review, quantitative analysis of the collections and supporting systems, and comprehensive consultation with Aboriginal Community Controlled Health Organisations (ACCHOs), other First Nations PHC services, peak bodies, government agencies, data custodians and system partners. Findings reflect consistent themes across these sources and build on the Initial Findings and Recommendations </w:t>
      </w:r>
      <w:r w:rsidR="00D8321C" w:rsidRPr="00F3115D">
        <w:rPr>
          <w:lang w:eastAsia="en-AU"/>
        </w:rPr>
        <w:t>through</w:t>
      </w:r>
      <w:r w:rsidRPr="00F3115D">
        <w:rPr>
          <w:lang w:eastAsia="en-AU"/>
        </w:rPr>
        <w:t xml:space="preserve"> additional analysis, sector feedback and refinement of proposed reform pathways.</w:t>
      </w:r>
    </w:p>
    <w:p w14:paraId="043F2915" w14:textId="51DFE514" w:rsidR="00F87F33" w:rsidRPr="00F3115D" w:rsidRDefault="00F87F33" w:rsidP="00DB45EB">
      <w:pPr>
        <w:pStyle w:val="Heading4"/>
      </w:pPr>
      <w:r w:rsidRPr="00F3115D">
        <w:t>The role of the nKPI and OSR in the current data environment</w:t>
      </w:r>
    </w:p>
    <w:p w14:paraId="6C5A2538" w14:textId="007E0D68" w:rsidR="004B077E" w:rsidRPr="00F3115D" w:rsidRDefault="004B077E" w:rsidP="004B077E">
      <w:pPr>
        <w:rPr>
          <w:lang w:eastAsia="en-AU"/>
        </w:rPr>
      </w:pPr>
      <w:r w:rsidRPr="00F3115D">
        <w:rPr>
          <w:lang w:eastAsia="en-AU"/>
        </w:rPr>
        <w:t xml:space="preserve">The review finds that the nKPI and OSR collections continue to play an important and enduring role within the First Nations PHC data ecosystem. When assessed against their original and intended purposes, the collections together provide nationally consistent, service‑level data that supports CQI, benchmarking and governance oversight </w:t>
      </w:r>
      <w:r w:rsidR="002E0C1A" w:rsidRPr="00F3115D">
        <w:rPr>
          <w:lang w:eastAsia="en-AU"/>
        </w:rPr>
        <w:t xml:space="preserve">through the </w:t>
      </w:r>
      <w:r w:rsidRPr="00F3115D">
        <w:rPr>
          <w:lang w:eastAsia="en-AU"/>
        </w:rPr>
        <w:t xml:space="preserve">nKPI, and funding accountability, program administration and sector‑level profiling </w:t>
      </w:r>
      <w:r w:rsidR="002E0C1A" w:rsidRPr="00F3115D">
        <w:rPr>
          <w:lang w:eastAsia="en-AU"/>
        </w:rPr>
        <w:t xml:space="preserve">through the </w:t>
      </w:r>
      <w:r w:rsidRPr="00F3115D">
        <w:rPr>
          <w:lang w:eastAsia="en-AU"/>
        </w:rPr>
        <w:t>OSR. Compared with many other government reporting programs, they are relatively mature, reflecting sustained investment in indicator design, cross‑vendor automation, validation processes, training and sector support.</w:t>
      </w:r>
    </w:p>
    <w:p w14:paraId="5952D313" w14:textId="554BC779" w:rsidR="004B077E" w:rsidRPr="00F3115D" w:rsidRDefault="004B077E" w:rsidP="004B077E">
      <w:pPr>
        <w:rPr>
          <w:lang w:eastAsia="en-AU"/>
        </w:rPr>
      </w:pPr>
      <w:r w:rsidRPr="00F3115D">
        <w:rPr>
          <w:lang w:eastAsia="en-AU"/>
        </w:rPr>
        <w:t xml:space="preserve">At the same time, </w:t>
      </w:r>
      <w:r w:rsidR="000D595D" w:rsidRPr="00F3115D">
        <w:rPr>
          <w:lang w:eastAsia="en-AU"/>
        </w:rPr>
        <w:t xml:space="preserve">recognising the distinct ways in which different </w:t>
      </w:r>
      <w:r w:rsidR="00CC10B2" w:rsidRPr="00F3115D">
        <w:rPr>
          <w:lang w:eastAsia="en-AU"/>
        </w:rPr>
        <w:t xml:space="preserve">stakeholders </w:t>
      </w:r>
      <w:r w:rsidR="000D595D" w:rsidRPr="00F3115D">
        <w:rPr>
          <w:lang w:eastAsia="en-AU"/>
        </w:rPr>
        <w:t xml:space="preserve">use the data, </w:t>
      </w:r>
      <w:r w:rsidRPr="00F3115D">
        <w:rPr>
          <w:lang w:eastAsia="en-AU"/>
        </w:rPr>
        <w:t xml:space="preserve">the review confirms that both collections are best understood as partial and purpose‑bound instruments rather than comprehensive or standalone measures of </w:t>
      </w:r>
      <w:r w:rsidR="00676F10" w:rsidRPr="00F3115D">
        <w:rPr>
          <w:lang w:eastAsia="en-AU"/>
        </w:rPr>
        <w:t>First Nations</w:t>
      </w:r>
      <w:r w:rsidRPr="00F3115D">
        <w:rPr>
          <w:lang w:eastAsia="en-AU"/>
        </w:rPr>
        <w:t xml:space="preserve"> health or service performance. Structural features of the collections, including aggregation, reporting frequency, partial population coverage and reliance on Clinical Information Systems (CIS), inherently limit the extent to which all original objectives can be realised simultaneously. These constraints reflect deliberate design choices intended to balance value, feasibility and reporting burden, rather than shortcomings in implementation.</w:t>
      </w:r>
      <w:r w:rsidR="00444DF9" w:rsidRPr="00F3115D">
        <w:rPr>
          <w:lang w:eastAsia="en-AU"/>
        </w:rPr>
        <w:t xml:space="preserve"> This reflects a broader, systemic issue beyond the nKPI and OSR, where digital architectures fail to accommodate the holistic models of health held by First Nations peoples.</w:t>
      </w:r>
    </w:p>
    <w:p w14:paraId="3BE85730" w14:textId="56BAC2C5" w:rsidR="00155307" w:rsidRPr="00F3115D" w:rsidRDefault="00155307" w:rsidP="004B077E">
      <w:pPr>
        <w:rPr>
          <w:lang w:eastAsia="en-AU"/>
        </w:rPr>
      </w:pPr>
      <w:r w:rsidRPr="00F3115D">
        <w:rPr>
          <w:lang w:eastAsia="en-AU"/>
        </w:rPr>
        <w:t xml:space="preserve">Importantly, some perceived limitations in how data is accessed and interpreted are not solely a function of these structural </w:t>
      </w:r>
      <w:r w:rsidR="00F3246F" w:rsidRPr="00F3115D">
        <w:rPr>
          <w:lang w:eastAsia="en-AU"/>
        </w:rPr>
        <w:t>features but</w:t>
      </w:r>
      <w:r w:rsidRPr="00F3115D">
        <w:rPr>
          <w:lang w:eastAsia="en-AU"/>
        </w:rPr>
        <w:t xml:space="preserve"> also relate to how data is currently presented to the sector and stakeholders. For example, the configuration of Qlik </w:t>
      </w:r>
      <w:r w:rsidR="00A32652">
        <w:rPr>
          <w:lang w:eastAsia="en-AU"/>
        </w:rPr>
        <w:t xml:space="preserve">Sense (Qlik) </w:t>
      </w:r>
      <w:r w:rsidRPr="00F3115D">
        <w:rPr>
          <w:lang w:eastAsia="en-AU"/>
        </w:rPr>
        <w:t>dashboards provides a relatively flat and constrained view of the data. However, this reflects design choices in reporting and visualisation, rather than inherent limitations in the underlying data or its potential use. There is therefore scope to enhance how data is presented and interrogated over time, without requiring fundamental changes to the collections themselves.</w:t>
      </w:r>
    </w:p>
    <w:p w14:paraId="0C614BD3" w14:textId="48ED8DAC" w:rsidR="005922C9" w:rsidRPr="00F3115D" w:rsidRDefault="005922C9" w:rsidP="004B077E">
      <w:pPr>
        <w:rPr>
          <w:lang w:eastAsia="en-AU"/>
        </w:rPr>
      </w:pPr>
      <w:r w:rsidRPr="00F3115D">
        <w:rPr>
          <w:lang w:eastAsia="en-AU"/>
        </w:rPr>
        <w:lastRenderedPageBreak/>
        <w:t xml:space="preserve">In practice, </w:t>
      </w:r>
      <w:r w:rsidR="00707386" w:rsidRPr="00F3115D">
        <w:rPr>
          <w:lang w:eastAsia="en-AU"/>
        </w:rPr>
        <w:t>these purpose boundaries</w:t>
      </w:r>
      <w:r w:rsidRPr="00F3115D">
        <w:rPr>
          <w:lang w:eastAsia="en-AU"/>
        </w:rPr>
        <w:t xml:space="preserve"> are </w:t>
      </w:r>
      <w:r w:rsidR="00707386" w:rsidRPr="00F3115D">
        <w:rPr>
          <w:lang w:eastAsia="en-AU"/>
        </w:rPr>
        <w:t>reflected</w:t>
      </w:r>
      <w:r w:rsidRPr="00F3115D">
        <w:rPr>
          <w:lang w:eastAsia="en-AU"/>
        </w:rPr>
        <w:t xml:space="preserve"> in </w:t>
      </w:r>
      <w:r w:rsidR="00144772" w:rsidRPr="00F3115D">
        <w:rPr>
          <w:lang w:eastAsia="en-AU"/>
        </w:rPr>
        <w:t xml:space="preserve">the different uses of </w:t>
      </w:r>
      <w:r w:rsidR="00707386" w:rsidRPr="00F3115D">
        <w:rPr>
          <w:lang w:eastAsia="en-AU"/>
        </w:rPr>
        <w:t>the data.</w:t>
      </w:r>
      <w:r w:rsidRPr="00F3115D">
        <w:rPr>
          <w:lang w:eastAsia="en-AU"/>
        </w:rPr>
        <w:t xml:space="preserve"> At the service level, nKPI data primarily supports high‑level CQI, reflection, benchmarking and governance reporting, while OSR data is experienced largely as an administrative and funding‑related reporting requirement. At the sector level, organisations such as </w:t>
      </w:r>
      <w:r w:rsidR="00036DD1" w:rsidRPr="00F3115D">
        <w:rPr>
          <w:lang w:eastAsia="en-AU"/>
        </w:rPr>
        <w:t>the National Aboriginal Community Controlled Health Organisation (</w:t>
      </w:r>
      <w:r w:rsidRPr="00F3115D">
        <w:rPr>
          <w:lang w:eastAsia="en-AU"/>
        </w:rPr>
        <w:t>NACCHO</w:t>
      </w:r>
      <w:r w:rsidR="00036DD1" w:rsidRPr="00F3115D">
        <w:rPr>
          <w:lang w:eastAsia="en-AU"/>
        </w:rPr>
        <w:t>)</w:t>
      </w:r>
      <w:r w:rsidRPr="00F3115D">
        <w:rPr>
          <w:lang w:eastAsia="en-AU"/>
        </w:rPr>
        <w:t xml:space="preserve"> and some Affiliates use aggregate outputs to support advocacy, sector monitoring and system stewardship. Within government, use is concentrated in specific departmental and program areas for funding assurance, contract management and contribution to national reporting, including analysis undertaken by data custodians such as the Australian Institute of Health and Welfare (AIHW). </w:t>
      </w:r>
      <w:r w:rsidR="00F30D6D" w:rsidRPr="00F3115D">
        <w:rPr>
          <w:lang w:eastAsia="en-AU"/>
        </w:rPr>
        <w:t>Understanding</w:t>
      </w:r>
      <w:r w:rsidRPr="00F3115D">
        <w:rPr>
          <w:lang w:eastAsia="en-AU"/>
        </w:rPr>
        <w:t xml:space="preserve"> these </w:t>
      </w:r>
      <w:r w:rsidR="00F30D6D" w:rsidRPr="00F3115D">
        <w:rPr>
          <w:lang w:eastAsia="en-AU"/>
        </w:rPr>
        <w:t>distinct use cases</w:t>
      </w:r>
      <w:r w:rsidRPr="00F3115D">
        <w:rPr>
          <w:lang w:eastAsia="en-AU"/>
        </w:rPr>
        <w:t xml:space="preserve"> is critical to </w:t>
      </w:r>
      <w:r w:rsidR="00F30D6D" w:rsidRPr="00F3115D">
        <w:rPr>
          <w:lang w:eastAsia="en-AU"/>
        </w:rPr>
        <w:t>identifying</w:t>
      </w:r>
      <w:r w:rsidRPr="00F3115D">
        <w:rPr>
          <w:lang w:eastAsia="en-AU"/>
        </w:rPr>
        <w:t xml:space="preserve"> where value is generated, where </w:t>
      </w:r>
      <w:r w:rsidR="00F30D6D" w:rsidRPr="00F3115D">
        <w:rPr>
          <w:lang w:eastAsia="en-AU"/>
        </w:rPr>
        <w:t xml:space="preserve">reporting </w:t>
      </w:r>
      <w:r w:rsidRPr="00F3115D">
        <w:rPr>
          <w:lang w:eastAsia="en-AU"/>
        </w:rPr>
        <w:t xml:space="preserve">burden is </w:t>
      </w:r>
      <w:r w:rsidR="00F30D6D" w:rsidRPr="00F3115D">
        <w:rPr>
          <w:lang w:eastAsia="en-AU"/>
        </w:rPr>
        <w:t>most acutely felt</w:t>
      </w:r>
      <w:r w:rsidRPr="00F3115D">
        <w:rPr>
          <w:lang w:eastAsia="en-AU"/>
        </w:rPr>
        <w:t>, and how reciprocity can be strengthened</w:t>
      </w:r>
      <w:r w:rsidR="00F30D6D" w:rsidRPr="00F3115D">
        <w:rPr>
          <w:lang w:eastAsia="en-AU"/>
        </w:rPr>
        <w:t xml:space="preserve"> across the system</w:t>
      </w:r>
      <w:r w:rsidRPr="00F3115D">
        <w:rPr>
          <w:lang w:eastAsia="en-AU"/>
        </w:rPr>
        <w:t>.</w:t>
      </w:r>
    </w:p>
    <w:p w14:paraId="076118BD" w14:textId="70115BCC" w:rsidR="00F87F33" w:rsidRPr="00F3115D" w:rsidRDefault="00F87F33" w:rsidP="00F87F33">
      <w:pPr>
        <w:rPr>
          <w:lang w:eastAsia="en-AU"/>
        </w:rPr>
      </w:pPr>
      <w:r w:rsidRPr="00F3115D">
        <w:rPr>
          <w:lang w:eastAsia="en-AU"/>
        </w:rPr>
        <w:t xml:space="preserve">A central finding is that clarity of purpose and use matters more than the volume of reporting itself. Where the </w:t>
      </w:r>
      <w:r w:rsidR="00BA7A9E" w:rsidRPr="00F3115D">
        <w:rPr>
          <w:lang w:eastAsia="en-AU"/>
        </w:rPr>
        <w:t xml:space="preserve">intended </w:t>
      </w:r>
      <w:r w:rsidRPr="00F3115D">
        <w:rPr>
          <w:lang w:eastAsia="en-AU"/>
        </w:rPr>
        <w:t xml:space="preserve">purpose of </w:t>
      </w:r>
      <w:r w:rsidR="00BA7A9E" w:rsidRPr="00F3115D">
        <w:rPr>
          <w:lang w:eastAsia="en-AU"/>
        </w:rPr>
        <w:t>a</w:t>
      </w:r>
      <w:r w:rsidRPr="00F3115D">
        <w:rPr>
          <w:lang w:eastAsia="en-AU"/>
        </w:rPr>
        <w:t xml:space="preserve"> collection is </w:t>
      </w:r>
      <w:r w:rsidR="00BA7A9E" w:rsidRPr="00F3115D">
        <w:rPr>
          <w:lang w:eastAsia="en-AU"/>
        </w:rPr>
        <w:t>clearly articulated</w:t>
      </w:r>
      <w:r w:rsidR="004B077E" w:rsidRPr="00F3115D">
        <w:rPr>
          <w:lang w:eastAsia="en-AU"/>
        </w:rPr>
        <w:t xml:space="preserve">, </w:t>
      </w:r>
      <w:r w:rsidR="00BA7A9E" w:rsidRPr="00F3115D">
        <w:rPr>
          <w:lang w:eastAsia="en-AU"/>
        </w:rPr>
        <w:t xml:space="preserve">aligned to how data are used, and visibly </w:t>
      </w:r>
      <w:r w:rsidR="004B077E" w:rsidRPr="00F3115D">
        <w:rPr>
          <w:lang w:eastAsia="en-AU"/>
        </w:rPr>
        <w:t>linked to value for</w:t>
      </w:r>
      <w:r w:rsidRPr="00F3115D">
        <w:rPr>
          <w:lang w:eastAsia="en-AU"/>
        </w:rPr>
        <w:t xml:space="preserve"> services and the sector, reporting effort is more readily </w:t>
      </w:r>
      <w:r w:rsidR="004B077E" w:rsidRPr="00F3115D">
        <w:rPr>
          <w:lang w:eastAsia="en-AU"/>
        </w:rPr>
        <w:t xml:space="preserve">understood and </w:t>
      </w:r>
      <w:r w:rsidRPr="00F3115D">
        <w:rPr>
          <w:lang w:eastAsia="en-AU"/>
        </w:rPr>
        <w:t xml:space="preserve">accepted. Conversely, lack of </w:t>
      </w:r>
      <w:r w:rsidR="004B077E" w:rsidRPr="00F3115D">
        <w:rPr>
          <w:lang w:eastAsia="en-AU"/>
        </w:rPr>
        <w:t>transparency</w:t>
      </w:r>
      <w:r w:rsidRPr="00F3115D">
        <w:rPr>
          <w:lang w:eastAsia="en-AU"/>
        </w:rPr>
        <w:t xml:space="preserve"> about downstream </w:t>
      </w:r>
      <w:r w:rsidR="004B077E" w:rsidRPr="00F3115D">
        <w:rPr>
          <w:lang w:eastAsia="en-AU"/>
        </w:rPr>
        <w:t xml:space="preserve">use </w:t>
      </w:r>
      <w:r w:rsidRPr="00F3115D">
        <w:rPr>
          <w:lang w:eastAsia="en-AU"/>
        </w:rPr>
        <w:t>undermines trust and amplifies perceptions of burden.</w:t>
      </w:r>
    </w:p>
    <w:p w14:paraId="32FEC6D4" w14:textId="77777777" w:rsidR="00F87F33" w:rsidRPr="00F3115D" w:rsidRDefault="00F87F33" w:rsidP="00DB45EB">
      <w:pPr>
        <w:pStyle w:val="Heading4"/>
      </w:pPr>
      <w:r w:rsidRPr="00F3115D">
        <w:t>Findings on the nKPI collection</w:t>
      </w:r>
    </w:p>
    <w:p w14:paraId="731E8762" w14:textId="7B440B09" w:rsidR="00F87F33" w:rsidRPr="00F3115D" w:rsidRDefault="00F87F33" w:rsidP="00F87F33">
      <w:pPr>
        <w:rPr>
          <w:lang w:eastAsia="en-AU"/>
        </w:rPr>
      </w:pPr>
      <w:r w:rsidRPr="00F3115D">
        <w:rPr>
          <w:lang w:eastAsia="en-AU"/>
        </w:rPr>
        <w:t xml:space="preserve">The nKPI collection is most effective as a high‑level CQI, benchmarking and governance tool. </w:t>
      </w:r>
      <w:r w:rsidR="003E6DF3" w:rsidRPr="00F3115D">
        <w:rPr>
          <w:lang w:eastAsia="en-AU"/>
        </w:rPr>
        <w:t xml:space="preserve">This aligns directly with the original intent of the </w:t>
      </w:r>
      <w:proofErr w:type="spellStart"/>
      <w:r w:rsidR="003E6DF3" w:rsidRPr="00F3115D">
        <w:rPr>
          <w:lang w:eastAsia="en-AU"/>
        </w:rPr>
        <w:t>nKPIs</w:t>
      </w:r>
      <w:proofErr w:type="spellEnd"/>
      <w:r w:rsidR="003E6DF3" w:rsidRPr="00F3115D">
        <w:rPr>
          <w:lang w:eastAsia="en-AU"/>
        </w:rPr>
        <w:t xml:space="preserve"> to support service‑level continuous quality improvement, reflection and oversight. </w:t>
      </w:r>
      <w:r w:rsidRPr="00F3115D">
        <w:rPr>
          <w:lang w:eastAsia="en-AU"/>
        </w:rPr>
        <w:t xml:space="preserve">Its six‑monthly, aggregated design supports reflection on trends over time and peer comparison and is particularly useful for board reporting and high‑level oversight. However, the same design features limit its usefulness for day‑to‑day clinical improvement, targeted follow‑up or real‑time decision‑making. </w:t>
      </w:r>
      <w:r w:rsidR="00B53964" w:rsidRPr="00F3115D">
        <w:rPr>
          <w:lang w:eastAsia="en-AU"/>
        </w:rPr>
        <w:t xml:space="preserve">This reflects the way the collection has evolved in practice rather than a deliberate exclusion of real‑time CQI in its original intent. At the time of its establishment, the </w:t>
      </w:r>
      <w:proofErr w:type="spellStart"/>
      <w:r w:rsidR="00B53964" w:rsidRPr="00F3115D">
        <w:rPr>
          <w:lang w:eastAsia="en-AU"/>
        </w:rPr>
        <w:t>nKPIs</w:t>
      </w:r>
      <w:proofErr w:type="spellEnd"/>
      <w:r w:rsidR="00B53964" w:rsidRPr="00F3115D">
        <w:rPr>
          <w:lang w:eastAsia="en-AU"/>
        </w:rPr>
        <w:t xml:space="preserve"> were expected to support CQI within services; however, over time, the emergence of more advanced CIS tools and internal analytics has enabled services to undertake </w:t>
      </w:r>
      <w:r w:rsidR="006C0A69" w:rsidRPr="00F3115D">
        <w:rPr>
          <w:lang w:eastAsia="en-AU"/>
        </w:rPr>
        <w:t>timelier</w:t>
      </w:r>
      <w:r w:rsidR="00B53964" w:rsidRPr="00F3115D">
        <w:rPr>
          <w:lang w:eastAsia="en-AU"/>
        </w:rPr>
        <w:t>, patient‑level CQI through other means</w:t>
      </w:r>
      <w:r w:rsidR="00832929" w:rsidRPr="00F3115D">
        <w:rPr>
          <w:lang w:eastAsia="en-AU"/>
        </w:rPr>
        <w:t>.</w:t>
      </w:r>
      <w:r w:rsidRPr="00F3115D">
        <w:rPr>
          <w:lang w:eastAsia="en-AU"/>
        </w:rPr>
        <w:t xml:space="preserve"> In practice, PHC services rely on their own CIS‑based tools and internal analytics for operational CQI, with </w:t>
      </w:r>
      <w:proofErr w:type="spellStart"/>
      <w:r w:rsidRPr="00F3115D">
        <w:rPr>
          <w:lang w:eastAsia="en-AU"/>
        </w:rPr>
        <w:t>nKPIs</w:t>
      </w:r>
      <w:proofErr w:type="spellEnd"/>
      <w:r w:rsidRPr="00F3115D">
        <w:rPr>
          <w:lang w:eastAsia="en-AU"/>
        </w:rPr>
        <w:t xml:space="preserve"> providing a complementary rather than primary evidence source.</w:t>
      </w:r>
    </w:p>
    <w:p w14:paraId="753CA8AB" w14:textId="7F7FACCB" w:rsidR="00F87F33" w:rsidRPr="00F3115D" w:rsidRDefault="00F87F33" w:rsidP="00F87F33">
      <w:pPr>
        <w:rPr>
          <w:lang w:eastAsia="en-AU"/>
        </w:rPr>
      </w:pPr>
      <w:r w:rsidRPr="00F3115D">
        <w:rPr>
          <w:lang w:eastAsia="en-AU"/>
        </w:rPr>
        <w:t>The review finds that the current nKPI set broadly aligns with many core clinical priorities</w:t>
      </w:r>
      <w:r w:rsidRPr="00F3115D">
        <w:t xml:space="preserve"> </w:t>
      </w:r>
      <w:r w:rsidR="00E02289" w:rsidRPr="00F3115D">
        <w:rPr>
          <w:lang w:eastAsia="en-AU"/>
        </w:rPr>
        <w:t>relevant to IAHP‑funded PHC services,</w:t>
      </w:r>
      <w:r w:rsidRPr="00F3115D">
        <w:rPr>
          <w:lang w:eastAsia="en-AU"/>
        </w:rPr>
        <w:t xml:space="preserve"> but does not reflect the full scope of holistic, culturally grounded PHC service delivery. Significant gaps remain in areas such as social and emotional wellbeing and mental health, where there is strong sector interest but no agreed, low‑burden approach to standardised collection. </w:t>
      </w:r>
      <w:r w:rsidR="00957666" w:rsidRPr="00F3115D">
        <w:rPr>
          <w:lang w:eastAsia="en-AU"/>
        </w:rPr>
        <w:t xml:space="preserve">These gaps highlight the limits of the nKPI as a bounded CQI and governance dataset, rather than a comprehensive representation of all PHC activity. </w:t>
      </w:r>
      <w:r w:rsidRPr="00F3115D">
        <w:rPr>
          <w:lang w:eastAsia="en-AU"/>
        </w:rPr>
        <w:t xml:space="preserve">At the same time, not all existing indicators provide commensurate value, and some require refinement to improve relevance, interpretability and alignment with </w:t>
      </w:r>
      <w:r w:rsidR="003278F0" w:rsidRPr="00F3115D">
        <w:rPr>
          <w:lang w:eastAsia="en-AU"/>
        </w:rPr>
        <w:t xml:space="preserve">holistic, culturally grounded clinical practices of </w:t>
      </w:r>
      <w:r w:rsidR="009C0453" w:rsidRPr="00F3115D">
        <w:rPr>
          <w:lang w:eastAsia="en-AU"/>
        </w:rPr>
        <w:t>IAHP-funded PHC services.</w:t>
      </w:r>
    </w:p>
    <w:p w14:paraId="561B8725" w14:textId="337B97BA" w:rsidR="005B0726" w:rsidRPr="00F3115D" w:rsidRDefault="00F87F33" w:rsidP="00F87F33">
      <w:pPr>
        <w:rPr>
          <w:lang w:eastAsia="en-AU"/>
        </w:rPr>
      </w:pPr>
      <w:r w:rsidRPr="00F3115D">
        <w:rPr>
          <w:lang w:eastAsia="en-AU"/>
        </w:rPr>
        <w:t xml:space="preserve">The review concludes that, in the short to medium term, reform should focus on strengthening the </w:t>
      </w:r>
      <w:r w:rsidR="00D67960" w:rsidRPr="00F3115D">
        <w:rPr>
          <w:lang w:eastAsia="en-AU"/>
        </w:rPr>
        <w:t xml:space="preserve">clarity, </w:t>
      </w:r>
      <w:r w:rsidRPr="00F3115D">
        <w:rPr>
          <w:lang w:eastAsia="en-AU"/>
        </w:rPr>
        <w:t xml:space="preserve">value and usability of the existing nKPI collection, rather than expanding </w:t>
      </w:r>
      <w:r w:rsidR="00D67960" w:rsidRPr="00F3115D">
        <w:rPr>
          <w:lang w:eastAsia="en-AU"/>
        </w:rPr>
        <w:t>its scope</w:t>
      </w:r>
      <w:r w:rsidRPr="00F3115D">
        <w:rPr>
          <w:lang w:eastAsia="en-AU"/>
        </w:rPr>
        <w:t xml:space="preserve">. </w:t>
      </w:r>
      <w:r w:rsidR="00BC149A" w:rsidRPr="00F3115D">
        <w:rPr>
          <w:lang w:eastAsia="en-AU"/>
        </w:rPr>
        <w:t>This reflects the broader, longer‑term direction of health data reform, which points toward</w:t>
      </w:r>
      <w:r w:rsidR="00BC149A" w:rsidRPr="00F3115D" w:rsidDel="0092786D">
        <w:rPr>
          <w:lang w:eastAsia="en-AU"/>
        </w:rPr>
        <w:t xml:space="preserve"> </w:t>
      </w:r>
      <w:r w:rsidR="0092786D" w:rsidRPr="00F3115D">
        <w:rPr>
          <w:lang w:eastAsia="en-AU"/>
        </w:rPr>
        <w:t xml:space="preserve">greater use </w:t>
      </w:r>
      <w:r w:rsidR="00C604D4" w:rsidRPr="00F3115D">
        <w:rPr>
          <w:lang w:eastAsia="en-AU"/>
        </w:rPr>
        <w:t>of</w:t>
      </w:r>
      <w:r w:rsidR="00BC149A" w:rsidRPr="00F3115D">
        <w:rPr>
          <w:lang w:eastAsia="en-AU"/>
        </w:rPr>
        <w:t xml:space="preserve"> interoperable</w:t>
      </w:r>
      <w:r w:rsidR="008E72CA" w:rsidRPr="00F3115D">
        <w:rPr>
          <w:lang w:eastAsia="en-AU"/>
        </w:rPr>
        <w:t xml:space="preserve">, unit‑level </w:t>
      </w:r>
      <w:r w:rsidR="00BC149A" w:rsidRPr="00F3115D">
        <w:rPr>
          <w:lang w:eastAsia="en-AU"/>
        </w:rPr>
        <w:t xml:space="preserve">data </w:t>
      </w:r>
      <w:r w:rsidR="00C604D4" w:rsidRPr="00F3115D">
        <w:rPr>
          <w:lang w:eastAsia="en-AU"/>
        </w:rPr>
        <w:t xml:space="preserve">within CISs </w:t>
      </w:r>
      <w:r w:rsidR="005B0726" w:rsidRPr="00F3115D">
        <w:rPr>
          <w:lang w:eastAsia="en-AU"/>
        </w:rPr>
        <w:t>as part of</w:t>
      </w:r>
      <w:r w:rsidR="008E72CA" w:rsidRPr="00F3115D">
        <w:rPr>
          <w:lang w:eastAsia="en-AU"/>
        </w:rPr>
        <w:t xml:space="preserve"> national digital health reform</w:t>
      </w:r>
      <w:r w:rsidR="00BC149A" w:rsidRPr="00F3115D">
        <w:rPr>
          <w:lang w:eastAsia="en-AU"/>
        </w:rPr>
        <w:t xml:space="preserve">, rather than incremental enhancement of </w:t>
      </w:r>
      <w:r w:rsidR="008E72CA" w:rsidRPr="00F3115D">
        <w:rPr>
          <w:lang w:eastAsia="en-AU"/>
        </w:rPr>
        <w:t xml:space="preserve">existing </w:t>
      </w:r>
      <w:r w:rsidR="00BC149A" w:rsidRPr="00F3115D">
        <w:rPr>
          <w:lang w:eastAsia="en-AU"/>
        </w:rPr>
        <w:t xml:space="preserve">aggregated reporting collections. </w:t>
      </w:r>
    </w:p>
    <w:p w14:paraId="2DE3207D" w14:textId="77777777" w:rsidR="005B0726" w:rsidRPr="00F3115D" w:rsidRDefault="005B0726" w:rsidP="00F87F33">
      <w:pPr>
        <w:rPr>
          <w:lang w:eastAsia="en-AU"/>
        </w:rPr>
      </w:pPr>
      <w:r w:rsidRPr="00F3115D">
        <w:rPr>
          <w:lang w:eastAsia="en-AU"/>
        </w:rPr>
        <w:t xml:space="preserve">In this context, references to unit‑level data relate to changes in data structure and reporting architecture, not the introduction of whole‑of‑system person‑level data linkage or expanded surveillance of individuals. </w:t>
      </w:r>
      <w:r w:rsidR="00F87F33" w:rsidRPr="00F3115D">
        <w:rPr>
          <w:lang w:eastAsia="en-AU"/>
        </w:rPr>
        <w:t xml:space="preserve">This includes clearer articulation of what the </w:t>
      </w:r>
      <w:proofErr w:type="spellStart"/>
      <w:r w:rsidR="00F87F33" w:rsidRPr="00F3115D">
        <w:rPr>
          <w:lang w:eastAsia="en-AU"/>
        </w:rPr>
        <w:t>nKPIs</w:t>
      </w:r>
      <w:proofErr w:type="spellEnd"/>
      <w:r w:rsidR="00F87F33" w:rsidRPr="00F3115D">
        <w:rPr>
          <w:lang w:eastAsia="en-AU"/>
        </w:rPr>
        <w:t xml:space="preserve"> are</w:t>
      </w:r>
      <w:r w:rsidR="00BF09BF" w:rsidRPr="00F3115D">
        <w:rPr>
          <w:lang w:eastAsia="en-AU"/>
        </w:rPr>
        <w:t xml:space="preserve"> </w:t>
      </w:r>
      <w:r w:rsidR="00F87F33" w:rsidRPr="00F3115D">
        <w:rPr>
          <w:lang w:eastAsia="en-AU"/>
        </w:rPr>
        <w:t>and are not</w:t>
      </w:r>
      <w:r w:rsidR="00BF09BF" w:rsidRPr="00F3115D">
        <w:rPr>
          <w:lang w:eastAsia="en-AU"/>
        </w:rPr>
        <w:t xml:space="preserve"> </w:t>
      </w:r>
      <w:r w:rsidR="00F87F33" w:rsidRPr="00F3115D">
        <w:rPr>
          <w:lang w:eastAsia="en-AU"/>
        </w:rPr>
        <w:t xml:space="preserve">intended to be used for; targeted refinement of indicators; optionality where indicators are not relevant to all services; and exploration of approaches that better support CQI without increasing compliance burden. </w:t>
      </w:r>
    </w:p>
    <w:p w14:paraId="331FA1E1" w14:textId="039EA30F" w:rsidR="00F87F33" w:rsidRPr="00F3115D" w:rsidRDefault="005076B9" w:rsidP="00F87F33">
      <w:pPr>
        <w:rPr>
          <w:lang w:eastAsia="en-AU"/>
        </w:rPr>
      </w:pPr>
      <w:r w:rsidRPr="00F3115D">
        <w:rPr>
          <w:lang w:eastAsia="en-AU"/>
        </w:rPr>
        <w:t>In this context</w:t>
      </w:r>
      <w:r w:rsidR="00045996" w:rsidRPr="00F3115D">
        <w:rPr>
          <w:lang w:eastAsia="en-AU"/>
        </w:rPr>
        <w:t xml:space="preserve">, the value of significant investment in </w:t>
      </w:r>
      <w:r w:rsidRPr="00F3115D">
        <w:rPr>
          <w:lang w:eastAsia="en-AU"/>
        </w:rPr>
        <w:t xml:space="preserve">further </w:t>
      </w:r>
      <w:r w:rsidR="00045996" w:rsidRPr="00F3115D">
        <w:rPr>
          <w:lang w:eastAsia="en-AU"/>
        </w:rPr>
        <w:t xml:space="preserve">expanding </w:t>
      </w:r>
      <w:r w:rsidRPr="00F3115D">
        <w:rPr>
          <w:lang w:eastAsia="en-AU"/>
        </w:rPr>
        <w:t xml:space="preserve">or materially redesigning </w:t>
      </w:r>
      <w:r w:rsidR="00045996" w:rsidRPr="00F3115D">
        <w:rPr>
          <w:lang w:eastAsia="en-AU"/>
        </w:rPr>
        <w:t xml:space="preserve">the current nKPI approach is limited. </w:t>
      </w:r>
      <w:r w:rsidRPr="00F3115D">
        <w:rPr>
          <w:lang w:eastAsia="en-AU"/>
        </w:rPr>
        <w:t xml:space="preserve">Instead, the emphasis is on practical, proportionate improvements that address current pain points, minimise additional burden on PHC services, and are achievable without significant investment in time or resourcing, while progressing longer‑term reform in parallel. </w:t>
      </w:r>
      <w:r w:rsidR="00F87F33" w:rsidRPr="00F3115D">
        <w:rPr>
          <w:lang w:eastAsia="en-AU"/>
        </w:rPr>
        <w:t xml:space="preserve">A future transition to unit‑level data has the potential to address many current limitations </w:t>
      </w:r>
      <w:r w:rsidR="280EC7E8" w:rsidRPr="00F3115D">
        <w:rPr>
          <w:lang w:eastAsia="en-AU"/>
        </w:rPr>
        <w:t>in</w:t>
      </w:r>
      <w:r w:rsidR="00F87F33" w:rsidRPr="00F3115D">
        <w:rPr>
          <w:lang w:eastAsia="en-AU"/>
        </w:rPr>
        <w:t xml:space="preserve"> </w:t>
      </w:r>
      <w:r w:rsidR="010242DF" w:rsidRPr="00F3115D">
        <w:rPr>
          <w:lang w:eastAsia="en-AU"/>
        </w:rPr>
        <w:t>t</w:t>
      </w:r>
      <w:r w:rsidR="280EC7E8" w:rsidRPr="00F3115D">
        <w:rPr>
          <w:lang w:eastAsia="en-AU"/>
        </w:rPr>
        <w:t>he longer</w:t>
      </w:r>
      <w:r w:rsidR="010242DF" w:rsidRPr="00F3115D">
        <w:rPr>
          <w:lang w:eastAsia="en-AU"/>
        </w:rPr>
        <w:t xml:space="preserve"> term.</w:t>
      </w:r>
    </w:p>
    <w:p w14:paraId="5F921505" w14:textId="6904DE1D" w:rsidR="00F87F33" w:rsidRPr="00F3115D" w:rsidRDefault="00F87F33" w:rsidP="00DB45EB">
      <w:pPr>
        <w:pStyle w:val="Heading4"/>
      </w:pPr>
      <w:r w:rsidRPr="00F3115D">
        <w:t>Findings on the OSR collection</w:t>
      </w:r>
    </w:p>
    <w:p w14:paraId="5AA7B0F9" w14:textId="77777777" w:rsidR="009D0871" w:rsidRPr="00F3115D" w:rsidRDefault="00F87F33" w:rsidP="00F87F33">
      <w:pPr>
        <w:rPr>
          <w:lang w:eastAsia="en-AU"/>
        </w:rPr>
      </w:pPr>
      <w:r w:rsidRPr="00F3115D">
        <w:rPr>
          <w:lang w:eastAsia="en-AU"/>
        </w:rPr>
        <w:t xml:space="preserve">The OSR remains a critical funding and accountability dataset, particularly for workforce, service activity and organisational context. </w:t>
      </w:r>
      <w:r w:rsidR="00E46891" w:rsidRPr="00F3115D">
        <w:rPr>
          <w:lang w:eastAsia="en-AU"/>
        </w:rPr>
        <w:t xml:space="preserve">This is consistent with the original purpose of the OSR as an administrative and organisational collection designed to support IAHP funding assurance, service profiling and system stewardship, rather than service‑level CQI. </w:t>
      </w:r>
      <w:r w:rsidRPr="00F3115D">
        <w:rPr>
          <w:lang w:eastAsia="en-AU"/>
        </w:rPr>
        <w:t>Government stakeholders rely on OSR data to support IAHP funding assurance and program management, and system‑level analysis by data custodians such as the AIHW depend heavily on OSR workforce information.</w:t>
      </w:r>
      <w:r w:rsidR="009357A2" w:rsidRPr="00F3115D">
        <w:rPr>
          <w:lang w:eastAsia="en-AU"/>
        </w:rPr>
        <w:t xml:space="preserve"> </w:t>
      </w:r>
    </w:p>
    <w:p w14:paraId="023D4A52" w14:textId="5067FE4C" w:rsidR="00F87F33" w:rsidRPr="00F3115D" w:rsidRDefault="009357A2" w:rsidP="00F87F33">
      <w:pPr>
        <w:rPr>
          <w:lang w:eastAsia="en-AU"/>
        </w:rPr>
      </w:pPr>
      <w:r w:rsidRPr="00F3115D">
        <w:rPr>
          <w:lang w:eastAsia="en-AU"/>
        </w:rPr>
        <w:lastRenderedPageBreak/>
        <w:t xml:space="preserve">In this role, the OSR also supports national reporting on the size, distribution and scope of the </w:t>
      </w:r>
      <w:r w:rsidR="00583E67">
        <w:rPr>
          <w:lang w:eastAsia="en-AU"/>
        </w:rPr>
        <w:t>ACCHOs</w:t>
      </w:r>
      <w:r w:rsidRPr="00F3115D">
        <w:rPr>
          <w:lang w:eastAsia="en-AU"/>
        </w:rPr>
        <w:t xml:space="preserve"> sector and provides baseline organisational information that assists services and funders to understand sector capacity and sustainability.</w:t>
      </w:r>
    </w:p>
    <w:p w14:paraId="0458D5AE" w14:textId="55681685" w:rsidR="00F87F33" w:rsidRPr="00F3115D" w:rsidRDefault="00F87F33" w:rsidP="00F87F33">
      <w:pPr>
        <w:rPr>
          <w:lang w:eastAsia="en-AU"/>
        </w:rPr>
      </w:pPr>
      <w:r w:rsidRPr="00F3115D">
        <w:rPr>
          <w:lang w:eastAsia="en-AU"/>
        </w:rPr>
        <w:t>However, the OSR is widely experienced by services as high</w:t>
      </w:r>
      <w:r w:rsidR="00EB4AB8" w:rsidRPr="00F3115D">
        <w:rPr>
          <w:lang w:eastAsia="en-AU"/>
        </w:rPr>
        <w:t>er</w:t>
      </w:r>
      <w:r w:rsidRPr="00F3115D">
        <w:rPr>
          <w:lang w:eastAsia="en-AU"/>
        </w:rPr>
        <w:t>‑burden and comparatively low‑value in its current form. Manual reporting requirements</w:t>
      </w:r>
      <w:r w:rsidR="00BF09BF" w:rsidRPr="00F3115D">
        <w:rPr>
          <w:lang w:eastAsia="en-AU"/>
        </w:rPr>
        <w:t>, particularly</w:t>
      </w:r>
      <w:r w:rsidRPr="00F3115D">
        <w:rPr>
          <w:lang w:eastAsia="en-AU"/>
        </w:rPr>
        <w:t xml:space="preserve"> workforce and vacancy reporting</w:t>
      </w:r>
      <w:r w:rsidR="00BF09BF" w:rsidRPr="00F3115D">
        <w:rPr>
          <w:lang w:eastAsia="en-AU"/>
        </w:rPr>
        <w:t xml:space="preserve">, </w:t>
      </w:r>
      <w:r w:rsidRPr="00F3115D">
        <w:rPr>
          <w:lang w:eastAsia="en-AU"/>
        </w:rPr>
        <w:t xml:space="preserve">are the primary drivers of burden, and several measures do not consistently reflect contemporary PHC service models, including multidisciplinary, outreach‑based and culturally grounded care. </w:t>
      </w:r>
      <w:r w:rsidR="00D3525D" w:rsidRPr="00F3115D">
        <w:rPr>
          <w:lang w:eastAsia="en-AU"/>
        </w:rPr>
        <w:t xml:space="preserve">These issues undermine the OSR’s effectiveness in fulfilling its core purposes, both for funding assurance and for sector‑level reporting, as inconsistency and reporting burden reduce confidence in the data and limit its usability. </w:t>
      </w:r>
      <w:r w:rsidR="001D2288" w:rsidRPr="00F3115D">
        <w:rPr>
          <w:lang w:eastAsia="en-AU"/>
        </w:rPr>
        <w:t xml:space="preserve">This burden is compounded by limited shared understanding of how OSR data is used for its core funding and stewardship purposes. </w:t>
      </w:r>
      <w:r w:rsidRPr="00F3115D">
        <w:rPr>
          <w:lang w:eastAsia="en-AU"/>
        </w:rPr>
        <w:t>There is also limited shared understanding of how specific OSR measures are used in policy decisions, which weakens confidence in the collection and contributes to perceptions of non‑reciprocal reporting.</w:t>
      </w:r>
    </w:p>
    <w:p w14:paraId="4850F99F" w14:textId="77777777" w:rsidR="00D439BA" w:rsidRPr="00F3115D" w:rsidRDefault="00F87F33" w:rsidP="00F87F33">
      <w:pPr>
        <w:rPr>
          <w:lang w:eastAsia="en-AU"/>
        </w:rPr>
      </w:pPr>
      <w:r w:rsidRPr="00F3115D">
        <w:rPr>
          <w:lang w:eastAsia="en-AU"/>
        </w:rPr>
        <w:t>The review finds limited appetite for expanding the scope of the OSR. Instead, the priority is purposeful simplification</w:t>
      </w:r>
      <w:r w:rsidR="00EC01FD" w:rsidRPr="00F3115D">
        <w:t xml:space="preserve"> </w:t>
      </w:r>
      <w:r w:rsidR="00EC01FD" w:rsidRPr="00F3115D">
        <w:rPr>
          <w:lang w:eastAsia="en-AU"/>
        </w:rPr>
        <w:t>in line with the OSR’s core role in funding assurance and system‑level understanding</w:t>
      </w:r>
      <w:r w:rsidR="006A499C" w:rsidRPr="00F3115D">
        <w:rPr>
          <w:lang w:eastAsia="en-AU"/>
        </w:rPr>
        <w:t xml:space="preserve">. </w:t>
      </w:r>
    </w:p>
    <w:p w14:paraId="2D57783B" w14:textId="53700507" w:rsidR="00E27A37" w:rsidRPr="00F3115D" w:rsidRDefault="004D691E" w:rsidP="00F87F33">
      <w:pPr>
        <w:rPr>
          <w:lang w:eastAsia="en-AU"/>
        </w:rPr>
      </w:pPr>
      <w:r w:rsidRPr="00F3115D">
        <w:rPr>
          <w:lang w:eastAsia="en-AU"/>
        </w:rPr>
        <w:t>The primary value of the OSR for funding assurance lies in a small set of core measures, particularly client numbers, episodes of care and clinic location, which are used by the Australian Government as inputs to understand service scale, reach and distribution. These data support high‑level funding assurance and system oversight rather than detailed analysis of service delivery models.</w:t>
      </w:r>
    </w:p>
    <w:p w14:paraId="5F0A15EE" w14:textId="3AAA8DC7" w:rsidR="00F87F33" w:rsidRPr="00F3115D" w:rsidRDefault="00E350C3" w:rsidP="00F87F33">
      <w:pPr>
        <w:rPr>
          <w:lang w:eastAsia="en-AU"/>
        </w:rPr>
      </w:pPr>
      <w:r w:rsidRPr="00F3115D">
        <w:rPr>
          <w:lang w:eastAsia="en-AU"/>
        </w:rPr>
        <w:t xml:space="preserve">For </w:t>
      </w:r>
      <w:r w:rsidR="004D691E" w:rsidRPr="00F3115D">
        <w:rPr>
          <w:lang w:eastAsia="en-AU"/>
        </w:rPr>
        <w:t xml:space="preserve">the </w:t>
      </w:r>
      <w:r w:rsidR="00565518" w:rsidRPr="00F3115D">
        <w:rPr>
          <w:lang w:eastAsia="en-AU"/>
        </w:rPr>
        <w:t>OSR’s other</w:t>
      </w:r>
      <w:r w:rsidRPr="00F3115D">
        <w:rPr>
          <w:lang w:eastAsia="en-AU"/>
        </w:rPr>
        <w:t xml:space="preserve"> core purposes, including supporting organisations to</w:t>
      </w:r>
      <w:r w:rsidR="008853D6" w:rsidRPr="00F3115D">
        <w:rPr>
          <w:lang w:eastAsia="en-AU"/>
        </w:rPr>
        <w:t xml:space="preserve"> understand their own scale and </w:t>
      </w:r>
      <w:r w:rsidR="00FF2219" w:rsidRPr="00F3115D">
        <w:rPr>
          <w:lang w:eastAsia="en-AU"/>
        </w:rPr>
        <w:t>profile, and</w:t>
      </w:r>
      <w:r w:rsidRPr="00F3115D">
        <w:rPr>
          <w:lang w:eastAsia="en-AU"/>
        </w:rPr>
        <w:t xml:space="preserve"> enabling national reporting on the size and scope of the ACCHO</w:t>
      </w:r>
      <w:r w:rsidR="00B853F9">
        <w:rPr>
          <w:lang w:eastAsia="en-AU"/>
        </w:rPr>
        <w:t>s</w:t>
      </w:r>
      <w:r w:rsidRPr="00F3115D">
        <w:rPr>
          <w:lang w:eastAsia="en-AU"/>
        </w:rPr>
        <w:t xml:space="preserve"> sector, the focus is on making data easier to collect</w:t>
      </w:r>
      <w:r w:rsidR="00760F95" w:rsidRPr="00F3115D">
        <w:rPr>
          <w:lang w:eastAsia="en-AU"/>
        </w:rPr>
        <w:t>/report</w:t>
      </w:r>
      <w:r w:rsidRPr="00F3115D">
        <w:rPr>
          <w:lang w:eastAsia="en-AU"/>
        </w:rPr>
        <w:t xml:space="preserve"> and more consistent, rather than more detailed. Accordingly, reform should prioritise</w:t>
      </w:r>
      <w:r w:rsidR="00F87F33" w:rsidRPr="00F3115D">
        <w:rPr>
          <w:lang w:eastAsia="en-AU"/>
        </w:rPr>
        <w:t xml:space="preserve"> removing low‑value or redundant items, reducing unnecessary granularity, clarifying definitions, and improving alignment between reporting effort and actual use. Where OSR data is relied on for funding or system oversight, clearer communication and feedback loops are essential to improve transparency and trust.</w:t>
      </w:r>
    </w:p>
    <w:p w14:paraId="20F83241" w14:textId="77777777" w:rsidR="00F87F33" w:rsidRPr="00F3115D" w:rsidRDefault="00F87F33" w:rsidP="00DB45EB">
      <w:pPr>
        <w:pStyle w:val="Heading4"/>
      </w:pPr>
      <w:r w:rsidRPr="00F3115D">
        <w:t>Infrastructure, governance and future directions</w:t>
      </w:r>
    </w:p>
    <w:p w14:paraId="6CACBA42" w14:textId="5FEA36AC" w:rsidR="00F87F33" w:rsidRPr="00F3115D" w:rsidRDefault="00F87F33" w:rsidP="00F87F33">
      <w:pPr>
        <w:rPr>
          <w:lang w:eastAsia="en-AU"/>
        </w:rPr>
      </w:pPr>
      <w:r w:rsidRPr="00F3115D">
        <w:rPr>
          <w:lang w:eastAsia="en-AU"/>
        </w:rPr>
        <w:t>Both collections are underpinned by shared digital infrastructure, including the Health Data Portal and associated analytics tools.</w:t>
      </w:r>
      <w:r w:rsidR="00393D10" w:rsidRPr="00F3115D">
        <w:t xml:space="preserve"> </w:t>
      </w:r>
      <w:r w:rsidRPr="00F3115D">
        <w:rPr>
          <w:lang w:eastAsia="en-AU"/>
        </w:rPr>
        <w:t>While automation and direct load deliver clear benefits, services continue to experience challenges with usability, access management, validation processes and data preparation</w:t>
      </w:r>
      <w:r w:rsidR="00DB45EB" w:rsidRPr="00F3115D">
        <w:rPr>
          <w:lang w:eastAsia="en-AU"/>
        </w:rPr>
        <w:t xml:space="preserve">, </w:t>
      </w:r>
      <w:r w:rsidRPr="00F3115D">
        <w:rPr>
          <w:lang w:eastAsia="en-AU"/>
        </w:rPr>
        <w:t xml:space="preserve">particularly in high‑turnover, low‑capacity </w:t>
      </w:r>
      <w:r w:rsidR="3DFC027F" w:rsidRPr="00F3115D">
        <w:rPr>
          <w:lang w:eastAsia="en-AU"/>
        </w:rPr>
        <w:t>organisational</w:t>
      </w:r>
      <w:r w:rsidRPr="00F3115D">
        <w:rPr>
          <w:lang w:eastAsia="en-AU"/>
        </w:rPr>
        <w:t xml:space="preserve"> settings. These issues compound reporting burden and limit the value returned through dashboards and reporting tools.</w:t>
      </w:r>
    </w:p>
    <w:p w14:paraId="7191C8D4" w14:textId="76EBFB5A" w:rsidR="00F54BFC" w:rsidRPr="00F3115D" w:rsidRDefault="00F87F33" w:rsidP="00F87F33">
      <w:pPr>
        <w:rPr>
          <w:lang w:eastAsia="en-AU"/>
        </w:rPr>
      </w:pPr>
      <w:r w:rsidRPr="00F3115D">
        <w:rPr>
          <w:lang w:eastAsia="en-AU"/>
        </w:rPr>
        <w:t>The review situates these findings within a broader and rapidly evolving digital health landscape. National reforms are increasingly oriented toward interoperable, unit‑level data</w:t>
      </w:r>
      <w:r w:rsidR="006014D3" w:rsidRPr="00F3115D">
        <w:rPr>
          <w:lang w:eastAsia="en-AU"/>
        </w:rPr>
        <w:t xml:space="preserve"> architectures</w:t>
      </w:r>
      <w:r w:rsidRPr="00F3115D">
        <w:rPr>
          <w:lang w:eastAsia="en-AU"/>
        </w:rPr>
        <w:t>, linkage across care settings and reuse of data for multiple purposes</w:t>
      </w:r>
      <w:r w:rsidR="009A2DD4" w:rsidRPr="00F3115D">
        <w:rPr>
          <w:lang w:eastAsia="en-AU"/>
        </w:rPr>
        <w:t>, consistent with Closing the Gap Priority Reform 4</w:t>
      </w:r>
      <w:r w:rsidRPr="00F3115D">
        <w:rPr>
          <w:lang w:eastAsia="en-AU"/>
        </w:rPr>
        <w:t xml:space="preserve">. </w:t>
      </w:r>
      <w:r w:rsidR="00F16D6F" w:rsidRPr="00F3115D">
        <w:rPr>
          <w:lang w:eastAsia="en-AU"/>
        </w:rPr>
        <w:t>Interoperable, unit‑level data architectures relate to how clinical data are structured, extracted and reused to reduce duplication and reporting burden. Data linkage across care settings and the reuse of data for multiple purposes raise additional questions about consent, linkage, access and downstream use</w:t>
      </w:r>
      <w:r w:rsidR="00F54BFC" w:rsidRPr="00F3115D">
        <w:rPr>
          <w:lang w:eastAsia="en-AU"/>
        </w:rPr>
        <w:t xml:space="preserve">. </w:t>
      </w:r>
      <w:r w:rsidR="00B3282A" w:rsidRPr="00F3115D">
        <w:rPr>
          <w:lang w:eastAsia="en-AU"/>
        </w:rPr>
        <w:t>Progress toward this future state will be incremental and will depend in part on technical advancements beyond the sector, including CIS vendor development, broader standards adoption, and national certification frameworks.</w:t>
      </w:r>
    </w:p>
    <w:p w14:paraId="7754611B" w14:textId="69230E21" w:rsidR="009E59F9" w:rsidRPr="00F3115D" w:rsidRDefault="009E59F9" w:rsidP="00F87F33">
      <w:pPr>
        <w:rPr>
          <w:lang w:eastAsia="en-AU"/>
        </w:rPr>
      </w:pPr>
      <w:r w:rsidRPr="00F3115D">
        <w:rPr>
          <w:lang w:eastAsia="en-AU"/>
        </w:rPr>
        <w:t>Beyond Priority Reform 4, these directions also have important implications across the full set of Priority Reforms under Closing the Gap. Priority Reform 1, which focuses on formal partnerships and shared decision‑making, highlights the need for stronger co‑design and joint governance of data systems with Aboriginal community‑controlled organisations, ensuring that decisions about data collection, use and reform are made in genuine partnership. Priority Reform 2, which centres on strengthening the community‑controlled sector, reinforces the importance of reducing unnecessary administrative burden on ACCHOs, building sector capability in data and digital systems, and aligning data collection and governance with community‑controlled models of care. Priority Reform 3, which seeks to transform government organisations, underscores the need for government to improve transparency, consistency and accountability in how data is collected, used and shared, including clearer articulation of purpose and stronger feedback loops to services.</w:t>
      </w:r>
    </w:p>
    <w:p w14:paraId="268DC600" w14:textId="5B099DBF" w:rsidR="003C583C" w:rsidRPr="00F3115D" w:rsidRDefault="00F87F33" w:rsidP="00F87F33">
      <w:pPr>
        <w:rPr>
          <w:lang w:eastAsia="en-AU"/>
        </w:rPr>
      </w:pPr>
      <w:r w:rsidRPr="00F3115D">
        <w:rPr>
          <w:lang w:eastAsia="en-AU"/>
        </w:rPr>
        <w:t xml:space="preserve">While this </w:t>
      </w:r>
      <w:r w:rsidR="00751EF8" w:rsidRPr="00F3115D">
        <w:rPr>
          <w:lang w:eastAsia="en-AU"/>
        </w:rPr>
        <w:t xml:space="preserve">overall </w:t>
      </w:r>
      <w:r w:rsidRPr="00F3115D">
        <w:rPr>
          <w:lang w:eastAsia="en-AU"/>
        </w:rPr>
        <w:t xml:space="preserve">direction offers substantial long‑term benefits, </w:t>
      </w:r>
      <w:r w:rsidR="00FF3524" w:rsidRPr="00F3115D">
        <w:rPr>
          <w:lang w:eastAsia="en-AU"/>
        </w:rPr>
        <w:t>First Nations</w:t>
      </w:r>
      <w:r w:rsidRPr="00F3115D">
        <w:rPr>
          <w:lang w:eastAsia="en-AU"/>
        </w:rPr>
        <w:t xml:space="preserve"> PHC services consistently emphasised the need for caution, strong Indigenous‑led governance, and demonstrable reciprocity</w:t>
      </w:r>
      <w:r w:rsidR="00D07895" w:rsidRPr="00F3115D">
        <w:rPr>
          <w:lang w:eastAsia="en-AU"/>
        </w:rPr>
        <w:t>, particularly in relation to any reforms that extend beyond service‑level reporting toward cross‑system data linkage</w:t>
      </w:r>
      <w:r w:rsidRPr="00F3115D">
        <w:rPr>
          <w:lang w:eastAsia="en-AU"/>
        </w:rPr>
        <w:t xml:space="preserve">. </w:t>
      </w:r>
      <w:r w:rsidR="00CF0681" w:rsidRPr="00F3115D">
        <w:rPr>
          <w:lang w:eastAsia="en-AU"/>
        </w:rPr>
        <w:t>This includes ensuring that future governance arrangements apply consistently to all data relating to First Nations people across the health system, including data generated in mainstream service settings, not only within community‑controlled organisations.</w:t>
      </w:r>
    </w:p>
    <w:p w14:paraId="5424D3B7" w14:textId="24C29EA8" w:rsidR="001848A1" w:rsidRPr="00F3115D" w:rsidRDefault="001848A1" w:rsidP="00F87F33">
      <w:pPr>
        <w:rPr>
          <w:lang w:eastAsia="en-AU"/>
        </w:rPr>
      </w:pPr>
      <w:r w:rsidRPr="00F3115D">
        <w:rPr>
          <w:lang w:eastAsia="en-AU"/>
        </w:rPr>
        <w:lastRenderedPageBreak/>
        <w:t xml:space="preserve">In this context, </w:t>
      </w:r>
      <w:r w:rsidR="004D0FA9" w:rsidRPr="00F3115D">
        <w:rPr>
          <w:lang w:eastAsia="en-AU"/>
        </w:rPr>
        <w:t>the</w:t>
      </w:r>
      <w:r w:rsidRPr="00F3115D">
        <w:rPr>
          <w:lang w:eastAsia="en-AU"/>
        </w:rPr>
        <w:t xml:space="preserve"> future direction</w:t>
      </w:r>
      <w:r w:rsidR="004D0FA9" w:rsidRPr="00F3115D">
        <w:rPr>
          <w:lang w:eastAsia="en-AU"/>
        </w:rPr>
        <w:t xml:space="preserve"> points</w:t>
      </w:r>
      <w:r w:rsidRPr="00F3115D">
        <w:rPr>
          <w:lang w:eastAsia="en-AU"/>
        </w:rPr>
        <w:t xml:space="preserve"> toward shared data infrastructure with First Nations</w:t>
      </w:r>
      <w:r w:rsidRPr="00F3115D">
        <w:rPr>
          <w:lang w:eastAsia="en-AU"/>
        </w:rPr>
        <w:noBreakHyphen/>
        <w:t>led governance, building on existing platforms such as the Health Data Portal</w:t>
      </w:r>
      <w:r w:rsidR="00B43105">
        <w:rPr>
          <w:lang w:eastAsia="en-AU"/>
        </w:rPr>
        <w:t xml:space="preserve"> (HDP)</w:t>
      </w:r>
      <w:r w:rsidRPr="00F3115D">
        <w:rPr>
          <w:lang w:eastAsia="en-AU"/>
        </w:rPr>
        <w:t>. The HDP provides an established, sector</w:t>
      </w:r>
      <w:r w:rsidRPr="00F3115D">
        <w:rPr>
          <w:lang w:eastAsia="en-AU"/>
        </w:rPr>
        <w:noBreakHyphen/>
        <w:t>wide foundation, with existing functionality, service familiarity and support structures that could be progressively strengthened and adapted over time, rather than replaced. Evolving toward shared infrastructure of this kind would support more coordinated reporting, improved data access, and greater sector influence over how data is governed, used and returned, consistent with Indigenous Data Sovereignty principles and the objectives of the Closing the Gap Priority Reforms.</w:t>
      </w:r>
      <w:r w:rsidR="00925086" w:rsidRPr="00F3115D">
        <w:t xml:space="preserve"> </w:t>
      </w:r>
      <w:r w:rsidR="00925086" w:rsidRPr="00F3115D">
        <w:rPr>
          <w:lang w:eastAsia="en-AU"/>
        </w:rPr>
        <w:t>Any future data model must also ensure that data flows back to services in a form that supports direct clinical follow-up and meaningful CQI, not only upward to system users.</w:t>
      </w:r>
    </w:p>
    <w:p w14:paraId="39725D3A" w14:textId="506BDEE3" w:rsidR="00F87F33" w:rsidRPr="00F3115D" w:rsidRDefault="003C583C" w:rsidP="00F87F33">
      <w:pPr>
        <w:rPr>
          <w:lang w:eastAsia="en-AU"/>
        </w:rPr>
      </w:pPr>
      <w:r w:rsidRPr="00F3115D">
        <w:rPr>
          <w:lang w:eastAsia="en-AU"/>
        </w:rPr>
        <w:t>Over the longer term, a mature and well‑governed data environment of this kind has the potential to significantly reduce, or potentially eliminate, the need for periodic compliance‑based reporting by PHC services. However, t</w:t>
      </w:r>
      <w:r w:rsidR="00F87F33" w:rsidRPr="00F3115D">
        <w:rPr>
          <w:lang w:eastAsia="en-AU"/>
        </w:rPr>
        <w:t>rust, consent and control are foundational requirements, not secondary considerations, for any future data reform.</w:t>
      </w:r>
      <w:r w:rsidR="00B3282A" w:rsidRPr="00F3115D">
        <w:rPr>
          <w:lang w:eastAsia="en-AU"/>
        </w:rPr>
        <w:t xml:space="preserve"> </w:t>
      </w:r>
    </w:p>
    <w:p w14:paraId="736F5F98" w14:textId="77777777" w:rsidR="00F87F33" w:rsidRPr="00F3115D" w:rsidRDefault="00F87F33" w:rsidP="00DB45EB">
      <w:pPr>
        <w:pStyle w:val="Heading4"/>
      </w:pPr>
      <w:r w:rsidRPr="00F3115D">
        <w:t>Overall implications and reform pathway</w:t>
      </w:r>
    </w:p>
    <w:p w14:paraId="03EFFAEA" w14:textId="0A12A78E" w:rsidR="00F87F33" w:rsidRPr="00F3115D" w:rsidRDefault="00F87F33" w:rsidP="00F87F33">
      <w:pPr>
        <w:rPr>
          <w:lang w:eastAsia="en-AU"/>
        </w:rPr>
      </w:pPr>
      <w:r w:rsidRPr="00F3115D">
        <w:rPr>
          <w:lang w:eastAsia="en-AU"/>
        </w:rPr>
        <w:t>Given that the nKPI and OSR collections will remain the primary national service‑level datasets in the near term, the review concludes that reform efforts should prioritise clarity, proportionality and trust</w:t>
      </w:r>
      <w:r w:rsidR="003C583C" w:rsidRPr="00F3115D">
        <w:rPr>
          <w:lang w:eastAsia="en-AU"/>
        </w:rPr>
        <w:t>, rather than expansion of scope</w:t>
      </w:r>
      <w:r w:rsidRPr="00F3115D">
        <w:rPr>
          <w:lang w:eastAsia="en-AU"/>
        </w:rPr>
        <w:t>. This includes:</w:t>
      </w:r>
    </w:p>
    <w:p w14:paraId="28798687" w14:textId="4218DFBA" w:rsidR="00F87F33" w:rsidRPr="00F3115D" w:rsidRDefault="00F87F33" w:rsidP="004E11C3">
      <w:pPr>
        <w:pStyle w:val="Bullet"/>
        <w:ind w:left="357" w:hanging="357"/>
      </w:pPr>
      <w:r w:rsidRPr="00F3115D">
        <w:t>reaffirming and clearly communicating the purpose, use and limits of each collection</w:t>
      </w:r>
    </w:p>
    <w:p w14:paraId="592AA044" w14:textId="121A44DC" w:rsidR="00F87F33" w:rsidRPr="00F3115D" w:rsidRDefault="00F87F33" w:rsidP="004E11C3">
      <w:pPr>
        <w:pStyle w:val="Bullet"/>
        <w:ind w:left="357" w:hanging="357"/>
      </w:pPr>
      <w:r w:rsidRPr="00F3115D">
        <w:t>reducing reporting burden by removing or simplifying low‑value requirements</w:t>
      </w:r>
    </w:p>
    <w:p w14:paraId="53532585" w14:textId="0AB37A7D" w:rsidR="00F87F33" w:rsidRPr="00F3115D" w:rsidRDefault="00F87F33" w:rsidP="004E11C3">
      <w:pPr>
        <w:pStyle w:val="Bullet"/>
        <w:ind w:left="357" w:hanging="357"/>
      </w:pPr>
      <w:r w:rsidRPr="00F3115D">
        <w:t xml:space="preserve">strengthening feedback loops </w:t>
      </w:r>
      <w:r w:rsidR="33A4BC9D" w:rsidRPr="00F3115D">
        <w:t xml:space="preserve">so services can see how their data is used </w:t>
      </w:r>
      <w:r w:rsidRPr="00F3115D">
        <w:t xml:space="preserve">and </w:t>
      </w:r>
      <w:r w:rsidR="00EC38E9" w:rsidRPr="00F3115D">
        <w:t>reciprocity so</w:t>
      </w:r>
      <w:r w:rsidR="5498E0F3" w:rsidRPr="00F3115D">
        <w:t xml:space="preserve"> services can gain more benefit from the collected data</w:t>
      </w:r>
    </w:p>
    <w:p w14:paraId="40D0DC56" w14:textId="25E1A097" w:rsidR="00F87F33" w:rsidRPr="00F3115D" w:rsidRDefault="00F87F33" w:rsidP="004E11C3">
      <w:pPr>
        <w:pStyle w:val="Bullet"/>
        <w:ind w:left="357" w:hanging="357"/>
      </w:pPr>
      <w:r w:rsidRPr="00F3115D">
        <w:t>embedding Indigenous Data Sovereignty more deeply in governance and decision‑making.</w:t>
      </w:r>
    </w:p>
    <w:p w14:paraId="3C2CABD4" w14:textId="27A1AABB" w:rsidR="00F87F33" w:rsidRPr="00F3115D" w:rsidRDefault="00F87F33" w:rsidP="00F87F33">
      <w:pPr>
        <w:rPr>
          <w:lang w:eastAsia="en-AU"/>
        </w:rPr>
      </w:pPr>
      <w:r w:rsidRPr="00F3115D">
        <w:rPr>
          <w:lang w:eastAsia="en-AU"/>
        </w:rPr>
        <w:t>At the same time, reforms should be deliberately sequenced to avoid over‑investment in legacy approaches and to remain compatible with longer‑term system transformation. The recommendations in this report are therefore framed across three horizons: immediate improvements to current collections; foundational changes that enable more substantial reform; and transition steps that prepare the system for a future data environment that better supports self‑determination, service‑level improvement and integrated, whole‑of‑system insight.</w:t>
      </w:r>
    </w:p>
    <w:p w14:paraId="2DBE15DC" w14:textId="4C08BE31" w:rsidR="00B10C1A" w:rsidRPr="00F3115D" w:rsidRDefault="00B10C1A" w:rsidP="00B10C1A">
      <w:pPr>
        <w:rPr>
          <w:szCs w:val="19"/>
          <w:lang w:eastAsia="en-AU"/>
        </w:rPr>
      </w:pPr>
      <w:r w:rsidRPr="00F3115D">
        <w:rPr>
          <w:szCs w:val="19"/>
          <w:lang w:eastAsia="en-AU"/>
        </w:rPr>
        <w:t>This policy requires government agencies to develop a strategic approach to AI adoption, embed responsible‑AI processes across their operations, and implement risk‑based oversight throughout the AI lifecycle, including pathways for reporting and responding to AI incidents. These guardrails reinforce that AI may only be introduced where strong governance, adequate protections, and proportionate risk‑mitigation measures are in place, ensuring that efficiency gains do not come at the cost of safety, ethics, or public trust.</w:t>
      </w:r>
    </w:p>
    <w:p w14:paraId="7059730F" w14:textId="66D89D58" w:rsidR="00B10C1A" w:rsidRPr="00F3115D" w:rsidRDefault="00B10C1A" w:rsidP="0016265B">
      <w:pPr>
        <w:pStyle w:val="Heading5"/>
      </w:pPr>
      <w:r w:rsidRPr="00F3115D">
        <w:t>AI in the health sector is evolving rapidly and recommendations quickly become outdated</w:t>
      </w:r>
      <w:r w:rsidR="00AF60C7" w:rsidRPr="00F3115D">
        <w:t>.</w:t>
      </w:r>
    </w:p>
    <w:p w14:paraId="329FF3FF" w14:textId="6D0FAA0A" w:rsidR="00B10C1A" w:rsidRPr="00F3115D" w:rsidRDefault="00B10C1A" w:rsidP="00B10C1A">
      <w:pPr>
        <w:rPr>
          <w:lang w:eastAsia="en-AU"/>
        </w:rPr>
      </w:pPr>
      <w:r w:rsidRPr="00F3115D">
        <w:rPr>
          <w:lang w:eastAsia="en-AU"/>
        </w:rPr>
        <w:t xml:space="preserve">New AI models, </w:t>
      </w:r>
      <w:r w:rsidR="00992420" w:rsidRPr="00F3115D">
        <w:rPr>
          <w:lang w:eastAsia="en-AU"/>
        </w:rPr>
        <w:t xml:space="preserve">and </w:t>
      </w:r>
      <w:r w:rsidRPr="00F3115D">
        <w:rPr>
          <w:lang w:eastAsia="en-AU"/>
        </w:rPr>
        <w:t xml:space="preserve">tools are released frequently, meaning any assessment risks becoming outdated quickly. The observations detailed in this report should </w:t>
      </w:r>
      <w:r w:rsidR="005E41CD" w:rsidRPr="00F3115D">
        <w:rPr>
          <w:lang w:eastAsia="en-AU"/>
        </w:rPr>
        <w:t>treated</w:t>
      </w:r>
      <w:r w:rsidRPr="00F3115D">
        <w:rPr>
          <w:lang w:eastAsia="en-AU"/>
        </w:rPr>
        <w:t xml:space="preserve"> as indicative of current capability and direction, rather than fixed predictions about future solutions. </w:t>
      </w:r>
    </w:p>
    <w:p w14:paraId="3D6046B1" w14:textId="77777777" w:rsidR="00B10C1A" w:rsidRPr="00F3115D" w:rsidRDefault="00B10C1A" w:rsidP="00B10C1A">
      <w:pPr>
        <w:rPr>
          <w:lang w:eastAsia="en-AU"/>
        </w:rPr>
      </w:pPr>
      <w:r w:rsidRPr="00F3115D">
        <w:rPr>
          <w:lang w:eastAsia="en-AU"/>
        </w:rPr>
        <w:t>Across the Digital Health landscape, vendors are exploring and implementing AI integrated workflows and are operating in a market where AI integration is increasingly expected. However, vendors and CISs are not at a consistent stage of technical readiness, with some platforms introducing AI enabled features, while others are more constrained by legacy architecture. Systems with more mature, cloud-based infrastructure and structured data models are generally better positioned to integrate AI, while those reliant on older or on-premises architecture face greater barriers to scalable implementation.</w:t>
      </w:r>
    </w:p>
    <w:p w14:paraId="3184D1F6" w14:textId="3B627AEB" w:rsidR="00B10C1A" w:rsidRPr="00F3115D" w:rsidRDefault="00B10C1A" w:rsidP="00B10C1A">
      <w:pPr>
        <w:rPr>
          <w:lang w:eastAsia="en-AU"/>
        </w:rPr>
      </w:pPr>
      <w:r w:rsidRPr="00F3115D">
        <w:rPr>
          <w:lang w:eastAsia="en-AU"/>
        </w:rPr>
        <w:t xml:space="preserve">At the same time, </w:t>
      </w:r>
      <w:r w:rsidR="000F4389" w:rsidRPr="00F3115D">
        <w:rPr>
          <w:lang w:eastAsia="en-AU"/>
        </w:rPr>
        <w:t>vendors</w:t>
      </w:r>
      <w:r w:rsidRPr="00F3115D">
        <w:rPr>
          <w:lang w:eastAsia="en-AU"/>
        </w:rPr>
        <w:t xml:space="preserve"> such as Microsoft are expanding natural language querying and exploratory data analysis functions</w:t>
      </w:r>
      <w:r w:rsidR="000F4389" w:rsidRPr="00F3115D">
        <w:rPr>
          <w:lang w:eastAsia="en-AU"/>
        </w:rPr>
        <w:t xml:space="preserve"> in their tools such as CoPilot</w:t>
      </w:r>
      <w:r w:rsidRPr="00F3115D">
        <w:rPr>
          <w:lang w:eastAsia="en-AU"/>
        </w:rPr>
        <w:t>. While promising, their use in health contexts requires careful attention to privacy, security, and clinical governance.</w:t>
      </w:r>
    </w:p>
    <w:p w14:paraId="4F77A627" w14:textId="60103618" w:rsidR="00B10C1A" w:rsidRPr="00F3115D" w:rsidRDefault="00B10C1A" w:rsidP="00B10C1A">
      <w:pPr>
        <w:rPr>
          <w:lang w:eastAsia="en-AU"/>
        </w:rPr>
      </w:pPr>
      <w:r w:rsidRPr="00F3115D">
        <w:rPr>
          <w:lang w:eastAsia="en-AU"/>
        </w:rPr>
        <w:t>The Department has also indicated an intention to shift toward a Google enterprise data and analytics platform. Vertex AI, which is Google Cloud’s unified AI development platform, could be a viable foundation for supporting analysis of health service data. It provides access to Google’s AI models (including Gemini) and third</w:t>
      </w:r>
      <w:r w:rsidR="00E60A55" w:rsidRPr="00F3115D">
        <w:rPr>
          <w:lang w:eastAsia="en-AU"/>
        </w:rPr>
        <w:t>-</w:t>
      </w:r>
      <w:r w:rsidRPr="00F3115D">
        <w:rPr>
          <w:lang w:eastAsia="en-AU"/>
        </w:rPr>
        <w:t>party models, as well as tooling for secure deployment, integration, and managed operation. Vertex AI offers the technical “hooks” needed to connect AI capabilities into existing systems; for example, Qlik may be able to integrate LLM based batch processing or interactive dashboard insights via Vertex AI connectors. However, further investigation is needed to validate this use case and assess its feasibility</w:t>
      </w:r>
      <w:r w:rsidR="004E69C7" w:rsidRPr="00F3115D">
        <w:rPr>
          <w:lang w:eastAsia="en-AU"/>
        </w:rPr>
        <w:t>.</w:t>
      </w:r>
    </w:p>
    <w:p w14:paraId="3C2E1390" w14:textId="77777777" w:rsidR="00B10C1A" w:rsidRPr="00F3115D" w:rsidRDefault="00B10C1A" w:rsidP="00B10C1A">
      <w:pPr>
        <w:rPr>
          <w:lang w:eastAsia="en-AU"/>
        </w:rPr>
      </w:pPr>
      <w:r w:rsidRPr="00F3115D">
        <w:rPr>
          <w:lang w:eastAsia="en-AU"/>
        </w:rPr>
        <w:lastRenderedPageBreak/>
        <w:t>AI enabled analytical support is a rapidly evolving space within the Digital Health environment, with many emerging tools. The sector’s requirements are ultimately a simple, reliable interface that genuinely supports analysis and insight generation. Vertex AI is likely to be just one of several platforms capable of delivering this function.</w:t>
      </w:r>
    </w:p>
    <w:p w14:paraId="6714DEB7" w14:textId="77777777" w:rsidR="00B10C1A" w:rsidRPr="00F3115D" w:rsidRDefault="00B10C1A" w:rsidP="00B10C1A">
      <w:pPr>
        <w:rPr>
          <w:lang w:eastAsia="en-AU"/>
        </w:rPr>
      </w:pPr>
    </w:p>
    <w:p w14:paraId="121F88DA" w14:textId="77777777" w:rsidR="00B10C1A" w:rsidRPr="00F3115D" w:rsidRDefault="00B10C1A" w:rsidP="00B10C1A">
      <w:pPr>
        <w:rPr>
          <w:lang w:eastAsia="en-AU"/>
        </w:rPr>
        <w:sectPr w:rsidR="00B10C1A" w:rsidRPr="00F3115D" w:rsidSect="00BC6259">
          <w:headerReference w:type="default" r:id="rId19"/>
          <w:footerReference w:type="default" r:id="rId20"/>
          <w:headerReference w:type="first" r:id="rId21"/>
          <w:footerReference w:type="first" r:id="rId22"/>
          <w:pgSz w:w="11907" w:h="16839" w:code="9"/>
          <w:pgMar w:top="1021" w:right="1021" w:bottom="1021" w:left="1021" w:header="720" w:footer="720" w:gutter="0"/>
          <w:pgNumType w:start="1"/>
          <w:cols w:space="720"/>
          <w:docGrid w:linePitch="360"/>
        </w:sectPr>
      </w:pPr>
    </w:p>
    <w:p w14:paraId="5ED1D342" w14:textId="42E340A3" w:rsidR="00B10C1A" w:rsidRPr="00F3115D" w:rsidRDefault="00D2213C" w:rsidP="00B10C1A">
      <w:pPr>
        <w:pStyle w:val="Heading1"/>
        <w:ind w:left="567" w:hanging="567"/>
      </w:pPr>
      <w:bookmarkStart w:id="3" w:name="_Toc237357110"/>
      <w:bookmarkStart w:id="4" w:name="_Toc225433716"/>
      <w:r w:rsidRPr="00F3115D">
        <w:lastRenderedPageBreak/>
        <w:t>Recommendations</w:t>
      </w:r>
      <w:bookmarkEnd w:id="3"/>
      <w:r w:rsidRPr="00F3115D">
        <w:t xml:space="preserve"> </w:t>
      </w:r>
      <w:bookmarkEnd w:id="4"/>
    </w:p>
    <w:p w14:paraId="32A2706E" w14:textId="771EC731" w:rsidR="00B10C1A" w:rsidRPr="00F3115D" w:rsidRDefault="00471051" w:rsidP="00B10C1A">
      <w:pPr>
        <w:pStyle w:val="Heading2"/>
        <w:ind w:left="567" w:hanging="567"/>
      </w:pPr>
      <w:bookmarkStart w:id="5" w:name="_Toc237357111"/>
      <w:r w:rsidRPr="00F3115D">
        <w:t>Overview of recommendations</w:t>
      </w:r>
      <w:bookmarkEnd w:id="5"/>
    </w:p>
    <w:p w14:paraId="73BB1630" w14:textId="77777777" w:rsidR="001220D2" w:rsidRPr="00F3115D" w:rsidRDefault="004C5149" w:rsidP="006F3DAA">
      <w:pPr>
        <w:rPr>
          <w:lang w:eastAsia="en-AU"/>
        </w:rPr>
      </w:pPr>
      <w:r w:rsidRPr="00F3115D">
        <w:rPr>
          <w:lang w:eastAsia="en-AU"/>
        </w:rPr>
        <w:t xml:space="preserve">The recommendations in this review are designed to deliver a set of benefits that matter most to PHC services, the Department and other government stakeholders, and to the long-term utility and feasibility of data collection and reporting in the sector. </w:t>
      </w:r>
    </w:p>
    <w:p w14:paraId="628D97FE" w14:textId="476B2736" w:rsidR="00100C03" w:rsidRPr="00F3115D" w:rsidRDefault="004C5149" w:rsidP="006F3DAA">
      <w:pPr>
        <w:rPr>
          <w:lang w:eastAsia="en-AU"/>
        </w:rPr>
      </w:pPr>
      <w:r w:rsidRPr="00F3115D">
        <w:rPr>
          <w:lang w:eastAsia="en-AU"/>
        </w:rPr>
        <w:t xml:space="preserve">Collectively, </w:t>
      </w:r>
      <w:r w:rsidR="002A176E" w:rsidRPr="00F3115D">
        <w:rPr>
          <w:lang w:eastAsia="en-AU"/>
        </w:rPr>
        <w:t>they</w:t>
      </w:r>
      <w:r w:rsidRPr="00F3115D">
        <w:rPr>
          <w:lang w:eastAsia="en-AU"/>
        </w:rPr>
        <w:t xml:space="preserve"> aim to improve clarity of purpose, increase the relevance and usefulness of collections for CQI, strategy and policy planning, funding assurance, </w:t>
      </w:r>
      <w:r w:rsidR="00A70A58" w:rsidRPr="00F3115D">
        <w:rPr>
          <w:lang w:eastAsia="en-AU"/>
        </w:rPr>
        <w:t>and further reduce reporting burden</w:t>
      </w:r>
      <w:r w:rsidRPr="00F3115D">
        <w:rPr>
          <w:lang w:eastAsia="en-AU"/>
        </w:rPr>
        <w:t>. They also seek to strengthen and embed principles of Indigenous</w:t>
      </w:r>
      <w:r w:rsidRPr="00F3115D">
        <w:rPr>
          <w:lang w:eastAsia="en-AU"/>
        </w:rPr>
        <w:noBreakHyphen/>
        <w:t xml:space="preserve">led governance, ensuring data is governed, interpreted and used in culturally appropriate ways. </w:t>
      </w:r>
    </w:p>
    <w:p w14:paraId="2E34E520" w14:textId="5CB3388E" w:rsidR="004C5149" w:rsidRPr="00F3115D" w:rsidRDefault="00100C03" w:rsidP="006F3DAA">
      <w:pPr>
        <w:rPr>
          <w:lang w:eastAsia="en-AU"/>
        </w:rPr>
      </w:pPr>
      <w:r w:rsidRPr="00F3115D">
        <w:rPr>
          <w:lang w:eastAsia="en-AU"/>
        </w:rPr>
        <w:t>T</w:t>
      </w:r>
      <w:r w:rsidR="004C5149" w:rsidRPr="00F3115D">
        <w:rPr>
          <w:lang w:eastAsia="en-AU"/>
        </w:rPr>
        <w:t xml:space="preserve">hese improvements will see immediate action taken to improve the collections as they are, while building readiness for future reform and </w:t>
      </w:r>
      <w:r w:rsidR="00B71666" w:rsidRPr="00F3115D">
        <w:rPr>
          <w:lang w:eastAsia="en-AU"/>
        </w:rPr>
        <w:t>enhancing</w:t>
      </w:r>
      <w:r w:rsidR="004C5149" w:rsidRPr="00F3115D">
        <w:rPr>
          <w:lang w:eastAsia="en-AU"/>
        </w:rPr>
        <w:t xml:space="preserve"> trust, governance, data quality and infrastructure</w:t>
      </w:r>
      <w:r w:rsidR="005C7246" w:rsidRPr="00F3115D">
        <w:rPr>
          <w:lang w:eastAsia="en-AU"/>
        </w:rPr>
        <w:t xml:space="preserve"> in the First Nations PHC sector</w:t>
      </w:r>
      <w:r w:rsidR="00027061" w:rsidRPr="00F3115D">
        <w:rPr>
          <w:lang w:eastAsia="en-AU"/>
        </w:rPr>
        <w:t>,</w:t>
      </w:r>
      <w:r w:rsidR="004C5149" w:rsidRPr="00F3115D">
        <w:rPr>
          <w:lang w:eastAsia="en-AU"/>
        </w:rPr>
        <w:t xml:space="preserve"> </w:t>
      </w:r>
      <w:r w:rsidR="00027061" w:rsidRPr="00F3115D">
        <w:rPr>
          <w:lang w:eastAsia="en-AU"/>
        </w:rPr>
        <w:t>necessary</w:t>
      </w:r>
      <w:r w:rsidR="004C5149" w:rsidRPr="00F3115D">
        <w:rPr>
          <w:lang w:eastAsia="en-AU"/>
        </w:rPr>
        <w:t xml:space="preserve"> to support a transition to more integrated health data systems as the digital health environment evolves.</w:t>
      </w:r>
    </w:p>
    <w:p w14:paraId="34BEB3F6" w14:textId="489790E9" w:rsidR="00100C03" w:rsidRPr="00F3115D" w:rsidRDefault="006F3DAA" w:rsidP="006F3DAA">
      <w:pPr>
        <w:rPr>
          <w:lang w:eastAsia="en-AU"/>
        </w:rPr>
      </w:pPr>
      <w:r w:rsidRPr="00F3115D">
        <w:rPr>
          <w:lang w:eastAsia="en-AU"/>
        </w:rPr>
        <w:t xml:space="preserve">Given the complexity of reform in the digital health and data landscape, clear and deliberate implementation planning for all recommendations outlined in this report is critical. Importantly, effective implementation </w:t>
      </w:r>
      <w:r w:rsidR="00E62A4D" w:rsidRPr="00F3115D">
        <w:rPr>
          <w:lang w:eastAsia="en-AU"/>
        </w:rPr>
        <w:t>will</w:t>
      </w:r>
      <w:r w:rsidRPr="00F3115D">
        <w:rPr>
          <w:lang w:eastAsia="en-AU"/>
        </w:rPr>
        <w:t xml:space="preserve"> enable the optimisation of the collections in the short term, while preparing for long-term reform</w:t>
      </w:r>
      <w:r w:rsidR="0036464F" w:rsidRPr="00F3115D">
        <w:rPr>
          <w:lang w:eastAsia="en-AU"/>
        </w:rPr>
        <w:t>.</w:t>
      </w:r>
      <w:r w:rsidRPr="00F3115D">
        <w:rPr>
          <w:lang w:eastAsia="en-AU"/>
        </w:rPr>
        <w:t xml:space="preserve"> </w:t>
      </w:r>
    </w:p>
    <w:p w14:paraId="7A07D615" w14:textId="62747794" w:rsidR="00813B26" w:rsidRPr="00F3115D" w:rsidRDefault="00115A54" w:rsidP="006F3DAA">
      <w:pPr>
        <w:rPr>
          <w:lang w:eastAsia="en-AU"/>
        </w:rPr>
      </w:pPr>
      <w:r w:rsidRPr="00F3115D">
        <w:rPr>
          <w:lang w:eastAsia="en-AU"/>
        </w:rPr>
        <w:t xml:space="preserve">The recommendations of the review address opportunities </w:t>
      </w:r>
      <w:r w:rsidR="006F3DAA" w:rsidRPr="00F3115D">
        <w:rPr>
          <w:lang w:eastAsia="en-AU"/>
        </w:rPr>
        <w:t xml:space="preserve">to improve the collections to increase their usefulness and </w:t>
      </w:r>
      <w:r w:rsidR="001404B6" w:rsidRPr="00F3115D">
        <w:rPr>
          <w:lang w:eastAsia="en-AU"/>
        </w:rPr>
        <w:t xml:space="preserve">clarity and </w:t>
      </w:r>
      <w:r w:rsidR="006F3DAA" w:rsidRPr="00F3115D">
        <w:rPr>
          <w:lang w:eastAsia="en-AU"/>
        </w:rPr>
        <w:t xml:space="preserve">further </w:t>
      </w:r>
      <w:r w:rsidR="001404B6" w:rsidRPr="00F3115D">
        <w:rPr>
          <w:lang w:eastAsia="en-AU"/>
        </w:rPr>
        <w:t>minimise</w:t>
      </w:r>
      <w:r w:rsidR="006F3DAA" w:rsidRPr="00F3115D">
        <w:rPr>
          <w:lang w:eastAsia="en-AU"/>
        </w:rPr>
        <w:t xml:space="preserve"> reporting burden. </w:t>
      </w:r>
      <w:r w:rsidR="00DD30C1" w:rsidRPr="00F3115D">
        <w:rPr>
          <w:lang w:eastAsia="en-AU"/>
        </w:rPr>
        <w:t>T</w:t>
      </w:r>
      <w:r w:rsidR="006F3DAA" w:rsidRPr="00F3115D">
        <w:rPr>
          <w:lang w:eastAsia="en-AU"/>
        </w:rPr>
        <w:t xml:space="preserve">hese collections sit within a rapidly evolving digital health environment, where longer-term reforms </w:t>
      </w:r>
      <w:r w:rsidR="00DD30C1" w:rsidRPr="00F3115D">
        <w:rPr>
          <w:lang w:eastAsia="en-AU"/>
        </w:rPr>
        <w:t>may</w:t>
      </w:r>
      <w:r w:rsidR="006F3DAA" w:rsidRPr="00F3115D">
        <w:rPr>
          <w:lang w:eastAsia="en-AU"/>
        </w:rPr>
        <w:t xml:space="preserve"> fundamentally change how primary care data is collected and used. </w:t>
      </w:r>
    </w:p>
    <w:p w14:paraId="148FC3D5" w14:textId="37C0C9BB" w:rsidR="006F3DAA" w:rsidRPr="00F3115D" w:rsidRDefault="006F3DAA" w:rsidP="006F3DAA">
      <w:pPr>
        <w:rPr>
          <w:lang w:eastAsia="en-AU"/>
        </w:rPr>
      </w:pPr>
      <w:r w:rsidRPr="00F3115D">
        <w:rPr>
          <w:lang w:eastAsia="en-AU"/>
        </w:rPr>
        <w:t xml:space="preserve">This review recognises that whilst there is a clear direction towards integrated unit-level data and standardised interoperable systems, there is a degree of uncertainty, and the future state is not yet fully defined. </w:t>
      </w:r>
      <w:proofErr w:type="gramStart"/>
      <w:r w:rsidRPr="00F3115D">
        <w:rPr>
          <w:lang w:eastAsia="en-AU"/>
        </w:rPr>
        <w:t>With this in mind, this</w:t>
      </w:r>
      <w:proofErr w:type="gramEnd"/>
      <w:r w:rsidRPr="00F3115D">
        <w:rPr>
          <w:lang w:eastAsia="en-AU"/>
        </w:rPr>
        <w:t xml:space="preserve"> review’s recommendations and their implementation can be considered in three frames: how to deliver </w:t>
      </w:r>
      <w:r w:rsidR="00937D17" w:rsidRPr="00F3115D">
        <w:rPr>
          <w:lang w:eastAsia="en-AU"/>
        </w:rPr>
        <w:t>short-term</w:t>
      </w:r>
      <w:r w:rsidRPr="00F3115D">
        <w:rPr>
          <w:lang w:eastAsia="en-AU"/>
        </w:rPr>
        <w:t xml:space="preserve"> improvements; how to establish foundations that align with this more substantive reform; and how to actively prepare for the transition to a future state.</w:t>
      </w:r>
    </w:p>
    <w:p w14:paraId="660BE4DD" w14:textId="002A529E" w:rsidR="006F3DAA" w:rsidRPr="00F3115D" w:rsidRDefault="00582558" w:rsidP="00270F21">
      <w:pPr>
        <w:pStyle w:val="ListParagraph"/>
        <w:numPr>
          <w:ilvl w:val="0"/>
          <w:numId w:val="25"/>
        </w:numPr>
        <w:spacing w:line="240" w:lineRule="auto"/>
        <w:ind w:left="357" w:hanging="357"/>
        <w:contextualSpacing w:val="0"/>
        <w:rPr>
          <w:lang w:eastAsia="en-AU"/>
        </w:rPr>
      </w:pPr>
      <w:r w:rsidRPr="00F3115D">
        <w:rPr>
          <w:rFonts w:asciiTheme="majorHAnsi" w:hAnsiTheme="majorHAnsi" w:cstheme="majorHAnsi"/>
          <w:lang w:eastAsia="en-AU"/>
        </w:rPr>
        <w:t>Short-term</w:t>
      </w:r>
      <w:r w:rsidR="006F3DAA" w:rsidRPr="00F3115D">
        <w:rPr>
          <w:rFonts w:asciiTheme="majorHAnsi" w:hAnsiTheme="majorHAnsi" w:cstheme="majorHAnsi"/>
          <w:lang w:eastAsia="en-AU"/>
        </w:rPr>
        <w:t xml:space="preserve"> improvements are actions that deliver immediate value and can be implemented largely within the Department’s existing authority, systems and governance</w:t>
      </w:r>
      <w:r w:rsidR="006F3DAA" w:rsidRPr="00F3115D">
        <w:rPr>
          <w:lang w:eastAsia="en-AU"/>
        </w:rPr>
        <w:t>. These actions focus on improving clarity of purpose, refining the scope and content of the collections to further minimise reporting burden, making necessary technical or definitional fixes, and addressing any other immediate concerns held by the sector. They are largely within the Department’s control and do not depend on broader digital health reform, system-wide change, or highly complex multi-stakeholder engagement. Together these actions provide a practical step forward to improve the collections and demonstrate responsiveness to the sector.</w:t>
      </w:r>
    </w:p>
    <w:p w14:paraId="5728C53D" w14:textId="060A5929" w:rsidR="006F3DAA" w:rsidRPr="00F3115D" w:rsidRDefault="006F3DAA" w:rsidP="00270F21">
      <w:pPr>
        <w:pStyle w:val="ListParagraph"/>
        <w:numPr>
          <w:ilvl w:val="0"/>
          <w:numId w:val="25"/>
        </w:numPr>
        <w:spacing w:line="240" w:lineRule="auto"/>
        <w:ind w:left="357" w:hanging="357"/>
        <w:contextualSpacing w:val="0"/>
        <w:rPr>
          <w:lang w:eastAsia="en-AU"/>
        </w:rPr>
      </w:pPr>
      <w:r w:rsidRPr="00F3115D">
        <w:rPr>
          <w:rFonts w:asciiTheme="majorHAnsi" w:hAnsiTheme="majorHAnsi" w:cstheme="majorHAnsi"/>
          <w:lang w:eastAsia="en-AU"/>
        </w:rPr>
        <w:t>Foundations for substantive reform are actions that represent more significant change – providing substantial value over the longer-term but involving greater implementation complexity.</w:t>
      </w:r>
      <w:r w:rsidRPr="00F3115D">
        <w:rPr>
          <w:lang w:eastAsia="en-AU"/>
        </w:rPr>
        <w:t xml:space="preserve"> These actions are intended to improve the value and usefulness of the collections – to both the government and PHC services – while laying the groundwork for more substantive but critically important changes, such as governance reform. They are more complex to implement, requiring multi-stakeholder input, co-design and agreement, or technical complexity, and are less </w:t>
      </w:r>
      <w:r w:rsidR="008060FE" w:rsidRPr="00F3115D">
        <w:rPr>
          <w:lang w:eastAsia="en-AU"/>
        </w:rPr>
        <w:t>directly</w:t>
      </w:r>
      <w:r w:rsidRPr="00F3115D">
        <w:rPr>
          <w:lang w:eastAsia="en-AU"/>
        </w:rPr>
        <w:t xml:space="preserve"> within the Department’s sole control. Taken together, these foundational actions create the conditions for sustained and substantial improvement of the collections, ensuring they are well-placed to function in a future state of digital health collection.</w:t>
      </w:r>
    </w:p>
    <w:p w14:paraId="5F769EA2" w14:textId="3B44DBF6" w:rsidR="006F3DAA" w:rsidRPr="00F3115D" w:rsidRDefault="006F3DAA" w:rsidP="00270F21">
      <w:pPr>
        <w:pStyle w:val="ListParagraph"/>
        <w:numPr>
          <w:ilvl w:val="0"/>
          <w:numId w:val="25"/>
        </w:numPr>
        <w:spacing w:line="240" w:lineRule="auto"/>
        <w:ind w:left="357" w:hanging="357"/>
        <w:contextualSpacing w:val="0"/>
        <w:rPr>
          <w:lang w:eastAsia="en-AU"/>
        </w:rPr>
      </w:pPr>
      <w:r w:rsidRPr="00F3115D">
        <w:rPr>
          <w:rFonts w:asciiTheme="majorHAnsi" w:hAnsiTheme="majorHAnsi" w:cstheme="majorHAnsi"/>
          <w:lang w:eastAsia="en-AU"/>
        </w:rPr>
        <w:t xml:space="preserve">Transition steps </w:t>
      </w:r>
      <w:r w:rsidR="004F3CCF" w:rsidRPr="00F3115D">
        <w:rPr>
          <w:rFonts w:asciiTheme="majorHAnsi" w:hAnsiTheme="majorHAnsi" w:cstheme="majorHAnsi"/>
          <w:lang w:eastAsia="en-AU"/>
        </w:rPr>
        <w:t>that</w:t>
      </w:r>
      <w:r w:rsidRPr="00F3115D">
        <w:rPr>
          <w:rFonts w:asciiTheme="majorHAnsi" w:hAnsiTheme="majorHAnsi" w:cstheme="majorHAnsi"/>
          <w:lang w:eastAsia="en-AU"/>
        </w:rPr>
        <w:t xml:space="preserve"> focus on the actions required to actively prepare for the future digital health data landscape</w:t>
      </w:r>
      <w:r w:rsidRPr="00F3115D">
        <w:rPr>
          <w:lang w:eastAsia="en-AU"/>
        </w:rPr>
        <w:t>. These actions are forward</w:t>
      </w:r>
      <w:r w:rsidRPr="00F3115D">
        <w:rPr>
          <w:lang w:eastAsia="en-AU"/>
        </w:rPr>
        <w:noBreakHyphen/>
        <w:t xml:space="preserve">looking and exploratory, aimed at clarifying future options, testing assumptions, and identifying the conditions required for more fundamental reform to occur safely and credibly. They require </w:t>
      </w:r>
      <w:r w:rsidR="00B9239A" w:rsidRPr="00F3115D">
        <w:rPr>
          <w:lang w:eastAsia="en-AU"/>
        </w:rPr>
        <w:t>detailed</w:t>
      </w:r>
      <w:r w:rsidRPr="00F3115D">
        <w:rPr>
          <w:lang w:eastAsia="en-AU"/>
        </w:rPr>
        <w:t xml:space="preserve"> consideration of policy, governance, data architecture and sequencing, alongside sustained and meaningful consultation with the sector to build trust, shared understanding and readiness. Collectively, these transition steps provide a disciplined pathway for managing uncertainty, ensuring that future reform is evidence</w:t>
      </w:r>
      <w:r w:rsidRPr="00F3115D">
        <w:rPr>
          <w:lang w:eastAsia="en-AU"/>
        </w:rPr>
        <w:noBreakHyphen/>
        <w:t>led, Indigenous</w:t>
      </w:r>
      <w:r w:rsidRPr="00F3115D">
        <w:rPr>
          <w:lang w:eastAsia="en-AU"/>
        </w:rPr>
        <w:noBreakHyphen/>
        <w:t>governed, and progressed at a pace that maintains sector confidence while avoiding premature or misaligned system change.</w:t>
      </w:r>
    </w:p>
    <w:p w14:paraId="676CF310" w14:textId="31E5996B" w:rsidR="006F3DAA" w:rsidRPr="00F3115D" w:rsidRDefault="006F3DAA" w:rsidP="006F3DAA">
      <w:pPr>
        <w:rPr>
          <w:lang w:eastAsia="en-AU"/>
        </w:rPr>
        <w:sectPr w:rsidR="006F3DAA" w:rsidRPr="00F3115D" w:rsidSect="00B10C1A">
          <w:pgSz w:w="11907" w:h="16839" w:code="9"/>
          <w:pgMar w:top="1021" w:right="1021" w:bottom="1021" w:left="1021" w:header="720" w:footer="720" w:gutter="0"/>
          <w:cols w:space="720"/>
          <w:docGrid w:linePitch="360"/>
        </w:sectPr>
      </w:pPr>
    </w:p>
    <w:p w14:paraId="20EF7B00" w14:textId="35500240" w:rsidR="004224AA" w:rsidRDefault="004224AA" w:rsidP="00182ADF">
      <w:pPr>
        <w:pStyle w:val="Caption"/>
      </w:pPr>
      <w:r w:rsidRPr="00F3115D">
        <w:lastRenderedPageBreak/>
        <w:t xml:space="preserve">Table </w:t>
      </w:r>
      <w:r w:rsidRPr="00F3115D">
        <w:fldChar w:fldCharType="begin"/>
      </w:r>
      <w:r w:rsidRPr="00F3115D">
        <w:instrText xml:space="preserve"> SEQ Table \* ARABIC </w:instrText>
      </w:r>
      <w:r w:rsidRPr="00F3115D">
        <w:fldChar w:fldCharType="separate"/>
      </w:r>
      <w:r w:rsidR="006D3EE9">
        <w:rPr>
          <w:noProof/>
        </w:rPr>
        <w:t>1</w:t>
      </w:r>
      <w:r w:rsidRPr="00F3115D">
        <w:fldChar w:fldCharType="end"/>
      </w:r>
      <w:r w:rsidRPr="00F3115D">
        <w:t xml:space="preserve"> | Future Landscape</w:t>
      </w:r>
    </w:p>
    <w:tbl>
      <w:tblPr>
        <w:tblStyle w:val="NOUS"/>
        <w:tblpPr w:leftFromText="180" w:rightFromText="180" w:vertAnchor="text" w:tblpY="83"/>
        <w:tblW w:w="0" w:type="auto"/>
        <w:tblLook w:val="04A0" w:firstRow="1" w:lastRow="0" w:firstColumn="1" w:lastColumn="0" w:noHBand="0" w:noVBand="1"/>
      </w:tblPr>
      <w:tblGrid>
        <w:gridCol w:w="542"/>
        <w:gridCol w:w="4659"/>
        <w:gridCol w:w="4659"/>
      </w:tblGrid>
      <w:tr w:rsidR="00C230DC" w:rsidRPr="00F3115D" w14:paraId="3299D640" w14:textId="77777777" w:rsidTr="00A54084">
        <w:trPr>
          <w:cnfStyle w:val="100000000000" w:firstRow="1" w:lastRow="0" w:firstColumn="0" w:lastColumn="0" w:oddVBand="0" w:evenVBand="0" w:oddHBand="0" w:evenHBand="0" w:firstRowFirstColumn="0" w:firstRowLastColumn="0" w:lastRowFirstColumn="0" w:lastRowLastColumn="0"/>
        </w:trPr>
        <w:tc>
          <w:tcPr>
            <w:tcW w:w="542" w:type="dxa"/>
            <w:tcBorders>
              <w:top w:val="nil"/>
              <w:right w:val="single" w:sz="4" w:space="0" w:color="00264D" w:themeColor="background2"/>
            </w:tcBorders>
            <w:shd w:val="clear" w:color="auto" w:fill="FFFFFF" w:themeFill="background1"/>
          </w:tcPr>
          <w:p w14:paraId="4BA9A11A" w14:textId="77777777" w:rsidR="00C230DC" w:rsidRPr="00F3115D" w:rsidRDefault="00C230DC" w:rsidP="00A54084">
            <w:pPr>
              <w:spacing w:before="60" w:after="60"/>
              <w:rPr>
                <w:rFonts w:asciiTheme="majorHAnsi" w:hAnsiTheme="majorHAnsi" w:cstheme="majorHAnsi"/>
                <w:sz w:val="17"/>
                <w:szCs w:val="17"/>
                <w:lang w:eastAsia="en-AU"/>
              </w:rPr>
            </w:pPr>
          </w:p>
        </w:tc>
        <w:tc>
          <w:tcPr>
            <w:tcW w:w="4659" w:type="dxa"/>
            <w:tcBorders>
              <w:left w:val="single" w:sz="4" w:space="0" w:color="00264D" w:themeColor="background2"/>
              <w:right w:val="single" w:sz="4" w:space="0" w:color="00264D" w:themeColor="background2"/>
            </w:tcBorders>
            <w:shd w:val="clear" w:color="auto" w:fill="00264D" w:themeFill="background2"/>
          </w:tcPr>
          <w:p w14:paraId="4596517D" w14:textId="77777777" w:rsidR="00C230DC" w:rsidRPr="00F3115D" w:rsidRDefault="00C230DC" w:rsidP="00A54084">
            <w:pPr>
              <w:spacing w:before="60" w:after="60"/>
              <w:rPr>
                <w:rFonts w:asciiTheme="majorHAnsi" w:hAnsiTheme="majorHAnsi" w:cstheme="majorHAnsi"/>
                <w:sz w:val="17"/>
                <w:szCs w:val="17"/>
                <w:lang w:eastAsia="en-AU"/>
              </w:rPr>
            </w:pPr>
            <w:r w:rsidRPr="00F3115D">
              <w:rPr>
                <w:rFonts w:asciiTheme="majorHAnsi" w:hAnsiTheme="majorHAnsi" w:cstheme="majorHAnsi"/>
                <w:color w:val="FFFFFF" w:themeColor="background1"/>
                <w:sz w:val="20"/>
                <w:szCs w:val="20"/>
                <w:lang w:eastAsia="en-AU"/>
              </w:rPr>
              <w:t>Future Landscape</w:t>
            </w:r>
          </w:p>
        </w:tc>
        <w:tc>
          <w:tcPr>
            <w:tcW w:w="4659" w:type="dxa"/>
            <w:tcBorders>
              <w:left w:val="single" w:sz="4" w:space="0" w:color="00264D" w:themeColor="background2"/>
              <w:right w:val="single" w:sz="4" w:space="0" w:color="00264D" w:themeColor="background2"/>
            </w:tcBorders>
            <w:shd w:val="clear" w:color="auto" w:fill="00264D" w:themeFill="background2"/>
          </w:tcPr>
          <w:p w14:paraId="32C10998" w14:textId="77777777" w:rsidR="00C230DC" w:rsidRPr="00F3115D" w:rsidRDefault="00C230DC" w:rsidP="00A54084">
            <w:pPr>
              <w:spacing w:before="60" w:after="60"/>
              <w:rPr>
                <w:rFonts w:asciiTheme="majorHAnsi" w:hAnsiTheme="majorHAnsi" w:cstheme="majorHAnsi"/>
                <w:sz w:val="17"/>
                <w:szCs w:val="17"/>
                <w:lang w:eastAsia="en-AU"/>
              </w:rPr>
            </w:pPr>
          </w:p>
        </w:tc>
      </w:tr>
    </w:tbl>
    <w:p w14:paraId="56F57630" w14:textId="7A9809AF" w:rsidR="000B74BC" w:rsidRPr="005D6887" w:rsidRDefault="000B74BC" w:rsidP="000B74BC">
      <w:pPr>
        <w:rPr>
          <w:sz w:val="8"/>
          <w:szCs w:val="10"/>
        </w:rPr>
      </w:pPr>
    </w:p>
    <w:tbl>
      <w:tblPr>
        <w:tblStyle w:val="NOUS"/>
        <w:tblpPr w:leftFromText="180" w:rightFromText="180" w:vertAnchor="text" w:tblpY="83"/>
        <w:tblW w:w="0" w:type="auto"/>
        <w:tblLook w:val="04A0" w:firstRow="1" w:lastRow="0" w:firstColumn="1" w:lastColumn="0" w:noHBand="0" w:noVBand="1"/>
      </w:tblPr>
      <w:tblGrid>
        <w:gridCol w:w="542"/>
        <w:gridCol w:w="464"/>
        <w:gridCol w:w="3814"/>
        <w:gridCol w:w="5040"/>
      </w:tblGrid>
      <w:tr w:rsidR="009452A9" w:rsidRPr="00F3115D" w14:paraId="7C697C45" w14:textId="77777777" w:rsidTr="00397317">
        <w:trPr>
          <w:cnfStyle w:val="100000000000" w:firstRow="1" w:lastRow="0" w:firstColumn="0" w:lastColumn="0" w:oddVBand="0" w:evenVBand="0" w:oddHBand="0" w:evenHBand="0" w:firstRowFirstColumn="0" w:firstRowLastColumn="0" w:lastRowFirstColumn="0" w:lastRowLastColumn="0"/>
        </w:trPr>
        <w:tc>
          <w:tcPr>
            <w:tcW w:w="542" w:type="dxa"/>
            <w:tcBorders>
              <w:top w:val="nil"/>
              <w:bottom w:val="single" w:sz="8" w:space="0" w:color="E6E6E1" w:themeColor="accent5"/>
            </w:tcBorders>
            <w:shd w:val="clear" w:color="auto" w:fill="FFFFFF" w:themeFill="background1"/>
            <w:textDirection w:val="btLr"/>
          </w:tcPr>
          <w:p w14:paraId="13771DB5" w14:textId="77777777" w:rsidR="00FD45DA" w:rsidRPr="00F3115D" w:rsidRDefault="00FD45DA" w:rsidP="00A31306">
            <w:pPr>
              <w:spacing w:before="60" w:after="60"/>
              <w:ind w:left="113" w:right="113"/>
              <w:jc w:val="center"/>
              <w:rPr>
                <w:rFonts w:asciiTheme="majorHAnsi" w:hAnsiTheme="majorHAnsi" w:cstheme="majorHAnsi"/>
                <w:sz w:val="17"/>
                <w:szCs w:val="17"/>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5BBB54A9" w14:textId="77777777" w:rsidR="00FD45DA" w:rsidRPr="00F3115D" w:rsidRDefault="00FD45DA" w:rsidP="00A31306">
            <w:pPr>
              <w:spacing w:before="60" w:after="60"/>
              <w:jc w:val="center"/>
              <w:rPr>
                <w:sz w:val="18"/>
                <w:szCs w:val="18"/>
                <w:lang w:eastAsia="en-AU"/>
              </w:rPr>
            </w:pPr>
            <w:r w:rsidRPr="00F3115D">
              <w:rPr>
                <w:rFonts w:asciiTheme="majorHAnsi" w:hAnsiTheme="majorHAnsi" w:cstheme="majorHAnsi"/>
                <w:sz w:val="18"/>
                <w:szCs w:val="18"/>
                <w:lang w:eastAsia="en-AU"/>
              </w:rPr>
              <w:t>#</w:t>
            </w:r>
          </w:p>
        </w:tc>
        <w:tc>
          <w:tcPr>
            <w:tcW w:w="3814" w:type="dxa"/>
            <w:tcBorders>
              <w:top w:val="single" w:sz="4" w:space="0" w:color="E6E6E1" w:themeColor="accent5"/>
              <w:left w:val="single" w:sz="4" w:space="0" w:color="E6E6E1" w:themeColor="accent5"/>
              <w:bottom w:val="single" w:sz="4" w:space="0" w:color="E6E6E1" w:themeColor="accent5"/>
              <w:right w:val="single" w:sz="4" w:space="0" w:color="FFFFFF" w:themeColor="background1"/>
            </w:tcBorders>
          </w:tcPr>
          <w:p w14:paraId="3CABC22B" w14:textId="77777777" w:rsidR="00FD45DA" w:rsidRPr="00F3115D" w:rsidRDefault="00FD45DA" w:rsidP="00A31306">
            <w:pPr>
              <w:spacing w:before="60" w:after="60"/>
              <w:rPr>
                <w:rFonts w:asciiTheme="majorHAnsi" w:hAnsiTheme="majorHAnsi" w:cstheme="majorHAnsi"/>
                <w:sz w:val="18"/>
                <w:szCs w:val="18"/>
              </w:rPr>
            </w:pPr>
            <w:r w:rsidRPr="00F3115D">
              <w:rPr>
                <w:rFonts w:asciiTheme="majorHAnsi" w:hAnsiTheme="majorHAnsi" w:cstheme="majorHAnsi"/>
                <w:sz w:val="18"/>
                <w:szCs w:val="18"/>
                <w:lang w:eastAsia="en-AU"/>
              </w:rPr>
              <w:t>Recommendation</w:t>
            </w:r>
          </w:p>
        </w:tc>
        <w:tc>
          <w:tcPr>
            <w:tcW w:w="5040" w:type="dxa"/>
            <w:tcBorders>
              <w:top w:val="single" w:sz="4" w:space="0" w:color="E6E6E1" w:themeColor="accent5"/>
              <w:left w:val="single" w:sz="4" w:space="0" w:color="FFFFFF" w:themeColor="background1"/>
              <w:bottom w:val="single" w:sz="4" w:space="0" w:color="E6E6E1" w:themeColor="accent5"/>
              <w:right w:val="single" w:sz="4" w:space="0" w:color="E6E6E1" w:themeColor="accent5"/>
            </w:tcBorders>
          </w:tcPr>
          <w:p w14:paraId="2444BF3E" w14:textId="77777777" w:rsidR="00FD45DA" w:rsidRPr="00F3115D" w:rsidRDefault="00FD45DA" w:rsidP="00A31306">
            <w:pPr>
              <w:spacing w:before="60" w:after="60"/>
              <w:rPr>
                <w:sz w:val="18"/>
                <w:szCs w:val="18"/>
              </w:rPr>
            </w:pPr>
            <w:r w:rsidRPr="00F3115D">
              <w:rPr>
                <w:rFonts w:asciiTheme="majorHAnsi" w:hAnsiTheme="majorHAnsi" w:cstheme="majorHAnsi"/>
                <w:sz w:val="18"/>
                <w:szCs w:val="18"/>
                <w:lang w:eastAsia="en-AU"/>
              </w:rPr>
              <w:t>Benefit</w:t>
            </w:r>
          </w:p>
        </w:tc>
      </w:tr>
      <w:tr w:rsidR="00B0079A" w:rsidRPr="00F3115D" w14:paraId="426FCE1E" w14:textId="77777777" w:rsidTr="00397317">
        <w:trPr>
          <w:trHeight w:val="1710"/>
        </w:trPr>
        <w:tc>
          <w:tcPr>
            <w:tcW w:w="542" w:type="dxa"/>
            <w:vMerge w:val="restart"/>
            <w:tcBorders>
              <w:top w:val="single" w:sz="8" w:space="0" w:color="E6E6E1" w:themeColor="accent5"/>
            </w:tcBorders>
            <w:shd w:val="clear" w:color="auto" w:fill="F2F2F2" w:themeFill="background1" w:themeFillShade="F2"/>
            <w:textDirection w:val="btLr"/>
          </w:tcPr>
          <w:p w14:paraId="75D15F98" w14:textId="294D20D8" w:rsidR="00F503E4" w:rsidRPr="00F3115D" w:rsidRDefault="00F503E4" w:rsidP="00A31306">
            <w:pPr>
              <w:spacing w:before="60" w:after="60"/>
              <w:ind w:left="113" w:right="113"/>
              <w:jc w:val="center"/>
              <w:rPr>
                <w:rFonts w:asciiTheme="majorHAnsi" w:hAnsiTheme="majorHAnsi" w:cstheme="majorHAnsi"/>
                <w:sz w:val="17"/>
                <w:szCs w:val="17"/>
                <w:lang w:eastAsia="en-AU"/>
              </w:rPr>
            </w:pPr>
            <w:r w:rsidRPr="00F3115D">
              <w:rPr>
                <w:rFonts w:asciiTheme="majorHAnsi" w:hAnsiTheme="majorHAnsi" w:cstheme="majorHAnsi"/>
                <w:sz w:val="18"/>
                <w:szCs w:val="18"/>
                <w:lang w:eastAsia="en-AU"/>
              </w:rPr>
              <w:t>Transition steps</w:t>
            </w: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7C4D4639" w14:textId="0EF1C26F" w:rsidR="00F503E4" w:rsidRPr="00F3115D" w:rsidRDefault="00F503E4" w:rsidP="00A31306">
            <w:pPr>
              <w:spacing w:before="60" w:after="60"/>
              <w:jc w:val="center"/>
              <w:rPr>
                <w:sz w:val="17"/>
                <w:szCs w:val="17"/>
                <w:lang w:eastAsia="en-AU"/>
              </w:rPr>
            </w:pPr>
            <w:r w:rsidRPr="00F3115D">
              <w:rPr>
                <w:sz w:val="17"/>
                <w:szCs w:val="17"/>
                <w:lang w:eastAsia="en-AU"/>
              </w:rPr>
              <w:t>1</w:t>
            </w:r>
          </w:p>
        </w:tc>
        <w:tc>
          <w:tcPr>
            <w:tcW w:w="3814"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3B8BEA39" w14:textId="06FC40C7" w:rsidR="00F503E4" w:rsidRPr="00F3115D" w:rsidRDefault="00F503E4" w:rsidP="00A31306">
            <w:pPr>
              <w:spacing w:before="60" w:after="60"/>
              <w:rPr>
                <w:rFonts w:cs="Times New Roman"/>
                <w:sz w:val="17"/>
                <w:szCs w:val="24"/>
                <w:lang w:eastAsia="en-AU"/>
              </w:rPr>
            </w:pPr>
            <w:r w:rsidRPr="00F3115D">
              <w:rPr>
                <w:rFonts w:asciiTheme="majorHAnsi" w:eastAsiaTheme="minorEastAsia" w:hAnsiTheme="majorHAnsi" w:cstheme="majorHAnsi"/>
                <w:sz w:val="17"/>
                <w:szCs w:val="17"/>
              </w:rPr>
              <w:t>Confirm the future vision for the collections in line with broader digital health data reform and develop a transition strategy in partnership with PHC services</w:t>
            </w:r>
            <w:r w:rsidR="00714492" w:rsidRPr="00F3115D">
              <w:rPr>
                <w:rFonts w:asciiTheme="majorHAnsi" w:eastAsiaTheme="minorEastAsia" w:hAnsiTheme="majorHAnsi" w:cstheme="majorHAnsi"/>
                <w:sz w:val="17"/>
                <w:szCs w:val="17"/>
              </w:rPr>
              <w:t xml:space="preserve">, NACCHO and state-based affiliates. </w:t>
            </w:r>
          </w:p>
        </w:tc>
        <w:tc>
          <w:tcPr>
            <w:tcW w:w="504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1A56DBE" w14:textId="501E39FC" w:rsidR="00F503E4" w:rsidRPr="00F3115D" w:rsidRDefault="00F503E4" w:rsidP="00A31306">
            <w:pPr>
              <w:spacing w:before="60" w:after="60"/>
              <w:rPr>
                <w:sz w:val="17"/>
                <w:szCs w:val="17"/>
                <w:lang w:eastAsia="en-AU"/>
              </w:rPr>
            </w:pPr>
            <w:r w:rsidRPr="00F3115D">
              <w:rPr>
                <w:sz w:val="17"/>
                <w:szCs w:val="17"/>
              </w:rPr>
              <w:t>Provides clarity on the position of the collections within broader digital health data reform – ensuring that all stakeholders are aligned on this vision – and strengthens readiness for future reform by embedding detail on sequencing, dependencies and decision</w:t>
            </w:r>
            <w:r w:rsidRPr="00F3115D">
              <w:rPr>
                <w:sz w:val="17"/>
                <w:szCs w:val="17"/>
              </w:rPr>
              <w:noBreakHyphen/>
              <w:t>points into a transition strategy, enabling proportionate investment and reducing the risk of misaligned or premature change as the broader digital health environment evolves.</w:t>
            </w:r>
          </w:p>
        </w:tc>
      </w:tr>
      <w:tr w:rsidR="00B0079A" w:rsidRPr="00F3115D" w14:paraId="569EE3D7" w14:textId="77777777" w:rsidTr="00397317">
        <w:trPr>
          <w:trHeight w:val="1273"/>
        </w:trPr>
        <w:tc>
          <w:tcPr>
            <w:tcW w:w="542" w:type="dxa"/>
            <w:vMerge/>
            <w:shd w:val="clear" w:color="auto" w:fill="F2F2F2" w:themeFill="background1" w:themeFillShade="F2"/>
            <w:textDirection w:val="btLr"/>
          </w:tcPr>
          <w:p w14:paraId="559CF5DC" w14:textId="77777777" w:rsidR="00F503E4" w:rsidRPr="00F3115D" w:rsidRDefault="00F503E4" w:rsidP="00417145">
            <w:pPr>
              <w:spacing w:before="60" w:after="60"/>
              <w:ind w:left="113" w:right="113"/>
              <w:jc w:val="center"/>
              <w:rPr>
                <w:rFonts w:asciiTheme="majorHAnsi" w:hAnsiTheme="majorHAnsi" w:cstheme="majorHAnsi"/>
                <w:sz w:val="18"/>
                <w:szCs w:val="18"/>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0190E127" w14:textId="4BBEFCE3" w:rsidR="00F503E4" w:rsidRPr="00F3115D" w:rsidRDefault="00F503E4" w:rsidP="00417145">
            <w:pPr>
              <w:spacing w:before="60" w:after="60"/>
              <w:jc w:val="center"/>
              <w:rPr>
                <w:sz w:val="17"/>
                <w:szCs w:val="17"/>
                <w:lang w:eastAsia="en-AU"/>
              </w:rPr>
            </w:pPr>
            <w:r w:rsidRPr="00F3115D">
              <w:rPr>
                <w:sz w:val="17"/>
                <w:szCs w:val="17"/>
                <w:lang w:eastAsia="en-AU"/>
              </w:rPr>
              <w:t>1.1</w:t>
            </w:r>
          </w:p>
        </w:tc>
        <w:tc>
          <w:tcPr>
            <w:tcW w:w="3814"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2E1A3BAF" w14:textId="78F86D73" w:rsidR="00F503E4" w:rsidRPr="00F3115D" w:rsidRDefault="00F503E4" w:rsidP="00417145">
            <w:pPr>
              <w:spacing w:before="60" w:after="60"/>
              <w:rPr>
                <w:rFonts w:asciiTheme="majorHAnsi" w:eastAsiaTheme="minorEastAsia" w:hAnsiTheme="majorHAnsi" w:cstheme="majorHAnsi"/>
                <w:sz w:val="17"/>
                <w:szCs w:val="17"/>
              </w:rPr>
            </w:pPr>
            <w:r w:rsidRPr="00F3115D">
              <w:rPr>
                <w:rFonts w:asciiTheme="majorHAnsi" w:eastAsiaTheme="minorEastAsia" w:hAnsiTheme="majorHAnsi" w:cstheme="majorHAnsi"/>
                <w:sz w:val="17"/>
                <w:szCs w:val="17"/>
              </w:rPr>
              <w:t>Prepare for effective use of FHIR and structured clinical terminology that will underpin the future reporting environment, ensuring infrastructure and processes are ready to transition.</w:t>
            </w:r>
          </w:p>
        </w:tc>
        <w:tc>
          <w:tcPr>
            <w:tcW w:w="504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3F7069FD" w14:textId="6D8BBE93" w:rsidR="00F503E4" w:rsidRPr="00F3115D" w:rsidRDefault="00F503E4" w:rsidP="00417145">
            <w:pPr>
              <w:spacing w:before="60" w:after="60"/>
              <w:rPr>
                <w:sz w:val="17"/>
                <w:szCs w:val="17"/>
              </w:rPr>
            </w:pPr>
            <w:r w:rsidRPr="00F3115D">
              <w:rPr>
                <w:sz w:val="17"/>
                <w:szCs w:val="17"/>
                <w:lang w:eastAsia="en-AU"/>
              </w:rPr>
              <w:t>Improves interoperability, data quality and future readiness by aligning collections with national and international data standards, reducing fragmentation across systems and supporting more efficient data reuse as the digital health environment evolves.</w:t>
            </w:r>
          </w:p>
        </w:tc>
      </w:tr>
      <w:tr w:rsidR="00B0079A" w:rsidRPr="00F3115D" w14:paraId="2B3CB677" w14:textId="77777777" w:rsidTr="00397317">
        <w:trPr>
          <w:trHeight w:val="1148"/>
        </w:trPr>
        <w:tc>
          <w:tcPr>
            <w:tcW w:w="542" w:type="dxa"/>
            <w:vMerge/>
            <w:shd w:val="clear" w:color="auto" w:fill="F2F2F2" w:themeFill="background1" w:themeFillShade="F2"/>
            <w:textDirection w:val="btLr"/>
          </w:tcPr>
          <w:p w14:paraId="2A6BE4B3" w14:textId="77777777" w:rsidR="00F503E4" w:rsidRPr="00F3115D" w:rsidRDefault="00F503E4" w:rsidP="00417145">
            <w:pPr>
              <w:spacing w:before="60" w:after="60"/>
              <w:ind w:left="113" w:right="113"/>
              <w:jc w:val="center"/>
              <w:rPr>
                <w:rFonts w:asciiTheme="majorHAnsi" w:hAnsiTheme="majorHAnsi" w:cstheme="majorHAnsi"/>
                <w:sz w:val="18"/>
                <w:szCs w:val="18"/>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0831776E" w14:textId="251AF987" w:rsidR="00F503E4" w:rsidRPr="00F3115D" w:rsidRDefault="00F503E4" w:rsidP="00417145">
            <w:pPr>
              <w:spacing w:before="60" w:after="60"/>
              <w:jc w:val="center"/>
              <w:rPr>
                <w:sz w:val="17"/>
                <w:szCs w:val="17"/>
                <w:lang w:eastAsia="en-AU"/>
              </w:rPr>
            </w:pPr>
            <w:r w:rsidRPr="00F3115D">
              <w:rPr>
                <w:sz w:val="17"/>
                <w:szCs w:val="17"/>
                <w:lang w:eastAsia="en-AU"/>
              </w:rPr>
              <w:t>1.2</w:t>
            </w:r>
          </w:p>
        </w:tc>
        <w:tc>
          <w:tcPr>
            <w:tcW w:w="3814"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CBF669D" w14:textId="040152D6" w:rsidR="00F503E4" w:rsidRPr="00F3115D" w:rsidRDefault="00F503E4" w:rsidP="00417145">
            <w:pPr>
              <w:spacing w:before="60" w:after="60"/>
              <w:rPr>
                <w:rFonts w:asciiTheme="majorHAnsi" w:eastAsiaTheme="minorEastAsia" w:hAnsiTheme="majorHAnsi" w:cstheme="majorHAnsi"/>
                <w:sz w:val="17"/>
                <w:szCs w:val="17"/>
              </w:rPr>
            </w:pPr>
            <w:r w:rsidRPr="00F3115D">
              <w:rPr>
                <w:rFonts w:asciiTheme="majorHAnsi" w:eastAsiaTheme="minorEastAsia" w:hAnsiTheme="majorHAnsi" w:cstheme="majorHAnsi"/>
                <w:sz w:val="17"/>
                <w:szCs w:val="17"/>
              </w:rPr>
              <w:t xml:space="preserve">Commit to transitioning </w:t>
            </w:r>
            <w:r w:rsidR="00E651E9" w:rsidRPr="00F3115D">
              <w:rPr>
                <w:rFonts w:asciiTheme="majorHAnsi" w:eastAsiaTheme="minorEastAsia" w:hAnsiTheme="majorHAnsi" w:cstheme="majorHAnsi"/>
                <w:sz w:val="17"/>
                <w:szCs w:val="17"/>
              </w:rPr>
              <w:t xml:space="preserve">toward </w:t>
            </w:r>
            <w:r w:rsidR="00E651E9" w:rsidRPr="00F3115D">
              <w:rPr>
                <w:rFonts w:asciiTheme="majorHAnsi" w:hAnsiTheme="majorHAnsi" w:cstheme="majorHAnsi"/>
                <w:sz w:val="17"/>
                <w:szCs w:val="17"/>
              </w:rPr>
              <w:t>shared</w:t>
            </w:r>
            <w:r w:rsidR="00A575DB" w:rsidRPr="00F3115D">
              <w:rPr>
                <w:rFonts w:asciiTheme="majorHAnsi" w:eastAsiaTheme="minorEastAsia" w:hAnsiTheme="majorHAnsi" w:cstheme="majorHAnsi"/>
                <w:sz w:val="17"/>
                <w:szCs w:val="17"/>
              </w:rPr>
              <w:t xml:space="preserve"> data infrastructure that allows genuine sector control, underpinned by strong First Nations-led governance</w:t>
            </w:r>
          </w:p>
        </w:tc>
        <w:tc>
          <w:tcPr>
            <w:tcW w:w="504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5D082F5" w14:textId="75CFB948" w:rsidR="00F503E4" w:rsidRPr="00F3115D" w:rsidRDefault="00F503E4" w:rsidP="00417145">
            <w:pPr>
              <w:spacing w:before="60" w:after="60"/>
              <w:rPr>
                <w:sz w:val="17"/>
                <w:szCs w:val="17"/>
              </w:rPr>
            </w:pPr>
            <w:r w:rsidRPr="00F3115D">
              <w:rPr>
                <w:sz w:val="17"/>
                <w:szCs w:val="17"/>
              </w:rPr>
              <w:t>Strengthens trust, self</w:t>
            </w:r>
            <w:r w:rsidRPr="00F3115D">
              <w:rPr>
                <w:sz w:val="17"/>
                <w:szCs w:val="17"/>
              </w:rPr>
              <w:noBreakHyphen/>
              <w:t>determination and long</w:t>
            </w:r>
            <w:r w:rsidRPr="00F3115D">
              <w:rPr>
                <w:sz w:val="17"/>
                <w:szCs w:val="17"/>
              </w:rPr>
              <w:noBreakHyphen/>
              <w:t xml:space="preserve">term sustainability by signalling a clear commitment to </w:t>
            </w:r>
            <w:r w:rsidR="00676F10" w:rsidRPr="00F3115D">
              <w:rPr>
                <w:sz w:val="17"/>
                <w:szCs w:val="17"/>
              </w:rPr>
              <w:t>First Nations</w:t>
            </w:r>
            <w:r w:rsidRPr="00F3115D">
              <w:rPr>
                <w:sz w:val="17"/>
                <w:szCs w:val="17"/>
              </w:rPr>
              <w:t xml:space="preserve"> control over data infrastructure, supporting alignment with </w:t>
            </w:r>
            <w:r w:rsidR="00397317">
              <w:rPr>
                <w:sz w:val="17"/>
                <w:szCs w:val="17"/>
              </w:rPr>
              <w:t>IDS&amp;G</w:t>
            </w:r>
            <w:r w:rsidRPr="00F3115D">
              <w:rPr>
                <w:sz w:val="17"/>
                <w:szCs w:val="17"/>
              </w:rPr>
              <w:t xml:space="preserve"> principles and providing a foundation for future reform.</w:t>
            </w:r>
          </w:p>
        </w:tc>
      </w:tr>
      <w:tr w:rsidR="00B0079A" w:rsidRPr="00F3115D" w14:paraId="419D3634" w14:textId="77777777" w:rsidTr="00397317">
        <w:trPr>
          <w:trHeight w:val="1710"/>
        </w:trPr>
        <w:tc>
          <w:tcPr>
            <w:tcW w:w="542" w:type="dxa"/>
            <w:vMerge/>
            <w:tcBorders>
              <w:bottom w:val="single" w:sz="8" w:space="0" w:color="E6E6E1" w:themeColor="accent5"/>
            </w:tcBorders>
            <w:shd w:val="clear" w:color="auto" w:fill="F2F2F2" w:themeFill="background1" w:themeFillShade="F2"/>
            <w:textDirection w:val="btLr"/>
          </w:tcPr>
          <w:p w14:paraId="53C3487F" w14:textId="77777777" w:rsidR="00F503E4" w:rsidRPr="00F3115D" w:rsidRDefault="00F503E4" w:rsidP="00417145">
            <w:pPr>
              <w:spacing w:before="60" w:after="60"/>
              <w:ind w:left="113" w:right="113"/>
              <w:jc w:val="center"/>
              <w:rPr>
                <w:rFonts w:asciiTheme="majorHAnsi" w:hAnsiTheme="majorHAnsi" w:cstheme="majorHAnsi"/>
                <w:sz w:val="18"/>
                <w:szCs w:val="18"/>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05C10D34" w14:textId="27790B2E" w:rsidR="00F503E4" w:rsidRPr="00F3115D" w:rsidRDefault="00F503E4" w:rsidP="00417145">
            <w:pPr>
              <w:spacing w:before="60" w:after="60"/>
              <w:jc w:val="center"/>
              <w:rPr>
                <w:sz w:val="17"/>
                <w:szCs w:val="17"/>
                <w:lang w:eastAsia="en-AU"/>
              </w:rPr>
            </w:pPr>
            <w:r w:rsidRPr="00F3115D">
              <w:rPr>
                <w:sz w:val="17"/>
                <w:szCs w:val="17"/>
                <w:lang w:eastAsia="en-AU"/>
              </w:rPr>
              <w:t>1.3</w:t>
            </w:r>
          </w:p>
        </w:tc>
        <w:tc>
          <w:tcPr>
            <w:tcW w:w="3814"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5A2427EE" w14:textId="69AEA08D" w:rsidR="00F503E4" w:rsidRPr="00F3115D" w:rsidRDefault="00F503E4" w:rsidP="00417145">
            <w:pPr>
              <w:spacing w:before="60" w:after="60"/>
              <w:rPr>
                <w:rFonts w:asciiTheme="majorHAnsi" w:eastAsiaTheme="minorEastAsia" w:hAnsiTheme="majorHAnsi" w:cstheme="majorHAnsi"/>
                <w:sz w:val="17"/>
                <w:szCs w:val="17"/>
              </w:rPr>
            </w:pPr>
            <w:r w:rsidRPr="00F3115D">
              <w:rPr>
                <w:rFonts w:asciiTheme="majorHAnsi" w:eastAsiaTheme="minorEastAsia" w:hAnsiTheme="majorHAnsi" w:cstheme="majorHAnsi"/>
                <w:sz w:val="17"/>
                <w:szCs w:val="17"/>
              </w:rPr>
              <w:t>Identify and establish the infrastructure required to support the future state data environment, including a sector-controlled platform capable of storing de-identified record-level data, linking across the broader health system, supporting automated low-burden reporting to funders, and returning rich, contextually relevant insights to services.</w:t>
            </w:r>
          </w:p>
        </w:tc>
        <w:tc>
          <w:tcPr>
            <w:tcW w:w="504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381CBD76" w14:textId="4AB965E5" w:rsidR="00F503E4" w:rsidRPr="00F3115D" w:rsidRDefault="00F503E4" w:rsidP="00417145">
            <w:pPr>
              <w:spacing w:before="60" w:after="60"/>
              <w:rPr>
                <w:sz w:val="17"/>
                <w:szCs w:val="17"/>
              </w:rPr>
            </w:pPr>
            <w:r w:rsidRPr="00F3115D">
              <w:rPr>
                <w:sz w:val="17"/>
                <w:szCs w:val="17"/>
              </w:rPr>
              <w:t>Builds readiness for a future digital health data environment by defining the infrastructure needed to support secure data linkage, low</w:t>
            </w:r>
            <w:r w:rsidRPr="00F3115D">
              <w:rPr>
                <w:sz w:val="17"/>
                <w:szCs w:val="17"/>
              </w:rPr>
              <w:noBreakHyphen/>
              <w:t>burden reporting and meaningful return of value to services, while ensuring future systems are Indigenous</w:t>
            </w:r>
            <w:r w:rsidRPr="00F3115D">
              <w:rPr>
                <w:sz w:val="17"/>
                <w:szCs w:val="17"/>
              </w:rPr>
              <w:noBreakHyphen/>
              <w:t>governed, scalable and aligned with broader health system reform.</w:t>
            </w:r>
          </w:p>
        </w:tc>
      </w:tr>
    </w:tbl>
    <w:p w14:paraId="7A2EC21E" w14:textId="77777777" w:rsidR="00FA4764" w:rsidRPr="00F3115D" w:rsidRDefault="00FA4764" w:rsidP="00FA4764"/>
    <w:p w14:paraId="19DF2BED" w14:textId="4D084E3B" w:rsidR="008D1236" w:rsidRDefault="00027061" w:rsidP="00C3501E">
      <w:pPr>
        <w:pStyle w:val="Caption"/>
        <w:spacing w:before="240"/>
      </w:pPr>
      <w:r w:rsidRPr="00F3115D">
        <w:t xml:space="preserve">Table </w:t>
      </w:r>
      <w:r w:rsidRPr="00F3115D">
        <w:fldChar w:fldCharType="begin"/>
      </w:r>
      <w:r w:rsidRPr="00F3115D">
        <w:instrText xml:space="preserve"> SEQ Table \* ARABIC </w:instrText>
      </w:r>
      <w:r w:rsidRPr="00F3115D">
        <w:fldChar w:fldCharType="separate"/>
      </w:r>
      <w:r w:rsidR="006D3EE9">
        <w:rPr>
          <w:noProof/>
        </w:rPr>
        <w:t>2</w:t>
      </w:r>
      <w:r w:rsidRPr="00F3115D">
        <w:fldChar w:fldCharType="end"/>
      </w:r>
      <w:r w:rsidRPr="00F3115D">
        <w:t xml:space="preserve"> | Recommendations </w:t>
      </w:r>
      <w:r w:rsidR="006978DC" w:rsidRPr="006978DC">
        <w:t>–</w:t>
      </w:r>
      <w:r w:rsidR="006978DC">
        <w:t xml:space="preserve"> </w:t>
      </w:r>
      <w:proofErr w:type="spellStart"/>
      <w:r w:rsidR="00C21B26" w:rsidRPr="00F3115D">
        <w:t>nKPIs</w:t>
      </w:r>
      <w:proofErr w:type="spellEnd"/>
    </w:p>
    <w:tbl>
      <w:tblPr>
        <w:tblStyle w:val="NOUS"/>
        <w:tblpPr w:leftFromText="180" w:rightFromText="180" w:vertAnchor="text" w:tblpY="83"/>
        <w:tblW w:w="0" w:type="auto"/>
        <w:tblLook w:val="04A0" w:firstRow="1" w:lastRow="0" w:firstColumn="1" w:lastColumn="0" w:noHBand="0" w:noVBand="1"/>
      </w:tblPr>
      <w:tblGrid>
        <w:gridCol w:w="510"/>
        <w:gridCol w:w="9355"/>
      </w:tblGrid>
      <w:tr w:rsidR="00C230DC" w:rsidRPr="00F3115D" w14:paraId="62EBA47C" w14:textId="77777777" w:rsidTr="00A54084">
        <w:trPr>
          <w:cnfStyle w:val="100000000000" w:firstRow="1" w:lastRow="0" w:firstColumn="0" w:lastColumn="0" w:oddVBand="0" w:evenVBand="0" w:oddHBand="0" w:evenHBand="0" w:firstRowFirstColumn="0" w:firstRowLastColumn="0" w:lastRowFirstColumn="0" w:lastRowLastColumn="0"/>
        </w:trPr>
        <w:tc>
          <w:tcPr>
            <w:tcW w:w="510" w:type="dxa"/>
            <w:tcBorders>
              <w:top w:val="nil"/>
              <w:right w:val="nil"/>
            </w:tcBorders>
            <w:shd w:val="clear" w:color="auto" w:fill="auto"/>
          </w:tcPr>
          <w:p w14:paraId="7B780600" w14:textId="77777777" w:rsidR="00C230DC" w:rsidRPr="00F3115D" w:rsidRDefault="00C230DC" w:rsidP="00A54084">
            <w:pPr>
              <w:spacing w:before="60" w:after="60"/>
              <w:rPr>
                <w:rFonts w:asciiTheme="majorHAnsi" w:hAnsiTheme="majorHAnsi" w:cstheme="majorHAnsi"/>
                <w:color w:val="FFFFFF" w:themeColor="background1"/>
                <w:sz w:val="20"/>
                <w:szCs w:val="20"/>
                <w:lang w:eastAsia="en-AU"/>
              </w:rPr>
            </w:pPr>
          </w:p>
        </w:tc>
        <w:tc>
          <w:tcPr>
            <w:tcW w:w="9355" w:type="dxa"/>
            <w:tcBorders>
              <w:left w:val="nil"/>
            </w:tcBorders>
            <w:shd w:val="clear" w:color="auto" w:fill="00264D" w:themeFill="background2"/>
          </w:tcPr>
          <w:p w14:paraId="468B23DD" w14:textId="77777777" w:rsidR="00C230DC" w:rsidRPr="00F3115D" w:rsidRDefault="00C230DC" w:rsidP="00A54084">
            <w:pPr>
              <w:spacing w:before="60" w:after="60"/>
              <w:rPr>
                <w:rFonts w:asciiTheme="majorHAnsi" w:hAnsiTheme="majorHAnsi" w:cstheme="majorHAnsi"/>
                <w:color w:val="FFFFFF" w:themeColor="background1"/>
                <w:sz w:val="20"/>
                <w:szCs w:val="20"/>
                <w:lang w:eastAsia="en-AU"/>
              </w:rPr>
            </w:pPr>
            <w:r w:rsidRPr="00F3115D">
              <w:rPr>
                <w:rFonts w:asciiTheme="majorHAnsi" w:hAnsiTheme="majorHAnsi" w:cstheme="majorHAnsi"/>
                <w:color w:val="FFFFFF" w:themeColor="background1"/>
                <w:sz w:val="20"/>
                <w:szCs w:val="20"/>
                <w:lang w:eastAsia="en-AU"/>
              </w:rPr>
              <w:t>National Key Performance Indicators (</w:t>
            </w:r>
            <w:proofErr w:type="spellStart"/>
            <w:r w:rsidRPr="00F3115D">
              <w:rPr>
                <w:rFonts w:asciiTheme="majorHAnsi" w:hAnsiTheme="majorHAnsi" w:cstheme="majorHAnsi"/>
                <w:color w:val="FFFFFF" w:themeColor="background1"/>
                <w:sz w:val="20"/>
                <w:szCs w:val="20"/>
                <w:lang w:eastAsia="en-AU"/>
              </w:rPr>
              <w:t>nKPIs</w:t>
            </w:r>
            <w:proofErr w:type="spellEnd"/>
            <w:r w:rsidRPr="00F3115D">
              <w:rPr>
                <w:rFonts w:asciiTheme="majorHAnsi" w:hAnsiTheme="majorHAnsi" w:cstheme="majorHAnsi"/>
                <w:color w:val="FFFFFF" w:themeColor="background1"/>
                <w:sz w:val="20"/>
                <w:szCs w:val="20"/>
                <w:lang w:eastAsia="en-AU"/>
              </w:rPr>
              <w:t>)</w:t>
            </w:r>
          </w:p>
        </w:tc>
      </w:tr>
    </w:tbl>
    <w:p w14:paraId="033A7ABB" w14:textId="77777777" w:rsidR="00C230DC" w:rsidRPr="005D6887" w:rsidRDefault="00C230DC" w:rsidP="00C230DC">
      <w:pPr>
        <w:rPr>
          <w:sz w:val="8"/>
          <w:szCs w:val="10"/>
        </w:rPr>
      </w:pPr>
    </w:p>
    <w:tbl>
      <w:tblPr>
        <w:tblStyle w:val="NOUS"/>
        <w:tblpPr w:leftFromText="180" w:rightFromText="180" w:vertAnchor="text" w:tblpY="83"/>
        <w:tblW w:w="0" w:type="auto"/>
        <w:tblLook w:val="04A0" w:firstRow="1" w:lastRow="0" w:firstColumn="1" w:lastColumn="0" w:noHBand="0" w:noVBand="1"/>
      </w:tblPr>
      <w:tblGrid>
        <w:gridCol w:w="547"/>
        <w:gridCol w:w="456"/>
        <w:gridCol w:w="3250"/>
        <w:gridCol w:w="5612"/>
      </w:tblGrid>
      <w:tr w:rsidR="00674703" w:rsidRPr="00F3115D" w14:paraId="4D74697A" w14:textId="77777777" w:rsidTr="00FA4764">
        <w:trPr>
          <w:cnfStyle w:val="100000000000" w:firstRow="1" w:lastRow="0" w:firstColumn="0" w:lastColumn="0" w:oddVBand="0" w:evenVBand="0" w:oddHBand="0" w:evenHBand="0" w:firstRowFirstColumn="0" w:firstRowLastColumn="0" w:lastRowFirstColumn="0" w:lastRowLastColumn="0"/>
        </w:trPr>
        <w:tc>
          <w:tcPr>
            <w:tcW w:w="547" w:type="dxa"/>
            <w:tcBorders>
              <w:top w:val="nil"/>
              <w:bottom w:val="single" w:sz="8" w:space="0" w:color="E6E6E1" w:themeColor="accent5"/>
            </w:tcBorders>
            <w:textDirection w:val="btLr"/>
          </w:tcPr>
          <w:p w14:paraId="595C0C8E" w14:textId="0C70A17A" w:rsidR="00D55D26" w:rsidRPr="00F3115D" w:rsidRDefault="00D55D26" w:rsidP="00A31306">
            <w:pPr>
              <w:spacing w:before="60" w:after="60"/>
              <w:ind w:left="113" w:right="113"/>
              <w:jc w:val="center"/>
              <w:rPr>
                <w:rFonts w:asciiTheme="majorHAnsi" w:hAnsiTheme="majorHAnsi" w:cstheme="majorHAnsi"/>
                <w:sz w:val="17"/>
                <w:szCs w:val="17"/>
                <w:lang w:eastAsia="en-AU"/>
              </w:rPr>
            </w:pPr>
          </w:p>
        </w:tc>
        <w:tc>
          <w:tcPr>
            <w:tcW w:w="456" w:type="dxa"/>
            <w:tcBorders>
              <w:top w:val="single" w:sz="8" w:space="0" w:color="E6E6E1" w:themeColor="accent5"/>
              <w:left w:val="single" w:sz="4" w:space="0" w:color="E6E6E1" w:themeColor="accent5"/>
              <w:bottom w:val="single" w:sz="4" w:space="0" w:color="FFFFFF" w:themeColor="background1"/>
              <w:right w:val="single" w:sz="4" w:space="0" w:color="FFFFFF" w:themeColor="background1"/>
            </w:tcBorders>
            <w:vAlign w:val="center"/>
          </w:tcPr>
          <w:p w14:paraId="2A14FFFC" w14:textId="77777777" w:rsidR="00F62C5E" w:rsidRPr="00F3115D" w:rsidRDefault="00F62C5E" w:rsidP="00A31306">
            <w:pPr>
              <w:spacing w:before="60" w:after="60"/>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w:t>
            </w:r>
          </w:p>
        </w:tc>
        <w:tc>
          <w:tcPr>
            <w:tcW w:w="3250" w:type="dxa"/>
            <w:tcBorders>
              <w:top w:val="single" w:sz="8" w:space="0" w:color="E6E6E1" w:themeColor="accent5"/>
              <w:left w:val="single" w:sz="4" w:space="0" w:color="FFFFFF" w:themeColor="background1"/>
              <w:bottom w:val="single" w:sz="4" w:space="0" w:color="FFFFFF" w:themeColor="background1"/>
              <w:right w:val="single" w:sz="4" w:space="0" w:color="FFFFFF" w:themeColor="background1"/>
            </w:tcBorders>
          </w:tcPr>
          <w:p w14:paraId="02AD3AFF" w14:textId="504FB59B" w:rsidR="00F62C5E" w:rsidRPr="00F3115D" w:rsidRDefault="00F62C5E" w:rsidP="00A31306">
            <w:pPr>
              <w:spacing w:before="60" w:after="60"/>
              <w:rPr>
                <w:rFonts w:asciiTheme="majorHAnsi" w:hAnsiTheme="majorHAnsi" w:cstheme="majorHAnsi"/>
                <w:sz w:val="18"/>
                <w:szCs w:val="18"/>
                <w:lang w:eastAsia="en-AU"/>
              </w:rPr>
            </w:pPr>
            <w:r w:rsidRPr="00F3115D">
              <w:rPr>
                <w:rFonts w:asciiTheme="majorHAnsi" w:hAnsiTheme="majorHAnsi" w:cstheme="majorHAnsi"/>
                <w:sz w:val="18"/>
                <w:szCs w:val="18"/>
                <w:lang w:eastAsia="en-AU"/>
              </w:rPr>
              <w:t>Recommendation</w:t>
            </w:r>
          </w:p>
        </w:tc>
        <w:tc>
          <w:tcPr>
            <w:tcW w:w="5612" w:type="dxa"/>
            <w:tcBorders>
              <w:top w:val="single" w:sz="8" w:space="0" w:color="E6E6E1" w:themeColor="accent5"/>
              <w:left w:val="single" w:sz="4" w:space="0" w:color="FFFFFF" w:themeColor="background1"/>
              <w:bottom w:val="single" w:sz="4" w:space="0" w:color="FFFFFF" w:themeColor="background1"/>
            </w:tcBorders>
          </w:tcPr>
          <w:p w14:paraId="4ABCF0F3" w14:textId="750F5C50" w:rsidR="00F62C5E" w:rsidRPr="00F3115D" w:rsidRDefault="00F62C5E" w:rsidP="00A31306">
            <w:pPr>
              <w:spacing w:before="60" w:after="60"/>
              <w:rPr>
                <w:rFonts w:asciiTheme="majorHAnsi" w:hAnsiTheme="majorHAnsi" w:cstheme="majorHAnsi"/>
                <w:sz w:val="18"/>
                <w:szCs w:val="18"/>
                <w:lang w:eastAsia="en-AU"/>
              </w:rPr>
            </w:pPr>
            <w:r w:rsidRPr="00F3115D">
              <w:rPr>
                <w:rFonts w:asciiTheme="majorHAnsi" w:hAnsiTheme="majorHAnsi" w:cstheme="majorHAnsi"/>
                <w:sz w:val="18"/>
                <w:szCs w:val="18"/>
                <w:lang w:eastAsia="en-AU"/>
              </w:rPr>
              <w:t>Benefit</w:t>
            </w:r>
          </w:p>
        </w:tc>
      </w:tr>
      <w:tr w:rsidR="00850FA3" w:rsidRPr="00F3115D" w14:paraId="23406586" w14:textId="77777777" w:rsidTr="00FA4764">
        <w:tc>
          <w:tcPr>
            <w:tcW w:w="547" w:type="dxa"/>
            <w:vMerge w:val="restart"/>
            <w:tcBorders>
              <w:top w:val="single" w:sz="8" w:space="0" w:color="E6E6E1" w:themeColor="accent5"/>
            </w:tcBorders>
            <w:shd w:val="clear" w:color="auto" w:fill="F2F2F2" w:themeFill="background1" w:themeFillShade="F2"/>
            <w:textDirection w:val="btLr"/>
          </w:tcPr>
          <w:p w14:paraId="727C6EA8" w14:textId="1A8EC128" w:rsidR="00D55D26" w:rsidRPr="00F3115D" w:rsidRDefault="00582558" w:rsidP="00A31306">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Short-</w:t>
            </w:r>
            <w:r w:rsidR="00F6381D" w:rsidRPr="00F3115D">
              <w:rPr>
                <w:rFonts w:asciiTheme="majorHAnsi" w:hAnsiTheme="majorHAnsi" w:cstheme="majorHAnsi"/>
                <w:sz w:val="18"/>
                <w:szCs w:val="18"/>
                <w:lang w:eastAsia="en-AU"/>
              </w:rPr>
              <w:t xml:space="preserve">medium </w:t>
            </w:r>
            <w:r w:rsidRPr="00F3115D">
              <w:rPr>
                <w:rFonts w:asciiTheme="majorHAnsi" w:hAnsiTheme="majorHAnsi" w:cstheme="majorHAnsi"/>
                <w:sz w:val="18"/>
                <w:szCs w:val="18"/>
                <w:lang w:eastAsia="en-AU"/>
              </w:rPr>
              <w:t>term</w:t>
            </w:r>
            <w:r w:rsidR="0047411C" w:rsidRPr="00F3115D">
              <w:rPr>
                <w:rFonts w:asciiTheme="majorHAnsi" w:hAnsiTheme="majorHAnsi" w:cstheme="majorHAnsi"/>
                <w:sz w:val="18"/>
                <w:szCs w:val="18"/>
                <w:lang w:eastAsia="en-AU"/>
              </w:rPr>
              <w:t xml:space="preserve"> improvements</w:t>
            </w:r>
          </w:p>
        </w:tc>
        <w:tc>
          <w:tcPr>
            <w:tcW w:w="456" w:type="dxa"/>
            <w:tcBorders>
              <w:top w:val="single" w:sz="8" w:space="0" w:color="E6E6E1" w:themeColor="accent5"/>
              <w:left w:val="single" w:sz="4" w:space="0" w:color="E6E6E1" w:themeColor="accent5"/>
              <w:right w:val="single" w:sz="4" w:space="0" w:color="E6E6E1" w:themeColor="accent5"/>
            </w:tcBorders>
            <w:vAlign w:val="center"/>
          </w:tcPr>
          <w:p w14:paraId="5B016FD3" w14:textId="1F1CCFE9" w:rsidR="00F62C5E" w:rsidRPr="00F3115D" w:rsidRDefault="00487CB3" w:rsidP="00A31306">
            <w:pPr>
              <w:spacing w:before="60" w:after="60"/>
              <w:jc w:val="center"/>
              <w:rPr>
                <w:sz w:val="17"/>
                <w:szCs w:val="17"/>
                <w:lang w:eastAsia="en-AU"/>
              </w:rPr>
            </w:pPr>
            <w:r w:rsidRPr="00F3115D">
              <w:rPr>
                <w:sz w:val="17"/>
                <w:szCs w:val="17"/>
                <w:lang w:eastAsia="en-AU"/>
              </w:rPr>
              <w:t>2</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129AE078" w14:textId="41D6BAA9" w:rsidR="002311CB" w:rsidRPr="00F3115D" w:rsidRDefault="002311CB" w:rsidP="00A31306">
            <w:pPr>
              <w:spacing w:before="60" w:after="60"/>
              <w:rPr>
                <w:rFonts w:asciiTheme="majorHAnsi" w:hAnsiTheme="majorHAnsi" w:cstheme="majorHAnsi"/>
                <w:sz w:val="17"/>
                <w:szCs w:val="17"/>
              </w:rPr>
            </w:pPr>
            <w:r w:rsidRPr="00F3115D">
              <w:rPr>
                <w:rFonts w:asciiTheme="majorHAnsi" w:hAnsiTheme="majorHAnsi" w:cstheme="majorHAnsi"/>
                <w:sz w:val="17"/>
                <w:szCs w:val="17"/>
              </w:rPr>
              <w:t xml:space="preserve">A. </w:t>
            </w:r>
            <w:r w:rsidR="00841B78" w:rsidRPr="00F3115D">
              <w:rPr>
                <w:rFonts w:asciiTheme="majorHAnsi" w:hAnsiTheme="majorHAnsi" w:cstheme="majorHAnsi"/>
                <w:sz w:val="17"/>
                <w:szCs w:val="17"/>
              </w:rPr>
              <w:t>Confirm</w:t>
            </w:r>
            <w:r w:rsidRPr="00F3115D">
              <w:rPr>
                <w:rFonts w:asciiTheme="majorHAnsi" w:hAnsiTheme="majorHAnsi" w:cstheme="majorHAnsi"/>
                <w:sz w:val="17"/>
                <w:szCs w:val="17"/>
              </w:rPr>
              <w:t xml:space="preserve"> and clearly communicate</w:t>
            </w:r>
            <w:r w:rsidR="00841B78" w:rsidRPr="00F3115D">
              <w:rPr>
                <w:rFonts w:asciiTheme="majorHAnsi" w:hAnsiTheme="majorHAnsi" w:cstheme="majorHAnsi"/>
                <w:sz w:val="17"/>
                <w:szCs w:val="17"/>
              </w:rPr>
              <w:t xml:space="preserve"> the intended purpose of the nKPI policy and strategic planning</w:t>
            </w:r>
            <w:r w:rsidRPr="00F3115D">
              <w:rPr>
                <w:rFonts w:asciiTheme="majorHAnsi" w:hAnsiTheme="majorHAnsi" w:cstheme="majorHAnsi"/>
                <w:sz w:val="17"/>
                <w:szCs w:val="17"/>
              </w:rPr>
              <w:t xml:space="preserve">. </w:t>
            </w:r>
          </w:p>
          <w:p w14:paraId="612BE50A" w14:textId="65C3B411" w:rsidR="00F62C5E" w:rsidRPr="00F3115D" w:rsidRDefault="002311CB" w:rsidP="00A31306">
            <w:pPr>
              <w:spacing w:before="60" w:after="60"/>
              <w:rPr>
                <w:rFonts w:asciiTheme="majorHAnsi" w:hAnsiTheme="majorHAnsi" w:cstheme="majorHAnsi"/>
              </w:rPr>
            </w:pPr>
            <w:r w:rsidRPr="00F3115D">
              <w:rPr>
                <w:rFonts w:asciiTheme="majorHAnsi" w:hAnsiTheme="majorHAnsi" w:cstheme="majorHAnsi"/>
                <w:sz w:val="17"/>
                <w:szCs w:val="17"/>
              </w:rPr>
              <w:t xml:space="preserve">B. Strengthen support for PHC services to interpret and use nKPI data for CQI. </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BFEA658" w14:textId="1FF3A5C7" w:rsidR="00F62C5E" w:rsidRPr="00F3115D" w:rsidRDefault="00F62C5E" w:rsidP="00A31306">
            <w:pPr>
              <w:spacing w:before="60" w:after="60"/>
              <w:rPr>
                <w:sz w:val="17"/>
                <w:szCs w:val="17"/>
              </w:rPr>
            </w:pPr>
            <w:r w:rsidRPr="00F3115D">
              <w:rPr>
                <w:sz w:val="17"/>
                <w:szCs w:val="17"/>
              </w:rPr>
              <w:t xml:space="preserve">Clarifying and communicating the purpose of the </w:t>
            </w:r>
            <w:r w:rsidR="00E23A7E" w:rsidRPr="00F3115D">
              <w:rPr>
                <w:sz w:val="17"/>
                <w:szCs w:val="17"/>
              </w:rPr>
              <w:t>nKPI and</w:t>
            </w:r>
            <w:r w:rsidR="00B24A41" w:rsidRPr="00F3115D">
              <w:rPr>
                <w:sz w:val="17"/>
                <w:szCs w:val="17"/>
              </w:rPr>
              <w:t xml:space="preserve"> stre</w:t>
            </w:r>
            <w:r w:rsidR="00D30A08" w:rsidRPr="00F3115D">
              <w:rPr>
                <w:sz w:val="17"/>
                <w:szCs w:val="17"/>
              </w:rPr>
              <w:t>ngthening support for PHC services to inter</w:t>
            </w:r>
            <w:r w:rsidR="0030642D" w:rsidRPr="00F3115D">
              <w:rPr>
                <w:sz w:val="17"/>
                <w:szCs w:val="17"/>
              </w:rPr>
              <w:t xml:space="preserve">pret and apply their data </w:t>
            </w:r>
            <w:r w:rsidRPr="00F3115D">
              <w:rPr>
                <w:sz w:val="17"/>
                <w:szCs w:val="17"/>
              </w:rPr>
              <w:t xml:space="preserve">will primarily benefit PHC services by making clear how their data </w:t>
            </w:r>
            <w:r w:rsidR="0030642D" w:rsidRPr="00F3115D">
              <w:rPr>
                <w:sz w:val="17"/>
                <w:szCs w:val="17"/>
              </w:rPr>
              <w:t xml:space="preserve">may be </w:t>
            </w:r>
            <w:r w:rsidRPr="00F3115D">
              <w:rPr>
                <w:sz w:val="17"/>
                <w:szCs w:val="17"/>
              </w:rPr>
              <w:t>used to enable CQI and inform strategy and policy planning. This will strengthen trust, reduce perceptions of one</w:t>
            </w:r>
            <w:r w:rsidRPr="00F3115D">
              <w:rPr>
                <w:sz w:val="17"/>
                <w:szCs w:val="17"/>
              </w:rPr>
              <w:noBreakHyphen/>
              <w:t>way reporting, and support more disciplined data stewardship.</w:t>
            </w:r>
          </w:p>
        </w:tc>
      </w:tr>
      <w:tr w:rsidR="00850FA3" w:rsidRPr="00F3115D" w14:paraId="58289C5E" w14:textId="77777777" w:rsidTr="00FA4764">
        <w:tc>
          <w:tcPr>
            <w:tcW w:w="547" w:type="dxa"/>
            <w:vMerge/>
            <w:shd w:val="clear" w:color="auto" w:fill="F2F2F2" w:themeFill="background1" w:themeFillShade="F2"/>
          </w:tcPr>
          <w:p w14:paraId="449E601B" w14:textId="77777777" w:rsidR="00D55D26" w:rsidRPr="00F3115D" w:rsidRDefault="00D55D26" w:rsidP="00A31306">
            <w:pPr>
              <w:spacing w:before="60" w:after="60"/>
              <w:rPr>
                <w:sz w:val="18"/>
                <w:szCs w:val="18"/>
                <w:lang w:eastAsia="en-AU"/>
              </w:rPr>
            </w:pPr>
          </w:p>
        </w:tc>
        <w:tc>
          <w:tcPr>
            <w:tcW w:w="456" w:type="dxa"/>
            <w:tcBorders>
              <w:top w:val="single" w:sz="8" w:space="0" w:color="E6E6E1" w:themeColor="accent5"/>
              <w:left w:val="single" w:sz="4" w:space="0" w:color="E6E6E1" w:themeColor="accent5"/>
              <w:right w:val="single" w:sz="4" w:space="0" w:color="E6E6E1" w:themeColor="accent5"/>
            </w:tcBorders>
            <w:vAlign w:val="center"/>
          </w:tcPr>
          <w:p w14:paraId="78837A5A" w14:textId="31575785" w:rsidR="00F62C5E" w:rsidRPr="00F3115D" w:rsidRDefault="00487CB3" w:rsidP="00A31306">
            <w:pPr>
              <w:spacing w:before="60" w:after="60"/>
              <w:jc w:val="center"/>
              <w:rPr>
                <w:sz w:val="17"/>
                <w:szCs w:val="17"/>
                <w:lang w:eastAsia="en-AU"/>
              </w:rPr>
            </w:pPr>
            <w:r w:rsidRPr="00F3115D">
              <w:rPr>
                <w:sz w:val="17"/>
                <w:szCs w:val="17"/>
                <w:lang w:eastAsia="en-AU"/>
              </w:rPr>
              <w:t>4</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6F9C322" w14:textId="2C884B74" w:rsidR="00F62C5E" w:rsidRPr="00F3115D" w:rsidRDefault="00F62C5E" w:rsidP="00A31306">
            <w:pPr>
              <w:spacing w:before="60" w:after="60"/>
              <w:rPr>
                <w:rFonts w:asciiTheme="majorHAnsi" w:hAnsiTheme="majorHAnsi" w:cstheme="majorHAnsi"/>
                <w:sz w:val="17"/>
                <w:szCs w:val="17"/>
                <w:lang w:eastAsia="en-AU"/>
              </w:rPr>
            </w:pPr>
            <w:r w:rsidRPr="00F3115D">
              <w:rPr>
                <w:rFonts w:asciiTheme="majorHAnsi" w:hAnsiTheme="majorHAnsi" w:cstheme="majorHAnsi"/>
                <w:sz w:val="17"/>
                <w:szCs w:val="17"/>
              </w:rPr>
              <w:t>Remove nKPI indicator PI14 (immunized against influenza)</w:t>
            </w:r>
            <w:r w:rsidR="00817833" w:rsidRPr="00F3115D">
              <w:rPr>
                <w:rFonts w:asciiTheme="majorHAnsi" w:hAnsiTheme="majorHAnsi" w:cstheme="majorHAnsi"/>
                <w:sz w:val="17"/>
                <w:szCs w:val="17"/>
              </w:rPr>
              <w:t>.</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16BFD3AF" w14:textId="77777777" w:rsidR="00F62C5E" w:rsidRPr="00F3115D" w:rsidRDefault="00F62C5E" w:rsidP="00A31306">
            <w:pPr>
              <w:spacing w:before="60" w:after="60"/>
              <w:rPr>
                <w:sz w:val="17"/>
                <w:szCs w:val="17"/>
              </w:rPr>
            </w:pPr>
            <w:r w:rsidRPr="00F3115D">
              <w:rPr>
                <w:sz w:val="17"/>
                <w:szCs w:val="17"/>
              </w:rPr>
              <w:t>Reduces reporting burden by removing an indicator with limited CQI value and known data capture limitations, while improving the overall relevance and focus of the nKPI indicator set.</w:t>
            </w:r>
          </w:p>
        </w:tc>
      </w:tr>
      <w:tr w:rsidR="00850FA3" w:rsidRPr="00F3115D" w14:paraId="0CE3CA46" w14:textId="77777777" w:rsidTr="00FA4764">
        <w:tc>
          <w:tcPr>
            <w:tcW w:w="547" w:type="dxa"/>
            <w:vMerge/>
            <w:shd w:val="clear" w:color="auto" w:fill="F2F2F2" w:themeFill="background1" w:themeFillShade="F2"/>
          </w:tcPr>
          <w:p w14:paraId="5F49FFC0" w14:textId="77777777" w:rsidR="00D55D26" w:rsidRPr="00F3115D" w:rsidRDefault="00D55D26" w:rsidP="00A31306">
            <w:pPr>
              <w:spacing w:before="60" w:after="60"/>
              <w:rPr>
                <w:sz w:val="18"/>
                <w:szCs w:val="18"/>
                <w:lang w:eastAsia="en-AU"/>
              </w:rPr>
            </w:pPr>
          </w:p>
        </w:tc>
        <w:tc>
          <w:tcPr>
            <w:tcW w:w="456" w:type="dxa"/>
            <w:tcBorders>
              <w:top w:val="single" w:sz="8" w:space="0" w:color="E6E6E1" w:themeColor="accent5"/>
              <w:left w:val="single" w:sz="4" w:space="0" w:color="E6E6E1" w:themeColor="accent5"/>
              <w:right w:val="single" w:sz="4" w:space="0" w:color="E6E6E1" w:themeColor="accent5"/>
            </w:tcBorders>
            <w:vAlign w:val="center"/>
          </w:tcPr>
          <w:p w14:paraId="29039A0B" w14:textId="739C9CAB" w:rsidR="00F62C5E" w:rsidRPr="00F3115D" w:rsidRDefault="00487CB3" w:rsidP="00A31306">
            <w:pPr>
              <w:spacing w:before="60" w:after="60"/>
              <w:jc w:val="center"/>
              <w:rPr>
                <w:sz w:val="17"/>
                <w:szCs w:val="17"/>
                <w:lang w:eastAsia="en-AU"/>
              </w:rPr>
            </w:pPr>
            <w:r w:rsidRPr="00F3115D">
              <w:rPr>
                <w:sz w:val="17"/>
                <w:szCs w:val="17"/>
                <w:lang w:eastAsia="en-AU"/>
              </w:rPr>
              <w:t>5</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A394DF3" w14:textId="5B7F11F8" w:rsidR="00F62C5E" w:rsidRPr="00F3115D" w:rsidRDefault="00F62C5E" w:rsidP="00A31306">
            <w:pPr>
              <w:spacing w:before="60" w:after="60"/>
              <w:rPr>
                <w:rFonts w:asciiTheme="majorHAnsi" w:hAnsiTheme="majorHAnsi" w:cstheme="majorHAnsi"/>
                <w:sz w:val="17"/>
                <w:szCs w:val="17"/>
                <w:lang w:eastAsia="en-AU"/>
              </w:rPr>
            </w:pPr>
            <w:r w:rsidRPr="00F3115D">
              <w:rPr>
                <w:rFonts w:asciiTheme="majorHAnsi" w:hAnsiTheme="majorHAnsi" w:cstheme="majorHAnsi"/>
                <w:sz w:val="17"/>
                <w:szCs w:val="17"/>
              </w:rPr>
              <w:t xml:space="preserve">Make PI01 (birthweight recorded), PI02 (birthweight result) and PI13 (first antenatal visit) opt-in for PHC services that </w:t>
            </w:r>
            <w:r w:rsidR="00D74341" w:rsidRPr="00F3115D">
              <w:rPr>
                <w:rFonts w:asciiTheme="majorHAnsi" w:hAnsiTheme="majorHAnsi" w:cstheme="majorHAnsi"/>
                <w:sz w:val="17"/>
                <w:szCs w:val="17"/>
              </w:rPr>
              <w:t xml:space="preserve">do not </w:t>
            </w:r>
            <w:r w:rsidRPr="00F3115D">
              <w:rPr>
                <w:rFonts w:asciiTheme="majorHAnsi" w:hAnsiTheme="majorHAnsi" w:cstheme="majorHAnsi"/>
                <w:sz w:val="17"/>
                <w:szCs w:val="17"/>
              </w:rPr>
              <w:t>deliver maternal and child health services.</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53700E5C" w14:textId="77777777" w:rsidR="00F62C5E" w:rsidRPr="00F3115D" w:rsidRDefault="00F62C5E" w:rsidP="00A31306">
            <w:pPr>
              <w:spacing w:before="60" w:after="60"/>
              <w:rPr>
                <w:sz w:val="17"/>
                <w:szCs w:val="17"/>
              </w:rPr>
            </w:pPr>
            <w:r w:rsidRPr="00F3115D">
              <w:rPr>
                <w:sz w:val="17"/>
                <w:szCs w:val="17"/>
              </w:rPr>
              <w:t>Improves proportionality by removing mandatory reporting for services that do not deliver maternal and child health care, while retaining relevant indicators where services are positioned to collect and use them.</w:t>
            </w:r>
          </w:p>
        </w:tc>
      </w:tr>
      <w:tr w:rsidR="00850FA3" w:rsidRPr="00F3115D" w14:paraId="38477C29" w14:textId="77777777" w:rsidTr="00FA4764">
        <w:tc>
          <w:tcPr>
            <w:tcW w:w="547" w:type="dxa"/>
            <w:vMerge/>
            <w:shd w:val="clear" w:color="auto" w:fill="F2F2F2" w:themeFill="background1" w:themeFillShade="F2"/>
          </w:tcPr>
          <w:p w14:paraId="4A2EF606" w14:textId="77777777" w:rsidR="00D55D26" w:rsidRPr="00F3115D" w:rsidRDefault="00D55D26" w:rsidP="00A31306">
            <w:pPr>
              <w:spacing w:before="60" w:after="60"/>
              <w:rPr>
                <w:sz w:val="18"/>
                <w:szCs w:val="18"/>
                <w:lang w:eastAsia="en-AU"/>
              </w:rPr>
            </w:pPr>
          </w:p>
        </w:tc>
        <w:tc>
          <w:tcPr>
            <w:tcW w:w="456" w:type="dxa"/>
            <w:tcBorders>
              <w:top w:val="single" w:sz="8" w:space="0" w:color="E6E6E1" w:themeColor="accent5"/>
              <w:left w:val="single" w:sz="4" w:space="0" w:color="E6E6E1" w:themeColor="accent5"/>
              <w:right w:val="single" w:sz="4" w:space="0" w:color="E6E6E1" w:themeColor="accent5"/>
            </w:tcBorders>
            <w:vAlign w:val="center"/>
          </w:tcPr>
          <w:p w14:paraId="19D393A8" w14:textId="7BFB69CB" w:rsidR="00F62C5E" w:rsidRPr="00F3115D" w:rsidRDefault="00487CB3" w:rsidP="00A31306">
            <w:pPr>
              <w:spacing w:before="60" w:after="60"/>
              <w:jc w:val="center"/>
              <w:rPr>
                <w:sz w:val="17"/>
                <w:szCs w:val="17"/>
                <w:lang w:eastAsia="en-AU"/>
              </w:rPr>
            </w:pPr>
            <w:r w:rsidRPr="00F3115D">
              <w:rPr>
                <w:sz w:val="17"/>
                <w:szCs w:val="17"/>
                <w:lang w:eastAsia="en-AU"/>
              </w:rPr>
              <w:t>6</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4D45EA8" w14:textId="17F820F4" w:rsidR="00F62C5E" w:rsidRPr="00F3115D" w:rsidRDefault="00F62C5E" w:rsidP="00A31306">
            <w:pPr>
              <w:spacing w:before="60" w:after="60"/>
              <w:rPr>
                <w:rFonts w:asciiTheme="majorHAnsi" w:hAnsiTheme="majorHAnsi" w:cstheme="majorHAnsi"/>
                <w:sz w:val="17"/>
                <w:szCs w:val="17"/>
                <w:lang w:eastAsia="en-AU"/>
              </w:rPr>
            </w:pPr>
            <w:r w:rsidRPr="00F3115D">
              <w:rPr>
                <w:rFonts w:asciiTheme="majorHAnsi" w:hAnsiTheme="majorHAnsi" w:cstheme="majorHAnsi"/>
                <w:sz w:val="17"/>
                <w:szCs w:val="17"/>
              </w:rPr>
              <w:t>Refine PI09, PI10,</w:t>
            </w:r>
            <w:r w:rsidR="005A2CA8" w:rsidRPr="00F3115D">
              <w:rPr>
                <w:rFonts w:asciiTheme="majorHAnsi" w:hAnsiTheme="majorHAnsi" w:cstheme="majorHAnsi"/>
                <w:sz w:val="17"/>
                <w:szCs w:val="17"/>
              </w:rPr>
              <w:t xml:space="preserve"> PI12</w:t>
            </w:r>
            <w:r w:rsidRPr="00F3115D">
              <w:rPr>
                <w:rFonts w:asciiTheme="majorHAnsi" w:hAnsiTheme="majorHAnsi" w:cstheme="majorHAnsi"/>
                <w:sz w:val="17"/>
                <w:szCs w:val="17"/>
              </w:rPr>
              <w:t xml:space="preserve">, PI25 and PI26 to ensure they best align with contemporary </w:t>
            </w:r>
            <w:r w:rsidR="005A2CA8" w:rsidRPr="00F3115D">
              <w:rPr>
                <w:rFonts w:asciiTheme="majorHAnsi" w:hAnsiTheme="majorHAnsi" w:cstheme="majorHAnsi"/>
                <w:sz w:val="17"/>
                <w:szCs w:val="17"/>
              </w:rPr>
              <w:t xml:space="preserve">clinical guidance, service delivery </w:t>
            </w:r>
            <w:r w:rsidR="00C07DB2" w:rsidRPr="00F3115D">
              <w:rPr>
                <w:rFonts w:asciiTheme="majorHAnsi" w:hAnsiTheme="majorHAnsi" w:cstheme="majorHAnsi"/>
                <w:sz w:val="17"/>
                <w:szCs w:val="17"/>
              </w:rPr>
              <w:t>models,</w:t>
            </w:r>
            <w:r w:rsidR="005A2CA8" w:rsidRPr="00F3115D">
              <w:rPr>
                <w:rFonts w:asciiTheme="majorHAnsi" w:hAnsiTheme="majorHAnsi" w:cstheme="majorHAnsi"/>
                <w:sz w:val="17"/>
                <w:szCs w:val="17"/>
              </w:rPr>
              <w:t xml:space="preserve"> and data feasibility. </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42404FF0" w14:textId="77777777" w:rsidR="00F62C5E" w:rsidRPr="00F3115D" w:rsidRDefault="00F62C5E" w:rsidP="00A31306">
            <w:pPr>
              <w:spacing w:before="60" w:after="60"/>
              <w:rPr>
                <w:sz w:val="17"/>
                <w:szCs w:val="17"/>
                <w:lang w:eastAsia="en-AU"/>
              </w:rPr>
            </w:pPr>
            <w:r w:rsidRPr="00F3115D">
              <w:rPr>
                <w:sz w:val="17"/>
                <w:szCs w:val="17"/>
              </w:rPr>
              <w:t>Improves indicator relevance, data quality and interpretability by aligning specifications with contemporary clinical practice and service delivery models, strengthening the usefulness of the nKPI for CQI and system</w:t>
            </w:r>
            <w:r w:rsidRPr="00F3115D">
              <w:rPr>
                <w:sz w:val="17"/>
                <w:szCs w:val="17"/>
              </w:rPr>
              <w:noBreakHyphen/>
              <w:t>level analysis.</w:t>
            </w:r>
          </w:p>
        </w:tc>
      </w:tr>
      <w:tr w:rsidR="00850FA3" w:rsidRPr="00F3115D" w14:paraId="4D3D93AB" w14:textId="77777777" w:rsidTr="00FA4764">
        <w:tc>
          <w:tcPr>
            <w:tcW w:w="547" w:type="dxa"/>
            <w:vMerge/>
            <w:shd w:val="clear" w:color="auto" w:fill="F2F2F2" w:themeFill="background1" w:themeFillShade="F2"/>
          </w:tcPr>
          <w:p w14:paraId="557279B7" w14:textId="77777777" w:rsidR="00D55D26" w:rsidRPr="00F3115D" w:rsidRDefault="00D55D26" w:rsidP="00A31306">
            <w:pPr>
              <w:spacing w:before="60" w:after="60"/>
              <w:rPr>
                <w:sz w:val="18"/>
                <w:szCs w:val="18"/>
                <w:lang w:eastAsia="en-AU"/>
              </w:rPr>
            </w:pPr>
          </w:p>
        </w:tc>
        <w:tc>
          <w:tcPr>
            <w:tcW w:w="456" w:type="dxa"/>
            <w:tcBorders>
              <w:top w:val="single" w:sz="8" w:space="0" w:color="E6E6E1" w:themeColor="accent5"/>
              <w:left w:val="single" w:sz="4" w:space="0" w:color="E6E6E1" w:themeColor="accent5"/>
              <w:right w:val="single" w:sz="4" w:space="0" w:color="E6E6E1" w:themeColor="accent5"/>
            </w:tcBorders>
            <w:vAlign w:val="center"/>
          </w:tcPr>
          <w:p w14:paraId="2972FFCC" w14:textId="3811289C" w:rsidR="00F62C5E" w:rsidRPr="00F3115D" w:rsidRDefault="00487CB3" w:rsidP="00A31306">
            <w:pPr>
              <w:spacing w:before="60" w:after="60"/>
              <w:jc w:val="center"/>
              <w:rPr>
                <w:sz w:val="17"/>
                <w:szCs w:val="17"/>
                <w:lang w:eastAsia="en-AU"/>
              </w:rPr>
            </w:pPr>
            <w:r w:rsidRPr="00F3115D">
              <w:rPr>
                <w:sz w:val="17"/>
                <w:szCs w:val="17"/>
                <w:lang w:eastAsia="en-AU"/>
              </w:rPr>
              <w:t>7</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3BCBF2DA" w14:textId="77777777" w:rsidR="00F62C5E" w:rsidRPr="00F3115D" w:rsidRDefault="00F62C5E" w:rsidP="00A31306">
            <w:pPr>
              <w:spacing w:before="60" w:after="60"/>
              <w:rPr>
                <w:rFonts w:asciiTheme="majorHAnsi" w:hAnsiTheme="majorHAnsi" w:cstheme="majorHAnsi"/>
                <w:sz w:val="17"/>
                <w:szCs w:val="17"/>
                <w:lang w:eastAsia="en-AU"/>
              </w:rPr>
            </w:pPr>
            <w:r w:rsidRPr="00F3115D">
              <w:rPr>
                <w:rFonts w:asciiTheme="majorHAnsi" w:hAnsiTheme="majorHAnsi" w:cstheme="majorHAnsi"/>
                <w:sz w:val="17"/>
                <w:szCs w:val="17"/>
              </w:rPr>
              <w:t>Expand PI07 to include all Chronic Disease Management Plans.</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1A306273" w14:textId="4AE6CE35" w:rsidR="00F62C5E" w:rsidRPr="00F3115D" w:rsidRDefault="00F62C5E" w:rsidP="00A31306">
            <w:pPr>
              <w:spacing w:before="60" w:after="60"/>
              <w:rPr>
                <w:sz w:val="17"/>
                <w:szCs w:val="17"/>
                <w:lang w:eastAsia="en-AU"/>
              </w:rPr>
            </w:pPr>
            <w:r w:rsidRPr="00F3115D">
              <w:rPr>
                <w:sz w:val="17"/>
                <w:szCs w:val="17"/>
              </w:rPr>
              <w:t>Provides a more accurate and balanced view of chronic disease management activity across services, improving system</w:t>
            </w:r>
            <w:r w:rsidRPr="00F3115D">
              <w:rPr>
                <w:sz w:val="17"/>
                <w:szCs w:val="17"/>
              </w:rPr>
              <w:noBreakHyphen/>
              <w:t>level insight while maintaining low reporting burden through use of existing, routinely captured data.</w:t>
            </w:r>
            <w:r w:rsidR="00474F66" w:rsidRPr="00F3115D">
              <w:rPr>
                <w:sz w:val="17"/>
                <w:szCs w:val="17"/>
              </w:rPr>
              <w:t xml:space="preserve"> Clear definition of the eligible cohort and consistent condition coding will support meaningful interpretation and comparability across services.</w:t>
            </w:r>
          </w:p>
        </w:tc>
      </w:tr>
      <w:tr w:rsidR="009452A9" w:rsidRPr="00F3115D" w14:paraId="6BBF7421" w14:textId="77777777" w:rsidTr="00D46499">
        <w:tc>
          <w:tcPr>
            <w:tcW w:w="547" w:type="dxa"/>
            <w:vMerge/>
            <w:shd w:val="clear" w:color="auto" w:fill="F2F2F2" w:themeFill="background1" w:themeFillShade="F2"/>
          </w:tcPr>
          <w:p w14:paraId="16C18BBE" w14:textId="77777777" w:rsidR="00D55D26" w:rsidRPr="00F3115D" w:rsidRDefault="00D55D26" w:rsidP="00A31306">
            <w:pPr>
              <w:spacing w:before="60" w:after="60"/>
              <w:rPr>
                <w:sz w:val="18"/>
                <w:szCs w:val="18"/>
                <w:lang w:eastAsia="en-AU"/>
              </w:rPr>
            </w:pPr>
          </w:p>
        </w:tc>
        <w:tc>
          <w:tcPr>
            <w:tcW w:w="456" w:type="dxa"/>
            <w:tcBorders>
              <w:top w:val="single" w:sz="8"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4E56E24F" w14:textId="5CC11179" w:rsidR="00F62C5E" w:rsidRPr="00F3115D" w:rsidRDefault="00487CB3" w:rsidP="00A31306">
            <w:pPr>
              <w:spacing w:before="60" w:after="60"/>
              <w:jc w:val="center"/>
              <w:rPr>
                <w:sz w:val="17"/>
                <w:szCs w:val="17"/>
                <w:lang w:eastAsia="en-AU"/>
              </w:rPr>
            </w:pPr>
            <w:r w:rsidRPr="00F3115D">
              <w:rPr>
                <w:sz w:val="17"/>
                <w:szCs w:val="17"/>
                <w:lang w:eastAsia="en-AU"/>
              </w:rPr>
              <w:t>8</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7634CCB5" w14:textId="6613AAA3" w:rsidR="00F62C5E" w:rsidRPr="00F3115D" w:rsidRDefault="00C65E9C" w:rsidP="00A31306">
            <w:pPr>
              <w:spacing w:before="60" w:after="60"/>
              <w:rPr>
                <w:rFonts w:asciiTheme="majorHAnsi" w:hAnsiTheme="majorHAnsi" w:cstheme="majorHAnsi"/>
                <w:sz w:val="17"/>
                <w:szCs w:val="17"/>
                <w:lang w:eastAsia="en-AU"/>
              </w:rPr>
            </w:pPr>
            <w:r w:rsidRPr="00F3115D">
              <w:rPr>
                <w:rFonts w:asciiTheme="majorHAnsi" w:hAnsiTheme="majorHAnsi" w:cstheme="majorHAnsi"/>
                <w:sz w:val="17"/>
                <w:szCs w:val="17"/>
              </w:rPr>
              <w:t>Disaggregate the smoking indicator to separately identify vaping/e‑cigarette use</w:t>
            </w:r>
            <w:r w:rsidR="00DF1C05" w:rsidRPr="00F3115D">
              <w:rPr>
                <w:rFonts w:asciiTheme="majorHAnsi" w:hAnsiTheme="majorHAnsi" w:cstheme="majorHAnsi"/>
                <w:sz w:val="17"/>
                <w:szCs w:val="17"/>
              </w:rPr>
              <w:t>.</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29E3E0D" w14:textId="77777777" w:rsidR="00F62C5E" w:rsidRPr="00F3115D" w:rsidRDefault="00F62C5E" w:rsidP="00A31306">
            <w:pPr>
              <w:spacing w:before="60" w:after="60"/>
              <w:rPr>
                <w:sz w:val="17"/>
                <w:szCs w:val="17"/>
                <w:lang w:eastAsia="en-AU"/>
              </w:rPr>
            </w:pPr>
            <w:r w:rsidRPr="00F3115D">
              <w:rPr>
                <w:sz w:val="17"/>
                <w:szCs w:val="17"/>
                <w:lang w:eastAsia="en-AU"/>
              </w:rPr>
              <w:t>Improves the contemporary relevance of the nKPI by capturing emerging risk behaviours, supporting service</w:t>
            </w:r>
            <w:r w:rsidRPr="00F3115D">
              <w:rPr>
                <w:sz w:val="17"/>
                <w:szCs w:val="17"/>
                <w:lang w:eastAsia="en-AU"/>
              </w:rPr>
              <w:noBreakHyphen/>
              <w:t>level prevention and planning while maintaining alignment with the existing indicator framework.</w:t>
            </w:r>
          </w:p>
        </w:tc>
      </w:tr>
      <w:tr w:rsidR="009452A9" w:rsidRPr="00F3115D" w14:paraId="3CE21C73" w14:textId="77777777" w:rsidTr="00FA4764">
        <w:tc>
          <w:tcPr>
            <w:tcW w:w="547" w:type="dxa"/>
            <w:vMerge/>
            <w:tcBorders>
              <w:bottom w:val="single" w:sz="4" w:space="0" w:color="00264D" w:themeColor="background2"/>
            </w:tcBorders>
            <w:shd w:val="clear" w:color="auto" w:fill="F2F2F2" w:themeFill="background1" w:themeFillShade="F2"/>
          </w:tcPr>
          <w:p w14:paraId="1DB5D832" w14:textId="77777777" w:rsidR="00DF1C05" w:rsidRPr="00F3115D" w:rsidRDefault="00DF1C05" w:rsidP="00A31306">
            <w:pPr>
              <w:spacing w:before="60" w:after="60"/>
              <w:rPr>
                <w:sz w:val="18"/>
                <w:szCs w:val="18"/>
                <w:lang w:eastAsia="en-AU"/>
              </w:rPr>
            </w:pPr>
          </w:p>
        </w:tc>
        <w:tc>
          <w:tcPr>
            <w:tcW w:w="456" w:type="dxa"/>
            <w:tcBorders>
              <w:top w:val="single" w:sz="8"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6433B5B4" w14:textId="4550B9EE" w:rsidR="00DF1C05" w:rsidRPr="00F3115D" w:rsidRDefault="00DF1C05" w:rsidP="00A31306">
            <w:pPr>
              <w:spacing w:before="60" w:after="60"/>
              <w:jc w:val="center"/>
              <w:rPr>
                <w:sz w:val="17"/>
                <w:szCs w:val="17"/>
                <w:lang w:eastAsia="en-AU"/>
              </w:rPr>
            </w:pPr>
            <w:r w:rsidRPr="00F3115D">
              <w:rPr>
                <w:sz w:val="17"/>
                <w:szCs w:val="17"/>
                <w:lang w:eastAsia="en-AU"/>
              </w:rPr>
              <w:t>10</w:t>
            </w:r>
          </w:p>
        </w:tc>
        <w:tc>
          <w:tcPr>
            <w:tcW w:w="3250" w:type="dxa"/>
            <w:tcBorders>
              <w:top w:val="single" w:sz="4"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2ECE956E" w14:textId="1381A9CA" w:rsidR="00DF1C05" w:rsidRPr="00F3115D" w:rsidRDefault="009C4DC2" w:rsidP="00493DDC">
            <w:pPr>
              <w:pStyle w:val="longformcalloutnumber"/>
              <w:numPr>
                <w:ilvl w:val="0"/>
                <w:numId w:val="0"/>
              </w:numPr>
              <w:rPr>
                <w:rFonts w:asciiTheme="majorHAnsi" w:hAnsiTheme="majorHAnsi" w:cstheme="majorHAnsi"/>
                <w:sz w:val="17"/>
                <w:szCs w:val="17"/>
                <w:lang w:eastAsia="en-US"/>
              </w:rPr>
            </w:pPr>
            <w:r w:rsidRPr="00F3115D">
              <w:rPr>
                <w:rFonts w:asciiTheme="majorHAnsi" w:hAnsiTheme="majorHAnsi" w:cstheme="majorHAnsi"/>
                <w:color w:val="auto"/>
                <w:sz w:val="17"/>
                <w:szCs w:val="17"/>
              </w:rPr>
              <w:t>E</w:t>
            </w:r>
            <w:r w:rsidR="00CC4C0A" w:rsidRPr="00F3115D">
              <w:rPr>
                <w:rFonts w:asciiTheme="majorHAnsi" w:hAnsiTheme="majorHAnsi" w:cstheme="majorHAnsi"/>
                <w:color w:val="auto"/>
                <w:sz w:val="17"/>
                <w:szCs w:val="17"/>
                <w:lang w:eastAsia="en-US"/>
              </w:rPr>
              <w:t>xplore</w:t>
            </w:r>
            <w:r w:rsidR="00493DDC" w:rsidRPr="00F3115D">
              <w:rPr>
                <w:rFonts w:asciiTheme="majorHAnsi" w:hAnsiTheme="majorHAnsi" w:cstheme="majorHAnsi"/>
                <w:color w:val="auto"/>
                <w:sz w:val="17"/>
                <w:szCs w:val="17"/>
                <w:lang w:eastAsia="en-US"/>
              </w:rPr>
              <w:t xml:space="preserve"> the feasibility and value of introducing optional indicators to the nKPI collection to support local CQI priorities and program delivery</w:t>
            </w:r>
            <w:r w:rsidR="00397317">
              <w:rPr>
                <w:rFonts w:asciiTheme="majorHAnsi" w:hAnsiTheme="majorHAnsi" w:cstheme="majorHAnsi"/>
                <w:color w:val="auto"/>
                <w:sz w:val="17"/>
                <w:szCs w:val="17"/>
                <w:lang w:eastAsia="en-US"/>
              </w:rPr>
              <w:t>.</w:t>
            </w:r>
          </w:p>
        </w:tc>
        <w:tc>
          <w:tcPr>
            <w:tcW w:w="5612" w:type="dxa"/>
            <w:tcBorders>
              <w:top w:val="single" w:sz="4"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46476B09" w14:textId="1D3BBBC3" w:rsidR="00DF1C05" w:rsidRPr="00F3115D" w:rsidRDefault="00CA06CF" w:rsidP="00A31306">
            <w:pPr>
              <w:spacing w:before="60" w:after="60"/>
              <w:rPr>
                <w:rFonts w:asciiTheme="minorHAnsi" w:hAnsiTheme="minorHAnsi" w:cstheme="minorHAnsi"/>
                <w:sz w:val="17"/>
                <w:szCs w:val="17"/>
                <w:lang w:eastAsia="en-AU"/>
              </w:rPr>
            </w:pPr>
            <w:r w:rsidRPr="00F3115D">
              <w:rPr>
                <w:rFonts w:asciiTheme="minorHAnsi" w:hAnsiTheme="minorHAnsi" w:cstheme="minorHAnsi"/>
                <w:sz w:val="17"/>
                <w:szCs w:val="17"/>
              </w:rPr>
              <w:t>O</w:t>
            </w:r>
            <w:r w:rsidR="00197E47" w:rsidRPr="00F3115D">
              <w:rPr>
                <w:rFonts w:asciiTheme="minorHAnsi" w:hAnsiTheme="minorHAnsi" w:cstheme="minorHAnsi"/>
                <w:sz w:val="17"/>
                <w:szCs w:val="17"/>
              </w:rPr>
              <w:t xml:space="preserve">ptional indicators could </w:t>
            </w:r>
            <w:r w:rsidR="00DC1BEF" w:rsidRPr="00F3115D">
              <w:rPr>
                <w:rFonts w:asciiTheme="minorHAnsi" w:hAnsiTheme="minorHAnsi" w:cstheme="minorHAnsi"/>
                <w:sz w:val="17"/>
                <w:szCs w:val="17"/>
              </w:rPr>
              <w:t>expand</w:t>
            </w:r>
            <w:r w:rsidR="00197E47" w:rsidRPr="00F3115D">
              <w:rPr>
                <w:rFonts w:asciiTheme="minorHAnsi" w:hAnsiTheme="minorHAnsi" w:cstheme="minorHAnsi"/>
                <w:sz w:val="17"/>
                <w:szCs w:val="17"/>
              </w:rPr>
              <w:t xml:space="preserve"> the </w:t>
            </w:r>
            <w:r w:rsidR="00DC1BEF" w:rsidRPr="00F3115D">
              <w:rPr>
                <w:rFonts w:asciiTheme="minorHAnsi" w:hAnsiTheme="minorHAnsi" w:cstheme="minorHAnsi"/>
                <w:sz w:val="17"/>
                <w:szCs w:val="17"/>
              </w:rPr>
              <w:t xml:space="preserve">medium-term </w:t>
            </w:r>
            <w:r w:rsidR="00197E47" w:rsidRPr="00F3115D">
              <w:rPr>
                <w:rFonts w:asciiTheme="minorHAnsi" w:hAnsiTheme="minorHAnsi" w:cstheme="minorHAnsi"/>
                <w:sz w:val="17"/>
                <w:szCs w:val="17"/>
              </w:rPr>
              <w:t xml:space="preserve">usefulness of the nKPI by enabling services to report on dimensions aligned to local priorities or program </w:t>
            </w:r>
            <w:r w:rsidR="00FA4764" w:rsidRPr="00F3115D">
              <w:rPr>
                <w:rFonts w:asciiTheme="minorHAnsi" w:hAnsiTheme="minorHAnsi" w:cstheme="minorHAnsi"/>
                <w:sz w:val="17"/>
                <w:szCs w:val="17"/>
              </w:rPr>
              <w:t>requirements and</w:t>
            </w:r>
            <w:r w:rsidR="00197E47" w:rsidRPr="00F3115D">
              <w:rPr>
                <w:rFonts w:asciiTheme="minorHAnsi" w:hAnsiTheme="minorHAnsi" w:cstheme="minorHAnsi"/>
                <w:sz w:val="17"/>
                <w:szCs w:val="17"/>
              </w:rPr>
              <w:t xml:space="preserve"> consolidate overlapping reporting obligations across programs.</w:t>
            </w:r>
          </w:p>
        </w:tc>
      </w:tr>
      <w:tr w:rsidR="001E30DB" w:rsidRPr="00F3115D" w14:paraId="0A169D05" w14:textId="77777777" w:rsidTr="00FA4764">
        <w:tc>
          <w:tcPr>
            <w:tcW w:w="547" w:type="dxa"/>
            <w:vMerge w:val="restart"/>
            <w:tcBorders>
              <w:top w:val="single" w:sz="4" w:space="0" w:color="00264D" w:themeColor="background2"/>
            </w:tcBorders>
            <w:shd w:val="clear" w:color="auto" w:fill="F2F2F2" w:themeFill="background1" w:themeFillShade="F2"/>
            <w:textDirection w:val="btLr"/>
          </w:tcPr>
          <w:p w14:paraId="2A5CEE68" w14:textId="7B1FD806" w:rsidR="000309DC" w:rsidRPr="00F3115D" w:rsidRDefault="000309DC" w:rsidP="00A31306">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Foundations for substantive reform</w:t>
            </w:r>
          </w:p>
        </w:tc>
        <w:tc>
          <w:tcPr>
            <w:tcW w:w="456" w:type="dxa"/>
            <w:tcBorders>
              <w:top w:val="single" w:sz="4" w:space="0" w:color="00264D" w:themeColor="background2"/>
              <w:left w:val="single" w:sz="4" w:space="0" w:color="E6E6E1" w:themeColor="accent5"/>
              <w:right w:val="single" w:sz="4" w:space="0" w:color="E6E6E1" w:themeColor="accent5"/>
            </w:tcBorders>
            <w:vAlign w:val="center"/>
          </w:tcPr>
          <w:p w14:paraId="4A32D2E3" w14:textId="386CED70" w:rsidR="000309DC" w:rsidRPr="00F3115D" w:rsidRDefault="000309DC" w:rsidP="00A31306">
            <w:pPr>
              <w:spacing w:before="60" w:after="60"/>
              <w:jc w:val="center"/>
              <w:rPr>
                <w:sz w:val="17"/>
                <w:szCs w:val="17"/>
                <w:lang w:eastAsia="en-AU"/>
              </w:rPr>
            </w:pPr>
            <w:r w:rsidRPr="00F3115D">
              <w:rPr>
                <w:sz w:val="17"/>
                <w:szCs w:val="17"/>
                <w:lang w:eastAsia="en-AU"/>
              </w:rPr>
              <w:t>3</w:t>
            </w:r>
          </w:p>
        </w:tc>
        <w:tc>
          <w:tcPr>
            <w:tcW w:w="3250"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1AD136C5" w14:textId="3447ADF6" w:rsidR="000309DC" w:rsidRPr="00F3115D" w:rsidRDefault="000309DC" w:rsidP="00A31306">
            <w:pPr>
              <w:spacing w:before="60" w:after="60"/>
              <w:rPr>
                <w:rFonts w:asciiTheme="majorHAnsi" w:hAnsiTheme="majorHAnsi" w:cstheme="majorHAnsi"/>
                <w:sz w:val="17"/>
                <w:szCs w:val="17"/>
              </w:rPr>
            </w:pPr>
            <w:r w:rsidRPr="00F3115D">
              <w:rPr>
                <w:rFonts w:asciiTheme="majorHAnsi" w:hAnsiTheme="majorHAnsi" w:cstheme="majorHAnsi"/>
                <w:sz w:val="17"/>
                <w:szCs w:val="17"/>
              </w:rPr>
              <w:t>E</w:t>
            </w:r>
            <w:r w:rsidR="001057BB" w:rsidRPr="00F3115D">
              <w:rPr>
                <w:rFonts w:asciiTheme="majorHAnsi" w:hAnsiTheme="majorHAnsi" w:cstheme="majorHAnsi"/>
                <w:sz w:val="17"/>
                <w:szCs w:val="17"/>
              </w:rPr>
              <w:t>nhance support for</w:t>
            </w:r>
            <w:r w:rsidRPr="00F3115D">
              <w:rPr>
                <w:rFonts w:asciiTheme="majorHAnsi" w:hAnsiTheme="majorHAnsi" w:cstheme="majorHAnsi"/>
                <w:sz w:val="17"/>
                <w:szCs w:val="17"/>
              </w:rPr>
              <w:t xml:space="preserve"> day‑to‑day CQI without increasing compliance burden by introducing a two‑speed nKPI model, including a </w:t>
            </w:r>
            <w:r w:rsidR="0084090B" w:rsidRPr="00F3115D">
              <w:rPr>
                <w:rFonts w:asciiTheme="majorHAnsi" w:hAnsiTheme="majorHAnsi" w:cstheme="majorHAnsi"/>
                <w:sz w:val="17"/>
                <w:szCs w:val="17"/>
              </w:rPr>
              <w:t>more frequent</w:t>
            </w:r>
            <w:r w:rsidRPr="00F3115D">
              <w:rPr>
                <w:rFonts w:asciiTheme="majorHAnsi" w:hAnsiTheme="majorHAnsi" w:cstheme="majorHAnsi"/>
                <w:sz w:val="17"/>
                <w:szCs w:val="17"/>
              </w:rPr>
              <w:t>, unvalidated CQI feed for service‑level improvement with minimal central validation and no qualitative inputs.</w:t>
            </w:r>
          </w:p>
        </w:tc>
        <w:tc>
          <w:tcPr>
            <w:tcW w:w="5612"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672ED10C" w14:textId="4051DBBB" w:rsidR="000309DC" w:rsidRPr="00F3115D" w:rsidRDefault="000309DC" w:rsidP="00A31306">
            <w:pPr>
              <w:spacing w:before="60" w:after="60"/>
              <w:rPr>
                <w:sz w:val="17"/>
                <w:szCs w:val="17"/>
              </w:rPr>
            </w:pPr>
            <w:r w:rsidRPr="00F3115D">
              <w:rPr>
                <w:sz w:val="17"/>
                <w:szCs w:val="17"/>
              </w:rPr>
              <w:t>Improves the practical usefulness of the nKPI for service</w:t>
            </w:r>
            <w:r w:rsidRPr="00F3115D">
              <w:rPr>
                <w:sz w:val="17"/>
                <w:szCs w:val="17"/>
              </w:rPr>
              <w:noBreakHyphen/>
              <w:t>led CQI by enabling more timely feedback while preserving the integrity, trust and benchmarking role of the validated six</w:t>
            </w:r>
            <w:r w:rsidRPr="00F3115D">
              <w:rPr>
                <w:sz w:val="17"/>
                <w:szCs w:val="17"/>
              </w:rPr>
              <w:noBreakHyphen/>
              <w:t>monthly submission and avoiding an expansion of compliance reporting.</w:t>
            </w:r>
          </w:p>
        </w:tc>
      </w:tr>
      <w:tr w:rsidR="009452A9" w:rsidRPr="00F3115D" w14:paraId="068B273A" w14:textId="77777777" w:rsidTr="00FA4764">
        <w:tc>
          <w:tcPr>
            <w:tcW w:w="547" w:type="dxa"/>
            <w:vMerge/>
            <w:shd w:val="clear" w:color="auto" w:fill="F2F2F2" w:themeFill="background1" w:themeFillShade="F2"/>
            <w:textDirection w:val="btLr"/>
          </w:tcPr>
          <w:p w14:paraId="04AE2DE6" w14:textId="172FF8A9" w:rsidR="005D5BBD" w:rsidRPr="00F3115D" w:rsidRDefault="005D5BBD" w:rsidP="00A31306">
            <w:pPr>
              <w:spacing w:before="60" w:after="60"/>
              <w:ind w:left="113" w:right="113"/>
              <w:jc w:val="center"/>
              <w:rPr>
                <w:rFonts w:asciiTheme="majorHAnsi" w:hAnsiTheme="majorHAnsi" w:cstheme="majorHAnsi"/>
                <w:sz w:val="17"/>
                <w:szCs w:val="17"/>
                <w:lang w:eastAsia="en-AU"/>
              </w:rPr>
            </w:pPr>
          </w:p>
        </w:tc>
        <w:tc>
          <w:tcPr>
            <w:tcW w:w="456"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29237AF7" w14:textId="12088874" w:rsidR="005D5BBD" w:rsidRPr="00F3115D" w:rsidRDefault="000309DC" w:rsidP="00A31306">
            <w:pPr>
              <w:spacing w:before="60" w:after="60"/>
              <w:jc w:val="center"/>
              <w:rPr>
                <w:sz w:val="17"/>
                <w:szCs w:val="17"/>
                <w:lang w:eastAsia="en-AU"/>
              </w:rPr>
            </w:pPr>
            <w:r w:rsidRPr="00F3115D">
              <w:rPr>
                <w:sz w:val="17"/>
                <w:szCs w:val="17"/>
                <w:lang w:eastAsia="en-AU"/>
              </w:rPr>
              <w:t>9</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5131283A" w14:textId="5B32A647" w:rsidR="005D5BBD" w:rsidRPr="00F3115D" w:rsidRDefault="00A940A8" w:rsidP="00A31306">
            <w:pPr>
              <w:spacing w:before="60" w:after="60"/>
              <w:rPr>
                <w:rFonts w:asciiTheme="majorHAnsi" w:hAnsiTheme="majorHAnsi" w:cstheme="majorHAnsi"/>
                <w:sz w:val="17"/>
                <w:szCs w:val="17"/>
              </w:rPr>
            </w:pPr>
            <w:r w:rsidRPr="00F3115D">
              <w:rPr>
                <w:rFonts w:asciiTheme="majorHAnsi" w:hAnsiTheme="majorHAnsi" w:cstheme="majorHAnsi"/>
                <w:sz w:val="17"/>
                <w:szCs w:val="17"/>
              </w:rPr>
              <w:t>Explore, at an appropriate future point, options for capturing a mental health and/or SEWB indicator aligned to sector‑led development of clinically coded SEWB concepts.</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5E11262" w14:textId="4121D4C6" w:rsidR="005D5BBD" w:rsidRPr="00F3115D" w:rsidRDefault="004153B3" w:rsidP="00A31306">
            <w:pPr>
              <w:spacing w:before="60" w:after="60"/>
              <w:rPr>
                <w:sz w:val="17"/>
                <w:szCs w:val="17"/>
                <w:lang w:eastAsia="en-AU"/>
              </w:rPr>
            </w:pPr>
            <w:r w:rsidRPr="00F3115D">
              <w:rPr>
                <w:sz w:val="17"/>
                <w:szCs w:val="17"/>
              </w:rPr>
              <w:t>Acknowledges a recognised data gap while avoiding premature indicator development, ensuring any future mental health or SEWB indicator is only considered once culturally appropriate, clinically meaningful and sector‑supported approaches are available. Aligning with sector‑led SEWB clinical coding initiatives reduces risk of harm, improves cultural safety, and supports development of an indicator that is feasible, comparable, and beneficial for CQI in the longer term</w:t>
            </w:r>
            <w:r w:rsidR="005D5BBD" w:rsidRPr="00F3115D">
              <w:rPr>
                <w:sz w:val="17"/>
                <w:szCs w:val="17"/>
              </w:rPr>
              <w:t>.</w:t>
            </w:r>
          </w:p>
        </w:tc>
      </w:tr>
      <w:tr w:rsidR="001E30DB" w:rsidRPr="00F3115D" w14:paraId="7569C76C" w14:textId="77777777" w:rsidTr="00FA4764">
        <w:tc>
          <w:tcPr>
            <w:tcW w:w="547" w:type="dxa"/>
            <w:vMerge/>
            <w:shd w:val="clear" w:color="auto" w:fill="F2F2F2" w:themeFill="background1" w:themeFillShade="F2"/>
            <w:textDirection w:val="btLr"/>
          </w:tcPr>
          <w:p w14:paraId="488D2AAD" w14:textId="77777777" w:rsidR="001C2E53" w:rsidRPr="00F3115D" w:rsidRDefault="001C2E53" w:rsidP="00A31306">
            <w:pPr>
              <w:spacing w:before="60" w:after="60"/>
              <w:ind w:left="113" w:right="113"/>
              <w:jc w:val="center"/>
              <w:rPr>
                <w:rFonts w:asciiTheme="majorHAnsi" w:hAnsiTheme="majorHAnsi" w:cstheme="majorHAnsi"/>
                <w:sz w:val="17"/>
                <w:szCs w:val="17"/>
                <w:lang w:eastAsia="en-AU"/>
              </w:rPr>
            </w:pPr>
          </w:p>
        </w:tc>
        <w:tc>
          <w:tcPr>
            <w:tcW w:w="456" w:type="dxa"/>
            <w:tcBorders>
              <w:top w:val="single" w:sz="4" w:space="0" w:color="E6E6E1" w:themeColor="accent5"/>
              <w:left w:val="single" w:sz="4" w:space="0" w:color="E6E6E1" w:themeColor="accent5"/>
              <w:right w:val="single" w:sz="4" w:space="0" w:color="E6E6E1" w:themeColor="accent5"/>
            </w:tcBorders>
            <w:vAlign w:val="center"/>
          </w:tcPr>
          <w:p w14:paraId="6AAB02EA" w14:textId="4792C487" w:rsidR="001C2E53" w:rsidRPr="00F3115D" w:rsidRDefault="001C2E53" w:rsidP="00A31306">
            <w:pPr>
              <w:spacing w:before="60" w:after="60"/>
              <w:jc w:val="center"/>
              <w:rPr>
                <w:sz w:val="17"/>
                <w:szCs w:val="17"/>
                <w:lang w:eastAsia="en-AU"/>
              </w:rPr>
            </w:pPr>
            <w:r w:rsidRPr="00F3115D">
              <w:rPr>
                <w:sz w:val="17"/>
                <w:szCs w:val="17"/>
                <w:lang w:eastAsia="en-AU"/>
              </w:rPr>
              <w:t>1</w:t>
            </w:r>
            <w:r w:rsidR="00DF1C05" w:rsidRPr="00F3115D">
              <w:rPr>
                <w:sz w:val="17"/>
                <w:szCs w:val="17"/>
                <w:lang w:eastAsia="en-AU"/>
              </w:rPr>
              <w:t>1</w:t>
            </w:r>
          </w:p>
        </w:tc>
        <w:tc>
          <w:tcPr>
            <w:tcW w:w="3250"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3D9BC391" w14:textId="28BB8A7F" w:rsidR="001C2E53" w:rsidRPr="00F3115D" w:rsidRDefault="001C2E53" w:rsidP="00A31306">
            <w:pPr>
              <w:spacing w:before="60" w:after="60"/>
              <w:rPr>
                <w:rFonts w:asciiTheme="majorHAnsi" w:hAnsiTheme="majorHAnsi" w:cstheme="majorHAnsi"/>
                <w:sz w:val="17"/>
                <w:szCs w:val="17"/>
              </w:rPr>
            </w:pPr>
            <w:r w:rsidRPr="00F3115D">
              <w:rPr>
                <w:rFonts w:asciiTheme="majorHAnsi" w:hAnsiTheme="majorHAnsi" w:cstheme="majorHAnsi"/>
                <w:sz w:val="17"/>
                <w:szCs w:val="17"/>
              </w:rPr>
              <w:t>Explore opportunities to host a centralised reporting portal for funders of First Nations PHC organisations</w:t>
            </w:r>
            <w:r w:rsidR="008045B4" w:rsidRPr="00F3115D">
              <w:rPr>
                <w:rFonts w:asciiTheme="majorHAnsi" w:hAnsiTheme="majorHAnsi" w:cstheme="majorHAnsi"/>
                <w:sz w:val="17"/>
                <w:szCs w:val="17"/>
              </w:rPr>
              <w:t>, th</w:t>
            </w:r>
            <w:r w:rsidR="00800435" w:rsidRPr="00F3115D">
              <w:rPr>
                <w:rFonts w:asciiTheme="majorHAnsi" w:hAnsiTheme="majorHAnsi" w:cstheme="majorHAnsi"/>
                <w:sz w:val="17"/>
                <w:szCs w:val="17"/>
              </w:rPr>
              <w:t>r</w:t>
            </w:r>
            <w:r w:rsidR="008045B4" w:rsidRPr="00F3115D">
              <w:rPr>
                <w:rFonts w:asciiTheme="majorHAnsi" w:hAnsiTheme="majorHAnsi" w:cstheme="majorHAnsi"/>
                <w:sz w:val="17"/>
                <w:szCs w:val="17"/>
              </w:rPr>
              <w:t>ough both centralised infrastructure and alignment of overlapping data collections</w:t>
            </w:r>
            <w:r w:rsidR="00343087">
              <w:rPr>
                <w:rFonts w:asciiTheme="majorHAnsi" w:hAnsiTheme="majorHAnsi" w:cstheme="majorHAnsi"/>
                <w:sz w:val="17"/>
                <w:szCs w:val="17"/>
              </w:rPr>
              <w:t>.</w:t>
            </w:r>
          </w:p>
        </w:tc>
        <w:tc>
          <w:tcPr>
            <w:tcW w:w="5612"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1BAA757C" w14:textId="09D5A164" w:rsidR="001C2E53" w:rsidRPr="00F3115D" w:rsidRDefault="001C2E53" w:rsidP="00A31306">
            <w:pPr>
              <w:spacing w:before="60" w:after="60"/>
              <w:rPr>
                <w:sz w:val="17"/>
                <w:szCs w:val="17"/>
              </w:rPr>
            </w:pPr>
            <w:r w:rsidRPr="00F3115D">
              <w:rPr>
                <w:sz w:val="17"/>
                <w:szCs w:val="17"/>
              </w:rPr>
              <w:t>Reduces duplication and fragmentation across reporting requirements by creating a pathway toward more coordinated reporting to multiple funders, lowering administrative burden for services while improving consistency and efficiency in how information is submitted and reused.</w:t>
            </w:r>
          </w:p>
        </w:tc>
      </w:tr>
    </w:tbl>
    <w:p w14:paraId="0A1D6305" w14:textId="4DD7BB7C" w:rsidR="00A61CDF" w:rsidRDefault="00A61CDF"/>
    <w:p w14:paraId="05CA09B3" w14:textId="77777777" w:rsidR="00343087" w:rsidRDefault="00343087"/>
    <w:p w14:paraId="3F921D76" w14:textId="77777777" w:rsidR="00343087" w:rsidRDefault="00343087"/>
    <w:p w14:paraId="68C5079B" w14:textId="77777777" w:rsidR="00343087" w:rsidRDefault="00343087"/>
    <w:p w14:paraId="478CBDBD" w14:textId="77777777" w:rsidR="00343087" w:rsidRDefault="00343087"/>
    <w:p w14:paraId="2E83B737" w14:textId="77777777" w:rsidR="00343087" w:rsidRDefault="00343087"/>
    <w:p w14:paraId="5E276695" w14:textId="77777777" w:rsidR="00343087" w:rsidRDefault="00343087"/>
    <w:p w14:paraId="4F850C81" w14:textId="77777777" w:rsidR="00343087" w:rsidRDefault="00343087"/>
    <w:p w14:paraId="141F6905" w14:textId="78588FDB" w:rsidR="004224AA" w:rsidRDefault="004224AA" w:rsidP="004B053F">
      <w:pPr>
        <w:pStyle w:val="Caption"/>
      </w:pPr>
      <w:r w:rsidRPr="00F3115D">
        <w:lastRenderedPageBreak/>
        <w:t xml:space="preserve">Table </w:t>
      </w:r>
      <w:r w:rsidRPr="00F3115D">
        <w:fldChar w:fldCharType="begin"/>
      </w:r>
      <w:r w:rsidRPr="00F3115D">
        <w:instrText xml:space="preserve"> SEQ Table \* ARABIC </w:instrText>
      </w:r>
      <w:r w:rsidRPr="00F3115D">
        <w:fldChar w:fldCharType="separate"/>
      </w:r>
      <w:r w:rsidR="006D3EE9">
        <w:rPr>
          <w:noProof/>
        </w:rPr>
        <w:t>3</w:t>
      </w:r>
      <w:r w:rsidRPr="00F3115D">
        <w:fldChar w:fldCharType="end"/>
      </w:r>
      <w:r w:rsidRPr="00F3115D">
        <w:t xml:space="preserve"> | Recommendations </w:t>
      </w:r>
      <w:r w:rsidR="006978DC" w:rsidRPr="006978DC">
        <w:t>–</w:t>
      </w:r>
      <w:r w:rsidRPr="00F3115D">
        <w:t xml:space="preserve"> OSR</w:t>
      </w:r>
    </w:p>
    <w:tbl>
      <w:tblPr>
        <w:tblStyle w:val="NOUS"/>
        <w:tblpPr w:leftFromText="180" w:rightFromText="180" w:vertAnchor="text" w:tblpY="83"/>
        <w:tblW w:w="0" w:type="auto"/>
        <w:tblLook w:val="04A0" w:firstRow="1" w:lastRow="0" w:firstColumn="1" w:lastColumn="0" w:noHBand="0" w:noVBand="1"/>
      </w:tblPr>
      <w:tblGrid>
        <w:gridCol w:w="510"/>
        <w:gridCol w:w="9350"/>
      </w:tblGrid>
      <w:tr w:rsidR="005D6887" w:rsidRPr="00F3115D" w14:paraId="736964EE" w14:textId="77777777" w:rsidTr="00A54084">
        <w:trPr>
          <w:cnfStyle w:val="100000000000" w:firstRow="1" w:lastRow="0" w:firstColumn="0" w:lastColumn="0" w:oddVBand="0" w:evenVBand="0" w:oddHBand="0" w:evenHBand="0" w:firstRowFirstColumn="0" w:firstRowLastColumn="0" w:lastRowFirstColumn="0" w:lastRowLastColumn="0"/>
        </w:trPr>
        <w:tc>
          <w:tcPr>
            <w:tcW w:w="510" w:type="dxa"/>
            <w:tcBorders>
              <w:top w:val="nil"/>
              <w:right w:val="single" w:sz="4" w:space="0" w:color="E6E6E1" w:themeColor="accent5"/>
            </w:tcBorders>
            <w:shd w:val="clear" w:color="auto" w:fill="FFFFFF" w:themeFill="background1"/>
          </w:tcPr>
          <w:p w14:paraId="585566F9" w14:textId="77777777" w:rsidR="005D6887" w:rsidRPr="00F3115D" w:rsidRDefault="005D6887" w:rsidP="00A54084">
            <w:pPr>
              <w:spacing w:before="60" w:after="60"/>
              <w:rPr>
                <w:rFonts w:asciiTheme="majorHAnsi" w:hAnsiTheme="majorHAnsi" w:cstheme="majorHAnsi"/>
                <w:sz w:val="17"/>
                <w:szCs w:val="17"/>
                <w:lang w:eastAsia="en-AU"/>
              </w:rPr>
            </w:pPr>
          </w:p>
        </w:tc>
        <w:tc>
          <w:tcPr>
            <w:tcW w:w="9350" w:type="dxa"/>
            <w:tcBorders>
              <w:left w:val="single" w:sz="4" w:space="0" w:color="E6E6E1" w:themeColor="accent5"/>
              <w:right w:val="single" w:sz="4" w:space="0" w:color="00264D" w:themeColor="background2"/>
            </w:tcBorders>
            <w:shd w:val="clear" w:color="auto" w:fill="00264D" w:themeFill="background2"/>
          </w:tcPr>
          <w:p w14:paraId="5F5C4FAC" w14:textId="77777777" w:rsidR="005D6887" w:rsidRPr="00F3115D" w:rsidRDefault="005D6887" w:rsidP="00A54084">
            <w:pPr>
              <w:spacing w:before="60" w:after="60"/>
              <w:rPr>
                <w:rFonts w:asciiTheme="majorHAnsi" w:hAnsiTheme="majorHAnsi" w:cstheme="majorHAnsi"/>
                <w:sz w:val="17"/>
                <w:szCs w:val="17"/>
                <w:lang w:eastAsia="en-AU"/>
              </w:rPr>
            </w:pPr>
            <w:r w:rsidRPr="00F3115D">
              <w:rPr>
                <w:rFonts w:asciiTheme="majorHAnsi" w:hAnsiTheme="majorHAnsi" w:cstheme="majorHAnsi"/>
                <w:color w:val="FFFFFF" w:themeColor="background1"/>
                <w:sz w:val="20"/>
                <w:szCs w:val="20"/>
                <w:lang w:eastAsia="en-AU"/>
              </w:rPr>
              <w:t>Online Services Report</w:t>
            </w:r>
          </w:p>
        </w:tc>
      </w:tr>
    </w:tbl>
    <w:p w14:paraId="2D20A48C" w14:textId="77777777" w:rsidR="005D6887" w:rsidRPr="005D6887" w:rsidRDefault="005D6887" w:rsidP="005D6887">
      <w:pPr>
        <w:rPr>
          <w:sz w:val="8"/>
          <w:szCs w:val="10"/>
        </w:rPr>
      </w:pPr>
    </w:p>
    <w:tbl>
      <w:tblPr>
        <w:tblStyle w:val="NOUS"/>
        <w:tblpPr w:leftFromText="180" w:rightFromText="180" w:vertAnchor="text" w:tblpY="83"/>
        <w:tblW w:w="0" w:type="auto"/>
        <w:tblLook w:val="04A0" w:firstRow="1" w:lastRow="0" w:firstColumn="1" w:lastColumn="0" w:noHBand="0" w:noVBand="1"/>
      </w:tblPr>
      <w:tblGrid>
        <w:gridCol w:w="546"/>
        <w:gridCol w:w="456"/>
        <w:gridCol w:w="3393"/>
        <w:gridCol w:w="5465"/>
      </w:tblGrid>
      <w:tr w:rsidR="009452A9" w:rsidRPr="00F3115D" w14:paraId="2B54BB4C" w14:textId="77777777" w:rsidTr="00FA4764">
        <w:trPr>
          <w:cnfStyle w:val="100000000000" w:firstRow="1" w:lastRow="0" w:firstColumn="0" w:lastColumn="0" w:oddVBand="0" w:evenVBand="0" w:oddHBand="0" w:evenHBand="0" w:firstRowFirstColumn="0" w:firstRowLastColumn="0" w:lastRowFirstColumn="0" w:lastRowLastColumn="0"/>
        </w:trPr>
        <w:tc>
          <w:tcPr>
            <w:tcW w:w="546" w:type="dxa"/>
            <w:tcBorders>
              <w:top w:val="nil"/>
              <w:bottom w:val="single" w:sz="8" w:space="0" w:color="E6E6E1" w:themeColor="accent5"/>
            </w:tcBorders>
            <w:shd w:val="clear" w:color="auto" w:fill="FFFFFF" w:themeFill="background1"/>
            <w:textDirection w:val="btLr"/>
          </w:tcPr>
          <w:p w14:paraId="1C3C3249" w14:textId="77777777" w:rsidR="009D556D" w:rsidRPr="00F3115D" w:rsidRDefault="009D556D" w:rsidP="00A31306">
            <w:pPr>
              <w:spacing w:before="60" w:after="60"/>
              <w:ind w:left="113" w:right="113"/>
              <w:jc w:val="center"/>
              <w:rPr>
                <w:rFonts w:asciiTheme="majorHAnsi" w:hAnsiTheme="majorHAnsi" w:cstheme="majorHAnsi"/>
                <w:sz w:val="17"/>
                <w:szCs w:val="17"/>
                <w:lang w:eastAsia="en-AU"/>
              </w:rPr>
            </w:pPr>
          </w:p>
        </w:tc>
        <w:tc>
          <w:tcPr>
            <w:tcW w:w="456" w:type="dxa"/>
            <w:tcBorders>
              <w:top w:val="nil"/>
              <w:left w:val="single" w:sz="4" w:space="0" w:color="E6E6E1" w:themeColor="accent5"/>
              <w:bottom w:val="single" w:sz="8" w:space="0" w:color="E6E6E1" w:themeColor="accent5"/>
              <w:right w:val="single" w:sz="4" w:space="0" w:color="E6E6E1" w:themeColor="accent5"/>
            </w:tcBorders>
            <w:vAlign w:val="center"/>
          </w:tcPr>
          <w:p w14:paraId="4C61EC31" w14:textId="5B33D10A" w:rsidR="009D556D" w:rsidRPr="00F3115D" w:rsidRDefault="009D556D" w:rsidP="00A31306">
            <w:pPr>
              <w:spacing w:before="60" w:after="60"/>
              <w:jc w:val="center"/>
              <w:rPr>
                <w:sz w:val="18"/>
                <w:szCs w:val="18"/>
                <w:lang w:eastAsia="en-AU"/>
              </w:rPr>
            </w:pPr>
            <w:r w:rsidRPr="00F3115D">
              <w:rPr>
                <w:rFonts w:asciiTheme="majorHAnsi" w:hAnsiTheme="majorHAnsi" w:cstheme="majorHAnsi"/>
                <w:sz w:val="18"/>
                <w:szCs w:val="18"/>
                <w:lang w:eastAsia="en-AU"/>
              </w:rPr>
              <w:t>#</w:t>
            </w:r>
          </w:p>
        </w:tc>
        <w:tc>
          <w:tcPr>
            <w:tcW w:w="3393" w:type="dxa"/>
            <w:tcBorders>
              <w:top w:val="nil"/>
              <w:left w:val="single" w:sz="4" w:space="0" w:color="E6E6E1" w:themeColor="accent5"/>
              <w:bottom w:val="single" w:sz="4" w:space="0" w:color="E6E6E1" w:themeColor="accent5"/>
              <w:right w:val="single" w:sz="4" w:space="0" w:color="FFFFFF" w:themeColor="background1"/>
            </w:tcBorders>
          </w:tcPr>
          <w:p w14:paraId="63AEED30" w14:textId="6DE7462B" w:rsidR="009D556D" w:rsidRPr="00F3115D" w:rsidRDefault="009D556D" w:rsidP="00A31306">
            <w:pPr>
              <w:spacing w:before="60" w:after="60"/>
              <w:rPr>
                <w:rFonts w:asciiTheme="majorHAnsi" w:hAnsiTheme="majorHAnsi" w:cstheme="majorHAnsi"/>
                <w:sz w:val="18"/>
                <w:szCs w:val="18"/>
              </w:rPr>
            </w:pPr>
            <w:r w:rsidRPr="00F3115D">
              <w:rPr>
                <w:rFonts w:asciiTheme="majorHAnsi" w:hAnsiTheme="majorHAnsi" w:cstheme="majorHAnsi"/>
                <w:sz w:val="18"/>
                <w:szCs w:val="18"/>
                <w:lang w:eastAsia="en-AU"/>
              </w:rPr>
              <w:t>Recommendation</w:t>
            </w:r>
          </w:p>
        </w:tc>
        <w:tc>
          <w:tcPr>
            <w:tcW w:w="5465" w:type="dxa"/>
            <w:tcBorders>
              <w:top w:val="nil"/>
              <w:left w:val="single" w:sz="4" w:space="0" w:color="FFFFFF" w:themeColor="background1"/>
              <w:bottom w:val="single" w:sz="4" w:space="0" w:color="E6E6E1" w:themeColor="accent5"/>
              <w:right w:val="single" w:sz="4" w:space="0" w:color="E6E6E1" w:themeColor="accent5"/>
            </w:tcBorders>
          </w:tcPr>
          <w:p w14:paraId="48CE3F07" w14:textId="5C7BE225" w:rsidR="009D556D" w:rsidRPr="00F3115D" w:rsidRDefault="009D556D" w:rsidP="00A31306">
            <w:pPr>
              <w:spacing w:before="60" w:after="60"/>
              <w:rPr>
                <w:sz w:val="18"/>
                <w:szCs w:val="18"/>
              </w:rPr>
            </w:pPr>
            <w:r w:rsidRPr="00F3115D">
              <w:rPr>
                <w:rFonts w:asciiTheme="majorHAnsi" w:hAnsiTheme="majorHAnsi" w:cstheme="majorHAnsi"/>
                <w:sz w:val="18"/>
                <w:szCs w:val="18"/>
                <w:lang w:eastAsia="en-AU"/>
              </w:rPr>
              <w:t>Benefit</w:t>
            </w:r>
          </w:p>
        </w:tc>
      </w:tr>
      <w:tr w:rsidR="001E30DB" w:rsidRPr="00F3115D" w14:paraId="3AFBEC1D" w14:textId="77777777" w:rsidTr="00397317">
        <w:tc>
          <w:tcPr>
            <w:tcW w:w="546" w:type="dxa"/>
            <w:vMerge w:val="restart"/>
            <w:tcBorders>
              <w:top w:val="single" w:sz="8" w:space="0" w:color="E6E6E1" w:themeColor="accent5"/>
              <w:bottom w:val="single" w:sz="8" w:space="0" w:color="E6E6E1" w:themeColor="accent5"/>
            </w:tcBorders>
            <w:shd w:val="clear" w:color="auto" w:fill="F2F2F2" w:themeFill="background1" w:themeFillShade="F2"/>
            <w:textDirection w:val="btLr"/>
          </w:tcPr>
          <w:p w14:paraId="2B740981" w14:textId="74CE4581" w:rsidR="00D55D26" w:rsidRPr="00F3115D" w:rsidRDefault="00582558" w:rsidP="00397317">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Short-term</w:t>
            </w:r>
            <w:r w:rsidR="0047411C" w:rsidRPr="00F3115D">
              <w:rPr>
                <w:rFonts w:asciiTheme="majorHAnsi" w:hAnsiTheme="majorHAnsi" w:cstheme="majorHAnsi"/>
                <w:sz w:val="18"/>
                <w:szCs w:val="18"/>
                <w:lang w:eastAsia="en-AU"/>
              </w:rPr>
              <w:t xml:space="preserve"> improvements</w:t>
            </w:r>
          </w:p>
        </w:tc>
        <w:tc>
          <w:tcPr>
            <w:tcW w:w="456"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7BAC72FD" w14:textId="648A395F" w:rsidR="00F62C5E" w:rsidRPr="00F3115D" w:rsidRDefault="004F6138" w:rsidP="00A31306">
            <w:pPr>
              <w:spacing w:before="60" w:after="60"/>
              <w:jc w:val="center"/>
              <w:rPr>
                <w:sz w:val="17"/>
                <w:szCs w:val="17"/>
                <w:lang w:eastAsia="en-AU"/>
              </w:rPr>
            </w:pPr>
            <w:r w:rsidRPr="00F3115D">
              <w:rPr>
                <w:sz w:val="17"/>
                <w:szCs w:val="17"/>
                <w:lang w:eastAsia="en-AU"/>
              </w:rPr>
              <w:t>1</w:t>
            </w:r>
            <w:r w:rsidR="00493DDC" w:rsidRPr="00F3115D">
              <w:rPr>
                <w:sz w:val="17"/>
                <w:szCs w:val="17"/>
                <w:lang w:eastAsia="en-AU"/>
              </w:rPr>
              <w:t>2</w:t>
            </w:r>
          </w:p>
        </w:tc>
        <w:tc>
          <w:tcPr>
            <w:tcW w:w="3393"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21C45F5B" w14:textId="5AFA365C" w:rsidR="00F62C5E" w:rsidRPr="00F3115D" w:rsidRDefault="00F62C5E" w:rsidP="00A31306">
            <w:pPr>
              <w:spacing w:before="60" w:after="60"/>
              <w:rPr>
                <w:rFonts w:cs="Times New Roman"/>
                <w:sz w:val="17"/>
                <w:szCs w:val="24"/>
                <w:lang w:eastAsia="en-AU"/>
              </w:rPr>
            </w:pPr>
            <w:r w:rsidRPr="00F3115D">
              <w:rPr>
                <w:rFonts w:asciiTheme="majorHAnsi" w:hAnsiTheme="majorHAnsi" w:cstheme="majorHAnsi"/>
                <w:sz w:val="17"/>
                <w:szCs w:val="17"/>
              </w:rPr>
              <w:t xml:space="preserve">Confirm the </w:t>
            </w:r>
            <w:r w:rsidR="00566493" w:rsidRPr="00F3115D">
              <w:rPr>
                <w:rFonts w:asciiTheme="majorHAnsi" w:hAnsiTheme="majorHAnsi" w:cstheme="majorHAnsi"/>
                <w:sz w:val="17"/>
                <w:szCs w:val="17"/>
              </w:rPr>
              <w:t xml:space="preserve">intended </w:t>
            </w:r>
            <w:r w:rsidRPr="00F3115D">
              <w:rPr>
                <w:rFonts w:asciiTheme="majorHAnsi" w:hAnsiTheme="majorHAnsi" w:cstheme="majorHAnsi"/>
                <w:sz w:val="17"/>
                <w:szCs w:val="17"/>
              </w:rPr>
              <w:t xml:space="preserve">purpose of the OSR </w:t>
            </w:r>
            <w:r w:rsidR="00566493" w:rsidRPr="00F3115D">
              <w:rPr>
                <w:rFonts w:asciiTheme="majorHAnsi" w:hAnsiTheme="majorHAnsi" w:cstheme="majorHAnsi"/>
                <w:sz w:val="17"/>
                <w:szCs w:val="17"/>
              </w:rPr>
              <w:t xml:space="preserve">as aiding assurance and allocation of funding and strategic planning </w:t>
            </w:r>
            <w:r w:rsidRPr="00F3115D">
              <w:rPr>
                <w:rFonts w:asciiTheme="majorHAnsi" w:hAnsiTheme="majorHAnsi" w:cstheme="majorHAnsi"/>
                <w:sz w:val="17"/>
                <w:szCs w:val="17"/>
              </w:rPr>
              <w:t>and explain how the collection is used to achieve these purposes.</w:t>
            </w:r>
          </w:p>
        </w:tc>
        <w:tc>
          <w:tcPr>
            <w:tcW w:w="5465"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58ADAE3" w14:textId="2A90DECA" w:rsidR="00F62C5E" w:rsidRPr="00F3115D" w:rsidRDefault="00F62C5E" w:rsidP="00A31306">
            <w:pPr>
              <w:spacing w:before="60" w:after="60"/>
              <w:rPr>
                <w:sz w:val="17"/>
                <w:szCs w:val="17"/>
                <w:lang w:eastAsia="en-AU"/>
              </w:rPr>
            </w:pPr>
            <w:r w:rsidRPr="00F3115D">
              <w:rPr>
                <w:sz w:val="17"/>
                <w:szCs w:val="17"/>
              </w:rPr>
              <w:t xml:space="preserve">Clarifies how OSR data is used </w:t>
            </w:r>
            <w:r w:rsidR="003E5642">
              <w:rPr>
                <w:sz w:val="17"/>
                <w:szCs w:val="17"/>
              </w:rPr>
              <w:t xml:space="preserve">by the Department </w:t>
            </w:r>
            <w:r w:rsidRPr="00F3115D">
              <w:rPr>
                <w:sz w:val="17"/>
                <w:szCs w:val="17"/>
              </w:rPr>
              <w:t>and where its use is limited, strengthening trust among PHC services, reducing perceptions of one</w:t>
            </w:r>
            <w:r w:rsidRPr="00F3115D">
              <w:rPr>
                <w:sz w:val="17"/>
                <w:szCs w:val="17"/>
              </w:rPr>
              <w:noBreakHyphen/>
              <w:t>way reporting, and supporting more consistent and disciplined stewardship of the collection without increasing reporting burden.</w:t>
            </w:r>
          </w:p>
        </w:tc>
      </w:tr>
      <w:tr w:rsidR="001E30DB" w:rsidRPr="00F3115D" w14:paraId="6AF7CAF0" w14:textId="77777777" w:rsidTr="00FA4764">
        <w:tc>
          <w:tcPr>
            <w:tcW w:w="546" w:type="dxa"/>
            <w:vMerge/>
            <w:tcBorders>
              <w:top w:val="single" w:sz="8" w:space="0" w:color="E6E6E1" w:themeColor="accent5"/>
              <w:bottom w:val="single" w:sz="8" w:space="0" w:color="E6E6E1" w:themeColor="accent5"/>
            </w:tcBorders>
            <w:shd w:val="clear" w:color="auto" w:fill="F2F2F2" w:themeFill="background1" w:themeFillShade="F2"/>
          </w:tcPr>
          <w:p w14:paraId="456E0F01" w14:textId="77777777" w:rsidR="00D55D26" w:rsidRPr="00F3115D" w:rsidRDefault="00D55D26" w:rsidP="00A31306">
            <w:pPr>
              <w:spacing w:before="60" w:after="60"/>
              <w:rPr>
                <w:sz w:val="17"/>
                <w:szCs w:val="17"/>
                <w:lang w:eastAsia="en-AU"/>
              </w:rPr>
            </w:pPr>
          </w:p>
        </w:tc>
        <w:tc>
          <w:tcPr>
            <w:tcW w:w="456"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3B50ED30" w14:textId="7DE500F3" w:rsidR="00F62C5E" w:rsidRPr="00F3115D" w:rsidRDefault="00493DDC" w:rsidP="00A31306">
            <w:pPr>
              <w:spacing w:before="60" w:after="60"/>
              <w:jc w:val="center"/>
              <w:rPr>
                <w:sz w:val="17"/>
                <w:szCs w:val="17"/>
                <w:lang w:eastAsia="en-AU"/>
              </w:rPr>
            </w:pPr>
            <w:r w:rsidRPr="00F3115D">
              <w:rPr>
                <w:sz w:val="17"/>
                <w:szCs w:val="17"/>
                <w:lang w:eastAsia="en-AU"/>
              </w:rPr>
              <w:t>13</w:t>
            </w:r>
          </w:p>
        </w:tc>
        <w:tc>
          <w:tcPr>
            <w:tcW w:w="3393"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2AA815AB" w14:textId="2EBC64C7" w:rsidR="00F62C5E" w:rsidRPr="00F3115D" w:rsidRDefault="00F43EAC" w:rsidP="00A31306">
            <w:pPr>
              <w:spacing w:before="60" w:after="60"/>
              <w:rPr>
                <w:rFonts w:asciiTheme="majorHAnsi" w:hAnsiTheme="majorHAnsi" w:cstheme="majorHAnsi"/>
                <w:sz w:val="17"/>
                <w:szCs w:val="17"/>
                <w:lang w:eastAsia="en-AU"/>
              </w:rPr>
            </w:pPr>
            <w:r w:rsidRPr="00F3115D">
              <w:rPr>
                <w:rFonts w:asciiTheme="majorHAnsi" w:eastAsiaTheme="minorEastAsia" w:hAnsiTheme="majorHAnsi" w:cstheme="majorHAnsi"/>
                <w:color w:val="000000" w:themeColor="dark1"/>
                <w:kern w:val="24"/>
                <w:sz w:val="17"/>
                <w:szCs w:val="17"/>
              </w:rPr>
              <w:t xml:space="preserve">Refine </w:t>
            </w:r>
            <w:r w:rsidR="00F62C5E" w:rsidRPr="00F3115D">
              <w:rPr>
                <w:rFonts w:asciiTheme="majorHAnsi" w:eastAsiaTheme="minorEastAsia" w:hAnsiTheme="majorHAnsi" w:cstheme="majorHAnsi"/>
                <w:color w:val="000000" w:themeColor="dark1"/>
                <w:kern w:val="24"/>
                <w:sz w:val="17"/>
                <w:szCs w:val="17"/>
              </w:rPr>
              <w:t xml:space="preserve">OSR workforce reporting to </w:t>
            </w:r>
            <w:r w:rsidRPr="00F3115D">
              <w:rPr>
                <w:rFonts w:asciiTheme="majorHAnsi" w:eastAsiaTheme="minorEastAsia" w:hAnsiTheme="majorHAnsi" w:cstheme="majorHAnsi"/>
                <w:color w:val="000000" w:themeColor="dark1"/>
                <w:kern w:val="24"/>
                <w:sz w:val="17"/>
                <w:szCs w:val="17"/>
              </w:rPr>
              <w:t xml:space="preserve">improve clarity, consistency and fitness for purpose. </w:t>
            </w:r>
            <w:r w:rsidR="00F62C5E" w:rsidRPr="00F3115D">
              <w:rPr>
                <w:rFonts w:asciiTheme="majorHAnsi" w:eastAsiaTheme="minorEastAsia" w:hAnsiTheme="majorHAnsi" w:cstheme="majorHAnsi"/>
                <w:color w:val="000000" w:themeColor="dark1"/>
                <w:kern w:val="24"/>
                <w:sz w:val="17"/>
                <w:szCs w:val="17"/>
              </w:rPr>
              <w:t xml:space="preserve"> </w:t>
            </w:r>
          </w:p>
        </w:tc>
        <w:tc>
          <w:tcPr>
            <w:tcW w:w="5465"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D5402B0" w14:textId="48208EB2" w:rsidR="00F62C5E" w:rsidRPr="00F3115D" w:rsidRDefault="00AC08DB" w:rsidP="00A31306">
            <w:pPr>
              <w:spacing w:before="60" w:after="60"/>
              <w:rPr>
                <w:sz w:val="17"/>
                <w:szCs w:val="17"/>
                <w:lang w:eastAsia="en-AU"/>
              </w:rPr>
            </w:pPr>
            <w:r w:rsidRPr="00F3115D">
              <w:rPr>
                <w:sz w:val="17"/>
                <w:szCs w:val="17"/>
              </w:rPr>
              <w:t>Reduces manual reconciliation and improves comparability by aligning workforce categories with common PHC workforce descriptors, supported by clearer mapping guidance, while maintaining appropriate granularity for system-level workforce analysis.</w:t>
            </w:r>
          </w:p>
        </w:tc>
      </w:tr>
      <w:tr w:rsidR="001E30DB" w:rsidRPr="00F3115D" w14:paraId="0E134EF4" w14:textId="77777777" w:rsidTr="00FA4764">
        <w:tc>
          <w:tcPr>
            <w:tcW w:w="546" w:type="dxa"/>
            <w:vMerge/>
            <w:tcBorders>
              <w:top w:val="single" w:sz="8" w:space="0" w:color="E6E6E1" w:themeColor="accent5"/>
              <w:bottom w:val="single" w:sz="8" w:space="0" w:color="E6E6E1" w:themeColor="accent5"/>
            </w:tcBorders>
            <w:shd w:val="clear" w:color="auto" w:fill="F2F2F2" w:themeFill="background1" w:themeFillShade="F2"/>
          </w:tcPr>
          <w:p w14:paraId="4F222146" w14:textId="77777777" w:rsidR="00D55D26" w:rsidRPr="00F3115D" w:rsidRDefault="00D55D26" w:rsidP="00A31306">
            <w:pPr>
              <w:spacing w:before="60" w:after="60"/>
              <w:rPr>
                <w:sz w:val="17"/>
                <w:szCs w:val="17"/>
                <w:lang w:eastAsia="en-AU"/>
              </w:rPr>
            </w:pPr>
          </w:p>
        </w:tc>
        <w:tc>
          <w:tcPr>
            <w:tcW w:w="456"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3F315173" w14:textId="55625E0A" w:rsidR="00F62C5E" w:rsidRPr="00F3115D" w:rsidRDefault="00084108" w:rsidP="00A31306">
            <w:pPr>
              <w:spacing w:before="60" w:after="60"/>
              <w:jc w:val="center"/>
              <w:rPr>
                <w:sz w:val="17"/>
                <w:szCs w:val="17"/>
                <w:lang w:eastAsia="en-AU"/>
              </w:rPr>
            </w:pPr>
            <w:r w:rsidRPr="00F3115D">
              <w:rPr>
                <w:sz w:val="17"/>
                <w:szCs w:val="17"/>
                <w:lang w:eastAsia="en-AU"/>
              </w:rPr>
              <w:t>1</w:t>
            </w:r>
            <w:r w:rsidR="00493DDC" w:rsidRPr="00F3115D">
              <w:rPr>
                <w:sz w:val="17"/>
                <w:szCs w:val="17"/>
                <w:lang w:eastAsia="en-AU"/>
              </w:rPr>
              <w:t>4</w:t>
            </w:r>
          </w:p>
        </w:tc>
        <w:tc>
          <w:tcPr>
            <w:tcW w:w="3393"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20E70C8" w14:textId="53488ECF" w:rsidR="00F62C5E" w:rsidRPr="00F3115D" w:rsidRDefault="00594C6F" w:rsidP="00A31306">
            <w:pPr>
              <w:spacing w:before="60" w:after="60"/>
              <w:rPr>
                <w:rFonts w:asciiTheme="majorHAnsi" w:hAnsiTheme="majorHAnsi" w:cstheme="majorHAnsi"/>
                <w:sz w:val="17"/>
                <w:szCs w:val="17"/>
                <w:lang w:eastAsia="en-AU"/>
              </w:rPr>
            </w:pPr>
            <w:r w:rsidRPr="00F3115D">
              <w:rPr>
                <w:rFonts w:asciiTheme="majorHAnsi" w:eastAsiaTheme="minorEastAsia" w:hAnsiTheme="majorHAnsi" w:cstheme="majorHAnsi"/>
                <w:color w:val="000000" w:themeColor="dark1"/>
                <w:kern w:val="24"/>
                <w:sz w:val="17"/>
                <w:szCs w:val="17"/>
              </w:rPr>
              <w:t>Assess options to improve the usefulness of OSR vacancy measures.</w:t>
            </w:r>
          </w:p>
        </w:tc>
        <w:tc>
          <w:tcPr>
            <w:tcW w:w="5465"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5F0997D9" w14:textId="77777777" w:rsidR="00F62C5E" w:rsidRPr="00F3115D" w:rsidRDefault="00F62C5E" w:rsidP="00A31306">
            <w:pPr>
              <w:spacing w:before="60" w:after="60"/>
              <w:rPr>
                <w:sz w:val="17"/>
                <w:szCs w:val="17"/>
                <w:lang w:eastAsia="en-AU"/>
              </w:rPr>
            </w:pPr>
            <w:r w:rsidRPr="00F3115D">
              <w:rPr>
                <w:sz w:val="17"/>
                <w:szCs w:val="17"/>
              </w:rPr>
              <w:t>Improves the interpretability and usefulness of vacancy data by better reflecting sustained workforce pressure over time, supporting more accurate system</w:t>
            </w:r>
            <w:r w:rsidRPr="00F3115D">
              <w:rPr>
                <w:sz w:val="17"/>
                <w:szCs w:val="17"/>
              </w:rPr>
              <w:noBreakHyphen/>
              <w:t>level understanding without increasing reporting complexity for services.</w:t>
            </w:r>
          </w:p>
        </w:tc>
      </w:tr>
      <w:tr w:rsidR="009452A9" w:rsidRPr="00F3115D" w14:paraId="602984EA" w14:textId="77777777" w:rsidTr="00FA4764">
        <w:tc>
          <w:tcPr>
            <w:tcW w:w="546" w:type="dxa"/>
            <w:vMerge/>
            <w:tcBorders>
              <w:top w:val="single" w:sz="8" w:space="0" w:color="E6E6E1" w:themeColor="accent5"/>
              <w:bottom w:val="single" w:sz="4" w:space="0" w:color="E6E6E1" w:themeColor="accent5"/>
            </w:tcBorders>
            <w:shd w:val="clear" w:color="auto" w:fill="F2F2F2" w:themeFill="background1" w:themeFillShade="F2"/>
          </w:tcPr>
          <w:p w14:paraId="4CD41977" w14:textId="77777777" w:rsidR="00D55D26" w:rsidRPr="00F3115D" w:rsidRDefault="00D55D26" w:rsidP="00A31306">
            <w:pPr>
              <w:spacing w:before="60" w:after="60"/>
              <w:rPr>
                <w:sz w:val="17"/>
                <w:szCs w:val="17"/>
                <w:lang w:eastAsia="en-AU"/>
              </w:rPr>
            </w:pPr>
          </w:p>
        </w:tc>
        <w:tc>
          <w:tcPr>
            <w:tcW w:w="456" w:type="dxa"/>
            <w:tcBorders>
              <w:top w:val="single" w:sz="8" w:space="0" w:color="E6E6E1" w:themeColor="accent5"/>
              <w:left w:val="single" w:sz="4" w:space="0" w:color="E6E6E1" w:themeColor="accent5"/>
              <w:bottom w:val="single" w:sz="4" w:space="0" w:color="E6E6E1" w:themeColor="accent5"/>
              <w:right w:val="single" w:sz="4" w:space="0" w:color="E6E6E1" w:themeColor="accent5"/>
            </w:tcBorders>
            <w:vAlign w:val="center"/>
          </w:tcPr>
          <w:p w14:paraId="15C8A86E" w14:textId="76882594" w:rsidR="00F62C5E" w:rsidRPr="00F3115D" w:rsidRDefault="008F68E4" w:rsidP="00A31306">
            <w:pPr>
              <w:spacing w:before="60" w:after="60"/>
              <w:jc w:val="center"/>
              <w:rPr>
                <w:sz w:val="17"/>
                <w:szCs w:val="17"/>
                <w:lang w:eastAsia="en-AU"/>
              </w:rPr>
            </w:pPr>
            <w:r w:rsidRPr="00F3115D">
              <w:rPr>
                <w:sz w:val="17"/>
                <w:szCs w:val="17"/>
                <w:lang w:eastAsia="en-AU"/>
              </w:rPr>
              <w:t>15</w:t>
            </w:r>
          </w:p>
        </w:tc>
        <w:tc>
          <w:tcPr>
            <w:tcW w:w="3393"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4DF249DE" w14:textId="42AF6AB6" w:rsidR="00F62C5E" w:rsidRPr="00F3115D" w:rsidRDefault="00D92095" w:rsidP="00A31306">
            <w:pPr>
              <w:spacing w:before="60" w:after="60"/>
              <w:rPr>
                <w:rFonts w:asciiTheme="majorHAnsi" w:hAnsiTheme="majorHAnsi" w:cstheme="majorHAnsi"/>
                <w:sz w:val="17"/>
                <w:szCs w:val="17"/>
                <w:lang w:eastAsia="en-AU"/>
              </w:rPr>
            </w:pPr>
            <w:r>
              <w:rPr>
                <w:rFonts w:asciiTheme="majorHAnsi" w:eastAsiaTheme="minorEastAsia" w:hAnsiTheme="majorHAnsi" w:cstheme="majorHAnsi"/>
                <w:color w:val="000000" w:themeColor="dark1"/>
                <w:kern w:val="24"/>
                <w:sz w:val="17"/>
                <w:szCs w:val="17"/>
              </w:rPr>
              <w:t>Explore options to</w:t>
            </w:r>
            <w:r w:rsidR="008A01B4" w:rsidRPr="00F3115D">
              <w:rPr>
                <w:rFonts w:asciiTheme="majorHAnsi" w:eastAsiaTheme="minorEastAsia" w:hAnsiTheme="majorHAnsi" w:cstheme="majorHAnsi"/>
                <w:color w:val="000000" w:themeColor="dark1"/>
                <w:kern w:val="24"/>
                <w:sz w:val="17"/>
                <w:szCs w:val="17"/>
              </w:rPr>
              <w:t xml:space="preserve"> better reflect differences in service intensity, while maintaining the current underlying data inputs.</w:t>
            </w:r>
          </w:p>
        </w:tc>
        <w:tc>
          <w:tcPr>
            <w:tcW w:w="5465"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308B58B" w14:textId="26AF0BB6" w:rsidR="00F62C5E" w:rsidRPr="00F3115D" w:rsidRDefault="0017648E" w:rsidP="00A31306">
            <w:pPr>
              <w:spacing w:before="60" w:after="60"/>
              <w:rPr>
                <w:sz w:val="17"/>
                <w:szCs w:val="17"/>
                <w:lang w:eastAsia="en-AU"/>
              </w:rPr>
            </w:pPr>
            <w:r w:rsidRPr="0017648E">
              <w:rPr>
                <w:sz w:val="17"/>
                <w:szCs w:val="17"/>
              </w:rPr>
              <w:t>Improves transparency and confidence in how OSR activity data is interpreted by making differences in service intensity more visible from data already collected. This responds to a widely held sector concern that comprehensive, multidisciplinary care is understated, without introducing new reporting requirements or increasing burden on services.</w:t>
            </w:r>
          </w:p>
        </w:tc>
      </w:tr>
    </w:tbl>
    <w:p w14:paraId="49943744" w14:textId="190EB58A" w:rsidR="00725750" w:rsidRPr="00F3115D" w:rsidRDefault="00725750"/>
    <w:p w14:paraId="66FF9C66" w14:textId="7CF02043" w:rsidR="009F7180" w:rsidRDefault="006D3EE9" w:rsidP="006D3EE9">
      <w:pPr>
        <w:pStyle w:val="Caption"/>
      </w:pPr>
      <w:r>
        <w:t xml:space="preserve">Table </w:t>
      </w:r>
      <w:r>
        <w:fldChar w:fldCharType="begin"/>
      </w:r>
      <w:r>
        <w:instrText xml:space="preserve"> SEQ Table \* ARABIC </w:instrText>
      </w:r>
      <w:r>
        <w:fldChar w:fldCharType="separate"/>
      </w:r>
      <w:r>
        <w:rPr>
          <w:noProof/>
        </w:rPr>
        <w:t>4</w:t>
      </w:r>
      <w:r>
        <w:fldChar w:fldCharType="end"/>
      </w:r>
      <w:r w:rsidR="009F7180" w:rsidRPr="00F3115D">
        <w:t xml:space="preserve"> | Recommendations – Data Platforms and Infrastructure</w:t>
      </w:r>
    </w:p>
    <w:tbl>
      <w:tblPr>
        <w:tblStyle w:val="NOUS"/>
        <w:tblpPr w:leftFromText="180" w:rightFromText="180" w:vertAnchor="text" w:tblpY="83"/>
        <w:tblW w:w="0" w:type="auto"/>
        <w:tblLook w:val="04A0" w:firstRow="1" w:lastRow="0" w:firstColumn="1" w:lastColumn="0" w:noHBand="0" w:noVBand="1"/>
      </w:tblPr>
      <w:tblGrid>
        <w:gridCol w:w="542"/>
        <w:gridCol w:w="9318"/>
      </w:tblGrid>
      <w:tr w:rsidR="005D6887" w:rsidRPr="00F3115D" w14:paraId="510AC7EC" w14:textId="77777777" w:rsidTr="00A54084">
        <w:trPr>
          <w:cnfStyle w:val="100000000000" w:firstRow="1" w:lastRow="0" w:firstColumn="0" w:lastColumn="0" w:oddVBand="0" w:evenVBand="0" w:oddHBand="0" w:evenHBand="0" w:firstRowFirstColumn="0" w:firstRowLastColumn="0" w:lastRowFirstColumn="0" w:lastRowLastColumn="0"/>
        </w:trPr>
        <w:tc>
          <w:tcPr>
            <w:tcW w:w="542" w:type="dxa"/>
            <w:tcBorders>
              <w:top w:val="single" w:sz="4" w:space="0" w:color="FFFFFF" w:themeColor="background1"/>
              <w:right w:val="single" w:sz="4" w:space="0" w:color="00264D" w:themeColor="background2"/>
            </w:tcBorders>
            <w:shd w:val="clear" w:color="auto" w:fill="FFFFFF" w:themeFill="background1"/>
          </w:tcPr>
          <w:p w14:paraId="1855B624" w14:textId="77777777" w:rsidR="005D6887" w:rsidRPr="00F3115D" w:rsidRDefault="005D6887" w:rsidP="00A54084">
            <w:pPr>
              <w:spacing w:before="60" w:after="60"/>
              <w:rPr>
                <w:rFonts w:asciiTheme="majorHAnsi" w:hAnsiTheme="majorHAnsi" w:cstheme="majorHAnsi"/>
                <w:sz w:val="17"/>
                <w:szCs w:val="17"/>
                <w:lang w:eastAsia="en-AU"/>
              </w:rPr>
            </w:pPr>
          </w:p>
        </w:tc>
        <w:tc>
          <w:tcPr>
            <w:tcW w:w="9318" w:type="dxa"/>
            <w:tcBorders>
              <w:left w:val="single" w:sz="4" w:space="0" w:color="00264D" w:themeColor="background2"/>
              <w:right w:val="single" w:sz="4" w:space="0" w:color="00264D" w:themeColor="background2"/>
            </w:tcBorders>
            <w:shd w:val="clear" w:color="auto" w:fill="00264D" w:themeFill="background2"/>
          </w:tcPr>
          <w:p w14:paraId="2B3951FB" w14:textId="77777777" w:rsidR="005D6887" w:rsidRPr="00F3115D" w:rsidRDefault="005D6887" w:rsidP="00A54084">
            <w:pPr>
              <w:spacing w:before="60" w:after="60"/>
              <w:rPr>
                <w:rFonts w:asciiTheme="majorHAnsi" w:hAnsiTheme="majorHAnsi" w:cstheme="majorHAnsi"/>
                <w:sz w:val="17"/>
                <w:szCs w:val="17"/>
                <w:lang w:eastAsia="en-AU"/>
              </w:rPr>
            </w:pPr>
            <w:r w:rsidRPr="00F3115D">
              <w:rPr>
                <w:rFonts w:asciiTheme="majorHAnsi" w:hAnsiTheme="majorHAnsi" w:cstheme="majorHAnsi"/>
                <w:color w:val="FFFFFF" w:themeColor="background1"/>
                <w:sz w:val="20"/>
                <w:szCs w:val="20"/>
                <w:lang w:eastAsia="en-AU"/>
              </w:rPr>
              <w:t>Data Platforms and Infrastructure</w:t>
            </w:r>
          </w:p>
        </w:tc>
      </w:tr>
    </w:tbl>
    <w:p w14:paraId="4E867C27" w14:textId="77777777" w:rsidR="005D6887" w:rsidRPr="005D6887" w:rsidRDefault="005D6887" w:rsidP="005D6887">
      <w:pPr>
        <w:rPr>
          <w:sz w:val="8"/>
          <w:szCs w:val="10"/>
        </w:rPr>
      </w:pPr>
    </w:p>
    <w:tbl>
      <w:tblPr>
        <w:tblStyle w:val="NOUS"/>
        <w:tblpPr w:leftFromText="180" w:rightFromText="180" w:vertAnchor="text" w:tblpY="83"/>
        <w:tblW w:w="0" w:type="auto"/>
        <w:tblLook w:val="04A0" w:firstRow="1" w:lastRow="0" w:firstColumn="1" w:lastColumn="0" w:noHBand="0" w:noVBand="1"/>
      </w:tblPr>
      <w:tblGrid>
        <w:gridCol w:w="542"/>
        <w:gridCol w:w="464"/>
        <w:gridCol w:w="3247"/>
        <w:gridCol w:w="5607"/>
      </w:tblGrid>
      <w:tr w:rsidR="009452A9" w:rsidRPr="00F3115D" w14:paraId="365E4ED7" w14:textId="77777777" w:rsidTr="00FA4764">
        <w:trPr>
          <w:cnfStyle w:val="100000000000" w:firstRow="1" w:lastRow="0" w:firstColumn="0" w:lastColumn="0" w:oddVBand="0" w:evenVBand="0" w:oddHBand="0" w:evenHBand="0" w:firstRowFirstColumn="0" w:firstRowLastColumn="0" w:lastRowFirstColumn="0" w:lastRowLastColumn="0"/>
        </w:trPr>
        <w:tc>
          <w:tcPr>
            <w:tcW w:w="542" w:type="dxa"/>
            <w:tcBorders>
              <w:top w:val="nil"/>
              <w:bottom w:val="single" w:sz="8" w:space="0" w:color="E6E6E1" w:themeColor="accent5"/>
            </w:tcBorders>
            <w:shd w:val="clear" w:color="auto" w:fill="FFFFFF" w:themeFill="background1"/>
            <w:textDirection w:val="btLr"/>
          </w:tcPr>
          <w:p w14:paraId="12D9E02F" w14:textId="77777777" w:rsidR="009F7180" w:rsidRPr="00F3115D" w:rsidRDefault="009F7180" w:rsidP="00CA3A4B">
            <w:pPr>
              <w:spacing w:before="60" w:after="60"/>
              <w:ind w:left="113" w:right="113"/>
              <w:jc w:val="center"/>
              <w:rPr>
                <w:rFonts w:asciiTheme="majorHAnsi" w:hAnsiTheme="majorHAnsi" w:cstheme="majorHAnsi"/>
                <w:sz w:val="17"/>
                <w:szCs w:val="17"/>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4B7A2429" w14:textId="77777777" w:rsidR="009F7180" w:rsidRPr="00F3115D" w:rsidRDefault="009F7180" w:rsidP="00774C69">
            <w:pPr>
              <w:spacing w:before="60" w:after="60"/>
              <w:jc w:val="center"/>
              <w:rPr>
                <w:sz w:val="18"/>
                <w:szCs w:val="18"/>
                <w:lang w:eastAsia="en-AU"/>
              </w:rPr>
            </w:pPr>
            <w:r w:rsidRPr="00F3115D">
              <w:rPr>
                <w:rFonts w:asciiTheme="majorHAnsi" w:hAnsiTheme="majorHAnsi" w:cstheme="majorHAnsi"/>
                <w:sz w:val="18"/>
                <w:szCs w:val="18"/>
                <w:lang w:eastAsia="en-AU"/>
              </w:rPr>
              <w:t>#</w:t>
            </w:r>
          </w:p>
        </w:tc>
        <w:tc>
          <w:tcPr>
            <w:tcW w:w="3247" w:type="dxa"/>
            <w:tcBorders>
              <w:top w:val="single" w:sz="4" w:space="0" w:color="E6E6E1" w:themeColor="accent5"/>
              <w:left w:val="single" w:sz="4" w:space="0" w:color="E6E6E1" w:themeColor="accent5"/>
              <w:bottom w:val="single" w:sz="4" w:space="0" w:color="E6E6E1" w:themeColor="accent5"/>
              <w:right w:val="single" w:sz="4" w:space="0" w:color="FFFFFF" w:themeColor="background1"/>
            </w:tcBorders>
          </w:tcPr>
          <w:p w14:paraId="27CA1339" w14:textId="77777777" w:rsidR="009F7180" w:rsidRPr="00F3115D" w:rsidRDefault="009F7180" w:rsidP="00CA3A4B">
            <w:pPr>
              <w:spacing w:before="60" w:after="60"/>
              <w:rPr>
                <w:rFonts w:asciiTheme="majorHAnsi" w:hAnsiTheme="majorHAnsi" w:cstheme="majorHAnsi"/>
                <w:sz w:val="18"/>
                <w:szCs w:val="18"/>
              </w:rPr>
            </w:pPr>
            <w:r w:rsidRPr="00F3115D">
              <w:rPr>
                <w:rFonts w:asciiTheme="majorHAnsi" w:hAnsiTheme="majorHAnsi" w:cstheme="majorHAnsi"/>
                <w:sz w:val="18"/>
                <w:szCs w:val="18"/>
                <w:lang w:eastAsia="en-AU"/>
              </w:rPr>
              <w:t>Recommendation</w:t>
            </w:r>
          </w:p>
        </w:tc>
        <w:tc>
          <w:tcPr>
            <w:tcW w:w="5607" w:type="dxa"/>
            <w:tcBorders>
              <w:top w:val="single" w:sz="4" w:space="0" w:color="E6E6E1" w:themeColor="accent5"/>
              <w:left w:val="single" w:sz="4" w:space="0" w:color="FFFFFF" w:themeColor="background1"/>
              <w:bottom w:val="single" w:sz="4" w:space="0" w:color="E6E6E1" w:themeColor="accent5"/>
              <w:right w:val="single" w:sz="4" w:space="0" w:color="E6E6E1" w:themeColor="accent5"/>
            </w:tcBorders>
          </w:tcPr>
          <w:p w14:paraId="0E503718" w14:textId="77777777" w:rsidR="009F7180" w:rsidRPr="00F3115D" w:rsidRDefault="009F7180" w:rsidP="00CA3A4B">
            <w:pPr>
              <w:spacing w:before="60" w:after="60"/>
              <w:rPr>
                <w:sz w:val="18"/>
                <w:szCs w:val="18"/>
              </w:rPr>
            </w:pPr>
            <w:r w:rsidRPr="00F3115D">
              <w:rPr>
                <w:rFonts w:asciiTheme="majorHAnsi" w:hAnsiTheme="majorHAnsi" w:cstheme="majorHAnsi"/>
                <w:sz w:val="18"/>
                <w:szCs w:val="18"/>
                <w:lang w:eastAsia="en-AU"/>
              </w:rPr>
              <w:t>Benefit</w:t>
            </w:r>
          </w:p>
        </w:tc>
      </w:tr>
      <w:tr w:rsidR="00BB753F" w:rsidRPr="00F3115D" w14:paraId="5DA73EC0" w14:textId="77777777" w:rsidTr="00FA4764">
        <w:tc>
          <w:tcPr>
            <w:tcW w:w="542" w:type="dxa"/>
            <w:vMerge w:val="restart"/>
            <w:tcBorders>
              <w:top w:val="single" w:sz="8" w:space="0" w:color="E6E6E1" w:themeColor="accent5"/>
              <w:bottom w:val="single" w:sz="4" w:space="0" w:color="00264D" w:themeColor="background2"/>
            </w:tcBorders>
            <w:shd w:val="clear" w:color="auto" w:fill="F2F2F2" w:themeFill="background1" w:themeFillShade="F2"/>
            <w:textDirection w:val="btLr"/>
          </w:tcPr>
          <w:p w14:paraId="5B034DA5" w14:textId="55EC6044" w:rsidR="009F7180" w:rsidRPr="00F3115D" w:rsidRDefault="00582558" w:rsidP="00CA3A4B">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Short-term</w:t>
            </w:r>
            <w:r w:rsidR="009F7180" w:rsidRPr="00F3115D">
              <w:rPr>
                <w:rFonts w:asciiTheme="majorHAnsi" w:hAnsiTheme="majorHAnsi" w:cstheme="majorHAnsi"/>
                <w:sz w:val="18"/>
                <w:szCs w:val="18"/>
                <w:lang w:eastAsia="en-AU"/>
              </w:rPr>
              <w:t xml:space="preserve"> improvements</w:t>
            </w: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28C68DFB" w14:textId="4E765168" w:rsidR="009F7180" w:rsidRPr="00F3115D" w:rsidRDefault="009F7180" w:rsidP="00774C69">
            <w:pPr>
              <w:spacing w:before="60" w:after="60"/>
              <w:jc w:val="center"/>
              <w:rPr>
                <w:sz w:val="17"/>
                <w:szCs w:val="17"/>
                <w:lang w:eastAsia="en-AU"/>
              </w:rPr>
            </w:pPr>
            <w:r w:rsidRPr="00F3115D">
              <w:rPr>
                <w:sz w:val="17"/>
                <w:szCs w:val="17"/>
                <w:lang w:eastAsia="en-AU"/>
              </w:rPr>
              <w:t>1</w:t>
            </w:r>
            <w:r w:rsidR="00591ADB" w:rsidRPr="00F3115D">
              <w:rPr>
                <w:sz w:val="17"/>
                <w:szCs w:val="17"/>
                <w:lang w:eastAsia="en-AU"/>
              </w:rPr>
              <w:t>6</w:t>
            </w:r>
          </w:p>
        </w:tc>
        <w:tc>
          <w:tcPr>
            <w:tcW w:w="324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441A442" w14:textId="3A656311" w:rsidR="009F7180" w:rsidRPr="00F3115D" w:rsidRDefault="00642D18" w:rsidP="00CA3A4B">
            <w:pPr>
              <w:spacing w:before="60" w:after="60"/>
              <w:rPr>
                <w:rFonts w:cs="Times New Roman"/>
                <w:sz w:val="17"/>
                <w:szCs w:val="24"/>
                <w:lang w:eastAsia="en-AU"/>
              </w:rPr>
            </w:pPr>
            <w:r w:rsidRPr="00F3115D">
              <w:rPr>
                <w:rFonts w:asciiTheme="majorHAnsi" w:eastAsiaTheme="minorEastAsia" w:hAnsiTheme="majorHAnsi" w:cstheme="majorHAnsi"/>
                <w:color w:val="000000" w:themeColor="dark1"/>
                <w:kern w:val="24"/>
                <w:sz w:val="17"/>
                <w:szCs w:val="17"/>
              </w:rPr>
              <w:t>Continue existing data quality support and invest in a sector-wide data literacy uplift across First Nations PHC services.</w:t>
            </w:r>
          </w:p>
        </w:tc>
        <w:tc>
          <w:tcPr>
            <w:tcW w:w="560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tcPr>
          <w:p w14:paraId="45475C28" w14:textId="5E9651C6" w:rsidR="009F7180" w:rsidRPr="00F3115D" w:rsidRDefault="009B5C4F" w:rsidP="00CA3A4B">
            <w:pPr>
              <w:spacing w:before="60" w:after="60"/>
              <w:rPr>
                <w:sz w:val="17"/>
                <w:szCs w:val="17"/>
                <w:lang w:eastAsia="en-AU"/>
              </w:rPr>
            </w:pPr>
            <w:r w:rsidRPr="00F3115D">
              <w:rPr>
                <w:sz w:val="17"/>
                <w:szCs w:val="17"/>
                <w:lang w:eastAsia="en-AU"/>
              </w:rPr>
              <w:t>Improves data quality and consistency at the point of care by building workforce data capability and strengthening CIS-specific data capture practices, reducing downstream reporting effort and increasing confidence in reported results across both current and future data environments.</w:t>
            </w:r>
          </w:p>
        </w:tc>
      </w:tr>
      <w:tr w:rsidR="00B0079A" w:rsidRPr="00F3115D" w14:paraId="25981EA0" w14:textId="77777777" w:rsidTr="00FA4764">
        <w:trPr>
          <w:trHeight w:val="1136"/>
        </w:trPr>
        <w:tc>
          <w:tcPr>
            <w:tcW w:w="542" w:type="dxa"/>
            <w:vMerge/>
            <w:tcBorders>
              <w:top w:val="single" w:sz="8" w:space="0" w:color="E6E6E1" w:themeColor="accent5"/>
              <w:bottom w:val="single" w:sz="4" w:space="0" w:color="00264D" w:themeColor="background2"/>
            </w:tcBorders>
            <w:shd w:val="clear" w:color="auto" w:fill="F2F2F2" w:themeFill="background1" w:themeFillShade="F2"/>
          </w:tcPr>
          <w:p w14:paraId="741F2BE1" w14:textId="77777777" w:rsidR="005648AC" w:rsidRPr="00F3115D" w:rsidRDefault="005648AC" w:rsidP="00CA3A4B">
            <w:pPr>
              <w:spacing w:before="60" w:after="60"/>
              <w:rPr>
                <w:sz w:val="18"/>
                <w:szCs w:val="18"/>
                <w:lang w:eastAsia="en-AU"/>
              </w:rPr>
            </w:pPr>
          </w:p>
        </w:tc>
        <w:tc>
          <w:tcPr>
            <w:tcW w:w="464" w:type="dxa"/>
            <w:tcBorders>
              <w:top w:val="single" w:sz="8"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6AE358A9" w14:textId="2C1DEA7C" w:rsidR="005648AC" w:rsidRPr="00F3115D" w:rsidRDefault="005648AC" w:rsidP="00774C69">
            <w:pPr>
              <w:spacing w:before="60" w:after="60"/>
              <w:jc w:val="center"/>
              <w:rPr>
                <w:sz w:val="17"/>
                <w:szCs w:val="17"/>
                <w:lang w:eastAsia="en-AU"/>
              </w:rPr>
            </w:pPr>
            <w:r w:rsidRPr="00F3115D">
              <w:rPr>
                <w:sz w:val="17"/>
                <w:szCs w:val="17"/>
                <w:lang w:eastAsia="en-AU"/>
              </w:rPr>
              <w:t>1</w:t>
            </w:r>
            <w:r w:rsidR="00A64A7B" w:rsidRPr="00F3115D">
              <w:rPr>
                <w:sz w:val="17"/>
                <w:szCs w:val="17"/>
                <w:lang w:eastAsia="en-AU"/>
              </w:rPr>
              <w:t>8</w:t>
            </w:r>
          </w:p>
        </w:tc>
        <w:tc>
          <w:tcPr>
            <w:tcW w:w="3247" w:type="dxa"/>
            <w:tcBorders>
              <w:top w:val="single" w:sz="4"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2ECD4A66" w14:textId="5CFE4D2C" w:rsidR="005648AC" w:rsidRPr="00F3115D" w:rsidRDefault="005648AC" w:rsidP="00CA3A4B">
            <w:pPr>
              <w:spacing w:before="60" w:after="60"/>
              <w:rPr>
                <w:rFonts w:asciiTheme="majorHAnsi" w:hAnsiTheme="majorHAnsi" w:cstheme="majorHAnsi"/>
                <w:sz w:val="17"/>
                <w:szCs w:val="17"/>
                <w:highlight w:val="yellow"/>
                <w:lang w:eastAsia="en-AU"/>
              </w:rPr>
            </w:pPr>
            <w:r w:rsidRPr="00F3115D">
              <w:rPr>
                <w:rFonts w:asciiTheme="majorHAnsi" w:eastAsiaTheme="minorEastAsia" w:hAnsiTheme="majorHAnsi" w:cstheme="majorHAnsi"/>
                <w:color w:val="000000" w:themeColor="dark1"/>
                <w:kern w:val="24"/>
                <w:sz w:val="17"/>
                <w:szCs w:val="17"/>
              </w:rPr>
              <w:t xml:space="preserve">Reduce barriers to data engagement by simplifying </w:t>
            </w:r>
            <w:r w:rsidR="00DA5AB5" w:rsidRPr="00F3115D">
              <w:rPr>
                <w:rFonts w:asciiTheme="majorHAnsi" w:eastAsiaTheme="minorEastAsia" w:hAnsiTheme="majorHAnsi" w:cstheme="majorHAnsi"/>
                <w:color w:val="000000" w:themeColor="dark1"/>
                <w:kern w:val="24"/>
                <w:sz w:val="17"/>
                <w:szCs w:val="17"/>
              </w:rPr>
              <w:t xml:space="preserve">data </w:t>
            </w:r>
            <w:r w:rsidR="00B35B77" w:rsidRPr="00F3115D">
              <w:rPr>
                <w:rFonts w:asciiTheme="majorHAnsi" w:eastAsiaTheme="minorEastAsia" w:hAnsiTheme="majorHAnsi" w:cstheme="majorHAnsi"/>
                <w:color w:val="000000" w:themeColor="dark1"/>
                <w:kern w:val="24"/>
                <w:sz w:val="17"/>
                <w:szCs w:val="17"/>
              </w:rPr>
              <w:t>analytics</w:t>
            </w:r>
            <w:r w:rsidR="00DA5AB5" w:rsidRPr="00F3115D">
              <w:rPr>
                <w:rFonts w:asciiTheme="majorHAnsi" w:eastAsiaTheme="minorEastAsia" w:hAnsiTheme="majorHAnsi" w:cstheme="majorHAnsi"/>
                <w:color w:val="000000" w:themeColor="dark1"/>
                <w:kern w:val="24"/>
                <w:sz w:val="17"/>
                <w:szCs w:val="17"/>
              </w:rPr>
              <w:t xml:space="preserve"> and visualisation</w:t>
            </w:r>
            <w:r w:rsidRPr="00F3115D">
              <w:rPr>
                <w:rFonts w:asciiTheme="majorHAnsi" w:eastAsiaTheme="minorEastAsia" w:hAnsiTheme="majorHAnsi" w:cstheme="majorHAnsi"/>
                <w:color w:val="000000" w:themeColor="dark1"/>
                <w:kern w:val="24"/>
                <w:sz w:val="17"/>
                <w:szCs w:val="17"/>
              </w:rPr>
              <w:t xml:space="preserve"> tools, exploring accessible alternatives, and AI-guided analytics. </w:t>
            </w:r>
          </w:p>
        </w:tc>
        <w:tc>
          <w:tcPr>
            <w:tcW w:w="5607" w:type="dxa"/>
            <w:tcBorders>
              <w:top w:val="single" w:sz="4"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20327FE3" w14:textId="77777777" w:rsidR="005648AC" w:rsidRPr="00F3115D" w:rsidRDefault="005648AC" w:rsidP="00CA3A4B">
            <w:pPr>
              <w:spacing w:before="60" w:after="60"/>
              <w:rPr>
                <w:sz w:val="17"/>
                <w:szCs w:val="17"/>
                <w:lang w:eastAsia="en-AU"/>
              </w:rPr>
            </w:pPr>
            <w:r w:rsidRPr="00F3115D">
              <w:rPr>
                <w:sz w:val="17"/>
                <w:szCs w:val="17"/>
                <w:lang w:eastAsia="en-AU"/>
              </w:rPr>
              <w:t>Improves accessibility and practical use of existing reporting outputs by making dashboards easier to navigate and interpret, supporting more consistent engagement across services with varying data capability while strengthening the value returned from existing data collections.</w:t>
            </w:r>
          </w:p>
          <w:p w14:paraId="14AC0067" w14:textId="4C60F610" w:rsidR="005648AC" w:rsidRPr="00F3115D" w:rsidRDefault="00FB54EF" w:rsidP="00CA3A4B">
            <w:pPr>
              <w:spacing w:before="60" w:after="60"/>
              <w:rPr>
                <w:sz w:val="17"/>
                <w:szCs w:val="17"/>
                <w:highlight w:val="yellow"/>
              </w:rPr>
            </w:pPr>
            <w:r w:rsidRPr="00F3115D">
              <w:rPr>
                <w:sz w:val="17"/>
                <w:szCs w:val="17"/>
                <w:lang w:eastAsia="en-AU"/>
              </w:rPr>
              <w:t>Identifies opportunities to improve accessibility and interpretability of data outputs for services with varying data capability, while enabling cautious, governed exploration of new analytical approaches that may reduce reliance on specialist expertise over time.</w:t>
            </w:r>
          </w:p>
        </w:tc>
      </w:tr>
    </w:tbl>
    <w:p w14:paraId="7D1ABA8A" w14:textId="77777777" w:rsidR="00343087" w:rsidRDefault="00343087"/>
    <w:p w14:paraId="5C0767A7" w14:textId="77777777" w:rsidR="00343087" w:rsidRDefault="00343087"/>
    <w:p w14:paraId="29C9A2B8" w14:textId="77777777" w:rsidR="00343087" w:rsidRDefault="00343087"/>
    <w:p w14:paraId="7F1C8388" w14:textId="77777777" w:rsidR="00343087" w:rsidRDefault="00343087"/>
    <w:p w14:paraId="026DE2DE" w14:textId="77777777" w:rsidR="00343087" w:rsidRDefault="00343087"/>
    <w:tbl>
      <w:tblPr>
        <w:tblStyle w:val="NOUS"/>
        <w:tblpPr w:leftFromText="180" w:rightFromText="180" w:vertAnchor="text" w:tblpY="83"/>
        <w:tblW w:w="0" w:type="auto"/>
        <w:tblLook w:val="04A0" w:firstRow="1" w:lastRow="0" w:firstColumn="1" w:lastColumn="0" w:noHBand="0" w:noVBand="1"/>
      </w:tblPr>
      <w:tblGrid>
        <w:gridCol w:w="542"/>
        <w:gridCol w:w="9318"/>
      </w:tblGrid>
      <w:tr w:rsidR="005D6887" w:rsidRPr="00F3115D" w14:paraId="425AA3C8" w14:textId="77777777" w:rsidTr="00A54084">
        <w:trPr>
          <w:cnfStyle w:val="100000000000" w:firstRow="1" w:lastRow="0" w:firstColumn="0" w:lastColumn="0" w:oddVBand="0" w:evenVBand="0" w:oddHBand="0" w:evenHBand="0" w:firstRowFirstColumn="0" w:firstRowLastColumn="0" w:lastRowFirstColumn="0" w:lastRowLastColumn="0"/>
        </w:trPr>
        <w:tc>
          <w:tcPr>
            <w:tcW w:w="542" w:type="dxa"/>
            <w:tcBorders>
              <w:top w:val="single" w:sz="4" w:space="0" w:color="FFFFFF" w:themeColor="background1"/>
              <w:right w:val="single" w:sz="4" w:space="0" w:color="00264D" w:themeColor="background2"/>
            </w:tcBorders>
            <w:shd w:val="clear" w:color="auto" w:fill="FFFFFF" w:themeFill="background1"/>
          </w:tcPr>
          <w:p w14:paraId="501D4277" w14:textId="77777777" w:rsidR="005D6887" w:rsidRPr="00F3115D" w:rsidRDefault="005D6887" w:rsidP="00A54084">
            <w:pPr>
              <w:spacing w:before="60" w:after="60"/>
              <w:rPr>
                <w:rFonts w:asciiTheme="majorHAnsi" w:hAnsiTheme="majorHAnsi" w:cstheme="majorHAnsi"/>
                <w:sz w:val="17"/>
                <w:szCs w:val="17"/>
                <w:lang w:eastAsia="en-AU"/>
              </w:rPr>
            </w:pPr>
          </w:p>
        </w:tc>
        <w:tc>
          <w:tcPr>
            <w:tcW w:w="9318" w:type="dxa"/>
            <w:tcBorders>
              <w:left w:val="single" w:sz="4" w:space="0" w:color="00264D" w:themeColor="background2"/>
              <w:right w:val="single" w:sz="4" w:space="0" w:color="00264D" w:themeColor="background2"/>
            </w:tcBorders>
            <w:shd w:val="clear" w:color="auto" w:fill="00264D" w:themeFill="background2"/>
          </w:tcPr>
          <w:p w14:paraId="0D8BAC38" w14:textId="77777777" w:rsidR="005D6887" w:rsidRPr="00F3115D" w:rsidRDefault="005D6887" w:rsidP="00A54084">
            <w:pPr>
              <w:spacing w:before="60" w:after="60"/>
              <w:rPr>
                <w:rFonts w:asciiTheme="majorHAnsi" w:hAnsiTheme="majorHAnsi" w:cstheme="majorHAnsi"/>
                <w:sz w:val="17"/>
                <w:szCs w:val="17"/>
                <w:lang w:eastAsia="en-AU"/>
              </w:rPr>
            </w:pPr>
            <w:r w:rsidRPr="00F3115D">
              <w:rPr>
                <w:rFonts w:asciiTheme="majorHAnsi" w:hAnsiTheme="majorHAnsi" w:cstheme="majorHAnsi"/>
                <w:color w:val="FFFFFF" w:themeColor="background1"/>
                <w:sz w:val="20"/>
                <w:szCs w:val="20"/>
                <w:lang w:eastAsia="en-AU"/>
              </w:rPr>
              <w:t>Data Platforms and Infrastructure</w:t>
            </w:r>
          </w:p>
        </w:tc>
      </w:tr>
    </w:tbl>
    <w:p w14:paraId="73C94664" w14:textId="77777777" w:rsidR="00343087" w:rsidRPr="005D6887" w:rsidRDefault="00343087">
      <w:pPr>
        <w:rPr>
          <w:sz w:val="8"/>
          <w:szCs w:val="10"/>
        </w:rPr>
      </w:pPr>
    </w:p>
    <w:tbl>
      <w:tblPr>
        <w:tblStyle w:val="NOUS"/>
        <w:tblpPr w:leftFromText="180" w:rightFromText="180" w:vertAnchor="text" w:tblpY="83"/>
        <w:tblW w:w="0" w:type="auto"/>
        <w:tblLook w:val="04A0" w:firstRow="1" w:lastRow="0" w:firstColumn="1" w:lastColumn="0" w:noHBand="0" w:noVBand="1"/>
      </w:tblPr>
      <w:tblGrid>
        <w:gridCol w:w="542"/>
        <w:gridCol w:w="464"/>
        <w:gridCol w:w="3247"/>
        <w:gridCol w:w="5607"/>
      </w:tblGrid>
      <w:tr w:rsidR="00343087" w:rsidRPr="00F3115D" w14:paraId="7FCEE6F1" w14:textId="77777777" w:rsidTr="003A4FE4">
        <w:trPr>
          <w:cnfStyle w:val="100000000000" w:firstRow="1" w:lastRow="0" w:firstColumn="0" w:lastColumn="0" w:oddVBand="0" w:evenVBand="0" w:oddHBand="0" w:evenHBand="0" w:firstRowFirstColumn="0" w:firstRowLastColumn="0" w:lastRowFirstColumn="0" w:lastRowLastColumn="0"/>
        </w:trPr>
        <w:tc>
          <w:tcPr>
            <w:tcW w:w="542" w:type="dxa"/>
            <w:tcBorders>
              <w:top w:val="nil"/>
              <w:bottom w:val="single" w:sz="8" w:space="0" w:color="E6E6E1" w:themeColor="accent5"/>
            </w:tcBorders>
            <w:shd w:val="clear" w:color="auto" w:fill="FFFFFF" w:themeFill="background1"/>
            <w:textDirection w:val="btLr"/>
          </w:tcPr>
          <w:p w14:paraId="2AC35824" w14:textId="77777777" w:rsidR="00343087" w:rsidRPr="00F3115D" w:rsidRDefault="00343087" w:rsidP="003A4FE4">
            <w:pPr>
              <w:spacing w:before="60" w:after="60"/>
              <w:ind w:left="113" w:right="113"/>
              <w:jc w:val="center"/>
              <w:rPr>
                <w:rFonts w:asciiTheme="majorHAnsi" w:hAnsiTheme="majorHAnsi" w:cstheme="majorHAnsi"/>
                <w:sz w:val="17"/>
                <w:szCs w:val="17"/>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23192576" w14:textId="77777777" w:rsidR="00343087" w:rsidRPr="00F3115D" w:rsidRDefault="00343087" w:rsidP="003A4FE4">
            <w:pPr>
              <w:spacing w:before="60" w:after="60"/>
              <w:jc w:val="center"/>
              <w:rPr>
                <w:sz w:val="18"/>
                <w:szCs w:val="18"/>
                <w:lang w:eastAsia="en-AU"/>
              </w:rPr>
            </w:pPr>
            <w:r w:rsidRPr="00F3115D">
              <w:rPr>
                <w:rFonts w:asciiTheme="majorHAnsi" w:hAnsiTheme="majorHAnsi" w:cstheme="majorHAnsi"/>
                <w:sz w:val="18"/>
                <w:szCs w:val="18"/>
                <w:lang w:eastAsia="en-AU"/>
              </w:rPr>
              <w:t>#</w:t>
            </w:r>
          </w:p>
        </w:tc>
        <w:tc>
          <w:tcPr>
            <w:tcW w:w="3247" w:type="dxa"/>
            <w:tcBorders>
              <w:top w:val="single" w:sz="4" w:space="0" w:color="E6E6E1" w:themeColor="accent5"/>
              <w:left w:val="single" w:sz="4" w:space="0" w:color="E6E6E1" w:themeColor="accent5"/>
              <w:bottom w:val="single" w:sz="4" w:space="0" w:color="E6E6E1" w:themeColor="accent5"/>
              <w:right w:val="single" w:sz="4" w:space="0" w:color="FFFFFF" w:themeColor="background1"/>
            </w:tcBorders>
          </w:tcPr>
          <w:p w14:paraId="16BEE52E" w14:textId="77777777" w:rsidR="00343087" w:rsidRPr="00F3115D" w:rsidRDefault="00343087" w:rsidP="003A4FE4">
            <w:pPr>
              <w:spacing w:before="60" w:after="60"/>
              <w:rPr>
                <w:rFonts w:asciiTheme="majorHAnsi" w:hAnsiTheme="majorHAnsi" w:cstheme="majorHAnsi"/>
                <w:sz w:val="18"/>
                <w:szCs w:val="18"/>
              </w:rPr>
            </w:pPr>
            <w:r w:rsidRPr="00F3115D">
              <w:rPr>
                <w:rFonts w:asciiTheme="majorHAnsi" w:hAnsiTheme="majorHAnsi" w:cstheme="majorHAnsi"/>
                <w:sz w:val="18"/>
                <w:szCs w:val="18"/>
                <w:lang w:eastAsia="en-AU"/>
              </w:rPr>
              <w:t>Recommendation</w:t>
            </w:r>
          </w:p>
        </w:tc>
        <w:tc>
          <w:tcPr>
            <w:tcW w:w="5607" w:type="dxa"/>
            <w:tcBorders>
              <w:top w:val="single" w:sz="4" w:space="0" w:color="E6E6E1" w:themeColor="accent5"/>
              <w:left w:val="single" w:sz="4" w:space="0" w:color="FFFFFF" w:themeColor="background1"/>
              <w:bottom w:val="single" w:sz="4" w:space="0" w:color="E6E6E1" w:themeColor="accent5"/>
              <w:right w:val="single" w:sz="4" w:space="0" w:color="E6E6E1" w:themeColor="accent5"/>
            </w:tcBorders>
          </w:tcPr>
          <w:p w14:paraId="346AC9DD" w14:textId="77777777" w:rsidR="00343087" w:rsidRPr="00F3115D" w:rsidRDefault="00343087" w:rsidP="003A4FE4">
            <w:pPr>
              <w:spacing w:before="60" w:after="60"/>
              <w:rPr>
                <w:sz w:val="18"/>
                <w:szCs w:val="18"/>
              </w:rPr>
            </w:pPr>
            <w:r w:rsidRPr="00F3115D">
              <w:rPr>
                <w:rFonts w:asciiTheme="majorHAnsi" w:hAnsiTheme="majorHAnsi" w:cstheme="majorHAnsi"/>
                <w:sz w:val="18"/>
                <w:szCs w:val="18"/>
                <w:lang w:eastAsia="en-AU"/>
              </w:rPr>
              <w:t>Benefit</w:t>
            </w:r>
          </w:p>
        </w:tc>
      </w:tr>
      <w:tr w:rsidR="0022448D" w:rsidRPr="00F3115D" w14:paraId="6D54FCB1" w14:textId="77777777" w:rsidTr="00397317">
        <w:trPr>
          <w:cantSplit/>
          <w:trHeight w:val="1324"/>
        </w:trPr>
        <w:tc>
          <w:tcPr>
            <w:tcW w:w="542" w:type="dxa"/>
            <w:vMerge w:val="restart"/>
            <w:tcBorders>
              <w:top w:val="single" w:sz="4" w:space="0" w:color="00264D" w:themeColor="background2"/>
            </w:tcBorders>
            <w:shd w:val="clear" w:color="auto" w:fill="F2F2F2" w:themeFill="background1" w:themeFillShade="F2"/>
            <w:textDirection w:val="btLr"/>
          </w:tcPr>
          <w:p w14:paraId="1F1DCE5F" w14:textId="70B160F8" w:rsidR="00862E58" w:rsidRPr="00F3115D" w:rsidRDefault="00862E58" w:rsidP="00CA3A4B">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Foundations for substantive reform</w:t>
            </w:r>
          </w:p>
        </w:tc>
        <w:tc>
          <w:tcPr>
            <w:tcW w:w="464"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5582CA1C" w14:textId="653A8234" w:rsidR="00862E58" w:rsidRPr="00F3115D" w:rsidRDefault="00862E58" w:rsidP="00774C69">
            <w:pPr>
              <w:spacing w:before="60" w:after="60"/>
              <w:jc w:val="center"/>
              <w:rPr>
                <w:sz w:val="17"/>
                <w:szCs w:val="17"/>
                <w:lang w:eastAsia="en-AU"/>
              </w:rPr>
            </w:pPr>
            <w:r w:rsidRPr="00F3115D">
              <w:rPr>
                <w:sz w:val="17"/>
                <w:szCs w:val="17"/>
                <w:lang w:eastAsia="en-AU"/>
              </w:rPr>
              <w:t>1</w:t>
            </w:r>
            <w:r w:rsidR="008F68E4" w:rsidRPr="00F3115D">
              <w:rPr>
                <w:sz w:val="17"/>
                <w:szCs w:val="17"/>
                <w:lang w:eastAsia="en-AU"/>
              </w:rPr>
              <w:t>7</w:t>
            </w:r>
          </w:p>
        </w:tc>
        <w:tc>
          <w:tcPr>
            <w:tcW w:w="3247"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15906579" w14:textId="62C35882" w:rsidR="00862E58" w:rsidRPr="00F3115D" w:rsidRDefault="00862E58" w:rsidP="00CA3A4B">
            <w:pPr>
              <w:spacing w:before="60" w:after="60"/>
              <w:rPr>
                <w:rFonts w:asciiTheme="majorHAnsi" w:eastAsiaTheme="minorEastAsia" w:hAnsiTheme="majorHAnsi" w:cstheme="majorHAnsi"/>
                <w:color w:val="000000" w:themeColor="dark1"/>
                <w:kern w:val="24"/>
                <w:sz w:val="17"/>
                <w:szCs w:val="17"/>
              </w:rPr>
            </w:pPr>
            <w:r w:rsidRPr="00F3115D">
              <w:rPr>
                <w:rFonts w:asciiTheme="majorHAnsi" w:eastAsiaTheme="minorEastAsia" w:hAnsiTheme="majorHAnsi" w:cstheme="majorHAnsi"/>
                <w:color w:val="000000" w:themeColor="dark1"/>
                <w:kern w:val="24"/>
                <w:sz w:val="17"/>
                <w:szCs w:val="17"/>
              </w:rPr>
              <w:t>Explore a pathway to enable automated extraction of OSR workforce data through standardisation of definitions and engagement with HR system vendors.</w:t>
            </w:r>
          </w:p>
        </w:tc>
        <w:tc>
          <w:tcPr>
            <w:tcW w:w="5607"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5F918981" w14:textId="7B276E7B" w:rsidR="00862E58" w:rsidRPr="00F3115D" w:rsidRDefault="00862E58" w:rsidP="00CA3A4B">
            <w:pPr>
              <w:spacing w:before="60" w:after="60"/>
              <w:rPr>
                <w:sz w:val="17"/>
                <w:szCs w:val="17"/>
                <w:lang w:eastAsia="en-AU"/>
              </w:rPr>
            </w:pPr>
            <w:r w:rsidRPr="00F3115D">
              <w:rPr>
                <w:sz w:val="17"/>
                <w:szCs w:val="17"/>
                <w:lang w:eastAsia="en-AU"/>
              </w:rPr>
              <w:t>Builds sustainable data capability closer to services by providing shared, trusted support for data quality, interpretation and use, reducing reliance on individual service capacity while improving consistency and confidence across the network.</w:t>
            </w:r>
          </w:p>
        </w:tc>
      </w:tr>
      <w:tr w:rsidR="0022448D" w:rsidRPr="00F3115D" w14:paraId="3D00B84C" w14:textId="77777777" w:rsidTr="00FA4764">
        <w:trPr>
          <w:cantSplit/>
          <w:trHeight w:val="1571"/>
        </w:trPr>
        <w:tc>
          <w:tcPr>
            <w:tcW w:w="542" w:type="dxa"/>
            <w:vMerge/>
            <w:tcBorders>
              <w:bottom w:val="single" w:sz="4" w:space="0" w:color="E6E6E1" w:themeColor="accent5"/>
            </w:tcBorders>
            <w:shd w:val="clear" w:color="auto" w:fill="F2F2F2" w:themeFill="background1" w:themeFillShade="F2"/>
            <w:textDirection w:val="btLr"/>
          </w:tcPr>
          <w:p w14:paraId="28093445" w14:textId="77777777" w:rsidR="00862E58" w:rsidRPr="00F3115D" w:rsidRDefault="00862E58" w:rsidP="00CA3A4B">
            <w:pPr>
              <w:spacing w:before="60" w:after="60"/>
              <w:ind w:left="113" w:right="113"/>
              <w:jc w:val="center"/>
              <w:rPr>
                <w:rFonts w:asciiTheme="majorHAnsi" w:hAnsiTheme="majorHAnsi" w:cstheme="majorHAnsi"/>
                <w:sz w:val="18"/>
                <w:szCs w:val="18"/>
                <w:lang w:eastAsia="en-AU"/>
              </w:rPr>
            </w:pPr>
          </w:p>
        </w:tc>
        <w:tc>
          <w:tcPr>
            <w:tcW w:w="464"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426F8E3" w14:textId="10A20492" w:rsidR="00862E58" w:rsidRPr="00F3115D" w:rsidRDefault="00875610" w:rsidP="00774C69">
            <w:pPr>
              <w:spacing w:before="60" w:after="60"/>
              <w:jc w:val="center"/>
              <w:rPr>
                <w:sz w:val="17"/>
                <w:szCs w:val="17"/>
                <w:lang w:eastAsia="en-AU"/>
              </w:rPr>
            </w:pPr>
            <w:r w:rsidRPr="00F3115D">
              <w:rPr>
                <w:sz w:val="17"/>
                <w:szCs w:val="17"/>
                <w:lang w:eastAsia="en-AU"/>
              </w:rPr>
              <w:t>1</w:t>
            </w:r>
            <w:r w:rsidR="008F68E4" w:rsidRPr="00F3115D">
              <w:rPr>
                <w:sz w:val="17"/>
                <w:szCs w:val="17"/>
                <w:lang w:eastAsia="en-AU"/>
              </w:rPr>
              <w:t>9</w:t>
            </w:r>
          </w:p>
        </w:tc>
        <w:tc>
          <w:tcPr>
            <w:tcW w:w="324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626CA52" w14:textId="14BA11CC" w:rsidR="00862E58" w:rsidRPr="00F3115D" w:rsidRDefault="00862E58" w:rsidP="00862E58">
            <w:pPr>
              <w:spacing w:before="60" w:after="60"/>
              <w:rPr>
                <w:rFonts w:asciiTheme="majorHAnsi" w:eastAsiaTheme="minorEastAsia" w:hAnsiTheme="majorHAnsi" w:cstheme="majorHAnsi"/>
                <w:color w:val="000000" w:themeColor="dark1"/>
                <w:kern w:val="24"/>
                <w:sz w:val="17"/>
                <w:szCs w:val="17"/>
              </w:rPr>
            </w:pPr>
            <w:r w:rsidRPr="00F3115D">
              <w:rPr>
                <w:rFonts w:asciiTheme="majorHAnsi" w:eastAsiaTheme="minorEastAsia" w:hAnsiTheme="majorHAnsi" w:cstheme="majorHAnsi"/>
                <w:color w:val="000000" w:themeColor="dark1"/>
                <w:kern w:val="24"/>
                <w:sz w:val="17"/>
                <w:szCs w:val="17"/>
              </w:rPr>
              <w:t>Adopt AI across the data pipeline commencing with established frameworks and progressing to pilot projects.</w:t>
            </w:r>
          </w:p>
        </w:tc>
        <w:tc>
          <w:tcPr>
            <w:tcW w:w="560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792C8BEB" w14:textId="2CAE4F5B" w:rsidR="00862E58" w:rsidRPr="00F3115D" w:rsidRDefault="00F716E2" w:rsidP="00CA3A4B">
            <w:pPr>
              <w:spacing w:before="60" w:after="60"/>
              <w:rPr>
                <w:sz w:val="17"/>
                <w:szCs w:val="17"/>
                <w:lang w:eastAsia="en-AU"/>
              </w:rPr>
            </w:pPr>
            <w:r w:rsidRPr="00F3115D">
              <w:rPr>
                <w:sz w:val="17"/>
                <w:szCs w:val="17"/>
                <w:lang w:eastAsia="en-AU"/>
              </w:rPr>
              <w:t>Achieves the benefits of AI in a way that is safe, consistent and trusted, reducing administrative and reporting burden and improving data quality without increasing surveillance or altering accountability settings. By establishing clear frameworks and testing priority use cases through pilots, the Department</w:t>
            </w:r>
            <w:r w:rsidR="00803E2C" w:rsidRPr="00F3115D">
              <w:rPr>
                <w:sz w:val="17"/>
                <w:szCs w:val="17"/>
                <w:lang w:eastAsia="en-AU"/>
              </w:rPr>
              <w:t xml:space="preserve"> and services</w:t>
            </w:r>
            <w:r w:rsidRPr="00F3115D">
              <w:rPr>
                <w:sz w:val="17"/>
                <w:szCs w:val="17"/>
                <w:lang w:eastAsia="en-AU"/>
              </w:rPr>
              <w:t xml:space="preserve"> can build confidence, manage risk and generate evidence on where AI delivers genuine value before scaling adoption across the system.</w:t>
            </w:r>
          </w:p>
        </w:tc>
      </w:tr>
    </w:tbl>
    <w:p w14:paraId="4CCE1529" w14:textId="77777777" w:rsidR="00725750" w:rsidRPr="00F3115D" w:rsidRDefault="00725750"/>
    <w:p w14:paraId="1CEACD42" w14:textId="2EB7F069" w:rsidR="00CB6787" w:rsidRDefault="006D3EE9" w:rsidP="00CB6787">
      <w:pPr>
        <w:pStyle w:val="Caption"/>
      </w:pPr>
      <w:r>
        <w:t xml:space="preserve">Table </w:t>
      </w:r>
      <w:r>
        <w:fldChar w:fldCharType="begin"/>
      </w:r>
      <w:r>
        <w:instrText xml:space="preserve"> SEQ Table \* ARABIC </w:instrText>
      </w:r>
      <w:r>
        <w:fldChar w:fldCharType="separate"/>
      </w:r>
      <w:r>
        <w:rPr>
          <w:noProof/>
        </w:rPr>
        <w:t>5</w:t>
      </w:r>
      <w:r>
        <w:fldChar w:fldCharType="end"/>
      </w:r>
      <w:r w:rsidR="00CB6787" w:rsidRPr="00F3115D">
        <w:t xml:space="preserve"> | Recommendations – Governance</w:t>
      </w:r>
    </w:p>
    <w:tbl>
      <w:tblPr>
        <w:tblStyle w:val="NOUS"/>
        <w:tblpPr w:leftFromText="180" w:rightFromText="180" w:vertAnchor="text" w:tblpY="83"/>
        <w:tblW w:w="0" w:type="auto"/>
        <w:tblLook w:val="04A0" w:firstRow="1" w:lastRow="0" w:firstColumn="1" w:lastColumn="0" w:noHBand="0" w:noVBand="1"/>
      </w:tblPr>
      <w:tblGrid>
        <w:gridCol w:w="542"/>
        <w:gridCol w:w="9318"/>
      </w:tblGrid>
      <w:tr w:rsidR="005D6887" w:rsidRPr="00F3115D" w14:paraId="216E370F" w14:textId="77777777" w:rsidTr="00A54084">
        <w:trPr>
          <w:cnfStyle w:val="100000000000" w:firstRow="1" w:lastRow="0" w:firstColumn="0" w:lastColumn="0" w:oddVBand="0" w:evenVBand="0" w:oddHBand="0" w:evenHBand="0" w:firstRowFirstColumn="0" w:firstRowLastColumn="0" w:lastRowFirstColumn="0" w:lastRowLastColumn="0"/>
        </w:trPr>
        <w:tc>
          <w:tcPr>
            <w:tcW w:w="542" w:type="dxa"/>
            <w:tcBorders>
              <w:top w:val="single" w:sz="4" w:space="0" w:color="FFFFFF" w:themeColor="background1"/>
              <w:right w:val="single" w:sz="4" w:space="0" w:color="00264D" w:themeColor="background2"/>
            </w:tcBorders>
            <w:shd w:val="clear" w:color="auto" w:fill="FFFFFF" w:themeFill="background1"/>
          </w:tcPr>
          <w:p w14:paraId="5491F3AB" w14:textId="77777777" w:rsidR="005D6887" w:rsidRPr="00F3115D" w:rsidRDefault="005D6887" w:rsidP="00A54084">
            <w:pPr>
              <w:spacing w:before="60" w:after="60"/>
              <w:rPr>
                <w:rFonts w:asciiTheme="majorHAnsi" w:hAnsiTheme="majorHAnsi" w:cstheme="majorHAnsi"/>
                <w:sz w:val="17"/>
                <w:szCs w:val="17"/>
                <w:lang w:eastAsia="en-AU"/>
              </w:rPr>
            </w:pPr>
          </w:p>
        </w:tc>
        <w:tc>
          <w:tcPr>
            <w:tcW w:w="9318" w:type="dxa"/>
            <w:tcBorders>
              <w:left w:val="single" w:sz="4" w:space="0" w:color="00264D" w:themeColor="background2"/>
              <w:right w:val="single" w:sz="4" w:space="0" w:color="00264D" w:themeColor="background2"/>
            </w:tcBorders>
            <w:shd w:val="clear" w:color="auto" w:fill="00264D" w:themeFill="background2"/>
          </w:tcPr>
          <w:p w14:paraId="7E3DBC50" w14:textId="77777777" w:rsidR="005D6887" w:rsidRPr="00F3115D" w:rsidRDefault="005D6887" w:rsidP="00A54084">
            <w:pPr>
              <w:spacing w:before="60" w:after="60"/>
              <w:rPr>
                <w:rFonts w:asciiTheme="majorHAnsi" w:hAnsiTheme="majorHAnsi" w:cstheme="majorHAnsi"/>
                <w:sz w:val="17"/>
                <w:szCs w:val="17"/>
                <w:lang w:eastAsia="en-AU"/>
              </w:rPr>
            </w:pPr>
            <w:r w:rsidRPr="00F3115D">
              <w:rPr>
                <w:rFonts w:asciiTheme="majorHAnsi" w:hAnsiTheme="majorHAnsi" w:cstheme="majorHAnsi"/>
                <w:color w:val="FFFFFF" w:themeColor="background1"/>
                <w:sz w:val="20"/>
                <w:szCs w:val="20"/>
                <w:lang w:eastAsia="en-AU"/>
              </w:rPr>
              <w:t>Governance</w:t>
            </w:r>
          </w:p>
        </w:tc>
      </w:tr>
    </w:tbl>
    <w:p w14:paraId="57B4F7C4" w14:textId="77777777" w:rsidR="005D6887" w:rsidRPr="003934AB" w:rsidRDefault="005D6887" w:rsidP="005D6887">
      <w:pPr>
        <w:rPr>
          <w:sz w:val="8"/>
          <w:szCs w:val="10"/>
        </w:rPr>
      </w:pPr>
    </w:p>
    <w:tbl>
      <w:tblPr>
        <w:tblStyle w:val="NOUS"/>
        <w:tblpPr w:leftFromText="180" w:rightFromText="180" w:vertAnchor="text" w:tblpY="83"/>
        <w:tblW w:w="0" w:type="auto"/>
        <w:tblLook w:val="04A0" w:firstRow="1" w:lastRow="0" w:firstColumn="1" w:lastColumn="0" w:noHBand="0" w:noVBand="1"/>
      </w:tblPr>
      <w:tblGrid>
        <w:gridCol w:w="542"/>
        <w:gridCol w:w="464"/>
        <w:gridCol w:w="3247"/>
        <w:gridCol w:w="5607"/>
      </w:tblGrid>
      <w:tr w:rsidR="009452A9" w:rsidRPr="00F3115D" w14:paraId="1E16F27F" w14:textId="77777777" w:rsidTr="00343087">
        <w:trPr>
          <w:cnfStyle w:val="100000000000" w:firstRow="1" w:lastRow="0" w:firstColumn="0" w:lastColumn="0" w:oddVBand="0" w:evenVBand="0" w:oddHBand="0" w:evenHBand="0" w:firstRowFirstColumn="0" w:firstRowLastColumn="0" w:lastRowFirstColumn="0" w:lastRowLastColumn="0"/>
        </w:trPr>
        <w:tc>
          <w:tcPr>
            <w:tcW w:w="542" w:type="dxa"/>
            <w:tcBorders>
              <w:top w:val="nil"/>
              <w:bottom w:val="single" w:sz="8" w:space="0" w:color="E6E6E1" w:themeColor="accent5"/>
            </w:tcBorders>
            <w:shd w:val="clear" w:color="auto" w:fill="FFFFFF" w:themeFill="background1"/>
            <w:textDirection w:val="btLr"/>
          </w:tcPr>
          <w:p w14:paraId="2CF536D1" w14:textId="77777777" w:rsidR="00CB6787" w:rsidRPr="00F3115D" w:rsidRDefault="00CB6787" w:rsidP="00CA3A4B">
            <w:pPr>
              <w:spacing w:before="60" w:after="60"/>
              <w:ind w:left="113" w:right="113"/>
              <w:jc w:val="center"/>
              <w:rPr>
                <w:rFonts w:asciiTheme="majorHAnsi" w:hAnsiTheme="majorHAnsi" w:cstheme="majorHAnsi"/>
                <w:sz w:val="17"/>
                <w:szCs w:val="17"/>
                <w:lang w:eastAsia="en-AU"/>
              </w:rPr>
            </w:pP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5644C618" w14:textId="77777777" w:rsidR="00CB6787" w:rsidRPr="00F3115D" w:rsidRDefault="00CB6787" w:rsidP="00774C69">
            <w:pPr>
              <w:spacing w:before="60" w:after="60"/>
              <w:jc w:val="center"/>
              <w:rPr>
                <w:sz w:val="18"/>
                <w:szCs w:val="18"/>
                <w:lang w:eastAsia="en-AU"/>
              </w:rPr>
            </w:pPr>
            <w:r w:rsidRPr="00F3115D">
              <w:rPr>
                <w:rFonts w:asciiTheme="majorHAnsi" w:hAnsiTheme="majorHAnsi" w:cstheme="majorHAnsi"/>
                <w:sz w:val="18"/>
                <w:szCs w:val="18"/>
                <w:lang w:eastAsia="en-AU"/>
              </w:rPr>
              <w:t>#</w:t>
            </w:r>
          </w:p>
        </w:tc>
        <w:tc>
          <w:tcPr>
            <w:tcW w:w="3247" w:type="dxa"/>
            <w:tcBorders>
              <w:top w:val="single" w:sz="4" w:space="0" w:color="E6E6E1" w:themeColor="accent5"/>
              <w:left w:val="single" w:sz="4" w:space="0" w:color="E6E6E1" w:themeColor="accent5"/>
              <w:bottom w:val="single" w:sz="4" w:space="0" w:color="E6E6E1" w:themeColor="accent5"/>
              <w:right w:val="single" w:sz="4" w:space="0" w:color="FFFFFF" w:themeColor="background1"/>
            </w:tcBorders>
          </w:tcPr>
          <w:p w14:paraId="27705C37" w14:textId="77777777" w:rsidR="00CB6787" w:rsidRPr="00F3115D" w:rsidRDefault="00CB6787" w:rsidP="00CA3A4B">
            <w:pPr>
              <w:spacing w:before="60" w:after="60"/>
              <w:rPr>
                <w:rFonts w:asciiTheme="majorHAnsi" w:hAnsiTheme="majorHAnsi" w:cstheme="majorHAnsi"/>
                <w:sz w:val="18"/>
                <w:szCs w:val="18"/>
              </w:rPr>
            </w:pPr>
            <w:r w:rsidRPr="00F3115D">
              <w:rPr>
                <w:rFonts w:asciiTheme="majorHAnsi" w:hAnsiTheme="majorHAnsi" w:cstheme="majorHAnsi"/>
                <w:sz w:val="18"/>
                <w:szCs w:val="18"/>
                <w:lang w:eastAsia="en-AU"/>
              </w:rPr>
              <w:t>Recommendation</w:t>
            </w:r>
          </w:p>
        </w:tc>
        <w:tc>
          <w:tcPr>
            <w:tcW w:w="5607" w:type="dxa"/>
            <w:tcBorders>
              <w:top w:val="single" w:sz="4" w:space="0" w:color="E6E6E1" w:themeColor="accent5"/>
              <w:left w:val="single" w:sz="4" w:space="0" w:color="FFFFFF" w:themeColor="background1"/>
              <w:bottom w:val="single" w:sz="4" w:space="0" w:color="E6E6E1" w:themeColor="accent5"/>
              <w:right w:val="single" w:sz="4" w:space="0" w:color="E6E6E1" w:themeColor="accent5"/>
            </w:tcBorders>
          </w:tcPr>
          <w:p w14:paraId="1C8E6720" w14:textId="77777777" w:rsidR="00CB6787" w:rsidRPr="00F3115D" w:rsidRDefault="00CB6787" w:rsidP="00CA3A4B">
            <w:pPr>
              <w:spacing w:before="60" w:after="60"/>
              <w:rPr>
                <w:sz w:val="18"/>
                <w:szCs w:val="18"/>
              </w:rPr>
            </w:pPr>
            <w:r w:rsidRPr="00F3115D">
              <w:rPr>
                <w:rFonts w:asciiTheme="majorHAnsi" w:hAnsiTheme="majorHAnsi" w:cstheme="majorHAnsi"/>
                <w:sz w:val="18"/>
                <w:szCs w:val="18"/>
                <w:lang w:eastAsia="en-AU"/>
              </w:rPr>
              <w:t>Benefit</w:t>
            </w:r>
          </w:p>
        </w:tc>
      </w:tr>
      <w:tr w:rsidR="00B0079A" w:rsidRPr="00F3115D" w14:paraId="5F2D767C" w14:textId="77777777" w:rsidTr="00343087">
        <w:tc>
          <w:tcPr>
            <w:tcW w:w="542" w:type="dxa"/>
            <w:vMerge w:val="restart"/>
            <w:tcBorders>
              <w:top w:val="single" w:sz="8" w:space="0" w:color="E6E6E1" w:themeColor="accent5"/>
            </w:tcBorders>
            <w:shd w:val="clear" w:color="auto" w:fill="F2F2F2" w:themeFill="background1" w:themeFillShade="F2"/>
            <w:textDirection w:val="btLr"/>
          </w:tcPr>
          <w:p w14:paraId="7161AAA1" w14:textId="2C891355" w:rsidR="00CB6787" w:rsidRPr="00F3115D" w:rsidRDefault="00582558" w:rsidP="00CA3A4B">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Short-term</w:t>
            </w:r>
            <w:r w:rsidR="00CB6787" w:rsidRPr="00F3115D">
              <w:rPr>
                <w:rFonts w:asciiTheme="majorHAnsi" w:hAnsiTheme="majorHAnsi" w:cstheme="majorHAnsi"/>
                <w:sz w:val="18"/>
                <w:szCs w:val="18"/>
                <w:lang w:eastAsia="en-AU"/>
              </w:rPr>
              <w:t xml:space="preserve"> improvements</w:t>
            </w:r>
          </w:p>
        </w:tc>
        <w:tc>
          <w:tcPr>
            <w:tcW w:w="464" w:type="dxa"/>
            <w:tcBorders>
              <w:top w:val="single" w:sz="8" w:space="0" w:color="E6E6E1" w:themeColor="accent5"/>
              <w:left w:val="single" w:sz="4" w:space="0" w:color="E6E6E1" w:themeColor="accent5"/>
              <w:bottom w:val="single" w:sz="8" w:space="0" w:color="E6E6E1" w:themeColor="accent5"/>
              <w:right w:val="single" w:sz="4" w:space="0" w:color="E6E6E1" w:themeColor="accent5"/>
            </w:tcBorders>
            <w:vAlign w:val="center"/>
          </w:tcPr>
          <w:p w14:paraId="4ADBE10B" w14:textId="43C85F7C" w:rsidR="00CB6787" w:rsidRPr="00F3115D" w:rsidRDefault="008F68E4" w:rsidP="00774C69">
            <w:pPr>
              <w:spacing w:before="60" w:after="60"/>
              <w:jc w:val="center"/>
              <w:rPr>
                <w:sz w:val="17"/>
                <w:szCs w:val="17"/>
                <w:lang w:eastAsia="en-AU"/>
              </w:rPr>
            </w:pPr>
            <w:r w:rsidRPr="00F3115D">
              <w:rPr>
                <w:sz w:val="17"/>
                <w:szCs w:val="17"/>
                <w:lang w:eastAsia="en-AU"/>
              </w:rPr>
              <w:t>20</w:t>
            </w:r>
          </w:p>
        </w:tc>
        <w:tc>
          <w:tcPr>
            <w:tcW w:w="324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705534E4" w14:textId="12A1369D" w:rsidR="00CB6787" w:rsidRPr="00F3115D" w:rsidRDefault="00CB6787" w:rsidP="00CA3A4B">
            <w:pPr>
              <w:spacing w:before="60" w:after="60"/>
              <w:rPr>
                <w:rFonts w:asciiTheme="majorHAnsi" w:hAnsiTheme="majorHAnsi" w:cstheme="majorHAnsi"/>
                <w:color w:val="00264D" w:themeColor="background2"/>
              </w:rPr>
            </w:pPr>
            <w:r w:rsidRPr="00F3115D">
              <w:rPr>
                <w:rFonts w:asciiTheme="majorHAnsi" w:eastAsiaTheme="minorEastAsia" w:hAnsiTheme="majorHAnsi" w:cstheme="majorHAnsi"/>
                <w:color w:val="000000" w:themeColor="dark1"/>
                <w:kern w:val="24"/>
                <w:sz w:val="17"/>
                <w:szCs w:val="17"/>
              </w:rPr>
              <w:t>The HS DAG and the Department should clearly articulate their respective mandates and decision‑making authority, including which decisions rest with the Department and which are the responsibility of the HS DAG, as they relate to the collections.</w:t>
            </w:r>
          </w:p>
        </w:tc>
        <w:tc>
          <w:tcPr>
            <w:tcW w:w="560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0FDAFD20" w14:textId="48BB5B3A" w:rsidR="00CB6787" w:rsidRPr="00F3115D" w:rsidRDefault="00CB6787" w:rsidP="00CA3A4B">
            <w:pPr>
              <w:spacing w:before="60" w:after="60"/>
              <w:rPr>
                <w:sz w:val="17"/>
                <w:szCs w:val="17"/>
                <w:lang w:eastAsia="en-AU"/>
              </w:rPr>
            </w:pPr>
            <w:r w:rsidRPr="00F3115D">
              <w:rPr>
                <w:sz w:val="17"/>
                <w:szCs w:val="17"/>
                <w:lang w:eastAsia="en-AU"/>
              </w:rPr>
              <w:t>Clearly articulating the respective mandates and decision</w:t>
            </w:r>
            <w:r w:rsidRPr="00F3115D">
              <w:rPr>
                <w:sz w:val="17"/>
                <w:szCs w:val="17"/>
                <w:lang w:eastAsia="en-AU"/>
              </w:rPr>
              <w:noBreakHyphen/>
              <w:t>making authority of the HS DAG and the Department will reduce ambiguity, enable more timely and defensible decisions, and strengthen confidence that changes to the collections are governed through transparent and appropriate processes.</w:t>
            </w:r>
          </w:p>
        </w:tc>
      </w:tr>
      <w:tr w:rsidR="00B0079A" w:rsidRPr="00F3115D" w14:paraId="697FE4DF" w14:textId="77777777" w:rsidTr="00343087">
        <w:trPr>
          <w:trHeight w:val="1136"/>
        </w:trPr>
        <w:tc>
          <w:tcPr>
            <w:tcW w:w="542" w:type="dxa"/>
            <w:vMerge/>
            <w:shd w:val="clear" w:color="auto" w:fill="F2F2F2" w:themeFill="background1" w:themeFillShade="F2"/>
          </w:tcPr>
          <w:p w14:paraId="6E276649" w14:textId="77777777" w:rsidR="00CB6787" w:rsidRPr="00F3115D" w:rsidRDefault="00CB6787" w:rsidP="00CA3A4B">
            <w:pPr>
              <w:spacing w:before="60" w:after="60"/>
              <w:rPr>
                <w:sz w:val="18"/>
                <w:szCs w:val="18"/>
                <w:lang w:eastAsia="en-AU"/>
              </w:rPr>
            </w:pPr>
          </w:p>
        </w:tc>
        <w:tc>
          <w:tcPr>
            <w:tcW w:w="464" w:type="dxa"/>
            <w:tcBorders>
              <w:top w:val="single" w:sz="8"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788BE64B" w14:textId="7903E3A5" w:rsidR="00CB6787" w:rsidRPr="00F3115D" w:rsidRDefault="00B311AC" w:rsidP="00774C69">
            <w:pPr>
              <w:spacing w:before="60" w:after="60"/>
              <w:jc w:val="center"/>
              <w:rPr>
                <w:sz w:val="17"/>
                <w:szCs w:val="17"/>
                <w:lang w:eastAsia="en-AU"/>
              </w:rPr>
            </w:pPr>
            <w:r w:rsidRPr="00F3115D">
              <w:rPr>
                <w:sz w:val="17"/>
                <w:szCs w:val="17"/>
                <w:lang w:eastAsia="en-AU"/>
              </w:rPr>
              <w:t>2</w:t>
            </w:r>
            <w:r w:rsidR="008F68E4" w:rsidRPr="00F3115D">
              <w:rPr>
                <w:sz w:val="17"/>
                <w:szCs w:val="17"/>
                <w:lang w:eastAsia="en-AU"/>
              </w:rPr>
              <w:t>1</w:t>
            </w:r>
          </w:p>
        </w:tc>
        <w:tc>
          <w:tcPr>
            <w:tcW w:w="324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2A0EBB1E" w14:textId="24C13ECB" w:rsidR="00CB6787" w:rsidRPr="00F3115D" w:rsidRDefault="00CB6787" w:rsidP="00CA3A4B">
            <w:pPr>
              <w:spacing w:before="60" w:after="60"/>
              <w:rPr>
                <w:rFonts w:asciiTheme="majorHAnsi" w:eastAsiaTheme="minorEastAsia" w:hAnsiTheme="majorHAnsi" w:cstheme="majorHAnsi"/>
                <w:color w:val="000000" w:themeColor="dark1"/>
                <w:kern w:val="24"/>
                <w:sz w:val="17"/>
                <w:szCs w:val="17"/>
              </w:rPr>
            </w:pPr>
            <w:r w:rsidRPr="00F3115D">
              <w:rPr>
                <w:rFonts w:asciiTheme="majorHAnsi" w:eastAsiaTheme="minorEastAsia" w:hAnsiTheme="majorHAnsi" w:cstheme="majorHAnsi"/>
                <w:color w:val="000000" w:themeColor="dark1"/>
                <w:kern w:val="24"/>
                <w:sz w:val="17"/>
                <w:szCs w:val="17"/>
              </w:rPr>
              <w:t>Adopt a staged and continuous governance approach, with formal reviews triggered by system milestones rather than a fixed review cycle</w:t>
            </w:r>
            <w:r w:rsidR="00C926B5" w:rsidRPr="00F3115D">
              <w:rPr>
                <w:rFonts w:asciiTheme="majorHAnsi" w:eastAsiaTheme="minorEastAsia" w:hAnsiTheme="majorHAnsi" w:cstheme="majorHAnsi"/>
                <w:color w:val="000000" w:themeColor="dark1"/>
                <w:kern w:val="24"/>
                <w:sz w:val="17"/>
                <w:szCs w:val="17"/>
              </w:rPr>
              <w:t xml:space="preserve"> and priorities identified jointly between the HS DAG and the Department</w:t>
            </w:r>
            <w:r w:rsidRPr="00F3115D">
              <w:rPr>
                <w:rFonts w:asciiTheme="majorHAnsi" w:eastAsiaTheme="minorEastAsia" w:hAnsiTheme="majorHAnsi" w:cstheme="majorHAnsi"/>
                <w:color w:val="000000" w:themeColor="dark1"/>
                <w:kern w:val="24"/>
                <w:sz w:val="17"/>
                <w:szCs w:val="17"/>
              </w:rPr>
              <w:t>.</w:t>
            </w:r>
          </w:p>
        </w:tc>
        <w:tc>
          <w:tcPr>
            <w:tcW w:w="5607"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122D28B8" w14:textId="4C322A1A" w:rsidR="00CB6787" w:rsidRPr="00F3115D" w:rsidRDefault="00CB6787" w:rsidP="00CA3A4B">
            <w:pPr>
              <w:spacing w:before="60" w:after="60"/>
              <w:rPr>
                <w:sz w:val="17"/>
                <w:szCs w:val="17"/>
                <w:highlight w:val="yellow"/>
              </w:rPr>
            </w:pPr>
            <w:r w:rsidRPr="00F3115D">
              <w:rPr>
                <w:sz w:val="17"/>
                <w:szCs w:val="17"/>
              </w:rPr>
              <w:t>Given the pace and uncertainty of change in the First Nations PHC data environment, reliance on infrequent, large‑scale reviews is increasingly misaligned with the operating context. Instead, the Department and HS DAG should prioritise structured, ongoing engagement with PHC services through a standing advisory mechanism, supported by regular checkpoints on emerging issues, burden, data quality and governance. Comprehensive reviews should be reserved for key system transition points and triggered by material change rather than a fixed cycle</w:t>
            </w:r>
            <w:r w:rsidR="00D92C1D">
              <w:rPr>
                <w:sz w:val="17"/>
                <w:szCs w:val="17"/>
              </w:rPr>
              <w:t>.</w:t>
            </w:r>
          </w:p>
        </w:tc>
      </w:tr>
      <w:tr w:rsidR="00B0079A" w:rsidRPr="00F3115D" w14:paraId="1414D623" w14:textId="77777777" w:rsidTr="00343087">
        <w:trPr>
          <w:trHeight w:val="1136"/>
        </w:trPr>
        <w:tc>
          <w:tcPr>
            <w:tcW w:w="542" w:type="dxa"/>
            <w:vMerge/>
            <w:tcBorders>
              <w:bottom w:val="single" w:sz="4" w:space="0" w:color="00264D" w:themeColor="background2"/>
            </w:tcBorders>
            <w:shd w:val="clear" w:color="auto" w:fill="F2F2F2" w:themeFill="background1" w:themeFillShade="F2"/>
          </w:tcPr>
          <w:p w14:paraId="0E34D80B" w14:textId="77777777" w:rsidR="00CB6787" w:rsidRPr="00F3115D" w:rsidRDefault="00CB6787" w:rsidP="00CA3A4B">
            <w:pPr>
              <w:spacing w:before="60" w:after="60"/>
              <w:rPr>
                <w:sz w:val="18"/>
                <w:szCs w:val="18"/>
                <w:lang w:eastAsia="en-AU"/>
              </w:rPr>
            </w:pPr>
          </w:p>
        </w:tc>
        <w:tc>
          <w:tcPr>
            <w:tcW w:w="464" w:type="dxa"/>
            <w:tcBorders>
              <w:top w:val="single" w:sz="8"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1C50DB84" w14:textId="25413BB6" w:rsidR="00CB6787" w:rsidRPr="00F3115D" w:rsidRDefault="008E3D24" w:rsidP="00774C69">
            <w:pPr>
              <w:spacing w:before="60" w:after="60"/>
              <w:jc w:val="center"/>
              <w:rPr>
                <w:sz w:val="17"/>
                <w:szCs w:val="17"/>
                <w:lang w:eastAsia="en-AU"/>
              </w:rPr>
            </w:pPr>
            <w:r w:rsidRPr="00F3115D">
              <w:rPr>
                <w:sz w:val="17"/>
                <w:szCs w:val="17"/>
                <w:lang w:eastAsia="en-AU"/>
              </w:rPr>
              <w:t>2</w:t>
            </w:r>
            <w:r w:rsidR="008F68E4" w:rsidRPr="00F3115D">
              <w:rPr>
                <w:sz w:val="17"/>
                <w:szCs w:val="17"/>
                <w:lang w:eastAsia="en-AU"/>
              </w:rPr>
              <w:t>2</w:t>
            </w:r>
          </w:p>
        </w:tc>
        <w:tc>
          <w:tcPr>
            <w:tcW w:w="3247" w:type="dxa"/>
            <w:tcBorders>
              <w:top w:val="single" w:sz="4" w:space="0" w:color="E6E6E1" w:themeColor="accent5"/>
              <w:left w:val="single" w:sz="4" w:space="0" w:color="E6E6E1" w:themeColor="accent5"/>
              <w:bottom w:val="single" w:sz="4" w:space="0" w:color="auto"/>
              <w:right w:val="single" w:sz="4" w:space="0" w:color="E6E6E1" w:themeColor="accent5"/>
            </w:tcBorders>
            <w:vAlign w:val="center"/>
          </w:tcPr>
          <w:p w14:paraId="65020F4C" w14:textId="0D7DE7B2" w:rsidR="00CB6787" w:rsidRPr="00F3115D" w:rsidRDefault="009F5484" w:rsidP="00CA3A4B">
            <w:pPr>
              <w:spacing w:before="60" w:after="60"/>
              <w:rPr>
                <w:rFonts w:asciiTheme="majorHAnsi" w:hAnsiTheme="majorHAnsi" w:cstheme="majorHAnsi"/>
                <w:color w:val="00264D" w:themeColor="background2"/>
              </w:rPr>
            </w:pPr>
            <w:r w:rsidRPr="00F3115D">
              <w:rPr>
                <w:rFonts w:asciiTheme="majorHAnsi" w:eastAsiaTheme="minorEastAsia" w:hAnsiTheme="majorHAnsi" w:cstheme="majorHAnsi"/>
                <w:color w:val="000000" w:themeColor="dark1"/>
                <w:kern w:val="24"/>
                <w:sz w:val="17"/>
                <w:szCs w:val="17"/>
              </w:rPr>
              <w:t>Strengthen the</w:t>
            </w:r>
            <w:r w:rsidR="00CB6787" w:rsidRPr="00F3115D">
              <w:rPr>
                <w:rFonts w:asciiTheme="majorHAnsi" w:eastAsiaTheme="minorEastAsia" w:hAnsiTheme="majorHAnsi" w:cstheme="majorHAnsi"/>
                <w:color w:val="000000" w:themeColor="dark1"/>
                <w:kern w:val="24"/>
                <w:sz w:val="17"/>
                <w:szCs w:val="17"/>
              </w:rPr>
              <w:t xml:space="preserve"> connection between nKPI/OSR governance and broader digital health reform by</w:t>
            </w:r>
            <w:r w:rsidRPr="00F3115D">
              <w:rPr>
                <w:rFonts w:asciiTheme="majorHAnsi" w:eastAsiaTheme="minorEastAsia" w:hAnsiTheme="majorHAnsi" w:cstheme="majorHAnsi"/>
                <w:color w:val="000000" w:themeColor="dark1"/>
                <w:kern w:val="24"/>
                <w:sz w:val="17"/>
                <w:szCs w:val="17"/>
              </w:rPr>
              <w:t xml:space="preserve"> embedding digital health expertise within governance arrangements.</w:t>
            </w:r>
          </w:p>
        </w:tc>
        <w:tc>
          <w:tcPr>
            <w:tcW w:w="5607" w:type="dxa"/>
            <w:tcBorders>
              <w:top w:val="single" w:sz="4" w:space="0" w:color="E6E6E1" w:themeColor="accent5"/>
              <w:left w:val="single" w:sz="4" w:space="0" w:color="E6E6E1" w:themeColor="accent5"/>
              <w:bottom w:val="single" w:sz="4" w:space="0" w:color="auto"/>
              <w:right w:val="single" w:sz="4" w:space="0" w:color="E6E6E1" w:themeColor="accent5"/>
            </w:tcBorders>
            <w:vAlign w:val="center"/>
          </w:tcPr>
          <w:p w14:paraId="1B11C73B" w14:textId="4BFF91EF" w:rsidR="00CB6787" w:rsidRPr="00F3115D" w:rsidRDefault="00CB6787" w:rsidP="00CA3A4B">
            <w:pPr>
              <w:spacing w:before="60" w:after="60"/>
              <w:rPr>
                <w:sz w:val="17"/>
                <w:szCs w:val="17"/>
              </w:rPr>
            </w:pPr>
            <w:r w:rsidRPr="00F3115D">
              <w:rPr>
                <w:rStyle w:val="CommentReference"/>
                <w:sz w:val="17"/>
                <w:szCs w:val="17"/>
              </w:rPr>
              <w:t>As the nKPI and OSR increasingly intersect with national digital health reform, governance arrangements must retain a clear line of sight to the broader digital health agenda. Incorporating digital health expertise into, or alongside, HS DAG governance would support alignment with system‑wide reform, help anticipate interoperability implications, and reduce the risk of collections evolving in isolation. This capability should complement, not displace, Indigenous‑led governance and sector priorities.</w:t>
            </w:r>
          </w:p>
        </w:tc>
      </w:tr>
    </w:tbl>
    <w:p w14:paraId="7024152B" w14:textId="77777777" w:rsidR="00343087" w:rsidRDefault="00343087"/>
    <w:p w14:paraId="2CEC7071" w14:textId="77777777" w:rsidR="00343087" w:rsidRDefault="00343087"/>
    <w:p w14:paraId="4152DF0C" w14:textId="77777777" w:rsidR="00343087" w:rsidRDefault="00343087"/>
    <w:p w14:paraId="77A4A557" w14:textId="77777777" w:rsidR="00343087" w:rsidRDefault="00343087"/>
    <w:p w14:paraId="69195403" w14:textId="77777777" w:rsidR="00343087" w:rsidRDefault="00343087"/>
    <w:tbl>
      <w:tblPr>
        <w:tblStyle w:val="NOUS"/>
        <w:tblpPr w:leftFromText="180" w:rightFromText="180" w:vertAnchor="text" w:tblpY="83"/>
        <w:tblW w:w="9865" w:type="dxa"/>
        <w:tblLook w:val="04A0" w:firstRow="1" w:lastRow="0" w:firstColumn="1" w:lastColumn="0" w:noHBand="0" w:noVBand="1"/>
      </w:tblPr>
      <w:tblGrid>
        <w:gridCol w:w="542"/>
        <w:gridCol w:w="9323"/>
      </w:tblGrid>
      <w:tr w:rsidR="003934AB" w:rsidRPr="00F3115D" w14:paraId="453A61DC" w14:textId="77777777" w:rsidTr="00A54084">
        <w:trPr>
          <w:cnfStyle w:val="100000000000" w:firstRow="1" w:lastRow="0" w:firstColumn="0" w:lastColumn="0" w:oddVBand="0" w:evenVBand="0" w:oddHBand="0" w:evenHBand="0" w:firstRowFirstColumn="0" w:firstRowLastColumn="0" w:lastRowFirstColumn="0" w:lastRowLastColumn="0"/>
        </w:trPr>
        <w:tc>
          <w:tcPr>
            <w:tcW w:w="542" w:type="dxa"/>
            <w:tcBorders>
              <w:top w:val="single" w:sz="4" w:space="0" w:color="FFFFFF" w:themeColor="background1"/>
              <w:right w:val="single" w:sz="4" w:space="0" w:color="00264D" w:themeColor="background2"/>
            </w:tcBorders>
            <w:shd w:val="clear" w:color="auto" w:fill="FFFFFF" w:themeFill="background1"/>
          </w:tcPr>
          <w:p w14:paraId="004B16EF" w14:textId="77777777" w:rsidR="003934AB" w:rsidRPr="00F3115D" w:rsidRDefault="003934AB" w:rsidP="00A54084">
            <w:pPr>
              <w:spacing w:before="60" w:after="60"/>
              <w:rPr>
                <w:rFonts w:asciiTheme="majorHAnsi" w:hAnsiTheme="majorHAnsi" w:cstheme="majorHAnsi"/>
                <w:sz w:val="17"/>
                <w:szCs w:val="17"/>
                <w:lang w:eastAsia="en-AU"/>
              </w:rPr>
            </w:pPr>
          </w:p>
        </w:tc>
        <w:tc>
          <w:tcPr>
            <w:tcW w:w="9323" w:type="dxa"/>
            <w:tcBorders>
              <w:left w:val="single" w:sz="4" w:space="0" w:color="00264D" w:themeColor="background2"/>
              <w:right w:val="single" w:sz="4" w:space="0" w:color="00264D" w:themeColor="background2"/>
            </w:tcBorders>
            <w:shd w:val="clear" w:color="auto" w:fill="00264D" w:themeFill="background2"/>
          </w:tcPr>
          <w:p w14:paraId="5BBB8DC3" w14:textId="77777777" w:rsidR="003934AB" w:rsidRPr="00F3115D" w:rsidRDefault="003934AB" w:rsidP="00A54084">
            <w:pPr>
              <w:spacing w:before="60" w:after="60"/>
              <w:rPr>
                <w:rFonts w:asciiTheme="majorHAnsi" w:hAnsiTheme="majorHAnsi" w:cstheme="majorHAnsi"/>
                <w:sz w:val="17"/>
                <w:szCs w:val="17"/>
                <w:lang w:eastAsia="en-AU"/>
              </w:rPr>
            </w:pPr>
            <w:r w:rsidRPr="00F3115D">
              <w:rPr>
                <w:rFonts w:asciiTheme="majorHAnsi" w:hAnsiTheme="majorHAnsi" w:cstheme="majorHAnsi"/>
                <w:color w:val="FFFFFF" w:themeColor="background1"/>
                <w:sz w:val="20"/>
                <w:szCs w:val="20"/>
                <w:lang w:eastAsia="en-AU"/>
              </w:rPr>
              <w:t>Data Platforms and Infrastructure</w:t>
            </w:r>
          </w:p>
        </w:tc>
      </w:tr>
    </w:tbl>
    <w:p w14:paraId="4EFA2331" w14:textId="77777777" w:rsidR="00343087" w:rsidRPr="003934AB" w:rsidRDefault="00343087">
      <w:pPr>
        <w:rPr>
          <w:sz w:val="8"/>
          <w:szCs w:val="10"/>
        </w:rPr>
      </w:pPr>
    </w:p>
    <w:tbl>
      <w:tblPr>
        <w:tblStyle w:val="NOUS"/>
        <w:tblpPr w:leftFromText="180" w:rightFromText="180" w:vertAnchor="text" w:tblpY="83"/>
        <w:tblW w:w="9865" w:type="dxa"/>
        <w:tblLook w:val="04A0" w:firstRow="1" w:lastRow="0" w:firstColumn="1" w:lastColumn="0" w:noHBand="0" w:noVBand="1"/>
      </w:tblPr>
      <w:tblGrid>
        <w:gridCol w:w="542"/>
        <w:gridCol w:w="464"/>
        <w:gridCol w:w="3248"/>
        <w:gridCol w:w="5611"/>
      </w:tblGrid>
      <w:tr w:rsidR="00343087" w:rsidRPr="00F3115D" w14:paraId="15E085BD" w14:textId="77777777" w:rsidTr="003934AB">
        <w:trPr>
          <w:cnfStyle w:val="100000000000" w:firstRow="1" w:lastRow="0" w:firstColumn="0" w:lastColumn="0" w:oddVBand="0" w:evenVBand="0" w:oddHBand="0" w:evenHBand="0" w:firstRowFirstColumn="0" w:firstRowLastColumn="0" w:lastRowFirstColumn="0" w:lastRowLastColumn="0"/>
        </w:trPr>
        <w:tc>
          <w:tcPr>
            <w:tcW w:w="542" w:type="dxa"/>
            <w:tcBorders>
              <w:top w:val="nil"/>
              <w:bottom w:val="single" w:sz="4" w:space="0" w:color="00264D" w:themeColor="background2"/>
            </w:tcBorders>
            <w:shd w:val="clear" w:color="auto" w:fill="FFFFFF" w:themeFill="background1"/>
            <w:textDirection w:val="btLr"/>
          </w:tcPr>
          <w:p w14:paraId="7A2DAAC2" w14:textId="77777777" w:rsidR="00343087" w:rsidRPr="00F3115D" w:rsidRDefault="00343087" w:rsidP="003A4FE4">
            <w:pPr>
              <w:spacing w:before="60" w:after="60"/>
              <w:ind w:left="113" w:right="113"/>
              <w:jc w:val="center"/>
              <w:rPr>
                <w:rFonts w:asciiTheme="majorHAnsi" w:hAnsiTheme="majorHAnsi" w:cstheme="majorHAnsi"/>
                <w:sz w:val="17"/>
                <w:szCs w:val="17"/>
                <w:lang w:eastAsia="en-AU"/>
              </w:rPr>
            </w:pPr>
          </w:p>
        </w:tc>
        <w:tc>
          <w:tcPr>
            <w:tcW w:w="464" w:type="dxa"/>
            <w:tcBorders>
              <w:top w:val="single" w:sz="8" w:space="0" w:color="E6E6E1" w:themeColor="accent5"/>
              <w:left w:val="single" w:sz="4" w:space="0" w:color="E6E6E1" w:themeColor="accent5"/>
              <w:bottom w:val="single" w:sz="4" w:space="0" w:color="00264D" w:themeColor="background2"/>
              <w:right w:val="single" w:sz="4" w:space="0" w:color="E6E6E1" w:themeColor="accent5"/>
            </w:tcBorders>
            <w:vAlign w:val="center"/>
          </w:tcPr>
          <w:p w14:paraId="44FCC04C" w14:textId="77777777" w:rsidR="00343087" w:rsidRPr="00F3115D" w:rsidRDefault="00343087" w:rsidP="003A4FE4">
            <w:pPr>
              <w:spacing w:before="60" w:after="60"/>
              <w:jc w:val="center"/>
              <w:rPr>
                <w:sz w:val="18"/>
                <w:szCs w:val="18"/>
                <w:lang w:eastAsia="en-AU"/>
              </w:rPr>
            </w:pPr>
            <w:r w:rsidRPr="00F3115D">
              <w:rPr>
                <w:rFonts w:asciiTheme="majorHAnsi" w:hAnsiTheme="majorHAnsi" w:cstheme="majorHAnsi"/>
                <w:sz w:val="18"/>
                <w:szCs w:val="18"/>
                <w:lang w:eastAsia="en-AU"/>
              </w:rPr>
              <w:t>#</w:t>
            </w:r>
          </w:p>
        </w:tc>
        <w:tc>
          <w:tcPr>
            <w:tcW w:w="3248" w:type="dxa"/>
            <w:tcBorders>
              <w:top w:val="single" w:sz="4" w:space="0" w:color="E6E6E1" w:themeColor="accent5"/>
              <w:left w:val="single" w:sz="4" w:space="0" w:color="E6E6E1" w:themeColor="accent5"/>
              <w:bottom w:val="single" w:sz="4" w:space="0" w:color="00264D" w:themeColor="background2"/>
              <w:right w:val="single" w:sz="4" w:space="0" w:color="FFFFFF" w:themeColor="background1"/>
            </w:tcBorders>
          </w:tcPr>
          <w:p w14:paraId="2F6A0C23" w14:textId="77777777" w:rsidR="00343087" w:rsidRPr="00F3115D" w:rsidRDefault="00343087" w:rsidP="003A4FE4">
            <w:pPr>
              <w:spacing w:before="60" w:after="60"/>
              <w:rPr>
                <w:rFonts w:asciiTheme="majorHAnsi" w:hAnsiTheme="majorHAnsi" w:cstheme="majorHAnsi"/>
                <w:sz w:val="18"/>
                <w:szCs w:val="18"/>
              </w:rPr>
            </w:pPr>
            <w:r w:rsidRPr="00F3115D">
              <w:rPr>
                <w:rFonts w:asciiTheme="majorHAnsi" w:hAnsiTheme="majorHAnsi" w:cstheme="majorHAnsi"/>
                <w:sz w:val="18"/>
                <w:szCs w:val="18"/>
                <w:lang w:eastAsia="en-AU"/>
              </w:rPr>
              <w:t>Recommendation</w:t>
            </w:r>
          </w:p>
        </w:tc>
        <w:tc>
          <w:tcPr>
            <w:tcW w:w="5611" w:type="dxa"/>
            <w:tcBorders>
              <w:top w:val="single" w:sz="4" w:space="0" w:color="E6E6E1" w:themeColor="accent5"/>
              <w:left w:val="single" w:sz="4" w:space="0" w:color="FFFFFF" w:themeColor="background1"/>
              <w:bottom w:val="single" w:sz="4" w:space="0" w:color="E6E6E1" w:themeColor="accent5"/>
              <w:right w:val="single" w:sz="4" w:space="0" w:color="E6E6E1" w:themeColor="accent5"/>
            </w:tcBorders>
          </w:tcPr>
          <w:p w14:paraId="12605D1B" w14:textId="77777777" w:rsidR="00343087" w:rsidRPr="00F3115D" w:rsidRDefault="00343087" w:rsidP="003A4FE4">
            <w:pPr>
              <w:spacing w:before="60" w:after="60"/>
              <w:rPr>
                <w:sz w:val="18"/>
                <w:szCs w:val="18"/>
              </w:rPr>
            </w:pPr>
            <w:r w:rsidRPr="00F3115D">
              <w:rPr>
                <w:rFonts w:asciiTheme="majorHAnsi" w:hAnsiTheme="majorHAnsi" w:cstheme="majorHAnsi"/>
                <w:sz w:val="18"/>
                <w:szCs w:val="18"/>
                <w:lang w:eastAsia="en-AU"/>
              </w:rPr>
              <w:t>Benefit</w:t>
            </w:r>
          </w:p>
        </w:tc>
      </w:tr>
      <w:tr w:rsidR="00B0079A" w:rsidRPr="00F3115D" w14:paraId="122AD9C3" w14:textId="77777777" w:rsidTr="003934AB">
        <w:trPr>
          <w:cantSplit/>
          <w:trHeight w:val="1349"/>
        </w:trPr>
        <w:tc>
          <w:tcPr>
            <w:tcW w:w="542" w:type="dxa"/>
            <w:vMerge w:val="restart"/>
            <w:tcBorders>
              <w:top w:val="single" w:sz="4" w:space="0" w:color="00264D" w:themeColor="background2"/>
              <w:left w:val="single" w:sz="4" w:space="0" w:color="E6E6E1" w:themeColor="accent5"/>
            </w:tcBorders>
            <w:shd w:val="clear" w:color="auto" w:fill="F2F2F2" w:themeFill="background1" w:themeFillShade="F2"/>
            <w:textDirection w:val="btLr"/>
          </w:tcPr>
          <w:p w14:paraId="6A7C2A88" w14:textId="77777777" w:rsidR="00CB6787" w:rsidRPr="00F3115D" w:rsidRDefault="00CB6787" w:rsidP="00CA3A4B">
            <w:pPr>
              <w:spacing w:before="60" w:after="60"/>
              <w:ind w:left="113" w:right="113"/>
              <w:jc w:val="center"/>
              <w:rPr>
                <w:rFonts w:asciiTheme="majorHAnsi" w:hAnsiTheme="majorHAnsi" w:cstheme="majorHAnsi"/>
                <w:sz w:val="18"/>
                <w:szCs w:val="18"/>
                <w:lang w:eastAsia="en-AU"/>
              </w:rPr>
            </w:pPr>
            <w:r w:rsidRPr="00F3115D">
              <w:rPr>
                <w:rFonts w:asciiTheme="majorHAnsi" w:hAnsiTheme="majorHAnsi" w:cstheme="majorHAnsi"/>
                <w:sz w:val="18"/>
                <w:szCs w:val="18"/>
                <w:lang w:eastAsia="en-AU"/>
              </w:rPr>
              <w:t>Foundations for substantive reform</w:t>
            </w:r>
          </w:p>
        </w:tc>
        <w:tc>
          <w:tcPr>
            <w:tcW w:w="464"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38789659" w14:textId="529C77E1" w:rsidR="00CB6787" w:rsidRPr="00F3115D" w:rsidRDefault="00DA1D43" w:rsidP="00774C69">
            <w:pPr>
              <w:spacing w:before="60" w:after="60"/>
              <w:jc w:val="center"/>
              <w:rPr>
                <w:sz w:val="17"/>
                <w:szCs w:val="17"/>
                <w:lang w:eastAsia="en-AU"/>
              </w:rPr>
            </w:pPr>
            <w:r w:rsidRPr="00F3115D">
              <w:rPr>
                <w:sz w:val="17"/>
                <w:szCs w:val="17"/>
                <w:lang w:eastAsia="en-AU"/>
              </w:rPr>
              <w:t>2</w:t>
            </w:r>
            <w:r w:rsidR="008F68E4" w:rsidRPr="00F3115D">
              <w:rPr>
                <w:sz w:val="17"/>
                <w:szCs w:val="17"/>
                <w:lang w:eastAsia="en-AU"/>
              </w:rPr>
              <w:t>3</w:t>
            </w:r>
          </w:p>
        </w:tc>
        <w:tc>
          <w:tcPr>
            <w:tcW w:w="3248"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052CA03D" w14:textId="661489CE" w:rsidR="00CB6787" w:rsidRPr="00F3115D" w:rsidRDefault="00CB6787" w:rsidP="00CA3A4B">
            <w:pPr>
              <w:spacing w:before="60" w:after="60"/>
              <w:rPr>
                <w:rFonts w:asciiTheme="majorHAnsi" w:hAnsiTheme="majorHAnsi" w:cstheme="majorHAnsi"/>
                <w:color w:val="00264D" w:themeColor="background2"/>
              </w:rPr>
            </w:pPr>
            <w:r w:rsidRPr="00F3115D">
              <w:rPr>
                <w:rFonts w:asciiTheme="majorHAnsi" w:eastAsiaTheme="minorEastAsia" w:hAnsiTheme="majorHAnsi" w:cstheme="majorHAnsi"/>
                <w:color w:val="000000" w:themeColor="dark1"/>
                <w:kern w:val="24"/>
                <w:sz w:val="17"/>
                <w:szCs w:val="17"/>
              </w:rPr>
              <w:t>The HS DAG establish a standing mechanism for First Nations PHC services to participate in and inform the group.</w:t>
            </w:r>
            <w:r w:rsidRPr="00F3115D">
              <w:rPr>
                <w:rFonts w:asciiTheme="majorHAnsi" w:hAnsiTheme="majorHAnsi" w:cstheme="majorHAnsi"/>
              </w:rPr>
              <w:t xml:space="preserve"> </w:t>
            </w:r>
          </w:p>
        </w:tc>
        <w:tc>
          <w:tcPr>
            <w:tcW w:w="5611" w:type="dxa"/>
            <w:tcBorders>
              <w:top w:val="single" w:sz="4" w:space="0" w:color="00264D" w:themeColor="background2"/>
              <w:left w:val="single" w:sz="4" w:space="0" w:color="E6E6E1" w:themeColor="accent5"/>
              <w:bottom w:val="single" w:sz="4" w:space="0" w:color="E6E6E1" w:themeColor="accent5"/>
              <w:right w:val="single" w:sz="4" w:space="0" w:color="E6E6E1" w:themeColor="accent5"/>
            </w:tcBorders>
            <w:vAlign w:val="center"/>
          </w:tcPr>
          <w:p w14:paraId="1C0BF7B7" w14:textId="1F3C93C1" w:rsidR="00CB6787" w:rsidRPr="00F3115D" w:rsidRDefault="00CB6787" w:rsidP="00CA3A4B">
            <w:pPr>
              <w:spacing w:before="60" w:after="60"/>
              <w:rPr>
                <w:sz w:val="17"/>
                <w:szCs w:val="17"/>
              </w:rPr>
            </w:pPr>
            <w:r w:rsidRPr="00F3115D">
              <w:rPr>
                <w:sz w:val="17"/>
                <w:szCs w:val="17"/>
              </w:rPr>
              <w:t>Strengthens Indigenous</w:t>
            </w:r>
            <w:r w:rsidRPr="00F3115D">
              <w:rPr>
                <w:sz w:val="17"/>
                <w:szCs w:val="17"/>
              </w:rPr>
              <w:noBreakHyphen/>
              <w:t>led governance by embedding lived service experience directly into HS DAG deliberations, improving the relevance, legitimacy and trustworthiness of decisions affecting the nKPI and OSR while supporting more reciprocal and transparent engagement with the sector.</w:t>
            </w:r>
          </w:p>
        </w:tc>
      </w:tr>
      <w:tr w:rsidR="00B0079A" w:rsidRPr="00F3115D" w14:paraId="10ECCFDB" w14:textId="77777777" w:rsidTr="003934AB">
        <w:trPr>
          <w:cantSplit/>
          <w:trHeight w:val="1648"/>
        </w:trPr>
        <w:tc>
          <w:tcPr>
            <w:tcW w:w="542" w:type="dxa"/>
            <w:vMerge/>
            <w:tcBorders>
              <w:left w:val="single" w:sz="4" w:space="0" w:color="E6E6E1" w:themeColor="accent5"/>
              <w:bottom w:val="single" w:sz="4" w:space="0" w:color="E6E6E1" w:themeColor="accent5"/>
            </w:tcBorders>
            <w:shd w:val="clear" w:color="auto" w:fill="F2F2F2" w:themeFill="background1" w:themeFillShade="F2"/>
            <w:textDirection w:val="btLr"/>
          </w:tcPr>
          <w:p w14:paraId="684C46FB" w14:textId="77777777" w:rsidR="00DA1D43" w:rsidRPr="00F3115D" w:rsidRDefault="00DA1D43" w:rsidP="00CA3A4B">
            <w:pPr>
              <w:spacing w:before="60" w:after="60"/>
              <w:ind w:left="113" w:right="113"/>
              <w:jc w:val="center"/>
              <w:rPr>
                <w:rFonts w:asciiTheme="majorHAnsi" w:hAnsiTheme="majorHAnsi" w:cstheme="majorHAnsi"/>
                <w:sz w:val="17"/>
                <w:szCs w:val="17"/>
                <w:lang w:eastAsia="en-AU"/>
              </w:rPr>
            </w:pPr>
          </w:p>
        </w:tc>
        <w:tc>
          <w:tcPr>
            <w:tcW w:w="464"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514C0C96" w14:textId="57AFC682" w:rsidR="00DA1D43" w:rsidRPr="00F3115D" w:rsidRDefault="00DA1D43" w:rsidP="00774C69">
            <w:pPr>
              <w:spacing w:before="60" w:after="60"/>
              <w:jc w:val="center"/>
              <w:rPr>
                <w:sz w:val="17"/>
                <w:szCs w:val="17"/>
                <w:lang w:eastAsia="en-AU"/>
              </w:rPr>
            </w:pPr>
            <w:r w:rsidRPr="00F3115D">
              <w:rPr>
                <w:sz w:val="17"/>
                <w:szCs w:val="17"/>
                <w:lang w:eastAsia="en-AU"/>
              </w:rPr>
              <w:t>2</w:t>
            </w:r>
            <w:r w:rsidR="008F68E4" w:rsidRPr="00F3115D">
              <w:rPr>
                <w:sz w:val="17"/>
                <w:szCs w:val="17"/>
                <w:lang w:eastAsia="en-AU"/>
              </w:rPr>
              <w:t>4</w:t>
            </w:r>
          </w:p>
        </w:tc>
        <w:tc>
          <w:tcPr>
            <w:tcW w:w="3248"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6D8BA491" w14:textId="7919155B" w:rsidR="00DA1D43" w:rsidRPr="00F3115D" w:rsidRDefault="00DA1D43" w:rsidP="00CA3A4B">
            <w:pPr>
              <w:spacing w:before="60" w:after="60"/>
              <w:rPr>
                <w:rFonts w:asciiTheme="majorHAnsi" w:hAnsiTheme="majorHAnsi" w:cstheme="majorHAnsi"/>
                <w:color w:val="00264D" w:themeColor="background2"/>
              </w:rPr>
            </w:pPr>
            <w:r w:rsidRPr="00F3115D">
              <w:rPr>
                <w:rFonts w:asciiTheme="majorHAnsi" w:eastAsiaTheme="minorEastAsia" w:hAnsiTheme="majorHAnsi" w:cstheme="majorHAnsi"/>
                <w:color w:val="000000" w:themeColor="dark1"/>
                <w:kern w:val="24"/>
                <w:sz w:val="17"/>
                <w:szCs w:val="17"/>
              </w:rPr>
              <w:t>Embed future evolution of the nKPI and OSR collections within whole‑of‑system First Nations data and digital health reform, supported by strengthened Indigenous‑led governance and cross‑portfolio coordination.</w:t>
            </w:r>
          </w:p>
        </w:tc>
        <w:tc>
          <w:tcPr>
            <w:tcW w:w="5611" w:type="dxa"/>
            <w:tcBorders>
              <w:top w:val="single" w:sz="4" w:space="0" w:color="E6E6E1" w:themeColor="accent5"/>
              <w:left w:val="single" w:sz="4" w:space="0" w:color="E6E6E1" w:themeColor="accent5"/>
              <w:bottom w:val="single" w:sz="4" w:space="0" w:color="E6E6E1" w:themeColor="accent5"/>
              <w:right w:val="single" w:sz="4" w:space="0" w:color="E6E6E1" w:themeColor="accent5"/>
            </w:tcBorders>
            <w:vAlign w:val="center"/>
          </w:tcPr>
          <w:p w14:paraId="213532DB" w14:textId="0BE18A01" w:rsidR="00DA1D43" w:rsidRPr="00F3115D" w:rsidRDefault="00F45C9B" w:rsidP="00CA3A4B">
            <w:pPr>
              <w:spacing w:before="60" w:after="60"/>
              <w:rPr>
                <w:sz w:val="17"/>
                <w:szCs w:val="17"/>
              </w:rPr>
            </w:pPr>
            <w:r w:rsidRPr="00F3115D">
              <w:rPr>
                <w:sz w:val="17"/>
                <w:szCs w:val="17"/>
              </w:rPr>
              <w:t xml:space="preserve">Strengthening Indigenous‑led governance and establishing standing mechanisms for First Nations PHC services to inform advisory bodies, including the </w:t>
            </w:r>
            <w:r w:rsidR="00D92C1D">
              <w:rPr>
                <w:sz w:val="17"/>
                <w:szCs w:val="17"/>
              </w:rPr>
              <w:t>HS DAG,</w:t>
            </w:r>
            <w:r w:rsidRPr="00F3115D">
              <w:rPr>
                <w:sz w:val="17"/>
                <w:szCs w:val="17"/>
              </w:rPr>
              <w:t xml:space="preserve"> would provide a structured avenue for systematic sector input into both collection‑specific and broader system‑level data reform.</w:t>
            </w:r>
          </w:p>
        </w:tc>
      </w:tr>
    </w:tbl>
    <w:p w14:paraId="17DCA322" w14:textId="0FF7C7BE" w:rsidR="00B10C1A" w:rsidRPr="00F3115D" w:rsidRDefault="00A632D7" w:rsidP="00E13582">
      <w:pPr>
        <w:pStyle w:val="Heading2"/>
      </w:pPr>
      <w:bookmarkStart w:id="6" w:name="_Toc237357112"/>
      <w:r w:rsidRPr="00F3115D">
        <w:t>Planning considerations</w:t>
      </w:r>
      <w:bookmarkEnd w:id="6"/>
    </w:p>
    <w:p w14:paraId="066B1B68" w14:textId="77777777" w:rsidR="00B10C1A" w:rsidRPr="00F3115D" w:rsidRDefault="00B10C1A" w:rsidP="00B10C1A">
      <w:pPr>
        <w:pStyle w:val="Heading4"/>
      </w:pPr>
      <w:r w:rsidRPr="00F3115D">
        <w:t>Barriers to implementation</w:t>
      </w:r>
    </w:p>
    <w:p w14:paraId="081B0753" w14:textId="7282A994" w:rsidR="00B2595D" w:rsidRPr="00F3115D" w:rsidRDefault="003D47E1" w:rsidP="00B2595D">
      <w:pPr>
        <w:rPr>
          <w:lang w:eastAsia="en-AU"/>
        </w:rPr>
      </w:pPr>
      <w:r w:rsidRPr="00F3115D">
        <w:rPr>
          <w:rFonts w:asciiTheme="majorHAnsi" w:hAnsiTheme="majorHAnsi" w:cstheme="majorHAnsi"/>
          <w:lang w:eastAsia="en-AU"/>
        </w:rPr>
        <w:t>Systemic b</w:t>
      </w:r>
      <w:r w:rsidR="00E3650F" w:rsidRPr="00F3115D">
        <w:rPr>
          <w:rFonts w:asciiTheme="majorHAnsi" w:hAnsiTheme="majorHAnsi" w:cstheme="majorHAnsi"/>
          <w:lang w:eastAsia="en-AU"/>
        </w:rPr>
        <w:t xml:space="preserve">arriers </w:t>
      </w:r>
      <w:r w:rsidRPr="00F3115D">
        <w:rPr>
          <w:rFonts w:asciiTheme="majorHAnsi" w:hAnsiTheme="majorHAnsi" w:cstheme="majorHAnsi"/>
          <w:lang w:eastAsia="en-AU"/>
        </w:rPr>
        <w:t>will</w:t>
      </w:r>
      <w:r w:rsidR="00E3650F" w:rsidRPr="00F3115D">
        <w:rPr>
          <w:rFonts w:asciiTheme="majorHAnsi" w:hAnsiTheme="majorHAnsi" w:cstheme="majorHAnsi"/>
          <w:lang w:eastAsia="en-AU"/>
        </w:rPr>
        <w:t xml:space="preserve"> limit the extent to which recommendations deliver their intended benefits.</w:t>
      </w:r>
      <w:r w:rsidR="00E3650F" w:rsidRPr="00F3115D">
        <w:rPr>
          <w:lang w:eastAsia="en-AU"/>
        </w:rPr>
        <w:t xml:space="preserve"> Some barriers sit outside the Department’s direct control and may constrain impact even where recommendations are implemented as planned. The considerations below should be kept in mind when assessing progress and evaluating outcomes.</w:t>
      </w:r>
    </w:p>
    <w:p w14:paraId="65BE8A72" w14:textId="7576D192" w:rsidR="00615958" w:rsidRPr="00F3115D" w:rsidRDefault="00692ECB" w:rsidP="00270F21">
      <w:pPr>
        <w:pStyle w:val="ListParagraph"/>
        <w:numPr>
          <w:ilvl w:val="0"/>
          <w:numId w:val="23"/>
        </w:numPr>
        <w:spacing w:line="240" w:lineRule="auto"/>
        <w:ind w:left="357" w:hanging="357"/>
        <w:contextualSpacing w:val="0"/>
        <w:rPr>
          <w:lang w:eastAsia="en-AU"/>
        </w:rPr>
      </w:pPr>
      <w:r w:rsidRPr="00F3115D">
        <w:rPr>
          <w:rFonts w:asciiTheme="majorHAnsi" w:hAnsiTheme="majorHAnsi" w:cstheme="majorHAnsi"/>
          <w:lang w:eastAsia="en-AU"/>
        </w:rPr>
        <w:t xml:space="preserve">Low data literacy </w:t>
      </w:r>
      <w:r w:rsidR="003E055A" w:rsidRPr="00F3115D">
        <w:rPr>
          <w:rFonts w:asciiTheme="majorHAnsi" w:hAnsiTheme="majorHAnsi" w:cstheme="majorHAnsi"/>
          <w:lang w:eastAsia="en-AU"/>
        </w:rPr>
        <w:t xml:space="preserve">will continue to constrain service’s ability </w:t>
      </w:r>
      <w:r w:rsidRPr="00F3115D">
        <w:rPr>
          <w:rFonts w:asciiTheme="majorHAnsi" w:hAnsiTheme="majorHAnsi" w:cstheme="majorHAnsi"/>
          <w:lang w:eastAsia="en-AU"/>
        </w:rPr>
        <w:t xml:space="preserve">to </w:t>
      </w:r>
      <w:r w:rsidR="001206FE" w:rsidRPr="00F3115D">
        <w:rPr>
          <w:rFonts w:asciiTheme="majorHAnsi" w:hAnsiTheme="majorHAnsi" w:cstheme="majorHAnsi"/>
          <w:lang w:eastAsia="en-AU"/>
        </w:rPr>
        <w:t>use the systems available to them</w:t>
      </w:r>
      <w:r w:rsidR="003C5D20" w:rsidRPr="00F3115D">
        <w:rPr>
          <w:rFonts w:asciiTheme="majorHAnsi" w:hAnsiTheme="majorHAnsi" w:cstheme="majorHAnsi"/>
          <w:lang w:eastAsia="en-AU"/>
        </w:rPr>
        <w:t xml:space="preserve">. </w:t>
      </w:r>
      <w:r w:rsidRPr="00F3115D">
        <w:rPr>
          <w:lang w:eastAsia="en-AU"/>
        </w:rPr>
        <w:t xml:space="preserve">Consultations identified low data literacy as a major barrier to services </w:t>
      </w:r>
      <w:r w:rsidR="00557E46" w:rsidRPr="00F3115D">
        <w:rPr>
          <w:lang w:eastAsia="en-AU"/>
        </w:rPr>
        <w:t>data capability</w:t>
      </w:r>
      <w:r w:rsidRPr="00F3115D">
        <w:rPr>
          <w:lang w:eastAsia="en-AU"/>
        </w:rPr>
        <w:t xml:space="preserve">. The recommended simplifications </w:t>
      </w:r>
      <w:r w:rsidR="00557E46" w:rsidRPr="00F3115D">
        <w:rPr>
          <w:lang w:eastAsia="en-AU"/>
        </w:rPr>
        <w:t>will</w:t>
      </w:r>
      <w:r w:rsidRPr="00F3115D">
        <w:rPr>
          <w:lang w:eastAsia="en-AU"/>
        </w:rPr>
        <w:t xml:space="preserve"> make submission steps and outputs easier to work with, but they will not remove this barrier on their own. Services will need </w:t>
      </w:r>
      <w:r w:rsidR="00C00DF5" w:rsidRPr="00F3115D">
        <w:rPr>
          <w:lang w:eastAsia="en-AU"/>
        </w:rPr>
        <w:t>external</w:t>
      </w:r>
      <w:r w:rsidRPr="00F3115D">
        <w:rPr>
          <w:lang w:eastAsia="en-AU"/>
        </w:rPr>
        <w:t xml:space="preserve"> support to build confidence and capability</w:t>
      </w:r>
      <w:r w:rsidR="00C00DF5" w:rsidRPr="00F3115D">
        <w:rPr>
          <w:lang w:eastAsia="en-AU"/>
        </w:rPr>
        <w:t xml:space="preserve"> before these systems are routinely and effectively used.</w:t>
      </w:r>
      <w:r w:rsidRPr="00F3115D">
        <w:rPr>
          <w:lang w:eastAsia="en-AU"/>
        </w:rPr>
        <w:t xml:space="preserve"> </w:t>
      </w:r>
    </w:p>
    <w:p w14:paraId="64295C35" w14:textId="0F230D14" w:rsidR="00B2595D" w:rsidRPr="00F3115D" w:rsidRDefault="003D47E1" w:rsidP="00270F21">
      <w:pPr>
        <w:pStyle w:val="ListParagraph"/>
        <w:numPr>
          <w:ilvl w:val="0"/>
          <w:numId w:val="23"/>
        </w:numPr>
        <w:spacing w:line="240" w:lineRule="auto"/>
        <w:ind w:left="357" w:hanging="357"/>
        <w:contextualSpacing w:val="0"/>
        <w:rPr>
          <w:lang w:eastAsia="en-AU"/>
        </w:rPr>
      </w:pPr>
      <w:r w:rsidRPr="00F3115D">
        <w:rPr>
          <w:rFonts w:asciiTheme="majorHAnsi" w:hAnsiTheme="majorHAnsi" w:cstheme="majorHAnsi"/>
          <w:lang w:eastAsia="en-AU"/>
        </w:rPr>
        <w:t>Limited infrastructure and connectivity may continue to limit access to reporting systems and reduce the benefits of reform.</w:t>
      </w:r>
      <w:r w:rsidRPr="00F3115D">
        <w:rPr>
          <w:lang w:eastAsia="en-AU"/>
        </w:rPr>
        <w:t xml:space="preserve"> Unreliable internet and ageing hardware can slow or prevent access to the HDP, dashboards, and cloud-based CIS functions. This increases the time and effort needed to submit reports, even when the reporting requirements are simplified. It also reduces routine use of dashboards and feedback products, which limits the recommendations’ intended benefits for CQI and decision-making. These constraints often sit outside the Department’s direct control and may persist unless addressed through broader infrastructure and service-level investment.</w:t>
      </w:r>
    </w:p>
    <w:p w14:paraId="07C55EAC" w14:textId="0FAA54EB" w:rsidR="005C68E6" w:rsidRPr="00F3115D" w:rsidRDefault="005C68E6" w:rsidP="00270F21">
      <w:pPr>
        <w:pStyle w:val="ListParagraph"/>
        <w:numPr>
          <w:ilvl w:val="0"/>
          <w:numId w:val="23"/>
        </w:numPr>
        <w:spacing w:line="240" w:lineRule="auto"/>
        <w:ind w:left="357" w:hanging="357"/>
        <w:contextualSpacing w:val="0"/>
        <w:rPr>
          <w:lang w:eastAsia="en-AU"/>
        </w:rPr>
      </w:pPr>
      <w:r w:rsidRPr="00F3115D">
        <w:rPr>
          <w:rFonts w:asciiTheme="majorHAnsi" w:hAnsiTheme="majorHAnsi" w:cstheme="majorHAnsi"/>
          <w:lang w:eastAsia="en-AU"/>
        </w:rPr>
        <w:t xml:space="preserve">The Department has limited control over CIS design and functionality, which constrains how far recommendations can improve consistency and comparability across services. </w:t>
      </w:r>
      <w:r w:rsidRPr="00F3115D">
        <w:rPr>
          <w:lang w:eastAsia="en-AU"/>
        </w:rPr>
        <w:t xml:space="preserve">This limits the ability to align CIS fields, workflows and reporting outputs with the way </w:t>
      </w:r>
      <w:r w:rsidR="00FF3524" w:rsidRPr="00F3115D">
        <w:rPr>
          <w:lang w:eastAsia="en-AU"/>
        </w:rPr>
        <w:t>First Nations</w:t>
      </w:r>
      <w:r w:rsidRPr="00F3115D">
        <w:rPr>
          <w:lang w:eastAsia="en-AU"/>
        </w:rPr>
        <w:t xml:space="preserve"> PHC services deliver care. The Department cannot mandate a single CIS and cannot require vendors to implement specific changes within their products. The Department can only use external incentives, and these are often weak because </w:t>
      </w:r>
      <w:r w:rsidR="00FF3524" w:rsidRPr="00F3115D">
        <w:rPr>
          <w:lang w:eastAsia="en-AU"/>
        </w:rPr>
        <w:t>First Nations</w:t>
      </w:r>
      <w:r w:rsidRPr="00F3115D">
        <w:rPr>
          <w:lang w:eastAsia="en-AU"/>
        </w:rPr>
        <w:t xml:space="preserve"> PHC services represent a small share of the overall CIS market.</w:t>
      </w:r>
    </w:p>
    <w:p w14:paraId="0A81A768" w14:textId="2BE563E3" w:rsidR="007A0D30" w:rsidRPr="00F3115D" w:rsidRDefault="007134EA" w:rsidP="00270F21">
      <w:pPr>
        <w:pStyle w:val="ListParagraph"/>
        <w:numPr>
          <w:ilvl w:val="0"/>
          <w:numId w:val="23"/>
        </w:numPr>
        <w:spacing w:line="240" w:lineRule="auto"/>
        <w:ind w:left="357" w:hanging="357"/>
        <w:contextualSpacing w:val="0"/>
        <w:rPr>
          <w:lang w:eastAsia="en-AU"/>
        </w:rPr>
      </w:pPr>
      <w:r w:rsidRPr="00F3115D">
        <w:rPr>
          <w:rFonts w:asciiTheme="majorHAnsi" w:hAnsiTheme="majorHAnsi" w:cstheme="majorHAnsi"/>
          <w:lang w:eastAsia="en-AU"/>
        </w:rPr>
        <w:t xml:space="preserve">High workforce turnover </w:t>
      </w:r>
      <w:r w:rsidR="0087539A" w:rsidRPr="00F3115D">
        <w:rPr>
          <w:rFonts w:asciiTheme="majorHAnsi" w:hAnsiTheme="majorHAnsi" w:cstheme="majorHAnsi"/>
          <w:lang w:eastAsia="en-AU"/>
        </w:rPr>
        <w:t>in PHC organisations</w:t>
      </w:r>
      <w:r w:rsidRPr="00F3115D">
        <w:rPr>
          <w:rFonts w:asciiTheme="majorHAnsi" w:hAnsiTheme="majorHAnsi" w:cstheme="majorHAnsi"/>
          <w:lang w:eastAsia="en-AU"/>
        </w:rPr>
        <w:t xml:space="preserve"> means services lose reporting knowledge as staff leave and new staff start. </w:t>
      </w:r>
      <w:r w:rsidRPr="00F3115D">
        <w:rPr>
          <w:lang w:eastAsia="en-AU"/>
        </w:rPr>
        <w:t xml:space="preserve">This reduces the impact of improved guidance because capability does not stay in place long enough to deliver consistent benefits. Services must continuously onboard new staff to local reporting processes and data practices. This responsibility sits with services rather than the Department. </w:t>
      </w:r>
    </w:p>
    <w:p w14:paraId="65F134DF" w14:textId="33E451F3" w:rsidR="00557ACD" w:rsidRPr="00F3115D" w:rsidRDefault="00557ACD" w:rsidP="00270F21">
      <w:pPr>
        <w:pStyle w:val="ListParagraph"/>
        <w:numPr>
          <w:ilvl w:val="0"/>
          <w:numId w:val="23"/>
        </w:numPr>
        <w:spacing w:line="240" w:lineRule="auto"/>
        <w:ind w:left="357" w:hanging="357"/>
        <w:contextualSpacing w:val="0"/>
        <w:rPr>
          <w:lang w:eastAsia="en-AU"/>
        </w:rPr>
      </w:pPr>
      <w:r w:rsidRPr="00F3115D">
        <w:rPr>
          <w:rFonts w:asciiTheme="majorHAnsi" w:hAnsiTheme="majorHAnsi" w:cstheme="majorHAnsi"/>
          <w:lang w:eastAsia="en-AU"/>
        </w:rPr>
        <w:t>Competing priorities and time pressure can push reporting and data-use activities behind immediate service delivery needs</w:t>
      </w:r>
      <w:r w:rsidRPr="00F3115D">
        <w:rPr>
          <w:lang w:eastAsia="en-AU"/>
        </w:rPr>
        <w:t>. Staff focus on meeting deadlines rather than improving data quality or using results for CQI. This reduces the practical impact of the recommendations, even where systems and guidance are improved. It also increases the risk that reporting becomes a compliance task rather than a useful input to service planning.</w:t>
      </w:r>
      <w:r w:rsidR="00407FDE" w:rsidRPr="00F3115D">
        <w:rPr>
          <w:lang w:eastAsia="en-AU"/>
        </w:rPr>
        <w:t xml:space="preserve"> Training of new and existing staff is often deprioritised in favour of </w:t>
      </w:r>
      <w:r w:rsidR="00921D22" w:rsidRPr="00F3115D">
        <w:rPr>
          <w:lang w:eastAsia="en-AU"/>
        </w:rPr>
        <w:t>focusing on immediate patient care.</w:t>
      </w:r>
    </w:p>
    <w:p w14:paraId="3AC32EB2" w14:textId="77777777" w:rsidR="0071673D" w:rsidRDefault="00C6297F" w:rsidP="00270F21">
      <w:pPr>
        <w:pStyle w:val="ListParagraph"/>
        <w:numPr>
          <w:ilvl w:val="0"/>
          <w:numId w:val="23"/>
        </w:numPr>
        <w:spacing w:line="240" w:lineRule="auto"/>
        <w:ind w:left="357" w:hanging="357"/>
        <w:contextualSpacing w:val="0"/>
        <w:rPr>
          <w:lang w:eastAsia="en-AU"/>
        </w:rPr>
      </w:pPr>
      <w:r w:rsidRPr="00F3115D">
        <w:rPr>
          <w:rFonts w:asciiTheme="majorHAnsi" w:hAnsiTheme="majorHAnsi" w:cstheme="majorHAnsi"/>
          <w:lang w:eastAsia="en-AU"/>
        </w:rPr>
        <w:lastRenderedPageBreak/>
        <w:t>Inherent</w:t>
      </w:r>
      <w:r w:rsidR="002521B5" w:rsidRPr="00F3115D">
        <w:rPr>
          <w:rFonts w:asciiTheme="majorHAnsi" w:hAnsiTheme="majorHAnsi" w:cstheme="majorHAnsi"/>
          <w:lang w:eastAsia="en-AU"/>
        </w:rPr>
        <w:t xml:space="preserve"> </w:t>
      </w:r>
      <w:r w:rsidR="002712D1" w:rsidRPr="00F3115D">
        <w:rPr>
          <w:rFonts w:asciiTheme="majorHAnsi" w:hAnsiTheme="majorHAnsi" w:cstheme="majorHAnsi"/>
          <w:lang w:eastAsia="en-AU"/>
        </w:rPr>
        <w:t>suspicion</w:t>
      </w:r>
      <w:r w:rsidR="002521B5" w:rsidRPr="00F3115D">
        <w:rPr>
          <w:rFonts w:asciiTheme="majorHAnsi" w:hAnsiTheme="majorHAnsi" w:cstheme="majorHAnsi"/>
          <w:lang w:eastAsia="en-AU"/>
        </w:rPr>
        <w:t xml:space="preserve"> </w:t>
      </w:r>
      <w:r w:rsidR="002712D1" w:rsidRPr="00F3115D">
        <w:rPr>
          <w:rFonts w:asciiTheme="majorHAnsi" w:hAnsiTheme="majorHAnsi" w:cstheme="majorHAnsi"/>
          <w:lang w:eastAsia="en-AU"/>
        </w:rPr>
        <w:t>about</w:t>
      </w:r>
      <w:r w:rsidRPr="00F3115D">
        <w:rPr>
          <w:rFonts w:asciiTheme="majorHAnsi" w:hAnsiTheme="majorHAnsi" w:cstheme="majorHAnsi"/>
          <w:lang w:eastAsia="en-AU"/>
        </w:rPr>
        <w:t xml:space="preserve"> government </w:t>
      </w:r>
      <w:r w:rsidR="002712D1" w:rsidRPr="00F3115D">
        <w:rPr>
          <w:rFonts w:asciiTheme="majorHAnsi" w:hAnsiTheme="majorHAnsi" w:cstheme="majorHAnsi"/>
          <w:lang w:eastAsia="en-AU"/>
        </w:rPr>
        <w:t>motives</w:t>
      </w:r>
      <w:r w:rsidR="00407FDE" w:rsidRPr="00F3115D">
        <w:rPr>
          <w:rFonts w:asciiTheme="majorHAnsi" w:hAnsiTheme="majorHAnsi" w:cstheme="majorHAnsi"/>
          <w:lang w:eastAsia="en-AU"/>
        </w:rPr>
        <w:t xml:space="preserve"> </w:t>
      </w:r>
      <w:r w:rsidR="002521B5" w:rsidRPr="00F3115D">
        <w:rPr>
          <w:rFonts w:asciiTheme="majorHAnsi" w:hAnsiTheme="majorHAnsi" w:cstheme="majorHAnsi"/>
          <w:lang w:eastAsia="en-AU"/>
        </w:rPr>
        <w:t>may reduce willingness to engage with the transition strategy and any future data reforms</w:t>
      </w:r>
      <w:r w:rsidR="002521B5" w:rsidRPr="00F3115D">
        <w:rPr>
          <w:lang w:eastAsia="en-AU"/>
        </w:rPr>
        <w:t xml:space="preserve">. Many </w:t>
      </w:r>
      <w:r w:rsidR="00676F10" w:rsidRPr="00F3115D">
        <w:rPr>
          <w:lang w:eastAsia="en-AU"/>
        </w:rPr>
        <w:t>First Nations</w:t>
      </w:r>
      <w:r w:rsidR="002521B5" w:rsidRPr="00F3115D">
        <w:rPr>
          <w:lang w:eastAsia="en-AU"/>
        </w:rPr>
        <w:t xml:space="preserve"> communities have experienced data being misused and commitments not being met. </w:t>
      </w:r>
    </w:p>
    <w:p w14:paraId="133BDF22" w14:textId="70B71590" w:rsidR="002521B5" w:rsidRPr="00F3115D" w:rsidRDefault="002521B5" w:rsidP="0071673D">
      <w:pPr>
        <w:pStyle w:val="ListParagraph"/>
        <w:spacing w:line="240" w:lineRule="auto"/>
        <w:ind w:left="357"/>
        <w:contextualSpacing w:val="0"/>
        <w:rPr>
          <w:lang w:eastAsia="en-AU"/>
        </w:rPr>
      </w:pPr>
      <w:r w:rsidRPr="00F3115D">
        <w:rPr>
          <w:lang w:eastAsia="en-AU"/>
        </w:rPr>
        <w:t xml:space="preserve">Weak feedback loops and limited reciprocity reinforce a view that reporting is one-way and low value. This makes services cautious about adopting new data approaches, even when they are well designed. Without clear </w:t>
      </w:r>
      <w:r w:rsidR="00676F10" w:rsidRPr="00F3115D">
        <w:rPr>
          <w:lang w:eastAsia="en-AU"/>
        </w:rPr>
        <w:t>First Nations</w:t>
      </w:r>
      <w:r w:rsidR="00C145DE" w:rsidRPr="00F3115D">
        <w:rPr>
          <w:lang w:eastAsia="en-AU"/>
        </w:rPr>
        <w:t>-</w:t>
      </w:r>
      <w:r w:rsidRPr="00F3115D">
        <w:rPr>
          <w:lang w:eastAsia="en-AU"/>
        </w:rPr>
        <w:t xml:space="preserve">led governance that applies Indigenous Data Sovereignty principles in practice, </w:t>
      </w:r>
      <w:r w:rsidR="007914D1" w:rsidRPr="00F3115D">
        <w:rPr>
          <w:lang w:eastAsia="en-AU"/>
        </w:rPr>
        <w:t>a radical</w:t>
      </w:r>
      <w:r w:rsidRPr="00F3115D">
        <w:rPr>
          <w:lang w:eastAsia="en-AU"/>
        </w:rPr>
        <w:t xml:space="preserve"> future model is unlikely to gain buy-in.</w:t>
      </w:r>
    </w:p>
    <w:p w14:paraId="74D5D152" w14:textId="77777777" w:rsidR="005C68E6" w:rsidRPr="00F3115D" w:rsidRDefault="005C68E6" w:rsidP="003D47E1">
      <w:pPr>
        <w:rPr>
          <w:lang w:eastAsia="en-AU"/>
        </w:rPr>
      </w:pPr>
    </w:p>
    <w:p w14:paraId="3FD5B707" w14:textId="77777777" w:rsidR="00B10C1A" w:rsidRPr="00F3115D" w:rsidRDefault="00B10C1A" w:rsidP="00B10C1A">
      <w:pPr>
        <w:rPr>
          <w:lang w:eastAsia="en-AU"/>
        </w:rPr>
      </w:pPr>
    </w:p>
    <w:p w14:paraId="04DB50D4" w14:textId="77777777" w:rsidR="00B10C1A" w:rsidRPr="00F3115D" w:rsidRDefault="00B10C1A" w:rsidP="00EC1CA4">
      <w:pPr>
        <w:pStyle w:val="ListParagraph"/>
        <w:sectPr w:rsidR="00B10C1A" w:rsidRPr="00F3115D" w:rsidSect="00B10C1A">
          <w:pgSz w:w="11907" w:h="16839" w:code="9"/>
          <w:pgMar w:top="1021" w:right="1021" w:bottom="1021" w:left="1021" w:header="720" w:footer="720" w:gutter="0"/>
          <w:cols w:space="720"/>
          <w:docGrid w:linePitch="360"/>
        </w:sectPr>
      </w:pPr>
    </w:p>
    <w:p w14:paraId="364E3AA2" w14:textId="77777777" w:rsidR="00B15BBF" w:rsidRPr="00902486" w:rsidRDefault="00B15BBF" w:rsidP="00902486">
      <w:pPr>
        <w:rPr>
          <w:lang w:eastAsia="en-AU"/>
        </w:rPr>
      </w:pPr>
    </w:p>
    <w:sectPr w:rsidR="00B15BBF" w:rsidRPr="00902486" w:rsidSect="00902486">
      <w:pgSz w:w="11907" w:h="16839" w:code="9"/>
      <w:pgMar w:top="1361" w:right="1361" w:bottom="1361" w:left="136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940B7" w14:textId="77777777" w:rsidR="008A067C" w:rsidRPr="00F3115D" w:rsidRDefault="008A067C" w:rsidP="00302076">
      <w:pPr>
        <w:spacing w:after="0"/>
      </w:pPr>
      <w:r w:rsidRPr="00F3115D">
        <w:separator/>
      </w:r>
    </w:p>
  </w:endnote>
  <w:endnote w:type="continuationSeparator" w:id="0">
    <w:p w14:paraId="19665489" w14:textId="77777777" w:rsidR="008A067C" w:rsidRPr="00F3115D" w:rsidRDefault="008A067C" w:rsidP="00302076">
      <w:pPr>
        <w:spacing w:after="0"/>
      </w:pPr>
      <w:r w:rsidRPr="00F311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5D9D" w14:textId="3B388D7B" w:rsidR="00685FD4" w:rsidRPr="00F3115D" w:rsidRDefault="00685FD4" w:rsidP="00FD4AB1">
    <w:pPr>
      <w:pStyle w:val="Footer"/>
      <w:rPr>
        <w:rFonts w:ascii="Segoe UI Semibold" w:hAnsi="Segoe UI Semibold" w:cs="Segoe UI"/>
        <w:b/>
      </w:rPr>
    </w:pPr>
    <w:r w:rsidRPr="00DD7A8C">
      <w:rPr>
        <w:szCs w:val="15"/>
        <w:lang w:eastAsia="en-AU"/>
      </w:rPr>
      <w:t xml:space="preserve">Nous Group | </w:t>
    </w:r>
    <w:sdt>
      <w:sdtPr>
        <w:rPr>
          <w:szCs w:val="15"/>
          <w:lang w:eastAsia="en-AU"/>
        </w:rPr>
        <w:alias w:val="Title"/>
        <w:id w:val="-2083361883"/>
        <w:dataBinding w:prefixMappings="xmlns:ns0='http://purl.org/dc/elements/1.1/' xmlns:ns1='http://schemas.openxmlformats.org/package/2006/metadata/core-properties' " w:xpath="/ns1:coreProperties[1]/ns0:title[1]" w:storeItemID="{6C3C8BC8-F283-45AE-878A-BAB7291924A1}"/>
        <w:text/>
      </w:sdtPr>
      <w:sdtContent>
        <w:r w:rsidR="0023279C" w:rsidRPr="00DD7A8C">
          <w:rPr>
            <w:szCs w:val="15"/>
            <w:lang w:eastAsia="en-AU"/>
          </w:rPr>
          <w:t xml:space="preserve">Final Report – Review of </w:t>
        </w:r>
        <w:proofErr w:type="spellStart"/>
        <w:r w:rsidR="0023279C" w:rsidRPr="00DD7A8C">
          <w:rPr>
            <w:szCs w:val="15"/>
            <w:lang w:eastAsia="en-AU"/>
          </w:rPr>
          <w:t>nKPI</w:t>
        </w:r>
        <w:proofErr w:type="spellEnd"/>
        <w:r w:rsidR="0023279C" w:rsidRPr="00DD7A8C">
          <w:rPr>
            <w:szCs w:val="15"/>
            <w:lang w:eastAsia="en-AU"/>
          </w:rPr>
          <w:t xml:space="preserve"> and OSR</w:t>
        </w:r>
      </w:sdtContent>
    </w:sdt>
    <w:r w:rsidRPr="00DD7A8C">
      <w:rPr>
        <w:szCs w:val="15"/>
        <w:lang w:eastAsia="en-AU"/>
      </w:rPr>
      <w:t xml:space="preserve"> | </w:t>
    </w:r>
    <w:sdt>
      <w:sdtPr>
        <w:rPr>
          <w:szCs w:val="15"/>
          <w:lang w:eastAsia="en-AU"/>
        </w:rPr>
        <w:alias w:val="Publish Date"/>
        <w:id w:val="-145829611"/>
        <w:dataBinding w:prefixMappings="xmlns:ns0='http://schemas.microsoft.com/office/2006/coverPageProps' " w:xpath="/ns0:CoverPageProperties[1]/ns0:PublishDate[1]" w:storeItemID="{55AF091B-3C7A-41E3-B477-F2FDAA23CFDA}"/>
        <w:date w:fullDate="2026-07-01T00:00:00Z">
          <w:dateFormat w:val="d MMMM yyyy"/>
          <w:lid w:val="en-AU"/>
          <w:storeMappedDataAs w:val="dateTime"/>
          <w:calendar w:val="gregorian"/>
        </w:date>
      </w:sdtPr>
      <w:sdtContent>
        <w:r w:rsidR="00A1784F" w:rsidRPr="00DD7A8C">
          <w:rPr>
            <w:szCs w:val="15"/>
            <w:lang w:eastAsia="en-AU"/>
          </w:rPr>
          <w:t>1 July 2026</w:t>
        </w:r>
      </w:sdtContent>
    </w:sdt>
    <w:r w:rsidRPr="00DD7A8C">
      <w:rPr>
        <w:rFonts w:ascii="Segoe UI Semibold" w:hAnsi="Segoe UI Semibold" w:cs="Segoe UI"/>
        <w:color w:val="505050"/>
      </w:rPr>
      <w:ptab w:relativeTo="margin" w:alignment="right" w:leader="none"/>
    </w:r>
    <w:r w:rsidRPr="00DD7A8C">
      <w:rPr>
        <w:rFonts w:cs="Segoe UI"/>
        <w:color w:val="505050"/>
      </w:rPr>
      <w:t xml:space="preserve">| </w:t>
    </w:r>
    <w:r w:rsidRPr="00DD7A8C">
      <w:rPr>
        <w:rFonts w:cs="Segoe UI"/>
        <w:b/>
        <w:color w:val="505050"/>
        <w:sz w:val="16"/>
        <w:szCs w:val="16"/>
      </w:rPr>
      <w:fldChar w:fldCharType="begin"/>
    </w:r>
    <w:r w:rsidRPr="00DD7A8C">
      <w:rPr>
        <w:rFonts w:cs="Segoe UI"/>
        <w:color w:val="505050"/>
        <w:sz w:val="16"/>
        <w:szCs w:val="16"/>
      </w:rPr>
      <w:instrText xml:space="preserve"> PAGE  \* roman  \* MERGEFORMAT </w:instrText>
    </w:r>
    <w:r w:rsidRPr="00DD7A8C">
      <w:rPr>
        <w:rFonts w:cs="Segoe UI"/>
        <w:b/>
        <w:color w:val="505050"/>
        <w:sz w:val="16"/>
        <w:szCs w:val="16"/>
      </w:rPr>
      <w:fldChar w:fldCharType="separate"/>
    </w:r>
    <w:r w:rsidRPr="00DD7A8C">
      <w:rPr>
        <w:rFonts w:cs="Segoe UI"/>
        <w:b/>
        <w:color w:val="505050"/>
        <w:sz w:val="16"/>
        <w:szCs w:val="16"/>
      </w:rPr>
      <w:t>i</w:t>
    </w:r>
    <w:r w:rsidRPr="00DD7A8C">
      <w:rPr>
        <w:rFonts w:cs="Segoe UI"/>
        <w:b/>
        <w:color w:val="505050"/>
        <w:sz w:val="16"/>
        <w:szCs w:val="16"/>
      </w:rPr>
      <w:fldChar w:fldCharType="end"/>
    </w:r>
    <w:r w:rsidRPr="00DD7A8C">
      <w:rPr>
        <w:rFonts w:cs="Segoe UI"/>
        <w:color w:val="505050"/>
        <w:sz w:val="16"/>
        <w:szCs w:val="16"/>
      </w:rPr>
      <w:t xml:space="preserve"> </w:t>
    </w:r>
    <w:r w:rsidRPr="00DD7A8C">
      <w:rPr>
        <w:rFonts w:cs="Segoe UI"/>
        <w:color w:val="50505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2750" w14:textId="09AB6604" w:rsidR="00FD4AB1" w:rsidRPr="00F3115D" w:rsidRDefault="00635B2C" w:rsidP="003A6E30">
    <w:pPr>
      <w:pStyle w:val="NousFooter"/>
      <w:rPr>
        <w:rFonts w:ascii="Segoe UI Semibold" w:hAnsi="Segoe UI Semibold" w:cs="Segoe UI"/>
        <w:b/>
      </w:rPr>
    </w:pPr>
    <w:r w:rsidRPr="00F3115D">
      <w:rPr>
        <w:noProof/>
      </w:rPr>
      <mc:AlternateContent>
        <mc:Choice Requires="wps">
          <w:drawing>
            <wp:anchor distT="0" distB="0" distL="0" distR="0" simplePos="0" relativeHeight="251654144" behindDoc="0" locked="0" layoutInCell="1" allowOverlap="1" wp14:anchorId="1DC512C6" wp14:editId="1E283CB0">
              <wp:simplePos x="866775" y="10086975"/>
              <wp:positionH relativeFrom="page">
                <wp:align>center</wp:align>
              </wp:positionH>
              <wp:positionV relativeFrom="page">
                <wp:align>bottom</wp:align>
              </wp:positionV>
              <wp:extent cx="622300" cy="376555"/>
              <wp:effectExtent l="0" t="0" r="6350" b="0"/>
              <wp:wrapNone/>
              <wp:docPr id="1759535552"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3A45A9" w14:textId="038F191C"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C512C6" id="_x0000_t202" coordsize="21600,21600" o:spt="202" path="m,l,21600r21600,l21600,xe">
              <v:stroke joinstyle="miter"/>
              <v:path gradientshapeok="t" o:connecttype="rect"/>
            </v:shapetype>
            <v:shape id="Text Box 10" o:spid="_x0000_s1029" type="#_x0000_t202" alt="OFFICIAL" style="position:absolute;margin-left:0;margin-top:0;width:49pt;height:29.65pt;z-index:2516541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13A45A9" w14:textId="038F191C"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294C7F" w:rsidRPr="00E51CD6">
      <w:rPr>
        <w:color w:val="595959" w:themeColor="text1" w:themeTint="A6"/>
      </w:rPr>
      <w:t xml:space="preserve">Nous Group | </w:t>
    </w:r>
    <w:sdt>
      <w:sdtPr>
        <w:rPr>
          <w:color w:val="595959" w:themeColor="text1" w:themeTint="A6"/>
        </w:rPr>
        <w:alias w:val="Title"/>
        <w:id w:val="1089580792"/>
        <w:dataBinding w:prefixMappings="xmlns:ns0='http://purl.org/dc/elements/1.1/' xmlns:ns1='http://schemas.openxmlformats.org/package/2006/metadata/core-properties' " w:xpath="/ns1:coreProperties[1]/ns0:title[1]" w:storeItemID="{6C3C8BC8-F283-45AE-878A-BAB7291924A1}"/>
        <w:text/>
      </w:sdtPr>
      <w:sdtContent>
        <w:r w:rsidR="0023279C" w:rsidRPr="00E51CD6">
          <w:rPr>
            <w:color w:val="595959" w:themeColor="text1" w:themeTint="A6"/>
          </w:rPr>
          <w:t>Final Report – Review of nKPI and OSR</w:t>
        </w:r>
      </w:sdtContent>
    </w:sdt>
    <w:r w:rsidR="00294C7F" w:rsidRPr="00E51CD6">
      <w:rPr>
        <w:color w:val="595959" w:themeColor="text1" w:themeTint="A6"/>
      </w:rPr>
      <w:t xml:space="preserve"> | </w:t>
    </w:r>
    <w:sdt>
      <w:sdtPr>
        <w:rPr>
          <w:color w:val="595959" w:themeColor="text1" w:themeTint="A6"/>
        </w:rPr>
        <w:alias w:val="Publish Date"/>
        <w:id w:val="-1085840653"/>
        <w:dataBinding w:prefixMappings="xmlns:ns0='http://schemas.microsoft.com/office/2006/coverPageProps' " w:xpath="/ns0:CoverPageProperties[1]/ns0:PublishDate[1]" w:storeItemID="{55AF091B-3C7A-41E3-B477-F2FDAA23CFDA}"/>
        <w:date w:fullDate="2026-07-01T00:00:00Z">
          <w:dateFormat w:val="d MMMM yyyy"/>
          <w:lid w:val="en-AU"/>
          <w:storeMappedDataAs w:val="dateTime"/>
          <w:calendar w:val="gregorian"/>
        </w:date>
      </w:sdtPr>
      <w:sdtContent>
        <w:r w:rsidR="00A1784F" w:rsidRPr="00E51CD6">
          <w:rPr>
            <w:color w:val="595959" w:themeColor="text1" w:themeTint="A6"/>
          </w:rPr>
          <w:t>1 July 2026</w:t>
        </w:r>
      </w:sdtContent>
    </w:sdt>
    <w:r w:rsidR="00FD4AB1" w:rsidRPr="00E51CD6">
      <w:rPr>
        <w:rFonts w:ascii="Segoe UI Semibold" w:hAnsi="Segoe UI Semibold" w:cs="Segoe UI"/>
        <w:color w:val="505050"/>
      </w:rPr>
      <w:ptab w:relativeTo="margin" w:alignment="right" w:leader="none"/>
    </w:r>
    <w:r w:rsidR="00FD4AB1" w:rsidRPr="00E51CD6">
      <w:rPr>
        <w:rFonts w:cs="Segoe UI"/>
        <w:color w:val="505050"/>
      </w:rPr>
      <w:t xml:space="preserve">| </w:t>
    </w:r>
    <w:r w:rsidR="00FD4AB1" w:rsidRPr="00E51CD6">
      <w:rPr>
        <w:rFonts w:cs="Segoe UI"/>
        <w:color w:val="505050"/>
        <w:sz w:val="16"/>
        <w:szCs w:val="16"/>
      </w:rPr>
      <w:fldChar w:fldCharType="begin"/>
    </w:r>
    <w:r w:rsidR="00FD4AB1" w:rsidRPr="00E51CD6">
      <w:rPr>
        <w:rFonts w:cs="Segoe UI"/>
        <w:color w:val="505050"/>
        <w:sz w:val="16"/>
        <w:szCs w:val="16"/>
      </w:rPr>
      <w:instrText xml:space="preserve"> PAGE  \* roman  \* MERGEFORMAT </w:instrText>
    </w:r>
    <w:r w:rsidR="00FD4AB1" w:rsidRPr="00E51CD6">
      <w:rPr>
        <w:rFonts w:cs="Segoe UI"/>
        <w:color w:val="505050"/>
        <w:sz w:val="16"/>
        <w:szCs w:val="16"/>
      </w:rPr>
      <w:fldChar w:fldCharType="separate"/>
    </w:r>
    <w:r w:rsidR="00836AA0" w:rsidRPr="00E51CD6">
      <w:rPr>
        <w:rFonts w:cs="Segoe UI"/>
        <w:color w:val="505050"/>
        <w:sz w:val="16"/>
        <w:szCs w:val="16"/>
      </w:rPr>
      <w:t>ii</w:t>
    </w:r>
    <w:r w:rsidR="00FD4AB1" w:rsidRPr="00E51CD6">
      <w:rPr>
        <w:rFonts w:cs="Segoe UI"/>
        <w:color w:val="505050"/>
        <w:sz w:val="16"/>
        <w:szCs w:val="16"/>
      </w:rPr>
      <w:fldChar w:fldCharType="end"/>
    </w:r>
    <w:r w:rsidR="00FD4AB1" w:rsidRPr="00E51CD6">
      <w:rPr>
        <w:rFonts w:cs="Segoe UI"/>
        <w:color w:val="505050"/>
        <w:sz w:val="16"/>
        <w:szCs w:val="16"/>
      </w:rPr>
      <w:t xml:space="preserve"> </w:t>
    </w:r>
    <w:r w:rsidR="00FD4AB1" w:rsidRPr="00E51CD6">
      <w:rPr>
        <w:rFonts w:cs="Segoe UI"/>
        <w:color w:val="50505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F7248" w14:textId="22E67CE1" w:rsidR="00B10C1A" w:rsidRPr="00F3115D" w:rsidRDefault="00B44C64">
    <w:pPr>
      <w:pStyle w:val="NousFooter"/>
      <w:rPr>
        <w:rFonts w:ascii="Segoe UI Semibold" w:hAnsi="Segoe UI Semibold" w:cs="Segoe UI"/>
        <w:b/>
      </w:rPr>
    </w:pPr>
    <w:r w:rsidRPr="00F3115D">
      <w:rPr>
        <w:noProof/>
      </w:rPr>
      <mc:AlternateContent>
        <mc:Choice Requires="wps">
          <w:drawing>
            <wp:anchor distT="0" distB="0" distL="0" distR="0" simplePos="0" relativeHeight="251663360" behindDoc="0" locked="0" layoutInCell="1" allowOverlap="1" wp14:anchorId="7BDA5CF6" wp14:editId="17C24EF9">
              <wp:simplePos x="647700" y="10086975"/>
              <wp:positionH relativeFrom="page">
                <wp:align>center</wp:align>
              </wp:positionH>
              <wp:positionV relativeFrom="page">
                <wp:align>bottom</wp:align>
              </wp:positionV>
              <wp:extent cx="622300" cy="376555"/>
              <wp:effectExtent l="0" t="0" r="6350" b="0"/>
              <wp:wrapNone/>
              <wp:docPr id="195778200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ACCAE55" w14:textId="2948C17B" w:rsidR="00B44C64" w:rsidRPr="00F3115D" w:rsidRDefault="00B44C64" w:rsidP="00B44C64">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DA5CF6" id="_x0000_t202" coordsize="21600,21600" o:spt="202" path="m,l,21600r21600,l21600,xe">
              <v:stroke joinstyle="miter"/>
              <v:path gradientshapeok="t" o:connecttype="rect"/>
            </v:shapetype>
            <v:shape id="Text Box 12" o:spid="_x0000_s1032"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4ACCAE55" w14:textId="2948C17B" w:rsidR="00B44C64" w:rsidRPr="00F3115D" w:rsidRDefault="00B44C64" w:rsidP="00B44C64">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635B2C" w:rsidRPr="00F3115D">
      <w:rPr>
        <w:noProof/>
      </w:rPr>
      <mc:AlternateContent>
        <mc:Choice Requires="wps">
          <w:drawing>
            <wp:anchor distT="0" distB="0" distL="0" distR="0" simplePos="0" relativeHeight="251660288" behindDoc="0" locked="0" layoutInCell="1" allowOverlap="1" wp14:anchorId="197B936A" wp14:editId="5CFA52E8">
              <wp:simplePos x="635" y="635"/>
              <wp:positionH relativeFrom="page">
                <wp:align>center</wp:align>
              </wp:positionH>
              <wp:positionV relativeFrom="page">
                <wp:align>bottom</wp:align>
              </wp:positionV>
              <wp:extent cx="622300" cy="376555"/>
              <wp:effectExtent l="0" t="0" r="6350" b="0"/>
              <wp:wrapNone/>
              <wp:docPr id="182772276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9C6119" w14:textId="5F45D984"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197B936A" id="_x0000_s1033"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599C6119" w14:textId="5F45D984"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B10C1A" w:rsidRPr="00E51CD6">
      <w:rPr>
        <w:color w:val="105A72" w:themeColor="accent6" w:themeShade="80"/>
      </w:rPr>
      <w:t xml:space="preserve">Nous Group | </w:t>
    </w:r>
    <w:sdt>
      <w:sdtPr>
        <w:rPr>
          <w:color w:val="105A72" w:themeColor="accent6" w:themeShade="80"/>
        </w:rPr>
        <w:alias w:val="Title"/>
        <w:id w:val="627746513"/>
        <w:dataBinding w:prefixMappings="xmlns:ns0='http://purl.org/dc/elements/1.1/' xmlns:ns1='http://schemas.openxmlformats.org/package/2006/metadata/core-properties' " w:xpath="/ns1:coreProperties[1]/ns0:title[1]" w:storeItemID="{6C3C8BC8-F283-45AE-878A-BAB7291924A1}"/>
        <w:text/>
      </w:sdtPr>
      <w:sdtContent>
        <w:r w:rsidR="0023279C" w:rsidRPr="00E51CD6">
          <w:rPr>
            <w:color w:val="105A72" w:themeColor="accent6" w:themeShade="80"/>
          </w:rPr>
          <w:t>Final Report – Review of nKPI and OSR</w:t>
        </w:r>
      </w:sdtContent>
    </w:sdt>
    <w:r w:rsidR="00B10C1A" w:rsidRPr="00E51CD6">
      <w:rPr>
        <w:color w:val="105A72" w:themeColor="accent6" w:themeShade="80"/>
      </w:rPr>
      <w:t xml:space="preserve"> | </w:t>
    </w:r>
    <w:sdt>
      <w:sdtPr>
        <w:rPr>
          <w:color w:val="105A72" w:themeColor="accent6" w:themeShade="80"/>
        </w:rPr>
        <w:alias w:val="Publish Date"/>
        <w:id w:val="306670108"/>
        <w:dataBinding w:prefixMappings="xmlns:ns0='http://schemas.microsoft.com/office/2006/coverPageProps' " w:xpath="/ns0:CoverPageProperties[1]/ns0:PublishDate[1]" w:storeItemID="{55AF091B-3C7A-41E3-B477-F2FDAA23CFDA}"/>
        <w:date w:fullDate="2026-07-01T00:00:00Z">
          <w:dateFormat w:val="d MMMM yyyy"/>
          <w:lid w:val="en-AU"/>
          <w:storeMappedDataAs w:val="dateTime"/>
          <w:calendar w:val="gregorian"/>
        </w:date>
      </w:sdtPr>
      <w:sdtContent>
        <w:r w:rsidR="00A1784F" w:rsidRPr="00E51CD6">
          <w:rPr>
            <w:color w:val="105A72" w:themeColor="accent6" w:themeShade="80"/>
          </w:rPr>
          <w:t>1 July 2026</w:t>
        </w:r>
      </w:sdtContent>
    </w:sdt>
    <w:r w:rsidR="00B10C1A" w:rsidRPr="00E51CD6">
      <w:rPr>
        <w:rFonts w:ascii="Segoe UI Semibold" w:hAnsi="Segoe UI Semibold" w:cs="Segoe UI"/>
        <w:color w:val="505050"/>
      </w:rPr>
      <w:ptab w:relativeTo="margin" w:alignment="right" w:leader="none"/>
    </w:r>
    <w:r w:rsidR="00B10C1A" w:rsidRPr="00E51CD6">
      <w:rPr>
        <w:rFonts w:cs="Segoe UI"/>
        <w:color w:val="505050"/>
      </w:rPr>
      <w:t xml:space="preserve">| </w:t>
    </w:r>
    <w:r w:rsidR="00B10C1A" w:rsidRPr="00E51CD6">
      <w:rPr>
        <w:rFonts w:cs="Segoe UI"/>
        <w:color w:val="505050"/>
        <w:sz w:val="16"/>
        <w:szCs w:val="16"/>
      </w:rPr>
      <w:fldChar w:fldCharType="begin"/>
    </w:r>
    <w:r w:rsidR="00B10C1A" w:rsidRPr="00E51CD6">
      <w:rPr>
        <w:color w:val="505050"/>
      </w:rPr>
      <w:instrText xml:space="preserve"> PAGE  \* Arabic  \* MERGEFORMAT </w:instrText>
    </w:r>
    <w:r w:rsidR="00B10C1A" w:rsidRPr="00E51CD6">
      <w:rPr>
        <w:rFonts w:cs="Segoe UI"/>
        <w:color w:val="505050"/>
        <w:sz w:val="16"/>
        <w:szCs w:val="16"/>
      </w:rPr>
      <w:fldChar w:fldCharType="separate"/>
    </w:r>
    <w:r w:rsidR="00BC6259" w:rsidRPr="00E51CD6">
      <w:rPr>
        <w:rFonts w:cs="Segoe UI"/>
        <w:color w:val="505050"/>
        <w:sz w:val="16"/>
        <w:szCs w:val="16"/>
      </w:rPr>
      <w:t>4</w:t>
    </w:r>
    <w:r w:rsidR="00B10C1A" w:rsidRPr="00E51CD6">
      <w:rPr>
        <w:rFonts w:cs="Segoe UI"/>
        <w:color w:val="505050"/>
        <w:sz w:val="16"/>
        <w:szCs w:val="16"/>
      </w:rPr>
      <w:fldChar w:fldCharType="end"/>
    </w:r>
    <w:r w:rsidR="00B10C1A" w:rsidRPr="00E51CD6">
      <w:rPr>
        <w:rFonts w:cs="Segoe UI"/>
        <w:color w:val="505050"/>
        <w:sz w:val="16"/>
        <w:szCs w:val="16"/>
      </w:rPr>
      <w:t xml:space="preserve"> </w:t>
    </w:r>
    <w:r w:rsidR="00B10C1A" w:rsidRPr="00E51CD6">
      <w:rPr>
        <w:rFonts w:cs="Segoe UI"/>
        <w:color w:val="505050"/>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989D" w14:textId="74B03B21" w:rsidR="00B10C1A" w:rsidRPr="00F3115D" w:rsidRDefault="00635B2C" w:rsidP="00722A66">
    <w:pPr>
      <w:pStyle w:val="NousFooter"/>
      <w:rPr>
        <w:rFonts w:ascii="Segoe UI Semibold" w:hAnsi="Segoe UI Semibold" w:cs="Segoe UI"/>
        <w:b/>
      </w:rPr>
    </w:pPr>
    <w:r w:rsidRPr="00F3115D">
      <w:rPr>
        <w:noProof/>
      </w:rPr>
      <mc:AlternateContent>
        <mc:Choice Requires="wps">
          <w:drawing>
            <wp:anchor distT="0" distB="0" distL="0" distR="0" simplePos="0" relativeHeight="251658240" behindDoc="0" locked="0" layoutInCell="1" allowOverlap="1" wp14:anchorId="0258A6BA" wp14:editId="02AB8D31">
              <wp:simplePos x="635" y="635"/>
              <wp:positionH relativeFrom="page">
                <wp:align>center</wp:align>
              </wp:positionH>
              <wp:positionV relativeFrom="page">
                <wp:align>bottom</wp:align>
              </wp:positionV>
              <wp:extent cx="622300" cy="376555"/>
              <wp:effectExtent l="0" t="0" r="6350" b="0"/>
              <wp:wrapNone/>
              <wp:docPr id="167899927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6B578D" w14:textId="0E0A6F67"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58A6BA" id="_x0000_t202" coordsize="21600,21600" o:spt="202" path="m,l,21600r21600,l21600,xe">
              <v:stroke joinstyle="miter"/>
              <v:path gradientshapeok="t" o:connecttype="rect"/>
            </v:shapetype>
            <v:shape id="Text Box 11" o:spid="_x0000_s1035"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giDg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F0kWCIOAgAAHAQA&#10;AA4AAAAAAAAAAAAAAAAALgIAAGRycy9lMm9Eb2MueG1sUEsBAi0AFAAGAAgAAAAhAGmI2w/ZAAAA&#10;AwEAAA8AAAAAAAAAAAAAAAAAaAQAAGRycy9kb3ducmV2LnhtbFBLBQYAAAAABAAEAPMAAABuBQAA&#10;AAA=&#10;" filled="f" stroked="f">
              <v:textbox style="mso-fit-shape-to-text:t" inset="0,0,0,15pt">
                <w:txbxContent>
                  <w:p w14:paraId="016B578D" w14:textId="0E0A6F67"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722A66" w:rsidRPr="00E51CD6">
      <w:rPr>
        <w:color w:val="105A72" w:themeColor="accent6" w:themeShade="80"/>
      </w:rPr>
      <w:t xml:space="preserve">Nous Group | </w:t>
    </w:r>
    <w:sdt>
      <w:sdtPr>
        <w:rPr>
          <w:color w:val="105A72" w:themeColor="accent6" w:themeShade="80"/>
        </w:rPr>
        <w:alias w:val="Title"/>
        <w:id w:val="-224758367"/>
        <w:dataBinding w:prefixMappings="xmlns:ns0='http://purl.org/dc/elements/1.1/' xmlns:ns1='http://schemas.openxmlformats.org/package/2006/metadata/core-properties' " w:xpath="/ns1:coreProperties[1]/ns0:title[1]" w:storeItemID="{6C3C8BC8-F283-45AE-878A-BAB7291924A1}"/>
        <w:text/>
      </w:sdtPr>
      <w:sdtContent>
        <w:r w:rsidR="0023279C" w:rsidRPr="00E51CD6">
          <w:rPr>
            <w:color w:val="105A72" w:themeColor="accent6" w:themeShade="80"/>
          </w:rPr>
          <w:t>Final Report – Review of nKPI and OSR</w:t>
        </w:r>
      </w:sdtContent>
    </w:sdt>
    <w:r w:rsidR="00722A66" w:rsidRPr="00E51CD6">
      <w:rPr>
        <w:color w:val="105A72" w:themeColor="accent6" w:themeShade="80"/>
      </w:rPr>
      <w:t xml:space="preserve"> | </w:t>
    </w:r>
    <w:sdt>
      <w:sdtPr>
        <w:rPr>
          <w:color w:val="105A72" w:themeColor="accent6" w:themeShade="80"/>
        </w:rPr>
        <w:alias w:val="Publish Date"/>
        <w:id w:val="240607329"/>
        <w:dataBinding w:prefixMappings="xmlns:ns0='http://schemas.microsoft.com/office/2006/coverPageProps' " w:xpath="/ns0:CoverPageProperties[1]/ns0:PublishDate[1]" w:storeItemID="{55AF091B-3C7A-41E3-B477-F2FDAA23CFDA}"/>
        <w:date w:fullDate="2026-07-01T00:00:00Z">
          <w:dateFormat w:val="d MMMM yyyy"/>
          <w:lid w:val="en-AU"/>
          <w:storeMappedDataAs w:val="dateTime"/>
          <w:calendar w:val="gregorian"/>
        </w:date>
      </w:sdtPr>
      <w:sdtContent>
        <w:r w:rsidR="00A1784F" w:rsidRPr="00E51CD6">
          <w:rPr>
            <w:color w:val="105A72" w:themeColor="accent6" w:themeShade="80"/>
          </w:rPr>
          <w:t>1 July 2026</w:t>
        </w:r>
      </w:sdtContent>
    </w:sdt>
    <w:r w:rsidR="00722A66" w:rsidRPr="00E51CD6">
      <w:rPr>
        <w:rFonts w:ascii="Segoe UI Semibold" w:hAnsi="Segoe UI Semibold" w:cs="Segoe UI"/>
        <w:color w:val="505050"/>
      </w:rPr>
      <w:ptab w:relativeTo="margin" w:alignment="right" w:leader="none"/>
    </w:r>
    <w:r w:rsidR="00722A66" w:rsidRPr="00E51CD6">
      <w:rPr>
        <w:rFonts w:cs="Segoe UI"/>
        <w:color w:val="505050"/>
      </w:rPr>
      <w:t xml:space="preserve">| </w:t>
    </w:r>
    <w:r w:rsidR="00722A66" w:rsidRPr="00E51CD6">
      <w:rPr>
        <w:rFonts w:cs="Segoe UI"/>
        <w:color w:val="505050"/>
        <w:sz w:val="16"/>
        <w:szCs w:val="16"/>
      </w:rPr>
      <w:fldChar w:fldCharType="begin"/>
    </w:r>
    <w:r w:rsidR="00722A66" w:rsidRPr="00E51CD6">
      <w:rPr>
        <w:color w:val="505050"/>
      </w:rPr>
      <w:instrText xml:space="preserve"> PAGE  \* Arabic  \* MERGEFORMAT </w:instrText>
    </w:r>
    <w:r w:rsidR="00722A66" w:rsidRPr="00E51CD6">
      <w:rPr>
        <w:rFonts w:cs="Segoe UI"/>
        <w:color w:val="505050"/>
        <w:sz w:val="16"/>
        <w:szCs w:val="16"/>
      </w:rPr>
      <w:fldChar w:fldCharType="separate"/>
    </w:r>
    <w:r w:rsidR="00722A66" w:rsidRPr="00E51CD6">
      <w:rPr>
        <w:rFonts w:cs="Segoe UI"/>
        <w:color w:val="505050"/>
        <w:sz w:val="16"/>
        <w:szCs w:val="16"/>
      </w:rPr>
      <w:t>103</w:t>
    </w:r>
    <w:r w:rsidR="00722A66" w:rsidRPr="00E51CD6">
      <w:rPr>
        <w:rFonts w:cs="Segoe UI"/>
        <w:color w:val="505050"/>
        <w:sz w:val="16"/>
        <w:szCs w:val="16"/>
      </w:rPr>
      <w:fldChar w:fldCharType="end"/>
    </w:r>
    <w:r w:rsidR="00722A66" w:rsidRPr="00E51CD6">
      <w:rPr>
        <w:rFonts w:cs="Segoe UI"/>
        <w:color w:val="505050"/>
        <w:sz w:val="16"/>
        <w:szCs w:val="16"/>
      </w:rPr>
      <w:t xml:space="preserve"> </w:t>
    </w:r>
    <w:r w:rsidR="00722A66" w:rsidRPr="00E51CD6">
      <w:rPr>
        <w:rFonts w:cs="Segoe UI"/>
        <w:color w:val="50505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7E703" w14:textId="77777777" w:rsidR="008A067C" w:rsidRPr="00F3115D" w:rsidRDefault="008A067C" w:rsidP="00302076">
      <w:pPr>
        <w:spacing w:after="0"/>
      </w:pPr>
      <w:r w:rsidRPr="00F3115D">
        <w:separator/>
      </w:r>
    </w:p>
  </w:footnote>
  <w:footnote w:type="continuationSeparator" w:id="0">
    <w:p w14:paraId="5F22ED7E" w14:textId="77777777" w:rsidR="008A067C" w:rsidRPr="00F3115D" w:rsidRDefault="008A067C" w:rsidP="00302076">
      <w:pPr>
        <w:spacing w:after="0"/>
      </w:pPr>
      <w:r w:rsidRPr="00F3115D">
        <w:continuationSeparator/>
      </w:r>
    </w:p>
  </w:footnote>
  <w:footnote w:id="1">
    <w:p w14:paraId="045BAAF5" w14:textId="361DA81F" w:rsidR="001364AD" w:rsidRPr="00F3115D" w:rsidRDefault="001364AD">
      <w:pPr>
        <w:pStyle w:val="FootnoteText"/>
      </w:pPr>
      <w:r w:rsidRPr="00F3115D">
        <w:rPr>
          <w:rStyle w:val="FootnoteReference"/>
        </w:rPr>
        <w:footnoteRef/>
      </w:r>
      <w:r w:rsidRPr="00F3115D">
        <w:t xml:space="preserve"> These principles apply to all data relating to First Nations people, regardless of whether it is generated within community‑controlled or non‑community‑controlled service settings, with governance mechanisms adapted appropriately to each context.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CC1F" w14:textId="77777777" w:rsidR="00685FD4" w:rsidRPr="00F3115D" w:rsidRDefault="00685FD4">
    <w:pPr>
      <w:pStyle w:val="Header"/>
    </w:pPr>
    <w:r w:rsidRPr="00F3115D">
      <w:rPr>
        <w:noProof/>
        <w:sz w:val="20"/>
        <w:szCs w:val="20"/>
        <w:lang w:eastAsia="en-AU"/>
      </w:rPr>
      <w:drawing>
        <wp:anchor distT="0" distB="0" distL="114300" distR="114300" simplePos="0" relativeHeight="251661312" behindDoc="0" locked="0" layoutInCell="1" allowOverlap="1" wp14:anchorId="39E753D4" wp14:editId="427DC1A2">
          <wp:simplePos x="0" y="0"/>
          <wp:positionH relativeFrom="page">
            <wp:posOffset>3337</wp:posOffset>
          </wp:positionH>
          <wp:positionV relativeFrom="page">
            <wp:posOffset>-6985</wp:posOffset>
          </wp:positionV>
          <wp:extent cx="7559749" cy="116958"/>
          <wp:effectExtent l="0" t="0" r="0" b="0"/>
          <wp:wrapNone/>
          <wp:docPr id="1" name="Picture 57" descr="This artwork was developed by Marcus Lee Design to reflect Nous Group’s Reconciliation Action Plan and our aspirations for respectful and productive engagement with Aboriginal and Torres Strait Islander peoples and communit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7" descr="This artwork was developed by Marcus Lee Design to reflect Nous Group’s Reconciliation Action Plan and our aspirations for respectful and productive engagement with Aboriginal and Torres Strait Islander peoples and communities."/>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7559749" cy="1169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AFBD" w14:textId="77777777" w:rsidR="00685FD4" w:rsidRPr="00F3115D" w:rsidRDefault="00685FD4">
    <w:pPr>
      <w:pStyle w:val="Header"/>
      <w:tabs>
        <w:tab w:val="clear" w:pos="4513"/>
        <w:tab w:val="clear" w:pos="9026"/>
        <w:tab w:val="left" w:pos="1758"/>
      </w:tabs>
    </w:pPr>
    <w:r w:rsidRPr="00F3115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EF11" w14:textId="484B4D8C" w:rsidR="00FD1812" w:rsidRPr="00F3115D" w:rsidRDefault="00B44C64">
    <w:r w:rsidRPr="00F3115D">
      <w:rPr>
        <w:noProof/>
        <w:sz w:val="20"/>
        <w:szCs w:val="20"/>
        <w:lang w:eastAsia="en-AU"/>
      </w:rPr>
      <mc:AlternateContent>
        <mc:Choice Requires="wps">
          <w:drawing>
            <wp:anchor distT="0" distB="0" distL="0" distR="0" simplePos="0" relativeHeight="251659264" behindDoc="0" locked="0" layoutInCell="1" allowOverlap="1" wp14:anchorId="023E188D" wp14:editId="0A543ECF">
              <wp:simplePos x="866775" y="457200"/>
              <wp:positionH relativeFrom="page">
                <wp:align>center</wp:align>
              </wp:positionH>
              <wp:positionV relativeFrom="page">
                <wp:align>top</wp:align>
              </wp:positionV>
              <wp:extent cx="622300" cy="376555"/>
              <wp:effectExtent l="0" t="0" r="6350" b="4445"/>
              <wp:wrapNone/>
              <wp:docPr id="151382576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768A67" w14:textId="35A879A5" w:rsidR="00B44C64" w:rsidRPr="00F3115D" w:rsidRDefault="00B44C64" w:rsidP="00B44C64">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E188D" id="_x0000_t202" coordsize="21600,21600" o:spt="202" path="m,l,21600r21600,l21600,xe">
              <v:stroke joinstyle="miter"/>
              <v:path gradientshapeok="t" o:connecttype="rect"/>
            </v:shapetype>
            <v:shape id="Text Box 4" o:spid="_x0000_s1027"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3768A67" w14:textId="35A879A5" w:rsidR="00B44C64" w:rsidRPr="00F3115D" w:rsidRDefault="00B44C64" w:rsidP="00B44C64">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635B2C" w:rsidRPr="00F3115D">
      <w:rPr>
        <w:noProof/>
        <w:sz w:val="20"/>
        <w:szCs w:val="20"/>
        <w:lang w:eastAsia="en-AU"/>
      </w:rPr>
      <mc:AlternateContent>
        <mc:Choice Requires="wps">
          <w:drawing>
            <wp:anchor distT="0" distB="0" distL="0" distR="0" simplePos="0" relativeHeight="251656192" behindDoc="0" locked="0" layoutInCell="1" allowOverlap="1" wp14:anchorId="0BEAC11D" wp14:editId="6DEC35AF">
              <wp:simplePos x="866775" y="466725"/>
              <wp:positionH relativeFrom="page">
                <wp:align>center</wp:align>
              </wp:positionH>
              <wp:positionV relativeFrom="page">
                <wp:align>top</wp:align>
              </wp:positionV>
              <wp:extent cx="622300" cy="376555"/>
              <wp:effectExtent l="0" t="0" r="6350" b="4445"/>
              <wp:wrapNone/>
              <wp:docPr id="54843212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EB7608" w14:textId="521BECD8"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0BEAC11D" id="_x0000_s1028" type="#_x0000_t202" alt="OFFICIAL" style="position:absolute;margin-left:0;margin-top:0;width:49pt;height:29.6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46EB7608" w14:textId="521BECD8"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FD1812" w:rsidRPr="00F3115D">
      <w:rPr>
        <w:noProof/>
        <w:sz w:val="20"/>
        <w:szCs w:val="20"/>
        <w:lang w:eastAsia="en-AU"/>
      </w:rPr>
      <w:drawing>
        <wp:anchor distT="0" distB="0" distL="114300" distR="114300" simplePos="0" relativeHeight="251651072" behindDoc="0" locked="0" layoutInCell="1" allowOverlap="1" wp14:anchorId="7CCC0BF3" wp14:editId="438D6232">
          <wp:simplePos x="0" y="0"/>
          <wp:positionH relativeFrom="page">
            <wp:align>center</wp:align>
          </wp:positionH>
          <wp:positionV relativeFrom="page">
            <wp:posOffset>0</wp:posOffset>
          </wp:positionV>
          <wp:extent cx="10692000" cy="108000"/>
          <wp:effectExtent l="0" t="0" r="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92000" cy="10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870D" w14:textId="02121C55" w:rsidR="00B10C1A" w:rsidRPr="00F3115D" w:rsidRDefault="00B44C64">
    <w:pPr>
      <w:pStyle w:val="Header"/>
    </w:pPr>
    <w:r w:rsidRPr="00F3115D">
      <w:rPr>
        <w:noProof/>
      </w:rPr>
      <mc:AlternateContent>
        <mc:Choice Requires="wps">
          <w:drawing>
            <wp:anchor distT="0" distB="0" distL="0" distR="0" simplePos="0" relativeHeight="251662336" behindDoc="0" locked="0" layoutInCell="1" allowOverlap="1" wp14:anchorId="16013BF8" wp14:editId="0C5E4679">
              <wp:simplePos x="647700" y="457200"/>
              <wp:positionH relativeFrom="page">
                <wp:align>center</wp:align>
              </wp:positionH>
              <wp:positionV relativeFrom="page">
                <wp:align>top</wp:align>
              </wp:positionV>
              <wp:extent cx="622300" cy="376555"/>
              <wp:effectExtent l="0" t="0" r="6350" b="4445"/>
              <wp:wrapNone/>
              <wp:docPr id="59533817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5A68A2" w14:textId="3C6CBB22" w:rsidR="00B44C64" w:rsidRPr="00F3115D" w:rsidRDefault="00B44C64" w:rsidP="00B44C64">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013BF8" id="_x0000_t202" coordsize="21600,21600" o:spt="202" path="m,l,21600r21600,l21600,xe">
              <v:stroke joinstyle="miter"/>
              <v:path gradientshapeok="t" o:connecttype="rect"/>
            </v:shapetype>
            <v:shape id="Text Box 6" o:spid="_x0000_s1030"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195A68A2" w14:textId="3C6CBB22" w:rsidR="00B44C64" w:rsidRPr="00F3115D" w:rsidRDefault="00B44C64" w:rsidP="00B44C64">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635B2C" w:rsidRPr="00F3115D">
      <w:rPr>
        <w:noProof/>
      </w:rPr>
      <mc:AlternateContent>
        <mc:Choice Requires="wps">
          <w:drawing>
            <wp:anchor distT="0" distB="0" distL="0" distR="0" simplePos="0" relativeHeight="251653120" behindDoc="0" locked="0" layoutInCell="1" allowOverlap="1" wp14:anchorId="03D44645" wp14:editId="11AC6841">
              <wp:simplePos x="635" y="635"/>
              <wp:positionH relativeFrom="page">
                <wp:align>center</wp:align>
              </wp:positionH>
              <wp:positionV relativeFrom="page">
                <wp:align>top</wp:align>
              </wp:positionV>
              <wp:extent cx="622300" cy="376555"/>
              <wp:effectExtent l="0" t="0" r="6350" b="4445"/>
              <wp:wrapNone/>
              <wp:docPr id="127315219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BEC64C7" w14:textId="16E31557"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03D44645" id="_x0000_s1031" type="#_x0000_t202" alt="OFFICIAL" style="position:absolute;margin-left:0;margin-top:0;width:49pt;height:29.65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BEC64C7" w14:textId="16E31557"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B10C1A" w:rsidRPr="00F3115D">
      <w:rPr>
        <w:noProof/>
        <w:lang w:eastAsia="en-AU"/>
      </w:rPr>
      <w:drawing>
        <wp:anchor distT="0" distB="0" distL="114300" distR="114300" simplePos="0" relativeHeight="251652096" behindDoc="0" locked="0" layoutInCell="1" allowOverlap="1" wp14:anchorId="78FA938C" wp14:editId="2507BBD3">
          <wp:simplePos x="0" y="0"/>
          <wp:positionH relativeFrom="page">
            <wp:align>center</wp:align>
          </wp:positionH>
          <wp:positionV relativeFrom="page">
            <wp:align>top</wp:align>
          </wp:positionV>
          <wp:extent cx="10699200" cy="115200"/>
          <wp:effectExtent l="0" t="0" r="0" b="0"/>
          <wp:wrapNone/>
          <wp:docPr id="1400290214" name="Picture 1400290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90214" name="Picture 14002902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9200" cy="11520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1E8AE" w14:textId="073AB0E3" w:rsidR="00B10C1A" w:rsidRPr="00F3115D" w:rsidRDefault="00635B2C">
    <w:pPr>
      <w:pStyle w:val="Header"/>
      <w:tabs>
        <w:tab w:val="clear" w:pos="4513"/>
        <w:tab w:val="clear" w:pos="9026"/>
      </w:tabs>
    </w:pPr>
    <w:r w:rsidRPr="00F3115D">
      <w:rPr>
        <w:noProof/>
        <w:lang w:eastAsia="en-AU"/>
      </w:rPr>
      <mc:AlternateContent>
        <mc:Choice Requires="wps">
          <w:drawing>
            <wp:anchor distT="0" distB="0" distL="0" distR="0" simplePos="0" relativeHeight="251657216" behindDoc="0" locked="0" layoutInCell="1" allowOverlap="1" wp14:anchorId="71A0B93F" wp14:editId="19D45AC9">
              <wp:simplePos x="635" y="635"/>
              <wp:positionH relativeFrom="page">
                <wp:align>center</wp:align>
              </wp:positionH>
              <wp:positionV relativeFrom="page">
                <wp:align>top</wp:align>
              </wp:positionV>
              <wp:extent cx="622300" cy="376555"/>
              <wp:effectExtent l="0" t="0" r="6350" b="4445"/>
              <wp:wrapNone/>
              <wp:docPr id="134909741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070A04" w14:textId="00182196"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A0B93F" id="_x0000_t202" coordsize="21600,21600" o:spt="202" path="m,l,21600r21600,l21600,xe">
              <v:stroke joinstyle="miter"/>
              <v:path gradientshapeok="t" o:connecttype="rect"/>
            </v:shapetype>
            <v:shape id="Text Box 5" o:spid="_x0000_s1034" type="#_x0000_t202" alt="OFFICIAL" style="position:absolute;margin-left:0;margin-top:0;width:49pt;height:29.6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textbox style="mso-fit-shape-to-text:t" inset="0,15pt,0,0">
                <w:txbxContent>
                  <w:p w14:paraId="43070A04" w14:textId="00182196" w:rsidR="00635B2C" w:rsidRPr="00F3115D" w:rsidRDefault="00635B2C" w:rsidP="00635B2C">
                    <w:pPr>
                      <w:spacing w:after="0"/>
                      <w:rPr>
                        <w:rFonts w:ascii="Aptos" w:eastAsia="Aptos" w:hAnsi="Aptos" w:cs="Aptos"/>
                        <w:color w:val="FF0000"/>
                        <w:sz w:val="24"/>
                        <w:szCs w:val="24"/>
                      </w:rPr>
                    </w:pPr>
                    <w:r w:rsidRPr="00F3115D">
                      <w:rPr>
                        <w:rFonts w:ascii="Aptos" w:eastAsia="Aptos" w:hAnsi="Aptos" w:cs="Aptos"/>
                        <w:color w:val="FF0000"/>
                        <w:sz w:val="24"/>
                        <w:szCs w:val="24"/>
                      </w:rPr>
                      <w:t>OFFICIAL</w:t>
                    </w:r>
                  </w:p>
                </w:txbxContent>
              </v:textbox>
              <w10:wrap anchorx="page" anchory="page"/>
            </v:shape>
          </w:pict>
        </mc:Fallback>
      </mc:AlternateContent>
    </w:r>
    <w:r w:rsidR="00B10C1A" w:rsidRPr="00F3115D">
      <w:rPr>
        <w:noProof/>
        <w:lang w:eastAsia="en-AU"/>
      </w:rPr>
      <w:drawing>
        <wp:anchor distT="0" distB="0" distL="114300" distR="114300" simplePos="0" relativeHeight="251655168" behindDoc="1" locked="0" layoutInCell="1" allowOverlap="1" wp14:anchorId="0F3EBDE6" wp14:editId="5D4A0BB5">
          <wp:simplePos x="0" y="0"/>
          <wp:positionH relativeFrom="page">
            <wp:align>center</wp:align>
          </wp:positionH>
          <wp:positionV relativeFrom="page">
            <wp:align>top</wp:align>
          </wp:positionV>
          <wp:extent cx="10908000" cy="115200"/>
          <wp:effectExtent l="0" t="0" r="0" b="0"/>
          <wp:wrapNone/>
          <wp:docPr id="1891032725" name="Picture 18910327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91032725" name="Picture 189103272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8000" cy="1152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19EF"/>
    <w:multiLevelType w:val="hybridMultilevel"/>
    <w:tmpl w:val="1680B2D2"/>
    <w:lvl w:ilvl="0" w:tplc="FFFFFFFF">
      <w:start w:val="1"/>
      <w:numFmt w:val="decimal"/>
      <w:lvlText w:val="%1."/>
      <w:lvlJc w:val="left"/>
      <w:pPr>
        <w:ind w:left="2705" w:hanging="360"/>
      </w:pPr>
    </w:lvl>
    <w:lvl w:ilvl="1" w:tplc="FFFFFFFF">
      <w:start w:val="1"/>
      <w:numFmt w:val="bullet"/>
      <w:lvlText w:val=""/>
      <w:lvlJc w:val="left"/>
      <w:pPr>
        <w:ind w:left="2705" w:hanging="360"/>
      </w:pPr>
      <w:rPr>
        <w:rFonts w:ascii="Symbol" w:hAnsi="Symbol" w:hint="default"/>
      </w:rPr>
    </w:lvl>
    <w:lvl w:ilvl="2" w:tplc="FFFFFFFF">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 w15:restartNumberingAfterBreak="0">
    <w:nsid w:val="05176375"/>
    <w:multiLevelType w:val="hybridMultilevel"/>
    <w:tmpl w:val="52E806DC"/>
    <w:styleLink w:val="TableNListnumberedmultilevel"/>
    <w:lvl w:ilvl="0" w:tplc="DC9CC63C">
      <w:start w:val="1"/>
      <w:numFmt w:val="bullet"/>
      <w:lvlText w:val="-"/>
      <w:lvlJc w:val="left"/>
      <w:pPr>
        <w:ind w:left="720" w:hanging="360"/>
      </w:pPr>
      <w:rPr>
        <w:rFonts w:ascii="Segoe UI" w:eastAsiaTheme="minorHAnsi" w:hAnsi="Segoe UI" w:cs="Segoe U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9A31A2"/>
    <w:multiLevelType w:val="multilevel"/>
    <w:tmpl w:val="853265FA"/>
    <w:lvl w:ilvl="0">
      <w:start w:val="1"/>
      <w:numFmt w:val="decimal"/>
      <w:pStyle w:val="Heading1"/>
      <w:lvlText w:val="%1"/>
      <w:lvlJc w:val="left"/>
      <w:pPr>
        <w:ind w:left="360" w:hanging="360"/>
      </w:pPr>
      <w:rPr>
        <w:rFonts w:ascii="Segoe UI" w:hAnsi="Segoe UI" w:hint="default"/>
        <w:b/>
        <w:i w:val="0"/>
        <w:sz w:val="36"/>
        <w:szCs w:val="96"/>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lvl>
    <w:lvl w:ilvl="3">
      <w:start w:val="1"/>
      <w:numFmt w:val="decimal"/>
      <w:lvlText w:val="%1.%2.%3.%4"/>
      <w:lvlJc w:val="left"/>
      <w:pPr>
        <w:ind w:left="864" w:hanging="864"/>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9885212"/>
    <w:multiLevelType w:val="hybridMultilevel"/>
    <w:tmpl w:val="45F8BDE8"/>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60600E"/>
    <w:multiLevelType w:val="hybridMultilevel"/>
    <w:tmpl w:val="618825F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2B4370"/>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CC04A4"/>
    <w:multiLevelType w:val="hybridMultilevel"/>
    <w:tmpl w:val="69A0BC74"/>
    <w:lvl w:ilvl="0" w:tplc="DC9CC63C">
      <w:start w:val="1"/>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0E2EF9"/>
    <w:multiLevelType w:val="hybridMultilevel"/>
    <w:tmpl w:val="A132758A"/>
    <w:styleLink w:val="Listnumberedmultilevel"/>
    <w:lvl w:ilvl="0" w:tplc="D408B966">
      <w:start w:val="1"/>
      <w:numFmt w:val="bullet"/>
      <w:pStyle w:val="TableExp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625D8B"/>
    <w:multiLevelType w:val="hybridMultilevel"/>
    <w:tmpl w:val="F4482672"/>
    <w:lvl w:ilvl="0" w:tplc="608E9972">
      <w:start w:val="1"/>
      <w:numFmt w:val="decimal"/>
      <w:pStyle w:val="Listnumbered"/>
      <w:lvlText w:val="%1."/>
      <w:lvlJc w:val="left"/>
      <w:pPr>
        <w:ind w:left="397" w:hanging="397"/>
      </w:pPr>
      <w:rPr>
        <w:rFonts w:hint="default"/>
      </w:rPr>
    </w:lvl>
    <w:lvl w:ilvl="1" w:tplc="0C090019">
      <w:start w:val="1"/>
      <w:numFmt w:val="lowerLetter"/>
      <w:lvlText w:val="%2."/>
      <w:lvlJc w:val="left"/>
      <w:pPr>
        <w:ind w:left="794" w:hanging="397"/>
      </w:pPr>
      <w:rPr>
        <w:rFonts w:hint="default"/>
      </w:rPr>
    </w:lvl>
    <w:lvl w:ilvl="2" w:tplc="0C09001B">
      <w:start w:val="1"/>
      <w:numFmt w:val="lowerRoman"/>
      <w:lvlText w:val="%3."/>
      <w:lvlJc w:val="right"/>
      <w:pPr>
        <w:ind w:left="1247" w:hanging="34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115046"/>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D2695B"/>
    <w:multiLevelType w:val="multilevel"/>
    <w:tmpl w:val="2BF0E1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04C49A2"/>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3E2A42"/>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BF21E1"/>
    <w:multiLevelType w:val="hybridMultilevel"/>
    <w:tmpl w:val="BFAEE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67446F"/>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D64CAE"/>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D02FF8"/>
    <w:multiLevelType w:val="hybridMultilevel"/>
    <w:tmpl w:val="1922A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FD1E56"/>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A9508B"/>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24C3A7E"/>
    <w:multiLevelType w:val="hybridMultilevel"/>
    <w:tmpl w:val="2F60BFE6"/>
    <w:lvl w:ilvl="0" w:tplc="FFFFFFFF">
      <w:start w:val="1"/>
      <w:numFmt w:val="decimal"/>
      <w:lvlText w:val="%1."/>
      <w:lvlJc w:val="left"/>
      <w:pPr>
        <w:ind w:left="720" w:hanging="360"/>
      </w:pPr>
    </w:lvl>
    <w:lvl w:ilvl="1" w:tplc="537407E6">
      <w:start w:val="1"/>
      <w:numFmt w:val="bullet"/>
      <w:lvlText w:val=""/>
      <w:lvlJc w:val="left"/>
      <w:pPr>
        <w:ind w:left="720" w:hanging="360"/>
      </w:pPr>
      <w:rPr>
        <w:rFonts w:ascii="Symbol" w:hAnsi="Symbol" w:hint="default"/>
        <w:sz w:val="16"/>
        <w:szCs w:val="16"/>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6A2698"/>
    <w:multiLevelType w:val="hybridMultilevel"/>
    <w:tmpl w:val="88F80222"/>
    <w:lvl w:ilvl="0" w:tplc="9E3E472C">
      <w:start w:val="1"/>
      <w:numFmt w:val="decimal"/>
      <w:pStyle w:val="TableNListnumbered"/>
      <w:lvlText w:val="%1."/>
      <w:lvlJc w:val="left"/>
      <w:pPr>
        <w:ind w:left="284" w:hanging="284"/>
      </w:pPr>
      <w:rPr>
        <w:rFonts w:hint="default"/>
      </w:rPr>
    </w:lvl>
    <w:lvl w:ilvl="1" w:tplc="0C090019">
      <w:start w:val="1"/>
      <w:numFmt w:val="lowerLetter"/>
      <w:lvlText w:val="%2."/>
      <w:lvlJc w:val="left"/>
      <w:pPr>
        <w:ind w:left="510" w:hanging="283"/>
      </w:pPr>
      <w:rPr>
        <w:rFonts w:hint="default"/>
      </w:rPr>
    </w:lvl>
    <w:lvl w:ilvl="2" w:tplc="0C09001B">
      <w:start w:val="1"/>
      <w:numFmt w:val="lowerRoman"/>
      <w:lvlText w:val="%3."/>
      <w:lvlJc w:val="right"/>
      <w:pPr>
        <w:ind w:left="737" w:hanging="113"/>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9D1413D"/>
    <w:multiLevelType w:val="multilevel"/>
    <w:tmpl w:val="D88C2EA4"/>
    <w:lvl w:ilvl="0">
      <w:start w:val="1"/>
      <w:numFmt w:val="bullet"/>
      <w:pStyle w:val="TableNBullet"/>
      <w:lvlText w:val=""/>
      <w:lvlJc w:val="left"/>
      <w:pPr>
        <w:ind w:left="227" w:hanging="227"/>
      </w:pPr>
      <w:rPr>
        <w:rFonts w:ascii="Symbol" w:hAnsi="Symbol" w:hint="default"/>
        <w:color w:val="auto"/>
        <w:position w:val="0"/>
        <w:sz w:val="16"/>
      </w:rPr>
    </w:lvl>
    <w:lvl w:ilvl="1">
      <w:start w:val="1"/>
      <w:numFmt w:val="bullet"/>
      <w:lvlText w:val=""/>
      <w:lvlJc w:val="left"/>
      <w:pPr>
        <w:ind w:left="510" w:hanging="226"/>
      </w:pPr>
      <w:rPr>
        <w:rFonts w:ascii="Symbol" w:hAnsi="Symbol" w:hint="default"/>
        <w:color w:val="auto"/>
        <w:position w:val="4"/>
        <w:sz w:val="16"/>
      </w:rPr>
    </w:lvl>
    <w:lvl w:ilvl="2">
      <w:start w:val="1"/>
      <w:numFmt w:val="bullet"/>
      <w:lvlText w:val=""/>
      <w:lvlJc w:val="left"/>
      <w:pPr>
        <w:ind w:left="794" w:hanging="227"/>
      </w:pPr>
      <w:rPr>
        <w:rFonts w:ascii="Symbol" w:hAnsi="Symbol" w:hint="default"/>
        <w:color w:val="auto"/>
        <w:position w:val="4"/>
        <w:sz w:val="16"/>
      </w:rPr>
    </w:lvl>
    <w:lvl w:ilvl="3">
      <w:start w:val="1"/>
      <w:numFmt w:val="bullet"/>
      <w:lvlText w:val=""/>
      <w:lvlJc w:val="left"/>
      <w:pPr>
        <w:ind w:left="680" w:hanging="170"/>
      </w:pPr>
      <w:rPr>
        <w:rFonts w:ascii="Wingdings 2" w:hAnsi="Wingdings 2" w:hint="default"/>
        <w:color w:val="404040" w:themeColor="text1" w:themeTint="BF"/>
        <w:position w:val="4"/>
        <w:sz w:val="10"/>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2" w15:restartNumberingAfterBreak="0">
    <w:nsid w:val="3BE91C6A"/>
    <w:multiLevelType w:val="hybridMultilevel"/>
    <w:tmpl w:val="B68CB5F6"/>
    <w:lvl w:ilvl="0" w:tplc="16CCE0F0">
      <w:start w:val="1"/>
      <w:numFmt w:val="bullet"/>
      <w:lvlText w:val=""/>
      <w:lvlJc w:val="left"/>
      <w:pPr>
        <w:ind w:left="473" w:hanging="360"/>
      </w:pPr>
      <w:rPr>
        <w:rFonts w:ascii="Symbol" w:hAnsi="Symbol" w:hint="default"/>
        <w:sz w:val="16"/>
        <w:szCs w:val="16"/>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23" w15:restartNumberingAfterBreak="0">
    <w:nsid w:val="403863B9"/>
    <w:multiLevelType w:val="hybridMultilevel"/>
    <w:tmpl w:val="EF3099A4"/>
    <w:lvl w:ilvl="0" w:tplc="FFFFFFFF">
      <w:start w:val="1"/>
      <w:numFmt w:val="decimal"/>
      <w:lvlText w:val="%1."/>
      <w:lvlJc w:val="left"/>
      <w:pPr>
        <w:ind w:left="720" w:hanging="360"/>
      </w:pPr>
    </w:lvl>
    <w:lvl w:ilvl="1" w:tplc="CCE85704">
      <w:start w:val="1"/>
      <w:numFmt w:val="bullet"/>
      <w:lvlText w:val=""/>
      <w:lvlJc w:val="left"/>
      <w:pPr>
        <w:ind w:left="720" w:hanging="360"/>
      </w:pPr>
      <w:rPr>
        <w:rFonts w:ascii="Symbol" w:hAnsi="Symbol" w:hint="default"/>
        <w:sz w:val="17"/>
        <w:szCs w:val="17"/>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8C2FDF"/>
    <w:multiLevelType w:val="hybridMultilevel"/>
    <w:tmpl w:val="F79E27E0"/>
    <w:lvl w:ilvl="0" w:tplc="370EA3D8">
      <w:start w:val="1"/>
      <w:numFmt w:val="bullet"/>
      <w:pStyle w:val="longformcalloutbullet"/>
      <w:lvlText w:val=""/>
      <w:lvlJc w:val="left"/>
      <w:pPr>
        <w:ind w:left="720" w:hanging="360"/>
      </w:pPr>
      <w:rPr>
        <w:rFonts w:ascii="Symbol" w:hAnsi="Symbol" w:hint="default"/>
        <w:color w:val="00264D" w:themeColor="background2"/>
        <w:sz w:val="1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B85875"/>
    <w:multiLevelType w:val="hybridMultilevel"/>
    <w:tmpl w:val="567E8848"/>
    <w:lvl w:ilvl="0" w:tplc="FFFFFFFF">
      <w:start w:val="1"/>
      <w:numFmt w:val="decimal"/>
      <w:lvlText w:val="%1."/>
      <w:lvlJc w:val="left"/>
      <w:pPr>
        <w:ind w:left="720" w:hanging="360"/>
      </w:pPr>
    </w:lvl>
    <w:lvl w:ilvl="1" w:tplc="9462F64A">
      <w:start w:val="1"/>
      <w:numFmt w:val="bullet"/>
      <w:lvlText w:val=""/>
      <w:lvlJc w:val="left"/>
      <w:pPr>
        <w:ind w:left="720" w:hanging="360"/>
      </w:pPr>
      <w:rPr>
        <w:rFonts w:ascii="Symbol" w:hAnsi="Symbol" w:hint="default"/>
        <w:sz w:val="16"/>
        <w:szCs w:val="16"/>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32D4C69"/>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B30710"/>
    <w:multiLevelType w:val="hybridMultilevel"/>
    <w:tmpl w:val="7DA0F9D0"/>
    <w:lvl w:ilvl="0" w:tplc="50924516">
      <w:start w:val="1"/>
      <w:numFmt w:val="decimal"/>
      <w:pStyle w:val="longformcalloutnumber"/>
      <w:lvlText w:val="%1."/>
      <w:lvlJc w:val="left"/>
      <w:pPr>
        <w:ind w:left="720" w:hanging="360"/>
      </w:pPr>
      <w:rPr>
        <w:rFonts w:hint="default"/>
        <w:b w:val="0"/>
        <w:color w:val="00264D" w:themeColor="background2"/>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B3D2157"/>
    <w:multiLevelType w:val="multilevel"/>
    <w:tmpl w:val="310876F2"/>
    <w:lvl w:ilvl="0">
      <w:start w:val="1"/>
      <w:numFmt w:val="decimal"/>
      <w:pStyle w:val="introductionlist"/>
      <w:lvlText w:val="%1."/>
      <w:lvlJc w:val="left"/>
      <w:pPr>
        <w:ind w:left="357" w:hanging="357"/>
      </w:pPr>
      <w:rPr>
        <w:rFonts w:hint="default"/>
        <w:b w:val="0"/>
      </w:rPr>
    </w:lvl>
    <w:lvl w:ilvl="1">
      <w:start w:val="1"/>
      <w:numFmt w:val="lowerLetter"/>
      <w:lvlText w:val="%2."/>
      <w:lvlJc w:val="left"/>
      <w:pPr>
        <w:ind w:left="720" w:hanging="363"/>
      </w:pPr>
      <w:rPr>
        <w:rFonts w:hint="default"/>
      </w:rPr>
    </w:lvl>
    <w:lvl w:ilvl="2">
      <w:start w:val="1"/>
      <w:numFmt w:val="lowerRoman"/>
      <w:lvlText w:val="%3."/>
      <w:lvlJc w:val="righ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F774994"/>
    <w:multiLevelType w:val="hybridMultilevel"/>
    <w:tmpl w:val="E444B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535AAD"/>
    <w:multiLevelType w:val="multilevel"/>
    <w:tmpl w:val="2564C0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hAnsiTheme="minorHAnsi" w:cstheme="minorHAnsi" w:hint="default"/>
        <w:color w:val="00264D" w:themeColor="background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615DBD"/>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C55940"/>
    <w:multiLevelType w:val="multilevel"/>
    <w:tmpl w:val="D3261AAA"/>
    <w:styleLink w:val="TableexpListnumberedmultilevel"/>
    <w:lvl w:ilvl="0">
      <w:start w:val="1"/>
      <w:numFmt w:val="bullet"/>
      <w:pStyle w:val="intoductionbullet"/>
      <w:lvlText w:val=""/>
      <w:lvlJc w:val="left"/>
      <w:pPr>
        <w:ind w:left="357" w:hanging="357"/>
      </w:pPr>
      <w:rPr>
        <w:rFonts w:ascii="Symbol" w:hAnsi="Symbol" w:hint="default"/>
        <w:color w:val="00264D" w:themeColor="background2"/>
      </w:rPr>
    </w:lvl>
    <w:lvl w:ilvl="1">
      <w:start w:val="1"/>
      <w:numFmt w:val="bullet"/>
      <w:lvlText w:val=""/>
      <w:lvlJc w:val="left"/>
      <w:pPr>
        <w:ind w:left="720" w:hanging="363"/>
      </w:pPr>
      <w:rPr>
        <w:rFonts w:ascii="Symbol" w:hAnsi="Symbol" w:hint="default"/>
        <w:color w:val="00264D" w:themeColor="background2"/>
      </w:rPr>
    </w:lvl>
    <w:lvl w:ilvl="2">
      <w:start w:val="1"/>
      <w:numFmt w:val="bullet"/>
      <w:lvlText w:val=""/>
      <w:lvlJc w:val="left"/>
      <w:pPr>
        <w:ind w:left="1077" w:hanging="357"/>
      </w:pPr>
      <w:rPr>
        <w:rFonts w:ascii="Symbol" w:hAnsi="Symbol" w:hint="default"/>
        <w:color w:val="00264D" w:themeColor="background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5805E6A"/>
    <w:multiLevelType w:val="hybridMultilevel"/>
    <w:tmpl w:val="8E2815E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sz w:val="16"/>
        <w:szCs w:val="16"/>
      </w:rPr>
    </w:lvl>
    <w:lvl w:ilvl="2" w:tplc="0C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08631D"/>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231E2B"/>
    <w:multiLevelType w:val="multilevel"/>
    <w:tmpl w:val="14CE9C6C"/>
    <w:lvl w:ilvl="0">
      <w:start w:val="1"/>
      <w:numFmt w:val="bullet"/>
      <w:lvlText w:val=""/>
      <w:lvlJc w:val="left"/>
      <w:pPr>
        <w:ind w:left="340" w:hanging="340"/>
      </w:pPr>
      <w:rPr>
        <w:rFonts w:ascii="Symbol" w:hAnsi="Symbol" w:hint="default"/>
        <w:b w:val="0"/>
        <w:i w:val="0"/>
        <w:sz w:val="19"/>
      </w:rPr>
    </w:lvl>
    <w:lvl w:ilvl="1">
      <w:start w:val="1"/>
      <w:numFmt w:val="lowerLetter"/>
      <w:lvlText w:val="%2."/>
      <w:lvlJc w:val="left"/>
      <w:pPr>
        <w:ind w:left="680" w:hanging="340"/>
      </w:pPr>
      <w:rPr>
        <w:rFonts w:ascii="Segoe UI" w:hAnsi="Segoe UI" w:hint="default"/>
        <w:sz w:val="20"/>
      </w:rPr>
    </w:lvl>
    <w:lvl w:ilvl="2">
      <w:start w:val="1"/>
      <w:numFmt w:val="lowerRoman"/>
      <w:lvlText w:val="%3."/>
      <w:lvlJc w:val="left"/>
      <w:pPr>
        <w:ind w:left="1021" w:hanging="341"/>
      </w:pPr>
      <w:rPr>
        <w:rFonts w:ascii="Segoe UI" w:hAnsi="Segoe UI" w:hint="default"/>
        <w:sz w:val="19"/>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36" w15:restartNumberingAfterBreak="0">
    <w:nsid w:val="62F22203"/>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456079C"/>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2810DF"/>
    <w:multiLevelType w:val="multilevel"/>
    <w:tmpl w:val="90F8272C"/>
    <w:lvl w:ilvl="0">
      <w:start w:val="1"/>
      <w:numFmt w:val="decimal"/>
      <w:lvlText w:val="%1."/>
      <w:lvlJc w:val="left"/>
      <w:pPr>
        <w:ind w:left="360" w:hanging="360"/>
      </w:pPr>
      <w:rPr>
        <w:rFonts w:hint="default"/>
      </w:rPr>
    </w:lvl>
    <w:lvl w:ilvl="1">
      <w:start w:val="1"/>
      <w:numFmt w:val="lowerLetter"/>
      <w:lvlText w:val="%2."/>
      <w:lvlJc w:val="left"/>
      <w:pPr>
        <w:ind w:left="644" w:hanging="360"/>
      </w:pPr>
    </w:lvl>
    <w:lvl w:ilvl="2">
      <w:start w:val="1"/>
      <w:numFmt w:val="bullet"/>
      <w:lvlText w:val=""/>
      <w:lvlJc w:val="left"/>
      <w:pPr>
        <w:ind w:left="794" w:hanging="227"/>
      </w:pPr>
      <w:rPr>
        <w:rFonts w:ascii="Symbol" w:hAnsi="Symbol" w:hint="default"/>
        <w:color w:val="auto"/>
        <w:position w:val="4"/>
        <w:sz w:val="16"/>
      </w:rPr>
    </w:lvl>
    <w:lvl w:ilvl="3">
      <w:start w:val="1"/>
      <w:numFmt w:val="bullet"/>
      <w:lvlText w:val=""/>
      <w:lvlJc w:val="left"/>
      <w:pPr>
        <w:ind w:left="680" w:hanging="170"/>
      </w:pPr>
      <w:rPr>
        <w:rFonts w:ascii="Wingdings 2" w:hAnsi="Wingdings 2" w:hint="default"/>
        <w:color w:val="404040" w:themeColor="text1" w:themeTint="BF"/>
        <w:position w:val="4"/>
        <w:sz w:val="10"/>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39" w15:restartNumberingAfterBreak="0">
    <w:nsid w:val="6FC070E6"/>
    <w:multiLevelType w:val="hybridMultilevel"/>
    <w:tmpl w:val="E12C1B14"/>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40" w15:restartNumberingAfterBreak="0">
    <w:nsid w:val="71A16EBA"/>
    <w:multiLevelType w:val="multilevel"/>
    <w:tmpl w:val="553693A4"/>
    <w:lvl w:ilvl="0">
      <w:start w:val="1"/>
      <w:numFmt w:val="upperLetter"/>
      <w:pStyle w:val="xAppendixLevel1"/>
      <w:lvlText w:val="Appendix %1"/>
      <w:lvlJc w:val="left"/>
      <w:pPr>
        <w:ind w:left="2410" w:hanging="2268"/>
      </w:pPr>
      <w:rPr>
        <w:specVanish w:val="0"/>
      </w:rPr>
    </w:lvl>
    <w:lvl w:ilvl="1">
      <w:start w:val="1"/>
      <w:numFmt w:val="decimal"/>
      <w:pStyle w:val="xAppendixLevel2"/>
      <w:lvlText w:val="%1.%2"/>
      <w:lvlJc w:val="left"/>
      <w:pPr>
        <w:ind w:left="993" w:hanging="851"/>
      </w:pPr>
      <w:rPr>
        <w:rFonts w:hint="default"/>
        <w:color w:val="00264D"/>
        <w:sz w:val="34"/>
        <w:szCs w:val="34"/>
      </w:rPr>
    </w:lvl>
    <w:lvl w:ilvl="2">
      <w:start w:val="1"/>
      <w:numFmt w:val="decimal"/>
      <w:pStyle w:val="xAppendixLevel3"/>
      <w:lvlText w:val="%1.%2.%3"/>
      <w:lvlJc w:val="left"/>
      <w:pPr>
        <w:ind w:left="993" w:hanging="851"/>
      </w:pPr>
      <w:rPr>
        <w:rFonts w:hint="default"/>
        <w:color w:val="00264D"/>
        <w:sz w:val="28"/>
        <w:szCs w:val="28"/>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41" w15:restartNumberingAfterBreak="0">
    <w:nsid w:val="72200E58"/>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4B7740A"/>
    <w:multiLevelType w:val="hybridMultilevel"/>
    <w:tmpl w:val="1680B2D2"/>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0151C6"/>
    <w:multiLevelType w:val="hybridMultilevel"/>
    <w:tmpl w:val="97784C8A"/>
    <w:lvl w:ilvl="0" w:tplc="0C09000F">
      <w:start w:val="1"/>
      <w:numFmt w:val="decimal"/>
      <w:lvlText w:val="%1."/>
      <w:lvlJc w:val="left"/>
      <w:pPr>
        <w:ind w:left="720" w:hanging="360"/>
      </w:pPr>
    </w:lvl>
    <w:lvl w:ilvl="1" w:tplc="0C090001">
      <w:start w:val="1"/>
      <w:numFmt w:val="bullet"/>
      <w:lvlText w:val=""/>
      <w:lvlJc w:val="left"/>
      <w:pPr>
        <w:ind w:left="72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9B7218E"/>
    <w:multiLevelType w:val="hybridMultilevel"/>
    <w:tmpl w:val="FE8E525E"/>
    <w:lvl w:ilvl="0" w:tplc="3D506FDA">
      <w:start w:val="1"/>
      <w:numFmt w:val="bullet"/>
      <w:pStyle w:val="Bullet"/>
      <w:lvlText w:val=""/>
      <w:lvlJc w:val="left"/>
      <w:pPr>
        <w:ind w:left="340" w:hanging="340"/>
      </w:pPr>
      <w:rPr>
        <w:rFonts w:ascii="Symbol" w:hAnsi="Symbol" w:hint="default"/>
        <w:sz w:val="16"/>
      </w:rPr>
    </w:lvl>
    <w:lvl w:ilvl="1" w:tplc="168E9C4C">
      <w:start w:val="1"/>
      <w:numFmt w:val="bullet"/>
      <w:lvlText w:val=""/>
      <w:lvlJc w:val="left"/>
      <w:pPr>
        <w:ind w:left="680" w:hanging="340"/>
      </w:pPr>
      <w:rPr>
        <w:rFonts w:ascii="Symbol" w:hAnsi="Symbol" w:hint="default"/>
        <w:sz w:val="16"/>
      </w:rPr>
    </w:lvl>
    <w:lvl w:ilvl="2" w:tplc="B88EB012">
      <w:start w:val="1"/>
      <w:numFmt w:val="bullet"/>
      <w:lvlText w:val=""/>
      <w:lvlJc w:val="left"/>
      <w:pPr>
        <w:ind w:left="1134" w:hanging="454"/>
      </w:pPr>
      <w:rPr>
        <w:rFonts w:ascii="Symbol" w:hAnsi="Symbol" w:hint="default"/>
        <w:sz w:val="16"/>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ED59D1"/>
    <w:multiLevelType w:val="hybridMultilevel"/>
    <w:tmpl w:val="1348ED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D2952FB"/>
    <w:multiLevelType w:val="hybridMultilevel"/>
    <w:tmpl w:val="2BE6783E"/>
    <w:lvl w:ilvl="0" w:tplc="66540D66">
      <w:start w:val="1"/>
      <w:numFmt w:val="bullet"/>
      <w:lvlText w:val=""/>
      <w:lvlJc w:val="left"/>
      <w:pPr>
        <w:ind w:left="473" w:hanging="360"/>
      </w:pPr>
      <w:rPr>
        <w:rFonts w:ascii="Symbol" w:hAnsi="Symbol" w:hint="default"/>
        <w:sz w:val="16"/>
        <w:szCs w:val="16"/>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num w:numId="1" w16cid:durableId="7415232">
    <w:abstractNumId w:val="40"/>
  </w:num>
  <w:num w:numId="2" w16cid:durableId="1577670265">
    <w:abstractNumId w:val="40"/>
  </w:num>
  <w:num w:numId="3" w16cid:durableId="1149589232">
    <w:abstractNumId w:val="44"/>
  </w:num>
  <w:num w:numId="4" w16cid:durableId="826366527">
    <w:abstractNumId w:val="8"/>
  </w:num>
  <w:num w:numId="5" w16cid:durableId="2049336720">
    <w:abstractNumId w:val="21"/>
  </w:num>
  <w:num w:numId="6" w16cid:durableId="1431777580">
    <w:abstractNumId w:val="20"/>
  </w:num>
  <w:num w:numId="7" w16cid:durableId="739181400">
    <w:abstractNumId w:val="2"/>
  </w:num>
  <w:num w:numId="8" w16cid:durableId="1966738097">
    <w:abstractNumId w:val="24"/>
  </w:num>
  <w:num w:numId="9" w16cid:durableId="367069479">
    <w:abstractNumId w:val="27"/>
  </w:num>
  <w:num w:numId="10" w16cid:durableId="970592656">
    <w:abstractNumId w:val="28"/>
  </w:num>
  <w:num w:numId="11" w16cid:durableId="1252423066">
    <w:abstractNumId w:val="32"/>
  </w:num>
  <w:num w:numId="12" w16cid:durableId="525365114">
    <w:abstractNumId w:val="7"/>
  </w:num>
  <w:num w:numId="13" w16cid:durableId="1146125700">
    <w:abstractNumId w:val="1"/>
  </w:num>
  <w:num w:numId="14" w16cid:durableId="945424258">
    <w:abstractNumId w:val="4"/>
  </w:num>
  <w:num w:numId="15" w16cid:durableId="1177963100">
    <w:abstractNumId w:val="35"/>
  </w:num>
  <w:num w:numId="16" w16cid:durableId="1992561350">
    <w:abstractNumId w:val="39"/>
  </w:num>
  <w:num w:numId="17" w16cid:durableId="9109948">
    <w:abstractNumId w:val="16"/>
  </w:num>
  <w:num w:numId="18" w16cid:durableId="350646422">
    <w:abstractNumId w:val="45"/>
  </w:num>
  <w:num w:numId="19" w16cid:durableId="618027167">
    <w:abstractNumId w:val="6"/>
  </w:num>
  <w:num w:numId="20" w16cid:durableId="939028491">
    <w:abstractNumId w:val="8"/>
    <w:lvlOverride w:ilvl="0">
      <w:startOverride w:val="1"/>
    </w:lvlOverride>
  </w:num>
  <w:num w:numId="21" w16cid:durableId="2090616764">
    <w:abstractNumId w:val="8"/>
    <w:lvlOverride w:ilvl="0">
      <w:startOverride w:val="1"/>
    </w:lvlOverride>
  </w:num>
  <w:num w:numId="22" w16cid:durableId="461654040">
    <w:abstractNumId w:val="30"/>
  </w:num>
  <w:num w:numId="23" w16cid:durableId="1972132839">
    <w:abstractNumId w:val="38"/>
  </w:num>
  <w:num w:numId="24" w16cid:durableId="1090151997">
    <w:abstractNumId w:val="43"/>
  </w:num>
  <w:num w:numId="25" w16cid:durableId="1489126231">
    <w:abstractNumId w:val="13"/>
  </w:num>
  <w:num w:numId="26" w16cid:durableId="1192766475">
    <w:abstractNumId w:val="29"/>
  </w:num>
  <w:num w:numId="27" w16cid:durableId="1789927714">
    <w:abstractNumId w:val="23"/>
  </w:num>
  <w:num w:numId="28" w16cid:durableId="443623140">
    <w:abstractNumId w:val="37"/>
  </w:num>
  <w:num w:numId="29" w16cid:durableId="715474108">
    <w:abstractNumId w:val="19"/>
  </w:num>
  <w:num w:numId="30" w16cid:durableId="1381172027">
    <w:abstractNumId w:val="25"/>
  </w:num>
  <w:num w:numId="31" w16cid:durableId="640696238">
    <w:abstractNumId w:val="34"/>
  </w:num>
  <w:num w:numId="32" w16cid:durableId="925310847">
    <w:abstractNumId w:val="3"/>
  </w:num>
  <w:num w:numId="33" w16cid:durableId="817306371">
    <w:abstractNumId w:val="18"/>
  </w:num>
  <w:num w:numId="34" w16cid:durableId="1902865869">
    <w:abstractNumId w:val="41"/>
  </w:num>
  <w:num w:numId="35" w16cid:durableId="296692995">
    <w:abstractNumId w:val="0"/>
  </w:num>
  <w:num w:numId="36" w16cid:durableId="1852185096">
    <w:abstractNumId w:val="42"/>
  </w:num>
  <w:num w:numId="37" w16cid:durableId="101802448">
    <w:abstractNumId w:val="15"/>
  </w:num>
  <w:num w:numId="38" w16cid:durableId="1335064585">
    <w:abstractNumId w:val="5"/>
  </w:num>
  <w:num w:numId="39" w16cid:durableId="237980461">
    <w:abstractNumId w:val="36"/>
  </w:num>
  <w:num w:numId="40" w16cid:durableId="1180512126">
    <w:abstractNumId w:val="9"/>
  </w:num>
  <w:num w:numId="41" w16cid:durableId="333143229">
    <w:abstractNumId w:val="14"/>
  </w:num>
  <w:num w:numId="42" w16cid:durableId="591861333">
    <w:abstractNumId w:val="11"/>
  </w:num>
  <w:num w:numId="43" w16cid:durableId="938024787">
    <w:abstractNumId w:val="46"/>
  </w:num>
  <w:num w:numId="44" w16cid:durableId="1563252155">
    <w:abstractNumId w:val="31"/>
  </w:num>
  <w:num w:numId="45" w16cid:durableId="2146119438">
    <w:abstractNumId w:val="17"/>
  </w:num>
  <w:num w:numId="46" w16cid:durableId="1441290823">
    <w:abstractNumId w:val="10"/>
  </w:num>
  <w:num w:numId="47" w16cid:durableId="730813503">
    <w:abstractNumId w:val="22"/>
  </w:num>
  <w:num w:numId="48" w16cid:durableId="1727023928">
    <w:abstractNumId w:val="12"/>
  </w:num>
  <w:num w:numId="49" w16cid:durableId="1037119706">
    <w:abstractNumId w:val="8"/>
    <w:lvlOverride w:ilvl="0">
      <w:startOverride w:val="1"/>
    </w:lvlOverride>
  </w:num>
  <w:num w:numId="50" w16cid:durableId="1518041390">
    <w:abstractNumId w:val="33"/>
  </w:num>
  <w:num w:numId="51" w16cid:durableId="1044675430">
    <w:abstractNumId w:val="8"/>
    <w:lvlOverride w:ilvl="0">
      <w:startOverride w:val="1"/>
    </w:lvlOverride>
  </w:num>
  <w:num w:numId="52" w16cid:durableId="249974557">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519"/>
    <w:rsid w:val="00000283"/>
    <w:rsid w:val="000002A9"/>
    <w:rsid w:val="0000037A"/>
    <w:rsid w:val="00000502"/>
    <w:rsid w:val="00000954"/>
    <w:rsid w:val="000009E2"/>
    <w:rsid w:val="00000A64"/>
    <w:rsid w:val="00000EA3"/>
    <w:rsid w:val="0000139F"/>
    <w:rsid w:val="00001457"/>
    <w:rsid w:val="00001537"/>
    <w:rsid w:val="00001A0C"/>
    <w:rsid w:val="00001C64"/>
    <w:rsid w:val="00001DB5"/>
    <w:rsid w:val="00002257"/>
    <w:rsid w:val="0000235D"/>
    <w:rsid w:val="00002436"/>
    <w:rsid w:val="000025C7"/>
    <w:rsid w:val="00002685"/>
    <w:rsid w:val="00002929"/>
    <w:rsid w:val="00003299"/>
    <w:rsid w:val="000034F4"/>
    <w:rsid w:val="0000362A"/>
    <w:rsid w:val="000036F2"/>
    <w:rsid w:val="0000370F"/>
    <w:rsid w:val="0000390A"/>
    <w:rsid w:val="00003D44"/>
    <w:rsid w:val="00004035"/>
    <w:rsid w:val="0000411C"/>
    <w:rsid w:val="0000411F"/>
    <w:rsid w:val="0000413E"/>
    <w:rsid w:val="0000450E"/>
    <w:rsid w:val="0000454F"/>
    <w:rsid w:val="00004B54"/>
    <w:rsid w:val="00004ECE"/>
    <w:rsid w:val="000051D7"/>
    <w:rsid w:val="00005261"/>
    <w:rsid w:val="00005328"/>
    <w:rsid w:val="000057DB"/>
    <w:rsid w:val="0000580E"/>
    <w:rsid w:val="00005B12"/>
    <w:rsid w:val="00005C39"/>
    <w:rsid w:val="00005CB8"/>
    <w:rsid w:val="00005CCE"/>
    <w:rsid w:val="00006290"/>
    <w:rsid w:val="000063D1"/>
    <w:rsid w:val="000063DA"/>
    <w:rsid w:val="0000691F"/>
    <w:rsid w:val="0000695B"/>
    <w:rsid w:val="00006969"/>
    <w:rsid w:val="00006B2B"/>
    <w:rsid w:val="00006D88"/>
    <w:rsid w:val="00006F00"/>
    <w:rsid w:val="00006F1A"/>
    <w:rsid w:val="0000700B"/>
    <w:rsid w:val="00007152"/>
    <w:rsid w:val="000072DE"/>
    <w:rsid w:val="00007337"/>
    <w:rsid w:val="0000764E"/>
    <w:rsid w:val="00007651"/>
    <w:rsid w:val="000076E2"/>
    <w:rsid w:val="000079B7"/>
    <w:rsid w:val="00010012"/>
    <w:rsid w:val="000100EB"/>
    <w:rsid w:val="00010236"/>
    <w:rsid w:val="00010506"/>
    <w:rsid w:val="00010507"/>
    <w:rsid w:val="0001071B"/>
    <w:rsid w:val="00010908"/>
    <w:rsid w:val="000109E6"/>
    <w:rsid w:val="00010ACE"/>
    <w:rsid w:val="00010BD5"/>
    <w:rsid w:val="00010C4A"/>
    <w:rsid w:val="00011059"/>
    <w:rsid w:val="000114AA"/>
    <w:rsid w:val="000114E6"/>
    <w:rsid w:val="00011520"/>
    <w:rsid w:val="0001184B"/>
    <w:rsid w:val="00011A63"/>
    <w:rsid w:val="00011A75"/>
    <w:rsid w:val="00011CE0"/>
    <w:rsid w:val="00011D56"/>
    <w:rsid w:val="00011F0D"/>
    <w:rsid w:val="0001239D"/>
    <w:rsid w:val="000123B4"/>
    <w:rsid w:val="0001244A"/>
    <w:rsid w:val="000126EC"/>
    <w:rsid w:val="000128B3"/>
    <w:rsid w:val="000129B0"/>
    <w:rsid w:val="00012B13"/>
    <w:rsid w:val="00012B80"/>
    <w:rsid w:val="00012C0F"/>
    <w:rsid w:val="00012D42"/>
    <w:rsid w:val="0001315B"/>
    <w:rsid w:val="000135A4"/>
    <w:rsid w:val="000137FA"/>
    <w:rsid w:val="00013BE7"/>
    <w:rsid w:val="00013C21"/>
    <w:rsid w:val="00013C3D"/>
    <w:rsid w:val="00013C78"/>
    <w:rsid w:val="00013CD4"/>
    <w:rsid w:val="00013D69"/>
    <w:rsid w:val="00014104"/>
    <w:rsid w:val="000141F9"/>
    <w:rsid w:val="0001421B"/>
    <w:rsid w:val="0001452D"/>
    <w:rsid w:val="0001466F"/>
    <w:rsid w:val="00014819"/>
    <w:rsid w:val="00014CB8"/>
    <w:rsid w:val="00014E3C"/>
    <w:rsid w:val="0001505D"/>
    <w:rsid w:val="00015157"/>
    <w:rsid w:val="00015589"/>
    <w:rsid w:val="0001562D"/>
    <w:rsid w:val="00015E40"/>
    <w:rsid w:val="00015F74"/>
    <w:rsid w:val="00016327"/>
    <w:rsid w:val="00016510"/>
    <w:rsid w:val="0001653C"/>
    <w:rsid w:val="0001661D"/>
    <w:rsid w:val="00016B43"/>
    <w:rsid w:val="00016EE7"/>
    <w:rsid w:val="00016FD6"/>
    <w:rsid w:val="00017011"/>
    <w:rsid w:val="00017075"/>
    <w:rsid w:val="00017115"/>
    <w:rsid w:val="00017409"/>
    <w:rsid w:val="00017722"/>
    <w:rsid w:val="0001790D"/>
    <w:rsid w:val="000179A8"/>
    <w:rsid w:val="00017E5F"/>
    <w:rsid w:val="00020038"/>
    <w:rsid w:val="0002003B"/>
    <w:rsid w:val="000203EF"/>
    <w:rsid w:val="0002080C"/>
    <w:rsid w:val="00020811"/>
    <w:rsid w:val="000208E4"/>
    <w:rsid w:val="00020D41"/>
    <w:rsid w:val="00020E3B"/>
    <w:rsid w:val="00021098"/>
    <w:rsid w:val="000210AB"/>
    <w:rsid w:val="0002133C"/>
    <w:rsid w:val="0002145E"/>
    <w:rsid w:val="00021982"/>
    <w:rsid w:val="00021BA7"/>
    <w:rsid w:val="00021DB8"/>
    <w:rsid w:val="00022303"/>
    <w:rsid w:val="00022902"/>
    <w:rsid w:val="00022910"/>
    <w:rsid w:val="0002299C"/>
    <w:rsid w:val="000229EB"/>
    <w:rsid w:val="00022ADF"/>
    <w:rsid w:val="00022B26"/>
    <w:rsid w:val="00022DD3"/>
    <w:rsid w:val="00022F2E"/>
    <w:rsid w:val="00022F41"/>
    <w:rsid w:val="00023156"/>
    <w:rsid w:val="000233DC"/>
    <w:rsid w:val="000233F3"/>
    <w:rsid w:val="00023452"/>
    <w:rsid w:val="000234FF"/>
    <w:rsid w:val="000235BA"/>
    <w:rsid w:val="0002376F"/>
    <w:rsid w:val="00023798"/>
    <w:rsid w:val="000237A0"/>
    <w:rsid w:val="00023C3D"/>
    <w:rsid w:val="00023D05"/>
    <w:rsid w:val="0002422C"/>
    <w:rsid w:val="00024451"/>
    <w:rsid w:val="00024685"/>
    <w:rsid w:val="00024898"/>
    <w:rsid w:val="00024AC5"/>
    <w:rsid w:val="0002507A"/>
    <w:rsid w:val="000251D7"/>
    <w:rsid w:val="0002527E"/>
    <w:rsid w:val="0002531B"/>
    <w:rsid w:val="000253D1"/>
    <w:rsid w:val="00025463"/>
    <w:rsid w:val="00025492"/>
    <w:rsid w:val="000254C9"/>
    <w:rsid w:val="000254CE"/>
    <w:rsid w:val="000255E3"/>
    <w:rsid w:val="00025C8A"/>
    <w:rsid w:val="00025CDA"/>
    <w:rsid w:val="00025FC0"/>
    <w:rsid w:val="0002618B"/>
    <w:rsid w:val="00026969"/>
    <w:rsid w:val="000269BA"/>
    <w:rsid w:val="00026B5F"/>
    <w:rsid w:val="00026BA0"/>
    <w:rsid w:val="00026F75"/>
    <w:rsid w:val="0002700F"/>
    <w:rsid w:val="00027061"/>
    <w:rsid w:val="000272B2"/>
    <w:rsid w:val="00027BB0"/>
    <w:rsid w:val="00027C91"/>
    <w:rsid w:val="000300B9"/>
    <w:rsid w:val="00030616"/>
    <w:rsid w:val="0003074C"/>
    <w:rsid w:val="00030772"/>
    <w:rsid w:val="0003078C"/>
    <w:rsid w:val="000309DC"/>
    <w:rsid w:val="00030A8C"/>
    <w:rsid w:val="00030CF5"/>
    <w:rsid w:val="00030DC4"/>
    <w:rsid w:val="00030FBA"/>
    <w:rsid w:val="000315A7"/>
    <w:rsid w:val="0003160F"/>
    <w:rsid w:val="000318DB"/>
    <w:rsid w:val="000318DE"/>
    <w:rsid w:val="0003190D"/>
    <w:rsid w:val="00032091"/>
    <w:rsid w:val="0003211F"/>
    <w:rsid w:val="000324E5"/>
    <w:rsid w:val="00032508"/>
    <w:rsid w:val="00032565"/>
    <w:rsid w:val="00032579"/>
    <w:rsid w:val="000325BB"/>
    <w:rsid w:val="00032671"/>
    <w:rsid w:val="00032757"/>
    <w:rsid w:val="00032781"/>
    <w:rsid w:val="000327EB"/>
    <w:rsid w:val="00032828"/>
    <w:rsid w:val="00032BDC"/>
    <w:rsid w:val="00032C82"/>
    <w:rsid w:val="00032CC3"/>
    <w:rsid w:val="00032FE7"/>
    <w:rsid w:val="00033693"/>
    <w:rsid w:val="00033854"/>
    <w:rsid w:val="0003396C"/>
    <w:rsid w:val="00033988"/>
    <w:rsid w:val="00033A05"/>
    <w:rsid w:val="00033CDC"/>
    <w:rsid w:val="00033E74"/>
    <w:rsid w:val="00033F63"/>
    <w:rsid w:val="00034351"/>
    <w:rsid w:val="00034605"/>
    <w:rsid w:val="00034625"/>
    <w:rsid w:val="00034894"/>
    <w:rsid w:val="000349F4"/>
    <w:rsid w:val="00034D42"/>
    <w:rsid w:val="00034D66"/>
    <w:rsid w:val="00034D7E"/>
    <w:rsid w:val="00034DA2"/>
    <w:rsid w:val="00035412"/>
    <w:rsid w:val="00035683"/>
    <w:rsid w:val="000359F7"/>
    <w:rsid w:val="00035C0F"/>
    <w:rsid w:val="00035DE1"/>
    <w:rsid w:val="00036028"/>
    <w:rsid w:val="0003607A"/>
    <w:rsid w:val="00036115"/>
    <w:rsid w:val="00036781"/>
    <w:rsid w:val="00036837"/>
    <w:rsid w:val="00036846"/>
    <w:rsid w:val="000368BA"/>
    <w:rsid w:val="00036B88"/>
    <w:rsid w:val="00036DB3"/>
    <w:rsid w:val="00036DD1"/>
    <w:rsid w:val="0003713D"/>
    <w:rsid w:val="000375E4"/>
    <w:rsid w:val="000376A6"/>
    <w:rsid w:val="000376F0"/>
    <w:rsid w:val="000378B0"/>
    <w:rsid w:val="00037961"/>
    <w:rsid w:val="000379A4"/>
    <w:rsid w:val="00037A5C"/>
    <w:rsid w:val="00037C03"/>
    <w:rsid w:val="00037C1C"/>
    <w:rsid w:val="00037CA5"/>
    <w:rsid w:val="00037F75"/>
    <w:rsid w:val="000400C9"/>
    <w:rsid w:val="0004013F"/>
    <w:rsid w:val="0004018E"/>
    <w:rsid w:val="00040208"/>
    <w:rsid w:val="000402CE"/>
    <w:rsid w:val="0004033A"/>
    <w:rsid w:val="000405DA"/>
    <w:rsid w:val="00040CB2"/>
    <w:rsid w:val="00040CC1"/>
    <w:rsid w:val="00040EC3"/>
    <w:rsid w:val="000410AE"/>
    <w:rsid w:val="0004128D"/>
    <w:rsid w:val="00041982"/>
    <w:rsid w:val="00041A06"/>
    <w:rsid w:val="00041A5E"/>
    <w:rsid w:val="00041B6A"/>
    <w:rsid w:val="00041CE9"/>
    <w:rsid w:val="00041DD3"/>
    <w:rsid w:val="00041E52"/>
    <w:rsid w:val="0004202A"/>
    <w:rsid w:val="000421C9"/>
    <w:rsid w:val="000424CD"/>
    <w:rsid w:val="000425EC"/>
    <w:rsid w:val="000426B0"/>
    <w:rsid w:val="00042752"/>
    <w:rsid w:val="00042F68"/>
    <w:rsid w:val="00043021"/>
    <w:rsid w:val="00043101"/>
    <w:rsid w:val="0004369E"/>
    <w:rsid w:val="000437CD"/>
    <w:rsid w:val="000437D0"/>
    <w:rsid w:val="00043904"/>
    <w:rsid w:val="00043991"/>
    <w:rsid w:val="00043996"/>
    <w:rsid w:val="00043A55"/>
    <w:rsid w:val="00043AD7"/>
    <w:rsid w:val="00043BD1"/>
    <w:rsid w:val="00043BD6"/>
    <w:rsid w:val="00043D69"/>
    <w:rsid w:val="00043D82"/>
    <w:rsid w:val="00043F1C"/>
    <w:rsid w:val="00043F52"/>
    <w:rsid w:val="00043FC5"/>
    <w:rsid w:val="000441F2"/>
    <w:rsid w:val="0004434B"/>
    <w:rsid w:val="0004444B"/>
    <w:rsid w:val="0004466F"/>
    <w:rsid w:val="00044775"/>
    <w:rsid w:val="00044777"/>
    <w:rsid w:val="000447B0"/>
    <w:rsid w:val="00044874"/>
    <w:rsid w:val="00044933"/>
    <w:rsid w:val="00044944"/>
    <w:rsid w:val="000449BD"/>
    <w:rsid w:val="00044A8B"/>
    <w:rsid w:val="00044CD4"/>
    <w:rsid w:val="00044FBF"/>
    <w:rsid w:val="0004533F"/>
    <w:rsid w:val="00045424"/>
    <w:rsid w:val="000458E1"/>
    <w:rsid w:val="00045917"/>
    <w:rsid w:val="00045996"/>
    <w:rsid w:val="00046082"/>
    <w:rsid w:val="000462BF"/>
    <w:rsid w:val="00046324"/>
    <w:rsid w:val="000465AD"/>
    <w:rsid w:val="00046621"/>
    <w:rsid w:val="00046786"/>
    <w:rsid w:val="00046BBD"/>
    <w:rsid w:val="00046EFF"/>
    <w:rsid w:val="00046FB7"/>
    <w:rsid w:val="00047192"/>
    <w:rsid w:val="00047227"/>
    <w:rsid w:val="0004773D"/>
    <w:rsid w:val="00047906"/>
    <w:rsid w:val="00047AFE"/>
    <w:rsid w:val="00047C7D"/>
    <w:rsid w:val="000500B1"/>
    <w:rsid w:val="00050156"/>
    <w:rsid w:val="00050191"/>
    <w:rsid w:val="000502F9"/>
    <w:rsid w:val="00050564"/>
    <w:rsid w:val="00050698"/>
    <w:rsid w:val="00050950"/>
    <w:rsid w:val="00050AF8"/>
    <w:rsid w:val="00050D70"/>
    <w:rsid w:val="00050D92"/>
    <w:rsid w:val="00050DE4"/>
    <w:rsid w:val="00050FD6"/>
    <w:rsid w:val="0005138F"/>
    <w:rsid w:val="000515F0"/>
    <w:rsid w:val="00051D1D"/>
    <w:rsid w:val="00052831"/>
    <w:rsid w:val="000528B3"/>
    <w:rsid w:val="0005298A"/>
    <w:rsid w:val="00052CFC"/>
    <w:rsid w:val="000530B0"/>
    <w:rsid w:val="00053114"/>
    <w:rsid w:val="00053362"/>
    <w:rsid w:val="0005385E"/>
    <w:rsid w:val="000538D7"/>
    <w:rsid w:val="00053AF6"/>
    <w:rsid w:val="00053AFE"/>
    <w:rsid w:val="00053B4A"/>
    <w:rsid w:val="00053BD5"/>
    <w:rsid w:val="00053C00"/>
    <w:rsid w:val="00053CEC"/>
    <w:rsid w:val="00053D42"/>
    <w:rsid w:val="00053DB5"/>
    <w:rsid w:val="00053FAF"/>
    <w:rsid w:val="00054005"/>
    <w:rsid w:val="00054208"/>
    <w:rsid w:val="00054268"/>
    <w:rsid w:val="0005446B"/>
    <w:rsid w:val="00054679"/>
    <w:rsid w:val="000547D9"/>
    <w:rsid w:val="00054810"/>
    <w:rsid w:val="00054930"/>
    <w:rsid w:val="00055047"/>
    <w:rsid w:val="00055160"/>
    <w:rsid w:val="000553D6"/>
    <w:rsid w:val="000554D3"/>
    <w:rsid w:val="0005557D"/>
    <w:rsid w:val="00055639"/>
    <w:rsid w:val="00055A7B"/>
    <w:rsid w:val="00055E0F"/>
    <w:rsid w:val="00055E92"/>
    <w:rsid w:val="00055EA0"/>
    <w:rsid w:val="0005628F"/>
    <w:rsid w:val="000563B7"/>
    <w:rsid w:val="00056562"/>
    <w:rsid w:val="000565B2"/>
    <w:rsid w:val="0005665F"/>
    <w:rsid w:val="00056691"/>
    <w:rsid w:val="000566BD"/>
    <w:rsid w:val="0005683D"/>
    <w:rsid w:val="00056B12"/>
    <w:rsid w:val="00056B1A"/>
    <w:rsid w:val="00056E32"/>
    <w:rsid w:val="00057098"/>
    <w:rsid w:val="0005738D"/>
    <w:rsid w:val="00057470"/>
    <w:rsid w:val="0005752C"/>
    <w:rsid w:val="0005759E"/>
    <w:rsid w:val="000575DD"/>
    <w:rsid w:val="0005777C"/>
    <w:rsid w:val="00057A30"/>
    <w:rsid w:val="00057AE3"/>
    <w:rsid w:val="00057C5E"/>
    <w:rsid w:val="00057C83"/>
    <w:rsid w:val="00057D4B"/>
    <w:rsid w:val="00057E4A"/>
    <w:rsid w:val="00057F2C"/>
    <w:rsid w:val="00057FA7"/>
    <w:rsid w:val="00060165"/>
    <w:rsid w:val="00060772"/>
    <w:rsid w:val="00060853"/>
    <w:rsid w:val="00060A5E"/>
    <w:rsid w:val="00060B84"/>
    <w:rsid w:val="00060EF5"/>
    <w:rsid w:val="000610E7"/>
    <w:rsid w:val="0006121B"/>
    <w:rsid w:val="00061388"/>
    <w:rsid w:val="00061619"/>
    <w:rsid w:val="000618B1"/>
    <w:rsid w:val="00061C87"/>
    <w:rsid w:val="00061D3E"/>
    <w:rsid w:val="00061E7C"/>
    <w:rsid w:val="00061E80"/>
    <w:rsid w:val="000621D4"/>
    <w:rsid w:val="0006237C"/>
    <w:rsid w:val="00062538"/>
    <w:rsid w:val="00062747"/>
    <w:rsid w:val="00062A7E"/>
    <w:rsid w:val="00062AEC"/>
    <w:rsid w:val="00062D11"/>
    <w:rsid w:val="00062D76"/>
    <w:rsid w:val="00063035"/>
    <w:rsid w:val="000631B1"/>
    <w:rsid w:val="00063379"/>
    <w:rsid w:val="00063487"/>
    <w:rsid w:val="00063669"/>
    <w:rsid w:val="000639BC"/>
    <w:rsid w:val="00063D17"/>
    <w:rsid w:val="00064452"/>
    <w:rsid w:val="00064490"/>
    <w:rsid w:val="0006458E"/>
    <w:rsid w:val="00064971"/>
    <w:rsid w:val="00064B49"/>
    <w:rsid w:val="00064C95"/>
    <w:rsid w:val="00064E93"/>
    <w:rsid w:val="00064FB9"/>
    <w:rsid w:val="000655A9"/>
    <w:rsid w:val="000657DD"/>
    <w:rsid w:val="00065A14"/>
    <w:rsid w:val="00065C68"/>
    <w:rsid w:val="00065E35"/>
    <w:rsid w:val="00065ED1"/>
    <w:rsid w:val="00066268"/>
    <w:rsid w:val="000667FF"/>
    <w:rsid w:val="00066A4B"/>
    <w:rsid w:val="00066A66"/>
    <w:rsid w:val="00066CD8"/>
    <w:rsid w:val="00066CFF"/>
    <w:rsid w:val="00066EF1"/>
    <w:rsid w:val="0006700E"/>
    <w:rsid w:val="000670EE"/>
    <w:rsid w:val="000674A4"/>
    <w:rsid w:val="00067778"/>
    <w:rsid w:val="00067E32"/>
    <w:rsid w:val="00067E65"/>
    <w:rsid w:val="00067F89"/>
    <w:rsid w:val="000700F0"/>
    <w:rsid w:val="0007016E"/>
    <w:rsid w:val="000707A5"/>
    <w:rsid w:val="000707EA"/>
    <w:rsid w:val="00070A9D"/>
    <w:rsid w:val="00070B1F"/>
    <w:rsid w:val="00070B47"/>
    <w:rsid w:val="00070BE6"/>
    <w:rsid w:val="00070C60"/>
    <w:rsid w:val="00070EBD"/>
    <w:rsid w:val="0007109C"/>
    <w:rsid w:val="00071193"/>
    <w:rsid w:val="000711B3"/>
    <w:rsid w:val="000713D4"/>
    <w:rsid w:val="000713D5"/>
    <w:rsid w:val="0007159E"/>
    <w:rsid w:val="00071602"/>
    <w:rsid w:val="000716BD"/>
    <w:rsid w:val="000716FE"/>
    <w:rsid w:val="00071914"/>
    <w:rsid w:val="00071AA8"/>
    <w:rsid w:val="00071D50"/>
    <w:rsid w:val="00071DC3"/>
    <w:rsid w:val="00071DFF"/>
    <w:rsid w:val="00071E95"/>
    <w:rsid w:val="0007207A"/>
    <w:rsid w:val="00072083"/>
    <w:rsid w:val="000720F4"/>
    <w:rsid w:val="0007224A"/>
    <w:rsid w:val="00072295"/>
    <w:rsid w:val="0007239B"/>
    <w:rsid w:val="000724B5"/>
    <w:rsid w:val="0007251A"/>
    <w:rsid w:val="00072544"/>
    <w:rsid w:val="000725A2"/>
    <w:rsid w:val="00072751"/>
    <w:rsid w:val="000729D1"/>
    <w:rsid w:val="00072BF6"/>
    <w:rsid w:val="00072C66"/>
    <w:rsid w:val="00072F5D"/>
    <w:rsid w:val="000731CE"/>
    <w:rsid w:val="00073287"/>
    <w:rsid w:val="00073A7C"/>
    <w:rsid w:val="00073C3C"/>
    <w:rsid w:val="00073CBC"/>
    <w:rsid w:val="00073F40"/>
    <w:rsid w:val="0007403F"/>
    <w:rsid w:val="00074300"/>
    <w:rsid w:val="00074381"/>
    <w:rsid w:val="0007442B"/>
    <w:rsid w:val="000744E2"/>
    <w:rsid w:val="0007470A"/>
    <w:rsid w:val="00074728"/>
    <w:rsid w:val="00074777"/>
    <w:rsid w:val="000747D4"/>
    <w:rsid w:val="00074991"/>
    <w:rsid w:val="00074AC3"/>
    <w:rsid w:val="00074C81"/>
    <w:rsid w:val="0007502C"/>
    <w:rsid w:val="000754FA"/>
    <w:rsid w:val="00075858"/>
    <w:rsid w:val="00075A2E"/>
    <w:rsid w:val="00075B33"/>
    <w:rsid w:val="00075C2A"/>
    <w:rsid w:val="0007615F"/>
    <w:rsid w:val="00076278"/>
    <w:rsid w:val="000763BB"/>
    <w:rsid w:val="000763C1"/>
    <w:rsid w:val="000764FC"/>
    <w:rsid w:val="000765A1"/>
    <w:rsid w:val="000767F2"/>
    <w:rsid w:val="000768A4"/>
    <w:rsid w:val="0007695A"/>
    <w:rsid w:val="00076B48"/>
    <w:rsid w:val="00076BBF"/>
    <w:rsid w:val="00076C89"/>
    <w:rsid w:val="00076E1B"/>
    <w:rsid w:val="00077008"/>
    <w:rsid w:val="000772BD"/>
    <w:rsid w:val="00077426"/>
    <w:rsid w:val="00077591"/>
    <w:rsid w:val="00077699"/>
    <w:rsid w:val="00077A0C"/>
    <w:rsid w:val="00077BA0"/>
    <w:rsid w:val="00077BC3"/>
    <w:rsid w:val="00077E4A"/>
    <w:rsid w:val="00077EA0"/>
    <w:rsid w:val="0008012B"/>
    <w:rsid w:val="00080378"/>
    <w:rsid w:val="000805D7"/>
    <w:rsid w:val="0008060A"/>
    <w:rsid w:val="00080867"/>
    <w:rsid w:val="000809B0"/>
    <w:rsid w:val="000809E8"/>
    <w:rsid w:val="00080CD8"/>
    <w:rsid w:val="00080F40"/>
    <w:rsid w:val="000813FF"/>
    <w:rsid w:val="0008151E"/>
    <w:rsid w:val="00081615"/>
    <w:rsid w:val="000816F0"/>
    <w:rsid w:val="00081980"/>
    <w:rsid w:val="00081B33"/>
    <w:rsid w:val="00081E5B"/>
    <w:rsid w:val="00081E98"/>
    <w:rsid w:val="00081EC9"/>
    <w:rsid w:val="00081F07"/>
    <w:rsid w:val="00081F40"/>
    <w:rsid w:val="00081F4E"/>
    <w:rsid w:val="000820D8"/>
    <w:rsid w:val="0008230B"/>
    <w:rsid w:val="0008267E"/>
    <w:rsid w:val="0008282F"/>
    <w:rsid w:val="000828B9"/>
    <w:rsid w:val="00082B5B"/>
    <w:rsid w:val="00082BA5"/>
    <w:rsid w:val="00082D1F"/>
    <w:rsid w:val="00082D5D"/>
    <w:rsid w:val="00082D78"/>
    <w:rsid w:val="00082DB8"/>
    <w:rsid w:val="00082F1F"/>
    <w:rsid w:val="00083022"/>
    <w:rsid w:val="000831F9"/>
    <w:rsid w:val="00083528"/>
    <w:rsid w:val="000835FB"/>
    <w:rsid w:val="00083625"/>
    <w:rsid w:val="00083869"/>
    <w:rsid w:val="000838E2"/>
    <w:rsid w:val="00083A48"/>
    <w:rsid w:val="00083A92"/>
    <w:rsid w:val="00083BB4"/>
    <w:rsid w:val="00083CAE"/>
    <w:rsid w:val="00083D60"/>
    <w:rsid w:val="00083D9B"/>
    <w:rsid w:val="00083F12"/>
    <w:rsid w:val="00083FC2"/>
    <w:rsid w:val="00084108"/>
    <w:rsid w:val="00084160"/>
    <w:rsid w:val="000845B5"/>
    <w:rsid w:val="000847CB"/>
    <w:rsid w:val="00084873"/>
    <w:rsid w:val="00084ED5"/>
    <w:rsid w:val="00084EE0"/>
    <w:rsid w:val="00085468"/>
    <w:rsid w:val="0008547B"/>
    <w:rsid w:val="000855D5"/>
    <w:rsid w:val="00085835"/>
    <w:rsid w:val="000858E3"/>
    <w:rsid w:val="00085D1D"/>
    <w:rsid w:val="00085D73"/>
    <w:rsid w:val="00085E63"/>
    <w:rsid w:val="000860E5"/>
    <w:rsid w:val="00086122"/>
    <w:rsid w:val="00086332"/>
    <w:rsid w:val="000868C0"/>
    <w:rsid w:val="00086A80"/>
    <w:rsid w:val="00086BAF"/>
    <w:rsid w:val="00086C75"/>
    <w:rsid w:val="00086D6F"/>
    <w:rsid w:val="00086E19"/>
    <w:rsid w:val="000870C4"/>
    <w:rsid w:val="00087263"/>
    <w:rsid w:val="00087469"/>
    <w:rsid w:val="0008786A"/>
    <w:rsid w:val="00087AC8"/>
    <w:rsid w:val="00087BFB"/>
    <w:rsid w:val="00087DCF"/>
    <w:rsid w:val="000900BB"/>
    <w:rsid w:val="0009045B"/>
    <w:rsid w:val="000908E3"/>
    <w:rsid w:val="000909F0"/>
    <w:rsid w:val="00090A52"/>
    <w:rsid w:val="00090BF0"/>
    <w:rsid w:val="00090EE5"/>
    <w:rsid w:val="0009109A"/>
    <w:rsid w:val="000911B9"/>
    <w:rsid w:val="00091718"/>
    <w:rsid w:val="000917CB"/>
    <w:rsid w:val="000917F3"/>
    <w:rsid w:val="0009194F"/>
    <w:rsid w:val="00091CA6"/>
    <w:rsid w:val="00091D42"/>
    <w:rsid w:val="00091D57"/>
    <w:rsid w:val="000921F4"/>
    <w:rsid w:val="000925A2"/>
    <w:rsid w:val="0009269D"/>
    <w:rsid w:val="0009291F"/>
    <w:rsid w:val="00092CE5"/>
    <w:rsid w:val="000932F0"/>
    <w:rsid w:val="00093434"/>
    <w:rsid w:val="00093563"/>
    <w:rsid w:val="000937C7"/>
    <w:rsid w:val="00093891"/>
    <w:rsid w:val="00093C21"/>
    <w:rsid w:val="00093E44"/>
    <w:rsid w:val="00093EC4"/>
    <w:rsid w:val="000944B6"/>
    <w:rsid w:val="0009461D"/>
    <w:rsid w:val="000946FD"/>
    <w:rsid w:val="0009490B"/>
    <w:rsid w:val="00094C4B"/>
    <w:rsid w:val="00094ECF"/>
    <w:rsid w:val="00095596"/>
    <w:rsid w:val="0009569F"/>
    <w:rsid w:val="0009585E"/>
    <w:rsid w:val="0009629E"/>
    <w:rsid w:val="000964EA"/>
    <w:rsid w:val="0009657D"/>
    <w:rsid w:val="000965E2"/>
    <w:rsid w:val="0009664D"/>
    <w:rsid w:val="000966DE"/>
    <w:rsid w:val="000967AF"/>
    <w:rsid w:val="00096A8A"/>
    <w:rsid w:val="000970F6"/>
    <w:rsid w:val="00097123"/>
    <w:rsid w:val="000972B2"/>
    <w:rsid w:val="000973E6"/>
    <w:rsid w:val="000974EA"/>
    <w:rsid w:val="0009778C"/>
    <w:rsid w:val="00097BB4"/>
    <w:rsid w:val="00097D3B"/>
    <w:rsid w:val="000A03CA"/>
    <w:rsid w:val="000A03F7"/>
    <w:rsid w:val="000A0751"/>
    <w:rsid w:val="000A0B7D"/>
    <w:rsid w:val="000A0E47"/>
    <w:rsid w:val="000A0E79"/>
    <w:rsid w:val="000A10D1"/>
    <w:rsid w:val="000A1135"/>
    <w:rsid w:val="000A122C"/>
    <w:rsid w:val="000A1283"/>
    <w:rsid w:val="000A12F4"/>
    <w:rsid w:val="000A155D"/>
    <w:rsid w:val="000A1636"/>
    <w:rsid w:val="000A164E"/>
    <w:rsid w:val="000A18CA"/>
    <w:rsid w:val="000A1AAE"/>
    <w:rsid w:val="000A1D85"/>
    <w:rsid w:val="000A1F04"/>
    <w:rsid w:val="000A20DF"/>
    <w:rsid w:val="000A23EB"/>
    <w:rsid w:val="000A24FE"/>
    <w:rsid w:val="000A265D"/>
    <w:rsid w:val="000A2726"/>
    <w:rsid w:val="000A273E"/>
    <w:rsid w:val="000A2A17"/>
    <w:rsid w:val="000A2DA4"/>
    <w:rsid w:val="000A2F03"/>
    <w:rsid w:val="000A3306"/>
    <w:rsid w:val="000A34EE"/>
    <w:rsid w:val="000A3801"/>
    <w:rsid w:val="000A3900"/>
    <w:rsid w:val="000A3A79"/>
    <w:rsid w:val="000A3E05"/>
    <w:rsid w:val="000A3EB6"/>
    <w:rsid w:val="000A3EEA"/>
    <w:rsid w:val="000A4018"/>
    <w:rsid w:val="000A402E"/>
    <w:rsid w:val="000A4077"/>
    <w:rsid w:val="000A41D5"/>
    <w:rsid w:val="000A432D"/>
    <w:rsid w:val="000A44DE"/>
    <w:rsid w:val="000A453A"/>
    <w:rsid w:val="000A4664"/>
    <w:rsid w:val="000A469A"/>
    <w:rsid w:val="000A4A04"/>
    <w:rsid w:val="000A4AF2"/>
    <w:rsid w:val="000A525A"/>
    <w:rsid w:val="000A5465"/>
    <w:rsid w:val="000A550A"/>
    <w:rsid w:val="000A56C2"/>
    <w:rsid w:val="000A58F8"/>
    <w:rsid w:val="000A592B"/>
    <w:rsid w:val="000A5D21"/>
    <w:rsid w:val="000A5D9C"/>
    <w:rsid w:val="000A6098"/>
    <w:rsid w:val="000A60F6"/>
    <w:rsid w:val="000A64CD"/>
    <w:rsid w:val="000A6555"/>
    <w:rsid w:val="000A6609"/>
    <w:rsid w:val="000A67D6"/>
    <w:rsid w:val="000A685C"/>
    <w:rsid w:val="000A6A9F"/>
    <w:rsid w:val="000A6B95"/>
    <w:rsid w:val="000A6C93"/>
    <w:rsid w:val="000A6CD2"/>
    <w:rsid w:val="000A6F1D"/>
    <w:rsid w:val="000A6FB4"/>
    <w:rsid w:val="000A7071"/>
    <w:rsid w:val="000A717F"/>
    <w:rsid w:val="000A7295"/>
    <w:rsid w:val="000A7412"/>
    <w:rsid w:val="000A74A7"/>
    <w:rsid w:val="000A75E2"/>
    <w:rsid w:val="000A76AF"/>
    <w:rsid w:val="000A77DC"/>
    <w:rsid w:val="000A7926"/>
    <w:rsid w:val="000A7B87"/>
    <w:rsid w:val="000A7BB8"/>
    <w:rsid w:val="000A7CEB"/>
    <w:rsid w:val="000A7F1C"/>
    <w:rsid w:val="000B0051"/>
    <w:rsid w:val="000B022C"/>
    <w:rsid w:val="000B0312"/>
    <w:rsid w:val="000B076B"/>
    <w:rsid w:val="000B0845"/>
    <w:rsid w:val="000B0A52"/>
    <w:rsid w:val="000B0FD8"/>
    <w:rsid w:val="000B16B9"/>
    <w:rsid w:val="000B1E06"/>
    <w:rsid w:val="000B1F9F"/>
    <w:rsid w:val="000B1FBB"/>
    <w:rsid w:val="000B20D7"/>
    <w:rsid w:val="000B21F1"/>
    <w:rsid w:val="000B2361"/>
    <w:rsid w:val="000B23D5"/>
    <w:rsid w:val="000B2525"/>
    <w:rsid w:val="000B2786"/>
    <w:rsid w:val="000B2CE6"/>
    <w:rsid w:val="000B2EB9"/>
    <w:rsid w:val="000B2FFF"/>
    <w:rsid w:val="000B32F5"/>
    <w:rsid w:val="000B3323"/>
    <w:rsid w:val="000B338F"/>
    <w:rsid w:val="000B3829"/>
    <w:rsid w:val="000B3941"/>
    <w:rsid w:val="000B4062"/>
    <w:rsid w:val="000B42EC"/>
    <w:rsid w:val="000B4407"/>
    <w:rsid w:val="000B4465"/>
    <w:rsid w:val="000B4489"/>
    <w:rsid w:val="000B46E6"/>
    <w:rsid w:val="000B47A0"/>
    <w:rsid w:val="000B4946"/>
    <w:rsid w:val="000B4993"/>
    <w:rsid w:val="000B4A43"/>
    <w:rsid w:val="000B4C44"/>
    <w:rsid w:val="000B4D3C"/>
    <w:rsid w:val="000B4E78"/>
    <w:rsid w:val="000B51A4"/>
    <w:rsid w:val="000B531E"/>
    <w:rsid w:val="000B5335"/>
    <w:rsid w:val="000B5569"/>
    <w:rsid w:val="000B5688"/>
    <w:rsid w:val="000B56EB"/>
    <w:rsid w:val="000B56F2"/>
    <w:rsid w:val="000B58A6"/>
    <w:rsid w:val="000B5AD1"/>
    <w:rsid w:val="000B5BF2"/>
    <w:rsid w:val="000B5C3F"/>
    <w:rsid w:val="000B5D1C"/>
    <w:rsid w:val="000B5DF3"/>
    <w:rsid w:val="000B60B4"/>
    <w:rsid w:val="000B6134"/>
    <w:rsid w:val="000B632B"/>
    <w:rsid w:val="000B63A6"/>
    <w:rsid w:val="000B6456"/>
    <w:rsid w:val="000B6507"/>
    <w:rsid w:val="000B650F"/>
    <w:rsid w:val="000B65CC"/>
    <w:rsid w:val="000B6610"/>
    <w:rsid w:val="000B6655"/>
    <w:rsid w:val="000B682D"/>
    <w:rsid w:val="000B6965"/>
    <w:rsid w:val="000B6B70"/>
    <w:rsid w:val="000B6D26"/>
    <w:rsid w:val="000B6E0A"/>
    <w:rsid w:val="000B6E52"/>
    <w:rsid w:val="000B6EDD"/>
    <w:rsid w:val="000B6EE7"/>
    <w:rsid w:val="000B6F1F"/>
    <w:rsid w:val="000B7338"/>
    <w:rsid w:val="000B74BC"/>
    <w:rsid w:val="000B7840"/>
    <w:rsid w:val="000B784F"/>
    <w:rsid w:val="000B78E2"/>
    <w:rsid w:val="000B7B3D"/>
    <w:rsid w:val="000B7BA2"/>
    <w:rsid w:val="000B7E03"/>
    <w:rsid w:val="000B7E2F"/>
    <w:rsid w:val="000B7F5F"/>
    <w:rsid w:val="000B7FA6"/>
    <w:rsid w:val="000C0059"/>
    <w:rsid w:val="000C009F"/>
    <w:rsid w:val="000C03EA"/>
    <w:rsid w:val="000C0448"/>
    <w:rsid w:val="000C0548"/>
    <w:rsid w:val="000C05A6"/>
    <w:rsid w:val="000C05FC"/>
    <w:rsid w:val="000C0657"/>
    <w:rsid w:val="000C070E"/>
    <w:rsid w:val="000C0760"/>
    <w:rsid w:val="000C09C1"/>
    <w:rsid w:val="000C0AD3"/>
    <w:rsid w:val="000C0B19"/>
    <w:rsid w:val="000C0C9E"/>
    <w:rsid w:val="000C0E10"/>
    <w:rsid w:val="000C0E23"/>
    <w:rsid w:val="000C0E97"/>
    <w:rsid w:val="000C0EC6"/>
    <w:rsid w:val="000C10E6"/>
    <w:rsid w:val="000C1371"/>
    <w:rsid w:val="000C13E9"/>
    <w:rsid w:val="000C140A"/>
    <w:rsid w:val="000C146D"/>
    <w:rsid w:val="000C15DD"/>
    <w:rsid w:val="000C1857"/>
    <w:rsid w:val="000C1CD1"/>
    <w:rsid w:val="000C2234"/>
    <w:rsid w:val="000C25FC"/>
    <w:rsid w:val="000C2838"/>
    <w:rsid w:val="000C2906"/>
    <w:rsid w:val="000C2939"/>
    <w:rsid w:val="000C295C"/>
    <w:rsid w:val="000C2B1E"/>
    <w:rsid w:val="000C2BD8"/>
    <w:rsid w:val="000C30E6"/>
    <w:rsid w:val="000C367A"/>
    <w:rsid w:val="000C3881"/>
    <w:rsid w:val="000C38FB"/>
    <w:rsid w:val="000C3B9C"/>
    <w:rsid w:val="000C3C4E"/>
    <w:rsid w:val="000C3C56"/>
    <w:rsid w:val="000C4084"/>
    <w:rsid w:val="000C4089"/>
    <w:rsid w:val="000C4630"/>
    <w:rsid w:val="000C471F"/>
    <w:rsid w:val="000C48C2"/>
    <w:rsid w:val="000C49B5"/>
    <w:rsid w:val="000C49F3"/>
    <w:rsid w:val="000C4A38"/>
    <w:rsid w:val="000C4CF6"/>
    <w:rsid w:val="000C4DA8"/>
    <w:rsid w:val="000C4E57"/>
    <w:rsid w:val="000C4E7F"/>
    <w:rsid w:val="000C4F35"/>
    <w:rsid w:val="000C4F3C"/>
    <w:rsid w:val="000C4FDA"/>
    <w:rsid w:val="000C523D"/>
    <w:rsid w:val="000C5253"/>
    <w:rsid w:val="000C54E2"/>
    <w:rsid w:val="000C578E"/>
    <w:rsid w:val="000C58C7"/>
    <w:rsid w:val="000C5A3D"/>
    <w:rsid w:val="000C5B7D"/>
    <w:rsid w:val="000C5D18"/>
    <w:rsid w:val="000C65FA"/>
    <w:rsid w:val="000C6671"/>
    <w:rsid w:val="000C69A6"/>
    <w:rsid w:val="000C6B62"/>
    <w:rsid w:val="000C6DD0"/>
    <w:rsid w:val="000C70AE"/>
    <w:rsid w:val="000C70AF"/>
    <w:rsid w:val="000C73A5"/>
    <w:rsid w:val="000C7468"/>
    <w:rsid w:val="000C7760"/>
    <w:rsid w:val="000C7763"/>
    <w:rsid w:val="000C7A03"/>
    <w:rsid w:val="000C7BA5"/>
    <w:rsid w:val="000C7C04"/>
    <w:rsid w:val="000C7C0E"/>
    <w:rsid w:val="000C7DAF"/>
    <w:rsid w:val="000D00CE"/>
    <w:rsid w:val="000D00FD"/>
    <w:rsid w:val="000D03A9"/>
    <w:rsid w:val="000D0739"/>
    <w:rsid w:val="000D0803"/>
    <w:rsid w:val="000D0BF1"/>
    <w:rsid w:val="000D1207"/>
    <w:rsid w:val="000D1460"/>
    <w:rsid w:val="000D149A"/>
    <w:rsid w:val="000D14A4"/>
    <w:rsid w:val="000D14AE"/>
    <w:rsid w:val="000D14D2"/>
    <w:rsid w:val="000D14F9"/>
    <w:rsid w:val="000D16F1"/>
    <w:rsid w:val="000D1974"/>
    <w:rsid w:val="000D1AE1"/>
    <w:rsid w:val="000D1D8A"/>
    <w:rsid w:val="000D204E"/>
    <w:rsid w:val="000D208D"/>
    <w:rsid w:val="000D211A"/>
    <w:rsid w:val="000D21A1"/>
    <w:rsid w:val="000D21F4"/>
    <w:rsid w:val="000D248D"/>
    <w:rsid w:val="000D25EE"/>
    <w:rsid w:val="000D270C"/>
    <w:rsid w:val="000D2710"/>
    <w:rsid w:val="000D2725"/>
    <w:rsid w:val="000D27AE"/>
    <w:rsid w:val="000D29F8"/>
    <w:rsid w:val="000D2B53"/>
    <w:rsid w:val="000D2B6C"/>
    <w:rsid w:val="000D2B7C"/>
    <w:rsid w:val="000D2CF3"/>
    <w:rsid w:val="000D2DA5"/>
    <w:rsid w:val="000D2DC6"/>
    <w:rsid w:val="000D2E3B"/>
    <w:rsid w:val="000D3098"/>
    <w:rsid w:val="000D31FE"/>
    <w:rsid w:val="000D33AE"/>
    <w:rsid w:val="000D33EF"/>
    <w:rsid w:val="000D375A"/>
    <w:rsid w:val="000D394C"/>
    <w:rsid w:val="000D4018"/>
    <w:rsid w:val="000D4154"/>
    <w:rsid w:val="000D419A"/>
    <w:rsid w:val="000D421E"/>
    <w:rsid w:val="000D4304"/>
    <w:rsid w:val="000D43DA"/>
    <w:rsid w:val="000D47E1"/>
    <w:rsid w:val="000D4999"/>
    <w:rsid w:val="000D4AB4"/>
    <w:rsid w:val="000D4C2C"/>
    <w:rsid w:val="000D4C32"/>
    <w:rsid w:val="000D4CC9"/>
    <w:rsid w:val="000D4CE4"/>
    <w:rsid w:val="000D57E7"/>
    <w:rsid w:val="000D5868"/>
    <w:rsid w:val="000D589F"/>
    <w:rsid w:val="000D595D"/>
    <w:rsid w:val="000D5CE3"/>
    <w:rsid w:val="000D5EB9"/>
    <w:rsid w:val="000D5F8B"/>
    <w:rsid w:val="000D6259"/>
    <w:rsid w:val="000D64E5"/>
    <w:rsid w:val="000D654E"/>
    <w:rsid w:val="000D65BA"/>
    <w:rsid w:val="000D66F2"/>
    <w:rsid w:val="000D68C6"/>
    <w:rsid w:val="000D6AFB"/>
    <w:rsid w:val="000D6B14"/>
    <w:rsid w:val="000D6DE4"/>
    <w:rsid w:val="000D6EF6"/>
    <w:rsid w:val="000D73EB"/>
    <w:rsid w:val="000D744A"/>
    <w:rsid w:val="000D747D"/>
    <w:rsid w:val="000D77C2"/>
    <w:rsid w:val="000D7CC7"/>
    <w:rsid w:val="000D7F4C"/>
    <w:rsid w:val="000E0014"/>
    <w:rsid w:val="000E018B"/>
    <w:rsid w:val="000E01A4"/>
    <w:rsid w:val="000E0487"/>
    <w:rsid w:val="000E09F8"/>
    <w:rsid w:val="000E0A65"/>
    <w:rsid w:val="000E0B55"/>
    <w:rsid w:val="000E0C15"/>
    <w:rsid w:val="000E0C4C"/>
    <w:rsid w:val="000E0F08"/>
    <w:rsid w:val="000E0F69"/>
    <w:rsid w:val="000E1360"/>
    <w:rsid w:val="000E17C3"/>
    <w:rsid w:val="000E1A97"/>
    <w:rsid w:val="000E1BB1"/>
    <w:rsid w:val="000E1E57"/>
    <w:rsid w:val="000E1F37"/>
    <w:rsid w:val="000E2079"/>
    <w:rsid w:val="000E210A"/>
    <w:rsid w:val="000E2118"/>
    <w:rsid w:val="000E2160"/>
    <w:rsid w:val="000E21F6"/>
    <w:rsid w:val="000E2348"/>
    <w:rsid w:val="000E2508"/>
    <w:rsid w:val="000E27EA"/>
    <w:rsid w:val="000E285A"/>
    <w:rsid w:val="000E2B6E"/>
    <w:rsid w:val="000E2E92"/>
    <w:rsid w:val="000E2ED5"/>
    <w:rsid w:val="000E2FD2"/>
    <w:rsid w:val="000E304B"/>
    <w:rsid w:val="000E308F"/>
    <w:rsid w:val="000E315E"/>
    <w:rsid w:val="000E3249"/>
    <w:rsid w:val="000E3594"/>
    <w:rsid w:val="000E397D"/>
    <w:rsid w:val="000E3A82"/>
    <w:rsid w:val="000E3C5D"/>
    <w:rsid w:val="000E3E9B"/>
    <w:rsid w:val="000E41AF"/>
    <w:rsid w:val="000E4449"/>
    <w:rsid w:val="000E4621"/>
    <w:rsid w:val="000E468A"/>
    <w:rsid w:val="000E4A9E"/>
    <w:rsid w:val="000E4CC5"/>
    <w:rsid w:val="000E4D9C"/>
    <w:rsid w:val="000E4F38"/>
    <w:rsid w:val="000E5014"/>
    <w:rsid w:val="000E507B"/>
    <w:rsid w:val="000E509B"/>
    <w:rsid w:val="000E50F5"/>
    <w:rsid w:val="000E5190"/>
    <w:rsid w:val="000E53D4"/>
    <w:rsid w:val="000E58D8"/>
    <w:rsid w:val="000E5AD6"/>
    <w:rsid w:val="000E5B3B"/>
    <w:rsid w:val="000E5E1F"/>
    <w:rsid w:val="000E5E4F"/>
    <w:rsid w:val="000E5F1F"/>
    <w:rsid w:val="000E61BC"/>
    <w:rsid w:val="000E664C"/>
    <w:rsid w:val="000E66C3"/>
    <w:rsid w:val="000E6732"/>
    <w:rsid w:val="000E7042"/>
    <w:rsid w:val="000E7181"/>
    <w:rsid w:val="000E727F"/>
    <w:rsid w:val="000E72F0"/>
    <w:rsid w:val="000E73EA"/>
    <w:rsid w:val="000E7745"/>
    <w:rsid w:val="000E7998"/>
    <w:rsid w:val="000E7C02"/>
    <w:rsid w:val="000E7E39"/>
    <w:rsid w:val="000F0338"/>
    <w:rsid w:val="000F05E9"/>
    <w:rsid w:val="000F0638"/>
    <w:rsid w:val="000F07A4"/>
    <w:rsid w:val="000F0806"/>
    <w:rsid w:val="000F0811"/>
    <w:rsid w:val="000F0852"/>
    <w:rsid w:val="000F09AF"/>
    <w:rsid w:val="000F09D1"/>
    <w:rsid w:val="000F0AD7"/>
    <w:rsid w:val="000F0B01"/>
    <w:rsid w:val="000F0C6E"/>
    <w:rsid w:val="000F0F20"/>
    <w:rsid w:val="000F0F51"/>
    <w:rsid w:val="000F110F"/>
    <w:rsid w:val="000F118D"/>
    <w:rsid w:val="000F1236"/>
    <w:rsid w:val="000F168C"/>
    <w:rsid w:val="000F1848"/>
    <w:rsid w:val="000F1CDE"/>
    <w:rsid w:val="000F1F11"/>
    <w:rsid w:val="000F2015"/>
    <w:rsid w:val="000F23DD"/>
    <w:rsid w:val="000F24F8"/>
    <w:rsid w:val="000F2A9B"/>
    <w:rsid w:val="000F2D25"/>
    <w:rsid w:val="000F3019"/>
    <w:rsid w:val="000F31B5"/>
    <w:rsid w:val="000F371B"/>
    <w:rsid w:val="000F3734"/>
    <w:rsid w:val="000F3A9A"/>
    <w:rsid w:val="000F3C0E"/>
    <w:rsid w:val="000F3CAD"/>
    <w:rsid w:val="000F3DBC"/>
    <w:rsid w:val="000F3E31"/>
    <w:rsid w:val="000F3FA1"/>
    <w:rsid w:val="000F402F"/>
    <w:rsid w:val="000F4162"/>
    <w:rsid w:val="000F425B"/>
    <w:rsid w:val="000F42D6"/>
    <w:rsid w:val="000F4389"/>
    <w:rsid w:val="000F450A"/>
    <w:rsid w:val="000F4542"/>
    <w:rsid w:val="000F47D9"/>
    <w:rsid w:val="000F493B"/>
    <w:rsid w:val="000F4A3A"/>
    <w:rsid w:val="000F4A58"/>
    <w:rsid w:val="000F4ADE"/>
    <w:rsid w:val="000F4B95"/>
    <w:rsid w:val="000F4DBF"/>
    <w:rsid w:val="000F4E48"/>
    <w:rsid w:val="000F5222"/>
    <w:rsid w:val="000F5652"/>
    <w:rsid w:val="000F5769"/>
    <w:rsid w:val="000F5A8A"/>
    <w:rsid w:val="000F5E69"/>
    <w:rsid w:val="000F6109"/>
    <w:rsid w:val="000F624B"/>
    <w:rsid w:val="000F66D3"/>
    <w:rsid w:val="000F686B"/>
    <w:rsid w:val="000F69DB"/>
    <w:rsid w:val="000F6AA7"/>
    <w:rsid w:val="000F6AB6"/>
    <w:rsid w:val="000F6BBE"/>
    <w:rsid w:val="000F6E0E"/>
    <w:rsid w:val="000F7046"/>
    <w:rsid w:val="000F7762"/>
    <w:rsid w:val="000F7D93"/>
    <w:rsid w:val="000F7EE2"/>
    <w:rsid w:val="001001F1"/>
    <w:rsid w:val="00100219"/>
    <w:rsid w:val="001007EB"/>
    <w:rsid w:val="0010086A"/>
    <w:rsid w:val="00100AB4"/>
    <w:rsid w:val="00100ACF"/>
    <w:rsid w:val="00100C03"/>
    <w:rsid w:val="00100DE1"/>
    <w:rsid w:val="00101089"/>
    <w:rsid w:val="00101183"/>
    <w:rsid w:val="00101660"/>
    <w:rsid w:val="00101921"/>
    <w:rsid w:val="00101937"/>
    <w:rsid w:val="00101E85"/>
    <w:rsid w:val="00102171"/>
    <w:rsid w:val="0010223D"/>
    <w:rsid w:val="00102378"/>
    <w:rsid w:val="001024B3"/>
    <w:rsid w:val="00102771"/>
    <w:rsid w:val="0010277C"/>
    <w:rsid w:val="0010282F"/>
    <w:rsid w:val="00102A8E"/>
    <w:rsid w:val="00102CCA"/>
    <w:rsid w:val="00102DFE"/>
    <w:rsid w:val="00103071"/>
    <w:rsid w:val="00103090"/>
    <w:rsid w:val="00103228"/>
    <w:rsid w:val="0010330F"/>
    <w:rsid w:val="00103390"/>
    <w:rsid w:val="001034A1"/>
    <w:rsid w:val="001038DE"/>
    <w:rsid w:val="00103924"/>
    <w:rsid w:val="001039AF"/>
    <w:rsid w:val="00103AB0"/>
    <w:rsid w:val="00103B0C"/>
    <w:rsid w:val="00103D1F"/>
    <w:rsid w:val="001042DA"/>
    <w:rsid w:val="0010462B"/>
    <w:rsid w:val="00104658"/>
    <w:rsid w:val="00104946"/>
    <w:rsid w:val="0010494E"/>
    <w:rsid w:val="00104957"/>
    <w:rsid w:val="00104A91"/>
    <w:rsid w:val="00104BBA"/>
    <w:rsid w:val="00104CFD"/>
    <w:rsid w:val="00104DDF"/>
    <w:rsid w:val="00104EAB"/>
    <w:rsid w:val="00104EB8"/>
    <w:rsid w:val="00104F87"/>
    <w:rsid w:val="00105053"/>
    <w:rsid w:val="001051E0"/>
    <w:rsid w:val="00105477"/>
    <w:rsid w:val="001055A9"/>
    <w:rsid w:val="00105631"/>
    <w:rsid w:val="001057BB"/>
    <w:rsid w:val="001059CA"/>
    <w:rsid w:val="00105A08"/>
    <w:rsid w:val="00105A8D"/>
    <w:rsid w:val="00105B6D"/>
    <w:rsid w:val="00105C87"/>
    <w:rsid w:val="00105E08"/>
    <w:rsid w:val="00106234"/>
    <w:rsid w:val="00106594"/>
    <w:rsid w:val="001067BB"/>
    <w:rsid w:val="0010691B"/>
    <w:rsid w:val="00106949"/>
    <w:rsid w:val="001069C0"/>
    <w:rsid w:val="00106CD4"/>
    <w:rsid w:val="00106D49"/>
    <w:rsid w:val="00107092"/>
    <w:rsid w:val="001071AF"/>
    <w:rsid w:val="001072AD"/>
    <w:rsid w:val="0010749C"/>
    <w:rsid w:val="00107818"/>
    <w:rsid w:val="00107A2F"/>
    <w:rsid w:val="00107AAD"/>
    <w:rsid w:val="00107E6E"/>
    <w:rsid w:val="00107FA0"/>
    <w:rsid w:val="00110131"/>
    <w:rsid w:val="001102F2"/>
    <w:rsid w:val="001103BB"/>
    <w:rsid w:val="00110964"/>
    <w:rsid w:val="00110A43"/>
    <w:rsid w:val="00110C48"/>
    <w:rsid w:val="00110C74"/>
    <w:rsid w:val="00110DB4"/>
    <w:rsid w:val="00110DB5"/>
    <w:rsid w:val="0011115A"/>
    <w:rsid w:val="001111A2"/>
    <w:rsid w:val="001112B2"/>
    <w:rsid w:val="00111340"/>
    <w:rsid w:val="001115CC"/>
    <w:rsid w:val="001116D1"/>
    <w:rsid w:val="0011174C"/>
    <w:rsid w:val="0011186B"/>
    <w:rsid w:val="00111884"/>
    <w:rsid w:val="001118B9"/>
    <w:rsid w:val="00111AC0"/>
    <w:rsid w:val="00111B00"/>
    <w:rsid w:val="00111D2F"/>
    <w:rsid w:val="00111E0F"/>
    <w:rsid w:val="00111E1C"/>
    <w:rsid w:val="00111FEF"/>
    <w:rsid w:val="00111FFC"/>
    <w:rsid w:val="0011227F"/>
    <w:rsid w:val="001124B9"/>
    <w:rsid w:val="00112583"/>
    <w:rsid w:val="0011258F"/>
    <w:rsid w:val="00112815"/>
    <w:rsid w:val="001128A2"/>
    <w:rsid w:val="00112A11"/>
    <w:rsid w:val="00112B81"/>
    <w:rsid w:val="00112EFD"/>
    <w:rsid w:val="001131C6"/>
    <w:rsid w:val="001135AC"/>
    <w:rsid w:val="001137F0"/>
    <w:rsid w:val="00113868"/>
    <w:rsid w:val="001138FC"/>
    <w:rsid w:val="001139C9"/>
    <w:rsid w:val="00113AFC"/>
    <w:rsid w:val="00113C50"/>
    <w:rsid w:val="00113D0E"/>
    <w:rsid w:val="00113D5C"/>
    <w:rsid w:val="00113D9F"/>
    <w:rsid w:val="00113ED0"/>
    <w:rsid w:val="0011421E"/>
    <w:rsid w:val="001142DA"/>
    <w:rsid w:val="00114533"/>
    <w:rsid w:val="0011476A"/>
    <w:rsid w:val="001148D7"/>
    <w:rsid w:val="00114F25"/>
    <w:rsid w:val="00114FAF"/>
    <w:rsid w:val="00115042"/>
    <w:rsid w:val="0011515C"/>
    <w:rsid w:val="001151B7"/>
    <w:rsid w:val="001151C4"/>
    <w:rsid w:val="0011545E"/>
    <w:rsid w:val="001154A0"/>
    <w:rsid w:val="00115A54"/>
    <w:rsid w:val="00115DF7"/>
    <w:rsid w:val="001160E2"/>
    <w:rsid w:val="0011636D"/>
    <w:rsid w:val="001163B0"/>
    <w:rsid w:val="0011645F"/>
    <w:rsid w:val="00116751"/>
    <w:rsid w:val="00116C4F"/>
    <w:rsid w:val="00116CD2"/>
    <w:rsid w:val="00116FA8"/>
    <w:rsid w:val="00117179"/>
    <w:rsid w:val="00117189"/>
    <w:rsid w:val="001175AD"/>
    <w:rsid w:val="00117789"/>
    <w:rsid w:val="00117B20"/>
    <w:rsid w:val="00117E37"/>
    <w:rsid w:val="00117E89"/>
    <w:rsid w:val="001200FF"/>
    <w:rsid w:val="00120121"/>
    <w:rsid w:val="0012042B"/>
    <w:rsid w:val="0012048C"/>
    <w:rsid w:val="001204AD"/>
    <w:rsid w:val="001206B8"/>
    <w:rsid w:val="001206FE"/>
    <w:rsid w:val="00120762"/>
    <w:rsid w:val="001210B1"/>
    <w:rsid w:val="001211F7"/>
    <w:rsid w:val="001212A0"/>
    <w:rsid w:val="001218BA"/>
    <w:rsid w:val="00121A0C"/>
    <w:rsid w:val="00121B80"/>
    <w:rsid w:val="00121E8E"/>
    <w:rsid w:val="00121F1D"/>
    <w:rsid w:val="001220D2"/>
    <w:rsid w:val="00122393"/>
    <w:rsid w:val="0012245D"/>
    <w:rsid w:val="001224A3"/>
    <w:rsid w:val="001225F5"/>
    <w:rsid w:val="00122C36"/>
    <w:rsid w:val="00122F0D"/>
    <w:rsid w:val="0012321D"/>
    <w:rsid w:val="00123268"/>
    <w:rsid w:val="00123335"/>
    <w:rsid w:val="00123581"/>
    <w:rsid w:val="00123707"/>
    <w:rsid w:val="00123964"/>
    <w:rsid w:val="00123ACC"/>
    <w:rsid w:val="00123B1E"/>
    <w:rsid w:val="00123C92"/>
    <w:rsid w:val="00123CEA"/>
    <w:rsid w:val="00123EDF"/>
    <w:rsid w:val="00123F4F"/>
    <w:rsid w:val="0012413F"/>
    <w:rsid w:val="00124395"/>
    <w:rsid w:val="0012441C"/>
    <w:rsid w:val="00124553"/>
    <w:rsid w:val="001245A7"/>
    <w:rsid w:val="001245B1"/>
    <w:rsid w:val="001248A2"/>
    <w:rsid w:val="001248BF"/>
    <w:rsid w:val="00124C95"/>
    <w:rsid w:val="00124DB8"/>
    <w:rsid w:val="00124F00"/>
    <w:rsid w:val="001253AA"/>
    <w:rsid w:val="001253F5"/>
    <w:rsid w:val="0012544C"/>
    <w:rsid w:val="00125743"/>
    <w:rsid w:val="001257C2"/>
    <w:rsid w:val="001257FA"/>
    <w:rsid w:val="001260E8"/>
    <w:rsid w:val="001261E1"/>
    <w:rsid w:val="00126235"/>
    <w:rsid w:val="0012633B"/>
    <w:rsid w:val="001265AF"/>
    <w:rsid w:val="00126847"/>
    <w:rsid w:val="001268E4"/>
    <w:rsid w:val="00126F2A"/>
    <w:rsid w:val="00126F5D"/>
    <w:rsid w:val="00127365"/>
    <w:rsid w:val="0012736C"/>
    <w:rsid w:val="0012738B"/>
    <w:rsid w:val="001273E0"/>
    <w:rsid w:val="00127443"/>
    <w:rsid w:val="00127671"/>
    <w:rsid w:val="001276C2"/>
    <w:rsid w:val="0012776F"/>
    <w:rsid w:val="0012778B"/>
    <w:rsid w:val="001277B1"/>
    <w:rsid w:val="0012784C"/>
    <w:rsid w:val="00127873"/>
    <w:rsid w:val="00127B01"/>
    <w:rsid w:val="00127C7E"/>
    <w:rsid w:val="0013010C"/>
    <w:rsid w:val="001302A8"/>
    <w:rsid w:val="0013057E"/>
    <w:rsid w:val="0013082D"/>
    <w:rsid w:val="00130ABB"/>
    <w:rsid w:val="00130BB0"/>
    <w:rsid w:val="00130BD6"/>
    <w:rsid w:val="00130BDE"/>
    <w:rsid w:val="00130E27"/>
    <w:rsid w:val="00130FFF"/>
    <w:rsid w:val="0013108A"/>
    <w:rsid w:val="0013125A"/>
    <w:rsid w:val="001313B7"/>
    <w:rsid w:val="00131435"/>
    <w:rsid w:val="00131541"/>
    <w:rsid w:val="001316EE"/>
    <w:rsid w:val="00131752"/>
    <w:rsid w:val="00131823"/>
    <w:rsid w:val="001319F4"/>
    <w:rsid w:val="00131C28"/>
    <w:rsid w:val="00131F41"/>
    <w:rsid w:val="0013203A"/>
    <w:rsid w:val="00132315"/>
    <w:rsid w:val="0013243F"/>
    <w:rsid w:val="001326D7"/>
    <w:rsid w:val="0013270A"/>
    <w:rsid w:val="0013274F"/>
    <w:rsid w:val="001329A7"/>
    <w:rsid w:val="00132A7B"/>
    <w:rsid w:val="00132B9C"/>
    <w:rsid w:val="00132BB3"/>
    <w:rsid w:val="00132CB3"/>
    <w:rsid w:val="00132CFA"/>
    <w:rsid w:val="0013302B"/>
    <w:rsid w:val="0013325A"/>
    <w:rsid w:val="00133B62"/>
    <w:rsid w:val="00133B6F"/>
    <w:rsid w:val="00133C48"/>
    <w:rsid w:val="00133C79"/>
    <w:rsid w:val="00133ECE"/>
    <w:rsid w:val="0013409B"/>
    <w:rsid w:val="00134293"/>
    <w:rsid w:val="001343D8"/>
    <w:rsid w:val="001344B3"/>
    <w:rsid w:val="00134567"/>
    <w:rsid w:val="001346BD"/>
    <w:rsid w:val="001346DE"/>
    <w:rsid w:val="00134905"/>
    <w:rsid w:val="00134D1C"/>
    <w:rsid w:val="00134D26"/>
    <w:rsid w:val="00134EB7"/>
    <w:rsid w:val="0013524D"/>
    <w:rsid w:val="00135286"/>
    <w:rsid w:val="001352E0"/>
    <w:rsid w:val="00135344"/>
    <w:rsid w:val="0013544A"/>
    <w:rsid w:val="0013589B"/>
    <w:rsid w:val="001358A8"/>
    <w:rsid w:val="001359C2"/>
    <w:rsid w:val="00135B36"/>
    <w:rsid w:val="00135E0E"/>
    <w:rsid w:val="00136143"/>
    <w:rsid w:val="0013626C"/>
    <w:rsid w:val="00136498"/>
    <w:rsid w:val="001364AD"/>
    <w:rsid w:val="00136536"/>
    <w:rsid w:val="00136537"/>
    <w:rsid w:val="001366B4"/>
    <w:rsid w:val="00136787"/>
    <w:rsid w:val="001368AA"/>
    <w:rsid w:val="00136C10"/>
    <w:rsid w:val="00136D35"/>
    <w:rsid w:val="00136F8A"/>
    <w:rsid w:val="0013705C"/>
    <w:rsid w:val="00137081"/>
    <w:rsid w:val="001370E5"/>
    <w:rsid w:val="00137482"/>
    <w:rsid w:val="00137528"/>
    <w:rsid w:val="001375F3"/>
    <w:rsid w:val="00137A32"/>
    <w:rsid w:val="00137CA6"/>
    <w:rsid w:val="00140043"/>
    <w:rsid w:val="001403AB"/>
    <w:rsid w:val="001404B6"/>
    <w:rsid w:val="001404D3"/>
    <w:rsid w:val="001405A6"/>
    <w:rsid w:val="001406E2"/>
    <w:rsid w:val="001406F3"/>
    <w:rsid w:val="00140752"/>
    <w:rsid w:val="001407A5"/>
    <w:rsid w:val="001409DB"/>
    <w:rsid w:val="00140A33"/>
    <w:rsid w:val="00140C43"/>
    <w:rsid w:val="00140EC8"/>
    <w:rsid w:val="001411E9"/>
    <w:rsid w:val="00141325"/>
    <w:rsid w:val="00141629"/>
    <w:rsid w:val="001416B1"/>
    <w:rsid w:val="001417E4"/>
    <w:rsid w:val="001419D7"/>
    <w:rsid w:val="00141AAE"/>
    <w:rsid w:val="00141C64"/>
    <w:rsid w:val="00141CC3"/>
    <w:rsid w:val="00141D53"/>
    <w:rsid w:val="00141F0D"/>
    <w:rsid w:val="00141F5C"/>
    <w:rsid w:val="001423B2"/>
    <w:rsid w:val="001424E9"/>
    <w:rsid w:val="00142798"/>
    <w:rsid w:val="00142C5D"/>
    <w:rsid w:val="0014309B"/>
    <w:rsid w:val="00143302"/>
    <w:rsid w:val="00143350"/>
    <w:rsid w:val="001433DA"/>
    <w:rsid w:val="00143537"/>
    <w:rsid w:val="00143698"/>
    <w:rsid w:val="001436CB"/>
    <w:rsid w:val="00143759"/>
    <w:rsid w:val="001437A7"/>
    <w:rsid w:val="00143849"/>
    <w:rsid w:val="001439AF"/>
    <w:rsid w:val="00143C7C"/>
    <w:rsid w:val="00143C96"/>
    <w:rsid w:val="00144391"/>
    <w:rsid w:val="001446F1"/>
    <w:rsid w:val="00144772"/>
    <w:rsid w:val="00144906"/>
    <w:rsid w:val="00144BF1"/>
    <w:rsid w:val="00144C54"/>
    <w:rsid w:val="00144C84"/>
    <w:rsid w:val="00144D9D"/>
    <w:rsid w:val="00144DA7"/>
    <w:rsid w:val="00144F5E"/>
    <w:rsid w:val="00144F71"/>
    <w:rsid w:val="00145245"/>
    <w:rsid w:val="001459B7"/>
    <w:rsid w:val="00145AFF"/>
    <w:rsid w:val="00145CF5"/>
    <w:rsid w:val="00145FF9"/>
    <w:rsid w:val="00146000"/>
    <w:rsid w:val="0014628E"/>
    <w:rsid w:val="00146467"/>
    <w:rsid w:val="0014658F"/>
    <w:rsid w:val="0014664A"/>
    <w:rsid w:val="00146B40"/>
    <w:rsid w:val="00146B86"/>
    <w:rsid w:val="00146D75"/>
    <w:rsid w:val="00146DCF"/>
    <w:rsid w:val="00146F1A"/>
    <w:rsid w:val="0014703F"/>
    <w:rsid w:val="00147054"/>
    <w:rsid w:val="00147281"/>
    <w:rsid w:val="001473A3"/>
    <w:rsid w:val="0014764D"/>
    <w:rsid w:val="001476C2"/>
    <w:rsid w:val="00147880"/>
    <w:rsid w:val="00147996"/>
    <w:rsid w:val="00147C63"/>
    <w:rsid w:val="00147CBF"/>
    <w:rsid w:val="00147CE2"/>
    <w:rsid w:val="00147D8C"/>
    <w:rsid w:val="00147F77"/>
    <w:rsid w:val="001501A8"/>
    <w:rsid w:val="00150559"/>
    <w:rsid w:val="00150772"/>
    <w:rsid w:val="00150971"/>
    <w:rsid w:val="00150B4B"/>
    <w:rsid w:val="001511BA"/>
    <w:rsid w:val="001514C3"/>
    <w:rsid w:val="00151957"/>
    <w:rsid w:val="00151A85"/>
    <w:rsid w:val="00151B9B"/>
    <w:rsid w:val="00151E64"/>
    <w:rsid w:val="00151F35"/>
    <w:rsid w:val="00151FBD"/>
    <w:rsid w:val="0015229D"/>
    <w:rsid w:val="001524AF"/>
    <w:rsid w:val="0015251A"/>
    <w:rsid w:val="00152539"/>
    <w:rsid w:val="0015266E"/>
    <w:rsid w:val="00152742"/>
    <w:rsid w:val="00152757"/>
    <w:rsid w:val="001527FD"/>
    <w:rsid w:val="0015282C"/>
    <w:rsid w:val="00152BF7"/>
    <w:rsid w:val="00152C43"/>
    <w:rsid w:val="00152C61"/>
    <w:rsid w:val="00152C78"/>
    <w:rsid w:val="00153299"/>
    <w:rsid w:val="0015366C"/>
    <w:rsid w:val="00153713"/>
    <w:rsid w:val="001537BB"/>
    <w:rsid w:val="00153852"/>
    <w:rsid w:val="00153947"/>
    <w:rsid w:val="00153AA9"/>
    <w:rsid w:val="00153BB4"/>
    <w:rsid w:val="00153C07"/>
    <w:rsid w:val="00153CB0"/>
    <w:rsid w:val="00153CB5"/>
    <w:rsid w:val="00154000"/>
    <w:rsid w:val="001540D6"/>
    <w:rsid w:val="001540D8"/>
    <w:rsid w:val="001542DF"/>
    <w:rsid w:val="001543D6"/>
    <w:rsid w:val="001549C2"/>
    <w:rsid w:val="00154C5C"/>
    <w:rsid w:val="00154CC6"/>
    <w:rsid w:val="00154D6C"/>
    <w:rsid w:val="00154E0E"/>
    <w:rsid w:val="00155306"/>
    <w:rsid w:val="00155307"/>
    <w:rsid w:val="001553CE"/>
    <w:rsid w:val="00155493"/>
    <w:rsid w:val="0015589C"/>
    <w:rsid w:val="00155B72"/>
    <w:rsid w:val="00155DA4"/>
    <w:rsid w:val="00156281"/>
    <w:rsid w:val="0015628E"/>
    <w:rsid w:val="00156525"/>
    <w:rsid w:val="00156753"/>
    <w:rsid w:val="001567BE"/>
    <w:rsid w:val="0015697E"/>
    <w:rsid w:val="001569F1"/>
    <w:rsid w:val="00156A8A"/>
    <w:rsid w:val="00156AFB"/>
    <w:rsid w:val="00156B7E"/>
    <w:rsid w:val="00156C39"/>
    <w:rsid w:val="00156E5A"/>
    <w:rsid w:val="00156EE8"/>
    <w:rsid w:val="00156F99"/>
    <w:rsid w:val="00157043"/>
    <w:rsid w:val="0015732F"/>
    <w:rsid w:val="00157650"/>
    <w:rsid w:val="001579B7"/>
    <w:rsid w:val="00157CBC"/>
    <w:rsid w:val="00160155"/>
    <w:rsid w:val="00160832"/>
    <w:rsid w:val="0016087B"/>
    <w:rsid w:val="00160A3F"/>
    <w:rsid w:val="00160CC3"/>
    <w:rsid w:val="00160D84"/>
    <w:rsid w:val="00160EAE"/>
    <w:rsid w:val="00160F84"/>
    <w:rsid w:val="00161057"/>
    <w:rsid w:val="00161495"/>
    <w:rsid w:val="00161783"/>
    <w:rsid w:val="00161A14"/>
    <w:rsid w:val="00161A5B"/>
    <w:rsid w:val="00161ADC"/>
    <w:rsid w:val="00161E96"/>
    <w:rsid w:val="00161EB2"/>
    <w:rsid w:val="00161EC2"/>
    <w:rsid w:val="00162130"/>
    <w:rsid w:val="00162247"/>
    <w:rsid w:val="00162324"/>
    <w:rsid w:val="00162378"/>
    <w:rsid w:val="001624C7"/>
    <w:rsid w:val="001624EC"/>
    <w:rsid w:val="001625CD"/>
    <w:rsid w:val="0016265B"/>
    <w:rsid w:val="00162A2B"/>
    <w:rsid w:val="00162B7E"/>
    <w:rsid w:val="00162F2A"/>
    <w:rsid w:val="00162F5B"/>
    <w:rsid w:val="00162FD3"/>
    <w:rsid w:val="001631EC"/>
    <w:rsid w:val="001631F3"/>
    <w:rsid w:val="001632D9"/>
    <w:rsid w:val="001634AD"/>
    <w:rsid w:val="00163583"/>
    <w:rsid w:val="001635F5"/>
    <w:rsid w:val="001636CC"/>
    <w:rsid w:val="00163956"/>
    <w:rsid w:val="00163960"/>
    <w:rsid w:val="00163993"/>
    <w:rsid w:val="00163D20"/>
    <w:rsid w:val="001640EA"/>
    <w:rsid w:val="0016450F"/>
    <w:rsid w:val="00164532"/>
    <w:rsid w:val="001645EB"/>
    <w:rsid w:val="001646F5"/>
    <w:rsid w:val="00164877"/>
    <w:rsid w:val="0016495E"/>
    <w:rsid w:val="00164965"/>
    <w:rsid w:val="00164ADC"/>
    <w:rsid w:val="00164AE5"/>
    <w:rsid w:val="00164B10"/>
    <w:rsid w:val="00164FF9"/>
    <w:rsid w:val="001653E9"/>
    <w:rsid w:val="001653FA"/>
    <w:rsid w:val="001654F6"/>
    <w:rsid w:val="0016562D"/>
    <w:rsid w:val="0016570C"/>
    <w:rsid w:val="0016571C"/>
    <w:rsid w:val="0016574E"/>
    <w:rsid w:val="00165763"/>
    <w:rsid w:val="00165895"/>
    <w:rsid w:val="001658E6"/>
    <w:rsid w:val="0016594A"/>
    <w:rsid w:val="001659E5"/>
    <w:rsid w:val="00165DF5"/>
    <w:rsid w:val="00165DF8"/>
    <w:rsid w:val="0016602D"/>
    <w:rsid w:val="001660F0"/>
    <w:rsid w:val="0016613B"/>
    <w:rsid w:val="00166159"/>
    <w:rsid w:val="0016663F"/>
    <w:rsid w:val="0016665A"/>
    <w:rsid w:val="00166771"/>
    <w:rsid w:val="001667EE"/>
    <w:rsid w:val="00166833"/>
    <w:rsid w:val="0016692F"/>
    <w:rsid w:val="00166FAE"/>
    <w:rsid w:val="001671EE"/>
    <w:rsid w:val="001672A7"/>
    <w:rsid w:val="00167779"/>
    <w:rsid w:val="0016785F"/>
    <w:rsid w:val="00167CD6"/>
    <w:rsid w:val="001704F8"/>
    <w:rsid w:val="00170B89"/>
    <w:rsid w:val="00170E9F"/>
    <w:rsid w:val="00171294"/>
    <w:rsid w:val="0017160F"/>
    <w:rsid w:val="001719E2"/>
    <w:rsid w:val="00171A84"/>
    <w:rsid w:val="00171D4B"/>
    <w:rsid w:val="001720FA"/>
    <w:rsid w:val="00172125"/>
    <w:rsid w:val="00172170"/>
    <w:rsid w:val="0017223F"/>
    <w:rsid w:val="00172377"/>
    <w:rsid w:val="0017239D"/>
    <w:rsid w:val="00172520"/>
    <w:rsid w:val="00172531"/>
    <w:rsid w:val="001730FC"/>
    <w:rsid w:val="001736E4"/>
    <w:rsid w:val="00173833"/>
    <w:rsid w:val="00173A0F"/>
    <w:rsid w:val="00173AFD"/>
    <w:rsid w:val="00173D9C"/>
    <w:rsid w:val="00173E7A"/>
    <w:rsid w:val="001742B5"/>
    <w:rsid w:val="0017436E"/>
    <w:rsid w:val="00174465"/>
    <w:rsid w:val="0017448A"/>
    <w:rsid w:val="00174512"/>
    <w:rsid w:val="00174931"/>
    <w:rsid w:val="00174C54"/>
    <w:rsid w:val="00174CD1"/>
    <w:rsid w:val="00174CEE"/>
    <w:rsid w:val="00174E07"/>
    <w:rsid w:val="00174E1D"/>
    <w:rsid w:val="00174E40"/>
    <w:rsid w:val="00174FAB"/>
    <w:rsid w:val="00175424"/>
    <w:rsid w:val="00175431"/>
    <w:rsid w:val="00175507"/>
    <w:rsid w:val="001757D0"/>
    <w:rsid w:val="001757F9"/>
    <w:rsid w:val="00175B06"/>
    <w:rsid w:val="00175F6F"/>
    <w:rsid w:val="00175FDA"/>
    <w:rsid w:val="0017648E"/>
    <w:rsid w:val="001764CD"/>
    <w:rsid w:val="0017650E"/>
    <w:rsid w:val="00176609"/>
    <w:rsid w:val="0017660C"/>
    <w:rsid w:val="0017685A"/>
    <w:rsid w:val="001768B4"/>
    <w:rsid w:val="00176960"/>
    <w:rsid w:val="00176B50"/>
    <w:rsid w:val="00176C38"/>
    <w:rsid w:val="00176D44"/>
    <w:rsid w:val="00177182"/>
    <w:rsid w:val="0017720D"/>
    <w:rsid w:val="001775C8"/>
    <w:rsid w:val="00177668"/>
    <w:rsid w:val="00177922"/>
    <w:rsid w:val="00177FBC"/>
    <w:rsid w:val="0018017B"/>
    <w:rsid w:val="00180374"/>
    <w:rsid w:val="001804F3"/>
    <w:rsid w:val="00180809"/>
    <w:rsid w:val="00180903"/>
    <w:rsid w:val="00180B0A"/>
    <w:rsid w:val="00180E35"/>
    <w:rsid w:val="00180EC4"/>
    <w:rsid w:val="00180F37"/>
    <w:rsid w:val="00180FCC"/>
    <w:rsid w:val="00181065"/>
    <w:rsid w:val="00181843"/>
    <w:rsid w:val="00181BFA"/>
    <w:rsid w:val="00181C5C"/>
    <w:rsid w:val="00181CA0"/>
    <w:rsid w:val="00181D6F"/>
    <w:rsid w:val="00181FBC"/>
    <w:rsid w:val="00182162"/>
    <w:rsid w:val="0018294F"/>
    <w:rsid w:val="00182A3C"/>
    <w:rsid w:val="00182A97"/>
    <w:rsid w:val="00182ADF"/>
    <w:rsid w:val="00182B71"/>
    <w:rsid w:val="00182B8A"/>
    <w:rsid w:val="00182ED6"/>
    <w:rsid w:val="00182FCB"/>
    <w:rsid w:val="0018312B"/>
    <w:rsid w:val="00183159"/>
    <w:rsid w:val="0018329C"/>
    <w:rsid w:val="001834A1"/>
    <w:rsid w:val="001836A9"/>
    <w:rsid w:val="00183B36"/>
    <w:rsid w:val="00183CF5"/>
    <w:rsid w:val="00183E36"/>
    <w:rsid w:val="00183F89"/>
    <w:rsid w:val="00184458"/>
    <w:rsid w:val="001848A1"/>
    <w:rsid w:val="001849A5"/>
    <w:rsid w:val="00184AAA"/>
    <w:rsid w:val="00184B50"/>
    <w:rsid w:val="00184BF1"/>
    <w:rsid w:val="00184C9E"/>
    <w:rsid w:val="00185385"/>
    <w:rsid w:val="00185474"/>
    <w:rsid w:val="001854A6"/>
    <w:rsid w:val="00185619"/>
    <w:rsid w:val="00185699"/>
    <w:rsid w:val="0018575D"/>
    <w:rsid w:val="0018580A"/>
    <w:rsid w:val="00185834"/>
    <w:rsid w:val="0018589F"/>
    <w:rsid w:val="00185A6D"/>
    <w:rsid w:val="00185B0C"/>
    <w:rsid w:val="00185E4E"/>
    <w:rsid w:val="00185E5D"/>
    <w:rsid w:val="00186090"/>
    <w:rsid w:val="001863C6"/>
    <w:rsid w:val="00186448"/>
    <w:rsid w:val="001866B7"/>
    <w:rsid w:val="001866CF"/>
    <w:rsid w:val="00186B32"/>
    <w:rsid w:val="00186CDF"/>
    <w:rsid w:val="00186CF1"/>
    <w:rsid w:val="00186FF4"/>
    <w:rsid w:val="00186FFE"/>
    <w:rsid w:val="0018723D"/>
    <w:rsid w:val="00187513"/>
    <w:rsid w:val="001875C6"/>
    <w:rsid w:val="0018764D"/>
    <w:rsid w:val="00187A6C"/>
    <w:rsid w:val="00187AEE"/>
    <w:rsid w:val="00187C11"/>
    <w:rsid w:val="001902FB"/>
    <w:rsid w:val="001905B9"/>
    <w:rsid w:val="00190767"/>
    <w:rsid w:val="00190B86"/>
    <w:rsid w:val="001911A6"/>
    <w:rsid w:val="0019124B"/>
    <w:rsid w:val="00191275"/>
    <w:rsid w:val="001916F2"/>
    <w:rsid w:val="0019173E"/>
    <w:rsid w:val="001918E4"/>
    <w:rsid w:val="00191D2F"/>
    <w:rsid w:val="00191DCE"/>
    <w:rsid w:val="00191EB2"/>
    <w:rsid w:val="0019208C"/>
    <w:rsid w:val="00192289"/>
    <w:rsid w:val="00192362"/>
    <w:rsid w:val="0019244B"/>
    <w:rsid w:val="0019270D"/>
    <w:rsid w:val="0019283A"/>
    <w:rsid w:val="00192850"/>
    <w:rsid w:val="00192C53"/>
    <w:rsid w:val="00192D13"/>
    <w:rsid w:val="00192D15"/>
    <w:rsid w:val="00192E03"/>
    <w:rsid w:val="001931D3"/>
    <w:rsid w:val="00193231"/>
    <w:rsid w:val="00193378"/>
    <w:rsid w:val="001934A5"/>
    <w:rsid w:val="001934CB"/>
    <w:rsid w:val="0019359B"/>
    <w:rsid w:val="0019360F"/>
    <w:rsid w:val="00193629"/>
    <w:rsid w:val="001938D0"/>
    <w:rsid w:val="00193A8D"/>
    <w:rsid w:val="00193AEC"/>
    <w:rsid w:val="00193BE7"/>
    <w:rsid w:val="00193C5E"/>
    <w:rsid w:val="00193CA5"/>
    <w:rsid w:val="00193F06"/>
    <w:rsid w:val="001941FA"/>
    <w:rsid w:val="0019422F"/>
    <w:rsid w:val="00194379"/>
    <w:rsid w:val="001944D9"/>
    <w:rsid w:val="00194539"/>
    <w:rsid w:val="0019467F"/>
    <w:rsid w:val="00194722"/>
    <w:rsid w:val="00194E8F"/>
    <w:rsid w:val="001951C9"/>
    <w:rsid w:val="0019534A"/>
    <w:rsid w:val="00195517"/>
    <w:rsid w:val="00195CB3"/>
    <w:rsid w:val="00196400"/>
    <w:rsid w:val="0019671E"/>
    <w:rsid w:val="0019679F"/>
    <w:rsid w:val="0019684A"/>
    <w:rsid w:val="00196906"/>
    <w:rsid w:val="001969DD"/>
    <w:rsid w:val="00196BCE"/>
    <w:rsid w:val="00196E6B"/>
    <w:rsid w:val="00196E70"/>
    <w:rsid w:val="00196E9A"/>
    <w:rsid w:val="001972D0"/>
    <w:rsid w:val="00197337"/>
    <w:rsid w:val="00197595"/>
    <w:rsid w:val="001975AD"/>
    <w:rsid w:val="001978A6"/>
    <w:rsid w:val="00197A80"/>
    <w:rsid w:val="00197B1C"/>
    <w:rsid w:val="00197BD3"/>
    <w:rsid w:val="00197C3C"/>
    <w:rsid w:val="00197E47"/>
    <w:rsid w:val="00197EBC"/>
    <w:rsid w:val="00197F66"/>
    <w:rsid w:val="00197FED"/>
    <w:rsid w:val="001A0093"/>
    <w:rsid w:val="001A01C0"/>
    <w:rsid w:val="001A05C6"/>
    <w:rsid w:val="001A0852"/>
    <w:rsid w:val="001A0911"/>
    <w:rsid w:val="001A0E43"/>
    <w:rsid w:val="001A1016"/>
    <w:rsid w:val="001A1039"/>
    <w:rsid w:val="001A10C8"/>
    <w:rsid w:val="001A1352"/>
    <w:rsid w:val="001A146A"/>
    <w:rsid w:val="001A148C"/>
    <w:rsid w:val="001A1655"/>
    <w:rsid w:val="001A1C3B"/>
    <w:rsid w:val="001A1D98"/>
    <w:rsid w:val="001A1E4B"/>
    <w:rsid w:val="001A1F84"/>
    <w:rsid w:val="001A2226"/>
    <w:rsid w:val="001A2373"/>
    <w:rsid w:val="001A27A1"/>
    <w:rsid w:val="001A29DE"/>
    <w:rsid w:val="001A2D05"/>
    <w:rsid w:val="001A302F"/>
    <w:rsid w:val="001A3047"/>
    <w:rsid w:val="001A3374"/>
    <w:rsid w:val="001A338D"/>
    <w:rsid w:val="001A34DF"/>
    <w:rsid w:val="001A37A9"/>
    <w:rsid w:val="001A39A3"/>
    <w:rsid w:val="001A3B3B"/>
    <w:rsid w:val="001A3B5B"/>
    <w:rsid w:val="001A42C7"/>
    <w:rsid w:val="001A431A"/>
    <w:rsid w:val="001A43AF"/>
    <w:rsid w:val="001A4595"/>
    <w:rsid w:val="001A4748"/>
    <w:rsid w:val="001A4945"/>
    <w:rsid w:val="001A4985"/>
    <w:rsid w:val="001A4A48"/>
    <w:rsid w:val="001A4CAF"/>
    <w:rsid w:val="001A4D24"/>
    <w:rsid w:val="001A4E24"/>
    <w:rsid w:val="001A5016"/>
    <w:rsid w:val="001A543C"/>
    <w:rsid w:val="001A5516"/>
    <w:rsid w:val="001A5585"/>
    <w:rsid w:val="001A5809"/>
    <w:rsid w:val="001A594A"/>
    <w:rsid w:val="001A5F30"/>
    <w:rsid w:val="001A5F65"/>
    <w:rsid w:val="001A5FB6"/>
    <w:rsid w:val="001A60F3"/>
    <w:rsid w:val="001A67FD"/>
    <w:rsid w:val="001A6811"/>
    <w:rsid w:val="001A6AC7"/>
    <w:rsid w:val="001A6B06"/>
    <w:rsid w:val="001A6DF7"/>
    <w:rsid w:val="001A704B"/>
    <w:rsid w:val="001A70A2"/>
    <w:rsid w:val="001A718E"/>
    <w:rsid w:val="001A72C8"/>
    <w:rsid w:val="001A7412"/>
    <w:rsid w:val="001A77C6"/>
    <w:rsid w:val="001A7847"/>
    <w:rsid w:val="001A789C"/>
    <w:rsid w:val="001A7DDD"/>
    <w:rsid w:val="001A7F96"/>
    <w:rsid w:val="001B00AA"/>
    <w:rsid w:val="001B065D"/>
    <w:rsid w:val="001B07B1"/>
    <w:rsid w:val="001B0DC7"/>
    <w:rsid w:val="001B0F60"/>
    <w:rsid w:val="001B1046"/>
    <w:rsid w:val="001B10F4"/>
    <w:rsid w:val="001B11DC"/>
    <w:rsid w:val="001B122E"/>
    <w:rsid w:val="001B13FE"/>
    <w:rsid w:val="001B162E"/>
    <w:rsid w:val="001B16FA"/>
    <w:rsid w:val="001B1731"/>
    <w:rsid w:val="001B179F"/>
    <w:rsid w:val="001B1ACF"/>
    <w:rsid w:val="001B1C78"/>
    <w:rsid w:val="001B1DC1"/>
    <w:rsid w:val="001B2055"/>
    <w:rsid w:val="001B2207"/>
    <w:rsid w:val="001B222B"/>
    <w:rsid w:val="001B2624"/>
    <w:rsid w:val="001B28B4"/>
    <w:rsid w:val="001B28C3"/>
    <w:rsid w:val="001B2D98"/>
    <w:rsid w:val="001B3230"/>
    <w:rsid w:val="001B3812"/>
    <w:rsid w:val="001B39CD"/>
    <w:rsid w:val="001B3B13"/>
    <w:rsid w:val="001B3CD3"/>
    <w:rsid w:val="001B41AD"/>
    <w:rsid w:val="001B4521"/>
    <w:rsid w:val="001B454E"/>
    <w:rsid w:val="001B462E"/>
    <w:rsid w:val="001B478A"/>
    <w:rsid w:val="001B4942"/>
    <w:rsid w:val="001B4953"/>
    <w:rsid w:val="001B4A31"/>
    <w:rsid w:val="001B4AEF"/>
    <w:rsid w:val="001B4BE7"/>
    <w:rsid w:val="001B4FA5"/>
    <w:rsid w:val="001B50C8"/>
    <w:rsid w:val="001B5180"/>
    <w:rsid w:val="001B5532"/>
    <w:rsid w:val="001B59DC"/>
    <w:rsid w:val="001B59F2"/>
    <w:rsid w:val="001B5ABE"/>
    <w:rsid w:val="001B5AE2"/>
    <w:rsid w:val="001B60DD"/>
    <w:rsid w:val="001B6125"/>
    <w:rsid w:val="001B6269"/>
    <w:rsid w:val="001B6436"/>
    <w:rsid w:val="001B64F5"/>
    <w:rsid w:val="001B699B"/>
    <w:rsid w:val="001B6A17"/>
    <w:rsid w:val="001B6BA0"/>
    <w:rsid w:val="001B6D21"/>
    <w:rsid w:val="001B6D99"/>
    <w:rsid w:val="001B6E9A"/>
    <w:rsid w:val="001B7043"/>
    <w:rsid w:val="001B70D7"/>
    <w:rsid w:val="001B7473"/>
    <w:rsid w:val="001B75F3"/>
    <w:rsid w:val="001B76A0"/>
    <w:rsid w:val="001B7997"/>
    <w:rsid w:val="001B7A13"/>
    <w:rsid w:val="001B7B86"/>
    <w:rsid w:val="001B7C78"/>
    <w:rsid w:val="001B7E1D"/>
    <w:rsid w:val="001C05AD"/>
    <w:rsid w:val="001C076C"/>
    <w:rsid w:val="001C0919"/>
    <w:rsid w:val="001C09C5"/>
    <w:rsid w:val="001C0AB9"/>
    <w:rsid w:val="001C0EF6"/>
    <w:rsid w:val="001C0F23"/>
    <w:rsid w:val="001C1230"/>
    <w:rsid w:val="001C16BC"/>
    <w:rsid w:val="001C1777"/>
    <w:rsid w:val="001C181A"/>
    <w:rsid w:val="001C188D"/>
    <w:rsid w:val="001C1B72"/>
    <w:rsid w:val="001C1C5F"/>
    <w:rsid w:val="001C1E75"/>
    <w:rsid w:val="001C1FD7"/>
    <w:rsid w:val="001C2238"/>
    <w:rsid w:val="001C2340"/>
    <w:rsid w:val="001C2435"/>
    <w:rsid w:val="001C2A40"/>
    <w:rsid w:val="001C2AEA"/>
    <w:rsid w:val="001C2DDC"/>
    <w:rsid w:val="001C2E53"/>
    <w:rsid w:val="001C2F5A"/>
    <w:rsid w:val="001C2F99"/>
    <w:rsid w:val="001C34BF"/>
    <w:rsid w:val="001C3982"/>
    <w:rsid w:val="001C39C2"/>
    <w:rsid w:val="001C41A8"/>
    <w:rsid w:val="001C4274"/>
    <w:rsid w:val="001C435B"/>
    <w:rsid w:val="001C46A3"/>
    <w:rsid w:val="001C46A8"/>
    <w:rsid w:val="001C4730"/>
    <w:rsid w:val="001C4910"/>
    <w:rsid w:val="001C4952"/>
    <w:rsid w:val="001C4963"/>
    <w:rsid w:val="001C4A56"/>
    <w:rsid w:val="001C5099"/>
    <w:rsid w:val="001C529E"/>
    <w:rsid w:val="001C533F"/>
    <w:rsid w:val="001C543B"/>
    <w:rsid w:val="001C57C4"/>
    <w:rsid w:val="001C588C"/>
    <w:rsid w:val="001C5A70"/>
    <w:rsid w:val="001C5AAE"/>
    <w:rsid w:val="001C5C2E"/>
    <w:rsid w:val="001C5D8F"/>
    <w:rsid w:val="001C5E9E"/>
    <w:rsid w:val="001C5EFB"/>
    <w:rsid w:val="001C5F82"/>
    <w:rsid w:val="001C6001"/>
    <w:rsid w:val="001C60C0"/>
    <w:rsid w:val="001C6148"/>
    <w:rsid w:val="001C6AAC"/>
    <w:rsid w:val="001C6C33"/>
    <w:rsid w:val="001C71E4"/>
    <w:rsid w:val="001C739A"/>
    <w:rsid w:val="001C77A2"/>
    <w:rsid w:val="001C785A"/>
    <w:rsid w:val="001C7EE2"/>
    <w:rsid w:val="001D00D3"/>
    <w:rsid w:val="001D01B6"/>
    <w:rsid w:val="001D02E0"/>
    <w:rsid w:val="001D049D"/>
    <w:rsid w:val="001D090A"/>
    <w:rsid w:val="001D096C"/>
    <w:rsid w:val="001D0C38"/>
    <w:rsid w:val="001D0D71"/>
    <w:rsid w:val="001D0EB2"/>
    <w:rsid w:val="001D0FAD"/>
    <w:rsid w:val="001D12D6"/>
    <w:rsid w:val="001D14DA"/>
    <w:rsid w:val="001D15E3"/>
    <w:rsid w:val="001D169E"/>
    <w:rsid w:val="001D178F"/>
    <w:rsid w:val="001D1845"/>
    <w:rsid w:val="001D1A8D"/>
    <w:rsid w:val="001D1AB3"/>
    <w:rsid w:val="001D1D6F"/>
    <w:rsid w:val="001D1EBD"/>
    <w:rsid w:val="001D1EE2"/>
    <w:rsid w:val="001D1FAC"/>
    <w:rsid w:val="001D1FBA"/>
    <w:rsid w:val="001D2024"/>
    <w:rsid w:val="001D211D"/>
    <w:rsid w:val="001D2288"/>
    <w:rsid w:val="001D22CF"/>
    <w:rsid w:val="001D2687"/>
    <w:rsid w:val="001D272F"/>
    <w:rsid w:val="001D274A"/>
    <w:rsid w:val="001D2806"/>
    <w:rsid w:val="001D297E"/>
    <w:rsid w:val="001D2C66"/>
    <w:rsid w:val="001D2E70"/>
    <w:rsid w:val="001D2F23"/>
    <w:rsid w:val="001D310A"/>
    <w:rsid w:val="001D34EB"/>
    <w:rsid w:val="001D38CC"/>
    <w:rsid w:val="001D38E6"/>
    <w:rsid w:val="001D3908"/>
    <w:rsid w:val="001D3AA7"/>
    <w:rsid w:val="001D3D11"/>
    <w:rsid w:val="001D437C"/>
    <w:rsid w:val="001D4673"/>
    <w:rsid w:val="001D4747"/>
    <w:rsid w:val="001D47FD"/>
    <w:rsid w:val="001D4A3C"/>
    <w:rsid w:val="001D4A72"/>
    <w:rsid w:val="001D4C7F"/>
    <w:rsid w:val="001D4CED"/>
    <w:rsid w:val="001D5001"/>
    <w:rsid w:val="001D5287"/>
    <w:rsid w:val="001D5298"/>
    <w:rsid w:val="001D5403"/>
    <w:rsid w:val="001D545E"/>
    <w:rsid w:val="001D59F3"/>
    <w:rsid w:val="001D5BFB"/>
    <w:rsid w:val="001D5E61"/>
    <w:rsid w:val="001D5ECB"/>
    <w:rsid w:val="001D6182"/>
    <w:rsid w:val="001D6351"/>
    <w:rsid w:val="001D63AD"/>
    <w:rsid w:val="001D6505"/>
    <w:rsid w:val="001D6966"/>
    <w:rsid w:val="001D698C"/>
    <w:rsid w:val="001D6FB2"/>
    <w:rsid w:val="001D724E"/>
    <w:rsid w:val="001D757A"/>
    <w:rsid w:val="001D761B"/>
    <w:rsid w:val="001D7804"/>
    <w:rsid w:val="001D7826"/>
    <w:rsid w:val="001D7E49"/>
    <w:rsid w:val="001E0450"/>
    <w:rsid w:val="001E0995"/>
    <w:rsid w:val="001E0AEC"/>
    <w:rsid w:val="001E1047"/>
    <w:rsid w:val="001E13A6"/>
    <w:rsid w:val="001E152E"/>
    <w:rsid w:val="001E1A12"/>
    <w:rsid w:val="001E1A44"/>
    <w:rsid w:val="001E1E5A"/>
    <w:rsid w:val="001E1EE1"/>
    <w:rsid w:val="001E1FC6"/>
    <w:rsid w:val="001E22CE"/>
    <w:rsid w:val="001E23C2"/>
    <w:rsid w:val="001E2496"/>
    <w:rsid w:val="001E27C8"/>
    <w:rsid w:val="001E28A6"/>
    <w:rsid w:val="001E2AE7"/>
    <w:rsid w:val="001E2B7A"/>
    <w:rsid w:val="001E2CF7"/>
    <w:rsid w:val="001E2E78"/>
    <w:rsid w:val="001E2E90"/>
    <w:rsid w:val="001E2F29"/>
    <w:rsid w:val="001E30DB"/>
    <w:rsid w:val="001E31D2"/>
    <w:rsid w:val="001E3209"/>
    <w:rsid w:val="001E32E8"/>
    <w:rsid w:val="001E32EA"/>
    <w:rsid w:val="001E34A9"/>
    <w:rsid w:val="001E3787"/>
    <w:rsid w:val="001E37C8"/>
    <w:rsid w:val="001E3D22"/>
    <w:rsid w:val="001E3DCE"/>
    <w:rsid w:val="001E3E26"/>
    <w:rsid w:val="001E3EE6"/>
    <w:rsid w:val="001E3EEB"/>
    <w:rsid w:val="001E3F2F"/>
    <w:rsid w:val="001E46C7"/>
    <w:rsid w:val="001E4A77"/>
    <w:rsid w:val="001E4D70"/>
    <w:rsid w:val="001E4EAD"/>
    <w:rsid w:val="001E4ED1"/>
    <w:rsid w:val="001E4FE7"/>
    <w:rsid w:val="001E5225"/>
    <w:rsid w:val="001E5246"/>
    <w:rsid w:val="001E545E"/>
    <w:rsid w:val="001E54D2"/>
    <w:rsid w:val="001E551E"/>
    <w:rsid w:val="001E559A"/>
    <w:rsid w:val="001E57D8"/>
    <w:rsid w:val="001E5934"/>
    <w:rsid w:val="001E5A80"/>
    <w:rsid w:val="001E5C90"/>
    <w:rsid w:val="001E5E1D"/>
    <w:rsid w:val="001E5E58"/>
    <w:rsid w:val="001E62E4"/>
    <w:rsid w:val="001E6508"/>
    <w:rsid w:val="001E67BD"/>
    <w:rsid w:val="001E67FF"/>
    <w:rsid w:val="001E6B13"/>
    <w:rsid w:val="001E6BED"/>
    <w:rsid w:val="001E6C1E"/>
    <w:rsid w:val="001E6FDF"/>
    <w:rsid w:val="001E71E2"/>
    <w:rsid w:val="001E72AA"/>
    <w:rsid w:val="001E732F"/>
    <w:rsid w:val="001E733F"/>
    <w:rsid w:val="001E74DD"/>
    <w:rsid w:val="001E7DE3"/>
    <w:rsid w:val="001E7E85"/>
    <w:rsid w:val="001E7FC9"/>
    <w:rsid w:val="001F0078"/>
    <w:rsid w:val="001F01CB"/>
    <w:rsid w:val="001F058D"/>
    <w:rsid w:val="001F05B1"/>
    <w:rsid w:val="001F07D7"/>
    <w:rsid w:val="001F0CFC"/>
    <w:rsid w:val="001F0F17"/>
    <w:rsid w:val="001F12BC"/>
    <w:rsid w:val="001F1433"/>
    <w:rsid w:val="001F146C"/>
    <w:rsid w:val="001F1604"/>
    <w:rsid w:val="001F164D"/>
    <w:rsid w:val="001F1748"/>
    <w:rsid w:val="001F195D"/>
    <w:rsid w:val="001F1D09"/>
    <w:rsid w:val="001F1F87"/>
    <w:rsid w:val="001F294F"/>
    <w:rsid w:val="001F2987"/>
    <w:rsid w:val="001F298D"/>
    <w:rsid w:val="001F2A48"/>
    <w:rsid w:val="001F2D4D"/>
    <w:rsid w:val="001F307B"/>
    <w:rsid w:val="001F30D7"/>
    <w:rsid w:val="001F3498"/>
    <w:rsid w:val="001F36A9"/>
    <w:rsid w:val="001F3730"/>
    <w:rsid w:val="001F37C9"/>
    <w:rsid w:val="001F3CAD"/>
    <w:rsid w:val="001F3CE5"/>
    <w:rsid w:val="001F3EF1"/>
    <w:rsid w:val="001F4123"/>
    <w:rsid w:val="001F4179"/>
    <w:rsid w:val="001F440D"/>
    <w:rsid w:val="001F454B"/>
    <w:rsid w:val="001F45C7"/>
    <w:rsid w:val="001F45E3"/>
    <w:rsid w:val="001F4676"/>
    <w:rsid w:val="001F4740"/>
    <w:rsid w:val="001F49B5"/>
    <w:rsid w:val="001F4D92"/>
    <w:rsid w:val="001F53C2"/>
    <w:rsid w:val="001F5518"/>
    <w:rsid w:val="001F55D6"/>
    <w:rsid w:val="001F591D"/>
    <w:rsid w:val="001F5979"/>
    <w:rsid w:val="001F5B2F"/>
    <w:rsid w:val="001F5B5D"/>
    <w:rsid w:val="001F5D9D"/>
    <w:rsid w:val="001F5DA7"/>
    <w:rsid w:val="001F5EF2"/>
    <w:rsid w:val="001F5FD8"/>
    <w:rsid w:val="001F60A3"/>
    <w:rsid w:val="001F6168"/>
    <w:rsid w:val="001F61B3"/>
    <w:rsid w:val="001F6374"/>
    <w:rsid w:val="001F63D7"/>
    <w:rsid w:val="001F660A"/>
    <w:rsid w:val="001F7302"/>
    <w:rsid w:val="001F7451"/>
    <w:rsid w:val="001F7702"/>
    <w:rsid w:val="001F78FE"/>
    <w:rsid w:val="001F7B68"/>
    <w:rsid w:val="001F7C2B"/>
    <w:rsid w:val="0020000D"/>
    <w:rsid w:val="00200010"/>
    <w:rsid w:val="002002E3"/>
    <w:rsid w:val="0020030D"/>
    <w:rsid w:val="002004FC"/>
    <w:rsid w:val="002005C3"/>
    <w:rsid w:val="00200B88"/>
    <w:rsid w:val="00200D85"/>
    <w:rsid w:val="00200F6D"/>
    <w:rsid w:val="00200FDC"/>
    <w:rsid w:val="002011C7"/>
    <w:rsid w:val="00201582"/>
    <w:rsid w:val="00201E21"/>
    <w:rsid w:val="00201EB5"/>
    <w:rsid w:val="0020202A"/>
    <w:rsid w:val="00202332"/>
    <w:rsid w:val="00202644"/>
    <w:rsid w:val="002027A4"/>
    <w:rsid w:val="002027C6"/>
    <w:rsid w:val="0020283D"/>
    <w:rsid w:val="00202B4E"/>
    <w:rsid w:val="00202E1F"/>
    <w:rsid w:val="0020324B"/>
    <w:rsid w:val="002033A9"/>
    <w:rsid w:val="0020366E"/>
    <w:rsid w:val="0020378B"/>
    <w:rsid w:val="002037B6"/>
    <w:rsid w:val="00203C42"/>
    <w:rsid w:val="00203E3E"/>
    <w:rsid w:val="00203E9E"/>
    <w:rsid w:val="0020410A"/>
    <w:rsid w:val="00204174"/>
    <w:rsid w:val="002041F0"/>
    <w:rsid w:val="0020423C"/>
    <w:rsid w:val="00204717"/>
    <w:rsid w:val="002048D9"/>
    <w:rsid w:val="00204969"/>
    <w:rsid w:val="00204B46"/>
    <w:rsid w:val="00204BE9"/>
    <w:rsid w:val="00204BF9"/>
    <w:rsid w:val="00204C36"/>
    <w:rsid w:val="00204DF5"/>
    <w:rsid w:val="002051D0"/>
    <w:rsid w:val="00205356"/>
    <w:rsid w:val="002054D0"/>
    <w:rsid w:val="002057F0"/>
    <w:rsid w:val="0020591E"/>
    <w:rsid w:val="00205A7E"/>
    <w:rsid w:val="00205A7F"/>
    <w:rsid w:val="00205B84"/>
    <w:rsid w:val="00205EA1"/>
    <w:rsid w:val="00206159"/>
    <w:rsid w:val="00206580"/>
    <w:rsid w:val="00206690"/>
    <w:rsid w:val="00206906"/>
    <w:rsid w:val="002069E1"/>
    <w:rsid w:val="00206AD3"/>
    <w:rsid w:val="00206B2A"/>
    <w:rsid w:val="00206B7D"/>
    <w:rsid w:val="00206C15"/>
    <w:rsid w:val="00206CC0"/>
    <w:rsid w:val="00206D47"/>
    <w:rsid w:val="00207285"/>
    <w:rsid w:val="002073F7"/>
    <w:rsid w:val="002076F2"/>
    <w:rsid w:val="002076FF"/>
    <w:rsid w:val="00207AB7"/>
    <w:rsid w:val="00207B26"/>
    <w:rsid w:val="00207CD4"/>
    <w:rsid w:val="00207E7F"/>
    <w:rsid w:val="00207F24"/>
    <w:rsid w:val="00210141"/>
    <w:rsid w:val="00210214"/>
    <w:rsid w:val="0021030C"/>
    <w:rsid w:val="00210527"/>
    <w:rsid w:val="00210615"/>
    <w:rsid w:val="0021090A"/>
    <w:rsid w:val="00210910"/>
    <w:rsid w:val="00210AE7"/>
    <w:rsid w:val="00210D20"/>
    <w:rsid w:val="00210E67"/>
    <w:rsid w:val="00210ED4"/>
    <w:rsid w:val="00211116"/>
    <w:rsid w:val="00211236"/>
    <w:rsid w:val="00211372"/>
    <w:rsid w:val="0021148F"/>
    <w:rsid w:val="00211573"/>
    <w:rsid w:val="002117E4"/>
    <w:rsid w:val="0021186A"/>
    <w:rsid w:val="002119EB"/>
    <w:rsid w:val="00211B06"/>
    <w:rsid w:val="00211EFC"/>
    <w:rsid w:val="002125D1"/>
    <w:rsid w:val="002126A8"/>
    <w:rsid w:val="0021294D"/>
    <w:rsid w:val="00212C23"/>
    <w:rsid w:val="00212D07"/>
    <w:rsid w:val="00212FAA"/>
    <w:rsid w:val="00213187"/>
    <w:rsid w:val="00213898"/>
    <w:rsid w:val="00213A48"/>
    <w:rsid w:val="00213B8A"/>
    <w:rsid w:val="00213BAD"/>
    <w:rsid w:val="00213BD5"/>
    <w:rsid w:val="0021403B"/>
    <w:rsid w:val="00214376"/>
    <w:rsid w:val="0021444D"/>
    <w:rsid w:val="00214545"/>
    <w:rsid w:val="002148F8"/>
    <w:rsid w:val="00214B13"/>
    <w:rsid w:val="00214C96"/>
    <w:rsid w:val="00214D1A"/>
    <w:rsid w:val="00214F16"/>
    <w:rsid w:val="00214F71"/>
    <w:rsid w:val="00215066"/>
    <w:rsid w:val="00215178"/>
    <w:rsid w:val="002156E2"/>
    <w:rsid w:val="002158C8"/>
    <w:rsid w:val="00215A70"/>
    <w:rsid w:val="00215AA7"/>
    <w:rsid w:val="00215E38"/>
    <w:rsid w:val="00215E46"/>
    <w:rsid w:val="00215F2A"/>
    <w:rsid w:val="0021604C"/>
    <w:rsid w:val="002160D3"/>
    <w:rsid w:val="002163DC"/>
    <w:rsid w:val="002164E7"/>
    <w:rsid w:val="0021662B"/>
    <w:rsid w:val="002167BC"/>
    <w:rsid w:val="00216895"/>
    <w:rsid w:val="002169B0"/>
    <w:rsid w:val="00216C55"/>
    <w:rsid w:val="00217108"/>
    <w:rsid w:val="002171B4"/>
    <w:rsid w:val="0021731C"/>
    <w:rsid w:val="002177BF"/>
    <w:rsid w:val="0021783F"/>
    <w:rsid w:val="00217AD7"/>
    <w:rsid w:val="00217B3A"/>
    <w:rsid w:val="0022011C"/>
    <w:rsid w:val="00220239"/>
    <w:rsid w:val="002202BE"/>
    <w:rsid w:val="002202ED"/>
    <w:rsid w:val="0022051E"/>
    <w:rsid w:val="002205E4"/>
    <w:rsid w:val="00220647"/>
    <w:rsid w:val="002206DB"/>
    <w:rsid w:val="00220826"/>
    <w:rsid w:val="0022082E"/>
    <w:rsid w:val="00220956"/>
    <w:rsid w:val="002209E6"/>
    <w:rsid w:val="00220D21"/>
    <w:rsid w:val="00220E20"/>
    <w:rsid w:val="00220E54"/>
    <w:rsid w:val="00220F2C"/>
    <w:rsid w:val="00221294"/>
    <w:rsid w:val="00221571"/>
    <w:rsid w:val="002215C8"/>
    <w:rsid w:val="00221630"/>
    <w:rsid w:val="0022166E"/>
    <w:rsid w:val="002216E5"/>
    <w:rsid w:val="00221A0A"/>
    <w:rsid w:val="00221C5D"/>
    <w:rsid w:val="00221D0F"/>
    <w:rsid w:val="00221D74"/>
    <w:rsid w:val="0022208F"/>
    <w:rsid w:val="002223DE"/>
    <w:rsid w:val="0022255E"/>
    <w:rsid w:val="0022262D"/>
    <w:rsid w:val="00222B4B"/>
    <w:rsid w:val="00222C14"/>
    <w:rsid w:val="00223051"/>
    <w:rsid w:val="0022317F"/>
    <w:rsid w:val="0022354B"/>
    <w:rsid w:val="002235AA"/>
    <w:rsid w:val="00223606"/>
    <w:rsid w:val="00223626"/>
    <w:rsid w:val="0022371E"/>
    <w:rsid w:val="0022398A"/>
    <w:rsid w:val="002239B2"/>
    <w:rsid w:val="00223AED"/>
    <w:rsid w:val="00223B9C"/>
    <w:rsid w:val="00223D61"/>
    <w:rsid w:val="00223DFC"/>
    <w:rsid w:val="00223E7B"/>
    <w:rsid w:val="0022417D"/>
    <w:rsid w:val="00224372"/>
    <w:rsid w:val="0022448D"/>
    <w:rsid w:val="00224544"/>
    <w:rsid w:val="002247FC"/>
    <w:rsid w:val="002248F1"/>
    <w:rsid w:val="00224D15"/>
    <w:rsid w:val="00224D42"/>
    <w:rsid w:val="00224D93"/>
    <w:rsid w:val="00224E7C"/>
    <w:rsid w:val="00225021"/>
    <w:rsid w:val="00225393"/>
    <w:rsid w:val="0022579D"/>
    <w:rsid w:val="0022580B"/>
    <w:rsid w:val="00225907"/>
    <w:rsid w:val="00225B13"/>
    <w:rsid w:val="00225C10"/>
    <w:rsid w:val="00225D41"/>
    <w:rsid w:val="00225FBE"/>
    <w:rsid w:val="00225FFE"/>
    <w:rsid w:val="00226086"/>
    <w:rsid w:val="002262CB"/>
    <w:rsid w:val="00226374"/>
    <w:rsid w:val="002264CA"/>
    <w:rsid w:val="0022657C"/>
    <w:rsid w:val="002265A6"/>
    <w:rsid w:val="0022670A"/>
    <w:rsid w:val="00226973"/>
    <w:rsid w:val="00226AAE"/>
    <w:rsid w:val="00226AEC"/>
    <w:rsid w:val="00226C42"/>
    <w:rsid w:val="00226C84"/>
    <w:rsid w:val="00226DC9"/>
    <w:rsid w:val="002272E5"/>
    <w:rsid w:val="00227399"/>
    <w:rsid w:val="00227625"/>
    <w:rsid w:val="0022790F"/>
    <w:rsid w:val="00227956"/>
    <w:rsid w:val="002279F1"/>
    <w:rsid w:val="00227B45"/>
    <w:rsid w:val="00227C0A"/>
    <w:rsid w:val="00227CF7"/>
    <w:rsid w:val="0023017D"/>
    <w:rsid w:val="002301F8"/>
    <w:rsid w:val="002302AB"/>
    <w:rsid w:val="002304C0"/>
    <w:rsid w:val="002304C3"/>
    <w:rsid w:val="0023055C"/>
    <w:rsid w:val="002305C6"/>
    <w:rsid w:val="0023060F"/>
    <w:rsid w:val="002309D9"/>
    <w:rsid w:val="00230EEF"/>
    <w:rsid w:val="002311CB"/>
    <w:rsid w:val="002314E8"/>
    <w:rsid w:val="0023155D"/>
    <w:rsid w:val="00231615"/>
    <w:rsid w:val="00231620"/>
    <w:rsid w:val="00231675"/>
    <w:rsid w:val="00231947"/>
    <w:rsid w:val="00231A36"/>
    <w:rsid w:val="00231B87"/>
    <w:rsid w:val="00231B8F"/>
    <w:rsid w:val="00231C4B"/>
    <w:rsid w:val="00231CE1"/>
    <w:rsid w:val="00231D90"/>
    <w:rsid w:val="00231F04"/>
    <w:rsid w:val="00232011"/>
    <w:rsid w:val="002320CB"/>
    <w:rsid w:val="00232456"/>
    <w:rsid w:val="002324D4"/>
    <w:rsid w:val="002325FB"/>
    <w:rsid w:val="0023270D"/>
    <w:rsid w:val="0023279C"/>
    <w:rsid w:val="00232885"/>
    <w:rsid w:val="00232B02"/>
    <w:rsid w:val="00232F9A"/>
    <w:rsid w:val="0023317C"/>
    <w:rsid w:val="0023320B"/>
    <w:rsid w:val="002338DB"/>
    <w:rsid w:val="00233A1E"/>
    <w:rsid w:val="00233B95"/>
    <w:rsid w:val="00233C31"/>
    <w:rsid w:val="00233CD6"/>
    <w:rsid w:val="00233E2A"/>
    <w:rsid w:val="00233E68"/>
    <w:rsid w:val="00234305"/>
    <w:rsid w:val="00234655"/>
    <w:rsid w:val="002347BF"/>
    <w:rsid w:val="00234A44"/>
    <w:rsid w:val="00234A62"/>
    <w:rsid w:val="00234BF6"/>
    <w:rsid w:val="00234C47"/>
    <w:rsid w:val="00234D35"/>
    <w:rsid w:val="00234DF7"/>
    <w:rsid w:val="00234E4A"/>
    <w:rsid w:val="002351C9"/>
    <w:rsid w:val="00235344"/>
    <w:rsid w:val="0023541D"/>
    <w:rsid w:val="0023545E"/>
    <w:rsid w:val="0023560C"/>
    <w:rsid w:val="002356E7"/>
    <w:rsid w:val="00235809"/>
    <w:rsid w:val="00235F37"/>
    <w:rsid w:val="00235F4F"/>
    <w:rsid w:val="00236426"/>
    <w:rsid w:val="002364BD"/>
    <w:rsid w:val="002365CF"/>
    <w:rsid w:val="002367D5"/>
    <w:rsid w:val="002368AD"/>
    <w:rsid w:val="00236ACE"/>
    <w:rsid w:val="00236D04"/>
    <w:rsid w:val="00236E29"/>
    <w:rsid w:val="00236E49"/>
    <w:rsid w:val="0023709C"/>
    <w:rsid w:val="00237345"/>
    <w:rsid w:val="002374C7"/>
    <w:rsid w:val="002376C1"/>
    <w:rsid w:val="00237847"/>
    <w:rsid w:val="00237AFC"/>
    <w:rsid w:val="00237B9A"/>
    <w:rsid w:val="00237D0D"/>
    <w:rsid w:val="00237ECC"/>
    <w:rsid w:val="002400AD"/>
    <w:rsid w:val="002401D9"/>
    <w:rsid w:val="002404EA"/>
    <w:rsid w:val="00240515"/>
    <w:rsid w:val="0024060D"/>
    <w:rsid w:val="0024080D"/>
    <w:rsid w:val="002409F0"/>
    <w:rsid w:val="00240ACE"/>
    <w:rsid w:val="00240CC2"/>
    <w:rsid w:val="0024106E"/>
    <w:rsid w:val="002410BE"/>
    <w:rsid w:val="002410F3"/>
    <w:rsid w:val="002410FB"/>
    <w:rsid w:val="0024127B"/>
    <w:rsid w:val="002413B6"/>
    <w:rsid w:val="00241480"/>
    <w:rsid w:val="002415B6"/>
    <w:rsid w:val="002416B5"/>
    <w:rsid w:val="0024183C"/>
    <w:rsid w:val="0024193E"/>
    <w:rsid w:val="00241BCF"/>
    <w:rsid w:val="00241F80"/>
    <w:rsid w:val="00241FAA"/>
    <w:rsid w:val="00242009"/>
    <w:rsid w:val="002420F5"/>
    <w:rsid w:val="00242182"/>
    <w:rsid w:val="00242259"/>
    <w:rsid w:val="00242262"/>
    <w:rsid w:val="00242281"/>
    <w:rsid w:val="0024235C"/>
    <w:rsid w:val="00242405"/>
    <w:rsid w:val="00242B7D"/>
    <w:rsid w:val="00242F6C"/>
    <w:rsid w:val="0024339D"/>
    <w:rsid w:val="00243C15"/>
    <w:rsid w:val="00243C4F"/>
    <w:rsid w:val="00243D05"/>
    <w:rsid w:val="00243E40"/>
    <w:rsid w:val="00243F9B"/>
    <w:rsid w:val="00244053"/>
    <w:rsid w:val="002444EC"/>
    <w:rsid w:val="00244578"/>
    <w:rsid w:val="0024473B"/>
    <w:rsid w:val="002447D3"/>
    <w:rsid w:val="0024487F"/>
    <w:rsid w:val="00244915"/>
    <w:rsid w:val="00244A96"/>
    <w:rsid w:val="00244C92"/>
    <w:rsid w:val="00244D7B"/>
    <w:rsid w:val="00244F44"/>
    <w:rsid w:val="00245221"/>
    <w:rsid w:val="002453B9"/>
    <w:rsid w:val="002455E4"/>
    <w:rsid w:val="002457BC"/>
    <w:rsid w:val="00245901"/>
    <w:rsid w:val="00245925"/>
    <w:rsid w:val="00245CDD"/>
    <w:rsid w:val="00245E58"/>
    <w:rsid w:val="00245EEE"/>
    <w:rsid w:val="00246214"/>
    <w:rsid w:val="00246319"/>
    <w:rsid w:val="002463B0"/>
    <w:rsid w:val="00246493"/>
    <w:rsid w:val="002464CC"/>
    <w:rsid w:val="0024696D"/>
    <w:rsid w:val="00246A0A"/>
    <w:rsid w:val="00246F74"/>
    <w:rsid w:val="002470CA"/>
    <w:rsid w:val="0024722B"/>
    <w:rsid w:val="0024732C"/>
    <w:rsid w:val="0024747B"/>
    <w:rsid w:val="002474F4"/>
    <w:rsid w:val="00247620"/>
    <w:rsid w:val="0024779F"/>
    <w:rsid w:val="00247807"/>
    <w:rsid w:val="00247A54"/>
    <w:rsid w:val="00247DA8"/>
    <w:rsid w:val="00247E06"/>
    <w:rsid w:val="00250230"/>
    <w:rsid w:val="002504F3"/>
    <w:rsid w:val="00250933"/>
    <w:rsid w:val="00250A1B"/>
    <w:rsid w:val="0025138C"/>
    <w:rsid w:val="00251407"/>
    <w:rsid w:val="00251567"/>
    <w:rsid w:val="00251631"/>
    <w:rsid w:val="002518AD"/>
    <w:rsid w:val="00251D53"/>
    <w:rsid w:val="00251DED"/>
    <w:rsid w:val="002520D2"/>
    <w:rsid w:val="00252112"/>
    <w:rsid w:val="002521B5"/>
    <w:rsid w:val="002523FB"/>
    <w:rsid w:val="002524EF"/>
    <w:rsid w:val="002528F7"/>
    <w:rsid w:val="00252961"/>
    <w:rsid w:val="00252A83"/>
    <w:rsid w:val="00252ADB"/>
    <w:rsid w:val="00252B4B"/>
    <w:rsid w:val="00252F50"/>
    <w:rsid w:val="002530E5"/>
    <w:rsid w:val="002533FE"/>
    <w:rsid w:val="00253415"/>
    <w:rsid w:val="002536EB"/>
    <w:rsid w:val="00253860"/>
    <w:rsid w:val="00253870"/>
    <w:rsid w:val="002538DE"/>
    <w:rsid w:val="00253B94"/>
    <w:rsid w:val="00253BAB"/>
    <w:rsid w:val="00253D6F"/>
    <w:rsid w:val="00253D7F"/>
    <w:rsid w:val="00253DF2"/>
    <w:rsid w:val="00253E46"/>
    <w:rsid w:val="00254206"/>
    <w:rsid w:val="002542BC"/>
    <w:rsid w:val="002543F0"/>
    <w:rsid w:val="002543F9"/>
    <w:rsid w:val="00254861"/>
    <w:rsid w:val="00254950"/>
    <w:rsid w:val="00254BA9"/>
    <w:rsid w:val="00254D9F"/>
    <w:rsid w:val="00254FF7"/>
    <w:rsid w:val="00255026"/>
    <w:rsid w:val="0025504D"/>
    <w:rsid w:val="002551A2"/>
    <w:rsid w:val="002554A7"/>
    <w:rsid w:val="002555D9"/>
    <w:rsid w:val="002557A2"/>
    <w:rsid w:val="002558F1"/>
    <w:rsid w:val="00255ACE"/>
    <w:rsid w:val="00255BCC"/>
    <w:rsid w:val="00255CFA"/>
    <w:rsid w:val="00255DFF"/>
    <w:rsid w:val="00256136"/>
    <w:rsid w:val="00256196"/>
    <w:rsid w:val="0025621C"/>
    <w:rsid w:val="002562CF"/>
    <w:rsid w:val="00256AF0"/>
    <w:rsid w:val="00256B28"/>
    <w:rsid w:val="00256DFF"/>
    <w:rsid w:val="00256F1C"/>
    <w:rsid w:val="00256F6A"/>
    <w:rsid w:val="00256FCB"/>
    <w:rsid w:val="0025703D"/>
    <w:rsid w:val="0025790A"/>
    <w:rsid w:val="002579CD"/>
    <w:rsid w:val="00257AF5"/>
    <w:rsid w:val="00257B40"/>
    <w:rsid w:val="00257BE2"/>
    <w:rsid w:val="00257C6D"/>
    <w:rsid w:val="00257F30"/>
    <w:rsid w:val="002600C6"/>
    <w:rsid w:val="00260105"/>
    <w:rsid w:val="0026043E"/>
    <w:rsid w:val="00260485"/>
    <w:rsid w:val="00260591"/>
    <w:rsid w:val="002605D0"/>
    <w:rsid w:val="00260833"/>
    <w:rsid w:val="00260A36"/>
    <w:rsid w:val="00260B0F"/>
    <w:rsid w:val="002612CB"/>
    <w:rsid w:val="00261354"/>
    <w:rsid w:val="0026159B"/>
    <w:rsid w:val="00261AC9"/>
    <w:rsid w:val="00261B7D"/>
    <w:rsid w:val="00261C3A"/>
    <w:rsid w:val="00261CAB"/>
    <w:rsid w:val="00261CF9"/>
    <w:rsid w:val="00262191"/>
    <w:rsid w:val="0026220F"/>
    <w:rsid w:val="00262579"/>
    <w:rsid w:val="0026268B"/>
    <w:rsid w:val="002626E4"/>
    <w:rsid w:val="00262CC7"/>
    <w:rsid w:val="00262D55"/>
    <w:rsid w:val="00262DA9"/>
    <w:rsid w:val="00262E5A"/>
    <w:rsid w:val="002631DB"/>
    <w:rsid w:val="0026338A"/>
    <w:rsid w:val="002636F7"/>
    <w:rsid w:val="00263C25"/>
    <w:rsid w:val="00263C94"/>
    <w:rsid w:val="00263E5F"/>
    <w:rsid w:val="00263F40"/>
    <w:rsid w:val="00263F7D"/>
    <w:rsid w:val="00263F94"/>
    <w:rsid w:val="00263FC6"/>
    <w:rsid w:val="002644FC"/>
    <w:rsid w:val="00264515"/>
    <w:rsid w:val="002646B0"/>
    <w:rsid w:val="002647C0"/>
    <w:rsid w:val="00264808"/>
    <w:rsid w:val="0026494B"/>
    <w:rsid w:val="00264D50"/>
    <w:rsid w:val="00265053"/>
    <w:rsid w:val="00265243"/>
    <w:rsid w:val="0026529A"/>
    <w:rsid w:val="002653BB"/>
    <w:rsid w:val="00265464"/>
    <w:rsid w:val="00265643"/>
    <w:rsid w:val="002656B2"/>
    <w:rsid w:val="0026579B"/>
    <w:rsid w:val="00265A59"/>
    <w:rsid w:val="00265B74"/>
    <w:rsid w:val="00265F9E"/>
    <w:rsid w:val="0026622F"/>
    <w:rsid w:val="002663C5"/>
    <w:rsid w:val="0026655F"/>
    <w:rsid w:val="002665DE"/>
    <w:rsid w:val="0026668F"/>
    <w:rsid w:val="00266914"/>
    <w:rsid w:val="00266951"/>
    <w:rsid w:val="002669E2"/>
    <w:rsid w:val="00266CCE"/>
    <w:rsid w:val="00266D60"/>
    <w:rsid w:val="00266DB9"/>
    <w:rsid w:val="00266EE1"/>
    <w:rsid w:val="00266F90"/>
    <w:rsid w:val="00267274"/>
    <w:rsid w:val="00267380"/>
    <w:rsid w:val="0026763E"/>
    <w:rsid w:val="002676DE"/>
    <w:rsid w:val="00267774"/>
    <w:rsid w:val="0026791C"/>
    <w:rsid w:val="0026794C"/>
    <w:rsid w:val="00267AEB"/>
    <w:rsid w:val="00267C19"/>
    <w:rsid w:val="00267D1A"/>
    <w:rsid w:val="00267D6E"/>
    <w:rsid w:val="00267DF3"/>
    <w:rsid w:val="00267E50"/>
    <w:rsid w:val="0027009F"/>
    <w:rsid w:val="002701DA"/>
    <w:rsid w:val="00270383"/>
    <w:rsid w:val="002705B8"/>
    <w:rsid w:val="0027090C"/>
    <w:rsid w:val="00270960"/>
    <w:rsid w:val="00270D69"/>
    <w:rsid w:val="00270E5D"/>
    <w:rsid w:val="00270EAC"/>
    <w:rsid w:val="00270F21"/>
    <w:rsid w:val="002712D1"/>
    <w:rsid w:val="002713E9"/>
    <w:rsid w:val="00271499"/>
    <w:rsid w:val="002715E0"/>
    <w:rsid w:val="0027171C"/>
    <w:rsid w:val="002717BB"/>
    <w:rsid w:val="0027180D"/>
    <w:rsid w:val="00271961"/>
    <w:rsid w:val="00271ED3"/>
    <w:rsid w:val="00271FEC"/>
    <w:rsid w:val="002720A4"/>
    <w:rsid w:val="00272146"/>
    <w:rsid w:val="0027229E"/>
    <w:rsid w:val="00272485"/>
    <w:rsid w:val="00272789"/>
    <w:rsid w:val="00272C14"/>
    <w:rsid w:val="00272CCE"/>
    <w:rsid w:val="00272D4C"/>
    <w:rsid w:val="00272D9D"/>
    <w:rsid w:val="00272DD8"/>
    <w:rsid w:val="00272EA5"/>
    <w:rsid w:val="00272FB1"/>
    <w:rsid w:val="002730AD"/>
    <w:rsid w:val="0027315A"/>
    <w:rsid w:val="00273189"/>
    <w:rsid w:val="00273225"/>
    <w:rsid w:val="00273369"/>
    <w:rsid w:val="002733FF"/>
    <w:rsid w:val="002736B2"/>
    <w:rsid w:val="002737B3"/>
    <w:rsid w:val="002739E3"/>
    <w:rsid w:val="00273A2B"/>
    <w:rsid w:val="00273C0B"/>
    <w:rsid w:val="00273ED5"/>
    <w:rsid w:val="002740C3"/>
    <w:rsid w:val="002742F6"/>
    <w:rsid w:val="0027456E"/>
    <w:rsid w:val="00274622"/>
    <w:rsid w:val="00274695"/>
    <w:rsid w:val="00274815"/>
    <w:rsid w:val="00274832"/>
    <w:rsid w:val="00274929"/>
    <w:rsid w:val="00274EA1"/>
    <w:rsid w:val="002752D9"/>
    <w:rsid w:val="002753F2"/>
    <w:rsid w:val="00275814"/>
    <w:rsid w:val="0027594B"/>
    <w:rsid w:val="00275B98"/>
    <w:rsid w:val="00275BE0"/>
    <w:rsid w:val="00275BFD"/>
    <w:rsid w:val="00275C10"/>
    <w:rsid w:val="00275F29"/>
    <w:rsid w:val="0027604E"/>
    <w:rsid w:val="00276144"/>
    <w:rsid w:val="00276298"/>
    <w:rsid w:val="00276534"/>
    <w:rsid w:val="00276803"/>
    <w:rsid w:val="00276807"/>
    <w:rsid w:val="002768E4"/>
    <w:rsid w:val="00276BF5"/>
    <w:rsid w:val="002770A3"/>
    <w:rsid w:val="00277A3E"/>
    <w:rsid w:val="00277ACC"/>
    <w:rsid w:val="00277ACE"/>
    <w:rsid w:val="00277B23"/>
    <w:rsid w:val="00277B4F"/>
    <w:rsid w:val="00277B56"/>
    <w:rsid w:val="00277C4E"/>
    <w:rsid w:val="00277ED5"/>
    <w:rsid w:val="00277F18"/>
    <w:rsid w:val="0028001D"/>
    <w:rsid w:val="00280222"/>
    <w:rsid w:val="002805A1"/>
    <w:rsid w:val="002806BC"/>
    <w:rsid w:val="002806F8"/>
    <w:rsid w:val="00280971"/>
    <w:rsid w:val="00280ABD"/>
    <w:rsid w:val="00280F37"/>
    <w:rsid w:val="0028103C"/>
    <w:rsid w:val="00281186"/>
    <w:rsid w:val="002815F0"/>
    <w:rsid w:val="002816DD"/>
    <w:rsid w:val="00281874"/>
    <w:rsid w:val="00281980"/>
    <w:rsid w:val="00281D57"/>
    <w:rsid w:val="00281F74"/>
    <w:rsid w:val="0028209E"/>
    <w:rsid w:val="002820E8"/>
    <w:rsid w:val="00282168"/>
    <w:rsid w:val="0028219F"/>
    <w:rsid w:val="0028240D"/>
    <w:rsid w:val="00282502"/>
    <w:rsid w:val="002826A0"/>
    <w:rsid w:val="002827BE"/>
    <w:rsid w:val="002832D6"/>
    <w:rsid w:val="002834B1"/>
    <w:rsid w:val="00283FB9"/>
    <w:rsid w:val="00283FC6"/>
    <w:rsid w:val="002842A1"/>
    <w:rsid w:val="0028476F"/>
    <w:rsid w:val="00284A15"/>
    <w:rsid w:val="00284A8C"/>
    <w:rsid w:val="00284B3B"/>
    <w:rsid w:val="00284CC3"/>
    <w:rsid w:val="00284E0E"/>
    <w:rsid w:val="00284E75"/>
    <w:rsid w:val="00285336"/>
    <w:rsid w:val="002853AA"/>
    <w:rsid w:val="00285596"/>
    <w:rsid w:val="00285598"/>
    <w:rsid w:val="002856DE"/>
    <w:rsid w:val="00285784"/>
    <w:rsid w:val="00285A04"/>
    <w:rsid w:val="00285B6B"/>
    <w:rsid w:val="00285C55"/>
    <w:rsid w:val="00285F80"/>
    <w:rsid w:val="00285F8B"/>
    <w:rsid w:val="0028610A"/>
    <w:rsid w:val="00286209"/>
    <w:rsid w:val="002863B9"/>
    <w:rsid w:val="002863BD"/>
    <w:rsid w:val="0028670C"/>
    <w:rsid w:val="0028678E"/>
    <w:rsid w:val="00286CAB"/>
    <w:rsid w:val="00286E3A"/>
    <w:rsid w:val="002875EC"/>
    <w:rsid w:val="002877D3"/>
    <w:rsid w:val="002879F5"/>
    <w:rsid w:val="00287A09"/>
    <w:rsid w:val="00287A35"/>
    <w:rsid w:val="00287B14"/>
    <w:rsid w:val="00287C67"/>
    <w:rsid w:val="00287DCC"/>
    <w:rsid w:val="00287E04"/>
    <w:rsid w:val="00287E32"/>
    <w:rsid w:val="002900D5"/>
    <w:rsid w:val="0029022F"/>
    <w:rsid w:val="0029076F"/>
    <w:rsid w:val="00290790"/>
    <w:rsid w:val="00290821"/>
    <w:rsid w:val="00290B6F"/>
    <w:rsid w:val="00290C2F"/>
    <w:rsid w:val="00290D33"/>
    <w:rsid w:val="00290F2E"/>
    <w:rsid w:val="0029114C"/>
    <w:rsid w:val="00291186"/>
    <w:rsid w:val="002912CD"/>
    <w:rsid w:val="0029138A"/>
    <w:rsid w:val="0029151A"/>
    <w:rsid w:val="0029191B"/>
    <w:rsid w:val="00291A3F"/>
    <w:rsid w:val="00291EBC"/>
    <w:rsid w:val="00291F35"/>
    <w:rsid w:val="00292346"/>
    <w:rsid w:val="002928A4"/>
    <w:rsid w:val="00292958"/>
    <w:rsid w:val="00292A76"/>
    <w:rsid w:val="00292B91"/>
    <w:rsid w:val="00292C47"/>
    <w:rsid w:val="00292C67"/>
    <w:rsid w:val="00292D6B"/>
    <w:rsid w:val="00292DE2"/>
    <w:rsid w:val="00292EAB"/>
    <w:rsid w:val="00292EB8"/>
    <w:rsid w:val="0029320C"/>
    <w:rsid w:val="0029320F"/>
    <w:rsid w:val="00293586"/>
    <w:rsid w:val="00293CAA"/>
    <w:rsid w:val="00293F8E"/>
    <w:rsid w:val="0029401B"/>
    <w:rsid w:val="002941A2"/>
    <w:rsid w:val="002941E1"/>
    <w:rsid w:val="002944BA"/>
    <w:rsid w:val="00294555"/>
    <w:rsid w:val="0029468F"/>
    <w:rsid w:val="0029472B"/>
    <w:rsid w:val="0029489B"/>
    <w:rsid w:val="00294C40"/>
    <w:rsid w:val="00294C7F"/>
    <w:rsid w:val="00294D55"/>
    <w:rsid w:val="00294FAE"/>
    <w:rsid w:val="0029514C"/>
    <w:rsid w:val="002952FE"/>
    <w:rsid w:val="002954F2"/>
    <w:rsid w:val="00295552"/>
    <w:rsid w:val="002955CC"/>
    <w:rsid w:val="002957FD"/>
    <w:rsid w:val="0029586B"/>
    <w:rsid w:val="00295A90"/>
    <w:rsid w:val="00295FA4"/>
    <w:rsid w:val="002961ED"/>
    <w:rsid w:val="002963CC"/>
    <w:rsid w:val="00296647"/>
    <w:rsid w:val="002966F2"/>
    <w:rsid w:val="0029674E"/>
    <w:rsid w:val="002967E4"/>
    <w:rsid w:val="00296932"/>
    <w:rsid w:val="00296B19"/>
    <w:rsid w:val="00296E15"/>
    <w:rsid w:val="00296ED4"/>
    <w:rsid w:val="00296F65"/>
    <w:rsid w:val="00296FE0"/>
    <w:rsid w:val="002971C6"/>
    <w:rsid w:val="0029724E"/>
    <w:rsid w:val="002972B1"/>
    <w:rsid w:val="00297664"/>
    <w:rsid w:val="00297811"/>
    <w:rsid w:val="0029786E"/>
    <w:rsid w:val="00297B94"/>
    <w:rsid w:val="00297CF9"/>
    <w:rsid w:val="002A0059"/>
    <w:rsid w:val="002A0523"/>
    <w:rsid w:val="002A0751"/>
    <w:rsid w:val="002A07C8"/>
    <w:rsid w:val="002A0D03"/>
    <w:rsid w:val="002A11DD"/>
    <w:rsid w:val="002A1243"/>
    <w:rsid w:val="002A1343"/>
    <w:rsid w:val="002A14FA"/>
    <w:rsid w:val="002A165C"/>
    <w:rsid w:val="002A176E"/>
    <w:rsid w:val="002A1A6F"/>
    <w:rsid w:val="002A1A79"/>
    <w:rsid w:val="002A1B96"/>
    <w:rsid w:val="002A1C79"/>
    <w:rsid w:val="002A1C99"/>
    <w:rsid w:val="002A1CA3"/>
    <w:rsid w:val="002A1DCB"/>
    <w:rsid w:val="002A214F"/>
    <w:rsid w:val="002A221B"/>
    <w:rsid w:val="002A2260"/>
    <w:rsid w:val="002A22AD"/>
    <w:rsid w:val="002A22C8"/>
    <w:rsid w:val="002A2418"/>
    <w:rsid w:val="002A2442"/>
    <w:rsid w:val="002A26CC"/>
    <w:rsid w:val="002A27EE"/>
    <w:rsid w:val="002A29CF"/>
    <w:rsid w:val="002A3007"/>
    <w:rsid w:val="002A3179"/>
    <w:rsid w:val="002A342D"/>
    <w:rsid w:val="002A3596"/>
    <w:rsid w:val="002A36A2"/>
    <w:rsid w:val="002A3790"/>
    <w:rsid w:val="002A388E"/>
    <w:rsid w:val="002A3A92"/>
    <w:rsid w:val="002A3B8C"/>
    <w:rsid w:val="002A3C43"/>
    <w:rsid w:val="002A3FCA"/>
    <w:rsid w:val="002A401F"/>
    <w:rsid w:val="002A4071"/>
    <w:rsid w:val="002A408D"/>
    <w:rsid w:val="002A4228"/>
    <w:rsid w:val="002A4229"/>
    <w:rsid w:val="002A42EC"/>
    <w:rsid w:val="002A43DB"/>
    <w:rsid w:val="002A496F"/>
    <w:rsid w:val="002A4AD6"/>
    <w:rsid w:val="002A4C5D"/>
    <w:rsid w:val="002A4EB6"/>
    <w:rsid w:val="002A4F87"/>
    <w:rsid w:val="002A5019"/>
    <w:rsid w:val="002A5106"/>
    <w:rsid w:val="002A511E"/>
    <w:rsid w:val="002A51DE"/>
    <w:rsid w:val="002A51E7"/>
    <w:rsid w:val="002A5279"/>
    <w:rsid w:val="002A52A2"/>
    <w:rsid w:val="002A5360"/>
    <w:rsid w:val="002A54F9"/>
    <w:rsid w:val="002A571A"/>
    <w:rsid w:val="002A5878"/>
    <w:rsid w:val="002A58F1"/>
    <w:rsid w:val="002A60D1"/>
    <w:rsid w:val="002A6202"/>
    <w:rsid w:val="002A640D"/>
    <w:rsid w:val="002A6492"/>
    <w:rsid w:val="002A6520"/>
    <w:rsid w:val="002A65B0"/>
    <w:rsid w:val="002A69A2"/>
    <w:rsid w:val="002A6B3B"/>
    <w:rsid w:val="002A6BD5"/>
    <w:rsid w:val="002A6D46"/>
    <w:rsid w:val="002A6D86"/>
    <w:rsid w:val="002A73F0"/>
    <w:rsid w:val="002A7953"/>
    <w:rsid w:val="002A79EC"/>
    <w:rsid w:val="002A7C0C"/>
    <w:rsid w:val="002B0099"/>
    <w:rsid w:val="002B0206"/>
    <w:rsid w:val="002B021A"/>
    <w:rsid w:val="002B0285"/>
    <w:rsid w:val="002B0469"/>
    <w:rsid w:val="002B04DB"/>
    <w:rsid w:val="002B059C"/>
    <w:rsid w:val="002B0799"/>
    <w:rsid w:val="002B084B"/>
    <w:rsid w:val="002B08B7"/>
    <w:rsid w:val="002B0A44"/>
    <w:rsid w:val="002B0A4D"/>
    <w:rsid w:val="002B0C44"/>
    <w:rsid w:val="002B0D02"/>
    <w:rsid w:val="002B0DD9"/>
    <w:rsid w:val="002B0E24"/>
    <w:rsid w:val="002B1079"/>
    <w:rsid w:val="002B10DC"/>
    <w:rsid w:val="002B12D5"/>
    <w:rsid w:val="002B14A7"/>
    <w:rsid w:val="002B14C4"/>
    <w:rsid w:val="002B194E"/>
    <w:rsid w:val="002B19FB"/>
    <w:rsid w:val="002B1B2C"/>
    <w:rsid w:val="002B1CDD"/>
    <w:rsid w:val="002B1E72"/>
    <w:rsid w:val="002B1F26"/>
    <w:rsid w:val="002B1F28"/>
    <w:rsid w:val="002B228E"/>
    <w:rsid w:val="002B23E1"/>
    <w:rsid w:val="002B2832"/>
    <w:rsid w:val="002B2A23"/>
    <w:rsid w:val="002B2BFE"/>
    <w:rsid w:val="002B2C2D"/>
    <w:rsid w:val="002B2D08"/>
    <w:rsid w:val="002B2F4B"/>
    <w:rsid w:val="002B2F82"/>
    <w:rsid w:val="002B323F"/>
    <w:rsid w:val="002B3311"/>
    <w:rsid w:val="002B365B"/>
    <w:rsid w:val="002B378F"/>
    <w:rsid w:val="002B3961"/>
    <w:rsid w:val="002B397B"/>
    <w:rsid w:val="002B3CBA"/>
    <w:rsid w:val="002B3DC3"/>
    <w:rsid w:val="002B3E35"/>
    <w:rsid w:val="002B3F0D"/>
    <w:rsid w:val="002B42DD"/>
    <w:rsid w:val="002B4681"/>
    <w:rsid w:val="002B4E4E"/>
    <w:rsid w:val="002B50BA"/>
    <w:rsid w:val="002B5451"/>
    <w:rsid w:val="002B5822"/>
    <w:rsid w:val="002B5CA9"/>
    <w:rsid w:val="002B5CCD"/>
    <w:rsid w:val="002B6009"/>
    <w:rsid w:val="002B60CD"/>
    <w:rsid w:val="002B629B"/>
    <w:rsid w:val="002B66CC"/>
    <w:rsid w:val="002B678F"/>
    <w:rsid w:val="002B693B"/>
    <w:rsid w:val="002B6990"/>
    <w:rsid w:val="002B6E3F"/>
    <w:rsid w:val="002B6EAA"/>
    <w:rsid w:val="002B6FB0"/>
    <w:rsid w:val="002B7216"/>
    <w:rsid w:val="002B7354"/>
    <w:rsid w:val="002B7692"/>
    <w:rsid w:val="002B7777"/>
    <w:rsid w:val="002B7823"/>
    <w:rsid w:val="002B788C"/>
    <w:rsid w:val="002B7A59"/>
    <w:rsid w:val="002B7C13"/>
    <w:rsid w:val="002B7D83"/>
    <w:rsid w:val="002B7FD9"/>
    <w:rsid w:val="002C0196"/>
    <w:rsid w:val="002C0962"/>
    <w:rsid w:val="002C0CAD"/>
    <w:rsid w:val="002C0CD7"/>
    <w:rsid w:val="002C0CDC"/>
    <w:rsid w:val="002C0EF0"/>
    <w:rsid w:val="002C129A"/>
    <w:rsid w:val="002C1474"/>
    <w:rsid w:val="002C189B"/>
    <w:rsid w:val="002C1BE1"/>
    <w:rsid w:val="002C1BF3"/>
    <w:rsid w:val="002C1C4A"/>
    <w:rsid w:val="002C1EE2"/>
    <w:rsid w:val="002C2081"/>
    <w:rsid w:val="002C2544"/>
    <w:rsid w:val="002C2633"/>
    <w:rsid w:val="002C2AA7"/>
    <w:rsid w:val="002C2B19"/>
    <w:rsid w:val="002C2C08"/>
    <w:rsid w:val="002C2DB1"/>
    <w:rsid w:val="002C2F57"/>
    <w:rsid w:val="002C30E1"/>
    <w:rsid w:val="002C31D1"/>
    <w:rsid w:val="002C31EE"/>
    <w:rsid w:val="002C32AA"/>
    <w:rsid w:val="002C32AF"/>
    <w:rsid w:val="002C35D3"/>
    <w:rsid w:val="002C36F0"/>
    <w:rsid w:val="002C3844"/>
    <w:rsid w:val="002C3B47"/>
    <w:rsid w:val="002C3D58"/>
    <w:rsid w:val="002C400C"/>
    <w:rsid w:val="002C44D6"/>
    <w:rsid w:val="002C4513"/>
    <w:rsid w:val="002C46A4"/>
    <w:rsid w:val="002C493D"/>
    <w:rsid w:val="002C4944"/>
    <w:rsid w:val="002C49EA"/>
    <w:rsid w:val="002C4A7C"/>
    <w:rsid w:val="002C4D24"/>
    <w:rsid w:val="002C5019"/>
    <w:rsid w:val="002C5513"/>
    <w:rsid w:val="002C571C"/>
    <w:rsid w:val="002C5830"/>
    <w:rsid w:val="002C58F5"/>
    <w:rsid w:val="002C59BA"/>
    <w:rsid w:val="002C5A7B"/>
    <w:rsid w:val="002C6482"/>
    <w:rsid w:val="002C6AB8"/>
    <w:rsid w:val="002C6E6C"/>
    <w:rsid w:val="002C6EFF"/>
    <w:rsid w:val="002C709A"/>
    <w:rsid w:val="002C71E1"/>
    <w:rsid w:val="002C7245"/>
    <w:rsid w:val="002C7551"/>
    <w:rsid w:val="002C7933"/>
    <w:rsid w:val="002C7FBC"/>
    <w:rsid w:val="002D09FD"/>
    <w:rsid w:val="002D0CEE"/>
    <w:rsid w:val="002D10AF"/>
    <w:rsid w:val="002D15C7"/>
    <w:rsid w:val="002D16EE"/>
    <w:rsid w:val="002D19C0"/>
    <w:rsid w:val="002D1A67"/>
    <w:rsid w:val="002D1D85"/>
    <w:rsid w:val="002D211B"/>
    <w:rsid w:val="002D2371"/>
    <w:rsid w:val="002D2465"/>
    <w:rsid w:val="002D249C"/>
    <w:rsid w:val="002D24A2"/>
    <w:rsid w:val="002D2554"/>
    <w:rsid w:val="002D29B6"/>
    <w:rsid w:val="002D2A36"/>
    <w:rsid w:val="002D2B55"/>
    <w:rsid w:val="002D2D7C"/>
    <w:rsid w:val="002D31D6"/>
    <w:rsid w:val="002D371F"/>
    <w:rsid w:val="002D387B"/>
    <w:rsid w:val="002D3892"/>
    <w:rsid w:val="002D39F8"/>
    <w:rsid w:val="002D3B9A"/>
    <w:rsid w:val="002D3C64"/>
    <w:rsid w:val="002D40D5"/>
    <w:rsid w:val="002D422F"/>
    <w:rsid w:val="002D4507"/>
    <w:rsid w:val="002D458E"/>
    <w:rsid w:val="002D4796"/>
    <w:rsid w:val="002D47F8"/>
    <w:rsid w:val="002D495A"/>
    <w:rsid w:val="002D49FA"/>
    <w:rsid w:val="002D4B9F"/>
    <w:rsid w:val="002D4BE7"/>
    <w:rsid w:val="002D4D58"/>
    <w:rsid w:val="002D5153"/>
    <w:rsid w:val="002D5238"/>
    <w:rsid w:val="002D5379"/>
    <w:rsid w:val="002D5994"/>
    <w:rsid w:val="002D5AEE"/>
    <w:rsid w:val="002D5AFE"/>
    <w:rsid w:val="002D5DFD"/>
    <w:rsid w:val="002D5E89"/>
    <w:rsid w:val="002D5F0D"/>
    <w:rsid w:val="002D627C"/>
    <w:rsid w:val="002D68BB"/>
    <w:rsid w:val="002D68C5"/>
    <w:rsid w:val="002D68EC"/>
    <w:rsid w:val="002D6952"/>
    <w:rsid w:val="002D69CC"/>
    <w:rsid w:val="002D6AF4"/>
    <w:rsid w:val="002D7030"/>
    <w:rsid w:val="002D718C"/>
    <w:rsid w:val="002D771F"/>
    <w:rsid w:val="002D776D"/>
    <w:rsid w:val="002D784F"/>
    <w:rsid w:val="002D7B1B"/>
    <w:rsid w:val="002D7EF1"/>
    <w:rsid w:val="002E00AC"/>
    <w:rsid w:val="002E013F"/>
    <w:rsid w:val="002E0205"/>
    <w:rsid w:val="002E03D3"/>
    <w:rsid w:val="002E07F6"/>
    <w:rsid w:val="002E0947"/>
    <w:rsid w:val="002E0C1A"/>
    <w:rsid w:val="002E0C43"/>
    <w:rsid w:val="002E0C74"/>
    <w:rsid w:val="002E0CA8"/>
    <w:rsid w:val="002E0DA3"/>
    <w:rsid w:val="002E113C"/>
    <w:rsid w:val="002E12B7"/>
    <w:rsid w:val="002E1431"/>
    <w:rsid w:val="002E1678"/>
    <w:rsid w:val="002E1799"/>
    <w:rsid w:val="002E19BD"/>
    <w:rsid w:val="002E1AD3"/>
    <w:rsid w:val="002E1FD3"/>
    <w:rsid w:val="002E202A"/>
    <w:rsid w:val="002E23D8"/>
    <w:rsid w:val="002E23E7"/>
    <w:rsid w:val="002E258E"/>
    <w:rsid w:val="002E2785"/>
    <w:rsid w:val="002E28C2"/>
    <w:rsid w:val="002E2C17"/>
    <w:rsid w:val="002E2D80"/>
    <w:rsid w:val="002E2DCB"/>
    <w:rsid w:val="002E2E2A"/>
    <w:rsid w:val="002E3046"/>
    <w:rsid w:val="002E31A5"/>
    <w:rsid w:val="002E3530"/>
    <w:rsid w:val="002E362A"/>
    <w:rsid w:val="002E364C"/>
    <w:rsid w:val="002E37BA"/>
    <w:rsid w:val="002E3828"/>
    <w:rsid w:val="002E39A7"/>
    <w:rsid w:val="002E3B87"/>
    <w:rsid w:val="002E3C93"/>
    <w:rsid w:val="002E3C98"/>
    <w:rsid w:val="002E3D5F"/>
    <w:rsid w:val="002E3E1A"/>
    <w:rsid w:val="002E3E3A"/>
    <w:rsid w:val="002E3E6E"/>
    <w:rsid w:val="002E3F09"/>
    <w:rsid w:val="002E427C"/>
    <w:rsid w:val="002E4364"/>
    <w:rsid w:val="002E444F"/>
    <w:rsid w:val="002E46FA"/>
    <w:rsid w:val="002E486F"/>
    <w:rsid w:val="002E48D6"/>
    <w:rsid w:val="002E4BD7"/>
    <w:rsid w:val="002E4D09"/>
    <w:rsid w:val="002E4F64"/>
    <w:rsid w:val="002E5020"/>
    <w:rsid w:val="002E5069"/>
    <w:rsid w:val="002E50B3"/>
    <w:rsid w:val="002E51F6"/>
    <w:rsid w:val="002E5232"/>
    <w:rsid w:val="002E5379"/>
    <w:rsid w:val="002E55B7"/>
    <w:rsid w:val="002E578B"/>
    <w:rsid w:val="002E57DD"/>
    <w:rsid w:val="002E5CB6"/>
    <w:rsid w:val="002E5D68"/>
    <w:rsid w:val="002E5E7A"/>
    <w:rsid w:val="002E63A2"/>
    <w:rsid w:val="002E645C"/>
    <w:rsid w:val="002E6651"/>
    <w:rsid w:val="002E666B"/>
    <w:rsid w:val="002E6BCA"/>
    <w:rsid w:val="002E6BFE"/>
    <w:rsid w:val="002E6D07"/>
    <w:rsid w:val="002E6D30"/>
    <w:rsid w:val="002E6E3D"/>
    <w:rsid w:val="002E6F03"/>
    <w:rsid w:val="002E7029"/>
    <w:rsid w:val="002E707C"/>
    <w:rsid w:val="002E76E2"/>
    <w:rsid w:val="002E7704"/>
    <w:rsid w:val="002E7AC2"/>
    <w:rsid w:val="002E7B23"/>
    <w:rsid w:val="002E7F61"/>
    <w:rsid w:val="002E7F84"/>
    <w:rsid w:val="002F00BB"/>
    <w:rsid w:val="002F032A"/>
    <w:rsid w:val="002F03A0"/>
    <w:rsid w:val="002F0411"/>
    <w:rsid w:val="002F0762"/>
    <w:rsid w:val="002F07E2"/>
    <w:rsid w:val="002F08E2"/>
    <w:rsid w:val="002F0A84"/>
    <w:rsid w:val="002F0C17"/>
    <w:rsid w:val="002F0DEB"/>
    <w:rsid w:val="002F0E4C"/>
    <w:rsid w:val="002F0EEE"/>
    <w:rsid w:val="002F0EFB"/>
    <w:rsid w:val="002F129E"/>
    <w:rsid w:val="002F12FE"/>
    <w:rsid w:val="002F1844"/>
    <w:rsid w:val="002F18CA"/>
    <w:rsid w:val="002F1B5A"/>
    <w:rsid w:val="002F1BDF"/>
    <w:rsid w:val="002F1D5A"/>
    <w:rsid w:val="002F1D9F"/>
    <w:rsid w:val="002F1F95"/>
    <w:rsid w:val="002F2431"/>
    <w:rsid w:val="002F262E"/>
    <w:rsid w:val="002F2AB4"/>
    <w:rsid w:val="002F2DD9"/>
    <w:rsid w:val="002F306E"/>
    <w:rsid w:val="002F3102"/>
    <w:rsid w:val="002F3352"/>
    <w:rsid w:val="002F3385"/>
    <w:rsid w:val="002F355F"/>
    <w:rsid w:val="002F36D9"/>
    <w:rsid w:val="002F36FB"/>
    <w:rsid w:val="002F39E5"/>
    <w:rsid w:val="002F3B29"/>
    <w:rsid w:val="002F3D37"/>
    <w:rsid w:val="002F3D91"/>
    <w:rsid w:val="002F43A4"/>
    <w:rsid w:val="002F45CE"/>
    <w:rsid w:val="002F489F"/>
    <w:rsid w:val="002F48E0"/>
    <w:rsid w:val="002F4982"/>
    <w:rsid w:val="002F4A72"/>
    <w:rsid w:val="002F4AE1"/>
    <w:rsid w:val="002F4C0F"/>
    <w:rsid w:val="002F4C93"/>
    <w:rsid w:val="002F4CF2"/>
    <w:rsid w:val="002F4D9B"/>
    <w:rsid w:val="002F4F42"/>
    <w:rsid w:val="002F50BF"/>
    <w:rsid w:val="002F50C3"/>
    <w:rsid w:val="002F53AD"/>
    <w:rsid w:val="002F5512"/>
    <w:rsid w:val="002F5AAF"/>
    <w:rsid w:val="002F5B32"/>
    <w:rsid w:val="002F5BE2"/>
    <w:rsid w:val="002F60C8"/>
    <w:rsid w:val="002F6281"/>
    <w:rsid w:val="002F6351"/>
    <w:rsid w:val="002F6886"/>
    <w:rsid w:val="002F6959"/>
    <w:rsid w:val="002F6C36"/>
    <w:rsid w:val="002F6F18"/>
    <w:rsid w:val="002F70CC"/>
    <w:rsid w:val="002F7270"/>
    <w:rsid w:val="002F7282"/>
    <w:rsid w:val="002F72E9"/>
    <w:rsid w:val="002F73AA"/>
    <w:rsid w:val="002F7472"/>
    <w:rsid w:val="002F74E0"/>
    <w:rsid w:val="002F7510"/>
    <w:rsid w:val="002F75A9"/>
    <w:rsid w:val="002F77B6"/>
    <w:rsid w:val="002F78A3"/>
    <w:rsid w:val="002F7902"/>
    <w:rsid w:val="002F790C"/>
    <w:rsid w:val="002F7A8D"/>
    <w:rsid w:val="002F7F0F"/>
    <w:rsid w:val="0030002E"/>
    <w:rsid w:val="003000BE"/>
    <w:rsid w:val="00300494"/>
    <w:rsid w:val="0030071A"/>
    <w:rsid w:val="003007C7"/>
    <w:rsid w:val="00300855"/>
    <w:rsid w:val="003008CE"/>
    <w:rsid w:val="00300B7F"/>
    <w:rsid w:val="00300BAF"/>
    <w:rsid w:val="0030102E"/>
    <w:rsid w:val="00301124"/>
    <w:rsid w:val="003014B8"/>
    <w:rsid w:val="003014E3"/>
    <w:rsid w:val="003015A2"/>
    <w:rsid w:val="003016E2"/>
    <w:rsid w:val="003017CD"/>
    <w:rsid w:val="0030196E"/>
    <w:rsid w:val="003019D0"/>
    <w:rsid w:val="00301B7E"/>
    <w:rsid w:val="00301D71"/>
    <w:rsid w:val="00301EE6"/>
    <w:rsid w:val="00301F4E"/>
    <w:rsid w:val="00301F68"/>
    <w:rsid w:val="0030204A"/>
    <w:rsid w:val="00302076"/>
    <w:rsid w:val="00302179"/>
    <w:rsid w:val="00302472"/>
    <w:rsid w:val="003024DF"/>
    <w:rsid w:val="003027C8"/>
    <w:rsid w:val="00302901"/>
    <w:rsid w:val="00302A11"/>
    <w:rsid w:val="00302E1A"/>
    <w:rsid w:val="00302EA0"/>
    <w:rsid w:val="00302EEB"/>
    <w:rsid w:val="003032BA"/>
    <w:rsid w:val="003033D0"/>
    <w:rsid w:val="00303453"/>
    <w:rsid w:val="003034AD"/>
    <w:rsid w:val="0030373C"/>
    <w:rsid w:val="003037A8"/>
    <w:rsid w:val="00303B00"/>
    <w:rsid w:val="00303FE6"/>
    <w:rsid w:val="003041B6"/>
    <w:rsid w:val="00304261"/>
    <w:rsid w:val="0030432B"/>
    <w:rsid w:val="003045CC"/>
    <w:rsid w:val="00304606"/>
    <w:rsid w:val="003046DD"/>
    <w:rsid w:val="00304796"/>
    <w:rsid w:val="003048F0"/>
    <w:rsid w:val="00304A44"/>
    <w:rsid w:val="00304B16"/>
    <w:rsid w:val="00304B82"/>
    <w:rsid w:val="00304C02"/>
    <w:rsid w:val="00304C32"/>
    <w:rsid w:val="00304EBD"/>
    <w:rsid w:val="00304F2F"/>
    <w:rsid w:val="0030500D"/>
    <w:rsid w:val="00305034"/>
    <w:rsid w:val="00305059"/>
    <w:rsid w:val="00305171"/>
    <w:rsid w:val="003053D3"/>
    <w:rsid w:val="003053E9"/>
    <w:rsid w:val="00305441"/>
    <w:rsid w:val="00305547"/>
    <w:rsid w:val="00305C81"/>
    <w:rsid w:val="00305FAA"/>
    <w:rsid w:val="00306147"/>
    <w:rsid w:val="0030614B"/>
    <w:rsid w:val="0030640F"/>
    <w:rsid w:val="0030642D"/>
    <w:rsid w:val="0030669E"/>
    <w:rsid w:val="003067DB"/>
    <w:rsid w:val="003069DD"/>
    <w:rsid w:val="00306C33"/>
    <w:rsid w:val="00306CCC"/>
    <w:rsid w:val="00306D0F"/>
    <w:rsid w:val="00306E26"/>
    <w:rsid w:val="00306FA1"/>
    <w:rsid w:val="00307008"/>
    <w:rsid w:val="00307508"/>
    <w:rsid w:val="003076CB"/>
    <w:rsid w:val="00307754"/>
    <w:rsid w:val="003077C9"/>
    <w:rsid w:val="003078DA"/>
    <w:rsid w:val="00307B69"/>
    <w:rsid w:val="00307C3E"/>
    <w:rsid w:val="00307CC8"/>
    <w:rsid w:val="00307E60"/>
    <w:rsid w:val="00307F5E"/>
    <w:rsid w:val="00310459"/>
    <w:rsid w:val="00310515"/>
    <w:rsid w:val="003105C2"/>
    <w:rsid w:val="00310A16"/>
    <w:rsid w:val="00310D92"/>
    <w:rsid w:val="00310EB3"/>
    <w:rsid w:val="003112AA"/>
    <w:rsid w:val="00311685"/>
    <w:rsid w:val="00311B4C"/>
    <w:rsid w:val="00311BC0"/>
    <w:rsid w:val="00311CF4"/>
    <w:rsid w:val="00311D57"/>
    <w:rsid w:val="00311F3C"/>
    <w:rsid w:val="00311F58"/>
    <w:rsid w:val="00311FB0"/>
    <w:rsid w:val="0031205F"/>
    <w:rsid w:val="0031215C"/>
    <w:rsid w:val="003121DD"/>
    <w:rsid w:val="00312229"/>
    <w:rsid w:val="003122D8"/>
    <w:rsid w:val="0031249F"/>
    <w:rsid w:val="00312539"/>
    <w:rsid w:val="0031288D"/>
    <w:rsid w:val="0031297C"/>
    <w:rsid w:val="00312ACC"/>
    <w:rsid w:val="00312AEB"/>
    <w:rsid w:val="00312B88"/>
    <w:rsid w:val="00312BA8"/>
    <w:rsid w:val="00312F00"/>
    <w:rsid w:val="00312F6D"/>
    <w:rsid w:val="00313098"/>
    <w:rsid w:val="003132E7"/>
    <w:rsid w:val="00313548"/>
    <w:rsid w:val="003135E7"/>
    <w:rsid w:val="0031385A"/>
    <w:rsid w:val="003138C6"/>
    <w:rsid w:val="0031399B"/>
    <w:rsid w:val="003139E8"/>
    <w:rsid w:val="00313A1E"/>
    <w:rsid w:val="00313A3A"/>
    <w:rsid w:val="00313A8B"/>
    <w:rsid w:val="00313FB2"/>
    <w:rsid w:val="00313FF7"/>
    <w:rsid w:val="00314034"/>
    <w:rsid w:val="0031404C"/>
    <w:rsid w:val="00314145"/>
    <w:rsid w:val="00314485"/>
    <w:rsid w:val="00314496"/>
    <w:rsid w:val="00314564"/>
    <w:rsid w:val="00314756"/>
    <w:rsid w:val="00314A38"/>
    <w:rsid w:val="00314B38"/>
    <w:rsid w:val="00314D34"/>
    <w:rsid w:val="00314E43"/>
    <w:rsid w:val="003151AF"/>
    <w:rsid w:val="0031552D"/>
    <w:rsid w:val="003159E3"/>
    <w:rsid w:val="00315BAA"/>
    <w:rsid w:val="00315CAE"/>
    <w:rsid w:val="00315D7B"/>
    <w:rsid w:val="00315E8E"/>
    <w:rsid w:val="00316085"/>
    <w:rsid w:val="00316242"/>
    <w:rsid w:val="003163AD"/>
    <w:rsid w:val="003163B5"/>
    <w:rsid w:val="00316522"/>
    <w:rsid w:val="00316764"/>
    <w:rsid w:val="003167A5"/>
    <w:rsid w:val="00316883"/>
    <w:rsid w:val="00316958"/>
    <w:rsid w:val="00316A86"/>
    <w:rsid w:val="00316AEA"/>
    <w:rsid w:val="00316B49"/>
    <w:rsid w:val="00316E70"/>
    <w:rsid w:val="00316EF8"/>
    <w:rsid w:val="00316F1E"/>
    <w:rsid w:val="00316FBC"/>
    <w:rsid w:val="00316FF9"/>
    <w:rsid w:val="00317008"/>
    <w:rsid w:val="003172B4"/>
    <w:rsid w:val="003173DB"/>
    <w:rsid w:val="0031742D"/>
    <w:rsid w:val="00317C72"/>
    <w:rsid w:val="00317E58"/>
    <w:rsid w:val="00317E84"/>
    <w:rsid w:val="00317F43"/>
    <w:rsid w:val="00317FB4"/>
    <w:rsid w:val="00317FC1"/>
    <w:rsid w:val="0032000D"/>
    <w:rsid w:val="003201B2"/>
    <w:rsid w:val="0032063B"/>
    <w:rsid w:val="00320756"/>
    <w:rsid w:val="0032099F"/>
    <w:rsid w:val="00320A54"/>
    <w:rsid w:val="00320BBB"/>
    <w:rsid w:val="00320C1F"/>
    <w:rsid w:val="00320DFE"/>
    <w:rsid w:val="0032119A"/>
    <w:rsid w:val="00321217"/>
    <w:rsid w:val="003214FA"/>
    <w:rsid w:val="00321A72"/>
    <w:rsid w:val="00321FAD"/>
    <w:rsid w:val="003224EF"/>
    <w:rsid w:val="00322693"/>
    <w:rsid w:val="0032270F"/>
    <w:rsid w:val="00322908"/>
    <w:rsid w:val="00322DCE"/>
    <w:rsid w:val="00322EB1"/>
    <w:rsid w:val="00323043"/>
    <w:rsid w:val="00323420"/>
    <w:rsid w:val="00323521"/>
    <w:rsid w:val="003235F1"/>
    <w:rsid w:val="00323658"/>
    <w:rsid w:val="00323671"/>
    <w:rsid w:val="003237F1"/>
    <w:rsid w:val="00323B77"/>
    <w:rsid w:val="00323D64"/>
    <w:rsid w:val="00323EFB"/>
    <w:rsid w:val="003240F1"/>
    <w:rsid w:val="003243CF"/>
    <w:rsid w:val="0032442D"/>
    <w:rsid w:val="003245C2"/>
    <w:rsid w:val="0032470E"/>
    <w:rsid w:val="0032473B"/>
    <w:rsid w:val="00324765"/>
    <w:rsid w:val="00324899"/>
    <w:rsid w:val="00324A0B"/>
    <w:rsid w:val="00324B3D"/>
    <w:rsid w:val="00324CAE"/>
    <w:rsid w:val="00324D4B"/>
    <w:rsid w:val="0032505A"/>
    <w:rsid w:val="003252F0"/>
    <w:rsid w:val="00325369"/>
    <w:rsid w:val="0032537B"/>
    <w:rsid w:val="00325684"/>
    <w:rsid w:val="003256BF"/>
    <w:rsid w:val="00325B98"/>
    <w:rsid w:val="00325B9E"/>
    <w:rsid w:val="00325D46"/>
    <w:rsid w:val="00325DDB"/>
    <w:rsid w:val="00326172"/>
    <w:rsid w:val="00326463"/>
    <w:rsid w:val="003264F8"/>
    <w:rsid w:val="0032654A"/>
    <w:rsid w:val="003266E3"/>
    <w:rsid w:val="003268CE"/>
    <w:rsid w:val="0032698E"/>
    <w:rsid w:val="00326B7D"/>
    <w:rsid w:val="00326E69"/>
    <w:rsid w:val="00326EBE"/>
    <w:rsid w:val="00327042"/>
    <w:rsid w:val="0032706C"/>
    <w:rsid w:val="00327481"/>
    <w:rsid w:val="003274B4"/>
    <w:rsid w:val="003274B7"/>
    <w:rsid w:val="003276FD"/>
    <w:rsid w:val="0032780E"/>
    <w:rsid w:val="003278F0"/>
    <w:rsid w:val="00327A63"/>
    <w:rsid w:val="00327A6F"/>
    <w:rsid w:val="00327BD7"/>
    <w:rsid w:val="00327D3E"/>
    <w:rsid w:val="00327DBB"/>
    <w:rsid w:val="00327EE5"/>
    <w:rsid w:val="00330024"/>
    <w:rsid w:val="00330301"/>
    <w:rsid w:val="0033036F"/>
    <w:rsid w:val="0033077D"/>
    <w:rsid w:val="00330A14"/>
    <w:rsid w:val="00330B29"/>
    <w:rsid w:val="00330B32"/>
    <w:rsid w:val="00330BE2"/>
    <w:rsid w:val="00330DAF"/>
    <w:rsid w:val="00330E60"/>
    <w:rsid w:val="00330EC9"/>
    <w:rsid w:val="00330ECD"/>
    <w:rsid w:val="003310F1"/>
    <w:rsid w:val="00331424"/>
    <w:rsid w:val="003316C3"/>
    <w:rsid w:val="00331717"/>
    <w:rsid w:val="0033173B"/>
    <w:rsid w:val="0033188C"/>
    <w:rsid w:val="00331A9F"/>
    <w:rsid w:val="00331EE0"/>
    <w:rsid w:val="00331F04"/>
    <w:rsid w:val="00332412"/>
    <w:rsid w:val="00332453"/>
    <w:rsid w:val="00332552"/>
    <w:rsid w:val="00332717"/>
    <w:rsid w:val="0033276B"/>
    <w:rsid w:val="003328CA"/>
    <w:rsid w:val="003328EA"/>
    <w:rsid w:val="00332960"/>
    <w:rsid w:val="00332A3D"/>
    <w:rsid w:val="00332A74"/>
    <w:rsid w:val="00332A83"/>
    <w:rsid w:val="00332D01"/>
    <w:rsid w:val="00333000"/>
    <w:rsid w:val="003330E5"/>
    <w:rsid w:val="003331FE"/>
    <w:rsid w:val="0033336A"/>
    <w:rsid w:val="003334C4"/>
    <w:rsid w:val="00333636"/>
    <w:rsid w:val="00333BB7"/>
    <w:rsid w:val="00333D32"/>
    <w:rsid w:val="00334041"/>
    <w:rsid w:val="003341E8"/>
    <w:rsid w:val="00334432"/>
    <w:rsid w:val="0033445A"/>
    <w:rsid w:val="003345F3"/>
    <w:rsid w:val="003349D9"/>
    <w:rsid w:val="00334EB6"/>
    <w:rsid w:val="00335109"/>
    <w:rsid w:val="003353F3"/>
    <w:rsid w:val="00335C46"/>
    <w:rsid w:val="00335ED6"/>
    <w:rsid w:val="003363E3"/>
    <w:rsid w:val="00336416"/>
    <w:rsid w:val="00336626"/>
    <w:rsid w:val="0033662A"/>
    <w:rsid w:val="00336B8B"/>
    <w:rsid w:val="00336D93"/>
    <w:rsid w:val="00336FEA"/>
    <w:rsid w:val="003374E0"/>
    <w:rsid w:val="003375E4"/>
    <w:rsid w:val="003375EF"/>
    <w:rsid w:val="00337700"/>
    <w:rsid w:val="00337762"/>
    <w:rsid w:val="00337A40"/>
    <w:rsid w:val="00337AA5"/>
    <w:rsid w:val="00337BDF"/>
    <w:rsid w:val="00337C2F"/>
    <w:rsid w:val="00337C77"/>
    <w:rsid w:val="00337CED"/>
    <w:rsid w:val="0034004D"/>
    <w:rsid w:val="0034015F"/>
    <w:rsid w:val="003403AE"/>
    <w:rsid w:val="0034080C"/>
    <w:rsid w:val="00340876"/>
    <w:rsid w:val="00340B8B"/>
    <w:rsid w:val="00340D29"/>
    <w:rsid w:val="00340E45"/>
    <w:rsid w:val="0034115F"/>
    <w:rsid w:val="0034149C"/>
    <w:rsid w:val="0034166F"/>
    <w:rsid w:val="0034181E"/>
    <w:rsid w:val="00341E5F"/>
    <w:rsid w:val="0034238C"/>
    <w:rsid w:val="00342453"/>
    <w:rsid w:val="00342529"/>
    <w:rsid w:val="00342556"/>
    <w:rsid w:val="0034261A"/>
    <w:rsid w:val="003426AA"/>
    <w:rsid w:val="00342736"/>
    <w:rsid w:val="0034286E"/>
    <w:rsid w:val="00342D11"/>
    <w:rsid w:val="00342E5C"/>
    <w:rsid w:val="00343087"/>
    <w:rsid w:val="00343571"/>
    <w:rsid w:val="0034361F"/>
    <w:rsid w:val="00343787"/>
    <w:rsid w:val="00343867"/>
    <w:rsid w:val="00343954"/>
    <w:rsid w:val="003439B5"/>
    <w:rsid w:val="00343AD0"/>
    <w:rsid w:val="00344169"/>
    <w:rsid w:val="003445C9"/>
    <w:rsid w:val="0034468C"/>
    <w:rsid w:val="003449B4"/>
    <w:rsid w:val="00344BBF"/>
    <w:rsid w:val="00344F59"/>
    <w:rsid w:val="003453C5"/>
    <w:rsid w:val="003453E2"/>
    <w:rsid w:val="003453ED"/>
    <w:rsid w:val="00345749"/>
    <w:rsid w:val="00345AD4"/>
    <w:rsid w:val="00345CDA"/>
    <w:rsid w:val="00345EAB"/>
    <w:rsid w:val="003460EF"/>
    <w:rsid w:val="0034647A"/>
    <w:rsid w:val="003464FE"/>
    <w:rsid w:val="0034660E"/>
    <w:rsid w:val="003466B8"/>
    <w:rsid w:val="00346812"/>
    <w:rsid w:val="00346AAA"/>
    <w:rsid w:val="00346C3F"/>
    <w:rsid w:val="00346D91"/>
    <w:rsid w:val="00347235"/>
    <w:rsid w:val="0034741C"/>
    <w:rsid w:val="00347545"/>
    <w:rsid w:val="00347671"/>
    <w:rsid w:val="00347985"/>
    <w:rsid w:val="00347B7B"/>
    <w:rsid w:val="00347E06"/>
    <w:rsid w:val="00350274"/>
    <w:rsid w:val="0035037C"/>
    <w:rsid w:val="003503E9"/>
    <w:rsid w:val="003505F8"/>
    <w:rsid w:val="00350834"/>
    <w:rsid w:val="00350A04"/>
    <w:rsid w:val="00350AAC"/>
    <w:rsid w:val="00350B85"/>
    <w:rsid w:val="00350E45"/>
    <w:rsid w:val="003510AB"/>
    <w:rsid w:val="003511FF"/>
    <w:rsid w:val="0035177D"/>
    <w:rsid w:val="003519C9"/>
    <w:rsid w:val="00351A5C"/>
    <w:rsid w:val="00351D41"/>
    <w:rsid w:val="00351F9C"/>
    <w:rsid w:val="0035263F"/>
    <w:rsid w:val="00352655"/>
    <w:rsid w:val="00352845"/>
    <w:rsid w:val="00352C71"/>
    <w:rsid w:val="00352D7B"/>
    <w:rsid w:val="00352D86"/>
    <w:rsid w:val="00352F16"/>
    <w:rsid w:val="003530F3"/>
    <w:rsid w:val="00353294"/>
    <w:rsid w:val="0035351B"/>
    <w:rsid w:val="00353EF4"/>
    <w:rsid w:val="00354133"/>
    <w:rsid w:val="003544C2"/>
    <w:rsid w:val="00354681"/>
    <w:rsid w:val="003547BA"/>
    <w:rsid w:val="003548BF"/>
    <w:rsid w:val="003549C6"/>
    <w:rsid w:val="00354B0F"/>
    <w:rsid w:val="00354BF5"/>
    <w:rsid w:val="00354C22"/>
    <w:rsid w:val="00354EA7"/>
    <w:rsid w:val="00354EEA"/>
    <w:rsid w:val="0035527F"/>
    <w:rsid w:val="003552ED"/>
    <w:rsid w:val="00355614"/>
    <w:rsid w:val="0035595B"/>
    <w:rsid w:val="00355A1C"/>
    <w:rsid w:val="00355AEA"/>
    <w:rsid w:val="00355CCF"/>
    <w:rsid w:val="00355DA0"/>
    <w:rsid w:val="00355E57"/>
    <w:rsid w:val="00356155"/>
    <w:rsid w:val="00356273"/>
    <w:rsid w:val="0035635D"/>
    <w:rsid w:val="003569A4"/>
    <w:rsid w:val="00356B2A"/>
    <w:rsid w:val="00356B31"/>
    <w:rsid w:val="00356C57"/>
    <w:rsid w:val="00356E49"/>
    <w:rsid w:val="00357155"/>
    <w:rsid w:val="00357508"/>
    <w:rsid w:val="00357ACA"/>
    <w:rsid w:val="00357D48"/>
    <w:rsid w:val="00357FF4"/>
    <w:rsid w:val="00360103"/>
    <w:rsid w:val="00360297"/>
    <w:rsid w:val="00360756"/>
    <w:rsid w:val="0036089A"/>
    <w:rsid w:val="0036091A"/>
    <w:rsid w:val="00360A53"/>
    <w:rsid w:val="00360CBB"/>
    <w:rsid w:val="00360DBA"/>
    <w:rsid w:val="00360E95"/>
    <w:rsid w:val="00360F24"/>
    <w:rsid w:val="00360FF9"/>
    <w:rsid w:val="003617C4"/>
    <w:rsid w:val="0036195B"/>
    <w:rsid w:val="00361A24"/>
    <w:rsid w:val="00361C03"/>
    <w:rsid w:val="00361CC9"/>
    <w:rsid w:val="00361E91"/>
    <w:rsid w:val="003621A1"/>
    <w:rsid w:val="0036227A"/>
    <w:rsid w:val="0036234D"/>
    <w:rsid w:val="0036266D"/>
    <w:rsid w:val="003626BC"/>
    <w:rsid w:val="003629E8"/>
    <w:rsid w:val="00362A6C"/>
    <w:rsid w:val="00362AD9"/>
    <w:rsid w:val="00362D37"/>
    <w:rsid w:val="00362E81"/>
    <w:rsid w:val="00362EBC"/>
    <w:rsid w:val="00362F83"/>
    <w:rsid w:val="003630B3"/>
    <w:rsid w:val="003632D6"/>
    <w:rsid w:val="00363839"/>
    <w:rsid w:val="00363A01"/>
    <w:rsid w:val="00363BC1"/>
    <w:rsid w:val="00363BEE"/>
    <w:rsid w:val="00363CE9"/>
    <w:rsid w:val="00364012"/>
    <w:rsid w:val="00364227"/>
    <w:rsid w:val="0036453F"/>
    <w:rsid w:val="0036464F"/>
    <w:rsid w:val="00364655"/>
    <w:rsid w:val="00364A1C"/>
    <w:rsid w:val="00364B41"/>
    <w:rsid w:val="00364C20"/>
    <w:rsid w:val="00365195"/>
    <w:rsid w:val="00365464"/>
    <w:rsid w:val="003654A2"/>
    <w:rsid w:val="00365915"/>
    <w:rsid w:val="00365B50"/>
    <w:rsid w:val="00365BB3"/>
    <w:rsid w:val="00365E8E"/>
    <w:rsid w:val="00365F04"/>
    <w:rsid w:val="00366049"/>
    <w:rsid w:val="003661B3"/>
    <w:rsid w:val="00366213"/>
    <w:rsid w:val="003664D4"/>
    <w:rsid w:val="00366759"/>
    <w:rsid w:val="00366890"/>
    <w:rsid w:val="00366969"/>
    <w:rsid w:val="003669A0"/>
    <w:rsid w:val="00366A37"/>
    <w:rsid w:val="00366B48"/>
    <w:rsid w:val="00366CBA"/>
    <w:rsid w:val="00366CF4"/>
    <w:rsid w:val="00366D09"/>
    <w:rsid w:val="00366D20"/>
    <w:rsid w:val="00366D64"/>
    <w:rsid w:val="0036703A"/>
    <w:rsid w:val="003672F3"/>
    <w:rsid w:val="00367313"/>
    <w:rsid w:val="003673E9"/>
    <w:rsid w:val="00367548"/>
    <w:rsid w:val="0036768F"/>
    <w:rsid w:val="00367A7F"/>
    <w:rsid w:val="00367B96"/>
    <w:rsid w:val="00367D05"/>
    <w:rsid w:val="0037012B"/>
    <w:rsid w:val="00370423"/>
    <w:rsid w:val="00370608"/>
    <w:rsid w:val="0037088A"/>
    <w:rsid w:val="0037091A"/>
    <w:rsid w:val="0037094A"/>
    <w:rsid w:val="00370A0A"/>
    <w:rsid w:val="00370A44"/>
    <w:rsid w:val="00370C81"/>
    <w:rsid w:val="00370D10"/>
    <w:rsid w:val="00370D64"/>
    <w:rsid w:val="00370E90"/>
    <w:rsid w:val="00370ED6"/>
    <w:rsid w:val="003710DB"/>
    <w:rsid w:val="003710FD"/>
    <w:rsid w:val="003711A4"/>
    <w:rsid w:val="00371C8A"/>
    <w:rsid w:val="00371F8D"/>
    <w:rsid w:val="00372254"/>
    <w:rsid w:val="0037225A"/>
    <w:rsid w:val="003725C4"/>
    <w:rsid w:val="003725F5"/>
    <w:rsid w:val="003726F6"/>
    <w:rsid w:val="0037285E"/>
    <w:rsid w:val="00372867"/>
    <w:rsid w:val="003728DA"/>
    <w:rsid w:val="00372A45"/>
    <w:rsid w:val="00372BBB"/>
    <w:rsid w:val="00372E2A"/>
    <w:rsid w:val="00372E3C"/>
    <w:rsid w:val="0037303F"/>
    <w:rsid w:val="0037314C"/>
    <w:rsid w:val="00373351"/>
    <w:rsid w:val="00373430"/>
    <w:rsid w:val="00373451"/>
    <w:rsid w:val="00373831"/>
    <w:rsid w:val="00373A73"/>
    <w:rsid w:val="00373AEC"/>
    <w:rsid w:val="00373B0C"/>
    <w:rsid w:val="00373B28"/>
    <w:rsid w:val="00373BB4"/>
    <w:rsid w:val="00373E87"/>
    <w:rsid w:val="0037408F"/>
    <w:rsid w:val="00374167"/>
    <w:rsid w:val="003744E7"/>
    <w:rsid w:val="00374509"/>
    <w:rsid w:val="00374848"/>
    <w:rsid w:val="003748D1"/>
    <w:rsid w:val="00374BE3"/>
    <w:rsid w:val="00374DB0"/>
    <w:rsid w:val="00374DDB"/>
    <w:rsid w:val="00374E6C"/>
    <w:rsid w:val="00374E7D"/>
    <w:rsid w:val="00374F3E"/>
    <w:rsid w:val="003750EE"/>
    <w:rsid w:val="0037547A"/>
    <w:rsid w:val="00375771"/>
    <w:rsid w:val="00375781"/>
    <w:rsid w:val="003757C3"/>
    <w:rsid w:val="00375A8C"/>
    <w:rsid w:val="00375B00"/>
    <w:rsid w:val="00375B18"/>
    <w:rsid w:val="0037612C"/>
    <w:rsid w:val="00376247"/>
    <w:rsid w:val="0037660E"/>
    <w:rsid w:val="003766A8"/>
    <w:rsid w:val="003767E1"/>
    <w:rsid w:val="00376CD2"/>
    <w:rsid w:val="0037727A"/>
    <w:rsid w:val="0037748F"/>
    <w:rsid w:val="0037761A"/>
    <w:rsid w:val="003777F0"/>
    <w:rsid w:val="0037791D"/>
    <w:rsid w:val="00377939"/>
    <w:rsid w:val="003779B9"/>
    <w:rsid w:val="00377DE8"/>
    <w:rsid w:val="00377F38"/>
    <w:rsid w:val="003802D4"/>
    <w:rsid w:val="0038051B"/>
    <w:rsid w:val="003807EB"/>
    <w:rsid w:val="00380A51"/>
    <w:rsid w:val="00380BFC"/>
    <w:rsid w:val="00380CB9"/>
    <w:rsid w:val="00380E65"/>
    <w:rsid w:val="00380F25"/>
    <w:rsid w:val="00381057"/>
    <w:rsid w:val="0038107F"/>
    <w:rsid w:val="00381196"/>
    <w:rsid w:val="0038140D"/>
    <w:rsid w:val="003817CB"/>
    <w:rsid w:val="00381805"/>
    <w:rsid w:val="0038194A"/>
    <w:rsid w:val="00381A50"/>
    <w:rsid w:val="00381AFE"/>
    <w:rsid w:val="00381C4E"/>
    <w:rsid w:val="00381CCB"/>
    <w:rsid w:val="00381F92"/>
    <w:rsid w:val="003820BB"/>
    <w:rsid w:val="003820E3"/>
    <w:rsid w:val="00382424"/>
    <w:rsid w:val="003824C7"/>
    <w:rsid w:val="003825B9"/>
    <w:rsid w:val="0038293D"/>
    <w:rsid w:val="00382C9C"/>
    <w:rsid w:val="00383061"/>
    <w:rsid w:val="003830DB"/>
    <w:rsid w:val="00383131"/>
    <w:rsid w:val="00383220"/>
    <w:rsid w:val="00383517"/>
    <w:rsid w:val="003835CF"/>
    <w:rsid w:val="0038361C"/>
    <w:rsid w:val="003838FA"/>
    <w:rsid w:val="00383A69"/>
    <w:rsid w:val="00383DB8"/>
    <w:rsid w:val="0038425C"/>
    <w:rsid w:val="003842E5"/>
    <w:rsid w:val="003843DA"/>
    <w:rsid w:val="00384430"/>
    <w:rsid w:val="003845E3"/>
    <w:rsid w:val="00384814"/>
    <w:rsid w:val="00384B82"/>
    <w:rsid w:val="00384C1C"/>
    <w:rsid w:val="00384CF3"/>
    <w:rsid w:val="0038518F"/>
    <w:rsid w:val="003851A4"/>
    <w:rsid w:val="003851B6"/>
    <w:rsid w:val="0038520F"/>
    <w:rsid w:val="0038532B"/>
    <w:rsid w:val="003853D4"/>
    <w:rsid w:val="00385450"/>
    <w:rsid w:val="00385572"/>
    <w:rsid w:val="00385796"/>
    <w:rsid w:val="0038598A"/>
    <w:rsid w:val="00385C31"/>
    <w:rsid w:val="00385E49"/>
    <w:rsid w:val="00385E7B"/>
    <w:rsid w:val="003862A9"/>
    <w:rsid w:val="003866F6"/>
    <w:rsid w:val="0038678C"/>
    <w:rsid w:val="0038679C"/>
    <w:rsid w:val="003867D8"/>
    <w:rsid w:val="00386B46"/>
    <w:rsid w:val="00386BE8"/>
    <w:rsid w:val="00386C2C"/>
    <w:rsid w:val="00386EA6"/>
    <w:rsid w:val="00386F37"/>
    <w:rsid w:val="00386FAB"/>
    <w:rsid w:val="00387129"/>
    <w:rsid w:val="0038727E"/>
    <w:rsid w:val="003874A8"/>
    <w:rsid w:val="00387566"/>
    <w:rsid w:val="003875B7"/>
    <w:rsid w:val="003878F0"/>
    <w:rsid w:val="00387A34"/>
    <w:rsid w:val="00387B8F"/>
    <w:rsid w:val="00387BFD"/>
    <w:rsid w:val="00387E72"/>
    <w:rsid w:val="00387E76"/>
    <w:rsid w:val="00390887"/>
    <w:rsid w:val="00390A09"/>
    <w:rsid w:val="00390ADF"/>
    <w:rsid w:val="00390C80"/>
    <w:rsid w:val="00390C8E"/>
    <w:rsid w:val="00390D30"/>
    <w:rsid w:val="00391145"/>
    <w:rsid w:val="00391257"/>
    <w:rsid w:val="0039127F"/>
    <w:rsid w:val="0039135C"/>
    <w:rsid w:val="00391629"/>
    <w:rsid w:val="00391649"/>
    <w:rsid w:val="003917EE"/>
    <w:rsid w:val="0039197C"/>
    <w:rsid w:val="00391A31"/>
    <w:rsid w:val="00392267"/>
    <w:rsid w:val="003922B7"/>
    <w:rsid w:val="003927DC"/>
    <w:rsid w:val="003929E2"/>
    <w:rsid w:val="00392AF4"/>
    <w:rsid w:val="00392E2F"/>
    <w:rsid w:val="003932A4"/>
    <w:rsid w:val="00393336"/>
    <w:rsid w:val="003934AB"/>
    <w:rsid w:val="0039350B"/>
    <w:rsid w:val="00393620"/>
    <w:rsid w:val="0039363C"/>
    <w:rsid w:val="0039371F"/>
    <w:rsid w:val="00393981"/>
    <w:rsid w:val="00393C3C"/>
    <w:rsid w:val="00393D10"/>
    <w:rsid w:val="00393D73"/>
    <w:rsid w:val="00393ECB"/>
    <w:rsid w:val="00393FB0"/>
    <w:rsid w:val="00394339"/>
    <w:rsid w:val="003944B2"/>
    <w:rsid w:val="0039451C"/>
    <w:rsid w:val="0039455B"/>
    <w:rsid w:val="0039477A"/>
    <w:rsid w:val="00394822"/>
    <w:rsid w:val="00394A32"/>
    <w:rsid w:val="00394CDB"/>
    <w:rsid w:val="00394EAC"/>
    <w:rsid w:val="00394EDA"/>
    <w:rsid w:val="0039523B"/>
    <w:rsid w:val="0039568F"/>
    <w:rsid w:val="003956B7"/>
    <w:rsid w:val="003956C4"/>
    <w:rsid w:val="003957FC"/>
    <w:rsid w:val="003958E9"/>
    <w:rsid w:val="00395CC1"/>
    <w:rsid w:val="00395CD6"/>
    <w:rsid w:val="00395EA5"/>
    <w:rsid w:val="00396035"/>
    <w:rsid w:val="00396571"/>
    <w:rsid w:val="00396634"/>
    <w:rsid w:val="0039677B"/>
    <w:rsid w:val="0039692D"/>
    <w:rsid w:val="00396993"/>
    <w:rsid w:val="00396AED"/>
    <w:rsid w:val="00396B98"/>
    <w:rsid w:val="00396CBA"/>
    <w:rsid w:val="00396CFE"/>
    <w:rsid w:val="00396D4A"/>
    <w:rsid w:val="00396EE4"/>
    <w:rsid w:val="0039724C"/>
    <w:rsid w:val="00397317"/>
    <w:rsid w:val="0039744D"/>
    <w:rsid w:val="0039756A"/>
    <w:rsid w:val="003975F8"/>
    <w:rsid w:val="00397693"/>
    <w:rsid w:val="00397942"/>
    <w:rsid w:val="0039799F"/>
    <w:rsid w:val="003979E7"/>
    <w:rsid w:val="00397EC7"/>
    <w:rsid w:val="003A014A"/>
    <w:rsid w:val="003A035B"/>
    <w:rsid w:val="003A03B7"/>
    <w:rsid w:val="003A044D"/>
    <w:rsid w:val="003A0858"/>
    <w:rsid w:val="003A09DE"/>
    <w:rsid w:val="003A0B95"/>
    <w:rsid w:val="003A0BBC"/>
    <w:rsid w:val="003A0CBD"/>
    <w:rsid w:val="003A0CDE"/>
    <w:rsid w:val="003A1028"/>
    <w:rsid w:val="003A1461"/>
    <w:rsid w:val="003A1650"/>
    <w:rsid w:val="003A16D2"/>
    <w:rsid w:val="003A17AA"/>
    <w:rsid w:val="003A18E7"/>
    <w:rsid w:val="003A192C"/>
    <w:rsid w:val="003A1A66"/>
    <w:rsid w:val="003A1A98"/>
    <w:rsid w:val="003A1AEE"/>
    <w:rsid w:val="003A202E"/>
    <w:rsid w:val="003A25D7"/>
    <w:rsid w:val="003A2957"/>
    <w:rsid w:val="003A29AB"/>
    <w:rsid w:val="003A2AD4"/>
    <w:rsid w:val="003A2B63"/>
    <w:rsid w:val="003A2DA3"/>
    <w:rsid w:val="003A2E4C"/>
    <w:rsid w:val="003A2EA8"/>
    <w:rsid w:val="003A31A9"/>
    <w:rsid w:val="003A32B3"/>
    <w:rsid w:val="003A3C25"/>
    <w:rsid w:val="003A3CD0"/>
    <w:rsid w:val="003A4184"/>
    <w:rsid w:val="003A41C7"/>
    <w:rsid w:val="003A4374"/>
    <w:rsid w:val="003A45FE"/>
    <w:rsid w:val="003A4636"/>
    <w:rsid w:val="003A4696"/>
    <w:rsid w:val="003A4788"/>
    <w:rsid w:val="003A4882"/>
    <w:rsid w:val="003A4939"/>
    <w:rsid w:val="003A4F5F"/>
    <w:rsid w:val="003A4F9E"/>
    <w:rsid w:val="003A5138"/>
    <w:rsid w:val="003A53F2"/>
    <w:rsid w:val="003A55C5"/>
    <w:rsid w:val="003A5606"/>
    <w:rsid w:val="003A5B37"/>
    <w:rsid w:val="003A5D01"/>
    <w:rsid w:val="003A5DF7"/>
    <w:rsid w:val="003A60A8"/>
    <w:rsid w:val="003A62A5"/>
    <w:rsid w:val="003A637F"/>
    <w:rsid w:val="003A64A6"/>
    <w:rsid w:val="003A65BC"/>
    <w:rsid w:val="003A67AC"/>
    <w:rsid w:val="003A68F5"/>
    <w:rsid w:val="003A6ACB"/>
    <w:rsid w:val="003A6C25"/>
    <w:rsid w:val="003A6C31"/>
    <w:rsid w:val="003A6C5E"/>
    <w:rsid w:val="003A6D65"/>
    <w:rsid w:val="003A6E30"/>
    <w:rsid w:val="003A705A"/>
    <w:rsid w:val="003A70B6"/>
    <w:rsid w:val="003A72AD"/>
    <w:rsid w:val="003A7566"/>
    <w:rsid w:val="003A7578"/>
    <w:rsid w:val="003A7589"/>
    <w:rsid w:val="003A76A7"/>
    <w:rsid w:val="003A7743"/>
    <w:rsid w:val="003A7905"/>
    <w:rsid w:val="003A7A3D"/>
    <w:rsid w:val="003A7BC2"/>
    <w:rsid w:val="003A7C01"/>
    <w:rsid w:val="003B04F2"/>
    <w:rsid w:val="003B093B"/>
    <w:rsid w:val="003B0CA3"/>
    <w:rsid w:val="003B0EEB"/>
    <w:rsid w:val="003B11B7"/>
    <w:rsid w:val="003B12FC"/>
    <w:rsid w:val="003B1305"/>
    <w:rsid w:val="003B14BF"/>
    <w:rsid w:val="003B15C3"/>
    <w:rsid w:val="003B17FE"/>
    <w:rsid w:val="003B1BD9"/>
    <w:rsid w:val="003B1C63"/>
    <w:rsid w:val="003B1CE3"/>
    <w:rsid w:val="003B1EC8"/>
    <w:rsid w:val="003B21A2"/>
    <w:rsid w:val="003B2311"/>
    <w:rsid w:val="003B2742"/>
    <w:rsid w:val="003B27B7"/>
    <w:rsid w:val="003B2A45"/>
    <w:rsid w:val="003B2AC4"/>
    <w:rsid w:val="003B2C9F"/>
    <w:rsid w:val="003B3192"/>
    <w:rsid w:val="003B354E"/>
    <w:rsid w:val="003B3688"/>
    <w:rsid w:val="003B379F"/>
    <w:rsid w:val="003B3808"/>
    <w:rsid w:val="003B3818"/>
    <w:rsid w:val="003B39D4"/>
    <w:rsid w:val="003B3D62"/>
    <w:rsid w:val="003B3E34"/>
    <w:rsid w:val="003B3E88"/>
    <w:rsid w:val="003B417F"/>
    <w:rsid w:val="003B4317"/>
    <w:rsid w:val="003B4532"/>
    <w:rsid w:val="003B464C"/>
    <w:rsid w:val="003B46F6"/>
    <w:rsid w:val="003B4A8F"/>
    <w:rsid w:val="003B4B2B"/>
    <w:rsid w:val="003B4D87"/>
    <w:rsid w:val="003B4E16"/>
    <w:rsid w:val="003B4E9F"/>
    <w:rsid w:val="003B536A"/>
    <w:rsid w:val="003B5471"/>
    <w:rsid w:val="003B5506"/>
    <w:rsid w:val="003B585E"/>
    <w:rsid w:val="003B5D00"/>
    <w:rsid w:val="003B5E39"/>
    <w:rsid w:val="003B6021"/>
    <w:rsid w:val="003B602B"/>
    <w:rsid w:val="003B6098"/>
    <w:rsid w:val="003B62A1"/>
    <w:rsid w:val="003B6511"/>
    <w:rsid w:val="003B65A0"/>
    <w:rsid w:val="003B6772"/>
    <w:rsid w:val="003B69D4"/>
    <w:rsid w:val="003B6A28"/>
    <w:rsid w:val="003B6AED"/>
    <w:rsid w:val="003B6F8A"/>
    <w:rsid w:val="003B7202"/>
    <w:rsid w:val="003B7586"/>
    <w:rsid w:val="003B7677"/>
    <w:rsid w:val="003B78EE"/>
    <w:rsid w:val="003B7C0E"/>
    <w:rsid w:val="003B7EA7"/>
    <w:rsid w:val="003C0147"/>
    <w:rsid w:val="003C045E"/>
    <w:rsid w:val="003C0724"/>
    <w:rsid w:val="003C0755"/>
    <w:rsid w:val="003C0766"/>
    <w:rsid w:val="003C0791"/>
    <w:rsid w:val="003C0A6B"/>
    <w:rsid w:val="003C1201"/>
    <w:rsid w:val="003C1281"/>
    <w:rsid w:val="003C12E4"/>
    <w:rsid w:val="003C135F"/>
    <w:rsid w:val="003C1652"/>
    <w:rsid w:val="003C168B"/>
    <w:rsid w:val="003C16E4"/>
    <w:rsid w:val="003C1970"/>
    <w:rsid w:val="003C1B58"/>
    <w:rsid w:val="003C1CC0"/>
    <w:rsid w:val="003C1CF8"/>
    <w:rsid w:val="003C1D1A"/>
    <w:rsid w:val="003C1D24"/>
    <w:rsid w:val="003C1F05"/>
    <w:rsid w:val="003C2067"/>
    <w:rsid w:val="003C211F"/>
    <w:rsid w:val="003C225C"/>
    <w:rsid w:val="003C2354"/>
    <w:rsid w:val="003C2573"/>
    <w:rsid w:val="003C2690"/>
    <w:rsid w:val="003C292A"/>
    <w:rsid w:val="003C2C21"/>
    <w:rsid w:val="003C2D4C"/>
    <w:rsid w:val="003C2DB4"/>
    <w:rsid w:val="003C2DD1"/>
    <w:rsid w:val="003C30DA"/>
    <w:rsid w:val="003C31C0"/>
    <w:rsid w:val="003C31F4"/>
    <w:rsid w:val="003C3286"/>
    <w:rsid w:val="003C350C"/>
    <w:rsid w:val="003C3644"/>
    <w:rsid w:val="003C366F"/>
    <w:rsid w:val="003C371D"/>
    <w:rsid w:val="003C398F"/>
    <w:rsid w:val="003C3AE6"/>
    <w:rsid w:val="003C3C02"/>
    <w:rsid w:val="003C3D0F"/>
    <w:rsid w:val="003C4038"/>
    <w:rsid w:val="003C4094"/>
    <w:rsid w:val="003C40EB"/>
    <w:rsid w:val="003C4188"/>
    <w:rsid w:val="003C4221"/>
    <w:rsid w:val="003C42E1"/>
    <w:rsid w:val="003C4529"/>
    <w:rsid w:val="003C45F2"/>
    <w:rsid w:val="003C4638"/>
    <w:rsid w:val="003C46AB"/>
    <w:rsid w:val="003C4816"/>
    <w:rsid w:val="003C49A3"/>
    <w:rsid w:val="003C50F7"/>
    <w:rsid w:val="003C5112"/>
    <w:rsid w:val="003C5483"/>
    <w:rsid w:val="003C54EB"/>
    <w:rsid w:val="003C5559"/>
    <w:rsid w:val="003C5779"/>
    <w:rsid w:val="003C5801"/>
    <w:rsid w:val="003C583C"/>
    <w:rsid w:val="003C594D"/>
    <w:rsid w:val="003C595B"/>
    <w:rsid w:val="003C5CED"/>
    <w:rsid w:val="003C5D20"/>
    <w:rsid w:val="003C5D9B"/>
    <w:rsid w:val="003C5E50"/>
    <w:rsid w:val="003C5E54"/>
    <w:rsid w:val="003C628A"/>
    <w:rsid w:val="003C6377"/>
    <w:rsid w:val="003C66AD"/>
    <w:rsid w:val="003C6A97"/>
    <w:rsid w:val="003C6D05"/>
    <w:rsid w:val="003C6D35"/>
    <w:rsid w:val="003C6ED8"/>
    <w:rsid w:val="003C6F20"/>
    <w:rsid w:val="003C71B0"/>
    <w:rsid w:val="003C7432"/>
    <w:rsid w:val="003C746B"/>
    <w:rsid w:val="003C78A6"/>
    <w:rsid w:val="003C7AB5"/>
    <w:rsid w:val="003D041D"/>
    <w:rsid w:val="003D043C"/>
    <w:rsid w:val="003D05A4"/>
    <w:rsid w:val="003D0636"/>
    <w:rsid w:val="003D08DF"/>
    <w:rsid w:val="003D0AB0"/>
    <w:rsid w:val="003D0F50"/>
    <w:rsid w:val="003D12B3"/>
    <w:rsid w:val="003D12D8"/>
    <w:rsid w:val="003D146A"/>
    <w:rsid w:val="003D1495"/>
    <w:rsid w:val="003D1748"/>
    <w:rsid w:val="003D18E1"/>
    <w:rsid w:val="003D1A15"/>
    <w:rsid w:val="003D1C64"/>
    <w:rsid w:val="003D1D56"/>
    <w:rsid w:val="003D1DF5"/>
    <w:rsid w:val="003D214B"/>
    <w:rsid w:val="003D238C"/>
    <w:rsid w:val="003D23FF"/>
    <w:rsid w:val="003D24F4"/>
    <w:rsid w:val="003D250D"/>
    <w:rsid w:val="003D2C35"/>
    <w:rsid w:val="003D2DB5"/>
    <w:rsid w:val="003D2E68"/>
    <w:rsid w:val="003D2EAE"/>
    <w:rsid w:val="003D3049"/>
    <w:rsid w:val="003D307E"/>
    <w:rsid w:val="003D35AC"/>
    <w:rsid w:val="003D35E2"/>
    <w:rsid w:val="003D3819"/>
    <w:rsid w:val="003D3E89"/>
    <w:rsid w:val="003D4012"/>
    <w:rsid w:val="003D431E"/>
    <w:rsid w:val="003D44E3"/>
    <w:rsid w:val="003D45D6"/>
    <w:rsid w:val="003D467E"/>
    <w:rsid w:val="003D46E7"/>
    <w:rsid w:val="003D47D5"/>
    <w:rsid w:val="003D47E1"/>
    <w:rsid w:val="003D48BD"/>
    <w:rsid w:val="003D4B5F"/>
    <w:rsid w:val="003D4BE6"/>
    <w:rsid w:val="003D4D8B"/>
    <w:rsid w:val="003D4F9E"/>
    <w:rsid w:val="003D5455"/>
    <w:rsid w:val="003D5645"/>
    <w:rsid w:val="003D566A"/>
    <w:rsid w:val="003D5746"/>
    <w:rsid w:val="003D5870"/>
    <w:rsid w:val="003D5909"/>
    <w:rsid w:val="003D5BFF"/>
    <w:rsid w:val="003D5D6E"/>
    <w:rsid w:val="003D5DC5"/>
    <w:rsid w:val="003D5F93"/>
    <w:rsid w:val="003D6148"/>
    <w:rsid w:val="003D61B7"/>
    <w:rsid w:val="003D626D"/>
    <w:rsid w:val="003D642F"/>
    <w:rsid w:val="003D6449"/>
    <w:rsid w:val="003D68E4"/>
    <w:rsid w:val="003D6A71"/>
    <w:rsid w:val="003D6B69"/>
    <w:rsid w:val="003D6F0F"/>
    <w:rsid w:val="003D6F91"/>
    <w:rsid w:val="003D7092"/>
    <w:rsid w:val="003D715A"/>
    <w:rsid w:val="003D7168"/>
    <w:rsid w:val="003D73E3"/>
    <w:rsid w:val="003D74A2"/>
    <w:rsid w:val="003D7541"/>
    <w:rsid w:val="003D767B"/>
    <w:rsid w:val="003D7B11"/>
    <w:rsid w:val="003D7B94"/>
    <w:rsid w:val="003D7BE0"/>
    <w:rsid w:val="003D7CF0"/>
    <w:rsid w:val="003D7D86"/>
    <w:rsid w:val="003D7FB4"/>
    <w:rsid w:val="003E0047"/>
    <w:rsid w:val="003E01D4"/>
    <w:rsid w:val="003E0271"/>
    <w:rsid w:val="003E0385"/>
    <w:rsid w:val="003E04B9"/>
    <w:rsid w:val="003E0509"/>
    <w:rsid w:val="003E055A"/>
    <w:rsid w:val="003E061E"/>
    <w:rsid w:val="003E0625"/>
    <w:rsid w:val="003E0AA6"/>
    <w:rsid w:val="003E0E44"/>
    <w:rsid w:val="003E1165"/>
    <w:rsid w:val="003E1172"/>
    <w:rsid w:val="003E1238"/>
    <w:rsid w:val="003E1269"/>
    <w:rsid w:val="003E15D6"/>
    <w:rsid w:val="003E16AD"/>
    <w:rsid w:val="003E16AF"/>
    <w:rsid w:val="003E1829"/>
    <w:rsid w:val="003E1874"/>
    <w:rsid w:val="003E1908"/>
    <w:rsid w:val="003E1980"/>
    <w:rsid w:val="003E19BC"/>
    <w:rsid w:val="003E1C16"/>
    <w:rsid w:val="003E1D36"/>
    <w:rsid w:val="003E220B"/>
    <w:rsid w:val="003E23A6"/>
    <w:rsid w:val="003E2765"/>
    <w:rsid w:val="003E288E"/>
    <w:rsid w:val="003E2BFF"/>
    <w:rsid w:val="003E2F50"/>
    <w:rsid w:val="003E2FD6"/>
    <w:rsid w:val="003E30AF"/>
    <w:rsid w:val="003E3101"/>
    <w:rsid w:val="003E3120"/>
    <w:rsid w:val="003E32C9"/>
    <w:rsid w:val="003E33C9"/>
    <w:rsid w:val="003E3502"/>
    <w:rsid w:val="003E36B1"/>
    <w:rsid w:val="003E3BAE"/>
    <w:rsid w:val="003E3E33"/>
    <w:rsid w:val="003E42DD"/>
    <w:rsid w:val="003E433A"/>
    <w:rsid w:val="003E4350"/>
    <w:rsid w:val="003E44CB"/>
    <w:rsid w:val="003E45DD"/>
    <w:rsid w:val="003E466B"/>
    <w:rsid w:val="003E4819"/>
    <w:rsid w:val="003E4912"/>
    <w:rsid w:val="003E4CE7"/>
    <w:rsid w:val="003E500C"/>
    <w:rsid w:val="003E5074"/>
    <w:rsid w:val="003E5092"/>
    <w:rsid w:val="003E50D2"/>
    <w:rsid w:val="003E5642"/>
    <w:rsid w:val="003E56D9"/>
    <w:rsid w:val="003E5745"/>
    <w:rsid w:val="003E574C"/>
    <w:rsid w:val="003E5767"/>
    <w:rsid w:val="003E59D0"/>
    <w:rsid w:val="003E5B7C"/>
    <w:rsid w:val="003E5D9A"/>
    <w:rsid w:val="003E5DFB"/>
    <w:rsid w:val="003E5E54"/>
    <w:rsid w:val="003E5E69"/>
    <w:rsid w:val="003E5F59"/>
    <w:rsid w:val="003E5FA7"/>
    <w:rsid w:val="003E607F"/>
    <w:rsid w:val="003E633A"/>
    <w:rsid w:val="003E6415"/>
    <w:rsid w:val="003E6450"/>
    <w:rsid w:val="003E6583"/>
    <w:rsid w:val="003E6592"/>
    <w:rsid w:val="003E6826"/>
    <w:rsid w:val="003E6DF3"/>
    <w:rsid w:val="003E6FDC"/>
    <w:rsid w:val="003E70C3"/>
    <w:rsid w:val="003E748C"/>
    <w:rsid w:val="003E7773"/>
    <w:rsid w:val="003E77D3"/>
    <w:rsid w:val="003E77E1"/>
    <w:rsid w:val="003E77FD"/>
    <w:rsid w:val="003E79A0"/>
    <w:rsid w:val="003E79DA"/>
    <w:rsid w:val="003E7A1A"/>
    <w:rsid w:val="003E7CE8"/>
    <w:rsid w:val="003E7D36"/>
    <w:rsid w:val="003E7F18"/>
    <w:rsid w:val="003E7FA1"/>
    <w:rsid w:val="003E7FE1"/>
    <w:rsid w:val="003F00B3"/>
    <w:rsid w:val="003F00E1"/>
    <w:rsid w:val="003F0234"/>
    <w:rsid w:val="003F02D7"/>
    <w:rsid w:val="003F04BE"/>
    <w:rsid w:val="003F04DD"/>
    <w:rsid w:val="003F06DC"/>
    <w:rsid w:val="003F09C1"/>
    <w:rsid w:val="003F0CA1"/>
    <w:rsid w:val="003F0DBC"/>
    <w:rsid w:val="003F0E10"/>
    <w:rsid w:val="003F0E62"/>
    <w:rsid w:val="003F0EE7"/>
    <w:rsid w:val="003F12B2"/>
    <w:rsid w:val="003F1D1B"/>
    <w:rsid w:val="003F1F6B"/>
    <w:rsid w:val="003F2002"/>
    <w:rsid w:val="003F202D"/>
    <w:rsid w:val="003F234B"/>
    <w:rsid w:val="003F2BBB"/>
    <w:rsid w:val="003F2C4E"/>
    <w:rsid w:val="003F2CEB"/>
    <w:rsid w:val="003F2D92"/>
    <w:rsid w:val="003F3001"/>
    <w:rsid w:val="003F3061"/>
    <w:rsid w:val="003F3325"/>
    <w:rsid w:val="003F350D"/>
    <w:rsid w:val="003F3592"/>
    <w:rsid w:val="003F3669"/>
    <w:rsid w:val="003F393D"/>
    <w:rsid w:val="003F3CA6"/>
    <w:rsid w:val="003F3EE6"/>
    <w:rsid w:val="003F3F6D"/>
    <w:rsid w:val="003F4060"/>
    <w:rsid w:val="003F4731"/>
    <w:rsid w:val="003F48A9"/>
    <w:rsid w:val="003F491A"/>
    <w:rsid w:val="003F4A4F"/>
    <w:rsid w:val="003F4CFA"/>
    <w:rsid w:val="003F517A"/>
    <w:rsid w:val="003F51A9"/>
    <w:rsid w:val="003F5482"/>
    <w:rsid w:val="003F55E8"/>
    <w:rsid w:val="003F5C9B"/>
    <w:rsid w:val="003F5DAF"/>
    <w:rsid w:val="003F6056"/>
    <w:rsid w:val="003F60EA"/>
    <w:rsid w:val="003F61A6"/>
    <w:rsid w:val="003F6226"/>
    <w:rsid w:val="003F623A"/>
    <w:rsid w:val="003F626B"/>
    <w:rsid w:val="003F664C"/>
    <w:rsid w:val="003F66E2"/>
    <w:rsid w:val="003F66F2"/>
    <w:rsid w:val="003F6916"/>
    <w:rsid w:val="003F6A17"/>
    <w:rsid w:val="003F6CB6"/>
    <w:rsid w:val="003F6E04"/>
    <w:rsid w:val="003F6FDC"/>
    <w:rsid w:val="003F72E3"/>
    <w:rsid w:val="003F7377"/>
    <w:rsid w:val="003F755A"/>
    <w:rsid w:val="003F7851"/>
    <w:rsid w:val="003F799C"/>
    <w:rsid w:val="003F7C61"/>
    <w:rsid w:val="004000F1"/>
    <w:rsid w:val="00400184"/>
    <w:rsid w:val="00400264"/>
    <w:rsid w:val="004002B0"/>
    <w:rsid w:val="00400305"/>
    <w:rsid w:val="0040041A"/>
    <w:rsid w:val="00400456"/>
    <w:rsid w:val="004006E5"/>
    <w:rsid w:val="00400707"/>
    <w:rsid w:val="00400728"/>
    <w:rsid w:val="00400B33"/>
    <w:rsid w:val="00400BA3"/>
    <w:rsid w:val="00400C90"/>
    <w:rsid w:val="0040106A"/>
    <w:rsid w:val="00401140"/>
    <w:rsid w:val="00401557"/>
    <w:rsid w:val="0040157D"/>
    <w:rsid w:val="0040166F"/>
    <w:rsid w:val="004017EF"/>
    <w:rsid w:val="00401965"/>
    <w:rsid w:val="0040199A"/>
    <w:rsid w:val="004019B6"/>
    <w:rsid w:val="00401C2F"/>
    <w:rsid w:val="00401E85"/>
    <w:rsid w:val="00401FAE"/>
    <w:rsid w:val="0040209F"/>
    <w:rsid w:val="004021A6"/>
    <w:rsid w:val="0040234A"/>
    <w:rsid w:val="00402575"/>
    <w:rsid w:val="0040257F"/>
    <w:rsid w:val="004025D5"/>
    <w:rsid w:val="00402829"/>
    <w:rsid w:val="00402848"/>
    <w:rsid w:val="00402A15"/>
    <w:rsid w:val="00402B68"/>
    <w:rsid w:val="00402DAD"/>
    <w:rsid w:val="00402F2F"/>
    <w:rsid w:val="004031FE"/>
    <w:rsid w:val="00403383"/>
    <w:rsid w:val="00403426"/>
    <w:rsid w:val="004034CF"/>
    <w:rsid w:val="00403534"/>
    <w:rsid w:val="00403A49"/>
    <w:rsid w:val="00403D2E"/>
    <w:rsid w:val="00403D47"/>
    <w:rsid w:val="00403DEC"/>
    <w:rsid w:val="004041DE"/>
    <w:rsid w:val="004042EE"/>
    <w:rsid w:val="0040441F"/>
    <w:rsid w:val="0040468A"/>
    <w:rsid w:val="0040489F"/>
    <w:rsid w:val="004049DD"/>
    <w:rsid w:val="00404CA8"/>
    <w:rsid w:val="00404CCC"/>
    <w:rsid w:val="00404CF4"/>
    <w:rsid w:val="00404D29"/>
    <w:rsid w:val="00404D94"/>
    <w:rsid w:val="00404DD7"/>
    <w:rsid w:val="00404E15"/>
    <w:rsid w:val="00404F13"/>
    <w:rsid w:val="00404F8A"/>
    <w:rsid w:val="004050C6"/>
    <w:rsid w:val="00405118"/>
    <w:rsid w:val="00405482"/>
    <w:rsid w:val="004055B5"/>
    <w:rsid w:val="00405899"/>
    <w:rsid w:val="00405A51"/>
    <w:rsid w:val="00405A67"/>
    <w:rsid w:val="00405CA4"/>
    <w:rsid w:val="00405E6E"/>
    <w:rsid w:val="004062B5"/>
    <w:rsid w:val="004066F0"/>
    <w:rsid w:val="004068B4"/>
    <w:rsid w:val="0040690D"/>
    <w:rsid w:val="00406D56"/>
    <w:rsid w:val="00406D73"/>
    <w:rsid w:val="00406E08"/>
    <w:rsid w:val="00407D35"/>
    <w:rsid w:val="00407DD6"/>
    <w:rsid w:val="00407F0E"/>
    <w:rsid w:val="00407FDE"/>
    <w:rsid w:val="004101B9"/>
    <w:rsid w:val="004102D9"/>
    <w:rsid w:val="004103B0"/>
    <w:rsid w:val="00410475"/>
    <w:rsid w:val="004104E8"/>
    <w:rsid w:val="00410640"/>
    <w:rsid w:val="004106C9"/>
    <w:rsid w:val="00410B26"/>
    <w:rsid w:val="00410BAB"/>
    <w:rsid w:val="00411411"/>
    <w:rsid w:val="00411489"/>
    <w:rsid w:val="004117D9"/>
    <w:rsid w:val="0041186E"/>
    <w:rsid w:val="00411A40"/>
    <w:rsid w:val="00411B8D"/>
    <w:rsid w:val="00411C95"/>
    <w:rsid w:val="00411CA7"/>
    <w:rsid w:val="00411D6E"/>
    <w:rsid w:val="00411EAF"/>
    <w:rsid w:val="00411EF1"/>
    <w:rsid w:val="004122D1"/>
    <w:rsid w:val="00412378"/>
    <w:rsid w:val="00412707"/>
    <w:rsid w:val="00412871"/>
    <w:rsid w:val="004128F3"/>
    <w:rsid w:val="00412A02"/>
    <w:rsid w:val="00412CAA"/>
    <w:rsid w:val="00412DB5"/>
    <w:rsid w:val="00412DF8"/>
    <w:rsid w:val="00412E0C"/>
    <w:rsid w:val="00412E19"/>
    <w:rsid w:val="004130FF"/>
    <w:rsid w:val="004131F9"/>
    <w:rsid w:val="0041367A"/>
    <w:rsid w:val="00413836"/>
    <w:rsid w:val="004139FA"/>
    <w:rsid w:val="00413B95"/>
    <w:rsid w:val="00413CB9"/>
    <w:rsid w:val="00414040"/>
    <w:rsid w:val="00414338"/>
    <w:rsid w:val="0041446B"/>
    <w:rsid w:val="004145F6"/>
    <w:rsid w:val="0041493D"/>
    <w:rsid w:val="00414A52"/>
    <w:rsid w:val="00414ADA"/>
    <w:rsid w:val="00414B31"/>
    <w:rsid w:val="00414BD7"/>
    <w:rsid w:val="00414C08"/>
    <w:rsid w:val="00414C27"/>
    <w:rsid w:val="00414C60"/>
    <w:rsid w:val="00414D0D"/>
    <w:rsid w:val="00415329"/>
    <w:rsid w:val="004153B3"/>
    <w:rsid w:val="00415477"/>
    <w:rsid w:val="00415540"/>
    <w:rsid w:val="004155E2"/>
    <w:rsid w:val="0041574A"/>
    <w:rsid w:val="00415774"/>
    <w:rsid w:val="00415894"/>
    <w:rsid w:val="004158EA"/>
    <w:rsid w:val="00415938"/>
    <w:rsid w:val="004159FD"/>
    <w:rsid w:val="00415B4B"/>
    <w:rsid w:val="00415CEA"/>
    <w:rsid w:val="00415EB1"/>
    <w:rsid w:val="00415FEE"/>
    <w:rsid w:val="0041607D"/>
    <w:rsid w:val="004162FD"/>
    <w:rsid w:val="00416C4E"/>
    <w:rsid w:val="00416C69"/>
    <w:rsid w:val="00416D4A"/>
    <w:rsid w:val="00416D72"/>
    <w:rsid w:val="00416D7C"/>
    <w:rsid w:val="00416F1E"/>
    <w:rsid w:val="00416F58"/>
    <w:rsid w:val="00417145"/>
    <w:rsid w:val="00417264"/>
    <w:rsid w:val="004174DD"/>
    <w:rsid w:val="00417533"/>
    <w:rsid w:val="00417580"/>
    <w:rsid w:val="00417771"/>
    <w:rsid w:val="00417958"/>
    <w:rsid w:val="004179E4"/>
    <w:rsid w:val="00417B36"/>
    <w:rsid w:val="00417BA3"/>
    <w:rsid w:val="00417D1E"/>
    <w:rsid w:val="00417E16"/>
    <w:rsid w:val="00417F84"/>
    <w:rsid w:val="004202FC"/>
    <w:rsid w:val="00420315"/>
    <w:rsid w:val="00420B6D"/>
    <w:rsid w:val="00421026"/>
    <w:rsid w:val="00421326"/>
    <w:rsid w:val="0042132D"/>
    <w:rsid w:val="004213D1"/>
    <w:rsid w:val="004214CB"/>
    <w:rsid w:val="00421732"/>
    <w:rsid w:val="00421809"/>
    <w:rsid w:val="0042198B"/>
    <w:rsid w:val="004219BE"/>
    <w:rsid w:val="0042232F"/>
    <w:rsid w:val="00422442"/>
    <w:rsid w:val="004224AA"/>
    <w:rsid w:val="0042252E"/>
    <w:rsid w:val="0042294C"/>
    <w:rsid w:val="004229F6"/>
    <w:rsid w:val="00422FE5"/>
    <w:rsid w:val="00423173"/>
    <w:rsid w:val="004235D7"/>
    <w:rsid w:val="00423727"/>
    <w:rsid w:val="00423747"/>
    <w:rsid w:val="00423970"/>
    <w:rsid w:val="004239DC"/>
    <w:rsid w:val="00423A77"/>
    <w:rsid w:val="00423AB6"/>
    <w:rsid w:val="00423AD5"/>
    <w:rsid w:val="00423BA2"/>
    <w:rsid w:val="00423C27"/>
    <w:rsid w:val="00423E84"/>
    <w:rsid w:val="00423EAE"/>
    <w:rsid w:val="00423F19"/>
    <w:rsid w:val="0042480F"/>
    <w:rsid w:val="00424850"/>
    <w:rsid w:val="00424913"/>
    <w:rsid w:val="00424924"/>
    <w:rsid w:val="00424EF2"/>
    <w:rsid w:val="00424FFB"/>
    <w:rsid w:val="0042520E"/>
    <w:rsid w:val="00425219"/>
    <w:rsid w:val="00425288"/>
    <w:rsid w:val="004256B0"/>
    <w:rsid w:val="00425716"/>
    <w:rsid w:val="004257F8"/>
    <w:rsid w:val="0042583F"/>
    <w:rsid w:val="004258DA"/>
    <w:rsid w:val="00425D2E"/>
    <w:rsid w:val="00425F81"/>
    <w:rsid w:val="00426030"/>
    <w:rsid w:val="00426298"/>
    <w:rsid w:val="00426361"/>
    <w:rsid w:val="004263D2"/>
    <w:rsid w:val="004263FE"/>
    <w:rsid w:val="004264E9"/>
    <w:rsid w:val="00426676"/>
    <w:rsid w:val="004266D6"/>
    <w:rsid w:val="00426AA7"/>
    <w:rsid w:val="00426D3D"/>
    <w:rsid w:val="00426EDD"/>
    <w:rsid w:val="00426F6C"/>
    <w:rsid w:val="00427026"/>
    <w:rsid w:val="004271F9"/>
    <w:rsid w:val="00427536"/>
    <w:rsid w:val="00427568"/>
    <w:rsid w:val="0042758F"/>
    <w:rsid w:val="00427695"/>
    <w:rsid w:val="0042771F"/>
    <w:rsid w:val="0042786C"/>
    <w:rsid w:val="00427D2C"/>
    <w:rsid w:val="00427F9C"/>
    <w:rsid w:val="00430036"/>
    <w:rsid w:val="00430052"/>
    <w:rsid w:val="0043043E"/>
    <w:rsid w:val="00430F21"/>
    <w:rsid w:val="00431194"/>
    <w:rsid w:val="004311AC"/>
    <w:rsid w:val="004311E2"/>
    <w:rsid w:val="004312A0"/>
    <w:rsid w:val="00431504"/>
    <w:rsid w:val="00431688"/>
    <w:rsid w:val="004318A0"/>
    <w:rsid w:val="0043194E"/>
    <w:rsid w:val="0043196B"/>
    <w:rsid w:val="00431A23"/>
    <w:rsid w:val="00431AC4"/>
    <w:rsid w:val="00431CBD"/>
    <w:rsid w:val="00431D2D"/>
    <w:rsid w:val="00431E66"/>
    <w:rsid w:val="0043200D"/>
    <w:rsid w:val="0043238D"/>
    <w:rsid w:val="004323AC"/>
    <w:rsid w:val="004325EE"/>
    <w:rsid w:val="00432695"/>
    <w:rsid w:val="0043278D"/>
    <w:rsid w:val="004329A1"/>
    <w:rsid w:val="00432AD1"/>
    <w:rsid w:val="00432D42"/>
    <w:rsid w:val="00432E85"/>
    <w:rsid w:val="004332A9"/>
    <w:rsid w:val="00433313"/>
    <w:rsid w:val="0043341D"/>
    <w:rsid w:val="0043346E"/>
    <w:rsid w:val="00433743"/>
    <w:rsid w:val="004337A3"/>
    <w:rsid w:val="00433804"/>
    <w:rsid w:val="004338DB"/>
    <w:rsid w:val="00433B8F"/>
    <w:rsid w:val="00433D1E"/>
    <w:rsid w:val="00433D41"/>
    <w:rsid w:val="00433EC1"/>
    <w:rsid w:val="00434064"/>
    <w:rsid w:val="00434079"/>
    <w:rsid w:val="00434258"/>
    <w:rsid w:val="004345BE"/>
    <w:rsid w:val="004349F1"/>
    <w:rsid w:val="00434A22"/>
    <w:rsid w:val="004351D1"/>
    <w:rsid w:val="00435443"/>
    <w:rsid w:val="0043576E"/>
    <w:rsid w:val="004357F6"/>
    <w:rsid w:val="00435847"/>
    <w:rsid w:val="004358D6"/>
    <w:rsid w:val="00435958"/>
    <w:rsid w:val="00435A71"/>
    <w:rsid w:val="00435AD7"/>
    <w:rsid w:val="00435EBE"/>
    <w:rsid w:val="004361B2"/>
    <w:rsid w:val="004361B3"/>
    <w:rsid w:val="004362A1"/>
    <w:rsid w:val="0043640B"/>
    <w:rsid w:val="00436587"/>
    <w:rsid w:val="0043678A"/>
    <w:rsid w:val="00436DCC"/>
    <w:rsid w:val="00436E3B"/>
    <w:rsid w:val="00436EFC"/>
    <w:rsid w:val="004373B3"/>
    <w:rsid w:val="004375A3"/>
    <w:rsid w:val="00437793"/>
    <w:rsid w:val="00437ABF"/>
    <w:rsid w:val="00437E93"/>
    <w:rsid w:val="00437F42"/>
    <w:rsid w:val="004400A0"/>
    <w:rsid w:val="004401D2"/>
    <w:rsid w:val="00440604"/>
    <w:rsid w:val="004409DF"/>
    <w:rsid w:val="00440A0D"/>
    <w:rsid w:val="00440D83"/>
    <w:rsid w:val="00440FDC"/>
    <w:rsid w:val="00441065"/>
    <w:rsid w:val="004414BD"/>
    <w:rsid w:val="0044173F"/>
    <w:rsid w:val="00441994"/>
    <w:rsid w:val="00441F33"/>
    <w:rsid w:val="0044201E"/>
    <w:rsid w:val="004421C7"/>
    <w:rsid w:val="004421F2"/>
    <w:rsid w:val="00442363"/>
    <w:rsid w:val="004423DD"/>
    <w:rsid w:val="0044246F"/>
    <w:rsid w:val="004425E8"/>
    <w:rsid w:val="004426CD"/>
    <w:rsid w:val="00442736"/>
    <w:rsid w:val="00442861"/>
    <w:rsid w:val="004428AE"/>
    <w:rsid w:val="00442A54"/>
    <w:rsid w:val="00442D3E"/>
    <w:rsid w:val="00442DAD"/>
    <w:rsid w:val="00442E90"/>
    <w:rsid w:val="00442FFF"/>
    <w:rsid w:val="00443203"/>
    <w:rsid w:val="00443529"/>
    <w:rsid w:val="0044353E"/>
    <w:rsid w:val="0044370B"/>
    <w:rsid w:val="00443838"/>
    <w:rsid w:val="00443E71"/>
    <w:rsid w:val="0044427F"/>
    <w:rsid w:val="004442E8"/>
    <w:rsid w:val="004445F4"/>
    <w:rsid w:val="00444771"/>
    <w:rsid w:val="004448A3"/>
    <w:rsid w:val="004448F5"/>
    <w:rsid w:val="004448FE"/>
    <w:rsid w:val="0044491A"/>
    <w:rsid w:val="00444BBA"/>
    <w:rsid w:val="00444DF9"/>
    <w:rsid w:val="00444F0F"/>
    <w:rsid w:val="00444F81"/>
    <w:rsid w:val="00445013"/>
    <w:rsid w:val="00445629"/>
    <w:rsid w:val="00445813"/>
    <w:rsid w:val="004458B1"/>
    <w:rsid w:val="0044592E"/>
    <w:rsid w:val="004459BC"/>
    <w:rsid w:val="00445A5B"/>
    <w:rsid w:val="00445B4B"/>
    <w:rsid w:val="00446371"/>
    <w:rsid w:val="00446812"/>
    <w:rsid w:val="004468A3"/>
    <w:rsid w:val="00446B0F"/>
    <w:rsid w:val="00446C4D"/>
    <w:rsid w:val="00446C8A"/>
    <w:rsid w:val="00446E0D"/>
    <w:rsid w:val="00446E35"/>
    <w:rsid w:val="00446EF3"/>
    <w:rsid w:val="004470A1"/>
    <w:rsid w:val="00447178"/>
    <w:rsid w:val="0044733B"/>
    <w:rsid w:val="00447370"/>
    <w:rsid w:val="004473E6"/>
    <w:rsid w:val="00447531"/>
    <w:rsid w:val="00447614"/>
    <w:rsid w:val="0044779C"/>
    <w:rsid w:val="00447D5B"/>
    <w:rsid w:val="00447E11"/>
    <w:rsid w:val="00447E3E"/>
    <w:rsid w:val="004501BB"/>
    <w:rsid w:val="004502A7"/>
    <w:rsid w:val="0045045B"/>
    <w:rsid w:val="0045051E"/>
    <w:rsid w:val="0045052C"/>
    <w:rsid w:val="004505EF"/>
    <w:rsid w:val="004507E5"/>
    <w:rsid w:val="00450828"/>
    <w:rsid w:val="00450B0D"/>
    <w:rsid w:val="00450DE3"/>
    <w:rsid w:val="00450EF1"/>
    <w:rsid w:val="00451072"/>
    <w:rsid w:val="004511D2"/>
    <w:rsid w:val="0045127A"/>
    <w:rsid w:val="00451328"/>
    <w:rsid w:val="004514BD"/>
    <w:rsid w:val="004514C9"/>
    <w:rsid w:val="004515C3"/>
    <w:rsid w:val="00451744"/>
    <w:rsid w:val="00451BD6"/>
    <w:rsid w:val="00451C8F"/>
    <w:rsid w:val="00451D5F"/>
    <w:rsid w:val="00451D70"/>
    <w:rsid w:val="00451FB0"/>
    <w:rsid w:val="004523CC"/>
    <w:rsid w:val="004526F9"/>
    <w:rsid w:val="0045281E"/>
    <w:rsid w:val="004529F7"/>
    <w:rsid w:val="00453031"/>
    <w:rsid w:val="004533D7"/>
    <w:rsid w:val="004534C9"/>
    <w:rsid w:val="00453AC2"/>
    <w:rsid w:val="00453B17"/>
    <w:rsid w:val="00453BF6"/>
    <w:rsid w:val="00453F88"/>
    <w:rsid w:val="00453FA2"/>
    <w:rsid w:val="0045425A"/>
    <w:rsid w:val="00454457"/>
    <w:rsid w:val="0045448D"/>
    <w:rsid w:val="004546A3"/>
    <w:rsid w:val="004546B6"/>
    <w:rsid w:val="00454842"/>
    <w:rsid w:val="00454A53"/>
    <w:rsid w:val="00454A57"/>
    <w:rsid w:val="00454EE1"/>
    <w:rsid w:val="00454FD1"/>
    <w:rsid w:val="0045515B"/>
    <w:rsid w:val="00455280"/>
    <w:rsid w:val="004555F6"/>
    <w:rsid w:val="00455626"/>
    <w:rsid w:val="0045572F"/>
    <w:rsid w:val="004559E9"/>
    <w:rsid w:val="00455ACB"/>
    <w:rsid w:val="00455DB5"/>
    <w:rsid w:val="00455F25"/>
    <w:rsid w:val="00456151"/>
    <w:rsid w:val="00456477"/>
    <w:rsid w:val="00456701"/>
    <w:rsid w:val="00456D18"/>
    <w:rsid w:val="00456FE7"/>
    <w:rsid w:val="00456FEB"/>
    <w:rsid w:val="004570CD"/>
    <w:rsid w:val="004570F7"/>
    <w:rsid w:val="00457483"/>
    <w:rsid w:val="004574E2"/>
    <w:rsid w:val="00457560"/>
    <w:rsid w:val="00457686"/>
    <w:rsid w:val="004577DC"/>
    <w:rsid w:val="00457AD7"/>
    <w:rsid w:val="00457B1F"/>
    <w:rsid w:val="00457BE0"/>
    <w:rsid w:val="004601BC"/>
    <w:rsid w:val="004603FF"/>
    <w:rsid w:val="004604BE"/>
    <w:rsid w:val="00460507"/>
    <w:rsid w:val="00460571"/>
    <w:rsid w:val="004605D0"/>
    <w:rsid w:val="004606AD"/>
    <w:rsid w:val="00460CE7"/>
    <w:rsid w:val="00460D83"/>
    <w:rsid w:val="00460F44"/>
    <w:rsid w:val="004610E9"/>
    <w:rsid w:val="004612CA"/>
    <w:rsid w:val="004612FB"/>
    <w:rsid w:val="004613DD"/>
    <w:rsid w:val="00461519"/>
    <w:rsid w:val="004617EE"/>
    <w:rsid w:val="004618A8"/>
    <w:rsid w:val="00461C6D"/>
    <w:rsid w:val="0046206A"/>
    <w:rsid w:val="00462367"/>
    <w:rsid w:val="00462593"/>
    <w:rsid w:val="004627A7"/>
    <w:rsid w:val="004627B2"/>
    <w:rsid w:val="00462A32"/>
    <w:rsid w:val="00462D65"/>
    <w:rsid w:val="00462D7A"/>
    <w:rsid w:val="004630BD"/>
    <w:rsid w:val="0046310B"/>
    <w:rsid w:val="0046313E"/>
    <w:rsid w:val="00463210"/>
    <w:rsid w:val="00463449"/>
    <w:rsid w:val="00463506"/>
    <w:rsid w:val="00463533"/>
    <w:rsid w:val="004638C4"/>
    <w:rsid w:val="00463B59"/>
    <w:rsid w:val="00463C18"/>
    <w:rsid w:val="00463D88"/>
    <w:rsid w:val="00463E04"/>
    <w:rsid w:val="00464446"/>
    <w:rsid w:val="004644D7"/>
    <w:rsid w:val="0046480A"/>
    <w:rsid w:val="00464ECC"/>
    <w:rsid w:val="00465358"/>
    <w:rsid w:val="00465359"/>
    <w:rsid w:val="00465497"/>
    <w:rsid w:val="00465505"/>
    <w:rsid w:val="004659C6"/>
    <w:rsid w:val="00465B00"/>
    <w:rsid w:val="00465B02"/>
    <w:rsid w:val="00465B8B"/>
    <w:rsid w:val="00465E39"/>
    <w:rsid w:val="00465E99"/>
    <w:rsid w:val="00465F27"/>
    <w:rsid w:val="0046613E"/>
    <w:rsid w:val="00466586"/>
    <w:rsid w:val="004665A5"/>
    <w:rsid w:val="004669B3"/>
    <w:rsid w:val="00466AA0"/>
    <w:rsid w:val="00466B98"/>
    <w:rsid w:val="00466D7F"/>
    <w:rsid w:val="00466DA4"/>
    <w:rsid w:val="00466E6C"/>
    <w:rsid w:val="00466EF0"/>
    <w:rsid w:val="00467501"/>
    <w:rsid w:val="0046757D"/>
    <w:rsid w:val="004676A7"/>
    <w:rsid w:val="00467BD4"/>
    <w:rsid w:val="00467CB0"/>
    <w:rsid w:val="00467E1F"/>
    <w:rsid w:val="00467FAD"/>
    <w:rsid w:val="00470026"/>
    <w:rsid w:val="0047016C"/>
    <w:rsid w:val="004702A5"/>
    <w:rsid w:val="0047046E"/>
    <w:rsid w:val="00470594"/>
    <w:rsid w:val="004705F2"/>
    <w:rsid w:val="0047070C"/>
    <w:rsid w:val="004708F1"/>
    <w:rsid w:val="00470A92"/>
    <w:rsid w:val="00470AE3"/>
    <w:rsid w:val="00470E5C"/>
    <w:rsid w:val="00470F61"/>
    <w:rsid w:val="00471051"/>
    <w:rsid w:val="00471136"/>
    <w:rsid w:val="00471407"/>
    <w:rsid w:val="004717E9"/>
    <w:rsid w:val="0047191F"/>
    <w:rsid w:val="00471CE0"/>
    <w:rsid w:val="00471CFD"/>
    <w:rsid w:val="0047201A"/>
    <w:rsid w:val="004721A0"/>
    <w:rsid w:val="00472624"/>
    <w:rsid w:val="004729A2"/>
    <w:rsid w:val="00472BA9"/>
    <w:rsid w:val="0047306A"/>
    <w:rsid w:val="00473337"/>
    <w:rsid w:val="004734BE"/>
    <w:rsid w:val="004735C0"/>
    <w:rsid w:val="00473794"/>
    <w:rsid w:val="00473851"/>
    <w:rsid w:val="004738CA"/>
    <w:rsid w:val="00473BDA"/>
    <w:rsid w:val="00473C4B"/>
    <w:rsid w:val="0047411C"/>
    <w:rsid w:val="004746A0"/>
    <w:rsid w:val="004746F7"/>
    <w:rsid w:val="00474739"/>
    <w:rsid w:val="00474750"/>
    <w:rsid w:val="0047494A"/>
    <w:rsid w:val="00474A5B"/>
    <w:rsid w:val="00474A88"/>
    <w:rsid w:val="00474F01"/>
    <w:rsid w:val="00474F66"/>
    <w:rsid w:val="00474F9A"/>
    <w:rsid w:val="004752D0"/>
    <w:rsid w:val="0047536E"/>
    <w:rsid w:val="00475595"/>
    <w:rsid w:val="00475A3E"/>
    <w:rsid w:val="00475D72"/>
    <w:rsid w:val="00475D85"/>
    <w:rsid w:val="004760BF"/>
    <w:rsid w:val="0047680A"/>
    <w:rsid w:val="00476B2F"/>
    <w:rsid w:val="00476C75"/>
    <w:rsid w:val="00476D5F"/>
    <w:rsid w:val="00476E57"/>
    <w:rsid w:val="00476E6A"/>
    <w:rsid w:val="004772CB"/>
    <w:rsid w:val="00477661"/>
    <w:rsid w:val="004777BC"/>
    <w:rsid w:val="004778EB"/>
    <w:rsid w:val="00477B69"/>
    <w:rsid w:val="00477DF3"/>
    <w:rsid w:val="00480200"/>
    <w:rsid w:val="00480342"/>
    <w:rsid w:val="004804A5"/>
    <w:rsid w:val="004809B3"/>
    <w:rsid w:val="00480B34"/>
    <w:rsid w:val="00480C2C"/>
    <w:rsid w:val="00480EEB"/>
    <w:rsid w:val="0048125D"/>
    <w:rsid w:val="00481974"/>
    <w:rsid w:val="004819B8"/>
    <w:rsid w:val="00481A7A"/>
    <w:rsid w:val="00481D05"/>
    <w:rsid w:val="00482385"/>
    <w:rsid w:val="0048271F"/>
    <w:rsid w:val="00482CB6"/>
    <w:rsid w:val="00482E8C"/>
    <w:rsid w:val="004834C9"/>
    <w:rsid w:val="0048353F"/>
    <w:rsid w:val="004837CD"/>
    <w:rsid w:val="004838B3"/>
    <w:rsid w:val="004838DD"/>
    <w:rsid w:val="00483963"/>
    <w:rsid w:val="00483B36"/>
    <w:rsid w:val="00483D3A"/>
    <w:rsid w:val="00483FD2"/>
    <w:rsid w:val="004840E6"/>
    <w:rsid w:val="0048466C"/>
    <w:rsid w:val="004849CE"/>
    <w:rsid w:val="00484A16"/>
    <w:rsid w:val="00484B83"/>
    <w:rsid w:val="00484E6C"/>
    <w:rsid w:val="00484E73"/>
    <w:rsid w:val="00484FDA"/>
    <w:rsid w:val="00484FE2"/>
    <w:rsid w:val="00485395"/>
    <w:rsid w:val="00485564"/>
    <w:rsid w:val="00485572"/>
    <w:rsid w:val="00485629"/>
    <w:rsid w:val="00485657"/>
    <w:rsid w:val="0048584A"/>
    <w:rsid w:val="00485945"/>
    <w:rsid w:val="00485BF7"/>
    <w:rsid w:val="00485C82"/>
    <w:rsid w:val="00485E37"/>
    <w:rsid w:val="00486365"/>
    <w:rsid w:val="0048673C"/>
    <w:rsid w:val="0048680E"/>
    <w:rsid w:val="00486855"/>
    <w:rsid w:val="00486A6B"/>
    <w:rsid w:val="00486ADD"/>
    <w:rsid w:val="00486E98"/>
    <w:rsid w:val="00487298"/>
    <w:rsid w:val="00487756"/>
    <w:rsid w:val="00487782"/>
    <w:rsid w:val="00487CB3"/>
    <w:rsid w:val="00487CE3"/>
    <w:rsid w:val="00487E4D"/>
    <w:rsid w:val="00487FCC"/>
    <w:rsid w:val="00487FDE"/>
    <w:rsid w:val="00490313"/>
    <w:rsid w:val="00490624"/>
    <w:rsid w:val="004909AF"/>
    <w:rsid w:val="00490AB6"/>
    <w:rsid w:val="00490BBA"/>
    <w:rsid w:val="00490C3A"/>
    <w:rsid w:val="00490C9C"/>
    <w:rsid w:val="00490D17"/>
    <w:rsid w:val="0049105C"/>
    <w:rsid w:val="00491306"/>
    <w:rsid w:val="004916B9"/>
    <w:rsid w:val="0049196D"/>
    <w:rsid w:val="00491A97"/>
    <w:rsid w:val="00491AFB"/>
    <w:rsid w:val="00491C13"/>
    <w:rsid w:val="004920F0"/>
    <w:rsid w:val="00492481"/>
    <w:rsid w:val="00492569"/>
    <w:rsid w:val="00492B36"/>
    <w:rsid w:val="00492D63"/>
    <w:rsid w:val="00492D78"/>
    <w:rsid w:val="00492D97"/>
    <w:rsid w:val="00492DA2"/>
    <w:rsid w:val="00492ED1"/>
    <w:rsid w:val="004934A0"/>
    <w:rsid w:val="004935B9"/>
    <w:rsid w:val="0049367B"/>
    <w:rsid w:val="004936D8"/>
    <w:rsid w:val="004937FF"/>
    <w:rsid w:val="00493AA4"/>
    <w:rsid w:val="00493C47"/>
    <w:rsid w:val="00493C96"/>
    <w:rsid w:val="00493DDC"/>
    <w:rsid w:val="00493F76"/>
    <w:rsid w:val="00494554"/>
    <w:rsid w:val="0049459E"/>
    <w:rsid w:val="004945B4"/>
    <w:rsid w:val="0049464A"/>
    <w:rsid w:val="00494832"/>
    <w:rsid w:val="0049488A"/>
    <w:rsid w:val="00494C5E"/>
    <w:rsid w:val="00494C5F"/>
    <w:rsid w:val="00494DE5"/>
    <w:rsid w:val="00495039"/>
    <w:rsid w:val="00495167"/>
    <w:rsid w:val="004953C0"/>
    <w:rsid w:val="0049591E"/>
    <w:rsid w:val="00495CC3"/>
    <w:rsid w:val="00495DB9"/>
    <w:rsid w:val="00495F9D"/>
    <w:rsid w:val="00495FD8"/>
    <w:rsid w:val="004961E8"/>
    <w:rsid w:val="004965DC"/>
    <w:rsid w:val="004966E8"/>
    <w:rsid w:val="00496825"/>
    <w:rsid w:val="00496859"/>
    <w:rsid w:val="00496A0F"/>
    <w:rsid w:val="00496ACF"/>
    <w:rsid w:val="00496E25"/>
    <w:rsid w:val="00496F02"/>
    <w:rsid w:val="00497250"/>
    <w:rsid w:val="00497428"/>
    <w:rsid w:val="0049767A"/>
    <w:rsid w:val="00497A6C"/>
    <w:rsid w:val="004A0166"/>
    <w:rsid w:val="004A0460"/>
    <w:rsid w:val="004A04D6"/>
    <w:rsid w:val="004A0509"/>
    <w:rsid w:val="004A0630"/>
    <w:rsid w:val="004A06FF"/>
    <w:rsid w:val="004A073F"/>
    <w:rsid w:val="004A0BA2"/>
    <w:rsid w:val="004A0DE4"/>
    <w:rsid w:val="004A0E32"/>
    <w:rsid w:val="004A10DA"/>
    <w:rsid w:val="004A1124"/>
    <w:rsid w:val="004A12DB"/>
    <w:rsid w:val="004A13E3"/>
    <w:rsid w:val="004A16EB"/>
    <w:rsid w:val="004A19E4"/>
    <w:rsid w:val="004A1A25"/>
    <w:rsid w:val="004A1C67"/>
    <w:rsid w:val="004A1E63"/>
    <w:rsid w:val="004A233F"/>
    <w:rsid w:val="004A2352"/>
    <w:rsid w:val="004A2371"/>
    <w:rsid w:val="004A2770"/>
    <w:rsid w:val="004A2A77"/>
    <w:rsid w:val="004A2A90"/>
    <w:rsid w:val="004A2AC0"/>
    <w:rsid w:val="004A2C1E"/>
    <w:rsid w:val="004A2E1C"/>
    <w:rsid w:val="004A2E8A"/>
    <w:rsid w:val="004A30D9"/>
    <w:rsid w:val="004A34ED"/>
    <w:rsid w:val="004A36F9"/>
    <w:rsid w:val="004A3802"/>
    <w:rsid w:val="004A39E1"/>
    <w:rsid w:val="004A39F2"/>
    <w:rsid w:val="004A39F6"/>
    <w:rsid w:val="004A3A19"/>
    <w:rsid w:val="004A3B2E"/>
    <w:rsid w:val="004A3B4C"/>
    <w:rsid w:val="004A3D06"/>
    <w:rsid w:val="004A3ED0"/>
    <w:rsid w:val="004A4041"/>
    <w:rsid w:val="004A42CF"/>
    <w:rsid w:val="004A42F0"/>
    <w:rsid w:val="004A4411"/>
    <w:rsid w:val="004A449B"/>
    <w:rsid w:val="004A45D6"/>
    <w:rsid w:val="004A4685"/>
    <w:rsid w:val="004A47C3"/>
    <w:rsid w:val="004A4883"/>
    <w:rsid w:val="004A488F"/>
    <w:rsid w:val="004A4B1B"/>
    <w:rsid w:val="004A578E"/>
    <w:rsid w:val="004A5B8B"/>
    <w:rsid w:val="004A5CCC"/>
    <w:rsid w:val="004A5F61"/>
    <w:rsid w:val="004A6811"/>
    <w:rsid w:val="004A69E4"/>
    <w:rsid w:val="004A6CE5"/>
    <w:rsid w:val="004A6EB1"/>
    <w:rsid w:val="004A7574"/>
    <w:rsid w:val="004A75CF"/>
    <w:rsid w:val="004A75E3"/>
    <w:rsid w:val="004A7652"/>
    <w:rsid w:val="004A78EE"/>
    <w:rsid w:val="004A7947"/>
    <w:rsid w:val="004A7A5B"/>
    <w:rsid w:val="004A7A65"/>
    <w:rsid w:val="004A7DB9"/>
    <w:rsid w:val="004A7F03"/>
    <w:rsid w:val="004A7F7A"/>
    <w:rsid w:val="004A7FA0"/>
    <w:rsid w:val="004B0063"/>
    <w:rsid w:val="004B02D4"/>
    <w:rsid w:val="004B0333"/>
    <w:rsid w:val="004B0404"/>
    <w:rsid w:val="004B053F"/>
    <w:rsid w:val="004B063B"/>
    <w:rsid w:val="004B077E"/>
    <w:rsid w:val="004B0A29"/>
    <w:rsid w:val="004B0A67"/>
    <w:rsid w:val="004B0C64"/>
    <w:rsid w:val="004B0C84"/>
    <w:rsid w:val="004B1060"/>
    <w:rsid w:val="004B11B2"/>
    <w:rsid w:val="004B1276"/>
    <w:rsid w:val="004B148C"/>
    <w:rsid w:val="004B1582"/>
    <w:rsid w:val="004B18CA"/>
    <w:rsid w:val="004B1C77"/>
    <w:rsid w:val="004B229B"/>
    <w:rsid w:val="004B2361"/>
    <w:rsid w:val="004B2487"/>
    <w:rsid w:val="004B25B6"/>
    <w:rsid w:val="004B273D"/>
    <w:rsid w:val="004B286F"/>
    <w:rsid w:val="004B2A7E"/>
    <w:rsid w:val="004B2AD2"/>
    <w:rsid w:val="004B2C9E"/>
    <w:rsid w:val="004B2D13"/>
    <w:rsid w:val="004B2D45"/>
    <w:rsid w:val="004B2D94"/>
    <w:rsid w:val="004B2E25"/>
    <w:rsid w:val="004B2EAE"/>
    <w:rsid w:val="004B2FE8"/>
    <w:rsid w:val="004B310C"/>
    <w:rsid w:val="004B3487"/>
    <w:rsid w:val="004B36EE"/>
    <w:rsid w:val="004B39F9"/>
    <w:rsid w:val="004B3AA2"/>
    <w:rsid w:val="004B3AE2"/>
    <w:rsid w:val="004B412A"/>
    <w:rsid w:val="004B440A"/>
    <w:rsid w:val="004B4499"/>
    <w:rsid w:val="004B4541"/>
    <w:rsid w:val="004B4663"/>
    <w:rsid w:val="004B46BB"/>
    <w:rsid w:val="004B479F"/>
    <w:rsid w:val="004B47AF"/>
    <w:rsid w:val="004B492F"/>
    <w:rsid w:val="004B4BA8"/>
    <w:rsid w:val="004B4CD3"/>
    <w:rsid w:val="004B4D88"/>
    <w:rsid w:val="004B4D8E"/>
    <w:rsid w:val="004B517A"/>
    <w:rsid w:val="004B5222"/>
    <w:rsid w:val="004B52B4"/>
    <w:rsid w:val="004B5A87"/>
    <w:rsid w:val="004B5A8F"/>
    <w:rsid w:val="004B5B4B"/>
    <w:rsid w:val="004B5B6A"/>
    <w:rsid w:val="004B6013"/>
    <w:rsid w:val="004B6042"/>
    <w:rsid w:val="004B6093"/>
    <w:rsid w:val="004B609F"/>
    <w:rsid w:val="004B626B"/>
    <w:rsid w:val="004B6432"/>
    <w:rsid w:val="004B64F8"/>
    <w:rsid w:val="004B6655"/>
    <w:rsid w:val="004B67B6"/>
    <w:rsid w:val="004B67C4"/>
    <w:rsid w:val="004B6A87"/>
    <w:rsid w:val="004B6B04"/>
    <w:rsid w:val="004B6DD7"/>
    <w:rsid w:val="004B6E07"/>
    <w:rsid w:val="004B70AA"/>
    <w:rsid w:val="004B70EE"/>
    <w:rsid w:val="004B7120"/>
    <w:rsid w:val="004B7315"/>
    <w:rsid w:val="004B734C"/>
    <w:rsid w:val="004B745F"/>
    <w:rsid w:val="004B7467"/>
    <w:rsid w:val="004B752F"/>
    <w:rsid w:val="004B7580"/>
    <w:rsid w:val="004B79B5"/>
    <w:rsid w:val="004B7BC4"/>
    <w:rsid w:val="004B7BF8"/>
    <w:rsid w:val="004B7E4F"/>
    <w:rsid w:val="004B7EBA"/>
    <w:rsid w:val="004C01C4"/>
    <w:rsid w:val="004C01F5"/>
    <w:rsid w:val="004C033E"/>
    <w:rsid w:val="004C0424"/>
    <w:rsid w:val="004C04BF"/>
    <w:rsid w:val="004C0519"/>
    <w:rsid w:val="004C056F"/>
    <w:rsid w:val="004C073B"/>
    <w:rsid w:val="004C0AC1"/>
    <w:rsid w:val="004C0DAD"/>
    <w:rsid w:val="004C0DF4"/>
    <w:rsid w:val="004C0E24"/>
    <w:rsid w:val="004C0E6F"/>
    <w:rsid w:val="004C0E93"/>
    <w:rsid w:val="004C1090"/>
    <w:rsid w:val="004C1106"/>
    <w:rsid w:val="004C11B9"/>
    <w:rsid w:val="004C1312"/>
    <w:rsid w:val="004C1441"/>
    <w:rsid w:val="004C159F"/>
    <w:rsid w:val="004C15D9"/>
    <w:rsid w:val="004C1883"/>
    <w:rsid w:val="004C1A2D"/>
    <w:rsid w:val="004C1A31"/>
    <w:rsid w:val="004C1DCE"/>
    <w:rsid w:val="004C1DED"/>
    <w:rsid w:val="004C1E51"/>
    <w:rsid w:val="004C2025"/>
    <w:rsid w:val="004C2309"/>
    <w:rsid w:val="004C2891"/>
    <w:rsid w:val="004C2A11"/>
    <w:rsid w:val="004C2B8B"/>
    <w:rsid w:val="004C2CA4"/>
    <w:rsid w:val="004C2D90"/>
    <w:rsid w:val="004C2E9B"/>
    <w:rsid w:val="004C3002"/>
    <w:rsid w:val="004C3247"/>
    <w:rsid w:val="004C3601"/>
    <w:rsid w:val="004C36A2"/>
    <w:rsid w:val="004C374E"/>
    <w:rsid w:val="004C38D7"/>
    <w:rsid w:val="004C3C11"/>
    <w:rsid w:val="004C3C35"/>
    <w:rsid w:val="004C3F61"/>
    <w:rsid w:val="004C3FC3"/>
    <w:rsid w:val="004C4096"/>
    <w:rsid w:val="004C414B"/>
    <w:rsid w:val="004C414C"/>
    <w:rsid w:val="004C4247"/>
    <w:rsid w:val="004C427D"/>
    <w:rsid w:val="004C4383"/>
    <w:rsid w:val="004C4564"/>
    <w:rsid w:val="004C477A"/>
    <w:rsid w:val="004C4EC0"/>
    <w:rsid w:val="004C4F0F"/>
    <w:rsid w:val="004C5149"/>
    <w:rsid w:val="004C5691"/>
    <w:rsid w:val="004C5738"/>
    <w:rsid w:val="004C57C9"/>
    <w:rsid w:val="004C5822"/>
    <w:rsid w:val="004C5AE2"/>
    <w:rsid w:val="004C6460"/>
    <w:rsid w:val="004C651D"/>
    <w:rsid w:val="004C65A1"/>
    <w:rsid w:val="004C6AD5"/>
    <w:rsid w:val="004C6D77"/>
    <w:rsid w:val="004C6DEF"/>
    <w:rsid w:val="004C708C"/>
    <w:rsid w:val="004C7363"/>
    <w:rsid w:val="004C740C"/>
    <w:rsid w:val="004C74E2"/>
    <w:rsid w:val="004C7515"/>
    <w:rsid w:val="004C75D0"/>
    <w:rsid w:val="004C7918"/>
    <w:rsid w:val="004C7D0F"/>
    <w:rsid w:val="004C7F27"/>
    <w:rsid w:val="004D006F"/>
    <w:rsid w:val="004D0200"/>
    <w:rsid w:val="004D05F7"/>
    <w:rsid w:val="004D09C8"/>
    <w:rsid w:val="004D09E5"/>
    <w:rsid w:val="004D0F8D"/>
    <w:rsid w:val="004D0FA9"/>
    <w:rsid w:val="004D11BA"/>
    <w:rsid w:val="004D1346"/>
    <w:rsid w:val="004D143C"/>
    <w:rsid w:val="004D146D"/>
    <w:rsid w:val="004D15B6"/>
    <w:rsid w:val="004D175F"/>
    <w:rsid w:val="004D1776"/>
    <w:rsid w:val="004D1BC0"/>
    <w:rsid w:val="004D1C91"/>
    <w:rsid w:val="004D1F56"/>
    <w:rsid w:val="004D1FCA"/>
    <w:rsid w:val="004D228B"/>
    <w:rsid w:val="004D234A"/>
    <w:rsid w:val="004D245B"/>
    <w:rsid w:val="004D2876"/>
    <w:rsid w:val="004D28DD"/>
    <w:rsid w:val="004D2AB9"/>
    <w:rsid w:val="004D30BB"/>
    <w:rsid w:val="004D3365"/>
    <w:rsid w:val="004D35B8"/>
    <w:rsid w:val="004D36E7"/>
    <w:rsid w:val="004D3D45"/>
    <w:rsid w:val="004D3D72"/>
    <w:rsid w:val="004D4044"/>
    <w:rsid w:val="004D4214"/>
    <w:rsid w:val="004D42AA"/>
    <w:rsid w:val="004D42EB"/>
    <w:rsid w:val="004D4359"/>
    <w:rsid w:val="004D4561"/>
    <w:rsid w:val="004D4610"/>
    <w:rsid w:val="004D470E"/>
    <w:rsid w:val="004D47C9"/>
    <w:rsid w:val="004D4996"/>
    <w:rsid w:val="004D4D9A"/>
    <w:rsid w:val="004D4FE8"/>
    <w:rsid w:val="004D5051"/>
    <w:rsid w:val="004D53EC"/>
    <w:rsid w:val="004D54DA"/>
    <w:rsid w:val="004D565E"/>
    <w:rsid w:val="004D57CC"/>
    <w:rsid w:val="004D5B6F"/>
    <w:rsid w:val="004D5B9B"/>
    <w:rsid w:val="004D5C54"/>
    <w:rsid w:val="004D5E85"/>
    <w:rsid w:val="004D64EB"/>
    <w:rsid w:val="004D65A2"/>
    <w:rsid w:val="004D6624"/>
    <w:rsid w:val="004D672A"/>
    <w:rsid w:val="004D691E"/>
    <w:rsid w:val="004D69C1"/>
    <w:rsid w:val="004D6D0F"/>
    <w:rsid w:val="004D6E82"/>
    <w:rsid w:val="004D7313"/>
    <w:rsid w:val="004D7472"/>
    <w:rsid w:val="004D7513"/>
    <w:rsid w:val="004D79B3"/>
    <w:rsid w:val="004D7BBC"/>
    <w:rsid w:val="004D7C75"/>
    <w:rsid w:val="004D7D3C"/>
    <w:rsid w:val="004D7DA5"/>
    <w:rsid w:val="004E029B"/>
    <w:rsid w:val="004E0569"/>
    <w:rsid w:val="004E11C3"/>
    <w:rsid w:val="004E1216"/>
    <w:rsid w:val="004E137B"/>
    <w:rsid w:val="004E1472"/>
    <w:rsid w:val="004E15C3"/>
    <w:rsid w:val="004E1B25"/>
    <w:rsid w:val="004E1D2F"/>
    <w:rsid w:val="004E1ECC"/>
    <w:rsid w:val="004E1F28"/>
    <w:rsid w:val="004E1F3F"/>
    <w:rsid w:val="004E1F49"/>
    <w:rsid w:val="004E2016"/>
    <w:rsid w:val="004E25E2"/>
    <w:rsid w:val="004E27CB"/>
    <w:rsid w:val="004E286E"/>
    <w:rsid w:val="004E298F"/>
    <w:rsid w:val="004E2997"/>
    <w:rsid w:val="004E2BA8"/>
    <w:rsid w:val="004E2BCF"/>
    <w:rsid w:val="004E2C3B"/>
    <w:rsid w:val="004E2D07"/>
    <w:rsid w:val="004E2D69"/>
    <w:rsid w:val="004E2E89"/>
    <w:rsid w:val="004E3044"/>
    <w:rsid w:val="004E3188"/>
    <w:rsid w:val="004E31AA"/>
    <w:rsid w:val="004E320C"/>
    <w:rsid w:val="004E3641"/>
    <w:rsid w:val="004E368C"/>
    <w:rsid w:val="004E3864"/>
    <w:rsid w:val="004E3A07"/>
    <w:rsid w:val="004E3AE9"/>
    <w:rsid w:val="004E3B6C"/>
    <w:rsid w:val="004E3D35"/>
    <w:rsid w:val="004E3D9F"/>
    <w:rsid w:val="004E4006"/>
    <w:rsid w:val="004E4056"/>
    <w:rsid w:val="004E41BE"/>
    <w:rsid w:val="004E4203"/>
    <w:rsid w:val="004E42B1"/>
    <w:rsid w:val="004E430C"/>
    <w:rsid w:val="004E462D"/>
    <w:rsid w:val="004E49AC"/>
    <w:rsid w:val="004E4B87"/>
    <w:rsid w:val="004E4BBB"/>
    <w:rsid w:val="004E4D93"/>
    <w:rsid w:val="004E509D"/>
    <w:rsid w:val="004E50B0"/>
    <w:rsid w:val="004E58F8"/>
    <w:rsid w:val="004E5B00"/>
    <w:rsid w:val="004E5B83"/>
    <w:rsid w:val="004E5CCE"/>
    <w:rsid w:val="004E5EFA"/>
    <w:rsid w:val="004E626F"/>
    <w:rsid w:val="004E62F4"/>
    <w:rsid w:val="004E655B"/>
    <w:rsid w:val="004E658C"/>
    <w:rsid w:val="004E6680"/>
    <w:rsid w:val="004E67AD"/>
    <w:rsid w:val="004E67BC"/>
    <w:rsid w:val="004E68B3"/>
    <w:rsid w:val="004E68CA"/>
    <w:rsid w:val="004E68E9"/>
    <w:rsid w:val="004E69C7"/>
    <w:rsid w:val="004E69FD"/>
    <w:rsid w:val="004E6BB2"/>
    <w:rsid w:val="004E6EF7"/>
    <w:rsid w:val="004E7228"/>
    <w:rsid w:val="004E7383"/>
    <w:rsid w:val="004E744C"/>
    <w:rsid w:val="004E76D0"/>
    <w:rsid w:val="004E77E4"/>
    <w:rsid w:val="004E7A29"/>
    <w:rsid w:val="004E7A9F"/>
    <w:rsid w:val="004E7DA6"/>
    <w:rsid w:val="004E7DF6"/>
    <w:rsid w:val="004F00C2"/>
    <w:rsid w:val="004F0165"/>
    <w:rsid w:val="004F03F7"/>
    <w:rsid w:val="004F0662"/>
    <w:rsid w:val="004F0AD2"/>
    <w:rsid w:val="004F0B18"/>
    <w:rsid w:val="004F0D3B"/>
    <w:rsid w:val="004F0E2E"/>
    <w:rsid w:val="004F0FA8"/>
    <w:rsid w:val="004F10ED"/>
    <w:rsid w:val="004F1288"/>
    <w:rsid w:val="004F13BA"/>
    <w:rsid w:val="004F1510"/>
    <w:rsid w:val="004F155D"/>
    <w:rsid w:val="004F1639"/>
    <w:rsid w:val="004F178C"/>
    <w:rsid w:val="004F1B73"/>
    <w:rsid w:val="004F2205"/>
    <w:rsid w:val="004F2281"/>
    <w:rsid w:val="004F22FC"/>
    <w:rsid w:val="004F2817"/>
    <w:rsid w:val="004F2A08"/>
    <w:rsid w:val="004F2B25"/>
    <w:rsid w:val="004F2C76"/>
    <w:rsid w:val="004F2E02"/>
    <w:rsid w:val="004F2FC2"/>
    <w:rsid w:val="004F31C8"/>
    <w:rsid w:val="004F3232"/>
    <w:rsid w:val="004F3267"/>
    <w:rsid w:val="004F3291"/>
    <w:rsid w:val="004F3482"/>
    <w:rsid w:val="004F3501"/>
    <w:rsid w:val="004F360B"/>
    <w:rsid w:val="004F363A"/>
    <w:rsid w:val="004F3CBF"/>
    <w:rsid w:val="004F3CCF"/>
    <w:rsid w:val="004F3EAD"/>
    <w:rsid w:val="004F3EFB"/>
    <w:rsid w:val="004F3F6C"/>
    <w:rsid w:val="004F4209"/>
    <w:rsid w:val="004F4321"/>
    <w:rsid w:val="004F437C"/>
    <w:rsid w:val="004F4469"/>
    <w:rsid w:val="004F499F"/>
    <w:rsid w:val="004F4C1A"/>
    <w:rsid w:val="004F4C9B"/>
    <w:rsid w:val="004F4DB1"/>
    <w:rsid w:val="004F4FF5"/>
    <w:rsid w:val="004F5027"/>
    <w:rsid w:val="004F54C5"/>
    <w:rsid w:val="004F54DA"/>
    <w:rsid w:val="004F58FB"/>
    <w:rsid w:val="004F58FC"/>
    <w:rsid w:val="004F5974"/>
    <w:rsid w:val="004F598D"/>
    <w:rsid w:val="004F59D1"/>
    <w:rsid w:val="004F5DDF"/>
    <w:rsid w:val="004F5DEE"/>
    <w:rsid w:val="004F6138"/>
    <w:rsid w:val="004F6385"/>
    <w:rsid w:val="004F63EE"/>
    <w:rsid w:val="004F6699"/>
    <w:rsid w:val="004F68F8"/>
    <w:rsid w:val="004F6CEE"/>
    <w:rsid w:val="004F700D"/>
    <w:rsid w:val="004F710B"/>
    <w:rsid w:val="004F73C7"/>
    <w:rsid w:val="004F73E2"/>
    <w:rsid w:val="004F74DA"/>
    <w:rsid w:val="004F77AD"/>
    <w:rsid w:val="004F7B6E"/>
    <w:rsid w:val="004F7BBC"/>
    <w:rsid w:val="004F7E34"/>
    <w:rsid w:val="00500235"/>
    <w:rsid w:val="00500265"/>
    <w:rsid w:val="005002F7"/>
    <w:rsid w:val="00500430"/>
    <w:rsid w:val="005005A6"/>
    <w:rsid w:val="005006E0"/>
    <w:rsid w:val="005007A5"/>
    <w:rsid w:val="0050082C"/>
    <w:rsid w:val="005011EB"/>
    <w:rsid w:val="0050127C"/>
    <w:rsid w:val="005013BA"/>
    <w:rsid w:val="005014DE"/>
    <w:rsid w:val="00501556"/>
    <w:rsid w:val="00501592"/>
    <w:rsid w:val="005016A8"/>
    <w:rsid w:val="00501A5D"/>
    <w:rsid w:val="00501A9B"/>
    <w:rsid w:val="00501DB2"/>
    <w:rsid w:val="00501F7D"/>
    <w:rsid w:val="00501FD4"/>
    <w:rsid w:val="00502442"/>
    <w:rsid w:val="0050295E"/>
    <w:rsid w:val="00502FDA"/>
    <w:rsid w:val="00503295"/>
    <w:rsid w:val="0050338C"/>
    <w:rsid w:val="0050341D"/>
    <w:rsid w:val="00503501"/>
    <w:rsid w:val="00503653"/>
    <w:rsid w:val="0050382A"/>
    <w:rsid w:val="00503EA5"/>
    <w:rsid w:val="00504AE5"/>
    <w:rsid w:val="00504CA6"/>
    <w:rsid w:val="00504D9E"/>
    <w:rsid w:val="00504DA5"/>
    <w:rsid w:val="005051A8"/>
    <w:rsid w:val="00505383"/>
    <w:rsid w:val="0050599F"/>
    <w:rsid w:val="00505BC1"/>
    <w:rsid w:val="00505D4B"/>
    <w:rsid w:val="00505E76"/>
    <w:rsid w:val="00505F01"/>
    <w:rsid w:val="005061FE"/>
    <w:rsid w:val="00506252"/>
    <w:rsid w:val="00506288"/>
    <w:rsid w:val="005062E6"/>
    <w:rsid w:val="00506340"/>
    <w:rsid w:val="005064DD"/>
    <w:rsid w:val="005068D7"/>
    <w:rsid w:val="00506A05"/>
    <w:rsid w:val="00506B0D"/>
    <w:rsid w:val="00506D01"/>
    <w:rsid w:val="00506D46"/>
    <w:rsid w:val="00506E68"/>
    <w:rsid w:val="00507001"/>
    <w:rsid w:val="00507333"/>
    <w:rsid w:val="005074C4"/>
    <w:rsid w:val="005075C0"/>
    <w:rsid w:val="00507624"/>
    <w:rsid w:val="005076B9"/>
    <w:rsid w:val="005076F0"/>
    <w:rsid w:val="005076F7"/>
    <w:rsid w:val="005077CA"/>
    <w:rsid w:val="00507A22"/>
    <w:rsid w:val="00507A63"/>
    <w:rsid w:val="00507D85"/>
    <w:rsid w:val="0051010D"/>
    <w:rsid w:val="0051011A"/>
    <w:rsid w:val="005101B8"/>
    <w:rsid w:val="005101C5"/>
    <w:rsid w:val="00510225"/>
    <w:rsid w:val="0051035C"/>
    <w:rsid w:val="005106B4"/>
    <w:rsid w:val="0051094E"/>
    <w:rsid w:val="00510D12"/>
    <w:rsid w:val="00510FF2"/>
    <w:rsid w:val="0051138D"/>
    <w:rsid w:val="00511565"/>
    <w:rsid w:val="00511584"/>
    <w:rsid w:val="005115A4"/>
    <w:rsid w:val="0051161C"/>
    <w:rsid w:val="00511732"/>
    <w:rsid w:val="00511963"/>
    <w:rsid w:val="00511D1C"/>
    <w:rsid w:val="00511DA8"/>
    <w:rsid w:val="00511DAC"/>
    <w:rsid w:val="0051210B"/>
    <w:rsid w:val="00512185"/>
    <w:rsid w:val="0051230A"/>
    <w:rsid w:val="00512421"/>
    <w:rsid w:val="00512836"/>
    <w:rsid w:val="00512997"/>
    <w:rsid w:val="00512B12"/>
    <w:rsid w:val="00512C7A"/>
    <w:rsid w:val="00513178"/>
    <w:rsid w:val="005135AA"/>
    <w:rsid w:val="0051365E"/>
    <w:rsid w:val="0051379D"/>
    <w:rsid w:val="00513C10"/>
    <w:rsid w:val="00513D68"/>
    <w:rsid w:val="00513D6B"/>
    <w:rsid w:val="00513F57"/>
    <w:rsid w:val="0051406B"/>
    <w:rsid w:val="005140A9"/>
    <w:rsid w:val="00514170"/>
    <w:rsid w:val="005143C4"/>
    <w:rsid w:val="00514499"/>
    <w:rsid w:val="005148CB"/>
    <w:rsid w:val="00514966"/>
    <w:rsid w:val="00515080"/>
    <w:rsid w:val="00515090"/>
    <w:rsid w:val="0051527F"/>
    <w:rsid w:val="005152E2"/>
    <w:rsid w:val="0051544A"/>
    <w:rsid w:val="0051548F"/>
    <w:rsid w:val="005154D8"/>
    <w:rsid w:val="005156F7"/>
    <w:rsid w:val="0051585E"/>
    <w:rsid w:val="005158C9"/>
    <w:rsid w:val="00515969"/>
    <w:rsid w:val="005159E9"/>
    <w:rsid w:val="00515D47"/>
    <w:rsid w:val="00515EC8"/>
    <w:rsid w:val="00515FEA"/>
    <w:rsid w:val="005162D5"/>
    <w:rsid w:val="005163C1"/>
    <w:rsid w:val="005164D2"/>
    <w:rsid w:val="00516B8A"/>
    <w:rsid w:val="00516C5D"/>
    <w:rsid w:val="00516F19"/>
    <w:rsid w:val="00516FBE"/>
    <w:rsid w:val="00517079"/>
    <w:rsid w:val="00517595"/>
    <w:rsid w:val="005175BC"/>
    <w:rsid w:val="0051776E"/>
    <w:rsid w:val="00517816"/>
    <w:rsid w:val="0051789A"/>
    <w:rsid w:val="00517920"/>
    <w:rsid w:val="005179D1"/>
    <w:rsid w:val="00517A9C"/>
    <w:rsid w:val="00517D69"/>
    <w:rsid w:val="00517DE6"/>
    <w:rsid w:val="00517DFB"/>
    <w:rsid w:val="00517F7E"/>
    <w:rsid w:val="005206B0"/>
    <w:rsid w:val="00520B80"/>
    <w:rsid w:val="00520E23"/>
    <w:rsid w:val="005210FE"/>
    <w:rsid w:val="00521121"/>
    <w:rsid w:val="00521291"/>
    <w:rsid w:val="005212F0"/>
    <w:rsid w:val="0052153E"/>
    <w:rsid w:val="0052192D"/>
    <w:rsid w:val="005219C0"/>
    <w:rsid w:val="00521C80"/>
    <w:rsid w:val="005221C2"/>
    <w:rsid w:val="005222B6"/>
    <w:rsid w:val="00522437"/>
    <w:rsid w:val="00522679"/>
    <w:rsid w:val="005226E1"/>
    <w:rsid w:val="005227DA"/>
    <w:rsid w:val="00522A36"/>
    <w:rsid w:val="00522C5B"/>
    <w:rsid w:val="00522CFB"/>
    <w:rsid w:val="00522CFD"/>
    <w:rsid w:val="00522CFE"/>
    <w:rsid w:val="00522DF4"/>
    <w:rsid w:val="00522F72"/>
    <w:rsid w:val="00522F92"/>
    <w:rsid w:val="00523362"/>
    <w:rsid w:val="00523534"/>
    <w:rsid w:val="00523740"/>
    <w:rsid w:val="0052379F"/>
    <w:rsid w:val="005238B5"/>
    <w:rsid w:val="00523AC6"/>
    <w:rsid w:val="00523E8C"/>
    <w:rsid w:val="00523F06"/>
    <w:rsid w:val="00523FE0"/>
    <w:rsid w:val="005240AC"/>
    <w:rsid w:val="005240C3"/>
    <w:rsid w:val="005245FA"/>
    <w:rsid w:val="00524C4E"/>
    <w:rsid w:val="00524C75"/>
    <w:rsid w:val="00524EE9"/>
    <w:rsid w:val="00524F1A"/>
    <w:rsid w:val="00525034"/>
    <w:rsid w:val="0052505D"/>
    <w:rsid w:val="0052521E"/>
    <w:rsid w:val="00525278"/>
    <w:rsid w:val="0052535F"/>
    <w:rsid w:val="0052537B"/>
    <w:rsid w:val="005253FB"/>
    <w:rsid w:val="00525462"/>
    <w:rsid w:val="0052557D"/>
    <w:rsid w:val="0052580C"/>
    <w:rsid w:val="005258D0"/>
    <w:rsid w:val="00525E83"/>
    <w:rsid w:val="005261C7"/>
    <w:rsid w:val="00526840"/>
    <w:rsid w:val="005268C6"/>
    <w:rsid w:val="005269AD"/>
    <w:rsid w:val="00526A4D"/>
    <w:rsid w:val="00526C0B"/>
    <w:rsid w:val="00526FB8"/>
    <w:rsid w:val="00527131"/>
    <w:rsid w:val="00527392"/>
    <w:rsid w:val="00527603"/>
    <w:rsid w:val="00527679"/>
    <w:rsid w:val="00527AFC"/>
    <w:rsid w:val="00527CBD"/>
    <w:rsid w:val="00527D3E"/>
    <w:rsid w:val="005300D9"/>
    <w:rsid w:val="005301CE"/>
    <w:rsid w:val="00530715"/>
    <w:rsid w:val="00530C3F"/>
    <w:rsid w:val="00530CCB"/>
    <w:rsid w:val="00530E6B"/>
    <w:rsid w:val="0053147B"/>
    <w:rsid w:val="00531531"/>
    <w:rsid w:val="0053163E"/>
    <w:rsid w:val="00531785"/>
    <w:rsid w:val="00531B6F"/>
    <w:rsid w:val="00531B73"/>
    <w:rsid w:val="00531D17"/>
    <w:rsid w:val="005320AC"/>
    <w:rsid w:val="00532132"/>
    <w:rsid w:val="00532258"/>
    <w:rsid w:val="005322B6"/>
    <w:rsid w:val="005322F2"/>
    <w:rsid w:val="0053231E"/>
    <w:rsid w:val="00532416"/>
    <w:rsid w:val="00532595"/>
    <w:rsid w:val="005325A3"/>
    <w:rsid w:val="00532741"/>
    <w:rsid w:val="00532984"/>
    <w:rsid w:val="00532B61"/>
    <w:rsid w:val="00532BDC"/>
    <w:rsid w:val="00533062"/>
    <w:rsid w:val="00533156"/>
    <w:rsid w:val="0053321B"/>
    <w:rsid w:val="0053332D"/>
    <w:rsid w:val="0053334E"/>
    <w:rsid w:val="00533A44"/>
    <w:rsid w:val="00533AA3"/>
    <w:rsid w:val="00533B26"/>
    <w:rsid w:val="00533BE7"/>
    <w:rsid w:val="00533D71"/>
    <w:rsid w:val="005340ED"/>
    <w:rsid w:val="00534131"/>
    <w:rsid w:val="005342E8"/>
    <w:rsid w:val="0053461B"/>
    <w:rsid w:val="005346CA"/>
    <w:rsid w:val="0053474F"/>
    <w:rsid w:val="005347DA"/>
    <w:rsid w:val="00534C2F"/>
    <w:rsid w:val="00534F76"/>
    <w:rsid w:val="005350E1"/>
    <w:rsid w:val="00535137"/>
    <w:rsid w:val="00535354"/>
    <w:rsid w:val="0053589D"/>
    <w:rsid w:val="00535A0F"/>
    <w:rsid w:val="00535A96"/>
    <w:rsid w:val="00535B2F"/>
    <w:rsid w:val="00535B40"/>
    <w:rsid w:val="00535D3B"/>
    <w:rsid w:val="00535FA8"/>
    <w:rsid w:val="00536073"/>
    <w:rsid w:val="00536074"/>
    <w:rsid w:val="005363E5"/>
    <w:rsid w:val="005364FD"/>
    <w:rsid w:val="00536658"/>
    <w:rsid w:val="005366F5"/>
    <w:rsid w:val="00536888"/>
    <w:rsid w:val="00536891"/>
    <w:rsid w:val="005368A5"/>
    <w:rsid w:val="00536A27"/>
    <w:rsid w:val="00536B7F"/>
    <w:rsid w:val="00536F72"/>
    <w:rsid w:val="0053704B"/>
    <w:rsid w:val="005371DC"/>
    <w:rsid w:val="005375E4"/>
    <w:rsid w:val="005375F1"/>
    <w:rsid w:val="005379AF"/>
    <w:rsid w:val="0054021B"/>
    <w:rsid w:val="005402F9"/>
    <w:rsid w:val="0054036B"/>
    <w:rsid w:val="005403EC"/>
    <w:rsid w:val="005406F3"/>
    <w:rsid w:val="00540928"/>
    <w:rsid w:val="00540ACB"/>
    <w:rsid w:val="00540BFF"/>
    <w:rsid w:val="00540C79"/>
    <w:rsid w:val="00541357"/>
    <w:rsid w:val="00541358"/>
    <w:rsid w:val="00541432"/>
    <w:rsid w:val="00541A6D"/>
    <w:rsid w:val="00541B4E"/>
    <w:rsid w:val="00541C7D"/>
    <w:rsid w:val="00541DB7"/>
    <w:rsid w:val="00541E65"/>
    <w:rsid w:val="00541EF8"/>
    <w:rsid w:val="00541F25"/>
    <w:rsid w:val="005420AA"/>
    <w:rsid w:val="005422B6"/>
    <w:rsid w:val="00542309"/>
    <w:rsid w:val="00542A8F"/>
    <w:rsid w:val="00542AAB"/>
    <w:rsid w:val="00542D72"/>
    <w:rsid w:val="00542EC3"/>
    <w:rsid w:val="00542ECF"/>
    <w:rsid w:val="00542F32"/>
    <w:rsid w:val="005430E7"/>
    <w:rsid w:val="0054311C"/>
    <w:rsid w:val="0054316D"/>
    <w:rsid w:val="0054317A"/>
    <w:rsid w:val="00543818"/>
    <w:rsid w:val="005439C4"/>
    <w:rsid w:val="00543D90"/>
    <w:rsid w:val="00543E23"/>
    <w:rsid w:val="005440D2"/>
    <w:rsid w:val="005440EA"/>
    <w:rsid w:val="0054418C"/>
    <w:rsid w:val="0054422F"/>
    <w:rsid w:val="0054424E"/>
    <w:rsid w:val="0054442C"/>
    <w:rsid w:val="00544DF5"/>
    <w:rsid w:val="00544E73"/>
    <w:rsid w:val="0054507D"/>
    <w:rsid w:val="00545250"/>
    <w:rsid w:val="0054559D"/>
    <w:rsid w:val="005456AA"/>
    <w:rsid w:val="005456F7"/>
    <w:rsid w:val="0054571A"/>
    <w:rsid w:val="005457BD"/>
    <w:rsid w:val="005458A1"/>
    <w:rsid w:val="005458B9"/>
    <w:rsid w:val="00545C9A"/>
    <w:rsid w:val="00545E42"/>
    <w:rsid w:val="00545F60"/>
    <w:rsid w:val="005460A8"/>
    <w:rsid w:val="005460AD"/>
    <w:rsid w:val="00546157"/>
    <w:rsid w:val="00546641"/>
    <w:rsid w:val="00546747"/>
    <w:rsid w:val="0054678A"/>
    <w:rsid w:val="00546804"/>
    <w:rsid w:val="005469B0"/>
    <w:rsid w:val="00546C8F"/>
    <w:rsid w:val="0054715D"/>
    <w:rsid w:val="005471A1"/>
    <w:rsid w:val="0054729A"/>
    <w:rsid w:val="00547308"/>
    <w:rsid w:val="005473CF"/>
    <w:rsid w:val="00547719"/>
    <w:rsid w:val="005479EE"/>
    <w:rsid w:val="00547AE6"/>
    <w:rsid w:val="00547B5A"/>
    <w:rsid w:val="00547BBD"/>
    <w:rsid w:val="00547BC8"/>
    <w:rsid w:val="00547CE0"/>
    <w:rsid w:val="00547F00"/>
    <w:rsid w:val="00547FEF"/>
    <w:rsid w:val="0055030D"/>
    <w:rsid w:val="0055048A"/>
    <w:rsid w:val="00550CB4"/>
    <w:rsid w:val="00550F03"/>
    <w:rsid w:val="005513F4"/>
    <w:rsid w:val="0055177B"/>
    <w:rsid w:val="00551993"/>
    <w:rsid w:val="00551A0E"/>
    <w:rsid w:val="00551ADE"/>
    <w:rsid w:val="00551F51"/>
    <w:rsid w:val="005520B7"/>
    <w:rsid w:val="005525E0"/>
    <w:rsid w:val="00552752"/>
    <w:rsid w:val="00552806"/>
    <w:rsid w:val="00552A4E"/>
    <w:rsid w:val="00552A62"/>
    <w:rsid w:val="00552B67"/>
    <w:rsid w:val="00552D50"/>
    <w:rsid w:val="00553000"/>
    <w:rsid w:val="00553156"/>
    <w:rsid w:val="00553477"/>
    <w:rsid w:val="00553627"/>
    <w:rsid w:val="00553D50"/>
    <w:rsid w:val="00553E3C"/>
    <w:rsid w:val="00553ED0"/>
    <w:rsid w:val="00553F74"/>
    <w:rsid w:val="00553FC5"/>
    <w:rsid w:val="00554019"/>
    <w:rsid w:val="005540C9"/>
    <w:rsid w:val="00554199"/>
    <w:rsid w:val="005543EA"/>
    <w:rsid w:val="00554431"/>
    <w:rsid w:val="005544B2"/>
    <w:rsid w:val="005547D2"/>
    <w:rsid w:val="00554A93"/>
    <w:rsid w:val="00554F13"/>
    <w:rsid w:val="005551F0"/>
    <w:rsid w:val="00555225"/>
    <w:rsid w:val="005552A4"/>
    <w:rsid w:val="00555460"/>
    <w:rsid w:val="005555A2"/>
    <w:rsid w:val="005556AB"/>
    <w:rsid w:val="00555FC7"/>
    <w:rsid w:val="0055602F"/>
    <w:rsid w:val="005560F8"/>
    <w:rsid w:val="005561F7"/>
    <w:rsid w:val="00556495"/>
    <w:rsid w:val="00556592"/>
    <w:rsid w:val="00556756"/>
    <w:rsid w:val="00556ACA"/>
    <w:rsid w:val="00556AF0"/>
    <w:rsid w:val="005570C9"/>
    <w:rsid w:val="0055715F"/>
    <w:rsid w:val="00557255"/>
    <w:rsid w:val="005573CD"/>
    <w:rsid w:val="00557573"/>
    <w:rsid w:val="005577A8"/>
    <w:rsid w:val="005579FC"/>
    <w:rsid w:val="00557ACD"/>
    <w:rsid w:val="00557C63"/>
    <w:rsid w:val="00557C77"/>
    <w:rsid w:val="00557CDC"/>
    <w:rsid w:val="00557D6A"/>
    <w:rsid w:val="00557E46"/>
    <w:rsid w:val="0056027F"/>
    <w:rsid w:val="005602C0"/>
    <w:rsid w:val="00560381"/>
    <w:rsid w:val="005603EB"/>
    <w:rsid w:val="005604B7"/>
    <w:rsid w:val="0056050D"/>
    <w:rsid w:val="00560990"/>
    <w:rsid w:val="00560997"/>
    <w:rsid w:val="00560B35"/>
    <w:rsid w:val="00560B7C"/>
    <w:rsid w:val="00560D14"/>
    <w:rsid w:val="0056111D"/>
    <w:rsid w:val="0056119B"/>
    <w:rsid w:val="005612A3"/>
    <w:rsid w:val="00561462"/>
    <w:rsid w:val="00561691"/>
    <w:rsid w:val="0056187B"/>
    <w:rsid w:val="00561C9C"/>
    <w:rsid w:val="00561D41"/>
    <w:rsid w:val="00561D72"/>
    <w:rsid w:val="005620AD"/>
    <w:rsid w:val="00562162"/>
    <w:rsid w:val="00562331"/>
    <w:rsid w:val="00562417"/>
    <w:rsid w:val="00562428"/>
    <w:rsid w:val="00562627"/>
    <w:rsid w:val="005626E0"/>
    <w:rsid w:val="00562901"/>
    <w:rsid w:val="00562A45"/>
    <w:rsid w:val="00562D6D"/>
    <w:rsid w:val="00562E6D"/>
    <w:rsid w:val="00563127"/>
    <w:rsid w:val="005631FD"/>
    <w:rsid w:val="0056348B"/>
    <w:rsid w:val="0056388A"/>
    <w:rsid w:val="005639B8"/>
    <w:rsid w:val="00563A53"/>
    <w:rsid w:val="00563D0C"/>
    <w:rsid w:val="00563D5E"/>
    <w:rsid w:val="00563F2E"/>
    <w:rsid w:val="00564112"/>
    <w:rsid w:val="00564367"/>
    <w:rsid w:val="00564580"/>
    <w:rsid w:val="005648AC"/>
    <w:rsid w:val="005649E7"/>
    <w:rsid w:val="00564A2D"/>
    <w:rsid w:val="00564AA4"/>
    <w:rsid w:val="00564CAE"/>
    <w:rsid w:val="00564D99"/>
    <w:rsid w:val="00565147"/>
    <w:rsid w:val="00565173"/>
    <w:rsid w:val="00565418"/>
    <w:rsid w:val="005654B3"/>
    <w:rsid w:val="00565518"/>
    <w:rsid w:val="0056554F"/>
    <w:rsid w:val="0056590B"/>
    <w:rsid w:val="005659FF"/>
    <w:rsid w:val="00565B57"/>
    <w:rsid w:val="00565C45"/>
    <w:rsid w:val="00565F3C"/>
    <w:rsid w:val="005662FD"/>
    <w:rsid w:val="0056634B"/>
    <w:rsid w:val="00566493"/>
    <w:rsid w:val="00566A66"/>
    <w:rsid w:val="00566D2E"/>
    <w:rsid w:val="00566D6B"/>
    <w:rsid w:val="00566DC9"/>
    <w:rsid w:val="00567080"/>
    <w:rsid w:val="00567167"/>
    <w:rsid w:val="00567450"/>
    <w:rsid w:val="00567590"/>
    <w:rsid w:val="0056797B"/>
    <w:rsid w:val="005679D0"/>
    <w:rsid w:val="00567AB0"/>
    <w:rsid w:val="00570019"/>
    <w:rsid w:val="0057018F"/>
    <w:rsid w:val="00570209"/>
    <w:rsid w:val="00570380"/>
    <w:rsid w:val="005706EE"/>
    <w:rsid w:val="005706F0"/>
    <w:rsid w:val="0057073A"/>
    <w:rsid w:val="0057074C"/>
    <w:rsid w:val="005707B6"/>
    <w:rsid w:val="00570837"/>
    <w:rsid w:val="00570AEA"/>
    <w:rsid w:val="00570EBC"/>
    <w:rsid w:val="00570FF5"/>
    <w:rsid w:val="005712E4"/>
    <w:rsid w:val="00571337"/>
    <w:rsid w:val="00571491"/>
    <w:rsid w:val="005714D6"/>
    <w:rsid w:val="00571519"/>
    <w:rsid w:val="00571617"/>
    <w:rsid w:val="0057170E"/>
    <w:rsid w:val="005717C1"/>
    <w:rsid w:val="005718A0"/>
    <w:rsid w:val="0057198B"/>
    <w:rsid w:val="00571AAE"/>
    <w:rsid w:val="00571B99"/>
    <w:rsid w:val="00571C31"/>
    <w:rsid w:val="00571E29"/>
    <w:rsid w:val="00571EE3"/>
    <w:rsid w:val="00572813"/>
    <w:rsid w:val="00572A83"/>
    <w:rsid w:val="00572B05"/>
    <w:rsid w:val="00572B7C"/>
    <w:rsid w:val="00572C61"/>
    <w:rsid w:val="00572CEB"/>
    <w:rsid w:val="00572E49"/>
    <w:rsid w:val="00572FC7"/>
    <w:rsid w:val="005732E0"/>
    <w:rsid w:val="00573303"/>
    <w:rsid w:val="00573427"/>
    <w:rsid w:val="005734A2"/>
    <w:rsid w:val="005734B3"/>
    <w:rsid w:val="005735A1"/>
    <w:rsid w:val="00573777"/>
    <w:rsid w:val="0057392C"/>
    <w:rsid w:val="0057392D"/>
    <w:rsid w:val="00573BD3"/>
    <w:rsid w:val="00573CD2"/>
    <w:rsid w:val="00573D5C"/>
    <w:rsid w:val="00573E2F"/>
    <w:rsid w:val="00573F2D"/>
    <w:rsid w:val="00574485"/>
    <w:rsid w:val="005745C9"/>
    <w:rsid w:val="005747C5"/>
    <w:rsid w:val="00574AE0"/>
    <w:rsid w:val="00574E72"/>
    <w:rsid w:val="00575187"/>
    <w:rsid w:val="005755F6"/>
    <w:rsid w:val="0057565E"/>
    <w:rsid w:val="0057581C"/>
    <w:rsid w:val="00575865"/>
    <w:rsid w:val="005758AD"/>
    <w:rsid w:val="005759A1"/>
    <w:rsid w:val="00575A44"/>
    <w:rsid w:val="00575BF4"/>
    <w:rsid w:val="00575CA3"/>
    <w:rsid w:val="00575D4D"/>
    <w:rsid w:val="00575E3E"/>
    <w:rsid w:val="00575ECD"/>
    <w:rsid w:val="0057610D"/>
    <w:rsid w:val="00576414"/>
    <w:rsid w:val="00576881"/>
    <w:rsid w:val="0057689A"/>
    <w:rsid w:val="00576952"/>
    <w:rsid w:val="00576A87"/>
    <w:rsid w:val="00576B02"/>
    <w:rsid w:val="0057718D"/>
    <w:rsid w:val="00577243"/>
    <w:rsid w:val="00577258"/>
    <w:rsid w:val="0057738F"/>
    <w:rsid w:val="005774F8"/>
    <w:rsid w:val="0057782B"/>
    <w:rsid w:val="00577990"/>
    <w:rsid w:val="00577BF7"/>
    <w:rsid w:val="00577CF6"/>
    <w:rsid w:val="00577E48"/>
    <w:rsid w:val="00577E8F"/>
    <w:rsid w:val="0058005F"/>
    <w:rsid w:val="0058086F"/>
    <w:rsid w:val="00580B00"/>
    <w:rsid w:val="00580B60"/>
    <w:rsid w:val="0058127C"/>
    <w:rsid w:val="005815AD"/>
    <w:rsid w:val="00581848"/>
    <w:rsid w:val="00581BD5"/>
    <w:rsid w:val="00581BDE"/>
    <w:rsid w:val="00581F94"/>
    <w:rsid w:val="0058215B"/>
    <w:rsid w:val="0058236E"/>
    <w:rsid w:val="0058254A"/>
    <w:rsid w:val="00582552"/>
    <w:rsid w:val="00582558"/>
    <w:rsid w:val="0058258E"/>
    <w:rsid w:val="005826FA"/>
    <w:rsid w:val="00582907"/>
    <w:rsid w:val="00582B21"/>
    <w:rsid w:val="00582D6C"/>
    <w:rsid w:val="00582D86"/>
    <w:rsid w:val="0058306B"/>
    <w:rsid w:val="00583080"/>
    <w:rsid w:val="00583463"/>
    <w:rsid w:val="00583560"/>
    <w:rsid w:val="005836AE"/>
    <w:rsid w:val="00583700"/>
    <w:rsid w:val="005837C7"/>
    <w:rsid w:val="00583B3A"/>
    <w:rsid w:val="00583C37"/>
    <w:rsid w:val="00583E67"/>
    <w:rsid w:val="00583E7D"/>
    <w:rsid w:val="00583FA2"/>
    <w:rsid w:val="00584088"/>
    <w:rsid w:val="00584127"/>
    <w:rsid w:val="00584346"/>
    <w:rsid w:val="00584401"/>
    <w:rsid w:val="0058444B"/>
    <w:rsid w:val="005844B8"/>
    <w:rsid w:val="0058457B"/>
    <w:rsid w:val="005845CE"/>
    <w:rsid w:val="005845CF"/>
    <w:rsid w:val="005849DD"/>
    <w:rsid w:val="00584A37"/>
    <w:rsid w:val="005850BB"/>
    <w:rsid w:val="00585225"/>
    <w:rsid w:val="00585317"/>
    <w:rsid w:val="00585326"/>
    <w:rsid w:val="005854E6"/>
    <w:rsid w:val="0058569E"/>
    <w:rsid w:val="00585801"/>
    <w:rsid w:val="00585AED"/>
    <w:rsid w:val="00585D5E"/>
    <w:rsid w:val="0058602B"/>
    <w:rsid w:val="005860D1"/>
    <w:rsid w:val="00586390"/>
    <w:rsid w:val="00586421"/>
    <w:rsid w:val="005865C3"/>
    <w:rsid w:val="00586609"/>
    <w:rsid w:val="005867CA"/>
    <w:rsid w:val="00586824"/>
    <w:rsid w:val="00586871"/>
    <w:rsid w:val="00586913"/>
    <w:rsid w:val="005869BC"/>
    <w:rsid w:val="00586AAA"/>
    <w:rsid w:val="00586D36"/>
    <w:rsid w:val="00586E48"/>
    <w:rsid w:val="00586EAA"/>
    <w:rsid w:val="00586F93"/>
    <w:rsid w:val="0058714C"/>
    <w:rsid w:val="005871B0"/>
    <w:rsid w:val="005871B7"/>
    <w:rsid w:val="0058725B"/>
    <w:rsid w:val="005901AE"/>
    <w:rsid w:val="005901F4"/>
    <w:rsid w:val="0059022D"/>
    <w:rsid w:val="00590331"/>
    <w:rsid w:val="0059054F"/>
    <w:rsid w:val="00590592"/>
    <w:rsid w:val="00590612"/>
    <w:rsid w:val="00590AEE"/>
    <w:rsid w:val="00590E0B"/>
    <w:rsid w:val="005912B2"/>
    <w:rsid w:val="0059144A"/>
    <w:rsid w:val="00591835"/>
    <w:rsid w:val="00591ADB"/>
    <w:rsid w:val="00591EE1"/>
    <w:rsid w:val="00591EE9"/>
    <w:rsid w:val="005921BD"/>
    <w:rsid w:val="005922C9"/>
    <w:rsid w:val="005923A4"/>
    <w:rsid w:val="00592789"/>
    <w:rsid w:val="005928DE"/>
    <w:rsid w:val="00592CB3"/>
    <w:rsid w:val="00592E89"/>
    <w:rsid w:val="005932F6"/>
    <w:rsid w:val="0059337C"/>
    <w:rsid w:val="005937C9"/>
    <w:rsid w:val="00593AAD"/>
    <w:rsid w:val="00593B05"/>
    <w:rsid w:val="00593DEE"/>
    <w:rsid w:val="00593DF5"/>
    <w:rsid w:val="00593F6F"/>
    <w:rsid w:val="005940D3"/>
    <w:rsid w:val="005940FF"/>
    <w:rsid w:val="00594655"/>
    <w:rsid w:val="00594A10"/>
    <w:rsid w:val="00594C29"/>
    <w:rsid w:val="00594C6F"/>
    <w:rsid w:val="00595DF4"/>
    <w:rsid w:val="00595E2E"/>
    <w:rsid w:val="005961F4"/>
    <w:rsid w:val="005962DC"/>
    <w:rsid w:val="00596361"/>
    <w:rsid w:val="00596575"/>
    <w:rsid w:val="005965AE"/>
    <w:rsid w:val="005965EC"/>
    <w:rsid w:val="00596781"/>
    <w:rsid w:val="005968E5"/>
    <w:rsid w:val="005969B1"/>
    <w:rsid w:val="005969D8"/>
    <w:rsid w:val="00596AFC"/>
    <w:rsid w:val="00596B6A"/>
    <w:rsid w:val="00596B97"/>
    <w:rsid w:val="00596C83"/>
    <w:rsid w:val="00596E99"/>
    <w:rsid w:val="00596F18"/>
    <w:rsid w:val="00596F2D"/>
    <w:rsid w:val="005970BD"/>
    <w:rsid w:val="00597500"/>
    <w:rsid w:val="005975C7"/>
    <w:rsid w:val="005977A1"/>
    <w:rsid w:val="00597B30"/>
    <w:rsid w:val="00597BBA"/>
    <w:rsid w:val="00597DD4"/>
    <w:rsid w:val="00597E20"/>
    <w:rsid w:val="005A009C"/>
    <w:rsid w:val="005A03CA"/>
    <w:rsid w:val="005A0710"/>
    <w:rsid w:val="005A0A5D"/>
    <w:rsid w:val="005A0A8C"/>
    <w:rsid w:val="005A0E26"/>
    <w:rsid w:val="005A0E59"/>
    <w:rsid w:val="005A0ED7"/>
    <w:rsid w:val="005A0F0B"/>
    <w:rsid w:val="005A124A"/>
    <w:rsid w:val="005A187D"/>
    <w:rsid w:val="005A188D"/>
    <w:rsid w:val="005A1A4E"/>
    <w:rsid w:val="005A1CA2"/>
    <w:rsid w:val="005A1EC6"/>
    <w:rsid w:val="005A1F70"/>
    <w:rsid w:val="005A2021"/>
    <w:rsid w:val="005A20E1"/>
    <w:rsid w:val="005A24F2"/>
    <w:rsid w:val="005A2705"/>
    <w:rsid w:val="005A270C"/>
    <w:rsid w:val="005A284E"/>
    <w:rsid w:val="005A2931"/>
    <w:rsid w:val="005A2BA5"/>
    <w:rsid w:val="005A2C21"/>
    <w:rsid w:val="005A2CA8"/>
    <w:rsid w:val="005A2CC2"/>
    <w:rsid w:val="005A3564"/>
    <w:rsid w:val="005A36B9"/>
    <w:rsid w:val="005A3835"/>
    <w:rsid w:val="005A3867"/>
    <w:rsid w:val="005A38BC"/>
    <w:rsid w:val="005A391E"/>
    <w:rsid w:val="005A39E0"/>
    <w:rsid w:val="005A3DDB"/>
    <w:rsid w:val="005A3E9A"/>
    <w:rsid w:val="005A40A4"/>
    <w:rsid w:val="005A429B"/>
    <w:rsid w:val="005A435A"/>
    <w:rsid w:val="005A444E"/>
    <w:rsid w:val="005A4757"/>
    <w:rsid w:val="005A492E"/>
    <w:rsid w:val="005A4A9B"/>
    <w:rsid w:val="005A4B41"/>
    <w:rsid w:val="005A4C09"/>
    <w:rsid w:val="005A4D8E"/>
    <w:rsid w:val="005A4E8F"/>
    <w:rsid w:val="005A50B9"/>
    <w:rsid w:val="005A5213"/>
    <w:rsid w:val="005A5235"/>
    <w:rsid w:val="005A527B"/>
    <w:rsid w:val="005A5350"/>
    <w:rsid w:val="005A55CA"/>
    <w:rsid w:val="005A58A6"/>
    <w:rsid w:val="005A58FA"/>
    <w:rsid w:val="005A5AB2"/>
    <w:rsid w:val="005A5C5E"/>
    <w:rsid w:val="005A5D35"/>
    <w:rsid w:val="005A5DB7"/>
    <w:rsid w:val="005A5E15"/>
    <w:rsid w:val="005A5E58"/>
    <w:rsid w:val="005A5E83"/>
    <w:rsid w:val="005A5F81"/>
    <w:rsid w:val="005A63DE"/>
    <w:rsid w:val="005A6442"/>
    <w:rsid w:val="005A6855"/>
    <w:rsid w:val="005A68C5"/>
    <w:rsid w:val="005A68ED"/>
    <w:rsid w:val="005A6FBA"/>
    <w:rsid w:val="005A705D"/>
    <w:rsid w:val="005A71E1"/>
    <w:rsid w:val="005A74AA"/>
    <w:rsid w:val="005A7A4D"/>
    <w:rsid w:val="005A7C27"/>
    <w:rsid w:val="005A7DD8"/>
    <w:rsid w:val="005A7FF7"/>
    <w:rsid w:val="005B0280"/>
    <w:rsid w:val="005B02AA"/>
    <w:rsid w:val="005B0309"/>
    <w:rsid w:val="005B0413"/>
    <w:rsid w:val="005B0681"/>
    <w:rsid w:val="005B0726"/>
    <w:rsid w:val="005B08AB"/>
    <w:rsid w:val="005B0E05"/>
    <w:rsid w:val="005B1595"/>
    <w:rsid w:val="005B19A2"/>
    <w:rsid w:val="005B1CAF"/>
    <w:rsid w:val="005B1F5F"/>
    <w:rsid w:val="005B20CC"/>
    <w:rsid w:val="005B21BF"/>
    <w:rsid w:val="005B2231"/>
    <w:rsid w:val="005B236D"/>
    <w:rsid w:val="005B24D0"/>
    <w:rsid w:val="005B26EC"/>
    <w:rsid w:val="005B2BA6"/>
    <w:rsid w:val="005B2CEB"/>
    <w:rsid w:val="005B2D13"/>
    <w:rsid w:val="005B2DA9"/>
    <w:rsid w:val="005B2F02"/>
    <w:rsid w:val="005B3251"/>
    <w:rsid w:val="005B33DF"/>
    <w:rsid w:val="005B3552"/>
    <w:rsid w:val="005B3672"/>
    <w:rsid w:val="005B3AD1"/>
    <w:rsid w:val="005B3B44"/>
    <w:rsid w:val="005B3B4F"/>
    <w:rsid w:val="005B3CF3"/>
    <w:rsid w:val="005B3F6B"/>
    <w:rsid w:val="005B40BB"/>
    <w:rsid w:val="005B4197"/>
    <w:rsid w:val="005B4261"/>
    <w:rsid w:val="005B45FE"/>
    <w:rsid w:val="005B463C"/>
    <w:rsid w:val="005B4BD7"/>
    <w:rsid w:val="005B4E14"/>
    <w:rsid w:val="005B4E4A"/>
    <w:rsid w:val="005B4E96"/>
    <w:rsid w:val="005B5151"/>
    <w:rsid w:val="005B5233"/>
    <w:rsid w:val="005B53F5"/>
    <w:rsid w:val="005B55B4"/>
    <w:rsid w:val="005B57FB"/>
    <w:rsid w:val="005B5820"/>
    <w:rsid w:val="005B5973"/>
    <w:rsid w:val="005B5A41"/>
    <w:rsid w:val="005B5D73"/>
    <w:rsid w:val="005B5EF3"/>
    <w:rsid w:val="005B5F22"/>
    <w:rsid w:val="005B6386"/>
    <w:rsid w:val="005B64E8"/>
    <w:rsid w:val="005B659D"/>
    <w:rsid w:val="005B66A9"/>
    <w:rsid w:val="005B66B5"/>
    <w:rsid w:val="005B675E"/>
    <w:rsid w:val="005B6896"/>
    <w:rsid w:val="005B6C3F"/>
    <w:rsid w:val="005B702F"/>
    <w:rsid w:val="005B7082"/>
    <w:rsid w:val="005B7188"/>
    <w:rsid w:val="005B72AD"/>
    <w:rsid w:val="005B765C"/>
    <w:rsid w:val="005B7683"/>
    <w:rsid w:val="005B7715"/>
    <w:rsid w:val="005B77B9"/>
    <w:rsid w:val="005B7A9E"/>
    <w:rsid w:val="005B7B70"/>
    <w:rsid w:val="005C0180"/>
    <w:rsid w:val="005C0587"/>
    <w:rsid w:val="005C0AA8"/>
    <w:rsid w:val="005C0AC5"/>
    <w:rsid w:val="005C0C59"/>
    <w:rsid w:val="005C0D57"/>
    <w:rsid w:val="005C1069"/>
    <w:rsid w:val="005C10E0"/>
    <w:rsid w:val="005C10F5"/>
    <w:rsid w:val="005C1189"/>
    <w:rsid w:val="005C1218"/>
    <w:rsid w:val="005C143F"/>
    <w:rsid w:val="005C1591"/>
    <w:rsid w:val="005C15FF"/>
    <w:rsid w:val="005C1980"/>
    <w:rsid w:val="005C1E56"/>
    <w:rsid w:val="005C1F8E"/>
    <w:rsid w:val="005C200F"/>
    <w:rsid w:val="005C22AD"/>
    <w:rsid w:val="005C23BC"/>
    <w:rsid w:val="005C2515"/>
    <w:rsid w:val="005C27A4"/>
    <w:rsid w:val="005C2AED"/>
    <w:rsid w:val="005C2DB3"/>
    <w:rsid w:val="005C2F87"/>
    <w:rsid w:val="005C3257"/>
    <w:rsid w:val="005C3418"/>
    <w:rsid w:val="005C3442"/>
    <w:rsid w:val="005C37DC"/>
    <w:rsid w:val="005C3932"/>
    <w:rsid w:val="005C3BE0"/>
    <w:rsid w:val="005C3F6D"/>
    <w:rsid w:val="005C3F9F"/>
    <w:rsid w:val="005C3FA4"/>
    <w:rsid w:val="005C3FFD"/>
    <w:rsid w:val="005C4021"/>
    <w:rsid w:val="005C436A"/>
    <w:rsid w:val="005C442F"/>
    <w:rsid w:val="005C4511"/>
    <w:rsid w:val="005C45CA"/>
    <w:rsid w:val="005C483B"/>
    <w:rsid w:val="005C4A50"/>
    <w:rsid w:val="005C4AD8"/>
    <w:rsid w:val="005C4BBE"/>
    <w:rsid w:val="005C4DBB"/>
    <w:rsid w:val="005C4E38"/>
    <w:rsid w:val="005C4EC7"/>
    <w:rsid w:val="005C539C"/>
    <w:rsid w:val="005C54C3"/>
    <w:rsid w:val="005C5697"/>
    <w:rsid w:val="005C58AC"/>
    <w:rsid w:val="005C59AD"/>
    <w:rsid w:val="005C5D2D"/>
    <w:rsid w:val="005C5D8A"/>
    <w:rsid w:val="005C5F94"/>
    <w:rsid w:val="005C607F"/>
    <w:rsid w:val="005C6251"/>
    <w:rsid w:val="005C6366"/>
    <w:rsid w:val="005C64F7"/>
    <w:rsid w:val="005C68E6"/>
    <w:rsid w:val="005C6B68"/>
    <w:rsid w:val="005C6C5C"/>
    <w:rsid w:val="005C6D61"/>
    <w:rsid w:val="005C6E33"/>
    <w:rsid w:val="005C6F61"/>
    <w:rsid w:val="005C6F7F"/>
    <w:rsid w:val="005C7019"/>
    <w:rsid w:val="005C7235"/>
    <w:rsid w:val="005C7246"/>
    <w:rsid w:val="005C73ED"/>
    <w:rsid w:val="005C7519"/>
    <w:rsid w:val="005C75B7"/>
    <w:rsid w:val="005C7678"/>
    <w:rsid w:val="005C778A"/>
    <w:rsid w:val="005C7BCC"/>
    <w:rsid w:val="005C7CCE"/>
    <w:rsid w:val="005D019A"/>
    <w:rsid w:val="005D02B7"/>
    <w:rsid w:val="005D02C9"/>
    <w:rsid w:val="005D0353"/>
    <w:rsid w:val="005D069F"/>
    <w:rsid w:val="005D0739"/>
    <w:rsid w:val="005D08B0"/>
    <w:rsid w:val="005D0905"/>
    <w:rsid w:val="005D0918"/>
    <w:rsid w:val="005D09F8"/>
    <w:rsid w:val="005D0DC2"/>
    <w:rsid w:val="005D10F8"/>
    <w:rsid w:val="005D132C"/>
    <w:rsid w:val="005D16B7"/>
    <w:rsid w:val="005D173F"/>
    <w:rsid w:val="005D1776"/>
    <w:rsid w:val="005D1A39"/>
    <w:rsid w:val="005D1A48"/>
    <w:rsid w:val="005D1D66"/>
    <w:rsid w:val="005D225B"/>
    <w:rsid w:val="005D2262"/>
    <w:rsid w:val="005D23CD"/>
    <w:rsid w:val="005D23DC"/>
    <w:rsid w:val="005D260F"/>
    <w:rsid w:val="005D273F"/>
    <w:rsid w:val="005D2C4D"/>
    <w:rsid w:val="005D2D26"/>
    <w:rsid w:val="005D2DE6"/>
    <w:rsid w:val="005D2E5E"/>
    <w:rsid w:val="005D2FCE"/>
    <w:rsid w:val="005D3248"/>
    <w:rsid w:val="005D335B"/>
    <w:rsid w:val="005D34DB"/>
    <w:rsid w:val="005D35F0"/>
    <w:rsid w:val="005D3B89"/>
    <w:rsid w:val="005D3BF6"/>
    <w:rsid w:val="005D3BFC"/>
    <w:rsid w:val="005D3DBB"/>
    <w:rsid w:val="005D3F47"/>
    <w:rsid w:val="005D4099"/>
    <w:rsid w:val="005D40D4"/>
    <w:rsid w:val="005D427E"/>
    <w:rsid w:val="005D4345"/>
    <w:rsid w:val="005D43F4"/>
    <w:rsid w:val="005D4467"/>
    <w:rsid w:val="005D46BB"/>
    <w:rsid w:val="005D4A87"/>
    <w:rsid w:val="005D4BB7"/>
    <w:rsid w:val="005D4F5F"/>
    <w:rsid w:val="005D52BB"/>
    <w:rsid w:val="005D5428"/>
    <w:rsid w:val="005D582A"/>
    <w:rsid w:val="005D58AC"/>
    <w:rsid w:val="005D5934"/>
    <w:rsid w:val="005D5954"/>
    <w:rsid w:val="005D5B2B"/>
    <w:rsid w:val="005D5BBD"/>
    <w:rsid w:val="005D5D74"/>
    <w:rsid w:val="005D6278"/>
    <w:rsid w:val="005D630B"/>
    <w:rsid w:val="005D66E2"/>
    <w:rsid w:val="005D67A7"/>
    <w:rsid w:val="005D6887"/>
    <w:rsid w:val="005D6C07"/>
    <w:rsid w:val="005D6E0F"/>
    <w:rsid w:val="005D6E1D"/>
    <w:rsid w:val="005D70FA"/>
    <w:rsid w:val="005D7320"/>
    <w:rsid w:val="005D73CF"/>
    <w:rsid w:val="005D7406"/>
    <w:rsid w:val="005D79E5"/>
    <w:rsid w:val="005D7A61"/>
    <w:rsid w:val="005D7A9F"/>
    <w:rsid w:val="005D7CAD"/>
    <w:rsid w:val="005D7DD8"/>
    <w:rsid w:val="005D7DEF"/>
    <w:rsid w:val="005D7F4B"/>
    <w:rsid w:val="005D7F8B"/>
    <w:rsid w:val="005E0132"/>
    <w:rsid w:val="005E0201"/>
    <w:rsid w:val="005E03C0"/>
    <w:rsid w:val="005E08B3"/>
    <w:rsid w:val="005E0A8C"/>
    <w:rsid w:val="005E0B7C"/>
    <w:rsid w:val="005E0BE8"/>
    <w:rsid w:val="005E0C91"/>
    <w:rsid w:val="005E0E6F"/>
    <w:rsid w:val="005E0E93"/>
    <w:rsid w:val="005E0F10"/>
    <w:rsid w:val="005E0FB7"/>
    <w:rsid w:val="005E1011"/>
    <w:rsid w:val="005E1064"/>
    <w:rsid w:val="005E11ED"/>
    <w:rsid w:val="005E12C0"/>
    <w:rsid w:val="005E12E4"/>
    <w:rsid w:val="005E1346"/>
    <w:rsid w:val="005E17FD"/>
    <w:rsid w:val="005E1C16"/>
    <w:rsid w:val="005E1E06"/>
    <w:rsid w:val="005E23A6"/>
    <w:rsid w:val="005E25DF"/>
    <w:rsid w:val="005E2609"/>
    <w:rsid w:val="005E264A"/>
    <w:rsid w:val="005E26DC"/>
    <w:rsid w:val="005E2A89"/>
    <w:rsid w:val="005E2BCF"/>
    <w:rsid w:val="005E2CB9"/>
    <w:rsid w:val="005E2DA4"/>
    <w:rsid w:val="005E2DB7"/>
    <w:rsid w:val="005E314F"/>
    <w:rsid w:val="005E32FD"/>
    <w:rsid w:val="005E36DE"/>
    <w:rsid w:val="005E3C3E"/>
    <w:rsid w:val="005E3D47"/>
    <w:rsid w:val="005E3ECC"/>
    <w:rsid w:val="005E40A3"/>
    <w:rsid w:val="005E41CD"/>
    <w:rsid w:val="005E4205"/>
    <w:rsid w:val="005E4268"/>
    <w:rsid w:val="005E4408"/>
    <w:rsid w:val="005E4505"/>
    <w:rsid w:val="005E45F2"/>
    <w:rsid w:val="005E4809"/>
    <w:rsid w:val="005E491C"/>
    <w:rsid w:val="005E4B10"/>
    <w:rsid w:val="005E4D8B"/>
    <w:rsid w:val="005E4E0B"/>
    <w:rsid w:val="005E5137"/>
    <w:rsid w:val="005E53A5"/>
    <w:rsid w:val="005E53DD"/>
    <w:rsid w:val="005E545D"/>
    <w:rsid w:val="005E54E0"/>
    <w:rsid w:val="005E55C7"/>
    <w:rsid w:val="005E5B6C"/>
    <w:rsid w:val="005E5C32"/>
    <w:rsid w:val="005E5F08"/>
    <w:rsid w:val="005E5FB9"/>
    <w:rsid w:val="005E6374"/>
    <w:rsid w:val="005E67D2"/>
    <w:rsid w:val="005E6848"/>
    <w:rsid w:val="005E6A8F"/>
    <w:rsid w:val="005E6A9C"/>
    <w:rsid w:val="005E7313"/>
    <w:rsid w:val="005E73AE"/>
    <w:rsid w:val="005E74D6"/>
    <w:rsid w:val="005E74E8"/>
    <w:rsid w:val="005E7742"/>
    <w:rsid w:val="005E791E"/>
    <w:rsid w:val="005E79C0"/>
    <w:rsid w:val="005E7A75"/>
    <w:rsid w:val="005E7E48"/>
    <w:rsid w:val="005E7FEC"/>
    <w:rsid w:val="005F001E"/>
    <w:rsid w:val="005F066A"/>
    <w:rsid w:val="005F0765"/>
    <w:rsid w:val="005F0901"/>
    <w:rsid w:val="005F0D6A"/>
    <w:rsid w:val="005F1107"/>
    <w:rsid w:val="005F1173"/>
    <w:rsid w:val="005F122E"/>
    <w:rsid w:val="005F1299"/>
    <w:rsid w:val="005F17EA"/>
    <w:rsid w:val="005F1A17"/>
    <w:rsid w:val="005F1B39"/>
    <w:rsid w:val="005F2699"/>
    <w:rsid w:val="005F2769"/>
    <w:rsid w:val="005F29BD"/>
    <w:rsid w:val="005F2A56"/>
    <w:rsid w:val="005F2B43"/>
    <w:rsid w:val="005F2C31"/>
    <w:rsid w:val="005F2CB2"/>
    <w:rsid w:val="005F2D50"/>
    <w:rsid w:val="005F2E27"/>
    <w:rsid w:val="005F2FFE"/>
    <w:rsid w:val="005F3203"/>
    <w:rsid w:val="005F337F"/>
    <w:rsid w:val="005F3628"/>
    <w:rsid w:val="005F3735"/>
    <w:rsid w:val="005F3895"/>
    <w:rsid w:val="005F3E90"/>
    <w:rsid w:val="005F3FAF"/>
    <w:rsid w:val="005F4249"/>
    <w:rsid w:val="005F43C1"/>
    <w:rsid w:val="005F4428"/>
    <w:rsid w:val="005F4B77"/>
    <w:rsid w:val="005F4C81"/>
    <w:rsid w:val="005F4F7A"/>
    <w:rsid w:val="005F5139"/>
    <w:rsid w:val="005F52CF"/>
    <w:rsid w:val="005F5757"/>
    <w:rsid w:val="005F579C"/>
    <w:rsid w:val="005F5B30"/>
    <w:rsid w:val="005F5C08"/>
    <w:rsid w:val="005F5FE1"/>
    <w:rsid w:val="005F6398"/>
    <w:rsid w:val="005F644B"/>
    <w:rsid w:val="005F6543"/>
    <w:rsid w:val="005F65F0"/>
    <w:rsid w:val="005F6758"/>
    <w:rsid w:val="005F6802"/>
    <w:rsid w:val="005F6867"/>
    <w:rsid w:val="005F6B09"/>
    <w:rsid w:val="005F6B49"/>
    <w:rsid w:val="005F6B6D"/>
    <w:rsid w:val="005F6F01"/>
    <w:rsid w:val="005F7069"/>
    <w:rsid w:val="005F710D"/>
    <w:rsid w:val="005F7419"/>
    <w:rsid w:val="005F74DC"/>
    <w:rsid w:val="005F75C9"/>
    <w:rsid w:val="005F766E"/>
    <w:rsid w:val="005F77EC"/>
    <w:rsid w:val="005F78A8"/>
    <w:rsid w:val="005F7A12"/>
    <w:rsid w:val="005F7C2B"/>
    <w:rsid w:val="00600270"/>
    <w:rsid w:val="00600292"/>
    <w:rsid w:val="006002D2"/>
    <w:rsid w:val="00600387"/>
    <w:rsid w:val="00600456"/>
    <w:rsid w:val="006005CA"/>
    <w:rsid w:val="00600652"/>
    <w:rsid w:val="00600668"/>
    <w:rsid w:val="0060094E"/>
    <w:rsid w:val="006009D4"/>
    <w:rsid w:val="00600B0E"/>
    <w:rsid w:val="00600C2E"/>
    <w:rsid w:val="00600DA0"/>
    <w:rsid w:val="00600EC1"/>
    <w:rsid w:val="006010E9"/>
    <w:rsid w:val="00601173"/>
    <w:rsid w:val="006014D3"/>
    <w:rsid w:val="0060162C"/>
    <w:rsid w:val="00601872"/>
    <w:rsid w:val="00601B77"/>
    <w:rsid w:val="00601E56"/>
    <w:rsid w:val="00602008"/>
    <w:rsid w:val="0060200D"/>
    <w:rsid w:val="006021E3"/>
    <w:rsid w:val="00602275"/>
    <w:rsid w:val="00602391"/>
    <w:rsid w:val="006023F2"/>
    <w:rsid w:val="0060257F"/>
    <w:rsid w:val="006028F4"/>
    <w:rsid w:val="006028FF"/>
    <w:rsid w:val="00602BBD"/>
    <w:rsid w:val="00602D6B"/>
    <w:rsid w:val="00602F2D"/>
    <w:rsid w:val="00603143"/>
    <w:rsid w:val="00603147"/>
    <w:rsid w:val="00603424"/>
    <w:rsid w:val="0060375B"/>
    <w:rsid w:val="00603A01"/>
    <w:rsid w:val="00603BC8"/>
    <w:rsid w:val="00603D17"/>
    <w:rsid w:val="00603D60"/>
    <w:rsid w:val="00603F15"/>
    <w:rsid w:val="00604028"/>
    <w:rsid w:val="00604692"/>
    <w:rsid w:val="00604825"/>
    <w:rsid w:val="00604CF0"/>
    <w:rsid w:val="00604D70"/>
    <w:rsid w:val="00604DB9"/>
    <w:rsid w:val="00604E8A"/>
    <w:rsid w:val="00604FC4"/>
    <w:rsid w:val="006054FC"/>
    <w:rsid w:val="00605733"/>
    <w:rsid w:val="00605A3A"/>
    <w:rsid w:val="00605C0E"/>
    <w:rsid w:val="00605D36"/>
    <w:rsid w:val="00605D3F"/>
    <w:rsid w:val="00605F8A"/>
    <w:rsid w:val="0060603C"/>
    <w:rsid w:val="006060A7"/>
    <w:rsid w:val="0060613B"/>
    <w:rsid w:val="00606331"/>
    <w:rsid w:val="006063B6"/>
    <w:rsid w:val="006065CB"/>
    <w:rsid w:val="00606B34"/>
    <w:rsid w:val="00606C5B"/>
    <w:rsid w:val="00606E83"/>
    <w:rsid w:val="00606F20"/>
    <w:rsid w:val="006070F7"/>
    <w:rsid w:val="006071CF"/>
    <w:rsid w:val="00607743"/>
    <w:rsid w:val="00607762"/>
    <w:rsid w:val="00607A52"/>
    <w:rsid w:val="00607A87"/>
    <w:rsid w:val="00607F58"/>
    <w:rsid w:val="0061023B"/>
    <w:rsid w:val="00610243"/>
    <w:rsid w:val="006105B1"/>
    <w:rsid w:val="006106A9"/>
    <w:rsid w:val="006106EC"/>
    <w:rsid w:val="0061092D"/>
    <w:rsid w:val="00610985"/>
    <w:rsid w:val="00610994"/>
    <w:rsid w:val="00610A7C"/>
    <w:rsid w:val="00610B1B"/>
    <w:rsid w:val="00610B46"/>
    <w:rsid w:val="00610B89"/>
    <w:rsid w:val="00610DCB"/>
    <w:rsid w:val="00610F05"/>
    <w:rsid w:val="00610F4D"/>
    <w:rsid w:val="00611146"/>
    <w:rsid w:val="0061141C"/>
    <w:rsid w:val="00611A03"/>
    <w:rsid w:val="00611A7D"/>
    <w:rsid w:val="00611AFC"/>
    <w:rsid w:val="0061200F"/>
    <w:rsid w:val="0061206C"/>
    <w:rsid w:val="006120C5"/>
    <w:rsid w:val="006122F7"/>
    <w:rsid w:val="00612381"/>
    <w:rsid w:val="006123C9"/>
    <w:rsid w:val="0061277C"/>
    <w:rsid w:val="0061294F"/>
    <w:rsid w:val="00612A46"/>
    <w:rsid w:val="00612FBF"/>
    <w:rsid w:val="006132B8"/>
    <w:rsid w:val="0061379F"/>
    <w:rsid w:val="006138E0"/>
    <w:rsid w:val="00613945"/>
    <w:rsid w:val="00613B07"/>
    <w:rsid w:val="00613BB9"/>
    <w:rsid w:val="00613DD1"/>
    <w:rsid w:val="00613F81"/>
    <w:rsid w:val="00614005"/>
    <w:rsid w:val="00614421"/>
    <w:rsid w:val="006144F9"/>
    <w:rsid w:val="006144FB"/>
    <w:rsid w:val="00614509"/>
    <w:rsid w:val="0061460D"/>
    <w:rsid w:val="0061464F"/>
    <w:rsid w:val="00614B05"/>
    <w:rsid w:val="00614B47"/>
    <w:rsid w:val="00614D77"/>
    <w:rsid w:val="006151D8"/>
    <w:rsid w:val="006153A0"/>
    <w:rsid w:val="00615958"/>
    <w:rsid w:val="006159D8"/>
    <w:rsid w:val="00615C61"/>
    <w:rsid w:val="00615FA4"/>
    <w:rsid w:val="00616366"/>
    <w:rsid w:val="006163E1"/>
    <w:rsid w:val="00616856"/>
    <w:rsid w:val="00616B44"/>
    <w:rsid w:val="00616B99"/>
    <w:rsid w:val="00616D3A"/>
    <w:rsid w:val="00616D9B"/>
    <w:rsid w:val="006175B3"/>
    <w:rsid w:val="006175B7"/>
    <w:rsid w:val="0061777F"/>
    <w:rsid w:val="00617A85"/>
    <w:rsid w:val="00617D60"/>
    <w:rsid w:val="00617F61"/>
    <w:rsid w:val="00617F75"/>
    <w:rsid w:val="00617FE6"/>
    <w:rsid w:val="0062036E"/>
    <w:rsid w:val="00620383"/>
    <w:rsid w:val="0062039F"/>
    <w:rsid w:val="00620410"/>
    <w:rsid w:val="006205A2"/>
    <w:rsid w:val="006208BA"/>
    <w:rsid w:val="00620ABD"/>
    <w:rsid w:val="00620D1E"/>
    <w:rsid w:val="00620E24"/>
    <w:rsid w:val="00620F7D"/>
    <w:rsid w:val="00620FE4"/>
    <w:rsid w:val="0062163F"/>
    <w:rsid w:val="006218C0"/>
    <w:rsid w:val="00621CEB"/>
    <w:rsid w:val="006220E6"/>
    <w:rsid w:val="00622170"/>
    <w:rsid w:val="006221BF"/>
    <w:rsid w:val="0062223E"/>
    <w:rsid w:val="00622314"/>
    <w:rsid w:val="0062258C"/>
    <w:rsid w:val="00622C7D"/>
    <w:rsid w:val="00622DFD"/>
    <w:rsid w:val="00622EBA"/>
    <w:rsid w:val="00622FDD"/>
    <w:rsid w:val="006234E4"/>
    <w:rsid w:val="00623BCA"/>
    <w:rsid w:val="00623C35"/>
    <w:rsid w:val="00623D6C"/>
    <w:rsid w:val="00623F57"/>
    <w:rsid w:val="00623FB1"/>
    <w:rsid w:val="00624292"/>
    <w:rsid w:val="006244A6"/>
    <w:rsid w:val="00624545"/>
    <w:rsid w:val="00624C6F"/>
    <w:rsid w:val="00624CC8"/>
    <w:rsid w:val="00624CE5"/>
    <w:rsid w:val="00624DA2"/>
    <w:rsid w:val="00624E9B"/>
    <w:rsid w:val="00625140"/>
    <w:rsid w:val="00625180"/>
    <w:rsid w:val="006251D8"/>
    <w:rsid w:val="006251DE"/>
    <w:rsid w:val="0062525C"/>
    <w:rsid w:val="00625266"/>
    <w:rsid w:val="00625318"/>
    <w:rsid w:val="0062535C"/>
    <w:rsid w:val="00625894"/>
    <w:rsid w:val="00625B84"/>
    <w:rsid w:val="00625B8E"/>
    <w:rsid w:val="00625DC0"/>
    <w:rsid w:val="00625F70"/>
    <w:rsid w:val="00626034"/>
    <w:rsid w:val="00626061"/>
    <w:rsid w:val="00626130"/>
    <w:rsid w:val="00626237"/>
    <w:rsid w:val="006266C9"/>
    <w:rsid w:val="0062677E"/>
    <w:rsid w:val="006267EA"/>
    <w:rsid w:val="006269E3"/>
    <w:rsid w:val="00626A06"/>
    <w:rsid w:val="00626A4B"/>
    <w:rsid w:val="00626A86"/>
    <w:rsid w:val="00626BC3"/>
    <w:rsid w:val="00626C5E"/>
    <w:rsid w:val="00626CAE"/>
    <w:rsid w:val="00626CB0"/>
    <w:rsid w:val="006270A3"/>
    <w:rsid w:val="00627210"/>
    <w:rsid w:val="0062721E"/>
    <w:rsid w:val="00627364"/>
    <w:rsid w:val="0062743E"/>
    <w:rsid w:val="0062758C"/>
    <w:rsid w:val="006277FB"/>
    <w:rsid w:val="00627AD8"/>
    <w:rsid w:val="00627B42"/>
    <w:rsid w:val="00627BEE"/>
    <w:rsid w:val="00627CB0"/>
    <w:rsid w:val="00627DF0"/>
    <w:rsid w:val="00627E82"/>
    <w:rsid w:val="00630043"/>
    <w:rsid w:val="006302F2"/>
    <w:rsid w:val="00630785"/>
    <w:rsid w:val="006307B8"/>
    <w:rsid w:val="006307F0"/>
    <w:rsid w:val="00630AF7"/>
    <w:rsid w:val="00630EFE"/>
    <w:rsid w:val="006311ED"/>
    <w:rsid w:val="006317CB"/>
    <w:rsid w:val="00631B8B"/>
    <w:rsid w:val="00631BEB"/>
    <w:rsid w:val="00631C72"/>
    <w:rsid w:val="00631CC3"/>
    <w:rsid w:val="00631D1A"/>
    <w:rsid w:val="006321C9"/>
    <w:rsid w:val="0063234F"/>
    <w:rsid w:val="00632367"/>
    <w:rsid w:val="0063236A"/>
    <w:rsid w:val="00632667"/>
    <w:rsid w:val="00632E58"/>
    <w:rsid w:val="006332F0"/>
    <w:rsid w:val="0063359E"/>
    <w:rsid w:val="00633678"/>
    <w:rsid w:val="006336B4"/>
    <w:rsid w:val="00633705"/>
    <w:rsid w:val="00633B24"/>
    <w:rsid w:val="00633D08"/>
    <w:rsid w:val="00633D41"/>
    <w:rsid w:val="00634003"/>
    <w:rsid w:val="0063425D"/>
    <w:rsid w:val="0063432C"/>
    <w:rsid w:val="00634589"/>
    <w:rsid w:val="00634697"/>
    <w:rsid w:val="006348BA"/>
    <w:rsid w:val="00634C15"/>
    <w:rsid w:val="006352B6"/>
    <w:rsid w:val="006352F9"/>
    <w:rsid w:val="00635330"/>
    <w:rsid w:val="0063535A"/>
    <w:rsid w:val="00635520"/>
    <w:rsid w:val="00635696"/>
    <w:rsid w:val="00635853"/>
    <w:rsid w:val="0063594C"/>
    <w:rsid w:val="00635B2C"/>
    <w:rsid w:val="00635C8C"/>
    <w:rsid w:val="00635CEB"/>
    <w:rsid w:val="00635EC0"/>
    <w:rsid w:val="00635F3B"/>
    <w:rsid w:val="006361F9"/>
    <w:rsid w:val="0063624A"/>
    <w:rsid w:val="00636698"/>
    <w:rsid w:val="006369C5"/>
    <w:rsid w:val="00636A89"/>
    <w:rsid w:val="00636FF2"/>
    <w:rsid w:val="00637150"/>
    <w:rsid w:val="006372F9"/>
    <w:rsid w:val="00637385"/>
    <w:rsid w:val="006373AE"/>
    <w:rsid w:val="00637562"/>
    <w:rsid w:val="00637906"/>
    <w:rsid w:val="00637AC9"/>
    <w:rsid w:val="00637AD0"/>
    <w:rsid w:val="00637DA2"/>
    <w:rsid w:val="00637E2A"/>
    <w:rsid w:val="00637E38"/>
    <w:rsid w:val="00637FD3"/>
    <w:rsid w:val="00640045"/>
    <w:rsid w:val="00640250"/>
    <w:rsid w:val="006403D6"/>
    <w:rsid w:val="0064059B"/>
    <w:rsid w:val="006405EB"/>
    <w:rsid w:val="006405F4"/>
    <w:rsid w:val="0064064A"/>
    <w:rsid w:val="00640793"/>
    <w:rsid w:val="006407FD"/>
    <w:rsid w:val="006408D9"/>
    <w:rsid w:val="00640975"/>
    <w:rsid w:val="00640B07"/>
    <w:rsid w:val="00640BBB"/>
    <w:rsid w:val="00640C0D"/>
    <w:rsid w:val="00640C48"/>
    <w:rsid w:val="00640DFE"/>
    <w:rsid w:val="006411D3"/>
    <w:rsid w:val="006411E6"/>
    <w:rsid w:val="00641294"/>
    <w:rsid w:val="00641B45"/>
    <w:rsid w:val="00641BD2"/>
    <w:rsid w:val="00641C06"/>
    <w:rsid w:val="00641C21"/>
    <w:rsid w:val="00641C4F"/>
    <w:rsid w:val="0064204C"/>
    <w:rsid w:val="0064204D"/>
    <w:rsid w:val="006420BB"/>
    <w:rsid w:val="00642400"/>
    <w:rsid w:val="00642499"/>
    <w:rsid w:val="006425BB"/>
    <w:rsid w:val="00642974"/>
    <w:rsid w:val="00642CF5"/>
    <w:rsid w:val="00642D18"/>
    <w:rsid w:val="00642FBB"/>
    <w:rsid w:val="0064300A"/>
    <w:rsid w:val="0064317E"/>
    <w:rsid w:val="006431E0"/>
    <w:rsid w:val="0064322E"/>
    <w:rsid w:val="00643359"/>
    <w:rsid w:val="00643392"/>
    <w:rsid w:val="006434BC"/>
    <w:rsid w:val="0064379B"/>
    <w:rsid w:val="0064383E"/>
    <w:rsid w:val="006438B3"/>
    <w:rsid w:val="0064397F"/>
    <w:rsid w:val="00643EE8"/>
    <w:rsid w:val="0064406A"/>
    <w:rsid w:val="00644349"/>
    <w:rsid w:val="006444E6"/>
    <w:rsid w:val="00644A0A"/>
    <w:rsid w:val="00644B69"/>
    <w:rsid w:val="00644BC2"/>
    <w:rsid w:val="00644E5D"/>
    <w:rsid w:val="006451A4"/>
    <w:rsid w:val="00645337"/>
    <w:rsid w:val="006454CF"/>
    <w:rsid w:val="0064562F"/>
    <w:rsid w:val="00645649"/>
    <w:rsid w:val="006457A2"/>
    <w:rsid w:val="00645AD9"/>
    <w:rsid w:val="006460C5"/>
    <w:rsid w:val="00646146"/>
    <w:rsid w:val="00646369"/>
    <w:rsid w:val="0064644A"/>
    <w:rsid w:val="006468CA"/>
    <w:rsid w:val="006469AD"/>
    <w:rsid w:val="00646A20"/>
    <w:rsid w:val="00646B0F"/>
    <w:rsid w:val="00647020"/>
    <w:rsid w:val="00647278"/>
    <w:rsid w:val="006475DE"/>
    <w:rsid w:val="006475FC"/>
    <w:rsid w:val="0064765C"/>
    <w:rsid w:val="00647758"/>
    <w:rsid w:val="0064775B"/>
    <w:rsid w:val="006479DA"/>
    <w:rsid w:val="00647A62"/>
    <w:rsid w:val="00647BA0"/>
    <w:rsid w:val="00647DC9"/>
    <w:rsid w:val="00650058"/>
    <w:rsid w:val="006500E3"/>
    <w:rsid w:val="00650366"/>
    <w:rsid w:val="00650517"/>
    <w:rsid w:val="0065086C"/>
    <w:rsid w:val="006508F9"/>
    <w:rsid w:val="00650AF3"/>
    <w:rsid w:val="00650EB2"/>
    <w:rsid w:val="006510BF"/>
    <w:rsid w:val="00651131"/>
    <w:rsid w:val="00651328"/>
    <w:rsid w:val="006514BE"/>
    <w:rsid w:val="00651975"/>
    <w:rsid w:val="00651995"/>
    <w:rsid w:val="00651B29"/>
    <w:rsid w:val="00651C4A"/>
    <w:rsid w:val="00651CED"/>
    <w:rsid w:val="0065216C"/>
    <w:rsid w:val="006521B6"/>
    <w:rsid w:val="0065270D"/>
    <w:rsid w:val="00652973"/>
    <w:rsid w:val="00652ADD"/>
    <w:rsid w:val="00652B4C"/>
    <w:rsid w:val="00652D83"/>
    <w:rsid w:val="00652E51"/>
    <w:rsid w:val="00652EE5"/>
    <w:rsid w:val="0065335D"/>
    <w:rsid w:val="00653417"/>
    <w:rsid w:val="0065348C"/>
    <w:rsid w:val="006536BE"/>
    <w:rsid w:val="00653916"/>
    <w:rsid w:val="00653984"/>
    <w:rsid w:val="006539E6"/>
    <w:rsid w:val="00653BBD"/>
    <w:rsid w:val="00653FAA"/>
    <w:rsid w:val="00654130"/>
    <w:rsid w:val="0065413B"/>
    <w:rsid w:val="006541A7"/>
    <w:rsid w:val="0065433A"/>
    <w:rsid w:val="0065436E"/>
    <w:rsid w:val="00654504"/>
    <w:rsid w:val="00654533"/>
    <w:rsid w:val="006546DF"/>
    <w:rsid w:val="00654A61"/>
    <w:rsid w:val="00654DA5"/>
    <w:rsid w:val="00654F5C"/>
    <w:rsid w:val="00654FAE"/>
    <w:rsid w:val="00654FF6"/>
    <w:rsid w:val="00655150"/>
    <w:rsid w:val="006551CF"/>
    <w:rsid w:val="006552AD"/>
    <w:rsid w:val="00655609"/>
    <w:rsid w:val="006557EC"/>
    <w:rsid w:val="00655A47"/>
    <w:rsid w:val="00655AC3"/>
    <w:rsid w:val="00655B70"/>
    <w:rsid w:val="00655C46"/>
    <w:rsid w:val="00655DC4"/>
    <w:rsid w:val="00655FDE"/>
    <w:rsid w:val="006563F6"/>
    <w:rsid w:val="00656402"/>
    <w:rsid w:val="0065640C"/>
    <w:rsid w:val="0065643A"/>
    <w:rsid w:val="00656A36"/>
    <w:rsid w:val="00656A7E"/>
    <w:rsid w:val="00656B74"/>
    <w:rsid w:val="00656E3C"/>
    <w:rsid w:val="00656FE6"/>
    <w:rsid w:val="00656FFA"/>
    <w:rsid w:val="00657020"/>
    <w:rsid w:val="00657369"/>
    <w:rsid w:val="006576AC"/>
    <w:rsid w:val="0065785F"/>
    <w:rsid w:val="006579CC"/>
    <w:rsid w:val="006579CE"/>
    <w:rsid w:val="00657D7B"/>
    <w:rsid w:val="00657FB5"/>
    <w:rsid w:val="0066038A"/>
    <w:rsid w:val="0066039F"/>
    <w:rsid w:val="006606C8"/>
    <w:rsid w:val="00660725"/>
    <w:rsid w:val="00660808"/>
    <w:rsid w:val="00660896"/>
    <w:rsid w:val="00660989"/>
    <w:rsid w:val="00660EC9"/>
    <w:rsid w:val="00660F51"/>
    <w:rsid w:val="00660F7D"/>
    <w:rsid w:val="0066153A"/>
    <w:rsid w:val="0066168A"/>
    <w:rsid w:val="006616B0"/>
    <w:rsid w:val="00661781"/>
    <w:rsid w:val="006619E5"/>
    <w:rsid w:val="00661D85"/>
    <w:rsid w:val="00661EE1"/>
    <w:rsid w:val="00662183"/>
    <w:rsid w:val="006621C8"/>
    <w:rsid w:val="00662287"/>
    <w:rsid w:val="00662506"/>
    <w:rsid w:val="006625C4"/>
    <w:rsid w:val="0066268F"/>
    <w:rsid w:val="00662B49"/>
    <w:rsid w:val="00662CC7"/>
    <w:rsid w:val="00662D8B"/>
    <w:rsid w:val="00662E7B"/>
    <w:rsid w:val="00662E90"/>
    <w:rsid w:val="00662F86"/>
    <w:rsid w:val="00663057"/>
    <w:rsid w:val="00663225"/>
    <w:rsid w:val="0066343B"/>
    <w:rsid w:val="006636D6"/>
    <w:rsid w:val="0066377D"/>
    <w:rsid w:val="00663863"/>
    <w:rsid w:val="00663BA4"/>
    <w:rsid w:val="00663CC1"/>
    <w:rsid w:val="00663CD8"/>
    <w:rsid w:val="00663E01"/>
    <w:rsid w:val="00663EC5"/>
    <w:rsid w:val="0066415C"/>
    <w:rsid w:val="00664286"/>
    <w:rsid w:val="006643CE"/>
    <w:rsid w:val="006645AC"/>
    <w:rsid w:val="00664852"/>
    <w:rsid w:val="00664A5A"/>
    <w:rsid w:val="00664B01"/>
    <w:rsid w:val="00664B09"/>
    <w:rsid w:val="00665027"/>
    <w:rsid w:val="00665102"/>
    <w:rsid w:val="006651DC"/>
    <w:rsid w:val="006654CC"/>
    <w:rsid w:val="0066569B"/>
    <w:rsid w:val="006657AA"/>
    <w:rsid w:val="00665B7B"/>
    <w:rsid w:val="006661CC"/>
    <w:rsid w:val="006664A6"/>
    <w:rsid w:val="00666750"/>
    <w:rsid w:val="00666A14"/>
    <w:rsid w:val="00666AEA"/>
    <w:rsid w:val="00666C81"/>
    <w:rsid w:val="00666D03"/>
    <w:rsid w:val="00666D0C"/>
    <w:rsid w:val="00666D9B"/>
    <w:rsid w:val="00666EB6"/>
    <w:rsid w:val="00666F84"/>
    <w:rsid w:val="006673C8"/>
    <w:rsid w:val="00667626"/>
    <w:rsid w:val="006678A5"/>
    <w:rsid w:val="006679A2"/>
    <w:rsid w:val="006679BB"/>
    <w:rsid w:val="00667BC1"/>
    <w:rsid w:val="00667E35"/>
    <w:rsid w:val="00667F34"/>
    <w:rsid w:val="00670033"/>
    <w:rsid w:val="006700A8"/>
    <w:rsid w:val="006702A3"/>
    <w:rsid w:val="006705BA"/>
    <w:rsid w:val="006709EC"/>
    <w:rsid w:val="00670A11"/>
    <w:rsid w:val="00670A35"/>
    <w:rsid w:val="00670A86"/>
    <w:rsid w:val="00670B86"/>
    <w:rsid w:val="00671068"/>
    <w:rsid w:val="0067106F"/>
    <w:rsid w:val="00671170"/>
    <w:rsid w:val="00671634"/>
    <w:rsid w:val="00671949"/>
    <w:rsid w:val="00671B60"/>
    <w:rsid w:val="00671C1C"/>
    <w:rsid w:val="00671CF7"/>
    <w:rsid w:val="00671D53"/>
    <w:rsid w:val="00671E26"/>
    <w:rsid w:val="00672157"/>
    <w:rsid w:val="0067239F"/>
    <w:rsid w:val="006723DC"/>
    <w:rsid w:val="0067267C"/>
    <w:rsid w:val="006726BD"/>
    <w:rsid w:val="00672902"/>
    <w:rsid w:val="00672A5B"/>
    <w:rsid w:val="00672B47"/>
    <w:rsid w:val="00672C21"/>
    <w:rsid w:val="00672C47"/>
    <w:rsid w:val="00673144"/>
    <w:rsid w:val="00673365"/>
    <w:rsid w:val="006734E1"/>
    <w:rsid w:val="006735FB"/>
    <w:rsid w:val="00673791"/>
    <w:rsid w:val="0067389B"/>
    <w:rsid w:val="00673B18"/>
    <w:rsid w:val="0067404C"/>
    <w:rsid w:val="0067454C"/>
    <w:rsid w:val="0067457A"/>
    <w:rsid w:val="00674703"/>
    <w:rsid w:val="0067484D"/>
    <w:rsid w:val="006749BC"/>
    <w:rsid w:val="00674AD7"/>
    <w:rsid w:val="006751D2"/>
    <w:rsid w:val="00675322"/>
    <w:rsid w:val="00675356"/>
    <w:rsid w:val="00675391"/>
    <w:rsid w:val="00675616"/>
    <w:rsid w:val="00675751"/>
    <w:rsid w:val="00675958"/>
    <w:rsid w:val="00675A5B"/>
    <w:rsid w:val="00675B7A"/>
    <w:rsid w:val="00675BCB"/>
    <w:rsid w:val="00675EA0"/>
    <w:rsid w:val="0067619F"/>
    <w:rsid w:val="006761DE"/>
    <w:rsid w:val="00676207"/>
    <w:rsid w:val="006763A0"/>
    <w:rsid w:val="00676500"/>
    <w:rsid w:val="006765AE"/>
    <w:rsid w:val="006769EA"/>
    <w:rsid w:val="00676A3C"/>
    <w:rsid w:val="00676A66"/>
    <w:rsid w:val="00676DA7"/>
    <w:rsid w:val="00676DDA"/>
    <w:rsid w:val="00676F10"/>
    <w:rsid w:val="00677095"/>
    <w:rsid w:val="006772FE"/>
    <w:rsid w:val="006774AB"/>
    <w:rsid w:val="00677513"/>
    <w:rsid w:val="006776EB"/>
    <w:rsid w:val="00677790"/>
    <w:rsid w:val="0067782E"/>
    <w:rsid w:val="00677895"/>
    <w:rsid w:val="00677C37"/>
    <w:rsid w:val="00677CB1"/>
    <w:rsid w:val="00680003"/>
    <w:rsid w:val="006801AF"/>
    <w:rsid w:val="006802E6"/>
    <w:rsid w:val="006804F9"/>
    <w:rsid w:val="006805DE"/>
    <w:rsid w:val="006806D9"/>
    <w:rsid w:val="00680764"/>
    <w:rsid w:val="0068090B"/>
    <w:rsid w:val="00680963"/>
    <w:rsid w:val="00680A7C"/>
    <w:rsid w:val="00680A9E"/>
    <w:rsid w:val="00680EA0"/>
    <w:rsid w:val="00680FCF"/>
    <w:rsid w:val="00681187"/>
    <w:rsid w:val="006817D3"/>
    <w:rsid w:val="006818F9"/>
    <w:rsid w:val="00681A7E"/>
    <w:rsid w:val="00681B29"/>
    <w:rsid w:val="00681CC0"/>
    <w:rsid w:val="00681D69"/>
    <w:rsid w:val="00681FA5"/>
    <w:rsid w:val="006820A3"/>
    <w:rsid w:val="00682127"/>
    <w:rsid w:val="006821ED"/>
    <w:rsid w:val="006821EF"/>
    <w:rsid w:val="00682B96"/>
    <w:rsid w:val="00682C87"/>
    <w:rsid w:val="00682D2B"/>
    <w:rsid w:val="0068332E"/>
    <w:rsid w:val="006834F6"/>
    <w:rsid w:val="006836B1"/>
    <w:rsid w:val="0068371D"/>
    <w:rsid w:val="00683758"/>
    <w:rsid w:val="00683925"/>
    <w:rsid w:val="006839AB"/>
    <w:rsid w:val="00683A6E"/>
    <w:rsid w:val="00683E0B"/>
    <w:rsid w:val="00684022"/>
    <w:rsid w:val="00684161"/>
    <w:rsid w:val="00684194"/>
    <w:rsid w:val="006842B2"/>
    <w:rsid w:val="0068439E"/>
    <w:rsid w:val="006843B4"/>
    <w:rsid w:val="0068476B"/>
    <w:rsid w:val="006847E3"/>
    <w:rsid w:val="00684BB7"/>
    <w:rsid w:val="00684E4C"/>
    <w:rsid w:val="00684F8D"/>
    <w:rsid w:val="0068540C"/>
    <w:rsid w:val="0068545F"/>
    <w:rsid w:val="006855DF"/>
    <w:rsid w:val="00685702"/>
    <w:rsid w:val="00685DA5"/>
    <w:rsid w:val="00685DC1"/>
    <w:rsid w:val="00685FD4"/>
    <w:rsid w:val="006861F4"/>
    <w:rsid w:val="006861F5"/>
    <w:rsid w:val="0068637A"/>
    <w:rsid w:val="0068640D"/>
    <w:rsid w:val="0068649D"/>
    <w:rsid w:val="0068654A"/>
    <w:rsid w:val="00686730"/>
    <w:rsid w:val="00686904"/>
    <w:rsid w:val="00686B0B"/>
    <w:rsid w:val="00686D0E"/>
    <w:rsid w:val="00686F9D"/>
    <w:rsid w:val="00687326"/>
    <w:rsid w:val="0068748B"/>
    <w:rsid w:val="0068750C"/>
    <w:rsid w:val="00687809"/>
    <w:rsid w:val="00687A82"/>
    <w:rsid w:val="006900C7"/>
    <w:rsid w:val="006902C7"/>
    <w:rsid w:val="00690495"/>
    <w:rsid w:val="00690C68"/>
    <w:rsid w:val="00690E26"/>
    <w:rsid w:val="00690E96"/>
    <w:rsid w:val="0069115F"/>
    <w:rsid w:val="0069119A"/>
    <w:rsid w:val="0069124A"/>
    <w:rsid w:val="00691358"/>
    <w:rsid w:val="00691662"/>
    <w:rsid w:val="00691822"/>
    <w:rsid w:val="00691830"/>
    <w:rsid w:val="00691930"/>
    <w:rsid w:val="00691A49"/>
    <w:rsid w:val="00691B68"/>
    <w:rsid w:val="00691EFB"/>
    <w:rsid w:val="00691F02"/>
    <w:rsid w:val="00691F88"/>
    <w:rsid w:val="00692251"/>
    <w:rsid w:val="00692899"/>
    <w:rsid w:val="00692A04"/>
    <w:rsid w:val="00692A58"/>
    <w:rsid w:val="00692A84"/>
    <w:rsid w:val="00692D54"/>
    <w:rsid w:val="00692E3D"/>
    <w:rsid w:val="00692E97"/>
    <w:rsid w:val="00692ECB"/>
    <w:rsid w:val="00692F22"/>
    <w:rsid w:val="0069306A"/>
    <w:rsid w:val="006930E0"/>
    <w:rsid w:val="00693101"/>
    <w:rsid w:val="00693462"/>
    <w:rsid w:val="0069377D"/>
    <w:rsid w:val="006937F2"/>
    <w:rsid w:val="00693996"/>
    <w:rsid w:val="00693A67"/>
    <w:rsid w:val="00693F6E"/>
    <w:rsid w:val="0069415E"/>
    <w:rsid w:val="00694263"/>
    <w:rsid w:val="006943C2"/>
    <w:rsid w:val="006947E7"/>
    <w:rsid w:val="00694A30"/>
    <w:rsid w:val="00694AF1"/>
    <w:rsid w:val="00694D92"/>
    <w:rsid w:val="0069503A"/>
    <w:rsid w:val="00695438"/>
    <w:rsid w:val="0069546C"/>
    <w:rsid w:val="00695532"/>
    <w:rsid w:val="0069577E"/>
    <w:rsid w:val="006957FF"/>
    <w:rsid w:val="00695BA7"/>
    <w:rsid w:val="00695C8E"/>
    <w:rsid w:val="00695D55"/>
    <w:rsid w:val="00695E4F"/>
    <w:rsid w:val="00695FCB"/>
    <w:rsid w:val="00695FF3"/>
    <w:rsid w:val="00696816"/>
    <w:rsid w:val="006968A2"/>
    <w:rsid w:val="006968AA"/>
    <w:rsid w:val="006968F4"/>
    <w:rsid w:val="006968FE"/>
    <w:rsid w:val="00696979"/>
    <w:rsid w:val="006969DA"/>
    <w:rsid w:val="00696A80"/>
    <w:rsid w:val="00696BAA"/>
    <w:rsid w:val="00696C61"/>
    <w:rsid w:val="00696EB2"/>
    <w:rsid w:val="00696F7D"/>
    <w:rsid w:val="0069729D"/>
    <w:rsid w:val="00697584"/>
    <w:rsid w:val="006976A5"/>
    <w:rsid w:val="006976BD"/>
    <w:rsid w:val="0069786B"/>
    <w:rsid w:val="006978DC"/>
    <w:rsid w:val="00697967"/>
    <w:rsid w:val="00697AEF"/>
    <w:rsid w:val="00697C0E"/>
    <w:rsid w:val="00697C1E"/>
    <w:rsid w:val="00697DAF"/>
    <w:rsid w:val="00697F0B"/>
    <w:rsid w:val="006A0006"/>
    <w:rsid w:val="006A01C0"/>
    <w:rsid w:val="006A022E"/>
    <w:rsid w:val="006A0343"/>
    <w:rsid w:val="006A0345"/>
    <w:rsid w:val="006A03AB"/>
    <w:rsid w:val="006A045A"/>
    <w:rsid w:val="006A05E5"/>
    <w:rsid w:val="006A069A"/>
    <w:rsid w:val="006A06C7"/>
    <w:rsid w:val="006A0713"/>
    <w:rsid w:val="006A078F"/>
    <w:rsid w:val="006A0839"/>
    <w:rsid w:val="006A09A1"/>
    <w:rsid w:val="006A0D50"/>
    <w:rsid w:val="006A104D"/>
    <w:rsid w:val="006A11E1"/>
    <w:rsid w:val="006A141E"/>
    <w:rsid w:val="006A1506"/>
    <w:rsid w:val="006A1919"/>
    <w:rsid w:val="006A1B1B"/>
    <w:rsid w:val="006A1FA0"/>
    <w:rsid w:val="006A2000"/>
    <w:rsid w:val="006A2017"/>
    <w:rsid w:val="006A21D0"/>
    <w:rsid w:val="006A22B3"/>
    <w:rsid w:val="006A22BB"/>
    <w:rsid w:val="006A2666"/>
    <w:rsid w:val="006A2843"/>
    <w:rsid w:val="006A2C8D"/>
    <w:rsid w:val="006A2D12"/>
    <w:rsid w:val="006A3274"/>
    <w:rsid w:val="006A3298"/>
    <w:rsid w:val="006A3384"/>
    <w:rsid w:val="006A3389"/>
    <w:rsid w:val="006A36E4"/>
    <w:rsid w:val="006A3C0E"/>
    <w:rsid w:val="006A3D6E"/>
    <w:rsid w:val="006A3DFB"/>
    <w:rsid w:val="006A42EE"/>
    <w:rsid w:val="006A4948"/>
    <w:rsid w:val="006A499C"/>
    <w:rsid w:val="006A4C4C"/>
    <w:rsid w:val="006A4FED"/>
    <w:rsid w:val="006A503D"/>
    <w:rsid w:val="006A5132"/>
    <w:rsid w:val="006A5296"/>
    <w:rsid w:val="006A5336"/>
    <w:rsid w:val="006A5389"/>
    <w:rsid w:val="006A5394"/>
    <w:rsid w:val="006A5786"/>
    <w:rsid w:val="006A5843"/>
    <w:rsid w:val="006A5C49"/>
    <w:rsid w:val="006A5CC2"/>
    <w:rsid w:val="006A5F8C"/>
    <w:rsid w:val="006A5FF4"/>
    <w:rsid w:val="006A62CE"/>
    <w:rsid w:val="006A64F8"/>
    <w:rsid w:val="006A65D6"/>
    <w:rsid w:val="006A671D"/>
    <w:rsid w:val="006A696D"/>
    <w:rsid w:val="006A69E9"/>
    <w:rsid w:val="006A6C02"/>
    <w:rsid w:val="006A6D18"/>
    <w:rsid w:val="006A6D45"/>
    <w:rsid w:val="006A70AB"/>
    <w:rsid w:val="006A70F5"/>
    <w:rsid w:val="006A729F"/>
    <w:rsid w:val="006A74CC"/>
    <w:rsid w:val="006A7720"/>
    <w:rsid w:val="006A7811"/>
    <w:rsid w:val="006A785C"/>
    <w:rsid w:val="006A78D3"/>
    <w:rsid w:val="006A7AF1"/>
    <w:rsid w:val="006A7DB7"/>
    <w:rsid w:val="006A7DE3"/>
    <w:rsid w:val="006A7E7E"/>
    <w:rsid w:val="006A7FB8"/>
    <w:rsid w:val="006B03B5"/>
    <w:rsid w:val="006B041C"/>
    <w:rsid w:val="006B0A4D"/>
    <w:rsid w:val="006B0E39"/>
    <w:rsid w:val="006B12FE"/>
    <w:rsid w:val="006B1343"/>
    <w:rsid w:val="006B1531"/>
    <w:rsid w:val="006B15D3"/>
    <w:rsid w:val="006B1D26"/>
    <w:rsid w:val="006B1D4F"/>
    <w:rsid w:val="006B1F27"/>
    <w:rsid w:val="006B22D0"/>
    <w:rsid w:val="006B26A9"/>
    <w:rsid w:val="006B27B6"/>
    <w:rsid w:val="006B286B"/>
    <w:rsid w:val="006B2942"/>
    <w:rsid w:val="006B2C1F"/>
    <w:rsid w:val="006B2CA9"/>
    <w:rsid w:val="006B32AE"/>
    <w:rsid w:val="006B331D"/>
    <w:rsid w:val="006B335F"/>
    <w:rsid w:val="006B3496"/>
    <w:rsid w:val="006B34DA"/>
    <w:rsid w:val="006B351C"/>
    <w:rsid w:val="006B3596"/>
    <w:rsid w:val="006B35EF"/>
    <w:rsid w:val="006B36D9"/>
    <w:rsid w:val="006B398E"/>
    <w:rsid w:val="006B3F4C"/>
    <w:rsid w:val="006B3F56"/>
    <w:rsid w:val="006B3F94"/>
    <w:rsid w:val="006B4071"/>
    <w:rsid w:val="006B4440"/>
    <w:rsid w:val="006B4511"/>
    <w:rsid w:val="006B454C"/>
    <w:rsid w:val="006B4554"/>
    <w:rsid w:val="006B462D"/>
    <w:rsid w:val="006B46F2"/>
    <w:rsid w:val="006B47D7"/>
    <w:rsid w:val="006B4809"/>
    <w:rsid w:val="006B4908"/>
    <w:rsid w:val="006B4D3A"/>
    <w:rsid w:val="006B4DC0"/>
    <w:rsid w:val="006B4EA9"/>
    <w:rsid w:val="006B4F27"/>
    <w:rsid w:val="006B50D2"/>
    <w:rsid w:val="006B538B"/>
    <w:rsid w:val="006B53EF"/>
    <w:rsid w:val="006B5676"/>
    <w:rsid w:val="006B59D5"/>
    <w:rsid w:val="006B5B91"/>
    <w:rsid w:val="006B5DBC"/>
    <w:rsid w:val="006B5E19"/>
    <w:rsid w:val="006B5E3D"/>
    <w:rsid w:val="006B611B"/>
    <w:rsid w:val="006B6206"/>
    <w:rsid w:val="006B6275"/>
    <w:rsid w:val="006B644B"/>
    <w:rsid w:val="006B6602"/>
    <w:rsid w:val="006B67C9"/>
    <w:rsid w:val="006B69C8"/>
    <w:rsid w:val="006B6B37"/>
    <w:rsid w:val="006B6CA0"/>
    <w:rsid w:val="006B7636"/>
    <w:rsid w:val="006B7745"/>
    <w:rsid w:val="006B7950"/>
    <w:rsid w:val="006B7A89"/>
    <w:rsid w:val="006B7AA3"/>
    <w:rsid w:val="006B7C05"/>
    <w:rsid w:val="006B7D00"/>
    <w:rsid w:val="006B7ECA"/>
    <w:rsid w:val="006C00A8"/>
    <w:rsid w:val="006C01A7"/>
    <w:rsid w:val="006C035B"/>
    <w:rsid w:val="006C040D"/>
    <w:rsid w:val="006C063F"/>
    <w:rsid w:val="006C06B1"/>
    <w:rsid w:val="006C078C"/>
    <w:rsid w:val="006C0812"/>
    <w:rsid w:val="006C085A"/>
    <w:rsid w:val="006C0888"/>
    <w:rsid w:val="006C0942"/>
    <w:rsid w:val="006C0A69"/>
    <w:rsid w:val="006C0E1E"/>
    <w:rsid w:val="006C1772"/>
    <w:rsid w:val="006C18BD"/>
    <w:rsid w:val="006C1A5F"/>
    <w:rsid w:val="006C1FD3"/>
    <w:rsid w:val="006C1FF1"/>
    <w:rsid w:val="006C21AB"/>
    <w:rsid w:val="006C2566"/>
    <w:rsid w:val="006C290E"/>
    <w:rsid w:val="006C2C39"/>
    <w:rsid w:val="006C2E91"/>
    <w:rsid w:val="006C2EAE"/>
    <w:rsid w:val="006C2ED7"/>
    <w:rsid w:val="006C2F85"/>
    <w:rsid w:val="006C2FFC"/>
    <w:rsid w:val="006C308E"/>
    <w:rsid w:val="006C33EC"/>
    <w:rsid w:val="006C345E"/>
    <w:rsid w:val="006C3775"/>
    <w:rsid w:val="006C392A"/>
    <w:rsid w:val="006C39B4"/>
    <w:rsid w:val="006C3D43"/>
    <w:rsid w:val="006C3DB0"/>
    <w:rsid w:val="006C3F42"/>
    <w:rsid w:val="006C41D1"/>
    <w:rsid w:val="006C422D"/>
    <w:rsid w:val="006C4279"/>
    <w:rsid w:val="006C43E3"/>
    <w:rsid w:val="006C4511"/>
    <w:rsid w:val="006C4567"/>
    <w:rsid w:val="006C4639"/>
    <w:rsid w:val="006C4CFC"/>
    <w:rsid w:val="006C4E38"/>
    <w:rsid w:val="006C53E6"/>
    <w:rsid w:val="006C55EC"/>
    <w:rsid w:val="006C5663"/>
    <w:rsid w:val="006C587A"/>
    <w:rsid w:val="006C5914"/>
    <w:rsid w:val="006C594C"/>
    <w:rsid w:val="006C59C8"/>
    <w:rsid w:val="006C5AB6"/>
    <w:rsid w:val="006C5F4F"/>
    <w:rsid w:val="006C6009"/>
    <w:rsid w:val="006C626D"/>
    <w:rsid w:val="006C634C"/>
    <w:rsid w:val="006C64A4"/>
    <w:rsid w:val="006C683F"/>
    <w:rsid w:val="006C686D"/>
    <w:rsid w:val="006C6932"/>
    <w:rsid w:val="006C6AC1"/>
    <w:rsid w:val="006C6B79"/>
    <w:rsid w:val="006C6D7D"/>
    <w:rsid w:val="006C6DB6"/>
    <w:rsid w:val="006C6DDF"/>
    <w:rsid w:val="006C6E70"/>
    <w:rsid w:val="006C6F63"/>
    <w:rsid w:val="006C6F90"/>
    <w:rsid w:val="006C6F9C"/>
    <w:rsid w:val="006C7116"/>
    <w:rsid w:val="006C72DC"/>
    <w:rsid w:val="006C731D"/>
    <w:rsid w:val="006C76AB"/>
    <w:rsid w:val="006C77CC"/>
    <w:rsid w:val="006C77FC"/>
    <w:rsid w:val="006C7BE3"/>
    <w:rsid w:val="006C7C7B"/>
    <w:rsid w:val="006C7D3F"/>
    <w:rsid w:val="006C7D94"/>
    <w:rsid w:val="006D072C"/>
    <w:rsid w:val="006D0A6E"/>
    <w:rsid w:val="006D0AA0"/>
    <w:rsid w:val="006D0DE6"/>
    <w:rsid w:val="006D1115"/>
    <w:rsid w:val="006D14F3"/>
    <w:rsid w:val="006D1605"/>
    <w:rsid w:val="006D173B"/>
    <w:rsid w:val="006D17B4"/>
    <w:rsid w:val="006D192D"/>
    <w:rsid w:val="006D1A30"/>
    <w:rsid w:val="006D1A7F"/>
    <w:rsid w:val="006D1BF6"/>
    <w:rsid w:val="006D1E88"/>
    <w:rsid w:val="006D2039"/>
    <w:rsid w:val="006D204F"/>
    <w:rsid w:val="006D217D"/>
    <w:rsid w:val="006D27CF"/>
    <w:rsid w:val="006D287F"/>
    <w:rsid w:val="006D2F0F"/>
    <w:rsid w:val="006D2F3F"/>
    <w:rsid w:val="006D3070"/>
    <w:rsid w:val="006D31E0"/>
    <w:rsid w:val="006D3596"/>
    <w:rsid w:val="006D364B"/>
    <w:rsid w:val="006D36D7"/>
    <w:rsid w:val="006D396B"/>
    <w:rsid w:val="006D3CAE"/>
    <w:rsid w:val="006D3EE9"/>
    <w:rsid w:val="006D4009"/>
    <w:rsid w:val="006D4116"/>
    <w:rsid w:val="006D414B"/>
    <w:rsid w:val="006D4179"/>
    <w:rsid w:val="006D4259"/>
    <w:rsid w:val="006D42BE"/>
    <w:rsid w:val="006D42F5"/>
    <w:rsid w:val="006D42F7"/>
    <w:rsid w:val="006D4414"/>
    <w:rsid w:val="006D464D"/>
    <w:rsid w:val="006D4821"/>
    <w:rsid w:val="006D4907"/>
    <w:rsid w:val="006D49D6"/>
    <w:rsid w:val="006D4AF9"/>
    <w:rsid w:val="006D4B62"/>
    <w:rsid w:val="006D4C3C"/>
    <w:rsid w:val="006D4E3E"/>
    <w:rsid w:val="006D513E"/>
    <w:rsid w:val="006D51F3"/>
    <w:rsid w:val="006D52AE"/>
    <w:rsid w:val="006D53C8"/>
    <w:rsid w:val="006D5400"/>
    <w:rsid w:val="006D59F3"/>
    <w:rsid w:val="006D5A5C"/>
    <w:rsid w:val="006D5A5D"/>
    <w:rsid w:val="006D5B08"/>
    <w:rsid w:val="006D5C58"/>
    <w:rsid w:val="006D5C68"/>
    <w:rsid w:val="006D5CB2"/>
    <w:rsid w:val="006D5CB4"/>
    <w:rsid w:val="006D5E53"/>
    <w:rsid w:val="006D5EFD"/>
    <w:rsid w:val="006D5F22"/>
    <w:rsid w:val="006D5F64"/>
    <w:rsid w:val="006D6429"/>
    <w:rsid w:val="006D64C3"/>
    <w:rsid w:val="006D6717"/>
    <w:rsid w:val="006D6962"/>
    <w:rsid w:val="006D6ABA"/>
    <w:rsid w:val="006D6B5F"/>
    <w:rsid w:val="006D6C9C"/>
    <w:rsid w:val="006D6D7B"/>
    <w:rsid w:val="006D6E7A"/>
    <w:rsid w:val="006D7928"/>
    <w:rsid w:val="006D7A46"/>
    <w:rsid w:val="006D7C06"/>
    <w:rsid w:val="006D7C6B"/>
    <w:rsid w:val="006E00AE"/>
    <w:rsid w:val="006E01BC"/>
    <w:rsid w:val="006E0285"/>
    <w:rsid w:val="006E02D3"/>
    <w:rsid w:val="006E05C2"/>
    <w:rsid w:val="006E0A4D"/>
    <w:rsid w:val="006E0AAB"/>
    <w:rsid w:val="006E0AE4"/>
    <w:rsid w:val="006E0D68"/>
    <w:rsid w:val="006E0E5A"/>
    <w:rsid w:val="006E0F14"/>
    <w:rsid w:val="006E0F6F"/>
    <w:rsid w:val="006E0F76"/>
    <w:rsid w:val="006E0FAE"/>
    <w:rsid w:val="006E11A8"/>
    <w:rsid w:val="006E12DE"/>
    <w:rsid w:val="006E1449"/>
    <w:rsid w:val="006E17F5"/>
    <w:rsid w:val="006E18BE"/>
    <w:rsid w:val="006E1989"/>
    <w:rsid w:val="006E1A31"/>
    <w:rsid w:val="006E1C4A"/>
    <w:rsid w:val="006E1CB3"/>
    <w:rsid w:val="006E1D5D"/>
    <w:rsid w:val="006E1F51"/>
    <w:rsid w:val="006E1FF4"/>
    <w:rsid w:val="006E2036"/>
    <w:rsid w:val="006E2133"/>
    <w:rsid w:val="006E22A0"/>
    <w:rsid w:val="006E23CD"/>
    <w:rsid w:val="006E2576"/>
    <w:rsid w:val="006E2628"/>
    <w:rsid w:val="006E2631"/>
    <w:rsid w:val="006E2A61"/>
    <w:rsid w:val="006E2B40"/>
    <w:rsid w:val="006E2CCD"/>
    <w:rsid w:val="006E2DC2"/>
    <w:rsid w:val="006E2ED2"/>
    <w:rsid w:val="006E3071"/>
    <w:rsid w:val="006E33AC"/>
    <w:rsid w:val="006E37A6"/>
    <w:rsid w:val="006E37B6"/>
    <w:rsid w:val="006E38F0"/>
    <w:rsid w:val="006E396D"/>
    <w:rsid w:val="006E3BDF"/>
    <w:rsid w:val="006E3D48"/>
    <w:rsid w:val="006E3EFF"/>
    <w:rsid w:val="006E4008"/>
    <w:rsid w:val="006E425B"/>
    <w:rsid w:val="006E4365"/>
    <w:rsid w:val="006E4438"/>
    <w:rsid w:val="006E44D3"/>
    <w:rsid w:val="006E451A"/>
    <w:rsid w:val="006E46D5"/>
    <w:rsid w:val="006E46E1"/>
    <w:rsid w:val="006E4811"/>
    <w:rsid w:val="006E48CB"/>
    <w:rsid w:val="006E4C2D"/>
    <w:rsid w:val="006E4D61"/>
    <w:rsid w:val="006E5124"/>
    <w:rsid w:val="006E51D5"/>
    <w:rsid w:val="006E528D"/>
    <w:rsid w:val="006E5447"/>
    <w:rsid w:val="006E56D8"/>
    <w:rsid w:val="006E578A"/>
    <w:rsid w:val="006E5B1B"/>
    <w:rsid w:val="006E5BA1"/>
    <w:rsid w:val="006E5BB0"/>
    <w:rsid w:val="006E5D04"/>
    <w:rsid w:val="006E5D21"/>
    <w:rsid w:val="006E5F4D"/>
    <w:rsid w:val="006E5FE9"/>
    <w:rsid w:val="006E6209"/>
    <w:rsid w:val="006E6222"/>
    <w:rsid w:val="006E639E"/>
    <w:rsid w:val="006E64BC"/>
    <w:rsid w:val="006E64F0"/>
    <w:rsid w:val="006E659F"/>
    <w:rsid w:val="006E66B3"/>
    <w:rsid w:val="006E66CF"/>
    <w:rsid w:val="006E67E4"/>
    <w:rsid w:val="006E6A4B"/>
    <w:rsid w:val="006E6FEC"/>
    <w:rsid w:val="006E7056"/>
    <w:rsid w:val="006E738A"/>
    <w:rsid w:val="006E742E"/>
    <w:rsid w:val="006E7A8F"/>
    <w:rsid w:val="006E7AA8"/>
    <w:rsid w:val="006E7B2F"/>
    <w:rsid w:val="006E7B66"/>
    <w:rsid w:val="006E7BD0"/>
    <w:rsid w:val="006E7BDB"/>
    <w:rsid w:val="006E7DC6"/>
    <w:rsid w:val="006E7FDD"/>
    <w:rsid w:val="006F0073"/>
    <w:rsid w:val="006F06E2"/>
    <w:rsid w:val="006F0942"/>
    <w:rsid w:val="006F0A4C"/>
    <w:rsid w:val="006F0AD5"/>
    <w:rsid w:val="006F0B88"/>
    <w:rsid w:val="006F0D32"/>
    <w:rsid w:val="006F149B"/>
    <w:rsid w:val="006F1596"/>
    <w:rsid w:val="006F15AB"/>
    <w:rsid w:val="006F15B4"/>
    <w:rsid w:val="006F1C4C"/>
    <w:rsid w:val="006F1C75"/>
    <w:rsid w:val="006F1CF4"/>
    <w:rsid w:val="006F1EB1"/>
    <w:rsid w:val="006F1FE2"/>
    <w:rsid w:val="006F2126"/>
    <w:rsid w:val="006F2204"/>
    <w:rsid w:val="006F2251"/>
    <w:rsid w:val="006F23C4"/>
    <w:rsid w:val="006F2745"/>
    <w:rsid w:val="006F2849"/>
    <w:rsid w:val="006F28C7"/>
    <w:rsid w:val="006F2BD3"/>
    <w:rsid w:val="006F2C12"/>
    <w:rsid w:val="006F2E23"/>
    <w:rsid w:val="006F2FC8"/>
    <w:rsid w:val="006F30A4"/>
    <w:rsid w:val="006F3673"/>
    <w:rsid w:val="006F3DAA"/>
    <w:rsid w:val="006F40A1"/>
    <w:rsid w:val="006F415E"/>
    <w:rsid w:val="006F4484"/>
    <w:rsid w:val="006F473B"/>
    <w:rsid w:val="006F47AD"/>
    <w:rsid w:val="006F47DE"/>
    <w:rsid w:val="006F480B"/>
    <w:rsid w:val="006F4A35"/>
    <w:rsid w:val="006F4CCA"/>
    <w:rsid w:val="006F4CFD"/>
    <w:rsid w:val="006F4D06"/>
    <w:rsid w:val="006F4FF7"/>
    <w:rsid w:val="006F5151"/>
    <w:rsid w:val="006F5276"/>
    <w:rsid w:val="006F5313"/>
    <w:rsid w:val="006F5346"/>
    <w:rsid w:val="006F5C47"/>
    <w:rsid w:val="006F5C65"/>
    <w:rsid w:val="006F5D9D"/>
    <w:rsid w:val="006F5E31"/>
    <w:rsid w:val="006F5F6F"/>
    <w:rsid w:val="006F60CB"/>
    <w:rsid w:val="006F6539"/>
    <w:rsid w:val="006F67A1"/>
    <w:rsid w:val="006F681A"/>
    <w:rsid w:val="006F6BA7"/>
    <w:rsid w:val="006F6D28"/>
    <w:rsid w:val="006F6EAD"/>
    <w:rsid w:val="006F70DF"/>
    <w:rsid w:val="006F70FD"/>
    <w:rsid w:val="006F722B"/>
    <w:rsid w:val="006F79B8"/>
    <w:rsid w:val="00700171"/>
    <w:rsid w:val="007006F2"/>
    <w:rsid w:val="00700964"/>
    <w:rsid w:val="007009EA"/>
    <w:rsid w:val="00700ADC"/>
    <w:rsid w:val="00700BF5"/>
    <w:rsid w:val="00700CA8"/>
    <w:rsid w:val="00700D43"/>
    <w:rsid w:val="00700D78"/>
    <w:rsid w:val="00700D81"/>
    <w:rsid w:val="00700E30"/>
    <w:rsid w:val="00700E63"/>
    <w:rsid w:val="007012E3"/>
    <w:rsid w:val="00701417"/>
    <w:rsid w:val="00701421"/>
    <w:rsid w:val="0070148D"/>
    <w:rsid w:val="0070178D"/>
    <w:rsid w:val="00701932"/>
    <w:rsid w:val="007019A9"/>
    <w:rsid w:val="00701A1F"/>
    <w:rsid w:val="00701B22"/>
    <w:rsid w:val="00701B5B"/>
    <w:rsid w:val="00701DCD"/>
    <w:rsid w:val="00701FA1"/>
    <w:rsid w:val="0070238E"/>
    <w:rsid w:val="00702398"/>
    <w:rsid w:val="00702773"/>
    <w:rsid w:val="0070299B"/>
    <w:rsid w:val="00702AA6"/>
    <w:rsid w:val="00702AF0"/>
    <w:rsid w:val="00702E71"/>
    <w:rsid w:val="007030CF"/>
    <w:rsid w:val="00703131"/>
    <w:rsid w:val="007031F8"/>
    <w:rsid w:val="00703234"/>
    <w:rsid w:val="007033FC"/>
    <w:rsid w:val="00703742"/>
    <w:rsid w:val="0070383D"/>
    <w:rsid w:val="00703984"/>
    <w:rsid w:val="00703B72"/>
    <w:rsid w:val="00703D39"/>
    <w:rsid w:val="007040E3"/>
    <w:rsid w:val="00704196"/>
    <w:rsid w:val="0070461F"/>
    <w:rsid w:val="00704740"/>
    <w:rsid w:val="007047EF"/>
    <w:rsid w:val="00704C2B"/>
    <w:rsid w:val="00704DE1"/>
    <w:rsid w:val="00704E40"/>
    <w:rsid w:val="0070501B"/>
    <w:rsid w:val="0070531A"/>
    <w:rsid w:val="00705589"/>
    <w:rsid w:val="00705798"/>
    <w:rsid w:val="0070582B"/>
    <w:rsid w:val="007058C3"/>
    <w:rsid w:val="007058D4"/>
    <w:rsid w:val="00705A36"/>
    <w:rsid w:val="00705A76"/>
    <w:rsid w:val="00705D1B"/>
    <w:rsid w:val="00705E25"/>
    <w:rsid w:val="00705EAC"/>
    <w:rsid w:val="00705F44"/>
    <w:rsid w:val="00705FC5"/>
    <w:rsid w:val="007064A9"/>
    <w:rsid w:val="0070660B"/>
    <w:rsid w:val="00706630"/>
    <w:rsid w:val="00706832"/>
    <w:rsid w:val="00706947"/>
    <w:rsid w:val="00706987"/>
    <w:rsid w:val="00706C4C"/>
    <w:rsid w:val="00706EA9"/>
    <w:rsid w:val="00706F9C"/>
    <w:rsid w:val="00707147"/>
    <w:rsid w:val="007071EF"/>
    <w:rsid w:val="00707294"/>
    <w:rsid w:val="0070729A"/>
    <w:rsid w:val="00707386"/>
    <w:rsid w:val="007075FE"/>
    <w:rsid w:val="00707799"/>
    <w:rsid w:val="007077CF"/>
    <w:rsid w:val="00707B42"/>
    <w:rsid w:val="00707B51"/>
    <w:rsid w:val="00707B7F"/>
    <w:rsid w:val="00707C68"/>
    <w:rsid w:val="00707F0D"/>
    <w:rsid w:val="00707FFC"/>
    <w:rsid w:val="007101A0"/>
    <w:rsid w:val="007104D0"/>
    <w:rsid w:val="00710672"/>
    <w:rsid w:val="007106E0"/>
    <w:rsid w:val="007109DB"/>
    <w:rsid w:val="007109FE"/>
    <w:rsid w:val="00710A79"/>
    <w:rsid w:val="00710BA2"/>
    <w:rsid w:val="00710BCB"/>
    <w:rsid w:val="00710D4C"/>
    <w:rsid w:val="00710EA1"/>
    <w:rsid w:val="0071104D"/>
    <w:rsid w:val="0071105C"/>
    <w:rsid w:val="007111F2"/>
    <w:rsid w:val="0071129F"/>
    <w:rsid w:val="007112EB"/>
    <w:rsid w:val="00711601"/>
    <w:rsid w:val="007116C5"/>
    <w:rsid w:val="007117F8"/>
    <w:rsid w:val="00711A42"/>
    <w:rsid w:val="00711AE7"/>
    <w:rsid w:val="00711C2E"/>
    <w:rsid w:val="00711C37"/>
    <w:rsid w:val="00711C5D"/>
    <w:rsid w:val="00711C6C"/>
    <w:rsid w:val="00711E71"/>
    <w:rsid w:val="00711F43"/>
    <w:rsid w:val="007126CD"/>
    <w:rsid w:val="007127C0"/>
    <w:rsid w:val="007127D4"/>
    <w:rsid w:val="00712B4E"/>
    <w:rsid w:val="00712E00"/>
    <w:rsid w:val="00712EDC"/>
    <w:rsid w:val="0071319B"/>
    <w:rsid w:val="007132A8"/>
    <w:rsid w:val="00713474"/>
    <w:rsid w:val="007134EA"/>
    <w:rsid w:val="00713534"/>
    <w:rsid w:val="00713987"/>
    <w:rsid w:val="00713B5A"/>
    <w:rsid w:val="00713CDA"/>
    <w:rsid w:val="00713D64"/>
    <w:rsid w:val="00713D91"/>
    <w:rsid w:val="00713DFD"/>
    <w:rsid w:val="00714185"/>
    <w:rsid w:val="007143A7"/>
    <w:rsid w:val="00714492"/>
    <w:rsid w:val="007148AD"/>
    <w:rsid w:val="007148BF"/>
    <w:rsid w:val="00714923"/>
    <w:rsid w:val="00714957"/>
    <w:rsid w:val="00714B51"/>
    <w:rsid w:val="00714E0B"/>
    <w:rsid w:val="00714E75"/>
    <w:rsid w:val="0071509D"/>
    <w:rsid w:val="007150AB"/>
    <w:rsid w:val="0071525D"/>
    <w:rsid w:val="0071533B"/>
    <w:rsid w:val="0071543D"/>
    <w:rsid w:val="0071546C"/>
    <w:rsid w:val="00715537"/>
    <w:rsid w:val="00715946"/>
    <w:rsid w:val="00715A74"/>
    <w:rsid w:val="00715C18"/>
    <w:rsid w:val="00715CBA"/>
    <w:rsid w:val="00715DCC"/>
    <w:rsid w:val="00715E96"/>
    <w:rsid w:val="00715F1A"/>
    <w:rsid w:val="00716180"/>
    <w:rsid w:val="007161D8"/>
    <w:rsid w:val="0071673D"/>
    <w:rsid w:val="007168A2"/>
    <w:rsid w:val="00716C83"/>
    <w:rsid w:val="00716D24"/>
    <w:rsid w:val="00716F0A"/>
    <w:rsid w:val="00716F12"/>
    <w:rsid w:val="0071717F"/>
    <w:rsid w:val="00717324"/>
    <w:rsid w:val="0071748E"/>
    <w:rsid w:val="00717588"/>
    <w:rsid w:val="007175A8"/>
    <w:rsid w:val="00717746"/>
    <w:rsid w:val="00717B6F"/>
    <w:rsid w:val="00717B7E"/>
    <w:rsid w:val="00717C00"/>
    <w:rsid w:val="00717DC2"/>
    <w:rsid w:val="0072010B"/>
    <w:rsid w:val="00720784"/>
    <w:rsid w:val="007207C7"/>
    <w:rsid w:val="007209E1"/>
    <w:rsid w:val="00720ADA"/>
    <w:rsid w:val="00720BB1"/>
    <w:rsid w:val="00720E00"/>
    <w:rsid w:val="00720F19"/>
    <w:rsid w:val="007212C6"/>
    <w:rsid w:val="007215F6"/>
    <w:rsid w:val="00721634"/>
    <w:rsid w:val="00721677"/>
    <w:rsid w:val="00721724"/>
    <w:rsid w:val="0072174A"/>
    <w:rsid w:val="0072176E"/>
    <w:rsid w:val="007217D8"/>
    <w:rsid w:val="00721C53"/>
    <w:rsid w:val="00721CB4"/>
    <w:rsid w:val="00721DCA"/>
    <w:rsid w:val="00721DF8"/>
    <w:rsid w:val="00721E30"/>
    <w:rsid w:val="00721F94"/>
    <w:rsid w:val="007220EA"/>
    <w:rsid w:val="00722237"/>
    <w:rsid w:val="00722740"/>
    <w:rsid w:val="0072294A"/>
    <w:rsid w:val="00722976"/>
    <w:rsid w:val="00722A66"/>
    <w:rsid w:val="00722B20"/>
    <w:rsid w:val="00722B73"/>
    <w:rsid w:val="00722BFD"/>
    <w:rsid w:val="00722F2B"/>
    <w:rsid w:val="00723002"/>
    <w:rsid w:val="007230EB"/>
    <w:rsid w:val="00723496"/>
    <w:rsid w:val="007234CF"/>
    <w:rsid w:val="00723569"/>
    <w:rsid w:val="00723958"/>
    <w:rsid w:val="00723D01"/>
    <w:rsid w:val="00723D9E"/>
    <w:rsid w:val="00723EE2"/>
    <w:rsid w:val="00723FC8"/>
    <w:rsid w:val="0072413C"/>
    <w:rsid w:val="00724AEF"/>
    <w:rsid w:val="00724AF5"/>
    <w:rsid w:val="00724BA8"/>
    <w:rsid w:val="00724EB7"/>
    <w:rsid w:val="00724F72"/>
    <w:rsid w:val="007253D2"/>
    <w:rsid w:val="0072542A"/>
    <w:rsid w:val="007254CC"/>
    <w:rsid w:val="00725598"/>
    <w:rsid w:val="00725750"/>
    <w:rsid w:val="00725827"/>
    <w:rsid w:val="00725969"/>
    <w:rsid w:val="00725D74"/>
    <w:rsid w:val="00725DD3"/>
    <w:rsid w:val="00725F0C"/>
    <w:rsid w:val="0072611B"/>
    <w:rsid w:val="0072627D"/>
    <w:rsid w:val="007265CF"/>
    <w:rsid w:val="007266CB"/>
    <w:rsid w:val="0072683E"/>
    <w:rsid w:val="00726904"/>
    <w:rsid w:val="00726CA8"/>
    <w:rsid w:val="00726D87"/>
    <w:rsid w:val="00727009"/>
    <w:rsid w:val="00727030"/>
    <w:rsid w:val="007270D2"/>
    <w:rsid w:val="007270DF"/>
    <w:rsid w:val="00727152"/>
    <w:rsid w:val="00727342"/>
    <w:rsid w:val="00727637"/>
    <w:rsid w:val="00727952"/>
    <w:rsid w:val="00727C4B"/>
    <w:rsid w:val="00730113"/>
    <w:rsid w:val="007301D0"/>
    <w:rsid w:val="0073030E"/>
    <w:rsid w:val="00730877"/>
    <w:rsid w:val="00730988"/>
    <w:rsid w:val="00730A52"/>
    <w:rsid w:val="00730D21"/>
    <w:rsid w:val="00730EA4"/>
    <w:rsid w:val="00731032"/>
    <w:rsid w:val="0073109E"/>
    <w:rsid w:val="0073110E"/>
    <w:rsid w:val="00731460"/>
    <w:rsid w:val="007314DC"/>
    <w:rsid w:val="0073181F"/>
    <w:rsid w:val="0073197D"/>
    <w:rsid w:val="00731B20"/>
    <w:rsid w:val="00731E5B"/>
    <w:rsid w:val="00731FD2"/>
    <w:rsid w:val="0073264B"/>
    <w:rsid w:val="00732722"/>
    <w:rsid w:val="00732A41"/>
    <w:rsid w:val="00732AC6"/>
    <w:rsid w:val="0073300F"/>
    <w:rsid w:val="00733132"/>
    <w:rsid w:val="0073333D"/>
    <w:rsid w:val="00733594"/>
    <w:rsid w:val="007336F1"/>
    <w:rsid w:val="0073371F"/>
    <w:rsid w:val="00733776"/>
    <w:rsid w:val="007337DB"/>
    <w:rsid w:val="00733AF6"/>
    <w:rsid w:val="00733CEB"/>
    <w:rsid w:val="00733DD1"/>
    <w:rsid w:val="00733E01"/>
    <w:rsid w:val="00733ECA"/>
    <w:rsid w:val="00733F7B"/>
    <w:rsid w:val="007340BA"/>
    <w:rsid w:val="007341B6"/>
    <w:rsid w:val="00734502"/>
    <w:rsid w:val="007345BA"/>
    <w:rsid w:val="00734948"/>
    <w:rsid w:val="007349E9"/>
    <w:rsid w:val="00734B9C"/>
    <w:rsid w:val="00734C85"/>
    <w:rsid w:val="00734EB3"/>
    <w:rsid w:val="00735156"/>
    <w:rsid w:val="007356D1"/>
    <w:rsid w:val="007357FE"/>
    <w:rsid w:val="007358B5"/>
    <w:rsid w:val="00735AC9"/>
    <w:rsid w:val="00735B10"/>
    <w:rsid w:val="007360D1"/>
    <w:rsid w:val="007361D9"/>
    <w:rsid w:val="00736302"/>
    <w:rsid w:val="00736362"/>
    <w:rsid w:val="00736667"/>
    <w:rsid w:val="0073692F"/>
    <w:rsid w:val="007369DF"/>
    <w:rsid w:val="00736A68"/>
    <w:rsid w:val="00736B8C"/>
    <w:rsid w:val="00736C1E"/>
    <w:rsid w:val="00736D8D"/>
    <w:rsid w:val="00736FA2"/>
    <w:rsid w:val="00737034"/>
    <w:rsid w:val="00737083"/>
    <w:rsid w:val="007371A2"/>
    <w:rsid w:val="0073745D"/>
    <w:rsid w:val="00737497"/>
    <w:rsid w:val="007374D3"/>
    <w:rsid w:val="00737629"/>
    <w:rsid w:val="007377B3"/>
    <w:rsid w:val="007378EE"/>
    <w:rsid w:val="00737B0C"/>
    <w:rsid w:val="007401D3"/>
    <w:rsid w:val="0074029A"/>
    <w:rsid w:val="007405E3"/>
    <w:rsid w:val="007406F9"/>
    <w:rsid w:val="00740873"/>
    <w:rsid w:val="0074088F"/>
    <w:rsid w:val="007408CF"/>
    <w:rsid w:val="00740AB0"/>
    <w:rsid w:val="00740BE2"/>
    <w:rsid w:val="00740C63"/>
    <w:rsid w:val="00740CC9"/>
    <w:rsid w:val="00740F37"/>
    <w:rsid w:val="0074110B"/>
    <w:rsid w:val="0074119D"/>
    <w:rsid w:val="007411DD"/>
    <w:rsid w:val="007414B7"/>
    <w:rsid w:val="0074164F"/>
    <w:rsid w:val="007417BE"/>
    <w:rsid w:val="007418A0"/>
    <w:rsid w:val="007419D2"/>
    <w:rsid w:val="00741A0E"/>
    <w:rsid w:val="00741A8A"/>
    <w:rsid w:val="00741D8F"/>
    <w:rsid w:val="00741D9F"/>
    <w:rsid w:val="00741DF4"/>
    <w:rsid w:val="00741F69"/>
    <w:rsid w:val="007422A0"/>
    <w:rsid w:val="00742394"/>
    <w:rsid w:val="007424A7"/>
    <w:rsid w:val="007426E6"/>
    <w:rsid w:val="00742728"/>
    <w:rsid w:val="00742752"/>
    <w:rsid w:val="00742849"/>
    <w:rsid w:val="007428F1"/>
    <w:rsid w:val="00742A29"/>
    <w:rsid w:val="00742B37"/>
    <w:rsid w:val="00742CEB"/>
    <w:rsid w:val="00742E89"/>
    <w:rsid w:val="00742EDB"/>
    <w:rsid w:val="00742F56"/>
    <w:rsid w:val="00743012"/>
    <w:rsid w:val="007432B9"/>
    <w:rsid w:val="00743380"/>
    <w:rsid w:val="007436CE"/>
    <w:rsid w:val="00743802"/>
    <w:rsid w:val="00743B9E"/>
    <w:rsid w:val="00743D1E"/>
    <w:rsid w:val="00743E04"/>
    <w:rsid w:val="00743E9A"/>
    <w:rsid w:val="00743ED6"/>
    <w:rsid w:val="0074423F"/>
    <w:rsid w:val="007443B9"/>
    <w:rsid w:val="0074472C"/>
    <w:rsid w:val="0074478D"/>
    <w:rsid w:val="007448B5"/>
    <w:rsid w:val="007448D8"/>
    <w:rsid w:val="00744AD1"/>
    <w:rsid w:val="00744B7B"/>
    <w:rsid w:val="00744BA2"/>
    <w:rsid w:val="00744E42"/>
    <w:rsid w:val="0074502A"/>
    <w:rsid w:val="007450BA"/>
    <w:rsid w:val="007451E6"/>
    <w:rsid w:val="007451EB"/>
    <w:rsid w:val="0074540A"/>
    <w:rsid w:val="00745450"/>
    <w:rsid w:val="007454C4"/>
    <w:rsid w:val="007455C9"/>
    <w:rsid w:val="007455DF"/>
    <w:rsid w:val="00745A3F"/>
    <w:rsid w:val="00745AED"/>
    <w:rsid w:val="00745D32"/>
    <w:rsid w:val="00745E98"/>
    <w:rsid w:val="00746071"/>
    <w:rsid w:val="00746168"/>
    <w:rsid w:val="00746313"/>
    <w:rsid w:val="007465E7"/>
    <w:rsid w:val="007467EE"/>
    <w:rsid w:val="00746829"/>
    <w:rsid w:val="00746B02"/>
    <w:rsid w:val="00746E24"/>
    <w:rsid w:val="00746F00"/>
    <w:rsid w:val="00747003"/>
    <w:rsid w:val="00747127"/>
    <w:rsid w:val="007471BE"/>
    <w:rsid w:val="00747413"/>
    <w:rsid w:val="00747789"/>
    <w:rsid w:val="007479B0"/>
    <w:rsid w:val="00747CDB"/>
    <w:rsid w:val="00747EFB"/>
    <w:rsid w:val="0075010B"/>
    <w:rsid w:val="00750252"/>
    <w:rsid w:val="007502E6"/>
    <w:rsid w:val="007503B0"/>
    <w:rsid w:val="0075049A"/>
    <w:rsid w:val="00750753"/>
    <w:rsid w:val="007509CC"/>
    <w:rsid w:val="00750A05"/>
    <w:rsid w:val="00750EAF"/>
    <w:rsid w:val="00750F3C"/>
    <w:rsid w:val="0075115A"/>
    <w:rsid w:val="00751526"/>
    <w:rsid w:val="007516CC"/>
    <w:rsid w:val="007519E9"/>
    <w:rsid w:val="00751A4A"/>
    <w:rsid w:val="00751CA3"/>
    <w:rsid w:val="00751CF6"/>
    <w:rsid w:val="00751EF8"/>
    <w:rsid w:val="00752123"/>
    <w:rsid w:val="00752140"/>
    <w:rsid w:val="0075225E"/>
    <w:rsid w:val="0075249D"/>
    <w:rsid w:val="007524CE"/>
    <w:rsid w:val="00752500"/>
    <w:rsid w:val="00752585"/>
    <w:rsid w:val="007528B9"/>
    <w:rsid w:val="00752973"/>
    <w:rsid w:val="00752AEF"/>
    <w:rsid w:val="00752BA7"/>
    <w:rsid w:val="00752C61"/>
    <w:rsid w:val="00753044"/>
    <w:rsid w:val="00753460"/>
    <w:rsid w:val="007535DF"/>
    <w:rsid w:val="007536AB"/>
    <w:rsid w:val="0075373A"/>
    <w:rsid w:val="0075389B"/>
    <w:rsid w:val="00753B16"/>
    <w:rsid w:val="00753BA0"/>
    <w:rsid w:val="00753C35"/>
    <w:rsid w:val="00753CA5"/>
    <w:rsid w:val="00753DCE"/>
    <w:rsid w:val="00753E29"/>
    <w:rsid w:val="00753E8E"/>
    <w:rsid w:val="00754193"/>
    <w:rsid w:val="007548B1"/>
    <w:rsid w:val="007549C1"/>
    <w:rsid w:val="00754C49"/>
    <w:rsid w:val="00754DBF"/>
    <w:rsid w:val="00754DDA"/>
    <w:rsid w:val="00754E50"/>
    <w:rsid w:val="00754F02"/>
    <w:rsid w:val="007552C3"/>
    <w:rsid w:val="00755397"/>
    <w:rsid w:val="007554C5"/>
    <w:rsid w:val="007557B5"/>
    <w:rsid w:val="00755E39"/>
    <w:rsid w:val="00755E55"/>
    <w:rsid w:val="0075600B"/>
    <w:rsid w:val="0075662A"/>
    <w:rsid w:val="0075688A"/>
    <w:rsid w:val="00756D2F"/>
    <w:rsid w:val="00756D8A"/>
    <w:rsid w:val="00756E24"/>
    <w:rsid w:val="00756EE6"/>
    <w:rsid w:val="00757116"/>
    <w:rsid w:val="00757696"/>
    <w:rsid w:val="00757950"/>
    <w:rsid w:val="007579A5"/>
    <w:rsid w:val="00757B94"/>
    <w:rsid w:val="00757C48"/>
    <w:rsid w:val="00757C57"/>
    <w:rsid w:val="00757CE9"/>
    <w:rsid w:val="00757FAF"/>
    <w:rsid w:val="00760067"/>
    <w:rsid w:val="007600D9"/>
    <w:rsid w:val="0076031C"/>
    <w:rsid w:val="0076033A"/>
    <w:rsid w:val="007603FC"/>
    <w:rsid w:val="0076049B"/>
    <w:rsid w:val="007606CF"/>
    <w:rsid w:val="00760937"/>
    <w:rsid w:val="00760AA3"/>
    <w:rsid w:val="00760C82"/>
    <w:rsid w:val="00760DA6"/>
    <w:rsid w:val="00760DDA"/>
    <w:rsid w:val="00760F95"/>
    <w:rsid w:val="007610B0"/>
    <w:rsid w:val="007611D0"/>
    <w:rsid w:val="00761642"/>
    <w:rsid w:val="00761780"/>
    <w:rsid w:val="00761C7E"/>
    <w:rsid w:val="00762064"/>
    <w:rsid w:val="007620E6"/>
    <w:rsid w:val="00762198"/>
    <w:rsid w:val="00762269"/>
    <w:rsid w:val="007622AE"/>
    <w:rsid w:val="007622C9"/>
    <w:rsid w:val="0076231B"/>
    <w:rsid w:val="00762419"/>
    <w:rsid w:val="00762582"/>
    <w:rsid w:val="007626D5"/>
    <w:rsid w:val="007628D5"/>
    <w:rsid w:val="00762A73"/>
    <w:rsid w:val="00763611"/>
    <w:rsid w:val="007639B0"/>
    <w:rsid w:val="00763A3B"/>
    <w:rsid w:val="00763ABD"/>
    <w:rsid w:val="00763CC3"/>
    <w:rsid w:val="00763FDB"/>
    <w:rsid w:val="0076429E"/>
    <w:rsid w:val="00764565"/>
    <w:rsid w:val="00764A9D"/>
    <w:rsid w:val="00764BBE"/>
    <w:rsid w:val="00764C38"/>
    <w:rsid w:val="00764CA2"/>
    <w:rsid w:val="00764FB2"/>
    <w:rsid w:val="00765778"/>
    <w:rsid w:val="00765B20"/>
    <w:rsid w:val="00765CAF"/>
    <w:rsid w:val="00765DD0"/>
    <w:rsid w:val="00765E9E"/>
    <w:rsid w:val="00766459"/>
    <w:rsid w:val="007668A6"/>
    <w:rsid w:val="00766AC6"/>
    <w:rsid w:val="00766C2D"/>
    <w:rsid w:val="00767372"/>
    <w:rsid w:val="007673B8"/>
    <w:rsid w:val="007678AC"/>
    <w:rsid w:val="0077009B"/>
    <w:rsid w:val="007700AD"/>
    <w:rsid w:val="007700CF"/>
    <w:rsid w:val="007702F1"/>
    <w:rsid w:val="00770467"/>
    <w:rsid w:val="007704FC"/>
    <w:rsid w:val="00770687"/>
    <w:rsid w:val="00770B47"/>
    <w:rsid w:val="00770BA0"/>
    <w:rsid w:val="00770C05"/>
    <w:rsid w:val="00770C60"/>
    <w:rsid w:val="00771175"/>
    <w:rsid w:val="0077118E"/>
    <w:rsid w:val="007711AE"/>
    <w:rsid w:val="00771392"/>
    <w:rsid w:val="007714B1"/>
    <w:rsid w:val="00771717"/>
    <w:rsid w:val="007718A1"/>
    <w:rsid w:val="007718EE"/>
    <w:rsid w:val="00771985"/>
    <w:rsid w:val="00771A2B"/>
    <w:rsid w:val="00771E28"/>
    <w:rsid w:val="0077200C"/>
    <w:rsid w:val="0077235A"/>
    <w:rsid w:val="00772398"/>
    <w:rsid w:val="0077245E"/>
    <w:rsid w:val="00772477"/>
    <w:rsid w:val="007724D5"/>
    <w:rsid w:val="007724EC"/>
    <w:rsid w:val="007725EA"/>
    <w:rsid w:val="00772704"/>
    <w:rsid w:val="00772787"/>
    <w:rsid w:val="00772B7A"/>
    <w:rsid w:val="00772BE8"/>
    <w:rsid w:val="00772CC2"/>
    <w:rsid w:val="00772DA4"/>
    <w:rsid w:val="00772DCE"/>
    <w:rsid w:val="007731A7"/>
    <w:rsid w:val="007736B6"/>
    <w:rsid w:val="00773777"/>
    <w:rsid w:val="00773831"/>
    <w:rsid w:val="00773989"/>
    <w:rsid w:val="00773B90"/>
    <w:rsid w:val="00773C16"/>
    <w:rsid w:val="00773C8D"/>
    <w:rsid w:val="00773E04"/>
    <w:rsid w:val="00773E63"/>
    <w:rsid w:val="00773F9C"/>
    <w:rsid w:val="00773FD2"/>
    <w:rsid w:val="007741BB"/>
    <w:rsid w:val="007742ED"/>
    <w:rsid w:val="00774528"/>
    <w:rsid w:val="0077459C"/>
    <w:rsid w:val="007747D4"/>
    <w:rsid w:val="00774810"/>
    <w:rsid w:val="00774842"/>
    <w:rsid w:val="00774C69"/>
    <w:rsid w:val="00774DB5"/>
    <w:rsid w:val="00775E7B"/>
    <w:rsid w:val="00775ECC"/>
    <w:rsid w:val="00775EE0"/>
    <w:rsid w:val="00775FBA"/>
    <w:rsid w:val="007764CB"/>
    <w:rsid w:val="007764EA"/>
    <w:rsid w:val="007766F6"/>
    <w:rsid w:val="00776745"/>
    <w:rsid w:val="0077687B"/>
    <w:rsid w:val="007768D9"/>
    <w:rsid w:val="0077698C"/>
    <w:rsid w:val="00776E1E"/>
    <w:rsid w:val="00776F7E"/>
    <w:rsid w:val="00777089"/>
    <w:rsid w:val="0077710C"/>
    <w:rsid w:val="007771ED"/>
    <w:rsid w:val="007773C5"/>
    <w:rsid w:val="00777511"/>
    <w:rsid w:val="007775F7"/>
    <w:rsid w:val="00777611"/>
    <w:rsid w:val="007776BB"/>
    <w:rsid w:val="00777C71"/>
    <w:rsid w:val="00777E65"/>
    <w:rsid w:val="007804BD"/>
    <w:rsid w:val="007808C4"/>
    <w:rsid w:val="00780A43"/>
    <w:rsid w:val="00780A76"/>
    <w:rsid w:val="00780F7A"/>
    <w:rsid w:val="00780F95"/>
    <w:rsid w:val="0078141C"/>
    <w:rsid w:val="0078141F"/>
    <w:rsid w:val="0078152D"/>
    <w:rsid w:val="007816CE"/>
    <w:rsid w:val="00781C6A"/>
    <w:rsid w:val="00781D43"/>
    <w:rsid w:val="00781E19"/>
    <w:rsid w:val="00781E69"/>
    <w:rsid w:val="00782015"/>
    <w:rsid w:val="00782042"/>
    <w:rsid w:val="00782266"/>
    <w:rsid w:val="00782330"/>
    <w:rsid w:val="0078240F"/>
    <w:rsid w:val="007825E7"/>
    <w:rsid w:val="00782C12"/>
    <w:rsid w:val="00782C76"/>
    <w:rsid w:val="00782ED3"/>
    <w:rsid w:val="00782EEF"/>
    <w:rsid w:val="00783137"/>
    <w:rsid w:val="007831BE"/>
    <w:rsid w:val="00783264"/>
    <w:rsid w:val="00783325"/>
    <w:rsid w:val="007834D7"/>
    <w:rsid w:val="007835DE"/>
    <w:rsid w:val="0078386A"/>
    <w:rsid w:val="007838F4"/>
    <w:rsid w:val="007839CA"/>
    <w:rsid w:val="00783AF7"/>
    <w:rsid w:val="00783B5D"/>
    <w:rsid w:val="00783B80"/>
    <w:rsid w:val="00783EEE"/>
    <w:rsid w:val="00783F78"/>
    <w:rsid w:val="0078421B"/>
    <w:rsid w:val="00784282"/>
    <w:rsid w:val="007842C4"/>
    <w:rsid w:val="00784314"/>
    <w:rsid w:val="00784413"/>
    <w:rsid w:val="00784421"/>
    <w:rsid w:val="0078449A"/>
    <w:rsid w:val="00784528"/>
    <w:rsid w:val="007848A5"/>
    <w:rsid w:val="00784BC7"/>
    <w:rsid w:val="00784EE3"/>
    <w:rsid w:val="007852C9"/>
    <w:rsid w:val="00785315"/>
    <w:rsid w:val="0078534A"/>
    <w:rsid w:val="007857B3"/>
    <w:rsid w:val="00785C66"/>
    <w:rsid w:val="00785CEC"/>
    <w:rsid w:val="00785D1D"/>
    <w:rsid w:val="00785D27"/>
    <w:rsid w:val="00785DB6"/>
    <w:rsid w:val="007860AA"/>
    <w:rsid w:val="00786105"/>
    <w:rsid w:val="0078615F"/>
    <w:rsid w:val="007863A7"/>
    <w:rsid w:val="00786434"/>
    <w:rsid w:val="00786520"/>
    <w:rsid w:val="007865B9"/>
    <w:rsid w:val="007865F3"/>
    <w:rsid w:val="007865F8"/>
    <w:rsid w:val="00786671"/>
    <w:rsid w:val="00786694"/>
    <w:rsid w:val="00786AB1"/>
    <w:rsid w:val="00786DC5"/>
    <w:rsid w:val="00787040"/>
    <w:rsid w:val="007872D0"/>
    <w:rsid w:val="007873D0"/>
    <w:rsid w:val="0078741F"/>
    <w:rsid w:val="00787459"/>
    <w:rsid w:val="007876EC"/>
    <w:rsid w:val="007877F0"/>
    <w:rsid w:val="00787978"/>
    <w:rsid w:val="0078797C"/>
    <w:rsid w:val="00787DBD"/>
    <w:rsid w:val="00787E26"/>
    <w:rsid w:val="00790101"/>
    <w:rsid w:val="00790144"/>
    <w:rsid w:val="007902D9"/>
    <w:rsid w:val="007903AB"/>
    <w:rsid w:val="0079049E"/>
    <w:rsid w:val="0079062D"/>
    <w:rsid w:val="007909AD"/>
    <w:rsid w:val="00790C32"/>
    <w:rsid w:val="00790F07"/>
    <w:rsid w:val="00790FA2"/>
    <w:rsid w:val="0079135C"/>
    <w:rsid w:val="0079143A"/>
    <w:rsid w:val="007914D1"/>
    <w:rsid w:val="0079162C"/>
    <w:rsid w:val="007917AD"/>
    <w:rsid w:val="007917B1"/>
    <w:rsid w:val="00791B76"/>
    <w:rsid w:val="00791C34"/>
    <w:rsid w:val="00792428"/>
    <w:rsid w:val="00792465"/>
    <w:rsid w:val="00792592"/>
    <w:rsid w:val="00792737"/>
    <w:rsid w:val="00792827"/>
    <w:rsid w:val="0079299C"/>
    <w:rsid w:val="00792E2F"/>
    <w:rsid w:val="00793351"/>
    <w:rsid w:val="007935B1"/>
    <w:rsid w:val="00793A6D"/>
    <w:rsid w:val="0079402F"/>
    <w:rsid w:val="00794030"/>
    <w:rsid w:val="007940FC"/>
    <w:rsid w:val="0079459D"/>
    <w:rsid w:val="0079463F"/>
    <w:rsid w:val="00794B90"/>
    <w:rsid w:val="00794D69"/>
    <w:rsid w:val="00794E04"/>
    <w:rsid w:val="0079520A"/>
    <w:rsid w:val="00795440"/>
    <w:rsid w:val="007954F5"/>
    <w:rsid w:val="0079564C"/>
    <w:rsid w:val="00795759"/>
    <w:rsid w:val="00795869"/>
    <w:rsid w:val="00795942"/>
    <w:rsid w:val="007959DA"/>
    <w:rsid w:val="00795BF0"/>
    <w:rsid w:val="00795E64"/>
    <w:rsid w:val="00795F75"/>
    <w:rsid w:val="00796C99"/>
    <w:rsid w:val="007973C8"/>
    <w:rsid w:val="00797558"/>
    <w:rsid w:val="00797599"/>
    <w:rsid w:val="007977BB"/>
    <w:rsid w:val="00797E07"/>
    <w:rsid w:val="00797E8C"/>
    <w:rsid w:val="00797ECB"/>
    <w:rsid w:val="007A00D1"/>
    <w:rsid w:val="007A020F"/>
    <w:rsid w:val="007A066E"/>
    <w:rsid w:val="007A0A45"/>
    <w:rsid w:val="007A0A67"/>
    <w:rsid w:val="007A0C54"/>
    <w:rsid w:val="007A0D30"/>
    <w:rsid w:val="007A0E27"/>
    <w:rsid w:val="007A11D0"/>
    <w:rsid w:val="007A1376"/>
    <w:rsid w:val="007A13AC"/>
    <w:rsid w:val="007A13C5"/>
    <w:rsid w:val="007A1798"/>
    <w:rsid w:val="007A18CE"/>
    <w:rsid w:val="007A1B00"/>
    <w:rsid w:val="007A1B09"/>
    <w:rsid w:val="007A1B1B"/>
    <w:rsid w:val="007A1B28"/>
    <w:rsid w:val="007A1D43"/>
    <w:rsid w:val="007A1D93"/>
    <w:rsid w:val="007A1EF6"/>
    <w:rsid w:val="007A1F8C"/>
    <w:rsid w:val="007A22EB"/>
    <w:rsid w:val="007A27E6"/>
    <w:rsid w:val="007A2925"/>
    <w:rsid w:val="007A29D7"/>
    <w:rsid w:val="007A2DC0"/>
    <w:rsid w:val="007A2F6B"/>
    <w:rsid w:val="007A306B"/>
    <w:rsid w:val="007A3225"/>
    <w:rsid w:val="007A32A6"/>
    <w:rsid w:val="007A38F3"/>
    <w:rsid w:val="007A3B08"/>
    <w:rsid w:val="007A3D4E"/>
    <w:rsid w:val="007A3EB8"/>
    <w:rsid w:val="007A3EEE"/>
    <w:rsid w:val="007A40A5"/>
    <w:rsid w:val="007A4368"/>
    <w:rsid w:val="007A4373"/>
    <w:rsid w:val="007A4624"/>
    <w:rsid w:val="007A4637"/>
    <w:rsid w:val="007A4713"/>
    <w:rsid w:val="007A50AB"/>
    <w:rsid w:val="007A51C8"/>
    <w:rsid w:val="007A52E5"/>
    <w:rsid w:val="007A5800"/>
    <w:rsid w:val="007A588D"/>
    <w:rsid w:val="007A5892"/>
    <w:rsid w:val="007A5A04"/>
    <w:rsid w:val="007A5A23"/>
    <w:rsid w:val="007A5B5C"/>
    <w:rsid w:val="007A6033"/>
    <w:rsid w:val="007A65F3"/>
    <w:rsid w:val="007A6606"/>
    <w:rsid w:val="007A680F"/>
    <w:rsid w:val="007A6B43"/>
    <w:rsid w:val="007A6B71"/>
    <w:rsid w:val="007A6BC4"/>
    <w:rsid w:val="007A6EE1"/>
    <w:rsid w:val="007A7341"/>
    <w:rsid w:val="007A7464"/>
    <w:rsid w:val="007A7683"/>
    <w:rsid w:val="007A76D9"/>
    <w:rsid w:val="007A7783"/>
    <w:rsid w:val="007A77B0"/>
    <w:rsid w:val="007A788F"/>
    <w:rsid w:val="007A79EF"/>
    <w:rsid w:val="007A7BFE"/>
    <w:rsid w:val="007A7C86"/>
    <w:rsid w:val="007A7EBF"/>
    <w:rsid w:val="007B001B"/>
    <w:rsid w:val="007B00A8"/>
    <w:rsid w:val="007B031A"/>
    <w:rsid w:val="007B0389"/>
    <w:rsid w:val="007B038E"/>
    <w:rsid w:val="007B03BF"/>
    <w:rsid w:val="007B03C7"/>
    <w:rsid w:val="007B0A88"/>
    <w:rsid w:val="007B0B8C"/>
    <w:rsid w:val="007B0F69"/>
    <w:rsid w:val="007B19F4"/>
    <w:rsid w:val="007B1B41"/>
    <w:rsid w:val="007B27B9"/>
    <w:rsid w:val="007B29AE"/>
    <w:rsid w:val="007B2A7D"/>
    <w:rsid w:val="007B314E"/>
    <w:rsid w:val="007B3392"/>
    <w:rsid w:val="007B34E8"/>
    <w:rsid w:val="007B376F"/>
    <w:rsid w:val="007B38AE"/>
    <w:rsid w:val="007B38C6"/>
    <w:rsid w:val="007B3C83"/>
    <w:rsid w:val="007B3CF1"/>
    <w:rsid w:val="007B3D8C"/>
    <w:rsid w:val="007B3DE4"/>
    <w:rsid w:val="007B3DF7"/>
    <w:rsid w:val="007B3FDD"/>
    <w:rsid w:val="007B40D8"/>
    <w:rsid w:val="007B4161"/>
    <w:rsid w:val="007B417F"/>
    <w:rsid w:val="007B4374"/>
    <w:rsid w:val="007B4635"/>
    <w:rsid w:val="007B4680"/>
    <w:rsid w:val="007B4731"/>
    <w:rsid w:val="007B47F2"/>
    <w:rsid w:val="007B4C57"/>
    <w:rsid w:val="007B4DD2"/>
    <w:rsid w:val="007B4DD8"/>
    <w:rsid w:val="007B4FC6"/>
    <w:rsid w:val="007B5067"/>
    <w:rsid w:val="007B51A9"/>
    <w:rsid w:val="007B544C"/>
    <w:rsid w:val="007B54EA"/>
    <w:rsid w:val="007B5710"/>
    <w:rsid w:val="007B5765"/>
    <w:rsid w:val="007B5994"/>
    <w:rsid w:val="007B5D46"/>
    <w:rsid w:val="007B5E0F"/>
    <w:rsid w:val="007B5E63"/>
    <w:rsid w:val="007B615A"/>
    <w:rsid w:val="007B636C"/>
    <w:rsid w:val="007B6A9A"/>
    <w:rsid w:val="007B6D06"/>
    <w:rsid w:val="007B6DBE"/>
    <w:rsid w:val="007B70AD"/>
    <w:rsid w:val="007B7424"/>
    <w:rsid w:val="007B7451"/>
    <w:rsid w:val="007B76BA"/>
    <w:rsid w:val="007B776E"/>
    <w:rsid w:val="007B7791"/>
    <w:rsid w:val="007B7871"/>
    <w:rsid w:val="007B789D"/>
    <w:rsid w:val="007B79ED"/>
    <w:rsid w:val="007B79FB"/>
    <w:rsid w:val="007B7A1B"/>
    <w:rsid w:val="007B7C1D"/>
    <w:rsid w:val="007C006A"/>
    <w:rsid w:val="007C00B8"/>
    <w:rsid w:val="007C0425"/>
    <w:rsid w:val="007C04EA"/>
    <w:rsid w:val="007C0528"/>
    <w:rsid w:val="007C0825"/>
    <w:rsid w:val="007C0865"/>
    <w:rsid w:val="007C0935"/>
    <w:rsid w:val="007C0E31"/>
    <w:rsid w:val="007C104E"/>
    <w:rsid w:val="007C107D"/>
    <w:rsid w:val="007C108C"/>
    <w:rsid w:val="007C1118"/>
    <w:rsid w:val="007C16BF"/>
    <w:rsid w:val="007C1891"/>
    <w:rsid w:val="007C1A2E"/>
    <w:rsid w:val="007C1C60"/>
    <w:rsid w:val="007C2381"/>
    <w:rsid w:val="007C23BB"/>
    <w:rsid w:val="007C25DA"/>
    <w:rsid w:val="007C27B5"/>
    <w:rsid w:val="007C2A1F"/>
    <w:rsid w:val="007C3063"/>
    <w:rsid w:val="007C313B"/>
    <w:rsid w:val="007C3219"/>
    <w:rsid w:val="007C3439"/>
    <w:rsid w:val="007C3534"/>
    <w:rsid w:val="007C38CF"/>
    <w:rsid w:val="007C38E1"/>
    <w:rsid w:val="007C39FA"/>
    <w:rsid w:val="007C3A05"/>
    <w:rsid w:val="007C3A64"/>
    <w:rsid w:val="007C3BEA"/>
    <w:rsid w:val="007C3C6B"/>
    <w:rsid w:val="007C3D40"/>
    <w:rsid w:val="007C3F9E"/>
    <w:rsid w:val="007C3FB9"/>
    <w:rsid w:val="007C45C4"/>
    <w:rsid w:val="007C466B"/>
    <w:rsid w:val="007C4A50"/>
    <w:rsid w:val="007C4C44"/>
    <w:rsid w:val="007C4C5E"/>
    <w:rsid w:val="007C4D5E"/>
    <w:rsid w:val="007C4E5E"/>
    <w:rsid w:val="007C4EF2"/>
    <w:rsid w:val="007C52EA"/>
    <w:rsid w:val="007C5524"/>
    <w:rsid w:val="007C56A7"/>
    <w:rsid w:val="007C5887"/>
    <w:rsid w:val="007C5ABD"/>
    <w:rsid w:val="007C5D09"/>
    <w:rsid w:val="007C5DF1"/>
    <w:rsid w:val="007C5F05"/>
    <w:rsid w:val="007C5F30"/>
    <w:rsid w:val="007C6523"/>
    <w:rsid w:val="007C66D2"/>
    <w:rsid w:val="007C6764"/>
    <w:rsid w:val="007C6CA1"/>
    <w:rsid w:val="007C6F24"/>
    <w:rsid w:val="007C70DE"/>
    <w:rsid w:val="007C70E1"/>
    <w:rsid w:val="007C710C"/>
    <w:rsid w:val="007C7128"/>
    <w:rsid w:val="007C7291"/>
    <w:rsid w:val="007C72F5"/>
    <w:rsid w:val="007C7325"/>
    <w:rsid w:val="007C757B"/>
    <w:rsid w:val="007C781D"/>
    <w:rsid w:val="007C78CA"/>
    <w:rsid w:val="007C7B12"/>
    <w:rsid w:val="007C7BB4"/>
    <w:rsid w:val="007C7E14"/>
    <w:rsid w:val="007D0132"/>
    <w:rsid w:val="007D01CD"/>
    <w:rsid w:val="007D0602"/>
    <w:rsid w:val="007D061C"/>
    <w:rsid w:val="007D06BC"/>
    <w:rsid w:val="007D0A67"/>
    <w:rsid w:val="007D0A99"/>
    <w:rsid w:val="007D0BAF"/>
    <w:rsid w:val="007D134C"/>
    <w:rsid w:val="007D172C"/>
    <w:rsid w:val="007D192D"/>
    <w:rsid w:val="007D19F6"/>
    <w:rsid w:val="007D1B40"/>
    <w:rsid w:val="007D1C95"/>
    <w:rsid w:val="007D1D50"/>
    <w:rsid w:val="007D1D95"/>
    <w:rsid w:val="007D1DCA"/>
    <w:rsid w:val="007D1E48"/>
    <w:rsid w:val="007D1EC3"/>
    <w:rsid w:val="007D232A"/>
    <w:rsid w:val="007D2389"/>
    <w:rsid w:val="007D2531"/>
    <w:rsid w:val="007D2D23"/>
    <w:rsid w:val="007D2E7D"/>
    <w:rsid w:val="007D337B"/>
    <w:rsid w:val="007D340C"/>
    <w:rsid w:val="007D375F"/>
    <w:rsid w:val="007D380C"/>
    <w:rsid w:val="007D3887"/>
    <w:rsid w:val="007D3965"/>
    <w:rsid w:val="007D3C73"/>
    <w:rsid w:val="007D3C99"/>
    <w:rsid w:val="007D3D8E"/>
    <w:rsid w:val="007D40ED"/>
    <w:rsid w:val="007D41B7"/>
    <w:rsid w:val="007D434A"/>
    <w:rsid w:val="007D4A3C"/>
    <w:rsid w:val="007D4D7E"/>
    <w:rsid w:val="007D4F30"/>
    <w:rsid w:val="007D5181"/>
    <w:rsid w:val="007D53CC"/>
    <w:rsid w:val="007D5791"/>
    <w:rsid w:val="007D5842"/>
    <w:rsid w:val="007D5862"/>
    <w:rsid w:val="007D5A3D"/>
    <w:rsid w:val="007D5B29"/>
    <w:rsid w:val="007D5B81"/>
    <w:rsid w:val="007D5BEC"/>
    <w:rsid w:val="007D5D06"/>
    <w:rsid w:val="007D5E00"/>
    <w:rsid w:val="007D5E60"/>
    <w:rsid w:val="007D60C7"/>
    <w:rsid w:val="007D615A"/>
    <w:rsid w:val="007D6165"/>
    <w:rsid w:val="007D62A7"/>
    <w:rsid w:val="007D62FF"/>
    <w:rsid w:val="007D6417"/>
    <w:rsid w:val="007D64C5"/>
    <w:rsid w:val="007D65BD"/>
    <w:rsid w:val="007D662B"/>
    <w:rsid w:val="007D6780"/>
    <w:rsid w:val="007D6795"/>
    <w:rsid w:val="007D6AA2"/>
    <w:rsid w:val="007D6B76"/>
    <w:rsid w:val="007D70E7"/>
    <w:rsid w:val="007D720D"/>
    <w:rsid w:val="007D7215"/>
    <w:rsid w:val="007D721C"/>
    <w:rsid w:val="007D72BD"/>
    <w:rsid w:val="007D754B"/>
    <w:rsid w:val="007D786C"/>
    <w:rsid w:val="007D7ABE"/>
    <w:rsid w:val="007D7B55"/>
    <w:rsid w:val="007D7D3B"/>
    <w:rsid w:val="007D7DF0"/>
    <w:rsid w:val="007E052E"/>
    <w:rsid w:val="007E0596"/>
    <w:rsid w:val="007E05F7"/>
    <w:rsid w:val="007E0707"/>
    <w:rsid w:val="007E078C"/>
    <w:rsid w:val="007E082C"/>
    <w:rsid w:val="007E0975"/>
    <w:rsid w:val="007E0A90"/>
    <w:rsid w:val="007E0C6A"/>
    <w:rsid w:val="007E0D29"/>
    <w:rsid w:val="007E0D70"/>
    <w:rsid w:val="007E0D8B"/>
    <w:rsid w:val="007E0FB8"/>
    <w:rsid w:val="007E1240"/>
    <w:rsid w:val="007E15B2"/>
    <w:rsid w:val="007E1A63"/>
    <w:rsid w:val="007E1BA5"/>
    <w:rsid w:val="007E1C04"/>
    <w:rsid w:val="007E1CE3"/>
    <w:rsid w:val="007E1F50"/>
    <w:rsid w:val="007E248B"/>
    <w:rsid w:val="007E24D0"/>
    <w:rsid w:val="007E26BF"/>
    <w:rsid w:val="007E2710"/>
    <w:rsid w:val="007E27F8"/>
    <w:rsid w:val="007E288F"/>
    <w:rsid w:val="007E28C1"/>
    <w:rsid w:val="007E2968"/>
    <w:rsid w:val="007E2A54"/>
    <w:rsid w:val="007E2B44"/>
    <w:rsid w:val="007E2BD8"/>
    <w:rsid w:val="007E3080"/>
    <w:rsid w:val="007E314C"/>
    <w:rsid w:val="007E331F"/>
    <w:rsid w:val="007E37A7"/>
    <w:rsid w:val="007E3D8D"/>
    <w:rsid w:val="007E3F69"/>
    <w:rsid w:val="007E3FB1"/>
    <w:rsid w:val="007E400E"/>
    <w:rsid w:val="007E42DF"/>
    <w:rsid w:val="007E4483"/>
    <w:rsid w:val="007E4695"/>
    <w:rsid w:val="007E469D"/>
    <w:rsid w:val="007E4712"/>
    <w:rsid w:val="007E4732"/>
    <w:rsid w:val="007E4D9B"/>
    <w:rsid w:val="007E50AA"/>
    <w:rsid w:val="007E510F"/>
    <w:rsid w:val="007E526F"/>
    <w:rsid w:val="007E53BA"/>
    <w:rsid w:val="007E5519"/>
    <w:rsid w:val="007E5600"/>
    <w:rsid w:val="007E5828"/>
    <w:rsid w:val="007E5841"/>
    <w:rsid w:val="007E591F"/>
    <w:rsid w:val="007E5BF1"/>
    <w:rsid w:val="007E5E05"/>
    <w:rsid w:val="007E5EE9"/>
    <w:rsid w:val="007E6743"/>
    <w:rsid w:val="007E67D2"/>
    <w:rsid w:val="007E697F"/>
    <w:rsid w:val="007E6AE1"/>
    <w:rsid w:val="007E6C5D"/>
    <w:rsid w:val="007E6F6C"/>
    <w:rsid w:val="007E6FD3"/>
    <w:rsid w:val="007E7065"/>
    <w:rsid w:val="007E725C"/>
    <w:rsid w:val="007E7336"/>
    <w:rsid w:val="007E7472"/>
    <w:rsid w:val="007E756C"/>
    <w:rsid w:val="007E76FC"/>
    <w:rsid w:val="007E772F"/>
    <w:rsid w:val="007E77B2"/>
    <w:rsid w:val="007E79C8"/>
    <w:rsid w:val="007E7C37"/>
    <w:rsid w:val="007E7DFC"/>
    <w:rsid w:val="007F0089"/>
    <w:rsid w:val="007F033D"/>
    <w:rsid w:val="007F06AF"/>
    <w:rsid w:val="007F07BF"/>
    <w:rsid w:val="007F0B27"/>
    <w:rsid w:val="007F0C94"/>
    <w:rsid w:val="007F0CC3"/>
    <w:rsid w:val="007F0D9F"/>
    <w:rsid w:val="007F0EB8"/>
    <w:rsid w:val="007F0FC6"/>
    <w:rsid w:val="007F1251"/>
    <w:rsid w:val="007F1302"/>
    <w:rsid w:val="007F13AA"/>
    <w:rsid w:val="007F14C6"/>
    <w:rsid w:val="007F14F4"/>
    <w:rsid w:val="007F15A1"/>
    <w:rsid w:val="007F16F4"/>
    <w:rsid w:val="007F18CC"/>
    <w:rsid w:val="007F19EE"/>
    <w:rsid w:val="007F1C1E"/>
    <w:rsid w:val="007F20C5"/>
    <w:rsid w:val="007F255B"/>
    <w:rsid w:val="007F276C"/>
    <w:rsid w:val="007F2B05"/>
    <w:rsid w:val="007F2F8C"/>
    <w:rsid w:val="007F3327"/>
    <w:rsid w:val="007F3436"/>
    <w:rsid w:val="007F3448"/>
    <w:rsid w:val="007F3719"/>
    <w:rsid w:val="007F37C8"/>
    <w:rsid w:val="007F37E7"/>
    <w:rsid w:val="007F3866"/>
    <w:rsid w:val="007F3AF1"/>
    <w:rsid w:val="007F3C79"/>
    <w:rsid w:val="007F3CDC"/>
    <w:rsid w:val="007F3D0C"/>
    <w:rsid w:val="007F3EE0"/>
    <w:rsid w:val="007F3EE4"/>
    <w:rsid w:val="007F3FF3"/>
    <w:rsid w:val="007F4112"/>
    <w:rsid w:val="007F4291"/>
    <w:rsid w:val="007F4373"/>
    <w:rsid w:val="007F4820"/>
    <w:rsid w:val="007F4903"/>
    <w:rsid w:val="007F4B88"/>
    <w:rsid w:val="007F4C45"/>
    <w:rsid w:val="007F4D50"/>
    <w:rsid w:val="007F545E"/>
    <w:rsid w:val="007F545F"/>
    <w:rsid w:val="007F5553"/>
    <w:rsid w:val="007F570F"/>
    <w:rsid w:val="007F5846"/>
    <w:rsid w:val="007F5A50"/>
    <w:rsid w:val="007F5A6A"/>
    <w:rsid w:val="007F5CB8"/>
    <w:rsid w:val="007F5D7B"/>
    <w:rsid w:val="007F5ECE"/>
    <w:rsid w:val="007F6056"/>
    <w:rsid w:val="007F60C6"/>
    <w:rsid w:val="007F60CD"/>
    <w:rsid w:val="007F63FB"/>
    <w:rsid w:val="007F6454"/>
    <w:rsid w:val="007F64F2"/>
    <w:rsid w:val="007F6812"/>
    <w:rsid w:val="007F6B95"/>
    <w:rsid w:val="007F6BD6"/>
    <w:rsid w:val="007F6C42"/>
    <w:rsid w:val="007F722F"/>
    <w:rsid w:val="007F762D"/>
    <w:rsid w:val="007F77C2"/>
    <w:rsid w:val="007F7AFB"/>
    <w:rsid w:val="007F7E6B"/>
    <w:rsid w:val="007F7F22"/>
    <w:rsid w:val="0080012C"/>
    <w:rsid w:val="008001E7"/>
    <w:rsid w:val="0080033D"/>
    <w:rsid w:val="00800375"/>
    <w:rsid w:val="00800435"/>
    <w:rsid w:val="008005E4"/>
    <w:rsid w:val="00800B62"/>
    <w:rsid w:val="00800C95"/>
    <w:rsid w:val="00800CD1"/>
    <w:rsid w:val="00800E67"/>
    <w:rsid w:val="00800F9C"/>
    <w:rsid w:val="008013E3"/>
    <w:rsid w:val="00801512"/>
    <w:rsid w:val="008015FB"/>
    <w:rsid w:val="00801667"/>
    <w:rsid w:val="00801C4D"/>
    <w:rsid w:val="00801EBA"/>
    <w:rsid w:val="00801FDA"/>
    <w:rsid w:val="008020CA"/>
    <w:rsid w:val="008022D7"/>
    <w:rsid w:val="008025A8"/>
    <w:rsid w:val="008025F9"/>
    <w:rsid w:val="00802632"/>
    <w:rsid w:val="008028A4"/>
    <w:rsid w:val="008036C9"/>
    <w:rsid w:val="00803A54"/>
    <w:rsid w:val="00803B7D"/>
    <w:rsid w:val="00803BC4"/>
    <w:rsid w:val="00803CF3"/>
    <w:rsid w:val="00803D8E"/>
    <w:rsid w:val="00803E2C"/>
    <w:rsid w:val="00803FA1"/>
    <w:rsid w:val="00804142"/>
    <w:rsid w:val="008041B0"/>
    <w:rsid w:val="008043DD"/>
    <w:rsid w:val="008045B4"/>
    <w:rsid w:val="00804675"/>
    <w:rsid w:val="0080474F"/>
    <w:rsid w:val="00804774"/>
    <w:rsid w:val="00804BC7"/>
    <w:rsid w:val="00804BDD"/>
    <w:rsid w:val="00804C32"/>
    <w:rsid w:val="00804D07"/>
    <w:rsid w:val="00805038"/>
    <w:rsid w:val="0080508D"/>
    <w:rsid w:val="00805398"/>
    <w:rsid w:val="00805B86"/>
    <w:rsid w:val="00805C9E"/>
    <w:rsid w:val="00805EAB"/>
    <w:rsid w:val="0080601A"/>
    <w:rsid w:val="0080602B"/>
    <w:rsid w:val="008060FE"/>
    <w:rsid w:val="008062C7"/>
    <w:rsid w:val="00806313"/>
    <w:rsid w:val="00806324"/>
    <w:rsid w:val="008063F0"/>
    <w:rsid w:val="00806862"/>
    <w:rsid w:val="00806D60"/>
    <w:rsid w:val="00807026"/>
    <w:rsid w:val="00807101"/>
    <w:rsid w:val="00807164"/>
    <w:rsid w:val="0080757F"/>
    <w:rsid w:val="0080766D"/>
    <w:rsid w:val="00807CD7"/>
    <w:rsid w:val="00807D47"/>
    <w:rsid w:val="0081042D"/>
    <w:rsid w:val="008104AE"/>
    <w:rsid w:val="00810941"/>
    <w:rsid w:val="008109AB"/>
    <w:rsid w:val="00810B3D"/>
    <w:rsid w:val="00810C7B"/>
    <w:rsid w:val="00810DAC"/>
    <w:rsid w:val="00810DDC"/>
    <w:rsid w:val="00810E59"/>
    <w:rsid w:val="00810E8B"/>
    <w:rsid w:val="00810EFD"/>
    <w:rsid w:val="00811012"/>
    <w:rsid w:val="00811027"/>
    <w:rsid w:val="008115F9"/>
    <w:rsid w:val="008116B9"/>
    <w:rsid w:val="00811DDE"/>
    <w:rsid w:val="0081211A"/>
    <w:rsid w:val="00812159"/>
    <w:rsid w:val="008123A1"/>
    <w:rsid w:val="00812971"/>
    <w:rsid w:val="00812AA4"/>
    <w:rsid w:val="00813087"/>
    <w:rsid w:val="008130A4"/>
    <w:rsid w:val="00813162"/>
    <w:rsid w:val="00813316"/>
    <w:rsid w:val="00813803"/>
    <w:rsid w:val="0081397C"/>
    <w:rsid w:val="00813B26"/>
    <w:rsid w:val="00813B51"/>
    <w:rsid w:val="00813BE7"/>
    <w:rsid w:val="00813CAB"/>
    <w:rsid w:val="00813E7A"/>
    <w:rsid w:val="00814205"/>
    <w:rsid w:val="008146BB"/>
    <w:rsid w:val="00814837"/>
    <w:rsid w:val="00814A72"/>
    <w:rsid w:val="008153B6"/>
    <w:rsid w:val="0081547C"/>
    <w:rsid w:val="00815655"/>
    <w:rsid w:val="00815688"/>
    <w:rsid w:val="008156DD"/>
    <w:rsid w:val="008158C0"/>
    <w:rsid w:val="00815903"/>
    <w:rsid w:val="00815A1C"/>
    <w:rsid w:val="00815C94"/>
    <w:rsid w:val="00815F74"/>
    <w:rsid w:val="00815FDD"/>
    <w:rsid w:val="008166D3"/>
    <w:rsid w:val="00816922"/>
    <w:rsid w:val="0081695C"/>
    <w:rsid w:val="00816A4D"/>
    <w:rsid w:val="00816B8A"/>
    <w:rsid w:val="00816C4C"/>
    <w:rsid w:val="00816EAA"/>
    <w:rsid w:val="00816EB9"/>
    <w:rsid w:val="00816F64"/>
    <w:rsid w:val="008175F1"/>
    <w:rsid w:val="00817833"/>
    <w:rsid w:val="008179D2"/>
    <w:rsid w:val="00817A6C"/>
    <w:rsid w:val="00817C39"/>
    <w:rsid w:val="00817ED7"/>
    <w:rsid w:val="00817EDC"/>
    <w:rsid w:val="00817F9F"/>
    <w:rsid w:val="008204F6"/>
    <w:rsid w:val="0082054B"/>
    <w:rsid w:val="00820731"/>
    <w:rsid w:val="0082097A"/>
    <w:rsid w:val="00820983"/>
    <w:rsid w:val="00820A9C"/>
    <w:rsid w:val="00820E1D"/>
    <w:rsid w:val="00820F77"/>
    <w:rsid w:val="0082106F"/>
    <w:rsid w:val="00821537"/>
    <w:rsid w:val="00821AFB"/>
    <w:rsid w:val="00821B9B"/>
    <w:rsid w:val="00821D6B"/>
    <w:rsid w:val="00821D77"/>
    <w:rsid w:val="00821F50"/>
    <w:rsid w:val="008221A0"/>
    <w:rsid w:val="008223C7"/>
    <w:rsid w:val="00822500"/>
    <w:rsid w:val="0082263F"/>
    <w:rsid w:val="0082293E"/>
    <w:rsid w:val="008229A7"/>
    <w:rsid w:val="00822AE2"/>
    <w:rsid w:val="00822B58"/>
    <w:rsid w:val="00822D3B"/>
    <w:rsid w:val="00822E9D"/>
    <w:rsid w:val="00823125"/>
    <w:rsid w:val="008231B4"/>
    <w:rsid w:val="00823524"/>
    <w:rsid w:val="0082366B"/>
    <w:rsid w:val="00823750"/>
    <w:rsid w:val="0082394F"/>
    <w:rsid w:val="00823AD7"/>
    <w:rsid w:val="00823B19"/>
    <w:rsid w:val="00823C26"/>
    <w:rsid w:val="00823C83"/>
    <w:rsid w:val="00823D73"/>
    <w:rsid w:val="00824177"/>
    <w:rsid w:val="00824181"/>
    <w:rsid w:val="0082464B"/>
    <w:rsid w:val="008247A1"/>
    <w:rsid w:val="008248EC"/>
    <w:rsid w:val="00824906"/>
    <w:rsid w:val="00824AF0"/>
    <w:rsid w:val="00824C1D"/>
    <w:rsid w:val="00824D79"/>
    <w:rsid w:val="00824F79"/>
    <w:rsid w:val="008250B7"/>
    <w:rsid w:val="008251DC"/>
    <w:rsid w:val="0082524B"/>
    <w:rsid w:val="00825583"/>
    <w:rsid w:val="0082563D"/>
    <w:rsid w:val="0082576A"/>
    <w:rsid w:val="0082598B"/>
    <w:rsid w:val="008259B3"/>
    <w:rsid w:val="00825B43"/>
    <w:rsid w:val="00825D13"/>
    <w:rsid w:val="00825F57"/>
    <w:rsid w:val="00826037"/>
    <w:rsid w:val="008260E5"/>
    <w:rsid w:val="008261A8"/>
    <w:rsid w:val="0082628C"/>
    <w:rsid w:val="008263D7"/>
    <w:rsid w:val="00826439"/>
    <w:rsid w:val="00826718"/>
    <w:rsid w:val="0082692A"/>
    <w:rsid w:val="00826DE5"/>
    <w:rsid w:val="00826FD6"/>
    <w:rsid w:val="0082723E"/>
    <w:rsid w:val="008273FB"/>
    <w:rsid w:val="0082747B"/>
    <w:rsid w:val="008274D9"/>
    <w:rsid w:val="008276C8"/>
    <w:rsid w:val="008277A3"/>
    <w:rsid w:val="00827940"/>
    <w:rsid w:val="008279B6"/>
    <w:rsid w:val="008279DC"/>
    <w:rsid w:val="00827B70"/>
    <w:rsid w:val="00827CA7"/>
    <w:rsid w:val="0083025A"/>
    <w:rsid w:val="0083038D"/>
    <w:rsid w:val="008304F4"/>
    <w:rsid w:val="0083052E"/>
    <w:rsid w:val="00830B96"/>
    <w:rsid w:val="00830DBE"/>
    <w:rsid w:val="00830E04"/>
    <w:rsid w:val="00830FFD"/>
    <w:rsid w:val="00831000"/>
    <w:rsid w:val="00831069"/>
    <w:rsid w:val="008311C1"/>
    <w:rsid w:val="00831336"/>
    <w:rsid w:val="0083186C"/>
    <w:rsid w:val="00831B9E"/>
    <w:rsid w:val="00831D5F"/>
    <w:rsid w:val="00831FDE"/>
    <w:rsid w:val="008322C9"/>
    <w:rsid w:val="00832334"/>
    <w:rsid w:val="008323AB"/>
    <w:rsid w:val="008323B2"/>
    <w:rsid w:val="00832840"/>
    <w:rsid w:val="008328D9"/>
    <w:rsid w:val="00832929"/>
    <w:rsid w:val="00832E85"/>
    <w:rsid w:val="0083309B"/>
    <w:rsid w:val="00833525"/>
    <w:rsid w:val="008335E0"/>
    <w:rsid w:val="008336D8"/>
    <w:rsid w:val="00833746"/>
    <w:rsid w:val="008337D8"/>
    <w:rsid w:val="00833A5E"/>
    <w:rsid w:val="00833BB1"/>
    <w:rsid w:val="00833CEE"/>
    <w:rsid w:val="00833E1F"/>
    <w:rsid w:val="00833EC3"/>
    <w:rsid w:val="0083404F"/>
    <w:rsid w:val="008341D0"/>
    <w:rsid w:val="008343E0"/>
    <w:rsid w:val="008347F8"/>
    <w:rsid w:val="00834B44"/>
    <w:rsid w:val="00834B9F"/>
    <w:rsid w:val="00834C46"/>
    <w:rsid w:val="00834CA8"/>
    <w:rsid w:val="00834D7C"/>
    <w:rsid w:val="00834F7E"/>
    <w:rsid w:val="008353B0"/>
    <w:rsid w:val="0083559E"/>
    <w:rsid w:val="00835653"/>
    <w:rsid w:val="0083572E"/>
    <w:rsid w:val="00835758"/>
    <w:rsid w:val="00835935"/>
    <w:rsid w:val="00835AAB"/>
    <w:rsid w:val="00835CB3"/>
    <w:rsid w:val="00835CFC"/>
    <w:rsid w:val="00835E6B"/>
    <w:rsid w:val="0083607A"/>
    <w:rsid w:val="0083609B"/>
    <w:rsid w:val="008363C0"/>
    <w:rsid w:val="00836828"/>
    <w:rsid w:val="00836AA0"/>
    <w:rsid w:val="00836B11"/>
    <w:rsid w:val="0083707D"/>
    <w:rsid w:val="008371A7"/>
    <w:rsid w:val="008372E8"/>
    <w:rsid w:val="0083778C"/>
    <w:rsid w:val="00837AA3"/>
    <w:rsid w:val="00837CBA"/>
    <w:rsid w:val="00837E42"/>
    <w:rsid w:val="00840187"/>
    <w:rsid w:val="008402C9"/>
    <w:rsid w:val="00840361"/>
    <w:rsid w:val="00840604"/>
    <w:rsid w:val="00840808"/>
    <w:rsid w:val="00840824"/>
    <w:rsid w:val="0084084C"/>
    <w:rsid w:val="0084090B"/>
    <w:rsid w:val="00840B29"/>
    <w:rsid w:val="00840C21"/>
    <w:rsid w:val="00840E06"/>
    <w:rsid w:val="0084110C"/>
    <w:rsid w:val="00841264"/>
    <w:rsid w:val="00841396"/>
    <w:rsid w:val="008413E9"/>
    <w:rsid w:val="008416EA"/>
    <w:rsid w:val="0084172C"/>
    <w:rsid w:val="008418BF"/>
    <w:rsid w:val="00841B78"/>
    <w:rsid w:val="00841B9F"/>
    <w:rsid w:val="00841CF4"/>
    <w:rsid w:val="0084214A"/>
    <w:rsid w:val="00842201"/>
    <w:rsid w:val="00842753"/>
    <w:rsid w:val="008427E5"/>
    <w:rsid w:val="00842887"/>
    <w:rsid w:val="00842C18"/>
    <w:rsid w:val="00842DED"/>
    <w:rsid w:val="00842E32"/>
    <w:rsid w:val="008432F0"/>
    <w:rsid w:val="00843379"/>
    <w:rsid w:val="008433A3"/>
    <w:rsid w:val="00843410"/>
    <w:rsid w:val="00843443"/>
    <w:rsid w:val="0084355F"/>
    <w:rsid w:val="0084364F"/>
    <w:rsid w:val="008436CA"/>
    <w:rsid w:val="008437A7"/>
    <w:rsid w:val="00843C8C"/>
    <w:rsid w:val="0084417E"/>
    <w:rsid w:val="008441A0"/>
    <w:rsid w:val="00844367"/>
    <w:rsid w:val="0084439D"/>
    <w:rsid w:val="0084475D"/>
    <w:rsid w:val="0084476D"/>
    <w:rsid w:val="008447A8"/>
    <w:rsid w:val="0084484E"/>
    <w:rsid w:val="0084491B"/>
    <w:rsid w:val="00844A5A"/>
    <w:rsid w:val="00844A63"/>
    <w:rsid w:val="00844D45"/>
    <w:rsid w:val="008450F4"/>
    <w:rsid w:val="00845139"/>
    <w:rsid w:val="0084569C"/>
    <w:rsid w:val="008456CF"/>
    <w:rsid w:val="008457EB"/>
    <w:rsid w:val="00845872"/>
    <w:rsid w:val="008459CA"/>
    <w:rsid w:val="00845A0A"/>
    <w:rsid w:val="00845B6C"/>
    <w:rsid w:val="00845D4E"/>
    <w:rsid w:val="00845E70"/>
    <w:rsid w:val="00845F58"/>
    <w:rsid w:val="0084607B"/>
    <w:rsid w:val="008461BC"/>
    <w:rsid w:val="008463A7"/>
    <w:rsid w:val="008464C7"/>
    <w:rsid w:val="00846662"/>
    <w:rsid w:val="00846891"/>
    <w:rsid w:val="00846974"/>
    <w:rsid w:val="008469BE"/>
    <w:rsid w:val="008469D1"/>
    <w:rsid w:val="00846A29"/>
    <w:rsid w:val="00846A44"/>
    <w:rsid w:val="00846B4F"/>
    <w:rsid w:val="00846EAB"/>
    <w:rsid w:val="00846EF8"/>
    <w:rsid w:val="008474A2"/>
    <w:rsid w:val="0084764C"/>
    <w:rsid w:val="0084764E"/>
    <w:rsid w:val="008477B5"/>
    <w:rsid w:val="00847939"/>
    <w:rsid w:val="00847CE3"/>
    <w:rsid w:val="0085023F"/>
    <w:rsid w:val="008504E6"/>
    <w:rsid w:val="00850600"/>
    <w:rsid w:val="0085089A"/>
    <w:rsid w:val="00850902"/>
    <w:rsid w:val="008509B5"/>
    <w:rsid w:val="00850A5B"/>
    <w:rsid w:val="00850AFF"/>
    <w:rsid w:val="00850CDD"/>
    <w:rsid w:val="00850D94"/>
    <w:rsid w:val="00850FA3"/>
    <w:rsid w:val="0085119C"/>
    <w:rsid w:val="008511AE"/>
    <w:rsid w:val="0085123E"/>
    <w:rsid w:val="00851249"/>
    <w:rsid w:val="0085125A"/>
    <w:rsid w:val="008512FB"/>
    <w:rsid w:val="008517D6"/>
    <w:rsid w:val="00851822"/>
    <w:rsid w:val="00851A30"/>
    <w:rsid w:val="00851AA1"/>
    <w:rsid w:val="00851B33"/>
    <w:rsid w:val="00851B3E"/>
    <w:rsid w:val="00851CA4"/>
    <w:rsid w:val="00851D91"/>
    <w:rsid w:val="00851E77"/>
    <w:rsid w:val="00851EBE"/>
    <w:rsid w:val="008523AF"/>
    <w:rsid w:val="0085253E"/>
    <w:rsid w:val="0085289A"/>
    <w:rsid w:val="00852A37"/>
    <w:rsid w:val="00852F05"/>
    <w:rsid w:val="0085336D"/>
    <w:rsid w:val="0085350C"/>
    <w:rsid w:val="008537A9"/>
    <w:rsid w:val="008538AE"/>
    <w:rsid w:val="0085392F"/>
    <w:rsid w:val="00853A87"/>
    <w:rsid w:val="00853B40"/>
    <w:rsid w:val="00853DB3"/>
    <w:rsid w:val="00853EE7"/>
    <w:rsid w:val="00853F59"/>
    <w:rsid w:val="008541BA"/>
    <w:rsid w:val="00854290"/>
    <w:rsid w:val="0085443D"/>
    <w:rsid w:val="008546D3"/>
    <w:rsid w:val="008547D8"/>
    <w:rsid w:val="00854DD5"/>
    <w:rsid w:val="00854F10"/>
    <w:rsid w:val="008550DA"/>
    <w:rsid w:val="0085515D"/>
    <w:rsid w:val="008551C5"/>
    <w:rsid w:val="0085536F"/>
    <w:rsid w:val="008554CD"/>
    <w:rsid w:val="00855783"/>
    <w:rsid w:val="00855791"/>
    <w:rsid w:val="0085594F"/>
    <w:rsid w:val="008559B9"/>
    <w:rsid w:val="00855B70"/>
    <w:rsid w:val="008560F7"/>
    <w:rsid w:val="0085645C"/>
    <w:rsid w:val="00856496"/>
    <w:rsid w:val="00856506"/>
    <w:rsid w:val="00856907"/>
    <w:rsid w:val="00856A31"/>
    <w:rsid w:val="00856AD7"/>
    <w:rsid w:val="00856B4B"/>
    <w:rsid w:val="00856C9A"/>
    <w:rsid w:val="00856D14"/>
    <w:rsid w:val="00856ED8"/>
    <w:rsid w:val="00856EF0"/>
    <w:rsid w:val="00856F10"/>
    <w:rsid w:val="00856F33"/>
    <w:rsid w:val="00856FFA"/>
    <w:rsid w:val="00857115"/>
    <w:rsid w:val="008571BC"/>
    <w:rsid w:val="0085765D"/>
    <w:rsid w:val="008576EF"/>
    <w:rsid w:val="00857803"/>
    <w:rsid w:val="00857AB4"/>
    <w:rsid w:val="00857C0F"/>
    <w:rsid w:val="00857D57"/>
    <w:rsid w:val="00857EC2"/>
    <w:rsid w:val="0086009E"/>
    <w:rsid w:val="00860535"/>
    <w:rsid w:val="00860575"/>
    <w:rsid w:val="00860751"/>
    <w:rsid w:val="0086078D"/>
    <w:rsid w:val="008607DD"/>
    <w:rsid w:val="00860D1F"/>
    <w:rsid w:val="00860FA6"/>
    <w:rsid w:val="008610F4"/>
    <w:rsid w:val="0086179A"/>
    <w:rsid w:val="00861839"/>
    <w:rsid w:val="008618EF"/>
    <w:rsid w:val="00861A50"/>
    <w:rsid w:val="00861BAE"/>
    <w:rsid w:val="00861D21"/>
    <w:rsid w:val="00861D90"/>
    <w:rsid w:val="00862014"/>
    <w:rsid w:val="00862457"/>
    <w:rsid w:val="008625D2"/>
    <w:rsid w:val="008625DA"/>
    <w:rsid w:val="00862A57"/>
    <w:rsid w:val="00862A7F"/>
    <w:rsid w:val="00862D2C"/>
    <w:rsid w:val="00862E58"/>
    <w:rsid w:val="00862FFB"/>
    <w:rsid w:val="0086300B"/>
    <w:rsid w:val="00863063"/>
    <w:rsid w:val="008630AC"/>
    <w:rsid w:val="008633AF"/>
    <w:rsid w:val="008635B9"/>
    <w:rsid w:val="00863685"/>
    <w:rsid w:val="00863733"/>
    <w:rsid w:val="0086398C"/>
    <w:rsid w:val="00863B53"/>
    <w:rsid w:val="00863DFE"/>
    <w:rsid w:val="00864057"/>
    <w:rsid w:val="00864162"/>
    <w:rsid w:val="008644C6"/>
    <w:rsid w:val="00864715"/>
    <w:rsid w:val="00864988"/>
    <w:rsid w:val="00864D3E"/>
    <w:rsid w:val="00864DF6"/>
    <w:rsid w:val="00864E39"/>
    <w:rsid w:val="00864E70"/>
    <w:rsid w:val="00865484"/>
    <w:rsid w:val="008655D0"/>
    <w:rsid w:val="0086567B"/>
    <w:rsid w:val="008658CD"/>
    <w:rsid w:val="008659C1"/>
    <w:rsid w:val="00865A27"/>
    <w:rsid w:val="00865E20"/>
    <w:rsid w:val="00865FB1"/>
    <w:rsid w:val="00866104"/>
    <w:rsid w:val="0086620E"/>
    <w:rsid w:val="008663F8"/>
    <w:rsid w:val="00866838"/>
    <w:rsid w:val="00866CF7"/>
    <w:rsid w:val="00866DE2"/>
    <w:rsid w:val="00866E48"/>
    <w:rsid w:val="00866F78"/>
    <w:rsid w:val="0086705F"/>
    <w:rsid w:val="008671DB"/>
    <w:rsid w:val="0086722C"/>
    <w:rsid w:val="00867386"/>
    <w:rsid w:val="008675F4"/>
    <w:rsid w:val="00867856"/>
    <w:rsid w:val="00867B26"/>
    <w:rsid w:val="00867DB7"/>
    <w:rsid w:val="00867FD8"/>
    <w:rsid w:val="00870278"/>
    <w:rsid w:val="008708AB"/>
    <w:rsid w:val="00871050"/>
    <w:rsid w:val="008710FC"/>
    <w:rsid w:val="008711CC"/>
    <w:rsid w:val="00871318"/>
    <w:rsid w:val="00871586"/>
    <w:rsid w:val="00871655"/>
    <w:rsid w:val="00871734"/>
    <w:rsid w:val="00871ADC"/>
    <w:rsid w:val="00871D99"/>
    <w:rsid w:val="00872279"/>
    <w:rsid w:val="00872340"/>
    <w:rsid w:val="0087248A"/>
    <w:rsid w:val="00872656"/>
    <w:rsid w:val="008728AA"/>
    <w:rsid w:val="00872A57"/>
    <w:rsid w:val="00872A6E"/>
    <w:rsid w:val="00872ADB"/>
    <w:rsid w:val="00872CAE"/>
    <w:rsid w:val="00872EF7"/>
    <w:rsid w:val="00872F6A"/>
    <w:rsid w:val="00872FC7"/>
    <w:rsid w:val="00873378"/>
    <w:rsid w:val="00873494"/>
    <w:rsid w:val="008736AD"/>
    <w:rsid w:val="008736D1"/>
    <w:rsid w:val="0087382E"/>
    <w:rsid w:val="0087398D"/>
    <w:rsid w:val="008739B4"/>
    <w:rsid w:val="00873B55"/>
    <w:rsid w:val="00873DFA"/>
    <w:rsid w:val="00873E37"/>
    <w:rsid w:val="00874044"/>
    <w:rsid w:val="008740FA"/>
    <w:rsid w:val="00874200"/>
    <w:rsid w:val="008742FA"/>
    <w:rsid w:val="00874544"/>
    <w:rsid w:val="00874746"/>
    <w:rsid w:val="008748D3"/>
    <w:rsid w:val="008748EB"/>
    <w:rsid w:val="008749B2"/>
    <w:rsid w:val="00874A99"/>
    <w:rsid w:val="00874C5C"/>
    <w:rsid w:val="00874F78"/>
    <w:rsid w:val="00874FA7"/>
    <w:rsid w:val="0087504B"/>
    <w:rsid w:val="0087539A"/>
    <w:rsid w:val="00875520"/>
    <w:rsid w:val="00875610"/>
    <w:rsid w:val="00875642"/>
    <w:rsid w:val="008756AB"/>
    <w:rsid w:val="00875869"/>
    <w:rsid w:val="00875A14"/>
    <w:rsid w:val="00875A96"/>
    <w:rsid w:val="00875CEE"/>
    <w:rsid w:val="00875F34"/>
    <w:rsid w:val="0087612A"/>
    <w:rsid w:val="0087639E"/>
    <w:rsid w:val="008764A1"/>
    <w:rsid w:val="0087675A"/>
    <w:rsid w:val="00876A6E"/>
    <w:rsid w:val="00876C33"/>
    <w:rsid w:val="00876DB8"/>
    <w:rsid w:val="00876E54"/>
    <w:rsid w:val="00876EF8"/>
    <w:rsid w:val="0087703C"/>
    <w:rsid w:val="0087705A"/>
    <w:rsid w:val="008771A3"/>
    <w:rsid w:val="00877359"/>
    <w:rsid w:val="00877676"/>
    <w:rsid w:val="00877AC7"/>
    <w:rsid w:val="00877DED"/>
    <w:rsid w:val="00877ED2"/>
    <w:rsid w:val="00877F22"/>
    <w:rsid w:val="008800B9"/>
    <w:rsid w:val="00880258"/>
    <w:rsid w:val="0088039C"/>
    <w:rsid w:val="0088047F"/>
    <w:rsid w:val="00880559"/>
    <w:rsid w:val="0088087F"/>
    <w:rsid w:val="00880AC5"/>
    <w:rsid w:val="00880BFD"/>
    <w:rsid w:val="00880D1E"/>
    <w:rsid w:val="00881183"/>
    <w:rsid w:val="008812E4"/>
    <w:rsid w:val="008814A7"/>
    <w:rsid w:val="0088151C"/>
    <w:rsid w:val="00881593"/>
    <w:rsid w:val="0088166B"/>
    <w:rsid w:val="00881745"/>
    <w:rsid w:val="00881774"/>
    <w:rsid w:val="00881F75"/>
    <w:rsid w:val="0088285E"/>
    <w:rsid w:val="008829C4"/>
    <w:rsid w:val="00882B5D"/>
    <w:rsid w:val="00882F36"/>
    <w:rsid w:val="00883239"/>
    <w:rsid w:val="0088328D"/>
    <w:rsid w:val="00883667"/>
    <w:rsid w:val="00883688"/>
    <w:rsid w:val="008836BE"/>
    <w:rsid w:val="00883F02"/>
    <w:rsid w:val="0088411D"/>
    <w:rsid w:val="00884141"/>
    <w:rsid w:val="00884303"/>
    <w:rsid w:val="0088458A"/>
    <w:rsid w:val="00884770"/>
    <w:rsid w:val="00884785"/>
    <w:rsid w:val="00884AC8"/>
    <w:rsid w:val="00885131"/>
    <w:rsid w:val="008853D6"/>
    <w:rsid w:val="008853EA"/>
    <w:rsid w:val="0088543E"/>
    <w:rsid w:val="00885536"/>
    <w:rsid w:val="00885561"/>
    <w:rsid w:val="008855CB"/>
    <w:rsid w:val="0088580C"/>
    <w:rsid w:val="0088588D"/>
    <w:rsid w:val="00885908"/>
    <w:rsid w:val="00885A03"/>
    <w:rsid w:val="00885B17"/>
    <w:rsid w:val="00885BCF"/>
    <w:rsid w:val="00885C7D"/>
    <w:rsid w:val="008862B6"/>
    <w:rsid w:val="00886428"/>
    <w:rsid w:val="008864C1"/>
    <w:rsid w:val="0088653B"/>
    <w:rsid w:val="00886598"/>
    <w:rsid w:val="008868F6"/>
    <w:rsid w:val="00886A42"/>
    <w:rsid w:val="00886AA9"/>
    <w:rsid w:val="00886C5B"/>
    <w:rsid w:val="00886CAD"/>
    <w:rsid w:val="00886F13"/>
    <w:rsid w:val="008870A5"/>
    <w:rsid w:val="00887165"/>
    <w:rsid w:val="00887294"/>
    <w:rsid w:val="0088741C"/>
    <w:rsid w:val="0088745A"/>
    <w:rsid w:val="0088757E"/>
    <w:rsid w:val="00887650"/>
    <w:rsid w:val="00887657"/>
    <w:rsid w:val="0088769E"/>
    <w:rsid w:val="008876CB"/>
    <w:rsid w:val="008878C3"/>
    <w:rsid w:val="00887935"/>
    <w:rsid w:val="00887BFB"/>
    <w:rsid w:val="00887C7F"/>
    <w:rsid w:val="00887E92"/>
    <w:rsid w:val="008900EE"/>
    <w:rsid w:val="00890150"/>
    <w:rsid w:val="00890217"/>
    <w:rsid w:val="00890223"/>
    <w:rsid w:val="00890228"/>
    <w:rsid w:val="0089037C"/>
    <w:rsid w:val="008904CB"/>
    <w:rsid w:val="0089083E"/>
    <w:rsid w:val="0089098A"/>
    <w:rsid w:val="00890CC2"/>
    <w:rsid w:val="00890F7F"/>
    <w:rsid w:val="008912C3"/>
    <w:rsid w:val="0089131B"/>
    <w:rsid w:val="008913A3"/>
    <w:rsid w:val="008915B8"/>
    <w:rsid w:val="00891986"/>
    <w:rsid w:val="00891F68"/>
    <w:rsid w:val="00891F77"/>
    <w:rsid w:val="00892084"/>
    <w:rsid w:val="00892148"/>
    <w:rsid w:val="0089219D"/>
    <w:rsid w:val="008922D1"/>
    <w:rsid w:val="00892339"/>
    <w:rsid w:val="008923B0"/>
    <w:rsid w:val="00892715"/>
    <w:rsid w:val="00892770"/>
    <w:rsid w:val="00892907"/>
    <w:rsid w:val="00892A32"/>
    <w:rsid w:val="00892A3A"/>
    <w:rsid w:val="00892A98"/>
    <w:rsid w:val="00892D90"/>
    <w:rsid w:val="00892DF9"/>
    <w:rsid w:val="00893132"/>
    <w:rsid w:val="00893233"/>
    <w:rsid w:val="008932D1"/>
    <w:rsid w:val="00893409"/>
    <w:rsid w:val="008935D7"/>
    <w:rsid w:val="008937B5"/>
    <w:rsid w:val="008937C0"/>
    <w:rsid w:val="00893AC3"/>
    <w:rsid w:val="00893FF9"/>
    <w:rsid w:val="00894276"/>
    <w:rsid w:val="008943BC"/>
    <w:rsid w:val="00894B4C"/>
    <w:rsid w:val="00894CB0"/>
    <w:rsid w:val="00894DA8"/>
    <w:rsid w:val="00894DFD"/>
    <w:rsid w:val="00894F84"/>
    <w:rsid w:val="0089501E"/>
    <w:rsid w:val="008950A6"/>
    <w:rsid w:val="008953AE"/>
    <w:rsid w:val="0089561F"/>
    <w:rsid w:val="00895643"/>
    <w:rsid w:val="0089580D"/>
    <w:rsid w:val="008958BC"/>
    <w:rsid w:val="008959A5"/>
    <w:rsid w:val="00895CA3"/>
    <w:rsid w:val="00895F07"/>
    <w:rsid w:val="00896037"/>
    <w:rsid w:val="00896180"/>
    <w:rsid w:val="0089646F"/>
    <w:rsid w:val="008964D5"/>
    <w:rsid w:val="00896882"/>
    <w:rsid w:val="008968EE"/>
    <w:rsid w:val="00896ABD"/>
    <w:rsid w:val="00896B9A"/>
    <w:rsid w:val="00896F51"/>
    <w:rsid w:val="008970D9"/>
    <w:rsid w:val="008975CC"/>
    <w:rsid w:val="00897724"/>
    <w:rsid w:val="00897790"/>
    <w:rsid w:val="00897801"/>
    <w:rsid w:val="008978AF"/>
    <w:rsid w:val="00897BED"/>
    <w:rsid w:val="00897CFD"/>
    <w:rsid w:val="00897FD1"/>
    <w:rsid w:val="008A016D"/>
    <w:rsid w:val="008A01B4"/>
    <w:rsid w:val="008A067C"/>
    <w:rsid w:val="008A0700"/>
    <w:rsid w:val="008A09B3"/>
    <w:rsid w:val="008A0B69"/>
    <w:rsid w:val="008A0B9A"/>
    <w:rsid w:val="008A103D"/>
    <w:rsid w:val="008A1136"/>
    <w:rsid w:val="008A1393"/>
    <w:rsid w:val="008A1487"/>
    <w:rsid w:val="008A16C0"/>
    <w:rsid w:val="008A189F"/>
    <w:rsid w:val="008A21D1"/>
    <w:rsid w:val="008A21D5"/>
    <w:rsid w:val="008A2203"/>
    <w:rsid w:val="008A2401"/>
    <w:rsid w:val="008A2596"/>
    <w:rsid w:val="008A267B"/>
    <w:rsid w:val="008A26AD"/>
    <w:rsid w:val="008A293B"/>
    <w:rsid w:val="008A29CA"/>
    <w:rsid w:val="008A2A5B"/>
    <w:rsid w:val="008A2ACF"/>
    <w:rsid w:val="008A2DA8"/>
    <w:rsid w:val="008A2E20"/>
    <w:rsid w:val="008A2EC8"/>
    <w:rsid w:val="008A2ECD"/>
    <w:rsid w:val="008A31E6"/>
    <w:rsid w:val="008A3341"/>
    <w:rsid w:val="008A356D"/>
    <w:rsid w:val="008A35A8"/>
    <w:rsid w:val="008A35F0"/>
    <w:rsid w:val="008A3726"/>
    <w:rsid w:val="008A3BBE"/>
    <w:rsid w:val="008A3CBB"/>
    <w:rsid w:val="008A3E1F"/>
    <w:rsid w:val="008A3EF7"/>
    <w:rsid w:val="008A3F21"/>
    <w:rsid w:val="008A3FF2"/>
    <w:rsid w:val="008A414F"/>
    <w:rsid w:val="008A4363"/>
    <w:rsid w:val="008A4418"/>
    <w:rsid w:val="008A4590"/>
    <w:rsid w:val="008A4A1F"/>
    <w:rsid w:val="008A4ABF"/>
    <w:rsid w:val="008A4CDA"/>
    <w:rsid w:val="008A4D05"/>
    <w:rsid w:val="008A5165"/>
    <w:rsid w:val="008A5185"/>
    <w:rsid w:val="008A51AA"/>
    <w:rsid w:val="008A51E9"/>
    <w:rsid w:val="008A53AF"/>
    <w:rsid w:val="008A5440"/>
    <w:rsid w:val="008A54C9"/>
    <w:rsid w:val="008A5A86"/>
    <w:rsid w:val="008A5F09"/>
    <w:rsid w:val="008A6026"/>
    <w:rsid w:val="008A62C6"/>
    <w:rsid w:val="008A651F"/>
    <w:rsid w:val="008A703A"/>
    <w:rsid w:val="008A7083"/>
    <w:rsid w:val="008A714D"/>
    <w:rsid w:val="008A7186"/>
    <w:rsid w:val="008A7336"/>
    <w:rsid w:val="008A7556"/>
    <w:rsid w:val="008A75E9"/>
    <w:rsid w:val="008A76C5"/>
    <w:rsid w:val="008A7860"/>
    <w:rsid w:val="008A786F"/>
    <w:rsid w:val="008A79C4"/>
    <w:rsid w:val="008A7A80"/>
    <w:rsid w:val="008A7B18"/>
    <w:rsid w:val="008A7C2E"/>
    <w:rsid w:val="008A7C48"/>
    <w:rsid w:val="008A7D8A"/>
    <w:rsid w:val="008A7F22"/>
    <w:rsid w:val="008B004F"/>
    <w:rsid w:val="008B0164"/>
    <w:rsid w:val="008B03B7"/>
    <w:rsid w:val="008B04CD"/>
    <w:rsid w:val="008B0780"/>
    <w:rsid w:val="008B0833"/>
    <w:rsid w:val="008B085A"/>
    <w:rsid w:val="008B0B3E"/>
    <w:rsid w:val="008B0BF9"/>
    <w:rsid w:val="008B10B9"/>
    <w:rsid w:val="008B1138"/>
    <w:rsid w:val="008B123E"/>
    <w:rsid w:val="008B1275"/>
    <w:rsid w:val="008B140B"/>
    <w:rsid w:val="008B1638"/>
    <w:rsid w:val="008B16AB"/>
    <w:rsid w:val="008B17CC"/>
    <w:rsid w:val="008B18DF"/>
    <w:rsid w:val="008B1AAD"/>
    <w:rsid w:val="008B1ADB"/>
    <w:rsid w:val="008B1B0F"/>
    <w:rsid w:val="008B1C2B"/>
    <w:rsid w:val="008B1C42"/>
    <w:rsid w:val="008B1EAB"/>
    <w:rsid w:val="008B20EC"/>
    <w:rsid w:val="008B2303"/>
    <w:rsid w:val="008B2318"/>
    <w:rsid w:val="008B2483"/>
    <w:rsid w:val="008B24A5"/>
    <w:rsid w:val="008B24AE"/>
    <w:rsid w:val="008B2DFA"/>
    <w:rsid w:val="008B3005"/>
    <w:rsid w:val="008B334A"/>
    <w:rsid w:val="008B339F"/>
    <w:rsid w:val="008B3536"/>
    <w:rsid w:val="008B3836"/>
    <w:rsid w:val="008B3920"/>
    <w:rsid w:val="008B392C"/>
    <w:rsid w:val="008B3A30"/>
    <w:rsid w:val="008B3BD3"/>
    <w:rsid w:val="008B3E1A"/>
    <w:rsid w:val="008B411F"/>
    <w:rsid w:val="008B4223"/>
    <w:rsid w:val="008B422C"/>
    <w:rsid w:val="008B453A"/>
    <w:rsid w:val="008B4B2F"/>
    <w:rsid w:val="008B4C95"/>
    <w:rsid w:val="008B5139"/>
    <w:rsid w:val="008B556A"/>
    <w:rsid w:val="008B5887"/>
    <w:rsid w:val="008B58CA"/>
    <w:rsid w:val="008B5B12"/>
    <w:rsid w:val="008B5BA7"/>
    <w:rsid w:val="008B5D56"/>
    <w:rsid w:val="008B60B9"/>
    <w:rsid w:val="008B6251"/>
    <w:rsid w:val="008B63B0"/>
    <w:rsid w:val="008B6570"/>
    <w:rsid w:val="008B682F"/>
    <w:rsid w:val="008B6A6C"/>
    <w:rsid w:val="008B6CDA"/>
    <w:rsid w:val="008B6CF5"/>
    <w:rsid w:val="008B6DAA"/>
    <w:rsid w:val="008B6F07"/>
    <w:rsid w:val="008B71CD"/>
    <w:rsid w:val="008B72C2"/>
    <w:rsid w:val="008B72EE"/>
    <w:rsid w:val="008B732D"/>
    <w:rsid w:val="008B74DE"/>
    <w:rsid w:val="008B7517"/>
    <w:rsid w:val="008B7618"/>
    <w:rsid w:val="008B777C"/>
    <w:rsid w:val="008B79E5"/>
    <w:rsid w:val="008B7AFD"/>
    <w:rsid w:val="008B7F3A"/>
    <w:rsid w:val="008B7F73"/>
    <w:rsid w:val="008B7F8F"/>
    <w:rsid w:val="008C0011"/>
    <w:rsid w:val="008C035F"/>
    <w:rsid w:val="008C03DB"/>
    <w:rsid w:val="008C0464"/>
    <w:rsid w:val="008C05FA"/>
    <w:rsid w:val="008C07A5"/>
    <w:rsid w:val="008C0904"/>
    <w:rsid w:val="008C0DEE"/>
    <w:rsid w:val="008C0E61"/>
    <w:rsid w:val="008C1015"/>
    <w:rsid w:val="008C111E"/>
    <w:rsid w:val="008C1385"/>
    <w:rsid w:val="008C139A"/>
    <w:rsid w:val="008C1469"/>
    <w:rsid w:val="008C1521"/>
    <w:rsid w:val="008C1596"/>
    <w:rsid w:val="008C1670"/>
    <w:rsid w:val="008C1682"/>
    <w:rsid w:val="008C19F4"/>
    <w:rsid w:val="008C219B"/>
    <w:rsid w:val="008C2247"/>
    <w:rsid w:val="008C272E"/>
    <w:rsid w:val="008C275B"/>
    <w:rsid w:val="008C2A61"/>
    <w:rsid w:val="008C2BED"/>
    <w:rsid w:val="008C2C6D"/>
    <w:rsid w:val="008C2E39"/>
    <w:rsid w:val="008C2E5D"/>
    <w:rsid w:val="008C327A"/>
    <w:rsid w:val="008C333F"/>
    <w:rsid w:val="008C3469"/>
    <w:rsid w:val="008C377B"/>
    <w:rsid w:val="008C383D"/>
    <w:rsid w:val="008C3887"/>
    <w:rsid w:val="008C3A8C"/>
    <w:rsid w:val="008C3B05"/>
    <w:rsid w:val="008C3E88"/>
    <w:rsid w:val="008C3EA2"/>
    <w:rsid w:val="008C4090"/>
    <w:rsid w:val="008C40EB"/>
    <w:rsid w:val="008C4141"/>
    <w:rsid w:val="008C44BA"/>
    <w:rsid w:val="008C44F8"/>
    <w:rsid w:val="008C485C"/>
    <w:rsid w:val="008C4BDF"/>
    <w:rsid w:val="008C4EE8"/>
    <w:rsid w:val="008C4F39"/>
    <w:rsid w:val="008C539D"/>
    <w:rsid w:val="008C55BD"/>
    <w:rsid w:val="008C5872"/>
    <w:rsid w:val="008C59C8"/>
    <w:rsid w:val="008C5AEF"/>
    <w:rsid w:val="008C5C09"/>
    <w:rsid w:val="008C610E"/>
    <w:rsid w:val="008C63DF"/>
    <w:rsid w:val="008C6432"/>
    <w:rsid w:val="008C645D"/>
    <w:rsid w:val="008C649C"/>
    <w:rsid w:val="008C65F4"/>
    <w:rsid w:val="008C6FD4"/>
    <w:rsid w:val="008C70E7"/>
    <w:rsid w:val="008C78BA"/>
    <w:rsid w:val="008C790B"/>
    <w:rsid w:val="008C7B86"/>
    <w:rsid w:val="008C7CD9"/>
    <w:rsid w:val="008C7D21"/>
    <w:rsid w:val="008C7DF5"/>
    <w:rsid w:val="008C7F2E"/>
    <w:rsid w:val="008C7F90"/>
    <w:rsid w:val="008C7FCE"/>
    <w:rsid w:val="008C7FE3"/>
    <w:rsid w:val="008D02A2"/>
    <w:rsid w:val="008D049B"/>
    <w:rsid w:val="008D04CE"/>
    <w:rsid w:val="008D0752"/>
    <w:rsid w:val="008D07B0"/>
    <w:rsid w:val="008D08D3"/>
    <w:rsid w:val="008D099A"/>
    <w:rsid w:val="008D0EC5"/>
    <w:rsid w:val="008D11B0"/>
    <w:rsid w:val="008D11B9"/>
    <w:rsid w:val="008D1236"/>
    <w:rsid w:val="008D1263"/>
    <w:rsid w:val="008D141A"/>
    <w:rsid w:val="008D14F2"/>
    <w:rsid w:val="008D1A0F"/>
    <w:rsid w:val="008D1B7E"/>
    <w:rsid w:val="008D1B8B"/>
    <w:rsid w:val="008D1DC5"/>
    <w:rsid w:val="008D1E7A"/>
    <w:rsid w:val="008D1F9C"/>
    <w:rsid w:val="008D2275"/>
    <w:rsid w:val="008D25C4"/>
    <w:rsid w:val="008D2B09"/>
    <w:rsid w:val="008D2E9B"/>
    <w:rsid w:val="008D2F9F"/>
    <w:rsid w:val="008D308D"/>
    <w:rsid w:val="008D3154"/>
    <w:rsid w:val="008D31D1"/>
    <w:rsid w:val="008D34C6"/>
    <w:rsid w:val="008D34D0"/>
    <w:rsid w:val="008D34E5"/>
    <w:rsid w:val="008D3542"/>
    <w:rsid w:val="008D3887"/>
    <w:rsid w:val="008D3921"/>
    <w:rsid w:val="008D399F"/>
    <w:rsid w:val="008D39FF"/>
    <w:rsid w:val="008D3BFE"/>
    <w:rsid w:val="008D3F73"/>
    <w:rsid w:val="008D46A1"/>
    <w:rsid w:val="008D476F"/>
    <w:rsid w:val="008D4A0B"/>
    <w:rsid w:val="008D4A79"/>
    <w:rsid w:val="008D4B17"/>
    <w:rsid w:val="008D4E7C"/>
    <w:rsid w:val="008D4FA5"/>
    <w:rsid w:val="008D4FF8"/>
    <w:rsid w:val="008D51B5"/>
    <w:rsid w:val="008D5256"/>
    <w:rsid w:val="008D54C6"/>
    <w:rsid w:val="008D56A8"/>
    <w:rsid w:val="008D59A2"/>
    <w:rsid w:val="008D59EE"/>
    <w:rsid w:val="008D5C3C"/>
    <w:rsid w:val="008D5E44"/>
    <w:rsid w:val="008D5E6F"/>
    <w:rsid w:val="008D65DE"/>
    <w:rsid w:val="008D6608"/>
    <w:rsid w:val="008D6977"/>
    <w:rsid w:val="008D6984"/>
    <w:rsid w:val="008D6A11"/>
    <w:rsid w:val="008D6C80"/>
    <w:rsid w:val="008D6D59"/>
    <w:rsid w:val="008D6E48"/>
    <w:rsid w:val="008D6E72"/>
    <w:rsid w:val="008D70EB"/>
    <w:rsid w:val="008D71DD"/>
    <w:rsid w:val="008D71FF"/>
    <w:rsid w:val="008D732D"/>
    <w:rsid w:val="008D7DEC"/>
    <w:rsid w:val="008E00FB"/>
    <w:rsid w:val="008E028B"/>
    <w:rsid w:val="008E052D"/>
    <w:rsid w:val="008E05B8"/>
    <w:rsid w:val="008E06C4"/>
    <w:rsid w:val="008E0CA4"/>
    <w:rsid w:val="008E0CB9"/>
    <w:rsid w:val="008E1088"/>
    <w:rsid w:val="008E115C"/>
    <w:rsid w:val="008E115D"/>
    <w:rsid w:val="008E1312"/>
    <w:rsid w:val="008E1319"/>
    <w:rsid w:val="008E13B1"/>
    <w:rsid w:val="008E15F2"/>
    <w:rsid w:val="008E1921"/>
    <w:rsid w:val="008E19F7"/>
    <w:rsid w:val="008E1DA4"/>
    <w:rsid w:val="008E1E41"/>
    <w:rsid w:val="008E2221"/>
    <w:rsid w:val="008E266F"/>
    <w:rsid w:val="008E27DD"/>
    <w:rsid w:val="008E29BB"/>
    <w:rsid w:val="008E2BE1"/>
    <w:rsid w:val="008E2CDC"/>
    <w:rsid w:val="008E2D10"/>
    <w:rsid w:val="008E2D6B"/>
    <w:rsid w:val="008E2F57"/>
    <w:rsid w:val="008E308F"/>
    <w:rsid w:val="008E3163"/>
    <w:rsid w:val="008E3299"/>
    <w:rsid w:val="008E32D7"/>
    <w:rsid w:val="008E32FA"/>
    <w:rsid w:val="008E360D"/>
    <w:rsid w:val="008E3AA3"/>
    <w:rsid w:val="008E3C05"/>
    <w:rsid w:val="008E3D24"/>
    <w:rsid w:val="008E41FB"/>
    <w:rsid w:val="008E425A"/>
    <w:rsid w:val="008E45AC"/>
    <w:rsid w:val="008E481C"/>
    <w:rsid w:val="008E48B5"/>
    <w:rsid w:val="008E4B9B"/>
    <w:rsid w:val="008E4D1C"/>
    <w:rsid w:val="008E4DAA"/>
    <w:rsid w:val="008E4F16"/>
    <w:rsid w:val="008E5526"/>
    <w:rsid w:val="008E559F"/>
    <w:rsid w:val="008E55EA"/>
    <w:rsid w:val="008E5788"/>
    <w:rsid w:val="008E5A12"/>
    <w:rsid w:val="008E5D23"/>
    <w:rsid w:val="008E5EE1"/>
    <w:rsid w:val="008E60A5"/>
    <w:rsid w:val="008E60AE"/>
    <w:rsid w:val="008E60B5"/>
    <w:rsid w:val="008E6207"/>
    <w:rsid w:val="008E65A1"/>
    <w:rsid w:val="008E682F"/>
    <w:rsid w:val="008E6C61"/>
    <w:rsid w:val="008E6CE0"/>
    <w:rsid w:val="008E6DD5"/>
    <w:rsid w:val="008E6E80"/>
    <w:rsid w:val="008E716A"/>
    <w:rsid w:val="008E72CA"/>
    <w:rsid w:val="008E7759"/>
    <w:rsid w:val="008E776B"/>
    <w:rsid w:val="008E7A3E"/>
    <w:rsid w:val="008E7AAA"/>
    <w:rsid w:val="008E7D13"/>
    <w:rsid w:val="008E7D5E"/>
    <w:rsid w:val="008E7E6A"/>
    <w:rsid w:val="008E7FBE"/>
    <w:rsid w:val="008F0195"/>
    <w:rsid w:val="008F0456"/>
    <w:rsid w:val="008F061B"/>
    <w:rsid w:val="008F0788"/>
    <w:rsid w:val="008F0855"/>
    <w:rsid w:val="008F0959"/>
    <w:rsid w:val="008F0B28"/>
    <w:rsid w:val="008F0BFD"/>
    <w:rsid w:val="008F0C19"/>
    <w:rsid w:val="008F0C2B"/>
    <w:rsid w:val="008F0CD8"/>
    <w:rsid w:val="008F0E96"/>
    <w:rsid w:val="008F0F02"/>
    <w:rsid w:val="008F0F53"/>
    <w:rsid w:val="008F1134"/>
    <w:rsid w:val="008F124E"/>
    <w:rsid w:val="008F12F7"/>
    <w:rsid w:val="008F14C5"/>
    <w:rsid w:val="008F17BC"/>
    <w:rsid w:val="008F1893"/>
    <w:rsid w:val="008F1D2E"/>
    <w:rsid w:val="008F1F67"/>
    <w:rsid w:val="008F1FCF"/>
    <w:rsid w:val="008F2230"/>
    <w:rsid w:val="008F258B"/>
    <w:rsid w:val="008F267D"/>
    <w:rsid w:val="008F2683"/>
    <w:rsid w:val="008F288D"/>
    <w:rsid w:val="008F28F9"/>
    <w:rsid w:val="008F2A8F"/>
    <w:rsid w:val="008F2B2C"/>
    <w:rsid w:val="008F2F2C"/>
    <w:rsid w:val="008F373E"/>
    <w:rsid w:val="008F38F3"/>
    <w:rsid w:val="008F3A9D"/>
    <w:rsid w:val="008F3BAE"/>
    <w:rsid w:val="008F3CA3"/>
    <w:rsid w:val="008F3E2C"/>
    <w:rsid w:val="008F3F57"/>
    <w:rsid w:val="008F42A6"/>
    <w:rsid w:val="008F4454"/>
    <w:rsid w:val="008F467A"/>
    <w:rsid w:val="008F4966"/>
    <w:rsid w:val="008F498D"/>
    <w:rsid w:val="008F4997"/>
    <w:rsid w:val="008F4ACC"/>
    <w:rsid w:val="008F4B9A"/>
    <w:rsid w:val="008F4D94"/>
    <w:rsid w:val="008F4E21"/>
    <w:rsid w:val="008F515D"/>
    <w:rsid w:val="008F523F"/>
    <w:rsid w:val="008F5360"/>
    <w:rsid w:val="008F566F"/>
    <w:rsid w:val="008F58B5"/>
    <w:rsid w:val="008F59C7"/>
    <w:rsid w:val="008F5A44"/>
    <w:rsid w:val="008F5F03"/>
    <w:rsid w:val="008F5F58"/>
    <w:rsid w:val="008F5F79"/>
    <w:rsid w:val="008F6243"/>
    <w:rsid w:val="008F63CE"/>
    <w:rsid w:val="008F6438"/>
    <w:rsid w:val="008F64BD"/>
    <w:rsid w:val="008F64FD"/>
    <w:rsid w:val="008F672E"/>
    <w:rsid w:val="008F6847"/>
    <w:rsid w:val="008F68B0"/>
    <w:rsid w:val="008F68E4"/>
    <w:rsid w:val="008F6909"/>
    <w:rsid w:val="008F6BC1"/>
    <w:rsid w:val="008F6C6A"/>
    <w:rsid w:val="008F6D9C"/>
    <w:rsid w:val="008F6EEB"/>
    <w:rsid w:val="008F7083"/>
    <w:rsid w:val="008F7265"/>
    <w:rsid w:val="008F7329"/>
    <w:rsid w:val="008F75D1"/>
    <w:rsid w:val="008F77EA"/>
    <w:rsid w:val="008F7992"/>
    <w:rsid w:val="008F7A60"/>
    <w:rsid w:val="008F7AB9"/>
    <w:rsid w:val="008F7B2C"/>
    <w:rsid w:val="009000F9"/>
    <w:rsid w:val="0090014D"/>
    <w:rsid w:val="0090031C"/>
    <w:rsid w:val="009005BD"/>
    <w:rsid w:val="00900793"/>
    <w:rsid w:val="009007FF"/>
    <w:rsid w:val="00900842"/>
    <w:rsid w:val="0090096D"/>
    <w:rsid w:val="00900ABF"/>
    <w:rsid w:val="00900AE6"/>
    <w:rsid w:val="00900B27"/>
    <w:rsid w:val="00900D2F"/>
    <w:rsid w:val="00900D80"/>
    <w:rsid w:val="00900F27"/>
    <w:rsid w:val="009011E4"/>
    <w:rsid w:val="009011E8"/>
    <w:rsid w:val="00901242"/>
    <w:rsid w:val="009012F0"/>
    <w:rsid w:val="00901807"/>
    <w:rsid w:val="0090182F"/>
    <w:rsid w:val="00901992"/>
    <w:rsid w:val="009019E2"/>
    <w:rsid w:val="00901A36"/>
    <w:rsid w:val="00901B65"/>
    <w:rsid w:val="00901C1D"/>
    <w:rsid w:val="00901CCC"/>
    <w:rsid w:val="00901D40"/>
    <w:rsid w:val="00901EA4"/>
    <w:rsid w:val="0090236F"/>
    <w:rsid w:val="00902486"/>
    <w:rsid w:val="009025A2"/>
    <w:rsid w:val="00902B01"/>
    <w:rsid w:val="00902B48"/>
    <w:rsid w:val="00902BCC"/>
    <w:rsid w:val="00902DE2"/>
    <w:rsid w:val="0090315E"/>
    <w:rsid w:val="009031FF"/>
    <w:rsid w:val="00903424"/>
    <w:rsid w:val="009036BE"/>
    <w:rsid w:val="00903C6C"/>
    <w:rsid w:val="00903C84"/>
    <w:rsid w:val="00903E59"/>
    <w:rsid w:val="00904033"/>
    <w:rsid w:val="00904273"/>
    <w:rsid w:val="009043B0"/>
    <w:rsid w:val="009043EE"/>
    <w:rsid w:val="0090442A"/>
    <w:rsid w:val="009045A3"/>
    <w:rsid w:val="0090470A"/>
    <w:rsid w:val="00904AC0"/>
    <w:rsid w:val="00904AFC"/>
    <w:rsid w:val="00904C59"/>
    <w:rsid w:val="0090513E"/>
    <w:rsid w:val="00905172"/>
    <w:rsid w:val="0090519D"/>
    <w:rsid w:val="00905656"/>
    <w:rsid w:val="009057C6"/>
    <w:rsid w:val="00905848"/>
    <w:rsid w:val="00905925"/>
    <w:rsid w:val="0090594C"/>
    <w:rsid w:val="009059DF"/>
    <w:rsid w:val="00905A04"/>
    <w:rsid w:val="00905B59"/>
    <w:rsid w:val="00905C11"/>
    <w:rsid w:val="00905D23"/>
    <w:rsid w:val="00905E2E"/>
    <w:rsid w:val="00905F10"/>
    <w:rsid w:val="009060DB"/>
    <w:rsid w:val="009063F3"/>
    <w:rsid w:val="0090673E"/>
    <w:rsid w:val="009067AB"/>
    <w:rsid w:val="00906AF9"/>
    <w:rsid w:val="00906BB3"/>
    <w:rsid w:val="00906C7A"/>
    <w:rsid w:val="00907123"/>
    <w:rsid w:val="009071EC"/>
    <w:rsid w:val="009071F8"/>
    <w:rsid w:val="00907825"/>
    <w:rsid w:val="00907C7A"/>
    <w:rsid w:val="00907EFA"/>
    <w:rsid w:val="00910051"/>
    <w:rsid w:val="009102C6"/>
    <w:rsid w:val="00910346"/>
    <w:rsid w:val="00910478"/>
    <w:rsid w:val="009104A9"/>
    <w:rsid w:val="009104E7"/>
    <w:rsid w:val="0091052D"/>
    <w:rsid w:val="0091070E"/>
    <w:rsid w:val="0091072F"/>
    <w:rsid w:val="00910A97"/>
    <w:rsid w:val="00910C00"/>
    <w:rsid w:val="00910DCC"/>
    <w:rsid w:val="00910EF5"/>
    <w:rsid w:val="00910F18"/>
    <w:rsid w:val="00910FE4"/>
    <w:rsid w:val="009110AD"/>
    <w:rsid w:val="0091144D"/>
    <w:rsid w:val="009114CF"/>
    <w:rsid w:val="009114D9"/>
    <w:rsid w:val="009115DC"/>
    <w:rsid w:val="009116F6"/>
    <w:rsid w:val="009118D4"/>
    <w:rsid w:val="00911B03"/>
    <w:rsid w:val="00911C75"/>
    <w:rsid w:val="00911D28"/>
    <w:rsid w:val="00911EFB"/>
    <w:rsid w:val="00911F75"/>
    <w:rsid w:val="00911FD5"/>
    <w:rsid w:val="00911FEB"/>
    <w:rsid w:val="00911FFE"/>
    <w:rsid w:val="00912080"/>
    <w:rsid w:val="00912527"/>
    <w:rsid w:val="0091283A"/>
    <w:rsid w:val="009129C2"/>
    <w:rsid w:val="00912AA5"/>
    <w:rsid w:val="00912C92"/>
    <w:rsid w:val="009130BB"/>
    <w:rsid w:val="0091343B"/>
    <w:rsid w:val="00913635"/>
    <w:rsid w:val="009138CC"/>
    <w:rsid w:val="00913C25"/>
    <w:rsid w:val="00914197"/>
    <w:rsid w:val="009147ED"/>
    <w:rsid w:val="009149D6"/>
    <w:rsid w:val="00914B2C"/>
    <w:rsid w:val="00915033"/>
    <w:rsid w:val="00915194"/>
    <w:rsid w:val="0091554C"/>
    <w:rsid w:val="0091593A"/>
    <w:rsid w:val="009159B6"/>
    <w:rsid w:val="009159CF"/>
    <w:rsid w:val="00915D6F"/>
    <w:rsid w:val="00915F01"/>
    <w:rsid w:val="0091605C"/>
    <w:rsid w:val="00916300"/>
    <w:rsid w:val="00916412"/>
    <w:rsid w:val="00916B95"/>
    <w:rsid w:val="00916BAD"/>
    <w:rsid w:val="00916C8B"/>
    <w:rsid w:val="00916CD4"/>
    <w:rsid w:val="00916D18"/>
    <w:rsid w:val="00916DE0"/>
    <w:rsid w:val="00916ECC"/>
    <w:rsid w:val="00916F40"/>
    <w:rsid w:val="0091701B"/>
    <w:rsid w:val="0091709D"/>
    <w:rsid w:val="0091712D"/>
    <w:rsid w:val="0091728A"/>
    <w:rsid w:val="0091731B"/>
    <w:rsid w:val="00917718"/>
    <w:rsid w:val="0091778D"/>
    <w:rsid w:val="009179EF"/>
    <w:rsid w:val="00917E82"/>
    <w:rsid w:val="00917EBB"/>
    <w:rsid w:val="00917FFE"/>
    <w:rsid w:val="00920286"/>
    <w:rsid w:val="0092043A"/>
    <w:rsid w:val="0092054E"/>
    <w:rsid w:val="00920675"/>
    <w:rsid w:val="00920945"/>
    <w:rsid w:val="0092094E"/>
    <w:rsid w:val="009209F3"/>
    <w:rsid w:val="00920BC6"/>
    <w:rsid w:val="0092110F"/>
    <w:rsid w:val="00921217"/>
    <w:rsid w:val="00921332"/>
    <w:rsid w:val="00921612"/>
    <w:rsid w:val="00921757"/>
    <w:rsid w:val="00921959"/>
    <w:rsid w:val="00921AF9"/>
    <w:rsid w:val="00921B04"/>
    <w:rsid w:val="00921C71"/>
    <w:rsid w:val="00921D22"/>
    <w:rsid w:val="00921D66"/>
    <w:rsid w:val="00921FCB"/>
    <w:rsid w:val="009222BD"/>
    <w:rsid w:val="009222C8"/>
    <w:rsid w:val="0092239D"/>
    <w:rsid w:val="00922432"/>
    <w:rsid w:val="009224DF"/>
    <w:rsid w:val="009225F5"/>
    <w:rsid w:val="0092260A"/>
    <w:rsid w:val="009227A7"/>
    <w:rsid w:val="00922BA1"/>
    <w:rsid w:val="00922C0F"/>
    <w:rsid w:val="00922C61"/>
    <w:rsid w:val="00922DDC"/>
    <w:rsid w:val="00922FED"/>
    <w:rsid w:val="00923696"/>
    <w:rsid w:val="00923814"/>
    <w:rsid w:val="0092394E"/>
    <w:rsid w:val="00923D16"/>
    <w:rsid w:val="00923DF8"/>
    <w:rsid w:val="00923F3C"/>
    <w:rsid w:val="00923FF6"/>
    <w:rsid w:val="00924258"/>
    <w:rsid w:val="00924509"/>
    <w:rsid w:val="00924514"/>
    <w:rsid w:val="009246F6"/>
    <w:rsid w:val="00924714"/>
    <w:rsid w:val="0092486B"/>
    <w:rsid w:val="00924DE1"/>
    <w:rsid w:val="00925086"/>
    <w:rsid w:val="009253E1"/>
    <w:rsid w:val="00925587"/>
    <w:rsid w:val="009255AF"/>
    <w:rsid w:val="00925BB5"/>
    <w:rsid w:val="00925C1E"/>
    <w:rsid w:val="00925DD2"/>
    <w:rsid w:val="009264ED"/>
    <w:rsid w:val="00926616"/>
    <w:rsid w:val="00926811"/>
    <w:rsid w:val="00926969"/>
    <w:rsid w:val="00926CAC"/>
    <w:rsid w:val="00926CED"/>
    <w:rsid w:val="0092748C"/>
    <w:rsid w:val="00927637"/>
    <w:rsid w:val="00927644"/>
    <w:rsid w:val="00927688"/>
    <w:rsid w:val="00927780"/>
    <w:rsid w:val="0092779B"/>
    <w:rsid w:val="0092786D"/>
    <w:rsid w:val="00927898"/>
    <w:rsid w:val="0092792E"/>
    <w:rsid w:val="009279A7"/>
    <w:rsid w:val="00927CA4"/>
    <w:rsid w:val="00927DB4"/>
    <w:rsid w:val="00927F0E"/>
    <w:rsid w:val="00927F65"/>
    <w:rsid w:val="009300AD"/>
    <w:rsid w:val="009300F5"/>
    <w:rsid w:val="009301C8"/>
    <w:rsid w:val="009301E5"/>
    <w:rsid w:val="009302C2"/>
    <w:rsid w:val="00930402"/>
    <w:rsid w:val="00930411"/>
    <w:rsid w:val="009309F3"/>
    <w:rsid w:val="00930A22"/>
    <w:rsid w:val="00930AA5"/>
    <w:rsid w:val="00930B84"/>
    <w:rsid w:val="00930DE4"/>
    <w:rsid w:val="00930EE6"/>
    <w:rsid w:val="0093109E"/>
    <w:rsid w:val="00931125"/>
    <w:rsid w:val="009317A6"/>
    <w:rsid w:val="009319E9"/>
    <w:rsid w:val="00931AAE"/>
    <w:rsid w:val="00931C68"/>
    <w:rsid w:val="00931ECB"/>
    <w:rsid w:val="009320B0"/>
    <w:rsid w:val="0093217A"/>
    <w:rsid w:val="009322EB"/>
    <w:rsid w:val="009323CC"/>
    <w:rsid w:val="009323D9"/>
    <w:rsid w:val="009325E8"/>
    <w:rsid w:val="0093270E"/>
    <w:rsid w:val="009328C9"/>
    <w:rsid w:val="00932A49"/>
    <w:rsid w:val="00932BAC"/>
    <w:rsid w:val="00932BB9"/>
    <w:rsid w:val="00932CF5"/>
    <w:rsid w:val="00932EF3"/>
    <w:rsid w:val="00932F84"/>
    <w:rsid w:val="00933059"/>
    <w:rsid w:val="009331EB"/>
    <w:rsid w:val="009332FA"/>
    <w:rsid w:val="00933531"/>
    <w:rsid w:val="009335D5"/>
    <w:rsid w:val="009336C9"/>
    <w:rsid w:val="00933812"/>
    <w:rsid w:val="00933833"/>
    <w:rsid w:val="009338DE"/>
    <w:rsid w:val="009338ED"/>
    <w:rsid w:val="00933912"/>
    <w:rsid w:val="00933A1E"/>
    <w:rsid w:val="00933B68"/>
    <w:rsid w:val="00933EE0"/>
    <w:rsid w:val="00934028"/>
    <w:rsid w:val="0093411A"/>
    <w:rsid w:val="009342D1"/>
    <w:rsid w:val="00934378"/>
    <w:rsid w:val="009343C2"/>
    <w:rsid w:val="009343F2"/>
    <w:rsid w:val="00934E92"/>
    <w:rsid w:val="00934F82"/>
    <w:rsid w:val="00934FA0"/>
    <w:rsid w:val="00934FB1"/>
    <w:rsid w:val="00934FB3"/>
    <w:rsid w:val="009350A9"/>
    <w:rsid w:val="009357A2"/>
    <w:rsid w:val="00935899"/>
    <w:rsid w:val="009359D6"/>
    <w:rsid w:val="009359F1"/>
    <w:rsid w:val="00935AE2"/>
    <w:rsid w:val="00935D66"/>
    <w:rsid w:val="00935DE1"/>
    <w:rsid w:val="00936061"/>
    <w:rsid w:val="009361FF"/>
    <w:rsid w:val="009364FD"/>
    <w:rsid w:val="00936573"/>
    <w:rsid w:val="00936831"/>
    <w:rsid w:val="0093686C"/>
    <w:rsid w:val="009369D3"/>
    <w:rsid w:val="00936B6C"/>
    <w:rsid w:val="00936C45"/>
    <w:rsid w:val="00936E80"/>
    <w:rsid w:val="00937203"/>
    <w:rsid w:val="009373F4"/>
    <w:rsid w:val="00937522"/>
    <w:rsid w:val="00937697"/>
    <w:rsid w:val="0093769A"/>
    <w:rsid w:val="0093776D"/>
    <w:rsid w:val="009377B0"/>
    <w:rsid w:val="0093789F"/>
    <w:rsid w:val="009378DF"/>
    <w:rsid w:val="00937A61"/>
    <w:rsid w:val="00937BB4"/>
    <w:rsid w:val="00937C71"/>
    <w:rsid w:val="00937CAB"/>
    <w:rsid w:val="00937CD7"/>
    <w:rsid w:val="00937CD8"/>
    <w:rsid w:val="00937D17"/>
    <w:rsid w:val="00937DFD"/>
    <w:rsid w:val="00937E2C"/>
    <w:rsid w:val="00937EF8"/>
    <w:rsid w:val="00940063"/>
    <w:rsid w:val="009401B9"/>
    <w:rsid w:val="00940201"/>
    <w:rsid w:val="009402E5"/>
    <w:rsid w:val="0094039C"/>
    <w:rsid w:val="009406A8"/>
    <w:rsid w:val="0094081E"/>
    <w:rsid w:val="009409B7"/>
    <w:rsid w:val="00940BDC"/>
    <w:rsid w:val="00940C62"/>
    <w:rsid w:val="00940C82"/>
    <w:rsid w:val="00940D3E"/>
    <w:rsid w:val="00940DB5"/>
    <w:rsid w:val="00941070"/>
    <w:rsid w:val="009410A1"/>
    <w:rsid w:val="009412D2"/>
    <w:rsid w:val="0094136C"/>
    <w:rsid w:val="009417B0"/>
    <w:rsid w:val="0094188E"/>
    <w:rsid w:val="009418D6"/>
    <w:rsid w:val="00941AC6"/>
    <w:rsid w:val="00941AE0"/>
    <w:rsid w:val="00941C41"/>
    <w:rsid w:val="00941DF5"/>
    <w:rsid w:val="00941E51"/>
    <w:rsid w:val="00941FD1"/>
    <w:rsid w:val="009422B4"/>
    <w:rsid w:val="00942538"/>
    <w:rsid w:val="0094262E"/>
    <w:rsid w:val="00942891"/>
    <w:rsid w:val="009428A5"/>
    <w:rsid w:val="00942A58"/>
    <w:rsid w:val="00942ACF"/>
    <w:rsid w:val="00942C23"/>
    <w:rsid w:val="00942C7A"/>
    <w:rsid w:val="00942D22"/>
    <w:rsid w:val="00942FE6"/>
    <w:rsid w:val="009431DC"/>
    <w:rsid w:val="00943458"/>
    <w:rsid w:val="009436A3"/>
    <w:rsid w:val="009438FF"/>
    <w:rsid w:val="00943AEF"/>
    <w:rsid w:val="00943AFE"/>
    <w:rsid w:val="00943C9F"/>
    <w:rsid w:val="009440A3"/>
    <w:rsid w:val="009443FD"/>
    <w:rsid w:val="00944566"/>
    <w:rsid w:val="009445DB"/>
    <w:rsid w:val="0094462A"/>
    <w:rsid w:val="00944968"/>
    <w:rsid w:val="00944C40"/>
    <w:rsid w:val="00944DBA"/>
    <w:rsid w:val="00945125"/>
    <w:rsid w:val="00945140"/>
    <w:rsid w:val="00945228"/>
    <w:rsid w:val="0094528C"/>
    <w:rsid w:val="0094528E"/>
    <w:rsid w:val="009452A9"/>
    <w:rsid w:val="009454BA"/>
    <w:rsid w:val="009454E1"/>
    <w:rsid w:val="00945757"/>
    <w:rsid w:val="00945AD8"/>
    <w:rsid w:val="00945BF1"/>
    <w:rsid w:val="00945E25"/>
    <w:rsid w:val="00946001"/>
    <w:rsid w:val="00946052"/>
    <w:rsid w:val="00946080"/>
    <w:rsid w:val="00946187"/>
    <w:rsid w:val="00946357"/>
    <w:rsid w:val="009464CB"/>
    <w:rsid w:val="00946865"/>
    <w:rsid w:val="00946876"/>
    <w:rsid w:val="009469D1"/>
    <w:rsid w:val="009469EB"/>
    <w:rsid w:val="00946A6D"/>
    <w:rsid w:val="00946CA3"/>
    <w:rsid w:val="009471B9"/>
    <w:rsid w:val="009471FD"/>
    <w:rsid w:val="0094739D"/>
    <w:rsid w:val="0094752C"/>
    <w:rsid w:val="00947669"/>
    <w:rsid w:val="00947938"/>
    <w:rsid w:val="00947BC3"/>
    <w:rsid w:val="00947D8C"/>
    <w:rsid w:val="00947EB6"/>
    <w:rsid w:val="009500BA"/>
    <w:rsid w:val="00950265"/>
    <w:rsid w:val="009502BB"/>
    <w:rsid w:val="00950403"/>
    <w:rsid w:val="00950C39"/>
    <w:rsid w:val="00950C47"/>
    <w:rsid w:val="00950CFC"/>
    <w:rsid w:val="00950F56"/>
    <w:rsid w:val="0095117F"/>
    <w:rsid w:val="00951269"/>
    <w:rsid w:val="00951458"/>
    <w:rsid w:val="009514DA"/>
    <w:rsid w:val="00951BDD"/>
    <w:rsid w:val="00951D6F"/>
    <w:rsid w:val="009521A5"/>
    <w:rsid w:val="00952495"/>
    <w:rsid w:val="009527D9"/>
    <w:rsid w:val="009528C7"/>
    <w:rsid w:val="00952BCA"/>
    <w:rsid w:val="00952D2A"/>
    <w:rsid w:val="00952E0D"/>
    <w:rsid w:val="00952E4D"/>
    <w:rsid w:val="00952F1A"/>
    <w:rsid w:val="00953169"/>
    <w:rsid w:val="009533D5"/>
    <w:rsid w:val="009534A9"/>
    <w:rsid w:val="009536E3"/>
    <w:rsid w:val="0095390E"/>
    <w:rsid w:val="0095398C"/>
    <w:rsid w:val="00953D14"/>
    <w:rsid w:val="0095411E"/>
    <w:rsid w:val="00954178"/>
    <w:rsid w:val="009543E5"/>
    <w:rsid w:val="00954450"/>
    <w:rsid w:val="009544BA"/>
    <w:rsid w:val="00954691"/>
    <w:rsid w:val="009546F7"/>
    <w:rsid w:val="009547F1"/>
    <w:rsid w:val="009549A3"/>
    <w:rsid w:val="00954B4B"/>
    <w:rsid w:val="00955328"/>
    <w:rsid w:val="0095565F"/>
    <w:rsid w:val="0095594C"/>
    <w:rsid w:val="009559C2"/>
    <w:rsid w:val="00955A99"/>
    <w:rsid w:val="00955BE9"/>
    <w:rsid w:val="00955C2A"/>
    <w:rsid w:val="00955C4B"/>
    <w:rsid w:val="00955EDC"/>
    <w:rsid w:val="009560B7"/>
    <w:rsid w:val="009561E2"/>
    <w:rsid w:val="0095653F"/>
    <w:rsid w:val="009569C1"/>
    <w:rsid w:val="009569CF"/>
    <w:rsid w:val="009569FE"/>
    <w:rsid w:val="00956B66"/>
    <w:rsid w:val="00956D5C"/>
    <w:rsid w:val="00956DCE"/>
    <w:rsid w:val="00956E1E"/>
    <w:rsid w:val="00957214"/>
    <w:rsid w:val="0095733B"/>
    <w:rsid w:val="00957376"/>
    <w:rsid w:val="00957377"/>
    <w:rsid w:val="009573FD"/>
    <w:rsid w:val="00957475"/>
    <w:rsid w:val="00957666"/>
    <w:rsid w:val="00957C06"/>
    <w:rsid w:val="00957C24"/>
    <w:rsid w:val="00957F52"/>
    <w:rsid w:val="009600EF"/>
    <w:rsid w:val="00960195"/>
    <w:rsid w:val="009601E7"/>
    <w:rsid w:val="0096049C"/>
    <w:rsid w:val="00960629"/>
    <w:rsid w:val="00960777"/>
    <w:rsid w:val="009608EA"/>
    <w:rsid w:val="00960A46"/>
    <w:rsid w:val="00960AE7"/>
    <w:rsid w:val="00960B08"/>
    <w:rsid w:val="00960B33"/>
    <w:rsid w:val="00960CE1"/>
    <w:rsid w:val="00960F1F"/>
    <w:rsid w:val="00960F8B"/>
    <w:rsid w:val="009610DC"/>
    <w:rsid w:val="0096136E"/>
    <w:rsid w:val="009617AE"/>
    <w:rsid w:val="00961911"/>
    <w:rsid w:val="0096246D"/>
    <w:rsid w:val="0096256C"/>
    <w:rsid w:val="00962782"/>
    <w:rsid w:val="0096281A"/>
    <w:rsid w:val="00962C6B"/>
    <w:rsid w:val="00962F98"/>
    <w:rsid w:val="009631AB"/>
    <w:rsid w:val="009636FC"/>
    <w:rsid w:val="00963895"/>
    <w:rsid w:val="00963A7E"/>
    <w:rsid w:val="00963C7B"/>
    <w:rsid w:val="00963D71"/>
    <w:rsid w:val="00964048"/>
    <w:rsid w:val="00964399"/>
    <w:rsid w:val="00964562"/>
    <w:rsid w:val="009645EA"/>
    <w:rsid w:val="0096466D"/>
    <w:rsid w:val="009647B8"/>
    <w:rsid w:val="009648D7"/>
    <w:rsid w:val="00964B5E"/>
    <w:rsid w:val="00964BFF"/>
    <w:rsid w:val="00964D56"/>
    <w:rsid w:val="00964E6D"/>
    <w:rsid w:val="00965329"/>
    <w:rsid w:val="009653B2"/>
    <w:rsid w:val="009653E6"/>
    <w:rsid w:val="009654D9"/>
    <w:rsid w:val="0096567D"/>
    <w:rsid w:val="00965843"/>
    <w:rsid w:val="0096587D"/>
    <w:rsid w:val="0096588D"/>
    <w:rsid w:val="009659BB"/>
    <w:rsid w:val="009661D9"/>
    <w:rsid w:val="009663E8"/>
    <w:rsid w:val="00966448"/>
    <w:rsid w:val="009665B9"/>
    <w:rsid w:val="009667FE"/>
    <w:rsid w:val="00966807"/>
    <w:rsid w:val="009669D9"/>
    <w:rsid w:val="00966CAE"/>
    <w:rsid w:val="00966DA8"/>
    <w:rsid w:val="00966F59"/>
    <w:rsid w:val="00967078"/>
    <w:rsid w:val="0096710F"/>
    <w:rsid w:val="009673E9"/>
    <w:rsid w:val="009674D4"/>
    <w:rsid w:val="0096752C"/>
    <w:rsid w:val="0096757F"/>
    <w:rsid w:val="00967741"/>
    <w:rsid w:val="009677ED"/>
    <w:rsid w:val="00967A53"/>
    <w:rsid w:val="00967B3D"/>
    <w:rsid w:val="00967D0C"/>
    <w:rsid w:val="00970041"/>
    <w:rsid w:val="00970129"/>
    <w:rsid w:val="00970198"/>
    <w:rsid w:val="00970241"/>
    <w:rsid w:val="0097031A"/>
    <w:rsid w:val="00970322"/>
    <w:rsid w:val="0097033A"/>
    <w:rsid w:val="00970441"/>
    <w:rsid w:val="00970458"/>
    <w:rsid w:val="009705CB"/>
    <w:rsid w:val="009709A4"/>
    <w:rsid w:val="00970B79"/>
    <w:rsid w:val="00971248"/>
    <w:rsid w:val="009712E7"/>
    <w:rsid w:val="009716E2"/>
    <w:rsid w:val="0097180E"/>
    <w:rsid w:val="009719A4"/>
    <w:rsid w:val="00971A21"/>
    <w:rsid w:val="00971BDE"/>
    <w:rsid w:val="00971D77"/>
    <w:rsid w:val="00971D7B"/>
    <w:rsid w:val="00971FC4"/>
    <w:rsid w:val="00971FD6"/>
    <w:rsid w:val="0097229B"/>
    <w:rsid w:val="009722FD"/>
    <w:rsid w:val="009723A3"/>
    <w:rsid w:val="0097258E"/>
    <w:rsid w:val="00972B51"/>
    <w:rsid w:val="00972B56"/>
    <w:rsid w:val="0097305C"/>
    <w:rsid w:val="009730D8"/>
    <w:rsid w:val="00973120"/>
    <w:rsid w:val="00973156"/>
    <w:rsid w:val="009733D4"/>
    <w:rsid w:val="00973441"/>
    <w:rsid w:val="0097352C"/>
    <w:rsid w:val="009738CE"/>
    <w:rsid w:val="00973E03"/>
    <w:rsid w:val="00973F06"/>
    <w:rsid w:val="00974053"/>
    <w:rsid w:val="009743F6"/>
    <w:rsid w:val="009745D8"/>
    <w:rsid w:val="00974797"/>
    <w:rsid w:val="00974C25"/>
    <w:rsid w:val="00974CEA"/>
    <w:rsid w:val="00974E3B"/>
    <w:rsid w:val="009750C5"/>
    <w:rsid w:val="0097559D"/>
    <w:rsid w:val="009757FF"/>
    <w:rsid w:val="0097586A"/>
    <w:rsid w:val="00976442"/>
    <w:rsid w:val="009766F8"/>
    <w:rsid w:val="009768DA"/>
    <w:rsid w:val="00976A4A"/>
    <w:rsid w:val="00976A68"/>
    <w:rsid w:val="00976A95"/>
    <w:rsid w:val="00976CB5"/>
    <w:rsid w:val="00976D5B"/>
    <w:rsid w:val="00976ED9"/>
    <w:rsid w:val="0097703C"/>
    <w:rsid w:val="0097711A"/>
    <w:rsid w:val="00977216"/>
    <w:rsid w:val="009775F7"/>
    <w:rsid w:val="0097766E"/>
    <w:rsid w:val="00977F3E"/>
    <w:rsid w:val="00977F8C"/>
    <w:rsid w:val="009802E3"/>
    <w:rsid w:val="009804A8"/>
    <w:rsid w:val="009804C9"/>
    <w:rsid w:val="009806D5"/>
    <w:rsid w:val="00980870"/>
    <w:rsid w:val="00980969"/>
    <w:rsid w:val="00980A40"/>
    <w:rsid w:val="00980B8D"/>
    <w:rsid w:val="00980BD6"/>
    <w:rsid w:val="00980EDE"/>
    <w:rsid w:val="00980FDF"/>
    <w:rsid w:val="00981481"/>
    <w:rsid w:val="009816D5"/>
    <w:rsid w:val="009816FC"/>
    <w:rsid w:val="00981830"/>
    <w:rsid w:val="00981867"/>
    <w:rsid w:val="009818A1"/>
    <w:rsid w:val="009818C7"/>
    <w:rsid w:val="009819EB"/>
    <w:rsid w:val="00981B55"/>
    <w:rsid w:val="00981D42"/>
    <w:rsid w:val="00981E4E"/>
    <w:rsid w:val="00981F2E"/>
    <w:rsid w:val="00981FDC"/>
    <w:rsid w:val="009821CC"/>
    <w:rsid w:val="009821E3"/>
    <w:rsid w:val="0098260E"/>
    <w:rsid w:val="00982775"/>
    <w:rsid w:val="00982945"/>
    <w:rsid w:val="00982B85"/>
    <w:rsid w:val="00983115"/>
    <w:rsid w:val="009832A7"/>
    <w:rsid w:val="0098334D"/>
    <w:rsid w:val="00983408"/>
    <w:rsid w:val="0098398F"/>
    <w:rsid w:val="00983EFA"/>
    <w:rsid w:val="00983FE5"/>
    <w:rsid w:val="0098411D"/>
    <w:rsid w:val="009841F0"/>
    <w:rsid w:val="009842BB"/>
    <w:rsid w:val="0098432B"/>
    <w:rsid w:val="00984391"/>
    <w:rsid w:val="00984409"/>
    <w:rsid w:val="00984592"/>
    <w:rsid w:val="0098473F"/>
    <w:rsid w:val="00984AE6"/>
    <w:rsid w:val="00984C33"/>
    <w:rsid w:val="00984CC1"/>
    <w:rsid w:val="00984D7C"/>
    <w:rsid w:val="009851A1"/>
    <w:rsid w:val="009853D7"/>
    <w:rsid w:val="0098562E"/>
    <w:rsid w:val="00985818"/>
    <w:rsid w:val="0098599C"/>
    <w:rsid w:val="00985A40"/>
    <w:rsid w:val="00985A79"/>
    <w:rsid w:val="00985BF9"/>
    <w:rsid w:val="00985CD0"/>
    <w:rsid w:val="00986031"/>
    <w:rsid w:val="009861BB"/>
    <w:rsid w:val="00986292"/>
    <w:rsid w:val="009863BD"/>
    <w:rsid w:val="009867F7"/>
    <w:rsid w:val="00986BBF"/>
    <w:rsid w:val="00986C06"/>
    <w:rsid w:val="00986F16"/>
    <w:rsid w:val="00986FE0"/>
    <w:rsid w:val="0098703A"/>
    <w:rsid w:val="009873CC"/>
    <w:rsid w:val="0098741A"/>
    <w:rsid w:val="0098752D"/>
    <w:rsid w:val="00987583"/>
    <w:rsid w:val="00987673"/>
    <w:rsid w:val="00987837"/>
    <w:rsid w:val="00987B73"/>
    <w:rsid w:val="00987C02"/>
    <w:rsid w:val="0099001B"/>
    <w:rsid w:val="00990103"/>
    <w:rsid w:val="009901BB"/>
    <w:rsid w:val="009902A7"/>
    <w:rsid w:val="00990445"/>
    <w:rsid w:val="009905D8"/>
    <w:rsid w:val="0099075D"/>
    <w:rsid w:val="009908C6"/>
    <w:rsid w:val="009909A0"/>
    <w:rsid w:val="00990A6A"/>
    <w:rsid w:val="00990BA3"/>
    <w:rsid w:val="00990D38"/>
    <w:rsid w:val="00990DC8"/>
    <w:rsid w:val="00990F21"/>
    <w:rsid w:val="00990F36"/>
    <w:rsid w:val="00990F50"/>
    <w:rsid w:val="00990FE8"/>
    <w:rsid w:val="00991248"/>
    <w:rsid w:val="009912F7"/>
    <w:rsid w:val="0099173E"/>
    <w:rsid w:val="00991788"/>
    <w:rsid w:val="009918AC"/>
    <w:rsid w:val="00991ECA"/>
    <w:rsid w:val="00991F43"/>
    <w:rsid w:val="009922CF"/>
    <w:rsid w:val="009922F9"/>
    <w:rsid w:val="00992420"/>
    <w:rsid w:val="00992578"/>
    <w:rsid w:val="0099262F"/>
    <w:rsid w:val="0099273F"/>
    <w:rsid w:val="0099289A"/>
    <w:rsid w:val="0099290F"/>
    <w:rsid w:val="00992958"/>
    <w:rsid w:val="00992B3F"/>
    <w:rsid w:val="00992E83"/>
    <w:rsid w:val="00993060"/>
    <w:rsid w:val="00993155"/>
    <w:rsid w:val="00993211"/>
    <w:rsid w:val="009932E6"/>
    <w:rsid w:val="0099332C"/>
    <w:rsid w:val="0099353B"/>
    <w:rsid w:val="0099382C"/>
    <w:rsid w:val="009938A2"/>
    <w:rsid w:val="00993C1C"/>
    <w:rsid w:val="00993E25"/>
    <w:rsid w:val="00993E8C"/>
    <w:rsid w:val="00993FBB"/>
    <w:rsid w:val="00993FD8"/>
    <w:rsid w:val="009941F6"/>
    <w:rsid w:val="00994318"/>
    <w:rsid w:val="00994431"/>
    <w:rsid w:val="009945D1"/>
    <w:rsid w:val="00995071"/>
    <w:rsid w:val="009950F0"/>
    <w:rsid w:val="009951DB"/>
    <w:rsid w:val="00995201"/>
    <w:rsid w:val="009952D5"/>
    <w:rsid w:val="00995345"/>
    <w:rsid w:val="009954C0"/>
    <w:rsid w:val="00995630"/>
    <w:rsid w:val="009958A0"/>
    <w:rsid w:val="009959F8"/>
    <w:rsid w:val="00995AA3"/>
    <w:rsid w:val="00995AC1"/>
    <w:rsid w:val="00995DEF"/>
    <w:rsid w:val="00995FDC"/>
    <w:rsid w:val="00996160"/>
    <w:rsid w:val="0099617D"/>
    <w:rsid w:val="00996486"/>
    <w:rsid w:val="009964FE"/>
    <w:rsid w:val="0099651A"/>
    <w:rsid w:val="00996549"/>
    <w:rsid w:val="0099677F"/>
    <w:rsid w:val="00996D17"/>
    <w:rsid w:val="0099708F"/>
    <w:rsid w:val="00997299"/>
    <w:rsid w:val="0099734A"/>
    <w:rsid w:val="0099747A"/>
    <w:rsid w:val="009974B6"/>
    <w:rsid w:val="009974B8"/>
    <w:rsid w:val="00997502"/>
    <w:rsid w:val="009979B4"/>
    <w:rsid w:val="00997AF7"/>
    <w:rsid w:val="00997BA7"/>
    <w:rsid w:val="00997E07"/>
    <w:rsid w:val="009A0061"/>
    <w:rsid w:val="009A0490"/>
    <w:rsid w:val="009A06B5"/>
    <w:rsid w:val="009A0C1C"/>
    <w:rsid w:val="009A0CD3"/>
    <w:rsid w:val="009A0D06"/>
    <w:rsid w:val="009A0F6B"/>
    <w:rsid w:val="009A100A"/>
    <w:rsid w:val="009A10CC"/>
    <w:rsid w:val="009A1153"/>
    <w:rsid w:val="009A127B"/>
    <w:rsid w:val="009A12CF"/>
    <w:rsid w:val="009A1589"/>
    <w:rsid w:val="009A17E3"/>
    <w:rsid w:val="009A193F"/>
    <w:rsid w:val="009A19D4"/>
    <w:rsid w:val="009A1A7E"/>
    <w:rsid w:val="009A1BBF"/>
    <w:rsid w:val="009A23DF"/>
    <w:rsid w:val="009A23FA"/>
    <w:rsid w:val="009A256B"/>
    <w:rsid w:val="009A27B7"/>
    <w:rsid w:val="009A2859"/>
    <w:rsid w:val="009A2BAD"/>
    <w:rsid w:val="009A2DD4"/>
    <w:rsid w:val="009A2EE3"/>
    <w:rsid w:val="009A2F7F"/>
    <w:rsid w:val="009A36FD"/>
    <w:rsid w:val="009A3A54"/>
    <w:rsid w:val="009A3ABF"/>
    <w:rsid w:val="009A3B6C"/>
    <w:rsid w:val="009A3DA8"/>
    <w:rsid w:val="009A3E23"/>
    <w:rsid w:val="009A40D9"/>
    <w:rsid w:val="009A4237"/>
    <w:rsid w:val="009A423C"/>
    <w:rsid w:val="009A4258"/>
    <w:rsid w:val="009A4339"/>
    <w:rsid w:val="009A439D"/>
    <w:rsid w:val="009A4A4B"/>
    <w:rsid w:val="009A4AE1"/>
    <w:rsid w:val="009A4B9A"/>
    <w:rsid w:val="009A4D9B"/>
    <w:rsid w:val="009A4DC0"/>
    <w:rsid w:val="009A4E3D"/>
    <w:rsid w:val="009A4EF1"/>
    <w:rsid w:val="009A4FB1"/>
    <w:rsid w:val="009A506B"/>
    <w:rsid w:val="009A507F"/>
    <w:rsid w:val="009A50EE"/>
    <w:rsid w:val="009A5237"/>
    <w:rsid w:val="009A53F7"/>
    <w:rsid w:val="009A5566"/>
    <w:rsid w:val="009A5662"/>
    <w:rsid w:val="009A5AFA"/>
    <w:rsid w:val="009A5D12"/>
    <w:rsid w:val="009A5DC6"/>
    <w:rsid w:val="009A6057"/>
    <w:rsid w:val="009A6089"/>
    <w:rsid w:val="009A60F4"/>
    <w:rsid w:val="009A6193"/>
    <w:rsid w:val="009A628B"/>
    <w:rsid w:val="009A6498"/>
    <w:rsid w:val="009A66EF"/>
    <w:rsid w:val="009A686C"/>
    <w:rsid w:val="009A6D3E"/>
    <w:rsid w:val="009A709F"/>
    <w:rsid w:val="009A713A"/>
    <w:rsid w:val="009A718A"/>
    <w:rsid w:val="009A75CA"/>
    <w:rsid w:val="009A7B4A"/>
    <w:rsid w:val="009A7EE8"/>
    <w:rsid w:val="009A7F43"/>
    <w:rsid w:val="009B0046"/>
    <w:rsid w:val="009B0A64"/>
    <w:rsid w:val="009B0E12"/>
    <w:rsid w:val="009B1035"/>
    <w:rsid w:val="009B13E4"/>
    <w:rsid w:val="009B15FE"/>
    <w:rsid w:val="009B16FB"/>
    <w:rsid w:val="009B195F"/>
    <w:rsid w:val="009B1AF5"/>
    <w:rsid w:val="009B2503"/>
    <w:rsid w:val="009B272C"/>
    <w:rsid w:val="009B27AB"/>
    <w:rsid w:val="009B28D5"/>
    <w:rsid w:val="009B2999"/>
    <w:rsid w:val="009B2A26"/>
    <w:rsid w:val="009B2B1D"/>
    <w:rsid w:val="009B2D35"/>
    <w:rsid w:val="009B2F0E"/>
    <w:rsid w:val="009B3139"/>
    <w:rsid w:val="009B32AD"/>
    <w:rsid w:val="009B3422"/>
    <w:rsid w:val="009B3607"/>
    <w:rsid w:val="009B36A0"/>
    <w:rsid w:val="009B37A0"/>
    <w:rsid w:val="009B394E"/>
    <w:rsid w:val="009B395D"/>
    <w:rsid w:val="009B39A2"/>
    <w:rsid w:val="009B39B3"/>
    <w:rsid w:val="009B3BA2"/>
    <w:rsid w:val="009B3C18"/>
    <w:rsid w:val="009B3EE8"/>
    <w:rsid w:val="009B40E8"/>
    <w:rsid w:val="009B4179"/>
    <w:rsid w:val="009B4681"/>
    <w:rsid w:val="009B4708"/>
    <w:rsid w:val="009B471A"/>
    <w:rsid w:val="009B4899"/>
    <w:rsid w:val="009B49D7"/>
    <w:rsid w:val="009B4AFE"/>
    <w:rsid w:val="009B4B97"/>
    <w:rsid w:val="009B4BDA"/>
    <w:rsid w:val="009B4DF7"/>
    <w:rsid w:val="009B5645"/>
    <w:rsid w:val="009B5784"/>
    <w:rsid w:val="009B57B7"/>
    <w:rsid w:val="009B59D3"/>
    <w:rsid w:val="009B5C4F"/>
    <w:rsid w:val="009B5D4A"/>
    <w:rsid w:val="009B5E79"/>
    <w:rsid w:val="009B5F06"/>
    <w:rsid w:val="009B607E"/>
    <w:rsid w:val="009B60D3"/>
    <w:rsid w:val="009B6115"/>
    <w:rsid w:val="009B612E"/>
    <w:rsid w:val="009B63C2"/>
    <w:rsid w:val="009B6445"/>
    <w:rsid w:val="009B67F0"/>
    <w:rsid w:val="009B6963"/>
    <w:rsid w:val="009B6CDC"/>
    <w:rsid w:val="009B72D3"/>
    <w:rsid w:val="009B733B"/>
    <w:rsid w:val="009B73BB"/>
    <w:rsid w:val="009B747B"/>
    <w:rsid w:val="009B75B1"/>
    <w:rsid w:val="009B79CD"/>
    <w:rsid w:val="009B7B89"/>
    <w:rsid w:val="009C0453"/>
    <w:rsid w:val="009C0578"/>
    <w:rsid w:val="009C057B"/>
    <w:rsid w:val="009C0660"/>
    <w:rsid w:val="009C0A7F"/>
    <w:rsid w:val="009C0ABC"/>
    <w:rsid w:val="009C0D15"/>
    <w:rsid w:val="009C0F3D"/>
    <w:rsid w:val="009C103D"/>
    <w:rsid w:val="009C115F"/>
    <w:rsid w:val="009C1553"/>
    <w:rsid w:val="009C166B"/>
    <w:rsid w:val="009C17A2"/>
    <w:rsid w:val="009C18FD"/>
    <w:rsid w:val="009C1B7D"/>
    <w:rsid w:val="009C1BBC"/>
    <w:rsid w:val="009C1C14"/>
    <w:rsid w:val="009C20DE"/>
    <w:rsid w:val="009C21C4"/>
    <w:rsid w:val="009C247B"/>
    <w:rsid w:val="009C2529"/>
    <w:rsid w:val="009C25EA"/>
    <w:rsid w:val="009C2BE2"/>
    <w:rsid w:val="009C2D07"/>
    <w:rsid w:val="009C2DAD"/>
    <w:rsid w:val="009C2DFC"/>
    <w:rsid w:val="009C2E5F"/>
    <w:rsid w:val="009C33C9"/>
    <w:rsid w:val="009C36B3"/>
    <w:rsid w:val="009C37F1"/>
    <w:rsid w:val="009C3823"/>
    <w:rsid w:val="009C3C67"/>
    <w:rsid w:val="009C3C6C"/>
    <w:rsid w:val="009C43CC"/>
    <w:rsid w:val="009C451F"/>
    <w:rsid w:val="009C461A"/>
    <w:rsid w:val="009C4696"/>
    <w:rsid w:val="009C47A6"/>
    <w:rsid w:val="009C49BE"/>
    <w:rsid w:val="009C4AE5"/>
    <w:rsid w:val="009C4C20"/>
    <w:rsid w:val="009C4DC2"/>
    <w:rsid w:val="009C4E11"/>
    <w:rsid w:val="009C4E90"/>
    <w:rsid w:val="009C4F3E"/>
    <w:rsid w:val="009C5012"/>
    <w:rsid w:val="009C50BD"/>
    <w:rsid w:val="009C523B"/>
    <w:rsid w:val="009C53A2"/>
    <w:rsid w:val="009C53F2"/>
    <w:rsid w:val="009C55BA"/>
    <w:rsid w:val="009C57B7"/>
    <w:rsid w:val="009C59C1"/>
    <w:rsid w:val="009C5B85"/>
    <w:rsid w:val="009C5C0B"/>
    <w:rsid w:val="009C5C3C"/>
    <w:rsid w:val="009C5D04"/>
    <w:rsid w:val="009C5E14"/>
    <w:rsid w:val="009C5E46"/>
    <w:rsid w:val="009C6065"/>
    <w:rsid w:val="009C621D"/>
    <w:rsid w:val="009C6222"/>
    <w:rsid w:val="009C6295"/>
    <w:rsid w:val="009C6587"/>
    <w:rsid w:val="009C6606"/>
    <w:rsid w:val="009C6905"/>
    <w:rsid w:val="009C696C"/>
    <w:rsid w:val="009C6AB1"/>
    <w:rsid w:val="009C6CAA"/>
    <w:rsid w:val="009C6F69"/>
    <w:rsid w:val="009C70F0"/>
    <w:rsid w:val="009C7238"/>
    <w:rsid w:val="009C7241"/>
    <w:rsid w:val="009C737E"/>
    <w:rsid w:val="009C748F"/>
    <w:rsid w:val="009C761C"/>
    <w:rsid w:val="009C7876"/>
    <w:rsid w:val="009C7A24"/>
    <w:rsid w:val="009C7D32"/>
    <w:rsid w:val="009C7E3A"/>
    <w:rsid w:val="009C7E42"/>
    <w:rsid w:val="009C7EB6"/>
    <w:rsid w:val="009D0019"/>
    <w:rsid w:val="009D01E0"/>
    <w:rsid w:val="009D036D"/>
    <w:rsid w:val="009D0424"/>
    <w:rsid w:val="009D0628"/>
    <w:rsid w:val="009D082B"/>
    <w:rsid w:val="009D0871"/>
    <w:rsid w:val="009D08C5"/>
    <w:rsid w:val="009D0AD6"/>
    <w:rsid w:val="009D0E45"/>
    <w:rsid w:val="009D0EB0"/>
    <w:rsid w:val="009D0ED6"/>
    <w:rsid w:val="009D0EE6"/>
    <w:rsid w:val="009D141B"/>
    <w:rsid w:val="009D14E5"/>
    <w:rsid w:val="009D154E"/>
    <w:rsid w:val="009D1831"/>
    <w:rsid w:val="009D18AA"/>
    <w:rsid w:val="009D1909"/>
    <w:rsid w:val="009D19DE"/>
    <w:rsid w:val="009D1AA9"/>
    <w:rsid w:val="009D1D05"/>
    <w:rsid w:val="009D1EB6"/>
    <w:rsid w:val="009D1ECA"/>
    <w:rsid w:val="009D20DC"/>
    <w:rsid w:val="009D211C"/>
    <w:rsid w:val="009D21B5"/>
    <w:rsid w:val="009D23D0"/>
    <w:rsid w:val="009D25C2"/>
    <w:rsid w:val="009D27A8"/>
    <w:rsid w:val="009D2872"/>
    <w:rsid w:val="009D29A2"/>
    <w:rsid w:val="009D2ACB"/>
    <w:rsid w:val="009D2B79"/>
    <w:rsid w:val="009D2C28"/>
    <w:rsid w:val="009D2CAC"/>
    <w:rsid w:val="009D2D94"/>
    <w:rsid w:val="009D2E19"/>
    <w:rsid w:val="009D2E67"/>
    <w:rsid w:val="009D2F46"/>
    <w:rsid w:val="009D2FB3"/>
    <w:rsid w:val="009D3371"/>
    <w:rsid w:val="009D37F6"/>
    <w:rsid w:val="009D3891"/>
    <w:rsid w:val="009D3B1B"/>
    <w:rsid w:val="009D3D84"/>
    <w:rsid w:val="009D4181"/>
    <w:rsid w:val="009D4732"/>
    <w:rsid w:val="009D4ACD"/>
    <w:rsid w:val="009D4C54"/>
    <w:rsid w:val="009D4F84"/>
    <w:rsid w:val="009D556D"/>
    <w:rsid w:val="009D5665"/>
    <w:rsid w:val="009D56C9"/>
    <w:rsid w:val="009D56F8"/>
    <w:rsid w:val="009D5BD5"/>
    <w:rsid w:val="009D5C7C"/>
    <w:rsid w:val="009D66AD"/>
    <w:rsid w:val="009D66B4"/>
    <w:rsid w:val="009D6747"/>
    <w:rsid w:val="009D69DD"/>
    <w:rsid w:val="009D6A4F"/>
    <w:rsid w:val="009D6AAB"/>
    <w:rsid w:val="009D6B33"/>
    <w:rsid w:val="009D6BF5"/>
    <w:rsid w:val="009D6E64"/>
    <w:rsid w:val="009D6EA7"/>
    <w:rsid w:val="009D6FE3"/>
    <w:rsid w:val="009D7205"/>
    <w:rsid w:val="009D732F"/>
    <w:rsid w:val="009D739A"/>
    <w:rsid w:val="009D7EA1"/>
    <w:rsid w:val="009E004A"/>
    <w:rsid w:val="009E027F"/>
    <w:rsid w:val="009E035C"/>
    <w:rsid w:val="009E0438"/>
    <w:rsid w:val="009E075D"/>
    <w:rsid w:val="009E07A7"/>
    <w:rsid w:val="009E07DE"/>
    <w:rsid w:val="009E0872"/>
    <w:rsid w:val="009E0A77"/>
    <w:rsid w:val="009E0C0F"/>
    <w:rsid w:val="009E11AF"/>
    <w:rsid w:val="009E1224"/>
    <w:rsid w:val="009E12AF"/>
    <w:rsid w:val="009E12F8"/>
    <w:rsid w:val="009E1637"/>
    <w:rsid w:val="009E19FF"/>
    <w:rsid w:val="009E1BCA"/>
    <w:rsid w:val="009E1D54"/>
    <w:rsid w:val="009E1FD8"/>
    <w:rsid w:val="009E219F"/>
    <w:rsid w:val="009E2257"/>
    <w:rsid w:val="009E28DB"/>
    <w:rsid w:val="009E2953"/>
    <w:rsid w:val="009E29FB"/>
    <w:rsid w:val="009E2B1C"/>
    <w:rsid w:val="009E3026"/>
    <w:rsid w:val="009E360A"/>
    <w:rsid w:val="009E383A"/>
    <w:rsid w:val="009E38A2"/>
    <w:rsid w:val="009E3987"/>
    <w:rsid w:val="009E3A0A"/>
    <w:rsid w:val="009E3BA9"/>
    <w:rsid w:val="009E3C24"/>
    <w:rsid w:val="009E3D31"/>
    <w:rsid w:val="009E3D81"/>
    <w:rsid w:val="009E3EE1"/>
    <w:rsid w:val="009E3FA9"/>
    <w:rsid w:val="009E435B"/>
    <w:rsid w:val="009E4420"/>
    <w:rsid w:val="009E4761"/>
    <w:rsid w:val="009E481B"/>
    <w:rsid w:val="009E482E"/>
    <w:rsid w:val="009E48C0"/>
    <w:rsid w:val="009E4BE9"/>
    <w:rsid w:val="009E4E77"/>
    <w:rsid w:val="009E5007"/>
    <w:rsid w:val="009E50B8"/>
    <w:rsid w:val="009E5273"/>
    <w:rsid w:val="009E5414"/>
    <w:rsid w:val="009E5462"/>
    <w:rsid w:val="009E5468"/>
    <w:rsid w:val="009E5759"/>
    <w:rsid w:val="009E594E"/>
    <w:rsid w:val="009E5965"/>
    <w:rsid w:val="009E59F9"/>
    <w:rsid w:val="009E5AE0"/>
    <w:rsid w:val="009E5C19"/>
    <w:rsid w:val="009E5DE2"/>
    <w:rsid w:val="009E5F33"/>
    <w:rsid w:val="009E5F6B"/>
    <w:rsid w:val="009E6017"/>
    <w:rsid w:val="009E6295"/>
    <w:rsid w:val="009E636F"/>
    <w:rsid w:val="009E65BB"/>
    <w:rsid w:val="009E6663"/>
    <w:rsid w:val="009E6693"/>
    <w:rsid w:val="009E6980"/>
    <w:rsid w:val="009E7235"/>
    <w:rsid w:val="009E76FA"/>
    <w:rsid w:val="009E7788"/>
    <w:rsid w:val="009E779A"/>
    <w:rsid w:val="009E78F2"/>
    <w:rsid w:val="009E7A90"/>
    <w:rsid w:val="009E7E6E"/>
    <w:rsid w:val="009E7EA4"/>
    <w:rsid w:val="009F008E"/>
    <w:rsid w:val="009F01EE"/>
    <w:rsid w:val="009F02C7"/>
    <w:rsid w:val="009F0361"/>
    <w:rsid w:val="009F0619"/>
    <w:rsid w:val="009F06CD"/>
    <w:rsid w:val="009F082B"/>
    <w:rsid w:val="009F097D"/>
    <w:rsid w:val="009F0B55"/>
    <w:rsid w:val="009F0F9C"/>
    <w:rsid w:val="009F1112"/>
    <w:rsid w:val="009F1393"/>
    <w:rsid w:val="009F1657"/>
    <w:rsid w:val="009F16EE"/>
    <w:rsid w:val="009F182E"/>
    <w:rsid w:val="009F1BE4"/>
    <w:rsid w:val="009F1C70"/>
    <w:rsid w:val="009F1D5E"/>
    <w:rsid w:val="009F1FDC"/>
    <w:rsid w:val="009F20DF"/>
    <w:rsid w:val="009F20FA"/>
    <w:rsid w:val="009F2616"/>
    <w:rsid w:val="009F2661"/>
    <w:rsid w:val="009F2723"/>
    <w:rsid w:val="009F2813"/>
    <w:rsid w:val="009F2AC4"/>
    <w:rsid w:val="009F2B2E"/>
    <w:rsid w:val="009F2EBC"/>
    <w:rsid w:val="009F2EBF"/>
    <w:rsid w:val="009F2FB8"/>
    <w:rsid w:val="009F339B"/>
    <w:rsid w:val="009F35A4"/>
    <w:rsid w:val="009F3613"/>
    <w:rsid w:val="009F37DE"/>
    <w:rsid w:val="009F382F"/>
    <w:rsid w:val="009F3DCF"/>
    <w:rsid w:val="009F420D"/>
    <w:rsid w:val="009F4245"/>
    <w:rsid w:val="009F432A"/>
    <w:rsid w:val="009F434A"/>
    <w:rsid w:val="009F48B7"/>
    <w:rsid w:val="009F49AD"/>
    <w:rsid w:val="009F4DFB"/>
    <w:rsid w:val="009F4F72"/>
    <w:rsid w:val="009F4FCB"/>
    <w:rsid w:val="009F50BC"/>
    <w:rsid w:val="009F53D3"/>
    <w:rsid w:val="009F5484"/>
    <w:rsid w:val="009F57D5"/>
    <w:rsid w:val="009F58E9"/>
    <w:rsid w:val="009F5FC4"/>
    <w:rsid w:val="009F5FC5"/>
    <w:rsid w:val="009F6322"/>
    <w:rsid w:val="009F677E"/>
    <w:rsid w:val="009F6A8F"/>
    <w:rsid w:val="009F6C2A"/>
    <w:rsid w:val="009F6E6D"/>
    <w:rsid w:val="009F6F80"/>
    <w:rsid w:val="009F6FCB"/>
    <w:rsid w:val="009F7112"/>
    <w:rsid w:val="009F7180"/>
    <w:rsid w:val="009F722C"/>
    <w:rsid w:val="009F726B"/>
    <w:rsid w:val="009F73D0"/>
    <w:rsid w:val="009F7421"/>
    <w:rsid w:val="009F770D"/>
    <w:rsid w:val="009F77B1"/>
    <w:rsid w:val="009F77BF"/>
    <w:rsid w:val="009F7DE8"/>
    <w:rsid w:val="009F7EA5"/>
    <w:rsid w:val="009F7F83"/>
    <w:rsid w:val="00A0008F"/>
    <w:rsid w:val="00A000AD"/>
    <w:rsid w:val="00A004A9"/>
    <w:rsid w:val="00A00880"/>
    <w:rsid w:val="00A0098B"/>
    <w:rsid w:val="00A00BBF"/>
    <w:rsid w:val="00A00CE3"/>
    <w:rsid w:val="00A0104A"/>
    <w:rsid w:val="00A012BB"/>
    <w:rsid w:val="00A013A2"/>
    <w:rsid w:val="00A016CC"/>
    <w:rsid w:val="00A01C2A"/>
    <w:rsid w:val="00A01CE0"/>
    <w:rsid w:val="00A01D81"/>
    <w:rsid w:val="00A01DBB"/>
    <w:rsid w:val="00A01F1E"/>
    <w:rsid w:val="00A021CE"/>
    <w:rsid w:val="00A02204"/>
    <w:rsid w:val="00A0245D"/>
    <w:rsid w:val="00A0256A"/>
    <w:rsid w:val="00A02600"/>
    <w:rsid w:val="00A0260B"/>
    <w:rsid w:val="00A029CA"/>
    <w:rsid w:val="00A029CB"/>
    <w:rsid w:val="00A02AD0"/>
    <w:rsid w:val="00A02CBF"/>
    <w:rsid w:val="00A02D48"/>
    <w:rsid w:val="00A02E22"/>
    <w:rsid w:val="00A03044"/>
    <w:rsid w:val="00A0312D"/>
    <w:rsid w:val="00A0314B"/>
    <w:rsid w:val="00A0352D"/>
    <w:rsid w:val="00A03551"/>
    <w:rsid w:val="00A0366A"/>
    <w:rsid w:val="00A037C6"/>
    <w:rsid w:val="00A038DE"/>
    <w:rsid w:val="00A038EE"/>
    <w:rsid w:val="00A03A07"/>
    <w:rsid w:val="00A03C5F"/>
    <w:rsid w:val="00A03C81"/>
    <w:rsid w:val="00A03CC1"/>
    <w:rsid w:val="00A03EEC"/>
    <w:rsid w:val="00A03F5D"/>
    <w:rsid w:val="00A03F98"/>
    <w:rsid w:val="00A040A1"/>
    <w:rsid w:val="00A044FF"/>
    <w:rsid w:val="00A048C2"/>
    <w:rsid w:val="00A049D5"/>
    <w:rsid w:val="00A04B10"/>
    <w:rsid w:val="00A04BBA"/>
    <w:rsid w:val="00A04DC4"/>
    <w:rsid w:val="00A04DF0"/>
    <w:rsid w:val="00A04F53"/>
    <w:rsid w:val="00A04FB7"/>
    <w:rsid w:val="00A0517B"/>
    <w:rsid w:val="00A05628"/>
    <w:rsid w:val="00A0584E"/>
    <w:rsid w:val="00A05956"/>
    <w:rsid w:val="00A05B3A"/>
    <w:rsid w:val="00A05CE5"/>
    <w:rsid w:val="00A05E84"/>
    <w:rsid w:val="00A06334"/>
    <w:rsid w:val="00A06341"/>
    <w:rsid w:val="00A06560"/>
    <w:rsid w:val="00A06569"/>
    <w:rsid w:val="00A06585"/>
    <w:rsid w:val="00A0661E"/>
    <w:rsid w:val="00A06637"/>
    <w:rsid w:val="00A06836"/>
    <w:rsid w:val="00A069F5"/>
    <w:rsid w:val="00A06BAD"/>
    <w:rsid w:val="00A0733E"/>
    <w:rsid w:val="00A075B2"/>
    <w:rsid w:val="00A0760A"/>
    <w:rsid w:val="00A0760D"/>
    <w:rsid w:val="00A076B7"/>
    <w:rsid w:val="00A07734"/>
    <w:rsid w:val="00A07968"/>
    <w:rsid w:val="00A07B4A"/>
    <w:rsid w:val="00A07E68"/>
    <w:rsid w:val="00A07F34"/>
    <w:rsid w:val="00A07F53"/>
    <w:rsid w:val="00A1006A"/>
    <w:rsid w:val="00A10247"/>
    <w:rsid w:val="00A10340"/>
    <w:rsid w:val="00A10375"/>
    <w:rsid w:val="00A1066E"/>
    <w:rsid w:val="00A10A14"/>
    <w:rsid w:val="00A10D77"/>
    <w:rsid w:val="00A11318"/>
    <w:rsid w:val="00A11357"/>
    <w:rsid w:val="00A11451"/>
    <w:rsid w:val="00A11499"/>
    <w:rsid w:val="00A11AB9"/>
    <w:rsid w:val="00A11B46"/>
    <w:rsid w:val="00A11B8A"/>
    <w:rsid w:val="00A11C03"/>
    <w:rsid w:val="00A11D15"/>
    <w:rsid w:val="00A11D68"/>
    <w:rsid w:val="00A11DE3"/>
    <w:rsid w:val="00A11EEC"/>
    <w:rsid w:val="00A1201B"/>
    <w:rsid w:val="00A12048"/>
    <w:rsid w:val="00A120DF"/>
    <w:rsid w:val="00A12403"/>
    <w:rsid w:val="00A12C05"/>
    <w:rsid w:val="00A12D72"/>
    <w:rsid w:val="00A12FA0"/>
    <w:rsid w:val="00A12FD6"/>
    <w:rsid w:val="00A13378"/>
    <w:rsid w:val="00A134FC"/>
    <w:rsid w:val="00A13B26"/>
    <w:rsid w:val="00A13CD5"/>
    <w:rsid w:val="00A13DDD"/>
    <w:rsid w:val="00A14174"/>
    <w:rsid w:val="00A144B7"/>
    <w:rsid w:val="00A147BC"/>
    <w:rsid w:val="00A147FB"/>
    <w:rsid w:val="00A1488E"/>
    <w:rsid w:val="00A14BDE"/>
    <w:rsid w:val="00A14C88"/>
    <w:rsid w:val="00A152DE"/>
    <w:rsid w:val="00A1542F"/>
    <w:rsid w:val="00A1558F"/>
    <w:rsid w:val="00A156A4"/>
    <w:rsid w:val="00A1573C"/>
    <w:rsid w:val="00A1593B"/>
    <w:rsid w:val="00A15A83"/>
    <w:rsid w:val="00A15AD8"/>
    <w:rsid w:val="00A15AF1"/>
    <w:rsid w:val="00A15CDB"/>
    <w:rsid w:val="00A1621F"/>
    <w:rsid w:val="00A1624D"/>
    <w:rsid w:val="00A1628F"/>
    <w:rsid w:val="00A162BA"/>
    <w:rsid w:val="00A162BC"/>
    <w:rsid w:val="00A1674D"/>
    <w:rsid w:val="00A16C76"/>
    <w:rsid w:val="00A16DCF"/>
    <w:rsid w:val="00A16E2C"/>
    <w:rsid w:val="00A17005"/>
    <w:rsid w:val="00A170AD"/>
    <w:rsid w:val="00A1724F"/>
    <w:rsid w:val="00A17451"/>
    <w:rsid w:val="00A174A0"/>
    <w:rsid w:val="00A1784F"/>
    <w:rsid w:val="00A17971"/>
    <w:rsid w:val="00A179F2"/>
    <w:rsid w:val="00A17A43"/>
    <w:rsid w:val="00A20051"/>
    <w:rsid w:val="00A20066"/>
    <w:rsid w:val="00A2011B"/>
    <w:rsid w:val="00A20127"/>
    <w:rsid w:val="00A2037B"/>
    <w:rsid w:val="00A2072D"/>
    <w:rsid w:val="00A2091E"/>
    <w:rsid w:val="00A209C1"/>
    <w:rsid w:val="00A20BBF"/>
    <w:rsid w:val="00A20C03"/>
    <w:rsid w:val="00A20F12"/>
    <w:rsid w:val="00A21126"/>
    <w:rsid w:val="00A21214"/>
    <w:rsid w:val="00A215AC"/>
    <w:rsid w:val="00A21656"/>
    <w:rsid w:val="00A216C9"/>
    <w:rsid w:val="00A216E0"/>
    <w:rsid w:val="00A21A63"/>
    <w:rsid w:val="00A21C38"/>
    <w:rsid w:val="00A21E3F"/>
    <w:rsid w:val="00A21E7D"/>
    <w:rsid w:val="00A22145"/>
    <w:rsid w:val="00A223D9"/>
    <w:rsid w:val="00A22432"/>
    <w:rsid w:val="00A224DC"/>
    <w:rsid w:val="00A22B77"/>
    <w:rsid w:val="00A22D44"/>
    <w:rsid w:val="00A22D6A"/>
    <w:rsid w:val="00A22E57"/>
    <w:rsid w:val="00A22EE9"/>
    <w:rsid w:val="00A22FF2"/>
    <w:rsid w:val="00A23076"/>
    <w:rsid w:val="00A230BC"/>
    <w:rsid w:val="00A230C0"/>
    <w:rsid w:val="00A231FC"/>
    <w:rsid w:val="00A235AB"/>
    <w:rsid w:val="00A237A8"/>
    <w:rsid w:val="00A23C35"/>
    <w:rsid w:val="00A23D09"/>
    <w:rsid w:val="00A23E03"/>
    <w:rsid w:val="00A23E19"/>
    <w:rsid w:val="00A23F71"/>
    <w:rsid w:val="00A23F95"/>
    <w:rsid w:val="00A24021"/>
    <w:rsid w:val="00A24037"/>
    <w:rsid w:val="00A24136"/>
    <w:rsid w:val="00A241CD"/>
    <w:rsid w:val="00A24227"/>
    <w:rsid w:val="00A243C8"/>
    <w:rsid w:val="00A2446B"/>
    <w:rsid w:val="00A2447F"/>
    <w:rsid w:val="00A248B9"/>
    <w:rsid w:val="00A24963"/>
    <w:rsid w:val="00A2499F"/>
    <w:rsid w:val="00A24B53"/>
    <w:rsid w:val="00A24DB3"/>
    <w:rsid w:val="00A24DC6"/>
    <w:rsid w:val="00A24EB9"/>
    <w:rsid w:val="00A25074"/>
    <w:rsid w:val="00A25219"/>
    <w:rsid w:val="00A25263"/>
    <w:rsid w:val="00A254FE"/>
    <w:rsid w:val="00A25543"/>
    <w:rsid w:val="00A2568D"/>
    <w:rsid w:val="00A258A0"/>
    <w:rsid w:val="00A258B4"/>
    <w:rsid w:val="00A258CA"/>
    <w:rsid w:val="00A25E4E"/>
    <w:rsid w:val="00A25EBC"/>
    <w:rsid w:val="00A25ECB"/>
    <w:rsid w:val="00A25F85"/>
    <w:rsid w:val="00A261DE"/>
    <w:rsid w:val="00A261F1"/>
    <w:rsid w:val="00A2624F"/>
    <w:rsid w:val="00A262B6"/>
    <w:rsid w:val="00A2699A"/>
    <w:rsid w:val="00A26C10"/>
    <w:rsid w:val="00A26CAD"/>
    <w:rsid w:val="00A26FA5"/>
    <w:rsid w:val="00A272A6"/>
    <w:rsid w:val="00A27516"/>
    <w:rsid w:val="00A2755E"/>
    <w:rsid w:val="00A2794C"/>
    <w:rsid w:val="00A27DF4"/>
    <w:rsid w:val="00A27E13"/>
    <w:rsid w:val="00A30546"/>
    <w:rsid w:val="00A3064E"/>
    <w:rsid w:val="00A3074C"/>
    <w:rsid w:val="00A307EF"/>
    <w:rsid w:val="00A30991"/>
    <w:rsid w:val="00A30E1D"/>
    <w:rsid w:val="00A30E3E"/>
    <w:rsid w:val="00A31143"/>
    <w:rsid w:val="00A31306"/>
    <w:rsid w:val="00A31385"/>
    <w:rsid w:val="00A313C2"/>
    <w:rsid w:val="00A314BB"/>
    <w:rsid w:val="00A3165D"/>
    <w:rsid w:val="00A3172D"/>
    <w:rsid w:val="00A31917"/>
    <w:rsid w:val="00A3197E"/>
    <w:rsid w:val="00A319C5"/>
    <w:rsid w:val="00A31B78"/>
    <w:rsid w:val="00A31C3D"/>
    <w:rsid w:val="00A31C7D"/>
    <w:rsid w:val="00A31C80"/>
    <w:rsid w:val="00A31E4B"/>
    <w:rsid w:val="00A31FE0"/>
    <w:rsid w:val="00A321B3"/>
    <w:rsid w:val="00A32528"/>
    <w:rsid w:val="00A32652"/>
    <w:rsid w:val="00A326AB"/>
    <w:rsid w:val="00A326E9"/>
    <w:rsid w:val="00A32995"/>
    <w:rsid w:val="00A329F4"/>
    <w:rsid w:val="00A32A1B"/>
    <w:rsid w:val="00A32B66"/>
    <w:rsid w:val="00A32EDA"/>
    <w:rsid w:val="00A32F71"/>
    <w:rsid w:val="00A330F5"/>
    <w:rsid w:val="00A333C2"/>
    <w:rsid w:val="00A33582"/>
    <w:rsid w:val="00A33770"/>
    <w:rsid w:val="00A33844"/>
    <w:rsid w:val="00A33B85"/>
    <w:rsid w:val="00A33C72"/>
    <w:rsid w:val="00A33CF0"/>
    <w:rsid w:val="00A33EE9"/>
    <w:rsid w:val="00A340B0"/>
    <w:rsid w:val="00A3424A"/>
    <w:rsid w:val="00A343D1"/>
    <w:rsid w:val="00A344CB"/>
    <w:rsid w:val="00A348A0"/>
    <w:rsid w:val="00A34945"/>
    <w:rsid w:val="00A34AB0"/>
    <w:rsid w:val="00A34B6E"/>
    <w:rsid w:val="00A351FD"/>
    <w:rsid w:val="00A352A1"/>
    <w:rsid w:val="00A354A9"/>
    <w:rsid w:val="00A35740"/>
    <w:rsid w:val="00A359A7"/>
    <w:rsid w:val="00A35A76"/>
    <w:rsid w:val="00A35C1B"/>
    <w:rsid w:val="00A35C75"/>
    <w:rsid w:val="00A35CAF"/>
    <w:rsid w:val="00A35E1A"/>
    <w:rsid w:val="00A35F2E"/>
    <w:rsid w:val="00A36403"/>
    <w:rsid w:val="00A36709"/>
    <w:rsid w:val="00A36C31"/>
    <w:rsid w:val="00A36CF0"/>
    <w:rsid w:val="00A36F7A"/>
    <w:rsid w:val="00A3720B"/>
    <w:rsid w:val="00A3726F"/>
    <w:rsid w:val="00A37485"/>
    <w:rsid w:val="00A374D6"/>
    <w:rsid w:val="00A37696"/>
    <w:rsid w:val="00A3783B"/>
    <w:rsid w:val="00A37BC8"/>
    <w:rsid w:val="00A37C32"/>
    <w:rsid w:val="00A37D48"/>
    <w:rsid w:val="00A37E6D"/>
    <w:rsid w:val="00A402C6"/>
    <w:rsid w:val="00A403A2"/>
    <w:rsid w:val="00A403AD"/>
    <w:rsid w:val="00A4050B"/>
    <w:rsid w:val="00A4052A"/>
    <w:rsid w:val="00A40611"/>
    <w:rsid w:val="00A40661"/>
    <w:rsid w:val="00A40695"/>
    <w:rsid w:val="00A406BB"/>
    <w:rsid w:val="00A40703"/>
    <w:rsid w:val="00A407B6"/>
    <w:rsid w:val="00A40A2B"/>
    <w:rsid w:val="00A40A39"/>
    <w:rsid w:val="00A40A69"/>
    <w:rsid w:val="00A40AB1"/>
    <w:rsid w:val="00A40BCC"/>
    <w:rsid w:val="00A40CA0"/>
    <w:rsid w:val="00A413E9"/>
    <w:rsid w:val="00A41548"/>
    <w:rsid w:val="00A4154D"/>
    <w:rsid w:val="00A416DF"/>
    <w:rsid w:val="00A41A58"/>
    <w:rsid w:val="00A41A87"/>
    <w:rsid w:val="00A41B92"/>
    <w:rsid w:val="00A42003"/>
    <w:rsid w:val="00A42325"/>
    <w:rsid w:val="00A4240B"/>
    <w:rsid w:val="00A42654"/>
    <w:rsid w:val="00A42859"/>
    <w:rsid w:val="00A42902"/>
    <w:rsid w:val="00A4297C"/>
    <w:rsid w:val="00A42C91"/>
    <w:rsid w:val="00A432BC"/>
    <w:rsid w:val="00A4339F"/>
    <w:rsid w:val="00A434FC"/>
    <w:rsid w:val="00A43527"/>
    <w:rsid w:val="00A4370D"/>
    <w:rsid w:val="00A4378D"/>
    <w:rsid w:val="00A43848"/>
    <w:rsid w:val="00A43871"/>
    <w:rsid w:val="00A438F4"/>
    <w:rsid w:val="00A43ADD"/>
    <w:rsid w:val="00A43C37"/>
    <w:rsid w:val="00A43CC2"/>
    <w:rsid w:val="00A43FDD"/>
    <w:rsid w:val="00A44118"/>
    <w:rsid w:val="00A442D0"/>
    <w:rsid w:val="00A44326"/>
    <w:rsid w:val="00A4454B"/>
    <w:rsid w:val="00A44ADB"/>
    <w:rsid w:val="00A44D81"/>
    <w:rsid w:val="00A44FFB"/>
    <w:rsid w:val="00A45026"/>
    <w:rsid w:val="00A45461"/>
    <w:rsid w:val="00A454EB"/>
    <w:rsid w:val="00A455C0"/>
    <w:rsid w:val="00A4587F"/>
    <w:rsid w:val="00A4589E"/>
    <w:rsid w:val="00A45B08"/>
    <w:rsid w:val="00A45BC8"/>
    <w:rsid w:val="00A45DEF"/>
    <w:rsid w:val="00A45E05"/>
    <w:rsid w:val="00A4604C"/>
    <w:rsid w:val="00A46118"/>
    <w:rsid w:val="00A461C1"/>
    <w:rsid w:val="00A4634E"/>
    <w:rsid w:val="00A46394"/>
    <w:rsid w:val="00A463E7"/>
    <w:rsid w:val="00A46957"/>
    <w:rsid w:val="00A46AA4"/>
    <w:rsid w:val="00A46AE5"/>
    <w:rsid w:val="00A46DBD"/>
    <w:rsid w:val="00A46DEC"/>
    <w:rsid w:val="00A46FEE"/>
    <w:rsid w:val="00A47052"/>
    <w:rsid w:val="00A471C6"/>
    <w:rsid w:val="00A47200"/>
    <w:rsid w:val="00A4725B"/>
    <w:rsid w:val="00A474EF"/>
    <w:rsid w:val="00A47522"/>
    <w:rsid w:val="00A4763C"/>
    <w:rsid w:val="00A4769B"/>
    <w:rsid w:val="00A477B8"/>
    <w:rsid w:val="00A478B9"/>
    <w:rsid w:val="00A47955"/>
    <w:rsid w:val="00A47ABA"/>
    <w:rsid w:val="00A47BF2"/>
    <w:rsid w:val="00A47C90"/>
    <w:rsid w:val="00A47C9C"/>
    <w:rsid w:val="00A47EE9"/>
    <w:rsid w:val="00A500A0"/>
    <w:rsid w:val="00A50634"/>
    <w:rsid w:val="00A50714"/>
    <w:rsid w:val="00A50BEF"/>
    <w:rsid w:val="00A50C76"/>
    <w:rsid w:val="00A50D88"/>
    <w:rsid w:val="00A50DFA"/>
    <w:rsid w:val="00A51166"/>
    <w:rsid w:val="00A511F5"/>
    <w:rsid w:val="00A512BA"/>
    <w:rsid w:val="00A513E4"/>
    <w:rsid w:val="00A5141B"/>
    <w:rsid w:val="00A519C5"/>
    <w:rsid w:val="00A51AD4"/>
    <w:rsid w:val="00A51C43"/>
    <w:rsid w:val="00A51CB7"/>
    <w:rsid w:val="00A51D83"/>
    <w:rsid w:val="00A51DBC"/>
    <w:rsid w:val="00A51ED1"/>
    <w:rsid w:val="00A52381"/>
    <w:rsid w:val="00A52639"/>
    <w:rsid w:val="00A526DF"/>
    <w:rsid w:val="00A52D2F"/>
    <w:rsid w:val="00A53297"/>
    <w:rsid w:val="00A532F1"/>
    <w:rsid w:val="00A535C7"/>
    <w:rsid w:val="00A539E6"/>
    <w:rsid w:val="00A53BA1"/>
    <w:rsid w:val="00A54025"/>
    <w:rsid w:val="00A5417E"/>
    <w:rsid w:val="00A5439B"/>
    <w:rsid w:val="00A544F9"/>
    <w:rsid w:val="00A54725"/>
    <w:rsid w:val="00A5482A"/>
    <w:rsid w:val="00A549CE"/>
    <w:rsid w:val="00A54A1B"/>
    <w:rsid w:val="00A54B1D"/>
    <w:rsid w:val="00A54BAF"/>
    <w:rsid w:val="00A54D02"/>
    <w:rsid w:val="00A54D2E"/>
    <w:rsid w:val="00A54F10"/>
    <w:rsid w:val="00A552D0"/>
    <w:rsid w:val="00A552F3"/>
    <w:rsid w:val="00A55428"/>
    <w:rsid w:val="00A556B8"/>
    <w:rsid w:val="00A55797"/>
    <w:rsid w:val="00A559AC"/>
    <w:rsid w:val="00A56106"/>
    <w:rsid w:val="00A56224"/>
    <w:rsid w:val="00A56611"/>
    <w:rsid w:val="00A569BC"/>
    <w:rsid w:val="00A56B7B"/>
    <w:rsid w:val="00A56BBA"/>
    <w:rsid w:val="00A571C1"/>
    <w:rsid w:val="00A57235"/>
    <w:rsid w:val="00A574D5"/>
    <w:rsid w:val="00A57527"/>
    <w:rsid w:val="00A575DB"/>
    <w:rsid w:val="00A577A1"/>
    <w:rsid w:val="00A579D8"/>
    <w:rsid w:val="00A579FC"/>
    <w:rsid w:val="00A57AC5"/>
    <w:rsid w:val="00A57D7E"/>
    <w:rsid w:val="00A600CE"/>
    <w:rsid w:val="00A60374"/>
    <w:rsid w:val="00A603C0"/>
    <w:rsid w:val="00A60536"/>
    <w:rsid w:val="00A605F7"/>
    <w:rsid w:val="00A606E0"/>
    <w:rsid w:val="00A60739"/>
    <w:rsid w:val="00A608C8"/>
    <w:rsid w:val="00A609A1"/>
    <w:rsid w:val="00A609CC"/>
    <w:rsid w:val="00A609FF"/>
    <w:rsid w:val="00A60B72"/>
    <w:rsid w:val="00A60B84"/>
    <w:rsid w:val="00A60BD0"/>
    <w:rsid w:val="00A60BEF"/>
    <w:rsid w:val="00A60CAE"/>
    <w:rsid w:val="00A60D4D"/>
    <w:rsid w:val="00A60DE4"/>
    <w:rsid w:val="00A60DF6"/>
    <w:rsid w:val="00A6103D"/>
    <w:rsid w:val="00A6111E"/>
    <w:rsid w:val="00A61124"/>
    <w:rsid w:val="00A61226"/>
    <w:rsid w:val="00A61414"/>
    <w:rsid w:val="00A617B4"/>
    <w:rsid w:val="00A618A6"/>
    <w:rsid w:val="00A61903"/>
    <w:rsid w:val="00A61A04"/>
    <w:rsid w:val="00A61A9F"/>
    <w:rsid w:val="00A61B21"/>
    <w:rsid w:val="00A61B9B"/>
    <w:rsid w:val="00A61C3E"/>
    <w:rsid w:val="00A61CDF"/>
    <w:rsid w:val="00A61E4E"/>
    <w:rsid w:val="00A61FB4"/>
    <w:rsid w:val="00A622B2"/>
    <w:rsid w:val="00A623BC"/>
    <w:rsid w:val="00A62475"/>
    <w:rsid w:val="00A624BF"/>
    <w:rsid w:val="00A624C6"/>
    <w:rsid w:val="00A625A5"/>
    <w:rsid w:val="00A6260B"/>
    <w:rsid w:val="00A6261A"/>
    <w:rsid w:val="00A6261E"/>
    <w:rsid w:val="00A62679"/>
    <w:rsid w:val="00A62724"/>
    <w:rsid w:val="00A62961"/>
    <w:rsid w:val="00A62E67"/>
    <w:rsid w:val="00A62EEB"/>
    <w:rsid w:val="00A63210"/>
    <w:rsid w:val="00A632D7"/>
    <w:rsid w:val="00A63337"/>
    <w:rsid w:val="00A635AF"/>
    <w:rsid w:val="00A63AEC"/>
    <w:rsid w:val="00A63BDE"/>
    <w:rsid w:val="00A641D1"/>
    <w:rsid w:val="00A64775"/>
    <w:rsid w:val="00A647EC"/>
    <w:rsid w:val="00A648B7"/>
    <w:rsid w:val="00A649D9"/>
    <w:rsid w:val="00A649F0"/>
    <w:rsid w:val="00A64A2B"/>
    <w:rsid w:val="00A64A7B"/>
    <w:rsid w:val="00A64AB3"/>
    <w:rsid w:val="00A64D43"/>
    <w:rsid w:val="00A65442"/>
    <w:rsid w:val="00A655F3"/>
    <w:rsid w:val="00A65994"/>
    <w:rsid w:val="00A65AB4"/>
    <w:rsid w:val="00A65ABD"/>
    <w:rsid w:val="00A65C68"/>
    <w:rsid w:val="00A667C1"/>
    <w:rsid w:val="00A66857"/>
    <w:rsid w:val="00A66979"/>
    <w:rsid w:val="00A6697D"/>
    <w:rsid w:val="00A669AB"/>
    <w:rsid w:val="00A66D6F"/>
    <w:rsid w:val="00A66D91"/>
    <w:rsid w:val="00A67118"/>
    <w:rsid w:val="00A67219"/>
    <w:rsid w:val="00A672BA"/>
    <w:rsid w:val="00A67346"/>
    <w:rsid w:val="00A673AC"/>
    <w:rsid w:val="00A6763D"/>
    <w:rsid w:val="00A67761"/>
    <w:rsid w:val="00A67781"/>
    <w:rsid w:val="00A678B8"/>
    <w:rsid w:val="00A67A92"/>
    <w:rsid w:val="00A67BC3"/>
    <w:rsid w:val="00A67F3F"/>
    <w:rsid w:val="00A70327"/>
    <w:rsid w:val="00A7036A"/>
    <w:rsid w:val="00A704A5"/>
    <w:rsid w:val="00A705A1"/>
    <w:rsid w:val="00A705B3"/>
    <w:rsid w:val="00A70722"/>
    <w:rsid w:val="00A7072A"/>
    <w:rsid w:val="00A70977"/>
    <w:rsid w:val="00A70A26"/>
    <w:rsid w:val="00A70A58"/>
    <w:rsid w:val="00A70F92"/>
    <w:rsid w:val="00A70FDE"/>
    <w:rsid w:val="00A71097"/>
    <w:rsid w:val="00A71176"/>
    <w:rsid w:val="00A713B7"/>
    <w:rsid w:val="00A714E6"/>
    <w:rsid w:val="00A71586"/>
    <w:rsid w:val="00A716CC"/>
    <w:rsid w:val="00A71800"/>
    <w:rsid w:val="00A71A5A"/>
    <w:rsid w:val="00A71D0B"/>
    <w:rsid w:val="00A71D7E"/>
    <w:rsid w:val="00A7215B"/>
    <w:rsid w:val="00A721B1"/>
    <w:rsid w:val="00A72221"/>
    <w:rsid w:val="00A72584"/>
    <w:rsid w:val="00A727E8"/>
    <w:rsid w:val="00A728FB"/>
    <w:rsid w:val="00A72935"/>
    <w:rsid w:val="00A72A8B"/>
    <w:rsid w:val="00A72BBF"/>
    <w:rsid w:val="00A72C71"/>
    <w:rsid w:val="00A72D8C"/>
    <w:rsid w:val="00A72E4B"/>
    <w:rsid w:val="00A72FE6"/>
    <w:rsid w:val="00A73109"/>
    <w:rsid w:val="00A732EE"/>
    <w:rsid w:val="00A73362"/>
    <w:rsid w:val="00A733A8"/>
    <w:rsid w:val="00A734A4"/>
    <w:rsid w:val="00A734B8"/>
    <w:rsid w:val="00A73838"/>
    <w:rsid w:val="00A73961"/>
    <w:rsid w:val="00A739FB"/>
    <w:rsid w:val="00A73A2D"/>
    <w:rsid w:val="00A73A7F"/>
    <w:rsid w:val="00A73CE3"/>
    <w:rsid w:val="00A73DAC"/>
    <w:rsid w:val="00A73E5C"/>
    <w:rsid w:val="00A73F79"/>
    <w:rsid w:val="00A74005"/>
    <w:rsid w:val="00A743B4"/>
    <w:rsid w:val="00A74657"/>
    <w:rsid w:val="00A747CF"/>
    <w:rsid w:val="00A7485A"/>
    <w:rsid w:val="00A74FB9"/>
    <w:rsid w:val="00A750D5"/>
    <w:rsid w:val="00A751D9"/>
    <w:rsid w:val="00A75290"/>
    <w:rsid w:val="00A7529C"/>
    <w:rsid w:val="00A75451"/>
    <w:rsid w:val="00A75473"/>
    <w:rsid w:val="00A754DD"/>
    <w:rsid w:val="00A75519"/>
    <w:rsid w:val="00A755EB"/>
    <w:rsid w:val="00A758FA"/>
    <w:rsid w:val="00A75B17"/>
    <w:rsid w:val="00A75BD8"/>
    <w:rsid w:val="00A75C39"/>
    <w:rsid w:val="00A75C90"/>
    <w:rsid w:val="00A75E2C"/>
    <w:rsid w:val="00A76166"/>
    <w:rsid w:val="00A76651"/>
    <w:rsid w:val="00A76964"/>
    <w:rsid w:val="00A76969"/>
    <w:rsid w:val="00A7698C"/>
    <w:rsid w:val="00A76A95"/>
    <w:rsid w:val="00A76D00"/>
    <w:rsid w:val="00A76E91"/>
    <w:rsid w:val="00A76FA1"/>
    <w:rsid w:val="00A76FA5"/>
    <w:rsid w:val="00A770A2"/>
    <w:rsid w:val="00A77188"/>
    <w:rsid w:val="00A77205"/>
    <w:rsid w:val="00A7721D"/>
    <w:rsid w:val="00A77312"/>
    <w:rsid w:val="00A77319"/>
    <w:rsid w:val="00A776CF"/>
    <w:rsid w:val="00A779E9"/>
    <w:rsid w:val="00A77B3F"/>
    <w:rsid w:val="00A77CB4"/>
    <w:rsid w:val="00A77CCE"/>
    <w:rsid w:val="00A80467"/>
    <w:rsid w:val="00A8048C"/>
    <w:rsid w:val="00A806AC"/>
    <w:rsid w:val="00A8087D"/>
    <w:rsid w:val="00A80B92"/>
    <w:rsid w:val="00A80F21"/>
    <w:rsid w:val="00A80F71"/>
    <w:rsid w:val="00A810C3"/>
    <w:rsid w:val="00A81189"/>
    <w:rsid w:val="00A8118C"/>
    <w:rsid w:val="00A811C0"/>
    <w:rsid w:val="00A81221"/>
    <w:rsid w:val="00A8136A"/>
    <w:rsid w:val="00A81739"/>
    <w:rsid w:val="00A81BB0"/>
    <w:rsid w:val="00A81BFD"/>
    <w:rsid w:val="00A81C8B"/>
    <w:rsid w:val="00A81EC4"/>
    <w:rsid w:val="00A81F3E"/>
    <w:rsid w:val="00A82010"/>
    <w:rsid w:val="00A8204E"/>
    <w:rsid w:val="00A823B9"/>
    <w:rsid w:val="00A8251D"/>
    <w:rsid w:val="00A82816"/>
    <w:rsid w:val="00A82AB6"/>
    <w:rsid w:val="00A82B09"/>
    <w:rsid w:val="00A8304A"/>
    <w:rsid w:val="00A8348C"/>
    <w:rsid w:val="00A834AF"/>
    <w:rsid w:val="00A83914"/>
    <w:rsid w:val="00A83A05"/>
    <w:rsid w:val="00A83B7C"/>
    <w:rsid w:val="00A83F20"/>
    <w:rsid w:val="00A83F95"/>
    <w:rsid w:val="00A8410E"/>
    <w:rsid w:val="00A84197"/>
    <w:rsid w:val="00A84328"/>
    <w:rsid w:val="00A843C6"/>
    <w:rsid w:val="00A84522"/>
    <w:rsid w:val="00A84541"/>
    <w:rsid w:val="00A84745"/>
    <w:rsid w:val="00A847A6"/>
    <w:rsid w:val="00A84871"/>
    <w:rsid w:val="00A84901"/>
    <w:rsid w:val="00A8490F"/>
    <w:rsid w:val="00A84979"/>
    <w:rsid w:val="00A84A03"/>
    <w:rsid w:val="00A84A45"/>
    <w:rsid w:val="00A84B98"/>
    <w:rsid w:val="00A84D25"/>
    <w:rsid w:val="00A85088"/>
    <w:rsid w:val="00A85168"/>
    <w:rsid w:val="00A85828"/>
    <w:rsid w:val="00A85846"/>
    <w:rsid w:val="00A85A3A"/>
    <w:rsid w:val="00A85AA1"/>
    <w:rsid w:val="00A85C50"/>
    <w:rsid w:val="00A85CBC"/>
    <w:rsid w:val="00A85D54"/>
    <w:rsid w:val="00A86120"/>
    <w:rsid w:val="00A86176"/>
    <w:rsid w:val="00A86258"/>
    <w:rsid w:val="00A86434"/>
    <w:rsid w:val="00A865F1"/>
    <w:rsid w:val="00A868E3"/>
    <w:rsid w:val="00A86B21"/>
    <w:rsid w:val="00A86C80"/>
    <w:rsid w:val="00A86D75"/>
    <w:rsid w:val="00A86D98"/>
    <w:rsid w:val="00A86F54"/>
    <w:rsid w:val="00A86FA1"/>
    <w:rsid w:val="00A870F1"/>
    <w:rsid w:val="00A87196"/>
    <w:rsid w:val="00A875E4"/>
    <w:rsid w:val="00A8762B"/>
    <w:rsid w:val="00A877AE"/>
    <w:rsid w:val="00A8784C"/>
    <w:rsid w:val="00A878E6"/>
    <w:rsid w:val="00A879A0"/>
    <w:rsid w:val="00A87F4C"/>
    <w:rsid w:val="00A90260"/>
    <w:rsid w:val="00A902FB"/>
    <w:rsid w:val="00A903F1"/>
    <w:rsid w:val="00A904BD"/>
    <w:rsid w:val="00A906F8"/>
    <w:rsid w:val="00A909F4"/>
    <w:rsid w:val="00A90B2D"/>
    <w:rsid w:val="00A90B57"/>
    <w:rsid w:val="00A91135"/>
    <w:rsid w:val="00A91260"/>
    <w:rsid w:val="00A91268"/>
    <w:rsid w:val="00A913F3"/>
    <w:rsid w:val="00A91407"/>
    <w:rsid w:val="00A914C8"/>
    <w:rsid w:val="00A914F5"/>
    <w:rsid w:val="00A91823"/>
    <w:rsid w:val="00A91837"/>
    <w:rsid w:val="00A919E0"/>
    <w:rsid w:val="00A91C5B"/>
    <w:rsid w:val="00A91E50"/>
    <w:rsid w:val="00A91F21"/>
    <w:rsid w:val="00A92986"/>
    <w:rsid w:val="00A92A9D"/>
    <w:rsid w:val="00A92ABF"/>
    <w:rsid w:val="00A92C48"/>
    <w:rsid w:val="00A92DFA"/>
    <w:rsid w:val="00A92E05"/>
    <w:rsid w:val="00A92EC6"/>
    <w:rsid w:val="00A92EFB"/>
    <w:rsid w:val="00A93286"/>
    <w:rsid w:val="00A93288"/>
    <w:rsid w:val="00A932CA"/>
    <w:rsid w:val="00A93461"/>
    <w:rsid w:val="00A938C4"/>
    <w:rsid w:val="00A93DF8"/>
    <w:rsid w:val="00A93E42"/>
    <w:rsid w:val="00A93EB5"/>
    <w:rsid w:val="00A93F98"/>
    <w:rsid w:val="00A940A0"/>
    <w:rsid w:val="00A940A8"/>
    <w:rsid w:val="00A94274"/>
    <w:rsid w:val="00A943D4"/>
    <w:rsid w:val="00A9442F"/>
    <w:rsid w:val="00A94582"/>
    <w:rsid w:val="00A945F5"/>
    <w:rsid w:val="00A9471C"/>
    <w:rsid w:val="00A9473E"/>
    <w:rsid w:val="00A94784"/>
    <w:rsid w:val="00A9488A"/>
    <w:rsid w:val="00A94A6C"/>
    <w:rsid w:val="00A94BB0"/>
    <w:rsid w:val="00A94D21"/>
    <w:rsid w:val="00A95029"/>
    <w:rsid w:val="00A95078"/>
    <w:rsid w:val="00A95088"/>
    <w:rsid w:val="00A95382"/>
    <w:rsid w:val="00A953E0"/>
    <w:rsid w:val="00A954E3"/>
    <w:rsid w:val="00A9558F"/>
    <w:rsid w:val="00A95656"/>
    <w:rsid w:val="00A958A9"/>
    <w:rsid w:val="00A95960"/>
    <w:rsid w:val="00A9599B"/>
    <w:rsid w:val="00A95AD9"/>
    <w:rsid w:val="00A95C47"/>
    <w:rsid w:val="00A95C6A"/>
    <w:rsid w:val="00A95C98"/>
    <w:rsid w:val="00A9619F"/>
    <w:rsid w:val="00A96303"/>
    <w:rsid w:val="00A964CA"/>
    <w:rsid w:val="00A9655E"/>
    <w:rsid w:val="00A96622"/>
    <w:rsid w:val="00A96793"/>
    <w:rsid w:val="00A96847"/>
    <w:rsid w:val="00A969BF"/>
    <w:rsid w:val="00A96B1E"/>
    <w:rsid w:val="00A96B52"/>
    <w:rsid w:val="00A96E88"/>
    <w:rsid w:val="00A96F7D"/>
    <w:rsid w:val="00A96F7E"/>
    <w:rsid w:val="00A971E7"/>
    <w:rsid w:val="00A973D3"/>
    <w:rsid w:val="00A97503"/>
    <w:rsid w:val="00A976F6"/>
    <w:rsid w:val="00A9783D"/>
    <w:rsid w:val="00A97932"/>
    <w:rsid w:val="00A97A9A"/>
    <w:rsid w:val="00A97AB7"/>
    <w:rsid w:val="00A97C7E"/>
    <w:rsid w:val="00A97CB1"/>
    <w:rsid w:val="00A97DF6"/>
    <w:rsid w:val="00AA00C9"/>
    <w:rsid w:val="00AA01FA"/>
    <w:rsid w:val="00AA0392"/>
    <w:rsid w:val="00AA04CB"/>
    <w:rsid w:val="00AA0614"/>
    <w:rsid w:val="00AA06D1"/>
    <w:rsid w:val="00AA079B"/>
    <w:rsid w:val="00AA09F9"/>
    <w:rsid w:val="00AA0BDA"/>
    <w:rsid w:val="00AA0D18"/>
    <w:rsid w:val="00AA0F31"/>
    <w:rsid w:val="00AA12F3"/>
    <w:rsid w:val="00AA17EF"/>
    <w:rsid w:val="00AA1835"/>
    <w:rsid w:val="00AA19FA"/>
    <w:rsid w:val="00AA2223"/>
    <w:rsid w:val="00AA2253"/>
    <w:rsid w:val="00AA2286"/>
    <w:rsid w:val="00AA2492"/>
    <w:rsid w:val="00AA24CF"/>
    <w:rsid w:val="00AA255B"/>
    <w:rsid w:val="00AA2654"/>
    <w:rsid w:val="00AA29B7"/>
    <w:rsid w:val="00AA2EBF"/>
    <w:rsid w:val="00AA2F88"/>
    <w:rsid w:val="00AA304E"/>
    <w:rsid w:val="00AA3423"/>
    <w:rsid w:val="00AA34B5"/>
    <w:rsid w:val="00AA34BB"/>
    <w:rsid w:val="00AA3501"/>
    <w:rsid w:val="00AA35CF"/>
    <w:rsid w:val="00AA3663"/>
    <w:rsid w:val="00AA3A56"/>
    <w:rsid w:val="00AA418B"/>
    <w:rsid w:val="00AA4351"/>
    <w:rsid w:val="00AA437C"/>
    <w:rsid w:val="00AA4386"/>
    <w:rsid w:val="00AA4759"/>
    <w:rsid w:val="00AA47C7"/>
    <w:rsid w:val="00AA482C"/>
    <w:rsid w:val="00AA492F"/>
    <w:rsid w:val="00AA49BD"/>
    <w:rsid w:val="00AA4C3D"/>
    <w:rsid w:val="00AA4CBE"/>
    <w:rsid w:val="00AA4D1C"/>
    <w:rsid w:val="00AA5194"/>
    <w:rsid w:val="00AA5401"/>
    <w:rsid w:val="00AA5617"/>
    <w:rsid w:val="00AA5A8A"/>
    <w:rsid w:val="00AA5BFA"/>
    <w:rsid w:val="00AA5E2F"/>
    <w:rsid w:val="00AA5ED6"/>
    <w:rsid w:val="00AA6044"/>
    <w:rsid w:val="00AA61CC"/>
    <w:rsid w:val="00AA6522"/>
    <w:rsid w:val="00AA6875"/>
    <w:rsid w:val="00AA68DB"/>
    <w:rsid w:val="00AA6DE1"/>
    <w:rsid w:val="00AA7144"/>
    <w:rsid w:val="00AA71FB"/>
    <w:rsid w:val="00AA7380"/>
    <w:rsid w:val="00AA744F"/>
    <w:rsid w:val="00AA7474"/>
    <w:rsid w:val="00AA7880"/>
    <w:rsid w:val="00AA79ED"/>
    <w:rsid w:val="00AA7BE5"/>
    <w:rsid w:val="00AA7EB0"/>
    <w:rsid w:val="00AA7FCF"/>
    <w:rsid w:val="00AB02D1"/>
    <w:rsid w:val="00AB0396"/>
    <w:rsid w:val="00AB095F"/>
    <w:rsid w:val="00AB09CC"/>
    <w:rsid w:val="00AB103F"/>
    <w:rsid w:val="00AB1665"/>
    <w:rsid w:val="00AB1666"/>
    <w:rsid w:val="00AB1742"/>
    <w:rsid w:val="00AB1B61"/>
    <w:rsid w:val="00AB1E2D"/>
    <w:rsid w:val="00AB1EDE"/>
    <w:rsid w:val="00AB1F9D"/>
    <w:rsid w:val="00AB1FAB"/>
    <w:rsid w:val="00AB1FBD"/>
    <w:rsid w:val="00AB2035"/>
    <w:rsid w:val="00AB2144"/>
    <w:rsid w:val="00AB219A"/>
    <w:rsid w:val="00AB2255"/>
    <w:rsid w:val="00AB22AF"/>
    <w:rsid w:val="00AB22FF"/>
    <w:rsid w:val="00AB2844"/>
    <w:rsid w:val="00AB2C9B"/>
    <w:rsid w:val="00AB2CD2"/>
    <w:rsid w:val="00AB30AE"/>
    <w:rsid w:val="00AB3768"/>
    <w:rsid w:val="00AB379B"/>
    <w:rsid w:val="00AB37DE"/>
    <w:rsid w:val="00AB3B35"/>
    <w:rsid w:val="00AB4150"/>
    <w:rsid w:val="00AB42E3"/>
    <w:rsid w:val="00AB430A"/>
    <w:rsid w:val="00AB45A4"/>
    <w:rsid w:val="00AB45F8"/>
    <w:rsid w:val="00AB4762"/>
    <w:rsid w:val="00AB47B3"/>
    <w:rsid w:val="00AB47E3"/>
    <w:rsid w:val="00AB49CF"/>
    <w:rsid w:val="00AB4B75"/>
    <w:rsid w:val="00AB4CEC"/>
    <w:rsid w:val="00AB502F"/>
    <w:rsid w:val="00AB50F7"/>
    <w:rsid w:val="00AB55D8"/>
    <w:rsid w:val="00AB5749"/>
    <w:rsid w:val="00AB5910"/>
    <w:rsid w:val="00AB5A10"/>
    <w:rsid w:val="00AB5C34"/>
    <w:rsid w:val="00AB5D23"/>
    <w:rsid w:val="00AB5DDE"/>
    <w:rsid w:val="00AB5E1F"/>
    <w:rsid w:val="00AB63DB"/>
    <w:rsid w:val="00AB654A"/>
    <w:rsid w:val="00AB655C"/>
    <w:rsid w:val="00AB6593"/>
    <w:rsid w:val="00AB6831"/>
    <w:rsid w:val="00AB6973"/>
    <w:rsid w:val="00AB6B7B"/>
    <w:rsid w:val="00AB6CC4"/>
    <w:rsid w:val="00AB7078"/>
    <w:rsid w:val="00AB7102"/>
    <w:rsid w:val="00AB71E0"/>
    <w:rsid w:val="00AB7395"/>
    <w:rsid w:val="00AB7443"/>
    <w:rsid w:val="00AB7BD1"/>
    <w:rsid w:val="00AB7CA6"/>
    <w:rsid w:val="00AB7DA5"/>
    <w:rsid w:val="00AC002A"/>
    <w:rsid w:val="00AC0037"/>
    <w:rsid w:val="00AC0042"/>
    <w:rsid w:val="00AC0594"/>
    <w:rsid w:val="00AC0678"/>
    <w:rsid w:val="00AC06D7"/>
    <w:rsid w:val="00AC0807"/>
    <w:rsid w:val="00AC08A7"/>
    <w:rsid w:val="00AC08DB"/>
    <w:rsid w:val="00AC0AAD"/>
    <w:rsid w:val="00AC0D39"/>
    <w:rsid w:val="00AC0E00"/>
    <w:rsid w:val="00AC1045"/>
    <w:rsid w:val="00AC111B"/>
    <w:rsid w:val="00AC11B2"/>
    <w:rsid w:val="00AC1339"/>
    <w:rsid w:val="00AC1342"/>
    <w:rsid w:val="00AC13A5"/>
    <w:rsid w:val="00AC1402"/>
    <w:rsid w:val="00AC14B3"/>
    <w:rsid w:val="00AC18D9"/>
    <w:rsid w:val="00AC1B7F"/>
    <w:rsid w:val="00AC1C36"/>
    <w:rsid w:val="00AC1CAC"/>
    <w:rsid w:val="00AC1DA9"/>
    <w:rsid w:val="00AC2035"/>
    <w:rsid w:val="00AC2163"/>
    <w:rsid w:val="00AC2218"/>
    <w:rsid w:val="00AC22B2"/>
    <w:rsid w:val="00AC22E5"/>
    <w:rsid w:val="00AC2448"/>
    <w:rsid w:val="00AC248C"/>
    <w:rsid w:val="00AC2997"/>
    <w:rsid w:val="00AC2A82"/>
    <w:rsid w:val="00AC2B75"/>
    <w:rsid w:val="00AC2BCD"/>
    <w:rsid w:val="00AC2CD2"/>
    <w:rsid w:val="00AC2D68"/>
    <w:rsid w:val="00AC314E"/>
    <w:rsid w:val="00AC32D8"/>
    <w:rsid w:val="00AC37D5"/>
    <w:rsid w:val="00AC3851"/>
    <w:rsid w:val="00AC39FE"/>
    <w:rsid w:val="00AC3B77"/>
    <w:rsid w:val="00AC3DDB"/>
    <w:rsid w:val="00AC3E4B"/>
    <w:rsid w:val="00AC408B"/>
    <w:rsid w:val="00AC40E7"/>
    <w:rsid w:val="00AC413E"/>
    <w:rsid w:val="00AC41ED"/>
    <w:rsid w:val="00AC4245"/>
    <w:rsid w:val="00AC4404"/>
    <w:rsid w:val="00AC45EA"/>
    <w:rsid w:val="00AC465F"/>
    <w:rsid w:val="00AC4899"/>
    <w:rsid w:val="00AC4E65"/>
    <w:rsid w:val="00AC502A"/>
    <w:rsid w:val="00AC51FC"/>
    <w:rsid w:val="00AC5315"/>
    <w:rsid w:val="00AC5330"/>
    <w:rsid w:val="00AC559C"/>
    <w:rsid w:val="00AC5691"/>
    <w:rsid w:val="00AC593D"/>
    <w:rsid w:val="00AC59B8"/>
    <w:rsid w:val="00AC5B68"/>
    <w:rsid w:val="00AC5C24"/>
    <w:rsid w:val="00AC5CF9"/>
    <w:rsid w:val="00AC5D6B"/>
    <w:rsid w:val="00AC5E31"/>
    <w:rsid w:val="00AC5EC0"/>
    <w:rsid w:val="00AC5F91"/>
    <w:rsid w:val="00AC6035"/>
    <w:rsid w:val="00AC618A"/>
    <w:rsid w:val="00AC638A"/>
    <w:rsid w:val="00AC66A5"/>
    <w:rsid w:val="00AC7123"/>
    <w:rsid w:val="00AC7231"/>
    <w:rsid w:val="00AC7260"/>
    <w:rsid w:val="00AC7323"/>
    <w:rsid w:val="00AC7570"/>
    <w:rsid w:val="00AC78A4"/>
    <w:rsid w:val="00AC7A73"/>
    <w:rsid w:val="00AC7B06"/>
    <w:rsid w:val="00AC7CCE"/>
    <w:rsid w:val="00AC7FD1"/>
    <w:rsid w:val="00AD003B"/>
    <w:rsid w:val="00AD024D"/>
    <w:rsid w:val="00AD04C1"/>
    <w:rsid w:val="00AD05C7"/>
    <w:rsid w:val="00AD070A"/>
    <w:rsid w:val="00AD09BD"/>
    <w:rsid w:val="00AD0C60"/>
    <w:rsid w:val="00AD0E40"/>
    <w:rsid w:val="00AD0F3E"/>
    <w:rsid w:val="00AD1016"/>
    <w:rsid w:val="00AD103B"/>
    <w:rsid w:val="00AD113D"/>
    <w:rsid w:val="00AD1414"/>
    <w:rsid w:val="00AD15DB"/>
    <w:rsid w:val="00AD16C4"/>
    <w:rsid w:val="00AD1A70"/>
    <w:rsid w:val="00AD1DF3"/>
    <w:rsid w:val="00AD266B"/>
    <w:rsid w:val="00AD2751"/>
    <w:rsid w:val="00AD2A67"/>
    <w:rsid w:val="00AD2BBA"/>
    <w:rsid w:val="00AD3075"/>
    <w:rsid w:val="00AD36B9"/>
    <w:rsid w:val="00AD3887"/>
    <w:rsid w:val="00AD399E"/>
    <w:rsid w:val="00AD3B0C"/>
    <w:rsid w:val="00AD3BBA"/>
    <w:rsid w:val="00AD3F04"/>
    <w:rsid w:val="00AD4126"/>
    <w:rsid w:val="00AD4384"/>
    <w:rsid w:val="00AD46F5"/>
    <w:rsid w:val="00AD472A"/>
    <w:rsid w:val="00AD4862"/>
    <w:rsid w:val="00AD4E54"/>
    <w:rsid w:val="00AD4F5A"/>
    <w:rsid w:val="00AD5228"/>
    <w:rsid w:val="00AD5571"/>
    <w:rsid w:val="00AD5574"/>
    <w:rsid w:val="00AD57B7"/>
    <w:rsid w:val="00AD581D"/>
    <w:rsid w:val="00AD5A8E"/>
    <w:rsid w:val="00AD5ACE"/>
    <w:rsid w:val="00AD5BBA"/>
    <w:rsid w:val="00AD5D4A"/>
    <w:rsid w:val="00AD5D87"/>
    <w:rsid w:val="00AD6435"/>
    <w:rsid w:val="00AD658C"/>
    <w:rsid w:val="00AD6618"/>
    <w:rsid w:val="00AD692F"/>
    <w:rsid w:val="00AD6DA1"/>
    <w:rsid w:val="00AD6DA5"/>
    <w:rsid w:val="00AD6FAC"/>
    <w:rsid w:val="00AD6FD9"/>
    <w:rsid w:val="00AD743E"/>
    <w:rsid w:val="00AD7851"/>
    <w:rsid w:val="00AD7B34"/>
    <w:rsid w:val="00AD7C30"/>
    <w:rsid w:val="00AD7FCB"/>
    <w:rsid w:val="00AE00B8"/>
    <w:rsid w:val="00AE01E9"/>
    <w:rsid w:val="00AE0217"/>
    <w:rsid w:val="00AE0495"/>
    <w:rsid w:val="00AE06E5"/>
    <w:rsid w:val="00AE079E"/>
    <w:rsid w:val="00AE07EA"/>
    <w:rsid w:val="00AE0869"/>
    <w:rsid w:val="00AE08EF"/>
    <w:rsid w:val="00AE0A8E"/>
    <w:rsid w:val="00AE0B5B"/>
    <w:rsid w:val="00AE0B6F"/>
    <w:rsid w:val="00AE0DF1"/>
    <w:rsid w:val="00AE0E49"/>
    <w:rsid w:val="00AE0E77"/>
    <w:rsid w:val="00AE1096"/>
    <w:rsid w:val="00AE122D"/>
    <w:rsid w:val="00AE12C2"/>
    <w:rsid w:val="00AE133D"/>
    <w:rsid w:val="00AE13EF"/>
    <w:rsid w:val="00AE1641"/>
    <w:rsid w:val="00AE1683"/>
    <w:rsid w:val="00AE17A8"/>
    <w:rsid w:val="00AE1B30"/>
    <w:rsid w:val="00AE1B42"/>
    <w:rsid w:val="00AE1D3B"/>
    <w:rsid w:val="00AE1EE4"/>
    <w:rsid w:val="00AE1EF0"/>
    <w:rsid w:val="00AE1F57"/>
    <w:rsid w:val="00AE2387"/>
    <w:rsid w:val="00AE242F"/>
    <w:rsid w:val="00AE265F"/>
    <w:rsid w:val="00AE2761"/>
    <w:rsid w:val="00AE2820"/>
    <w:rsid w:val="00AE28E2"/>
    <w:rsid w:val="00AE2957"/>
    <w:rsid w:val="00AE2A01"/>
    <w:rsid w:val="00AE2A1E"/>
    <w:rsid w:val="00AE2A53"/>
    <w:rsid w:val="00AE2A74"/>
    <w:rsid w:val="00AE2F48"/>
    <w:rsid w:val="00AE30A6"/>
    <w:rsid w:val="00AE30BC"/>
    <w:rsid w:val="00AE3223"/>
    <w:rsid w:val="00AE33FD"/>
    <w:rsid w:val="00AE3586"/>
    <w:rsid w:val="00AE35B1"/>
    <w:rsid w:val="00AE3627"/>
    <w:rsid w:val="00AE390C"/>
    <w:rsid w:val="00AE39D8"/>
    <w:rsid w:val="00AE3A91"/>
    <w:rsid w:val="00AE3BEF"/>
    <w:rsid w:val="00AE3C01"/>
    <w:rsid w:val="00AE3C99"/>
    <w:rsid w:val="00AE3E2E"/>
    <w:rsid w:val="00AE3FDE"/>
    <w:rsid w:val="00AE4020"/>
    <w:rsid w:val="00AE4097"/>
    <w:rsid w:val="00AE41FA"/>
    <w:rsid w:val="00AE43ED"/>
    <w:rsid w:val="00AE4439"/>
    <w:rsid w:val="00AE4632"/>
    <w:rsid w:val="00AE489B"/>
    <w:rsid w:val="00AE4C69"/>
    <w:rsid w:val="00AE5028"/>
    <w:rsid w:val="00AE5262"/>
    <w:rsid w:val="00AE5309"/>
    <w:rsid w:val="00AE534B"/>
    <w:rsid w:val="00AE53CC"/>
    <w:rsid w:val="00AE559F"/>
    <w:rsid w:val="00AE5B5D"/>
    <w:rsid w:val="00AE5BF2"/>
    <w:rsid w:val="00AE5E00"/>
    <w:rsid w:val="00AE5F3E"/>
    <w:rsid w:val="00AE60BC"/>
    <w:rsid w:val="00AE6193"/>
    <w:rsid w:val="00AE61A9"/>
    <w:rsid w:val="00AE64E4"/>
    <w:rsid w:val="00AE652B"/>
    <w:rsid w:val="00AE6569"/>
    <w:rsid w:val="00AE665A"/>
    <w:rsid w:val="00AE67A8"/>
    <w:rsid w:val="00AE6BD6"/>
    <w:rsid w:val="00AE6C64"/>
    <w:rsid w:val="00AE6DBA"/>
    <w:rsid w:val="00AE7180"/>
    <w:rsid w:val="00AE7295"/>
    <w:rsid w:val="00AE7359"/>
    <w:rsid w:val="00AE7864"/>
    <w:rsid w:val="00AE7891"/>
    <w:rsid w:val="00AE792F"/>
    <w:rsid w:val="00AE7991"/>
    <w:rsid w:val="00AE7A8C"/>
    <w:rsid w:val="00AE7B6F"/>
    <w:rsid w:val="00AE7DF5"/>
    <w:rsid w:val="00AF0091"/>
    <w:rsid w:val="00AF0111"/>
    <w:rsid w:val="00AF072F"/>
    <w:rsid w:val="00AF078F"/>
    <w:rsid w:val="00AF0DB6"/>
    <w:rsid w:val="00AF147A"/>
    <w:rsid w:val="00AF1757"/>
    <w:rsid w:val="00AF180B"/>
    <w:rsid w:val="00AF1A9B"/>
    <w:rsid w:val="00AF1C67"/>
    <w:rsid w:val="00AF1CDD"/>
    <w:rsid w:val="00AF1E45"/>
    <w:rsid w:val="00AF1EA2"/>
    <w:rsid w:val="00AF2129"/>
    <w:rsid w:val="00AF23DE"/>
    <w:rsid w:val="00AF2476"/>
    <w:rsid w:val="00AF2728"/>
    <w:rsid w:val="00AF2BB9"/>
    <w:rsid w:val="00AF2DB8"/>
    <w:rsid w:val="00AF2F2C"/>
    <w:rsid w:val="00AF319E"/>
    <w:rsid w:val="00AF323B"/>
    <w:rsid w:val="00AF32D6"/>
    <w:rsid w:val="00AF354E"/>
    <w:rsid w:val="00AF3919"/>
    <w:rsid w:val="00AF39EB"/>
    <w:rsid w:val="00AF3A25"/>
    <w:rsid w:val="00AF3C25"/>
    <w:rsid w:val="00AF3E03"/>
    <w:rsid w:val="00AF3E20"/>
    <w:rsid w:val="00AF3F5E"/>
    <w:rsid w:val="00AF42B9"/>
    <w:rsid w:val="00AF4386"/>
    <w:rsid w:val="00AF44CA"/>
    <w:rsid w:val="00AF4551"/>
    <w:rsid w:val="00AF4813"/>
    <w:rsid w:val="00AF499C"/>
    <w:rsid w:val="00AF4A0F"/>
    <w:rsid w:val="00AF4A47"/>
    <w:rsid w:val="00AF4C8D"/>
    <w:rsid w:val="00AF4CF3"/>
    <w:rsid w:val="00AF524A"/>
    <w:rsid w:val="00AF57E8"/>
    <w:rsid w:val="00AF5951"/>
    <w:rsid w:val="00AF59E0"/>
    <w:rsid w:val="00AF5A00"/>
    <w:rsid w:val="00AF5D87"/>
    <w:rsid w:val="00AF5E5B"/>
    <w:rsid w:val="00AF60C7"/>
    <w:rsid w:val="00AF6607"/>
    <w:rsid w:val="00AF679A"/>
    <w:rsid w:val="00AF6925"/>
    <w:rsid w:val="00AF69AB"/>
    <w:rsid w:val="00AF69C6"/>
    <w:rsid w:val="00AF6AB5"/>
    <w:rsid w:val="00AF6C88"/>
    <w:rsid w:val="00AF6CDA"/>
    <w:rsid w:val="00AF71C8"/>
    <w:rsid w:val="00AF726F"/>
    <w:rsid w:val="00AF775E"/>
    <w:rsid w:val="00AF7790"/>
    <w:rsid w:val="00AF7866"/>
    <w:rsid w:val="00AF7BB0"/>
    <w:rsid w:val="00B002F3"/>
    <w:rsid w:val="00B00354"/>
    <w:rsid w:val="00B00373"/>
    <w:rsid w:val="00B0079A"/>
    <w:rsid w:val="00B007C1"/>
    <w:rsid w:val="00B0086F"/>
    <w:rsid w:val="00B009A1"/>
    <w:rsid w:val="00B00B11"/>
    <w:rsid w:val="00B00F43"/>
    <w:rsid w:val="00B01208"/>
    <w:rsid w:val="00B01367"/>
    <w:rsid w:val="00B018C2"/>
    <w:rsid w:val="00B01950"/>
    <w:rsid w:val="00B01B25"/>
    <w:rsid w:val="00B01E0E"/>
    <w:rsid w:val="00B0210B"/>
    <w:rsid w:val="00B023EE"/>
    <w:rsid w:val="00B0243B"/>
    <w:rsid w:val="00B02459"/>
    <w:rsid w:val="00B027B0"/>
    <w:rsid w:val="00B0285B"/>
    <w:rsid w:val="00B02871"/>
    <w:rsid w:val="00B02986"/>
    <w:rsid w:val="00B02A1E"/>
    <w:rsid w:val="00B02B8B"/>
    <w:rsid w:val="00B02BE9"/>
    <w:rsid w:val="00B02EBC"/>
    <w:rsid w:val="00B02F93"/>
    <w:rsid w:val="00B03084"/>
    <w:rsid w:val="00B0309F"/>
    <w:rsid w:val="00B030B2"/>
    <w:rsid w:val="00B0311E"/>
    <w:rsid w:val="00B03333"/>
    <w:rsid w:val="00B0348B"/>
    <w:rsid w:val="00B0357F"/>
    <w:rsid w:val="00B0359F"/>
    <w:rsid w:val="00B039FB"/>
    <w:rsid w:val="00B03AB6"/>
    <w:rsid w:val="00B03AD6"/>
    <w:rsid w:val="00B03E00"/>
    <w:rsid w:val="00B03E43"/>
    <w:rsid w:val="00B04522"/>
    <w:rsid w:val="00B046C3"/>
    <w:rsid w:val="00B046FA"/>
    <w:rsid w:val="00B0490F"/>
    <w:rsid w:val="00B04A4B"/>
    <w:rsid w:val="00B04AC2"/>
    <w:rsid w:val="00B04AE3"/>
    <w:rsid w:val="00B04BDA"/>
    <w:rsid w:val="00B04D15"/>
    <w:rsid w:val="00B04D99"/>
    <w:rsid w:val="00B04E9F"/>
    <w:rsid w:val="00B052BC"/>
    <w:rsid w:val="00B05877"/>
    <w:rsid w:val="00B05BB4"/>
    <w:rsid w:val="00B05E4B"/>
    <w:rsid w:val="00B05EE0"/>
    <w:rsid w:val="00B05FEF"/>
    <w:rsid w:val="00B0630C"/>
    <w:rsid w:val="00B0630F"/>
    <w:rsid w:val="00B0631C"/>
    <w:rsid w:val="00B063A6"/>
    <w:rsid w:val="00B066F4"/>
    <w:rsid w:val="00B0680B"/>
    <w:rsid w:val="00B069D5"/>
    <w:rsid w:val="00B06A65"/>
    <w:rsid w:val="00B06C24"/>
    <w:rsid w:val="00B06CB9"/>
    <w:rsid w:val="00B06D4E"/>
    <w:rsid w:val="00B06E80"/>
    <w:rsid w:val="00B06F1A"/>
    <w:rsid w:val="00B072BB"/>
    <w:rsid w:val="00B079D4"/>
    <w:rsid w:val="00B07CB7"/>
    <w:rsid w:val="00B07D76"/>
    <w:rsid w:val="00B07EC2"/>
    <w:rsid w:val="00B07FBB"/>
    <w:rsid w:val="00B10171"/>
    <w:rsid w:val="00B1038A"/>
    <w:rsid w:val="00B10450"/>
    <w:rsid w:val="00B104CC"/>
    <w:rsid w:val="00B10653"/>
    <w:rsid w:val="00B106A6"/>
    <w:rsid w:val="00B1076D"/>
    <w:rsid w:val="00B10C1A"/>
    <w:rsid w:val="00B10E07"/>
    <w:rsid w:val="00B10E92"/>
    <w:rsid w:val="00B11067"/>
    <w:rsid w:val="00B112B3"/>
    <w:rsid w:val="00B115CB"/>
    <w:rsid w:val="00B116B6"/>
    <w:rsid w:val="00B11843"/>
    <w:rsid w:val="00B11CA0"/>
    <w:rsid w:val="00B11E32"/>
    <w:rsid w:val="00B11EBF"/>
    <w:rsid w:val="00B12076"/>
    <w:rsid w:val="00B1213F"/>
    <w:rsid w:val="00B12321"/>
    <w:rsid w:val="00B12386"/>
    <w:rsid w:val="00B125BA"/>
    <w:rsid w:val="00B125F2"/>
    <w:rsid w:val="00B12A49"/>
    <w:rsid w:val="00B12A54"/>
    <w:rsid w:val="00B12A96"/>
    <w:rsid w:val="00B12AFD"/>
    <w:rsid w:val="00B12B85"/>
    <w:rsid w:val="00B133F5"/>
    <w:rsid w:val="00B1366A"/>
    <w:rsid w:val="00B136C7"/>
    <w:rsid w:val="00B1374E"/>
    <w:rsid w:val="00B13791"/>
    <w:rsid w:val="00B138AD"/>
    <w:rsid w:val="00B13985"/>
    <w:rsid w:val="00B13D4D"/>
    <w:rsid w:val="00B13EFD"/>
    <w:rsid w:val="00B1416A"/>
    <w:rsid w:val="00B1456C"/>
    <w:rsid w:val="00B146A2"/>
    <w:rsid w:val="00B14892"/>
    <w:rsid w:val="00B148D0"/>
    <w:rsid w:val="00B149A9"/>
    <w:rsid w:val="00B14A4A"/>
    <w:rsid w:val="00B14C1F"/>
    <w:rsid w:val="00B14CBD"/>
    <w:rsid w:val="00B1545F"/>
    <w:rsid w:val="00B15652"/>
    <w:rsid w:val="00B1577D"/>
    <w:rsid w:val="00B15870"/>
    <w:rsid w:val="00B15A58"/>
    <w:rsid w:val="00B15BBF"/>
    <w:rsid w:val="00B15C22"/>
    <w:rsid w:val="00B15F80"/>
    <w:rsid w:val="00B162C4"/>
    <w:rsid w:val="00B16338"/>
    <w:rsid w:val="00B1642E"/>
    <w:rsid w:val="00B164AE"/>
    <w:rsid w:val="00B16550"/>
    <w:rsid w:val="00B16885"/>
    <w:rsid w:val="00B16D64"/>
    <w:rsid w:val="00B16ED2"/>
    <w:rsid w:val="00B16FB0"/>
    <w:rsid w:val="00B17065"/>
    <w:rsid w:val="00B17184"/>
    <w:rsid w:val="00B17365"/>
    <w:rsid w:val="00B1748B"/>
    <w:rsid w:val="00B1779E"/>
    <w:rsid w:val="00B178EA"/>
    <w:rsid w:val="00B200D8"/>
    <w:rsid w:val="00B20245"/>
    <w:rsid w:val="00B20278"/>
    <w:rsid w:val="00B204E9"/>
    <w:rsid w:val="00B20585"/>
    <w:rsid w:val="00B205D9"/>
    <w:rsid w:val="00B207F3"/>
    <w:rsid w:val="00B20945"/>
    <w:rsid w:val="00B20C4A"/>
    <w:rsid w:val="00B20CEE"/>
    <w:rsid w:val="00B210C2"/>
    <w:rsid w:val="00B21134"/>
    <w:rsid w:val="00B21496"/>
    <w:rsid w:val="00B216C7"/>
    <w:rsid w:val="00B216FD"/>
    <w:rsid w:val="00B21A72"/>
    <w:rsid w:val="00B21B4F"/>
    <w:rsid w:val="00B22371"/>
    <w:rsid w:val="00B2254C"/>
    <w:rsid w:val="00B227C3"/>
    <w:rsid w:val="00B228D1"/>
    <w:rsid w:val="00B228E2"/>
    <w:rsid w:val="00B2299A"/>
    <w:rsid w:val="00B229B1"/>
    <w:rsid w:val="00B22BF1"/>
    <w:rsid w:val="00B22C7B"/>
    <w:rsid w:val="00B22EA6"/>
    <w:rsid w:val="00B22FE2"/>
    <w:rsid w:val="00B23119"/>
    <w:rsid w:val="00B231B0"/>
    <w:rsid w:val="00B2327F"/>
    <w:rsid w:val="00B232BD"/>
    <w:rsid w:val="00B2332A"/>
    <w:rsid w:val="00B233A9"/>
    <w:rsid w:val="00B233FD"/>
    <w:rsid w:val="00B23607"/>
    <w:rsid w:val="00B23AB9"/>
    <w:rsid w:val="00B23D12"/>
    <w:rsid w:val="00B23E4C"/>
    <w:rsid w:val="00B23E9A"/>
    <w:rsid w:val="00B23FC7"/>
    <w:rsid w:val="00B2424B"/>
    <w:rsid w:val="00B24303"/>
    <w:rsid w:val="00B24424"/>
    <w:rsid w:val="00B2452F"/>
    <w:rsid w:val="00B245A0"/>
    <w:rsid w:val="00B2497E"/>
    <w:rsid w:val="00B24A41"/>
    <w:rsid w:val="00B24B85"/>
    <w:rsid w:val="00B24C1F"/>
    <w:rsid w:val="00B24CEE"/>
    <w:rsid w:val="00B24D52"/>
    <w:rsid w:val="00B24D7F"/>
    <w:rsid w:val="00B24E45"/>
    <w:rsid w:val="00B25013"/>
    <w:rsid w:val="00B25175"/>
    <w:rsid w:val="00B25369"/>
    <w:rsid w:val="00B25462"/>
    <w:rsid w:val="00B2549F"/>
    <w:rsid w:val="00B254FB"/>
    <w:rsid w:val="00B257F1"/>
    <w:rsid w:val="00B2595D"/>
    <w:rsid w:val="00B25A2E"/>
    <w:rsid w:val="00B25A95"/>
    <w:rsid w:val="00B25C7C"/>
    <w:rsid w:val="00B25D44"/>
    <w:rsid w:val="00B25DF1"/>
    <w:rsid w:val="00B25E47"/>
    <w:rsid w:val="00B25EBD"/>
    <w:rsid w:val="00B25ED4"/>
    <w:rsid w:val="00B25FCB"/>
    <w:rsid w:val="00B25FD8"/>
    <w:rsid w:val="00B26226"/>
    <w:rsid w:val="00B26403"/>
    <w:rsid w:val="00B2669A"/>
    <w:rsid w:val="00B2676B"/>
    <w:rsid w:val="00B26A59"/>
    <w:rsid w:val="00B26B2E"/>
    <w:rsid w:val="00B26DCC"/>
    <w:rsid w:val="00B26FCB"/>
    <w:rsid w:val="00B2721D"/>
    <w:rsid w:val="00B2726C"/>
    <w:rsid w:val="00B273BD"/>
    <w:rsid w:val="00B27543"/>
    <w:rsid w:val="00B27686"/>
    <w:rsid w:val="00B278DE"/>
    <w:rsid w:val="00B27BB5"/>
    <w:rsid w:val="00B27C97"/>
    <w:rsid w:val="00B30007"/>
    <w:rsid w:val="00B30078"/>
    <w:rsid w:val="00B30200"/>
    <w:rsid w:val="00B3055D"/>
    <w:rsid w:val="00B30570"/>
    <w:rsid w:val="00B30680"/>
    <w:rsid w:val="00B308C9"/>
    <w:rsid w:val="00B30A97"/>
    <w:rsid w:val="00B30B49"/>
    <w:rsid w:val="00B30B80"/>
    <w:rsid w:val="00B30F8E"/>
    <w:rsid w:val="00B31094"/>
    <w:rsid w:val="00B311AC"/>
    <w:rsid w:val="00B311CA"/>
    <w:rsid w:val="00B3129B"/>
    <w:rsid w:val="00B31697"/>
    <w:rsid w:val="00B31747"/>
    <w:rsid w:val="00B31C36"/>
    <w:rsid w:val="00B31C89"/>
    <w:rsid w:val="00B3202A"/>
    <w:rsid w:val="00B3208B"/>
    <w:rsid w:val="00B322A9"/>
    <w:rsid w:val="00B32470"/>
    <w:rsid w:val="00B326FA"/>
    <w:rsid w:val="00B3282A"/>
    <w:rsid w:val="00B329B5"/>
    <w:rsid w:val="00B32B28"/>
    <w:rsid w:val="00B32BD4"/>
    <w:rsid w:val="00B32E39"/>
    <w:rsid w:val="00B330C5"/>
    <w:rsid w:val="00B3315D"/>
    <w:rsid w:val="00B332AE"/>
    <w:rsid w:val="00B33683"/>
    <w:rsid w:val="00B337C8"/>
    <w:rsid w:val="00B338A4"/>
    <w:rsid w:val="00B33951"/>
    <w:rsid w:val="00B33992"/>
    <w:rsid w:val="00B33A60"/>
    <w:rsid w:val="00B33DEE"/>
    <w:rsid w:val="00B342CA"/>
    <w:rsid w:val="00B3436C"/>
    <w:rsid w:val="00B3438F"/>
    <w:rsid w:val="00B347F3"/>
    <w:rsid w:val="00B34C73"/>
    <w:rsid w:val="00B351D5"/>
    <w:rsid w:val="00B352A2"/>
    <w:rsid w:val="00B353E1"/>
    <w:rsid w:val="00B35484"/>
    <w:rsid w:val="00B35B06"/>
    <w:rsid w:val="00B35B77"/>
    <w:rsid w:val="00B35C37"/>
    <w:rsid w:val="00B35CD5"/>
    <w:rsid w:val="00B35CD7"/>
    <w:rsid w:val="00B35CF5"/>
    <w:rsid w:val="00B35D7C"/>
    <w:rsid w:val="00B35D98"/>
    <w:rsid w:val="00B36104"/>
    <w:rsid w:val="00B361D5"/>
    <w:rsid w:val="00B3630E"/>
    <w:rsid w:val="00B3661B"/>
    <w:rsid w:val="00B36B64"/>
    <w:rsid w:val="00B36D45"/>
    <w:rsid w:val="00B36F04"/>
    <w:rsid w:val="00B370BC"/>
    <w:rsid w:val="00B370E7"/>
    <w:rsid w:val="00B376FB"/>
    <w:rsid w:val="00B37864"/>
    <w:rsid w:val="00B37AD4"/>
    <w:rsid w:val="00B37E65"/>
    <w:rsid w:val="00B40032"/>
    <w:rsid w:val="00B4027E"/>
    <w:rsid w:val="00B4039E"/>
    <w:rsid w:val="00B40695"/>
    <w:rsid w:val="00B408A7"/>
    <w:rsid w:val="00B40AD8"/>
    <w:rsid w:val="00B40E50"/>
    <w:rsid w:val="00B40EA9"/>
    <w:rsid w:val="00B410E0"/>
    <w:rsid w:val="00B41373"/>
    <w:rsid w:val="00B413DB"/>
    <w:rsid w:val="00B41737"/>
    <w:rsid w:val="00B418B8"/>
    <w:rsid w:val="00B41A8D"/>
    <w:rsid w:val="00B41C23"/>
    <w:rsid w:val="00B41C7A"/>
    <w:rsid w:val="00B41D36"/>
    <w:rsid w:val="00B41D91"/>
    <w:rsid w:val="00B421E9"/>
    <w:rsid w:val="00B422EE"/>
    <w:rsid w:val="00B424EC"/>
    <w:rsid w:val="00B42679"/>
    <w:rsid w:val="00B42792"/>
    <w:rsid w:val="00B42B24"/>
    <w:rsid w:val="00B42B25"/>
    <w:rsid w:val="00B42BEC"/>
    <w:rsid w:val="00B42CBC"/>
    <w:rsid w:val="00B42D28"/>
    <w:rsid w:val="00B42E81"/>
    <w:rsid w:val="00B42FD1"/>
    <w:rsid w:val="00B43105"/>
    <w:rsid w:val="00B431CA"/>
    <w:rsid w:val="00B434EE"/>
    <w:rsid w:val="00B43741"/>
    <w:rsid w:val="00B43805"/>
    <w:rsid w:val="00B439E6"/>
    <w:rsid w:val="00B43B09"/>
    <w:rsid w:val="00B441DC"/>
    <w:rsid w:val="00B443E6"/>
    <w:rsid w:val="00B4455F"/>
    <w:rsid w:val="00B446CC"/>
    <w:rsid w:val="00B44754"/>
    <w:rsid w:val="00B44970"/>
    <w:rsid w:val="00B44990"/>
    <w:rsid w:val="00B44C64"/>
    <w:rsid w:val="00B44CC1"/>
    <w:rsid w:val="00B44FA3"/>
    <w:rsid w:val="00B450EC"/>
    <w:rsid w:val="00B4564C"/>
    <w:rsid w:val="00B4566E"/>
    <w:rsid w:val="00B45925"/>
    <w:rsid w:val="00B459AF"/>
    <w:rsid w:val="00B45BE1"/>
    <w:rsid w:val="00B45D48"/>
    <w:rsid w:val="00B4636E"/>
    <w:rsid w:val="00B46517"/>
    <w:rsid w:val="00B4661B"/>
    <w:rsid w:val="00B466EC"/>
    <w:rsid w:val="00B46767"/>
    <w:rsid w:val="00B46781"/>
    <w:rsid w:val="00B467FC"/>
    <w:rsid w:val="00B46840"/>
    <w:rsid w:val="00B468E7"/>
    <w:rsid w:val="00B46D30"/>
    <w:rsid w:val="00B46E40"/>
    <w:rsid w:val="00B46EBB"/>
    <w:rsid w:val="00B4733D"/>
    <w:rsid w:val="00B4733F"/>
    <w:rsid w:val="00B47356"/>
    <w:rsid w:val="00B474FF"/>
    <w:rsid w:val="00B476F2"/>
    <w:rsid w:val="00B4771E"/>
    <w:rsid w:val="00B47747"/>
    <w:rsid w:val="00B47790"/>
    <w:rsid w:val="00B47AF8"/>
    <w:rsid w:val="00B47C2F"/>
    <w:rsid w:val="00B47E16"/>
    <w:rsid w:val="00B5023B"/>
    <w:rsid w:val="00B5023C"/>
    <w:rsid w:val="00B502F4"/>
    <w:rsid w:val="00B5039A"/>
    <w:rsid w:val="00B50632"/>
    <w:rsid w:val="00B5077D"/>
    <w:rsid w:val="00B507AA"/>
    <w:rsid w:val="00B5085D"/>
    <w:rsid w:val="00B50932"/>
    <w:rsid w:val="00B50A34"/>
    <w:rsid w:val="00B50A38"/>
    <w:rsid w:val="00B50B1C"/>
    <w:rsid w:val="00B50B35"/>
    <w:rsid w:val="00B50CB7"/>
    <w:rsid w:val="00B50F8B"/>
    <w:rsid w:val="00B5107C"/>
    <w:rsid w:val="00B511AD"/>
    <w:rsid w:val="00B512F6"/>
    <w:rsid w:val="00B5132D"/>
    <w:rsid w:val="00B515F7"/>
    <w:rsid w:val="00B516A6"/>
    <w:rsid w:val="00B516D7"/>
    <w:rsid w:val="00B5196C"/>
    <w:rsid w:val="00B51AD8"/>
    <w:rsid w:val="00B51B0E"/>
    <w:rsid w:val="00B51D20"/>
    <w:rsid w:val="00B51E07"/>
    <w:rsid w:val="00B521D9"/>
    <w:rsid w:val="00B521EA"/>
    <w:rsid w:val="00B5245A"/>
    <w:rsid w:val="00B524C0"/>
    <w:rsid w:val="00B524E0"/>
    <w:rsid w:val="00B525BF"/>
    <w:rsid w:val="00B525D6"/>
    <w:rsid w:val="00B52602"/>
    <w:rsid w:val="00B52761"/>
    <w:rsid w:val="00B527F9"/>
    <w:rsid w:val="00B5295B"/>
    <w:rsid w:val="00B52BE1"/>
    <w:rsid w:val="00B530F7"/>
    <w:rsid w:val="00B53521"/>
    <w:rsid w:val="00B5355C"/>
    <w:rsid w:val="00B535A2"/>
    <w:rsid w:val="00B53656"/>
    <w:rsid w:val="00B536CE"/>
    <w:rsid w:val="00B5391D"/>
    <w:rsid w:val="00B53964"/>
    <w:rsid w:val="00B53A94"/>
    <w:rsid w:val="00B53DCD"/>
    <w:rsid w:val="00B53DD2"/>
    <w:rsid w:val="00B53DE9"/>
    <w:rsid w:val="00B53EF9"/>
    <w:rsid w:val="00B53F41"/>
    <w:rsid w:val="00B5400D"/>
    <w:rsid w:val="00B5400F"/>
    <w:rsid w:val="00B54204"/>
    <w:rsid w:val="00B5453C"/>
    <w:rsid w:val="00B54587"/>
    <w:rsid w:val="00B545B0"/>
    <w:rsid w:val="00B545BD"/>
    <w:rsid w:val="00B54682"/>
    <w:rsid w:val="00B546D7"/>
    <w:rsid w:val="00B548DA"/>
    <w:rsid w:val="00B54A13"/>
    <w:rsid w:val="00B54A71"/>
    <w:rsid w:val="00B54C85"/>
    <w:rsid w:val="00B554EA"/>
    <w:rsid w:val="00B5563F"/>
    <w:rsid w:val="00B55AEB"/>
    <w:rsid w:val="00B55C22"/>
    <w:rsid w:val="00B55CE7"/>
    <w:rsid w:val="00B55E8D"/>
    <w:rsid w:val="00B55FC7"/>
    <w:rsid w:val="00B5612B"/>
    <w:rsid w:val="00B561C9"/>
    <w:rsid w:val="00B5640E"/>
    <w:rsid w:val="00B564C2"/>
    <w:rsid w:val="00B565EC"/>
    <w:rsid w:val="00B56795"/>
    <w:rsid w:val="00B567B4"/>
    <w:rsid w:val="00B567F8"/>
    <w:rsid w:val="00B569F4"/>
    <w:rsid w:val="00B56A96"/>
    <w:rsid w:val="00B56B8C"/>
    <w:rsid w:val="00B56CF2"/>
    <w:rsid w:val="00B56DF9"/>
    <w:rsid w:val="00B57564"/>
    <w:rsid w:val="00B5790B"/>
    <w:rsid w:val="00B57A83"/>
    <w:rsid w:val="00B57D1C"/>
    <w:rsid w:val="00B57D91"/>
    <w:rsid w:val="00B57EA5"/>
    <w:rsid w:val="00B602B2"/>
    <w:rsid w:val="00B60301"/>
    <w:rsid w:val="00B60660"/>
    <w:rsid w:val="00B607CB"/>
    <w:rsid w:val="00B609C5"/>
    <w:rsid w:val="00B60B07"/>
    <w:rsid w:val="00B60EBE"/>
    <w:rsid w:val="00B60F5C"/>
    <w:rsid w:val="00B610FD"/>
    <w:rsid w:val="00B610FE"/>
    <w:rsid w:val="00B6112B"/>
    <w:rsid w:val="00B612A5"/>
    <w:rsid w:val="00B6133E"/>
    <w:rsid w:val="00B613F9"/>
    <w:rsid w:val="00B6140D"/>
    <w:rsid w:val="00B61490"/>
    <w:rsid w:val="00B6153E"/>
    <w:rsid w:val="00B61565"/>
    <w:rsid w:val="00B61712"/>
    <w:rsid w:val="00B617C4"/>
    <w:rsid w:val="00B61823"/>
    <w:rsid w:val="00B618B8"/>
    <w:rsid w:val="00B61A8E"/>
    <w:rsid w:val="00B61C09"/>
    <w:rsid w:val="00B61E71"/>
    <w:rsid w:val="00B61EF4"/>
    <w:rsid w:val="00B61F46"/>
    <w:rsid w:val="00B61F77"/>
    <w:rsid w:val="00B622AD"/>
    <w:rsid w:val="00B6231A"/>
    <w:rsid w:val="00B62605"/>
    <w:rsid w:val="00B628CE"/>
    <w:rsid w:val="00B62B7A"/>
    <w:rsid w:val="00B62C8E"/>
    <w:rsid w:val="00B62D96"/>
    <w:rsid w:val="00B62DEA"/>
    <w:rsid w:val="00B62FBE"/>
    <w:rsid w:val="00B62FE9"/>
    <w:rsid w:val="00B632F2"/>
    <w:rsid w:val="00B634C8"/>
    <w:rsid w:val="00B635CC"/>
    <w:rsid w:val="00B639F8"/>
    <w:rsid w:val="00B63CDB"/>
    <w:rsid w:val="00B63FD7"/>
    <w:rsid w:val="00B63FDE"/>
    <w:rsid w:val="00B64000"/>
    <w:rsid w:val="00B64097"/>
    <w:rsid w:val="00B640AD"/>
    <w:rsid w:val="00B640F4"/>
    <w:rsid w:val="00B64230"/>
    <w:rsid w:val="00B642BC"/>
    <w:rsid w:val="00B6450E"/>
    <w:rsid w:val="00B645D9"/>
    <w:rsid w:val="00B64618"/>
    <w:rsid w:val="00B64DAF"/>
    <w:rsid w:val="00B64EB8"/>
    <w:rsid w:val="00B6504A"/>
    <w:rsid w:val="00B650CC"/>
    <w:rsid w:val="00B6527E"/>
    <w:rsid w:val="00B6533F"/>
    <w:rsid w:val="00B6541D"/>
    <w:rsid w:val="00B65604"/>
    <w:rsid w:val="00B656EB"/>
    <w:rsid w:val="00B65AC1"/>
    <w:rsid w:val="00B65B1A"/>
    <w:rsid w:val="00B65BF9"/>
    <w:rsid w:val="00B65CAE"/>
    <w:rsid w:val="00B65E6B"/>
    <w:rsid w:val="00B6676B"/>
    <w:rsid w:val="00B6688E"/>
    <w:rsid w:val="00B669CC"/>
    <w:rsid w:val="00B669EB"/>
    <w:rsid w:val="00B66C36"/>
    <w:rsid w:val="00B670F6"/>
    <w:rsid w:val="00B67184"/>
    <w:rsid w:val="00B675E6"/>
    <w:rsid w:val="00B67B3E"/>
    <w:rsid w:val="00B67B6C"/>
    <w:rsid w:val="00B67C4B"/>
    <w:rsid w:val="00B67D28"/>
    <w:rsid w:val="00B67D3C"/>
    <w:rsid w:val="00B67D93"/>
    <w:rsid w:val="00B67E08"/>
    <w:rsid w:val="00B70808"/>
    <w:rsid w:val="00B70860"/>
    <w:rsid w:val="00B70882"/>
    <w:rsid w:val="00B70A1B"/>
    <w:rsid w:val="00B70A3B"/>
    <w:rsid w:val="00B70B52"/>
    <w:rsid w:val="00B70F4E"/>
    <w:rsid w:val="00B71021"/>
    <w:rsid w:val="00B715BA"/>
    <w:rsid w:val="00B71666"/>
    <w:rsid w:val="00B719AD"/>
    <w:rsid w:val="00B71BA2"/>
    <w:rsid w:val="00B71BF1"/>
    <w:rsid w:val="00B71C16"/>
    <w:rsid w:val="00B72150"/>
    <w:rsid w:val="00B7279D"/>
    <w:rsid w:val="00B72C48"/>
    <w:rsid w:val="00B72D87"/>
    <w:rsid w:val="00B72E1D"/>
    <w:rsid w:val="00B72E6A"/>
    <w:rsid w:val="00B73315"/>
    <w:rsid w:val="00B73408"/>
    <w:rsid w:val="00B7340B"/>
    <w:rsid w:val="00B7349E"/>
    <w:rsid w:val="00B73523"/>
    <w:rsid w:val="00B7352F"/>
    <w:rsid w:val="00B73578"/>
    <w:rsid w:val="00B7379B"/>
    <w:rsid w:val="00B7379F"/>
    <w:rsid w:val="00B73950"/>
    <w:rsid w:val="00B7397E"/>
    <w:rsid w:val="00B73A04"/>
    <w:rsid w:val="00B73B2D"/>
    <w:rsid w:val="00B73B9F"/>
    <w:rsid w:val="00B73BB7"/>
    <w:rsid w:val="00B73C7B"/>
    <w:rsid w:val="00B73D10"/>
    <w:rsid w:val="00B73E2B"/>
    <w:rsid w:val="00B740C7"/>
    <w:rsid w:val="00B74121"/>
    <w:rsid w:val="00B741C5"/>
    <w:rsid w:val="00B74249"/>
    <w:rsid w:val="00B74472"/>
    <w:rsid w:val="00B7452D"/>
    <w:rsid w:val="00B74ACB"/>
    <w:rsid w:val="00B74BDE"/>
    <w:rsid w:val="00B74BEC"/>
    <w:rsid w:val="00B74E28"/>
    <w:rsid w:val="00B74E3D"/>
    <w:rsid w:val="00B75329"/>
    <w:rsid w:val="00B753DF"/>
    <w:rsid w:val="00B75414"/>
    <w:rsid w:val="00B756AD"/>
    <w:rsid w:val="00B75892"/>
    <w:rsid w:val="00B75CE9"/>
    <w:rsid w:val="00B75EA4"/>
    <w:rsid w:val="00B75F48"/>
    <w:rsid w:val="00B75FAD"/>
    <w:rsid w:val="00B76090"/>
    <w:rsid w:val="00B768B5"/>
    <w:rsid w:val="00B76C48"/>
    <w:rsid w:val="00B76E42"/>
    <w:rsid w:val="00B7709C"/>
    <w:rsid w:val="00B771AE"/>
    <w:rsid w:val="00B7755E"/>
    <w:rsid w:val="00B77797"/>
    <w:rsid w:val="00B77F4E"/>
    <w:rsid w:val="00B8004D"/>
    <w:rsid w:val="00B800C6"/>
    <w:rsid w:val="00B801D7"/>
    <w:rsid w:val="00B802D9"/>
    <w:rsid w:val="00B80349"/>
    <w:rsid w:val="00B8040F"/>
    <w:rsid w:val="00B805A6"/>
    <w:rsid w:val="00B8079E"/>
    <w:rsid w:val="00B80AFE"/>
    <w:rsid w:val="00B80B74"/>
    <w:rsid w:val="00B80C7C"/>
    <w:rsid w:val="00B814F9"/>
    <w:rsid w:val="00B81523"/>
    <w:rsid w:val="00B8192F"/>
    <w:rsid w:val="00B81A6D"/>
    <w:rsid w:val="00B81B39"/>
    <w:rsid w:val="00B81B8E"/>
    <w:rsid w:val="00B81E35"/>
    <w:rsid w:val="00B81E87"/>
    <w:rsid w:val="00B81FAD"/>
    <w:rsid w:val="00B81FDE"/>
    <w:rsid w:val="00B82004"/>
    <w:rsid w:val="00B82495"/>
    <w:rsid w:val="00B824AF"/>
    <w:rsid w:val="00B82EE1"/>
    <w:rsid w:val="00B82FA0"/>
    <w:rsid w:val="00B83100"/>
    <w:rsid w:val="00B8363D"/>
    <w:rsid w:val="00B83AD4"/>
    <w:rsid w:val="00B83CDB"/>
    <w:rsid w:val="00B83F2A"/>
    <w:rsid w:val="00B8428B"/>
    <w:rsid w:val="00B8453C"/>
    <w:rsid w:val="00B8462D"/>
    <w:rsid w:val="00B84806"/>
    <w:rsid w:val="00B8488B"/>
    <w:rsid w:val="00B84FE4"/>
    <w:rsid w:val="00B85189"/>
    <w:rsid w:val="00B851D2"/>
    <w:rsid w:val="00B853F9"/>
    <w:rsid w:val="00B85559"/>
    <w:rsid w:val="00B85580"/>
    <w:rsid w:val="00B85856"/>
    <w:rsid w:val="00B859D3"/>
    <w:rsid w:val="00B859DD"/>
    <w:rsid w:val="00B85A01"/>
    <w:rsid w:val="00B85D74"/>
    <w:rsid w:val="00B86157"/>
    <w:rsid w:val="00B861B2"/>
    <w:rsid w:val="00B8631A"/>
    <w:rsid w:val="00B863C3"/>
    <w:rsid w:val="00B86500"/>
    <w:rsid w:val="00B8672D"/>
    <w:rsid w:val="00B86898"/>
    <w:rsid w:val="00B868A0"/>
    <w:rsid w:val="00B86AFE"/>
    <w:rsid w:val="00B86BBD"/>
    <w:rsid w:val="00B86E8E"/>
    <w:rsid w:val="00B86FF4"/>
    <w:rsid w:val="00B8729B"/>
    <w:rsid w:val="00B87726"/>
    <w:rsid w:val="00B87AC5"/>
    <w:rsid w:val="00B87B1D"/>
    <w:rsid w:val="00B87BBD"/>
    <w:rsid w:val="00B87C5A"/>
    <w:rsid w:val="00B87DB2"/>
    <w:rsid w:val="00B87F97"/>
    <w:rsid w:val="00B900B7"/>
    <w:rsid w:val="00B90140"/>
    <w:rsid w:val="00B901BB"/>
    <w:rsid w:val="00B901D9"/>
    <w:rsid w:val="00B902CD"/>
    <w:rsid w:val="00B903E1"/>
    <w:rsid w:val="00B905E2"/>
    <w:rsid w:val="00B90794"/>
    <w:rsid w:val="00B908D8"/>
    <w:rsid w:val="00B90AB2"/>
    <w:rsid w:val="00B90DFF"/>
    <w:rsid w:val="00B913A1"/>
    <w:rsid w:val="00B91478"/>
    <w:rsid w:val="00B916B1"/>
    <w:rsid w:val="00B91906"/>
    <w:rsid w:val="00B91A83"/>
    <w:rsid w:val="00B91B89"/>
    <w:rsid w:val="00B91CC4"/>
    <w:rsid w:val="00B91DBE"/>
    <w:rsid w:val="00B91E34"/>
    <w:rsid w:val="00B922D2"/>
    <w:rsid w:val="00B9233A"/>
    <w:rsid w:val="00B9239A"/>
    <w:rsid w:val="00B9245B"/>
    <w:rsid w:val="00B924A6"/>
    <w:rsid w:val="00B927C2"/>
    <w:rsid w:val="00B928D4"/>
    <w:rsid w:val="00B92907"/>
    <w:rsid w:val="00B929DE"/>
    <w:rsid w:val="00B92C50"/>
    <w:rsid w:val="00B92DE1"/>
    <w:rsid w:val="00B92E28"/>
    <w:rsid w:val="00B93014"/>
    <w:rsid w:val="00B93106"/>
    <w:rsid w:val="00B93857"/>
    <w:rsid w:val="00B938D6"/>
    <w:rsid w:val="00B93A46"/>
    <w:rsid w:val="00B93A72"/>
    <w:rsid w:val="00B93E26"/>
    <w:rsid w:val="00B94170"/>
    <w:rsid w:val="00B943B2"/>
    <w:rsid w:val="00B9467C"/>
    <w:rsid w:val="00B94693"/>
    <w:rsid w:val="00B94B7F"/>
    <w:rsid w:val="00B94CE7"/>
    <w:rsid w:val="00B94F34"/>
    <w:rsid w:val="00B94FFA"/>
    <w:rsid w:val="00B950A1"/>
    <w:rsid w:val="00B9546C"/>
    <w:rsid w:val="00B95685"/>
    <w:rsid w:val="00B95910"/>
    <w:rsid w:val="00B95993"/>
    <w:rsid w:val="00B95A6A"/>
    <w:rsid w:val="00B95ABF"/>
    <w:rsid w:val="00B95C6F"/>
    <w:rsid w:val="00B961C5"/>
    <w:rsid w:val="00B962D1"/>
    <w:rsid w:val="00B9668D"/>
    <w:rsid w:val="00B967C1"/>
    <w:rsid w:val="00B9698E"/>
    <w:rsid w:val="00B96AA4"/>
    <w:rsid w:val="00B96E32"/>
    <w:rsid w:val="00B9727E"/>
    <w:rsid w:val="00B97352"/>
    <w:rsid w:val="00B97560"/>
    <w:rsid w:val="00B97608"/>
    <w:rsid w:val="00B97618"/>
    <w:rsid w:val="00B97A0D"/>
    <w:rsid w:val="00B97B7F"/>
    <w:rsid w:val="00B97C4C"/>
    <w:rsid w:val="00B97E0F"/>
    <w:rsid w:val="00BA00C0"/>
    <w:rsid w:val="00BA013F"/>
    <w:rsid w:val="00BA0509"/>
    <w:rsid w:val="00BA070D"/>
    <w:rsid w:val="00BA07B6"/>
    <w:rsid w:val="00BA0A1B"/>
    <w:rsid w:val="00BA0AEB"/>
    <w:rsid w:val="00BA0B6D"/>
    <w:rsid w:val="00BA0DA2"/>
    <w:rsid w:val="00BA0DE0"/>
    <w:rsid w:val="00BA0F11"/>
    <w:rsid w:val="00BA1078"/>
    <w:rsid w:val="00BA11A7"/>
    <w:rsid w:val="00BA13DA"/>
    <w:rsid w:val="00BA16E7"/>
    <w:rsid w:val="00BA183A"/>
    <w:rsid w:val="00BA191E"/>
    <w:rsid w:val="00BA1A0C"/>
    <w:rsid w:val="00BA1BB6"/>
    <w:rsid w:val="00BA1CA0"/>
    <w:rsid w:val="00BA1D92"/>
    <w:rsid w:val="00BA2059"/>
    <w:rsid w:val="00BA2081"/>
    <w:rsid w:val="00BA24B0"/>
    <w:rsid w:val="00BA2553"/>
    <w:rsid w:val="00BA256B"/>
    <w:rsid w:val="00BA276B"/>
    <w:rsid w:val="00BA282F"/>
    <w:rsid w:val="00BA299D"/>
    <w:rsid w:val="00BA2B33"/>
    <w:rsid w:val="00BA2CBB"/>
    <w:rsid w:val="00BA2CC0"/>
    <w:rsid w:val="00BA2E65"/>
    <w:rsid w:val="00BA2EC8"/>
    <w:rsid w:val="00BA2EF5"/>
    <w:rsid w:val="00BA2F58"/>
    <w:rsid w:val="00BA3028"/>
    <w:rsid w:val="00BA32B6"/>
    <w:rsid w:val="00BA33C5"/>
    <w:rsid w:val="00BA3467"/>
    <w:rsid w:val="00BA34E1"/>
    <w:rsid w:val="00BA3643"/>
    <w:rsid w:val="00BA3747"/>
    <w:rsid w:val="00BA3984"/>
    <w:rsid w:val="00BA3D66"/>
    <w:rsid w:val="00BA3DB6"/>
    <w:rsid w:val="00BA3DE1"/>
    <w:rsid w:val="00BA419C"/>
    <w:rsid w:val="00BA41C7"/>
    <w:rsid w:val="00BA4208"/>
    <w:rsid w:val="00BA425F"/>
    <w:rsid w:val="00BA431E"/>
    <w:rsid w:val="00BA4433"/>
    <w:rsid w:val="00BA4613"/>
    <w:rsid w:val="00BA4727"/>
    <w:rsid w:val="00BA4836"/>
    <w:rsid w:val="00BA4D74"/>
    <w:rsid w:val="00BA4FA3"/>
    <w:rsid w:val="00BA5053"/>
    <w:rsid w:val="00BA510B"/>
    <w:rsid w:val="00BA523F"/>
    <w:rsid w:val="00BA53A7"/>
    <w:rsid w:val="00BA556A"/>
    <w:rsid w:val="00BA5ACE"/>
    <w:rsid w:val="00BA5BE7"/>
    <w:rsid w:val="00BA5EF7"/>
    <w:rsid w:val="00BA608B"/>
    <w:rsid w:val="00BA6090"/>
    <w:rsid w:val="00BA618A"/>
    <w:rsid w:val="00BA6234"/>
    <w:rsid w:val="00BA6366"/>
    <w:rsid w:val="00BA6379"/>
    <w:rsid w:val="00BA63B9"/>
    <w:rsid w:val="00BA63F8"/>
    <w:rsid w:val="00BA6499"/>
    <w:rsid w:val="00BA6507"/>
    <w:rsid w:val="00BA654E"/>
    <w:rsid w:val="00BA667E"/>
    <w:rsid w:val="00BA6919"/>
    <w:rsid w:val="00BA69C2"/>
    <w:rsid w:val="00BA6A7D"/>
    <w:rsid w:val="00BA6B4D"/>
    <w:rsid w:val="00BA6F1B"/>
    <w:rsid w:val="00BA6FB3"/>
    <w:rsid w:val="00BA7055"/>
    <w:rsid w:val="00BA7125"/>
    <w:rsid w:val="00BA71FD"/>
    <w:rsid w:val="00BA72E4"/>
    <w:rsid w:val="00BA765F"/>
    <w:rsid w:val="00BA7826"/>
    <w:rsid w:val="00BA790A"/>
    <w:rsid w:val="00BA794A"/>
    <w:rsid w:val="00BA7A33"/>
    <w:rsid w:val="00BA7A9E"/>
    <w:rsid w:val="00BA7BB0"/>
    <w:rsid w:val="00BB007D"/>
    <w:rsid w:val="00BB00A3"/>
    <w:rsid w:val="00BB02CD"/>
    <w:rsid w:val="00BB041A"/>
    <w:rsid w:val="00BB0543"/>
    <w:rsid w:val="00BB0A37"/>
    <w:rsid w:val="00BB0D03"/>
    <w:rsid w:val="00BB0DF3"/>
    <w:rsid w:val="00BB0F7F"/>
    <w:rsid w:val="00BB0FE8"/>
    <w:rsid w:val="00BB1064"/>
    <w:rsid w:val="00BB11D2"/>
    <w:rsid w:val="00BB130E"/>
    <w:rsid w:val="00BB136A"/>
    <w:rsid w:val="00BB13A9"/>
    <w:rsid w:val="00BB13EE"/>
    <w:rsid w:val="00BB1473"/>
    <w:rsid w:val="00BB1516"/>
    <w:rsid w:val="00BB1818"/>
    <w:rsid w:val="00BB189E"/>
    <w:rsid w:val="00BB18E5"/>
    <w:rsid w:val="00BB19C7"/>
    <w:rsid w:val="00BB23CB"/>
    <w:rsid w:val="00BB242E"/>
    <w:rsid w:val="00BB252F"/>
    <w:rsid w:val="00BB271D"/>
    <w:rsid w:val="00BB2998"/>
    <w:rsid w:val="00BB2AF6"/>
    <w:rsid w:val="00BB2BC6"/>
    <w:rsid w:val="00BB2C30"/>
    <w:rsid w:val="00BB2DFA"/>
    <w:rsid w:val="00BB2E87"/>
    <w:rsid w:val="00BB2F79"/>
    <w:rsid w:val="00BB3225"/>
    <w:rsid w:val="00BB37FB"/>
    <w:rsid w:val="00BB383C"/>
    <w:rsid w:val="00BB38F8"/>
    <w:rsid w:val="00BB3935"/>
    <w:rsid w:val="00BB399D"/>
    <w:rsid w:val="00BB3AC3"/>
    <w:rsid w:val="00BB3BBE"/>
    <w:rsid w:val="00BB3D01"/>
    <w:rsid w:val="00BB3D21"/>
    <w:rsid w:val="00BB3F2E"/>
    <w:rsid w:val="00BB3F50"/>
    <w:rsid w:val="00BB3FC9"/>
    <w:rsid w:val="00BB40D0"/>
    <w:rsid w:val="00BB43E0"/>
    <w:rsid w:val="00BB4569"/>
    <w:rsid w:val="00BB48A4"/>
    <w:rsid w:val="00BB492B"/>
    <w:rsid w:val="00BB4B04"/>
    <w:rsid w:val="00BB4D85"/>
    <w:rsid w:val="00BB5011"/>
    <w:rsid w:val="00BB5204"/>
    <w:rsid w:val="00BB535F"/>
    <w:rsid w:val="00BB5467"/>
    <w:rsid w:val="00BB56CB"/>
    <w:rsid w:val="00BB56E0"/>
    <w:rsid w:val="00BB57AF"/>
    <w:rsid w:val="00BB5932"/>
    <w:rsid w:val="00BB5944"/>
    <w:rsid w:val="00BB5A95"/>
    <w:rsid w:val="00BB5B40"/>
    <w:rsid w:val="00BB5E0F"/>
    <w:rsid w:val="00BB5EFA"/>
    <w:rsid w:val="00BB600F"/>
    <w:rsid w:val="00BB60B5"/>
    <w:rsid w:val="00BB64A2"/>
    <w:rsid w:val="00BB65CC"/>
    <w:rsid w:val="00BB661F"/>
    <w:rsid w:val="00BB6744"/>
    <w:rsid w:val="00BB6B0E"/>
    <w:rsid w:val="00BB6BD2"/>
    <w:rsid w:val="00BB6C6F"/>
    <w:rsid w:val="00BB6D32"/>
    <w:rsid w:val="00BB753C"/>
    <w:rsid w:val="00BB753F"/>
    <w:rsid w:val="00BB75DF"/>
    <w:rsid w:val="00BB77B0"/>
    <w:rsid w:val="00BB7BB4"/>
    <w:rsid w:val="00BB7E33"/>
    <w:rsid w:val="00BB7EAE"/>
    <w:rsid w:val="00BC0034"/>
    <w:rsid w:val="00BC0104"/>
    <w:rsid w:val="00BC02B0"/>
    <w:rsid w:val="00BC0455"/>
    <w:rsid w:val="00BC0459"/>
    <w:rsid w:val="00BC057B"/>
    <w:rsid w:val="00BC0754"/>
    <w:rsid w:val="00BC0825"/>
    <w:rsid w:val="00BC0A78"/>
    <w:rsid w:val="00BC0BCE"/>
    <w:rsid w:val="00BC0CCD"/>
    <w:rsid w:val="00BC0D3C"/>
    <w:rsid w:val="00BC0F96"/>
    <w:rsid w:val="00BC1323"/>
    <w:rsid w:val="00BC149A"/>
    <w:rsid w:val="00BC1A4B"/>
    <w:rsid w:val="00BC1B2A"/>
    <w:rsid w:val="00BC1B4B"/>
    <w:rsid w:val="00BC1F2B"/>
    <w:rsid w:val="00BC224E"/>
    <w:rsid w:val="00BC22B6"/>
    <w:rsid w:val="00BC255E"/>
    <w:rsid w:val="00BC262B"/>
    <w:rsid w:val="00BC2673"/>
    <w:rsid w:val="00BC2872"/>
    <w:rsid w:val="00BC2D82"/>
    <w:rsid w:val="00BC2E03"/>
    <w:rsid w:val="00BC33E0"/>
    <w:rsid w:val="00BC33ED"/>
    <w:rsid w:val="00BC37A9"/>
    <w:rsid w:val="00BC37B3"/>
    <w:rsid w:val="00BC3928"/>
    <w:rsid w:val="00BC4131"/>
    <w:rsid w:val="00BC46AC"/>
    <w:rsid w:val="00BC470B"/>
    <w:rsid w:val="00BC4BC2"/>
    <w:rsid w:val="00BC4C02"/>
    <w:rsid w:val="00BC4E4B"/>
    <w:rsid w:val="00BC4E59"/>
    <w:rsid w:val="00BC5140"/>
    <w:rsid w:val="00BC535D"/>
    <w:rsid w:val="00BC566A"/>
    <w:rsid w:val="00BC58A9"/>
    <w:rsid w:val="00BC5B24"/>
    <w:rsid w:val="00BC622F"/>
    <w:rsid w:val="00BC6259"/>
    <w:rsid w:val="00BC6327"/>
    <w:rsid w:val="00BC636E"/>
    <w:rsid w:val="00BC6530"/>
    <w:rsid w:val="00BC6647"/>
    <w:rsid w:val="00BC66CB"/>
    <w:rsid w:val="00BC6820"/>
    <w:rsid w:val="00BC6944"/>
    <w:rsid w:val="00BC6ABB"/>
    <w:rsid w:val="00BC6ABD"/>
    <w:rsid w:val="00BC6AF3"/>
    <w:rsid w:val="00BC6C66"/>
    <w:rsid w:val="00BC6E2E"/>
    <w:rsid w:val="00BC730E"/>
    <w:rsid w:val="00BC764A"/>
    <w:rsid w:val="00BC7918"/>
    <w:rsid w:val="00BC79E4"/>
    <w:rsid w:val="00BC7B73"/>
    <w:rsid w:val="00BC7C62"/>
    <w:rsid w:val="00BC7D13"/>
    <w:rsid w:val="00BC7F5A"/>
    <w:rsid w:val="00BD00D8"/>
    <w:rsid w:val="00BD0220"/>
    <w:rsid w:val="00BD0539"/>
    <w:rsid w:val="00BD056C"/>
    <w:rsid w:val="00BD070A"/>
    <w:rsid w:val="00BD08CF"/>
    <w:rsid w:val="00BD0948"/>
    <w:rsid w:val="00BD098F"/>
    <w:rsid w:val="00BD0B90"/>
    <w:rsid w:val="00BD0C50"/>
    <w:rsid w:val="00BD0CAA"/>
    <w:rsid w:val="00BD0DFA"/>
    <w:rsid w:val="00BD0EAF"/>
    <w:rsid w:val="00BD1690"/>
    <w:rsid w:val="00BD182E"/>
    <w:rsid w:val="00BD1868"/>
    <w:rsid w:val="00BD187D"/>
    <w:rsid w:val="00BD1AA3"/>
    <w:rsid w:val="00BD1FF7"/>
    <w:rsid w:val="00BD2403"/>
    <w:rsid w:val="00BD25DA"/>
    <w:rsid w:val="00BD28D5"/>
    <w:rsid w:val="00BD299D"/>
    <w:rsid w:val="00BD29DA"/>
    <w:rsid w:val="00BD2E89"/>
    <w:rsid w:val="00BD2FB8"/>
    <w:rsid w:val="00BD31BE"/>
    <w:rsid w:val="00BD320F"/>
    <w:rsid w:val="00BD32DB"/>
    <w:rsid w:val="00BD34D6"/>
    <w:rsid w:val="00BD3682"/>
    <w:rsid w:val="00BD3805"/>
    <w:rsid w:val="00BD3DDB"/>
    <w:rsid w:val="00BD3DEE"/>
    <w:rsid w:val="00BD4073"/>
    <w:rsid w:val="00BD40FC"/>
    <w:rsid w:val="00BD4356"/>
    <w:rsid w:val="00BD4410"/>
    <w:rsid w:val="00BD4712"/>
    <w:rsid w:val="00BD47BA"/>
    <w:rsid w:val="00BD4DF0"/>
    <w:rsid w:val="00BD4FAF"/>
    <w:rsid w:val="00BD528B"/>
    <w:rsid w:val="00BD5350"/>
    <w:rsid w:val="00BD56F4"/>
    <w:rsid w:val="00BD5B20"/>
    <w:rsid w:val="00BD5D35"/>
    <w:rsid w:val="00BD5D94"/>
    <w:rsid w:val="00BD5E86"/>
    <w:rsid w:val="00BD6421"/>
    <w:rsid w:val="00BD6485"/>
    <w:rsid w:val="00BD669D"/>
    <w:rsid w:val="00BD6783"/>
    <w:rsid w:val="00BD6798"/>
    <w:rsid w:val="00BD6DC5"/>
    <w:rsid w:val="00BD6DC6"/>
    <w:rsid w:val="00BD6FA3"/>
    <w:rsid w:val="00BD72DD"/>
    <w:rsid w:val="00BD74C3"/>
    <w:rsid w:val="00BD75ED"/>
    <w:rsid w:val="00BD7669"/>
    <w:rsid w:val="00BD7679"/>
    <w:rsid w:val="00BD76D5"/>
    <w:rsid w:val="00BD77CB"/>
    <w:rsid w:val="00BD7843"/>
    <w:rsid w:val="00BD7B13"/>
    <w:rsid w:val="00BD7C5C"/>
    <w:rsid w:val="00BD7D6E"/>
    <w:rsid w:val="00BD7DAC"/>
    <w:rsid w:val="00BD7F0C"/>
    <w:rsid w:val="00BD7F28"/>
    <w:rsid w:val="00BE07BB"/>
    <w:rsid w:val="00BE0A18"/>
    <w:rsid w:val="00BE0B70"/>
    <w:rsid w:val="00BE1544"/>
    <w:rsid w:val="00BE15EC"/>
    <w:rsid w:val="00BE169F"/>
    <w:rsid w:val="00BE170D"/>
    <w:rsid w:val="00BE175F"/>
    <w:rsid w:val="00BE1A49"/>
    <w:rsid w:val="00BE1C46"/>
    <w:rsid w:val="00BE1FA3"/>
    <w:rsid w:val="00BE1FCE"/>
    <w:rsid w:val="00BE2195"/>
    <w:rsid w:val="00BE25DF"/>
    <w:rsid w:val="00BE27FE"/>
    <w:rsid w:val="00BE2849"/>
    <w:rsid w:val="00BE28BC"/>
    <w:rsid w:val="00BE2C49"/>
    <w:rsid w:val="00BE2C88"/>
    <w:rsid w:val="00BE2E8A"/>
    <w:rsid w:val="00BE2F1F"/>
    <w:rsid w:val="00BE3050"/>
    <w:rsid w:val="00BE3097"/>
    <w:rsid w:val="00BE362E"/>
    <w:rsid w:val="00BE366D"/>
    <w:rsid w:val="00BE3B10"/>
    <w:rsid w:val="00BE3BA5"/>
    <w:rsid w:val="00BE3C7F"/>
    <w:rsid w:val="00BE3EB8"/>
    <w:rsid w:val="00BE40A5"/>
    <w:rsid w:val="00BE4435"/>
    <w:rsid w:val="00BE4494"/>
    <w:rsid w:val="00BE45C4"/>
    <w:rsid w:val="00BE4657"/>
    <w:rsid w:val="00BE49F3"/>
    <w:rsid w:val="00BE4B02"/>
    <w:rsid w:val="00BE4B6B"/>
    <w:rsid w:val="00BE4B7A"/>
    <w:rsid w:val="00BE4D10"/>
    <w:rsid w:val="00BE4F89"/>
    <w:rsid w:val="00BE5551"/>
    <w:rsid w:val="00BE57C7"/>
    <w:rsid w:val="00BE587A"/>
    <w:rsid w:val="00BE5A1B"/>
    <w:rsid w:val="00BE5B8C"/>
    <w:rsid w:val="00BE5EAA"/>
    <w:rsid w:val="00BE5FF2"/>
    <w:rsid w:val="00BE6084"/>
    <w:rsid w:val="00BE60AB"/>
    <w:rsid w:val="00BE6297"/>
    <w:rsid w:val="00BE658C"/>
    <w:rsid w:val="00BE664E"/>
    <w:rsid w:val="00BE66F7"/>
    <w:rsid w:val="00BE6953"/>
    <w:rsid w:val="00BE69BF"/>
    <w:rsid w:val="00BE6B0A"/>
    <w:rsid w:val="00BE6B37"/>
    <w:rsid w:val="00BE6D9D"/>
    <w:rsid w:val="00BE6DD2"/>
    <w:rsid w:val="00BE6E2C"/>
    <w:rsid w:val="00BE6E9A"/>
    <w:rsid w:val="00BE6EDF"/>
    <w:rsid w:val="00BE72D1"/>
    <w:rsid w:val="00BE72E8"/>
    <w:rsid w:val="00BE733F"/>
    <w:rsid w:val="00BE771B"/>
    <w:rsid w:val="00BE77AA"/>
    <w:rsid w:val="00BE788C"/>
    <w:rsid w:val="00BE79D4"/>
    <w:rsid w:val="00BE7A7A"/>
    <w:rsid w:val="00BE7B8C"/>
    <w:rsid w:val="00BE7C2C"/>
    <w:rsid w:val="00BE7DC9"/>
    <w:rsid w:val="00BF0234"/>
    <w:rsid w:val="00BF03DB"/>
    <w:rsid w:val="00BF0461"/>
    <w:rsid w:val="00BF0539"/>
    <w:rsid w:val="00BF059A"/>
    <w:rsid w:val="00BF05B6"/>
    <w:rsid w:val="00BF09BF"/>
    <w:rsid w:val="00BF0D42"/>
    <w:rsid w:val="00BF0FE9"/>
    <w:rsid w:val="00BF10CF"/>
    <w:rsid w:val="00BF1189"/>
    <w:rsid w:val="00BF1392"/>
    <w:rsid w:val="00BF14B4"/>
    <w:rsid w:val="00BF160B"/>
    <w:rsid w:val="00BF1961"/>
    <w:rsid w:val="00BF1C00"/>
    <w:rsid w:val="00BF1C37"/>
    <w:rsid w:val="00BF1D15"/>
    <w:rsid w:val="00BF1EAD"/>
    <w:rsid w:val="00BF1F1F"/>
    <w:rsid w:val="00BF255F"/>
    <w:rsid w:val="00BF26D0"/>
    <w:rsid w:val="00BF277E"/>
    <w:rsid w:val="00BF2931"/>
    <w:rsid w:val="00BF313B"/>
    <w:rsid w:val="00BF3189"/>
    <w:rsid w:val="00BF382C"/>
    <w:rsid w:val="00BF3B45"/>
    <w:rsid w:val="00BF3BD0"/>
    <w:rsid w:val="00BF3C55"/>
    <w:rsid w:val="00BF3C8D"/>
    <w:rsid w:val="00BF3E3C"/>
    <w:rsid w:val="00BF3EEA"/>
    <w:rsid w:val="00BF3F50"/>
    <w:rsid w:val="00BF41AB"/>
    <w:rsid w:val="00BF41B2"/>
    <w:rsid w:val="00BF4226"/>
    <w:rsid w:val="00BF434C"/>
    <w:rsid w:val="00BF446F"/>
    <w:rsid w:val="00BF487F"/>
    <w:rsid w:val="00BF48E0"/>
    <w:rsid w:val="00BF4D90"/>
    <w:rsid w:val="00BF4F37"/>
    <w:rsid w:val="00BF5166"/>
    <w:rsid w:val="00BF5408"/>
    <w:rsid w:val="00BF55CB"/>
    <w:rsid w:val="00BF56A3"/>
    <w:rsid w:val="00BF56E7"/>
    <w:rsid w:val="00BF56E9"/>
    <w:rsid w:val="00BF5A83"/>
    <w:rsid w:val="00BF5BE6"/>
    <w:rsid w:val="00BF607D"/>
    <w:rsid w:val="00BF61BD"/>
    <w:rsid w:val="00BF6463"/>
    <w:rsid w:val="00BF6766"/>
    <w:rsid w:val="00BF6C85"/>
    <w:rsid w:val="00BF6D4B"/>
    <w:rsid w:val="00BF7258"/>
    <w:rsid w:val="00BF728D"/>
    <w:rsid w:val="00BF73CE"/>
    <w:rsid w:val="00BF73FF"/>
    <w:rsid w:val="00BF744B"/>
    <w:rsid w:val="00BF760F"/>
    <w:rsid w:val="00BF772E"/>
    <w:rsid w:val="00BF7747"/>
    <w:rsid w:val="00BF7DEF"/>
    <w:rsid w:val="00BF7E91"/>
    <w:rsid w:val="00C000D2"/>
    <w:rsid w:val="00C00481"/>
    <w:rsid w:val="00C00958"/>
    <w:rsid w:val="00C00979"/>
    <w:rsid w:val="00C00A88"/>
    <w:rsid w:val="00C00DF5"/>
    <w:rsid w:val="00C0127A"/>
    <w:rsid w:val="00C012BE"/>
    <w:rsid w:val="00C0188B"/>
    <w:rsid w:val="00C01A99"/>
    <w:rsid w:val="00C01C1F"/>
    <w:rsid w:val="00C01C6A"/>
    <w:rsid w:val="00C02070"/>
    <w:rsid w:val="00C0210F"/>
    <w:rsid w:val="00C021FD"/>
    <w:rsid w:val="00C0223E"/>
    <w:rsid w:val="00C024B0"/>
    <w:rsid w:val="00C02A5A"/>
    <w:rsid w:val="00C02B23"/>
    <w:rsid w:val="00C02C55"/>
    <w:rsid w:val="00C02DE1"/>
    <w:rsid w:val="00C032C8"/>
    <w:rsid w:val="00C0344B"/>
    <w:rsid w:val="00C034A8"/>
    <w:rsid w:val="00C0380E"/>
    <w:rsid w:val="00C03A70"/>
    <w:rsid w:val="00C03A9E"/>
    <w:rsid w:val="00C03C47"/>
    <w:rsid w:val="00C03C5D"/>
    <w:rsid w:val="00C03DCD"/>
    <w:rsid w:val="00C03F24"/>
    <w:rsid w:val="00C04135"/>
    <w:rsid w:val="00C0414F"/>
    <w:rsid w:val="00C04266"/>
    <w:rsid w:val="00C0436A"/>
    <w:rsid w:val="00C0462C"/>
    <w:rsid w:val="00C04893"/>
    <w:rsid w:val="00C04A43"/>
    <w:rsid w:val="00C04A5A"/>
    <w:rsid w:val="00C04AB7"/>
    <w:rsid w:val="00C04E55"/>
    <w:rsid w:val="00C050E5"/>
    <w:rsid w:val="00C0513E"/>
    <w:rsid w:val="00C051A8"/>
    <w:rsid w:val="00C0526C"/>
    <w:rsid w:val="00C0539A"/>
    <w:rsid w:val="00C05A43"/>
    <w:rsid w:val="00C05DBA"/>
    <w:rsid w:val="00C05EAD"/>
    <w:rsid w:val="00C06059"/>
    <w:rsid w:val="00C0617F"/>
    <w:rsid w:val="00C0623F"/>
    <w:rsid w:val="00C062BF"/>
    <w:rsid w:val="00C06440"/>
    <w:rsid w:val="00C064C8"/>
    <w:rsid w:val="00C0655F"/>
    <w:rsid w:val="00C06860"/>
    <w:rsid w:val="00C06897"/>
    <w:rsid w:val="00C0693D"/>
    <w:rsid w:val="00C06EC5"/>
    <w:rsid w:val="00C06F7A"/>
    <w:rsid w:val="00C070DC"/>
    <w:rsid w:val="00C07193"/>
    <w:rsid w:val="00C071E7"/>
    <w:rsid w:val="00C0726D"/>
    <w:rsid w:val="00C0726F"/>
    <w:rsid w:val="00C07302"/>
    <w:rsid w:val="00C074A9"/>
    <w:rsid w:val="00C0752A"/>
    <w:rsid w:val="00C0760E"/>
    <w:rsid w:val="00C07646"/>
    <w:rsid w:val="00C078CF"/>
    <w:rsid w:val="00C078E3"/>
    <w:rsid w:val="00C07958"/>
    <w:rsid w:val="00C07D2E"/>
    <w:rsid w:val="00C07DB2"/>
    <w:rsid w:val="00C07DD1"/>
    <w:rsid w:val="00C07E33"/>
    <w:rsid w:val="00C07E3E"/>
    <w:rsid w:val="00C07E42"/>
    <w:rsid w:val="00C10154"/>
    <w:rsid w:val="00C10163"/>
    <w:rsid w:val="00C101E4"/>
    <w:rsid w:val="00C1045D"/>
    <w:rsid w:val="00C10783"/>
    <w:rsid w:val="00C108A6"/>
    <w:rsid w:val="00C108DA"/>
    <w:rsid w:val="00C10A3B"/>
    <w:rsid w:val="00C10B04"/>
    <w:rsid w:val="00C10D51"/>
    <w:rsid w:val="00C10EDF"/>
    <w:rsid w:val="00C1134A"/>
    <w:rsid w:val="00C1165A"/>
    <w:rsid w:val="00C119AA"/>
    <w:rsid w:val="00C11A5B"/>
    <w:rsid w:val="00C11B56"/>
    <w:rsid w:val="00C11C65"/>
    <w:rsid w:val="00C11EBD"/>
    <w:rsid w:val="00C12177"/>
    <w:rsid w:val="00C123BD"/>
    <w:rsid w:val="00C12473"/>
    <w:rsid w:val="00C1258C"/>
    <w:rsid w:val="00C12771"/>
    <w:rsid w:val="00C12809"/>
    <w:rsid w:val="00C12835"/>
    <w:rsid w:val="00C128A8"/>
    <w:rsid w:val="00C12955"/>
    <w:rsid w:val="00C129C7"/>
    <w:rsid w:val="00C12E5D"/>
    <w:rsid w:val="00C12F1A"/>
    <w:rsid w:val="00C13456"/>
    <w:rsid w:val="00C138A5"/>
    <w:rsid w:val="00C13944"/>
    <w:rsid w:val="00C13C44"/>
    <w:rsid w:val="00C13D0C"/>
    <w:rsid w:val="00C13D6F"/>
    <w:rsid w:val="00C13D76"/>
    <w:rsid w:val="00C13F24"/>
    <w:rsid w:val="00C13F2D"/>
    <w:rsid w:val="00C14070"/>
    <w:rsid w:val="00C141CC"/>
    <w:rsid w:val="00C14218"/>
    <w:rsid w:val="00C145DE"/>
    <w:rsid w:val="00C14A31"/>
    <w:rsid w:val="00C14AED"/>
    <w:rsid w:val="00C14B51"/>
    <w:rsid w:val="00C14B56"/>
    <w:rsid w:val="00C14B77"/>
    <w:rsid w:val="00C14C0A"/>
    <w:rsid w:val="00C14C70"/>
    <w:rsid w:val="00C14C99"/>
    <w:rsid w:val="00C14EE6"/>
    <w:rsid w:val="00C1500E"/>
    <w:rsid w:val="00C1506C"/>
    <w:rsid w:val="00C15344"/>
    <w:rsid w:val="00C15679"/>
    <w:rsid w:val="00C1568B"/>
    <w:rsid w:val="00C158AD"/>
    <w:rsid w:val="00C15920"/>
    <w:rsid w:val="00C159FB"/>
    <w:rsid w:val="00C15A02"/>
    <w:rsid w:val="00C15D0D"/>
    <w:rsid w:val="00C15D69"/>
    <w:rsid w:val="00C15F04"/>
    <w:rsid w:val="00C1606C"/>
    <w:rsid w:val="00C16086"/>
    <w:rsid w:val="00C16199"/>
    <w:rsid w:val="00C162BA"/>
    <w:rsid w:val="00C162F4"/>
    <w:rsid w:val="00C167D8"/>
    <w:rsid w:val="00C167E2"/>
    <w:rsid w:val="00C16D13"/>
    <w:rsid w:val="00C16DA0"/>
    <w:rsid w:val="00C16EA0"/>
    <w:rsid w:val="00C16F96"/>
    <w:rsid w:val="00C17096"/>
    <w:rsid w:val="00C17115"/>
    <w:rsid w:val="00C17171"/>
    <w:rsid w:val="00C171DF"/>
    <w:rsid w:val="00C17380"/>
    <w:rsid w:val="00C17511"/>
    <w:rsid w:val="00C1759B"/>
    <w:rsid w:val="00C17684"/>
    <w:rsid w:val="00C179EB"/>
    <w:rsid w:val="00C17B27"/>
    <w:rsid w:val="00C17B4B"/>
    <w:rsid w:val="00C17F67"/>
    <w:rsid w:val="00C201BE"/>
    <w:rsid w:val="00C2021A"/>
    <w:rsid w:val="00C20221"/>
    <w:rsid w:val="00C2050A"/>
    <w:rsid w:val="00C2050E"/>
    <w:rsid w:val="00C205D7"/>
    <w:rsid w:val="00C2060F"/>
    <w:rsid w:val="00C20787"/>
    <w:rsid w:val="00C20ADA"/>
    <w:rsid w:val="00C20C78"/>
    <w:rsid w:val="00C20CA4"/>
    <w:rsid w:val="00C20F72"/>
    <w:rsid w:val="00C20FC3"/>
    <w:rsid w:val="00C20FCB"/>
    <w:rsid w:val="00C21105"/>
    <w:rsid w:val="00C211E6"/>
    <w:rsid w:val="00C21317"/>
    <w:rsid w:val="00C214A8"/>
    <w:rsid w:val="00C2159B"/>
    <w:rsid w:val="00C21766"/>
    <w:rsid w:val="00C21923"/>
    <w:rsid w:val="00C2198D"/>
    <w:rsid w:val="00C21B26"/>
    <w:rsid w:val="00C21C27"/>
    <w:rsid w:val="00C222D0"/>
    <w:rsid w:val="00C224CC"/>
    <w:rsid w:val="00C2251A"/>
    <w:rsid w:val="00C22585"/>
    <w:rsid w:val="00C22646"/>
    <w:rsid w:val="00C22BC0"/>
    <w:rsid w:val="00C22BEC"/>
    <w:rsid w:val="00C22D4B"/>
    <w:rsid w:val="00C22E6D"/>
    <w:rsid w:val="00C22E7A"/>
    <w:rsid w:val="00C22F71"/>
    <w:rsid w:val="00C230DC"/>
    <w:rsid w:val="00C230F0"/>
    <w:rsid w:val="00C23281"/>
    <w:rsid w:val="00C23466"/>
    <w:rsid w:val="00C234C5"/>
    <w:rsid w:val="00C23844"/>
    <w:rsid w:val="00C23999"/>
    <w:rsid w:val="00C23A0F"/>
    <w:rsid w:val="00C23A62"/>
    <w:rsid w:val="00C23A8D"/>
    <w:rsid w:val="00C23AB9"/>
    <w:rsid w:val="00C23D2D"/>
    <w:rsid w:val="00C23E78"/>
    <w:rsid w:val="00C2492F"/>
    <w:rsid w:val="00C24C92"/>
    <w:rsid w:val="00C24DFA"/>
    <w:rsid w:val="00C24EDF"/>
    <w:rsid w:val="00C25091"/>
    <w:rsid w:val="00C25155"/>
    <w:rsid w:val="00C25295"/>
    <w:rsid w:val="00C253AA"/>
    <w:rsid w:val="00C25489"/>
    <w:rsid w:val="00C25679"/>
    <w:rsid w:val="00C256D3"/>
    <w:rsid w:val="00C2587B"/>
    <w:rsid w:val="00C25F58"/>
    <w:rsid w:val="00C261C4"/>
    <w:rsid w:val="00C26415"/>
    <w:rsid w:val="00C26623"/>
    <w:rsid w:val="00C26753"/>
    <w:rsid w:val="00C26804"/>
    <w:rsid w:val="00C269AA"/>
    <w:rsid w:val="00C26A07"/>
    <w:rsid w:val="00C26FF7"/>
    <w:rsid w:val="00C2702B"/>
    <w:rsid w:val="00C27271"/>
    <w:rsid w:val="00C2739A"/>
    <w:rsid w:val="00C27420"/>
    <w:rsid w:val="00C27A5A"/>
    <w:rsid w:val="00C27BAA"/>
    <w:rsid w:val="00C27C34"/>
    <w:rsid w:val="00C27F21"/>
    <w:rsid w:val="00C30088"/>
    <w:rsid w:val="00C30152"/>
    <w:rsid w:val="00C303AC"/>
    <w:rsid w:val="00C304D6"/>
    <w:rsid w:val="00C30550"/>
    <w:rsid w:val="00C3071D"/>
    <w:rsid w:val="00C3099D"/>
    <w:rsid w:val="00C30B26"/>
    <w:rsid w:val="00C30CD9"/>
    <w:rsid w:val="00C3116A"/>
    <w:rsid w:val="00C312A6"/>
    <w:rsid w:val="00C313E5"/>
    <w:rsid w:val="00C31508"/>
    <w:rsid w:val="00C3170E"/>
    <w:rsid w:val="00C318EB"/>
    <w:rsid w:val="00C319CD"/>
    <w:rsid w:val="00C31B3B"/>
    <w:rsid w:val="00C31C47"/>
    <w:rsid w:val="00C31E94"/>
    <w:rsid w:val="00C32050"/>
    <w:rsid w:val="00C3207F"/>
    <w:rsid w:val="00C32093"/>
    <w:rsid w:val="00C320BF"/>
    <w:rsid w:val="00C321BB"/>
    <w:rsid w:val="00C321C7"/>
    <w:rsid w:val="00C32453"/>
    <w:rsid w:val="00C32590"/>
    <w:rsid w:val="00C32601"/>
    <w:rsid w:val="00C32756"/>
    <w:rsid w:val="00C3291E"/>
    <w:rsid w:val="00C329D6"/>
    <w:rsid w:val="00C32ACE"/>
    <w:rsid w:val="00C32C18"/>
    <w:rsid w:val="00C32D27"/>
    <w:rsid w:val="00C333D3"/>
    <w:rsid w:val="00C33440"/>
    <w:rsid w:val="00C33767"/>
    <w:rsid w:val="00C33772"/>
    <w:rsid w:val="00C337C0"/>
    <w:rsid w:val="00C33A5E"/>
    <w:rsid w:val="00C33D5F"/>
    <w:rsid w:val="00C33EF1"/>
    <w:rsid w:val="00C341D1"/>
    <w:rsid w:val="00C342AC"/>
    <w:rsid w:val="00C344EE"/>
    <w:rsid w:val="00C3460A"/>
    <w:rsid w:val="00C34908"/>
    <w:rsid w:val="00C34DF2"/>
    <w:rsid w:val="00C34E6A"/>
    <w:rsid w:val="00C34EA3"/>
    <w:rsid w:val="00C34F70"/>
    <w:rsid w:val="00C34FA7"/>
    <w:rsid w:val="00C3501E"/>
    <w:rsid w:val="00C35034"/>
    <w:rsid w:val="00C3523A"/>
    <w:rsid w:val="00C35277"/>
    <w:rsid w:val="00C3528D"/>
    <w:rsid w:val="00C3533E"/>
    <w:rsid w:val="00C3543C"/>
    <w:rsid w:val="00C35681"/>
    <w:rsid w:val="00C3573D"/>
    <w:rsid w:val="00C358B4"/>
    <w:rsid w:val="00C3598F"/>
    <w:rsid w:val="00C35A31"/>
    <w:rsid w:val="00C35A88"/>
    <w:rsid w:val="00C35D04"/>
    <w:rsid w:val="00C35D6D"/>
    <w:rsid w:val="00C35E6C"/>
    <w:rsid w:val="00C35F71"/>
    <w:rsid w:val="00C35F80"/>
    <w:rsid w:val="00C3606E"/>
    <w:rsid w:val="00C36079"/>
    <w:rsid w:val="00C362BD"/>
    <w:rsid w:val="00C363B6"/>
    <w:rsid w:val="00C36843"/>
    <w:rsid w:val="00C369F6"/>
    <w:rsid w:val="00C369FB"/>
    <w:rsid w:val="00C36A4A"/>
    <w:rsid w:val="00C36A56"/>
    <w:rsid w:val="00C36BC0"/>
    <w:rsid w:val="00C36BF8"/>
    <w:rsid w:val="00C36BFE"/>
    <w:rsid w:val="00C36EC7"/>
    <w:rsid w:val="00C36FC2"/>
    <w:rsid w:val="00C3700B"/>
    <w:rsid w:val="00C3703A"/>
    <w:rsid w:val="00C376AE"/>
    <w:rsid w:val="00C37974"/>
    <w:rsid w:val="00C379A7"/>
    <w:rsid w:val="00C37FD5"/>
    <w:rsid w:val="00C40041"/>
    <w:rsid w:val="00C4007F"/>
    <w:rsid w:val="00C401AE"/>
    <w:rsid w:val="00C40304"/>
    <w:rsid w:val="00C40447"/>
    <w:rsid w:val="00C40506"/>
    <w:rsid w:val="00C407B7"/>
    <w:rsid w:val="00C4085F"/>
    <w:rsid w:val="00C408F8"/>
    <w:rsid w:val="00C4091B"/>
    <w:rsid w:val="00C40B8B"/>
    <w:rsid w:val="00C40D88"/>
    <w:rsid w:val="00C40F4F"/>
    <w:rsid w:val="00C41302"/>
    <w:rsid w:val="00C4143F"/>
    <w:rsid w:val="00C41507"/>
    <w:rsid w:val="00C41B82"/>
    <w:rsid w:val="00C41C2F"/>
    <w:rsid w:val="00C41CEA"/>
    <w:rsid w:val="00C4206B"/>
    <w:rsid w:val="00C420A2"/>
    <w:rsid w:val="00C42106"/>
    <w:rsid w:val="00C421BE"/>
    <w:rsid w:val="00C42269"/>
    <w:rsid w:val="00C4235C"/>
    <w:rsid w:val="00C423B6"/>
    <w:rsid w:val="00C42511"/>
    <w:rsid w:val="00C42526"/>
    <w:rsid w:val="00C4295B"/>
    <w:rsid w:val="00C42A7E"/>
    <w:rsid w:val="00C42D95"/>
    <w:rsid w:val="00C42F56"/>
    <w:rsid w:val="00C42F97"/>
    <w:rsid w:val="00C432EB"/>
    <w:rsid w:val="00C4362A"/>
    <w:rsid w:val="00C43872"/>
    <w:rsid w:val="00C43A5D"/>
    <w:rsid w:val="00C43B36"/>
    <w:rsid w:val="00C43CCF"/>
    <w:rsid w:val="00C43E3B"/>
    <w:rsid w:val="00C43EA6"/>
    <w:rsid w:val="00C43F14"/>
    <w:rsid w:val="00C43F28"/>
    <w:rsid w:val="00C44247"/>
    <w:rsid w:val="00C444C8"/>
    <w:rsid w:val="00C445DA"/>
    <w:rsid w:val="00C4494D"/>
    <w:rsid w:val="00C44A71"/>
    <w:rsid w:val="00C44B83"/>
    <w:rsid w:val="00C44C96"/>
    <w:rsid w:val="00C44E30"/>
    <w:rsid w:val="00C44F5E"/>
    <w:rsid w:val="00C451CE"/>
    <w:rsid w:val="00C452B7"/>
    <w:rsid w:val="00C45777"/>
    <w:rsid w:val="00C45842"/>
    <w:rsid w:val="00C45A07"/>
    <w:rsid w:val="00C45C00"/>
    <w:rsid w:val="00C45DC1"/>
    <w:rsid w:val="00C45EC6"/>
    <w:rsid w:val="00C46024"/>
    <w:rsid w:val="00C46284"/>
    <w:rsid w:val="00C465E2"/>
    <w:rsid w:val="00C46B4C"/>
    <w:rsid w:val="00C46B59"/>
    <w:rsid w:val="00C46CD5"/>
    <w:rsid w:val="00C46D13"/>
    <w:rsid w:val="00C46DFC"/>
    <w:rsid w:val="00C47316"/>
    <w:rsid w:val="00C4733F"/>
    <w:rsid w:val="00C4748D"/>
    <w:rsid w:val="00C4759D"/>
    <w:rsid w:val="00C47774"/>
    <w:rsid w:val="00C4781E"/>
    <w:rsid w:val="00C47861"/>
    <w:rsid w:val="00C47978"/>
    <w:rsid w:val="00C47E25"/>
    <w:rsid w:val="00C47F6B"/>
    <w:rsid w:val="00C50011"/>
    <w:rsid w:val="00C504E6"/>
    <w:rsid w:val="00C50774"/>
    <w:rsid w:val="00C507C3"/>
    <w:rsid w:val="00C508B8"/>
    <w:rsid w:val="00C50DFD"/>
    <w:rsid w:val="00C50F3E"/>
    <w:rsid w:val="00C510C2"/>
    <w:rsid w:val="00C510FB"/>
    <w:rsid w:val="00C511D9"/>
    <w:rsid w:val="00C51259"/>
    <w:rsid w:val="00C513AF"/>
    <w:rsid w:val="00C51414"/>
    <w:rsid w:val="00C518B5"/>
    <w:rsid w:val="00C51C60"/>
    <w:rsid w:val="00C51D16"/>
    <w:rsid w:val="00C51DA6"/>
    <w:rsid w:val="00C51E38"/>
    <w:rsid w:val="00C51F63"/>
    <w:rsid w:val="00C52165"/>
    <w:rsid w:val="00C52265"/>
    <w:rsid w:val="00C5239C"/>
    <w:rsid w:val="00C52436"/>
    <w:rsid w:val="00C526DB"/>
    <w:rsid w:val="00C52F59"/>
    <w:rsid w:val="00C533B0"/>
    <w:rsid w:val="00C53480"/>
    <w:rsid w:val="00C5359E"/>
    <w:rsid w:val="00C5364C"/>
    <w:rsid w:val="00C5379D"/>
    <w:rsid w:val="00C53924"/>
    <w:rsid w:val="00C5398E"/>
    <w:rsid w:val="00C539B3"/>
    <w:rsid w:val="00C53B73"/>
    <w:rsid w:val="00C53D67"/>
    <w:rsid w:val="00C53D69"/>
    <w:rsid w:val="00C53DB3"/>
    <w:rsid w:val="00C540B5"/>
    <w:rsid w:val="00C54308"/>
    <w:rsid w:val="00C54610"/>
    <w:rsid w:val="00C54676"/>
    <w:rsid w:val="00C548D8"/>
    <w:rsid w:val="00C54ABE"/>
    <w:rsid w:val="00C54C98"/>
    <w:rsid w:val="00C54E4F"/>
    <w:rsid w:val="00C54E59"/>
    <w:rsid w:val="00C54EFD"/>
    <w:rsid w:val="00C54F3C"/>
    <w:rsid w:val="00C551F5"/>
    <w:rsid w:val="00C5552A"/>
    <w:rsid w:val="00C556BD"/>
    <w:rsid w:val="00C557E2"/>
    <w:rsid w:val="00C55AB9"/>
    <w:rsid w:val="00C56B20"/>
    <w:rsid w:val="00C56FF8"/>
    <w:rsid w:val="00C571B1"/>
    <w:rsid w:val="00C573C8"/>
    <w:rsid w:val="00C573E1"/>
    <w:rsid w:val="00C575E8"/>
    <w:rsid w:val="00C57A85"/>
    <w:rsid w:val="00C57B0C"/>
    <w:rsid w:val="00C57B5B"/>
    <w:rsid w:val="00C57F79"/>
    <w:rsid w:val="00C57F9B"/>
    <w:rsid w:val="00C60297"/>
    <w:rsid w:val="00C604D4"/>
    <w:rsid w:val="00C605C9"/>
    <w:rsid w:val="00C6060E"/>
    <w:rsid w:val="00C60665"/>
    <w:rsid w:val="00C60726"/>
    <w:rsid w:val="00C60741"/>
    <w:rsid w:val="00C60799"/>
    <w:rsid w:val="00C6087A"/>
    <w:rsid w:val="00C60B97"/>
    <w:rsid w:val="00C60BB0"/>
    <w:rsid w:val="00C61223"/>
    <w:rsid w:val="00C61261"/>
    <w:rsid w:val="00C612CA"/>
    <w:rsid w:val="00C61862"/>
    <w:rsid w:val="00C6189E"/>
    <w:rsid w:val="00C61C2A"/>
    <w:rsid w:val="00C61D9D"/>
    <w:rsid w:val="00C61E7A"/>
    <w:rsid w:val="00C61FA8"/>
    <w:rsid w:val="00C62222"/>
    <w:rsid w:val="00C622E0"/>
    <w:rsid w:val="00C6297F"/>
    <w:rsid w:val="00C62F36"/>
    <w:rsid w:val="00C63221"/>
    <w:rsid w:val="00C63391"/>
    <w:rsid w:val="00C634BA"/>
    <w:rsid w:val="00C63632"/>
    <w:rsid w:val="00C63BB9"/>
    <w:rsid w:val="00C63E25"/>
    <w:rsid w:val="00C63E36"/>
    <w:rsid w:val="00C63E95"/>
    <w:rsid w:val="00C63EC8"/>
    <w:rsid w:val="00C63EDB"/>
    <w:rsid w:val="00C63F72"/>
    <w:rsid w:val="00C64018"/>
    <w:rsid w:val="00C64293"/>
    <w:rsid w:val="00C64314"/>
    <w:rsid w:val="00C644B4"/>
    <w:rsid w:val="00C644F5"/>
    <w:rsid w:val="00C6467C"/>
    <w:rsid w:val="00C647B2"/>
    <w:rsid w:val="00C65012"/>
    <w:rsid w:val="00C6513E"/>
    <w:rsid w:val="00C651B2"/>
    <w:rsid w:val="00C65617"/>
    <w:rsid w:val="00C658D1"/>
    <w:rsid w:val="00C6590F"/>
    <w:rsid w:val="00C65BB0"/>
    <w:rsid w:val="00C65CEE"/>
    <w:rsid w:val="00C65DA6"/>
    <w:rsid w:val="00C65DDB"/>
    <w:rsid w:val="00C65E9C"/>
    <w:rsid w:val="00C66025"/>
    <w:rsid w:val="00C6637E"/>
    <w:rsid w:val="00C6638A"/>
    <w:rsid w:val="00C66AC1"/>
    <w:rsid w:val="00C66CB8"/>
    <w:rsid w:val="00C66D96"/>
    <w:rsid w:val="00C66DE5"/>
    <w:rsid w:val="00C670C0"/>
    <w:rsid w:val="00C67273"/>
    <w:rsid w:val="00C6727F"/>
    <w:rsid w:val="00C674F7"/>
    <w:rsid w:val="00C6759B"/>
    <w:rsid w:val="00C67D87"/>
    <w:rsid w:val="00C67DBD"/>
    <w:rsid w:val="00C67E9C"/>
    <w:rsid w:val="00C67F16"/>
    <w:rsid w:val="00C700F7"/>
    <w:rsid w:val="00C705AE"/>
    <w:rsid w:val="00C705F0"/>
    <w:rsid w:val="00C70A88"/>
    <w:rsid w:val="00C70BBC"/>
    <w:rsid w:val="00C70C14"/>
    <w:rsid w:val="00C70CBD"/>
    <w:rsid w:val="00C70D5D"/>
    <w:rsid w:val="00C71102"/>
    <w:rsid w:val="00C711AA"/>
    <w:rsid w:val="00C71251"/>
    <w:rsid w:val="00C7138E"/>
    <w:rsid w:val="00C71843"/>
    <w:rsid w:val="00C71AAB"/>
    <w:rsid w:val="00C71C3F"/>
    <w:rsid w:val="00C72651"/>
    <w:rsid w:val="00C729A9"/>
    <w:rsid w:val="00C72A86"/>
    <w:rsid w:val="00C72AFE"/>
    <w:rsid w:val="00C72C10"/>
    <w:rsid w:val="00C72C67"/>
    <w:rsid w:val="00C72D9A"/>
    <w:rsid w:val="00C7330C"/>
    <w:rsid w:val="00C7346B"/>
    <w:rsid w:val="00C736EF"/>
    <w:rsid w:val="00C73898"/>
    <w:rsid w:val="00C73A7D"/>
    <w:rsid w:val="00C73BA3"/>
    <w:rsid w:val="00C73DBA"/>
    <w:rsid w:val="00C73F80"/>
    <w:rsid w:val="00C7414B"/>
    <w:rsid w:val="00C74461"/>
    <w:rsid w:val="00C744EF"/>
    <w:rsid w:val="00C74794"/>
    <w:rsid w:val="00C747AE"/>
    <w:rsid w:val="00C74917"/>
    <w:rsid w:val="00C7492D"/>
    <w:rsid w:val="00C74A49"/>
    <w:rsid w:val="00C74B68"/>
    <w:rsid w:val="00C74C1C"/>
    <w:rsid w:val="00C74FCC"/>
    <w:rsid w:val="00C75053"/>
    <w:rsid w:val="00C75056"/>
    <w:rsid w:val="00C7513E"/>
    <w:rsid w:val="00C752F4"/>
    <w:rsid w:val="00C75382"/>
    <w:rsid w:val="00C7539B"/>
    <w:rsid w:val="00C7585B"/>
    <w:rsid w:val="00C75B49"/>
    <w:rsid w:val="00C75B5F"/>
    <w:rsid w:val="00C75C96"/>
    <w:rsid w:val="00C75C9D"/>
    <w:rsid w:val="00C75DF1"/>
    <w:rsid w:val="00C7617B"/>
    <w:rsid w:val="00C761E2"/>
    <w:rsid w:val="00C763CD"/>
    <w:rsid w:val="00C76465"/>
    <w:rsid w:val="00C76ABA"/>
    <w:rsid w:val="00C76AC4"/>
    <w:rsid w:val="00C76B06"/>
    <w:rsid w:val="00C76C1E"/>
    <w:rsid w:val="00C76E0A"/>
    <w:rsid w:val="00C76E75"/>
    <w:rsid w:val="00C77122"/>
    <w:rsid w:val="00C7715D"/>
    <w:rsid w:val="00C77332"/>
    <w:rsid w:val="00C773BB"/>
    <w:rsid w:val="00C7779D"/>
    <w:rsid w:val="00C77BC1"/>
    <w:rsid w:val="00C77BEA"/>
    <w:rsid w:val="00C77CE1"/>
    <w:rsid w:val="00C77E39"/>
    <w:rsid w:val="00C77F26"/>
    <w:rsid w:val="00C802C0"/>
    <w:rsid w:val="00C802FB"/>
    <w:rsid w:val="00C80747"/>
    <w:rsid w:val="00C80778"/>
    <w:rsid w:val="00C807E7"/>
    <w:rsid w:val="00C80822"/>
    <w:rsid w:val="00C80A59"/>
    <w:rsid w:val="00C80ADE"/>
    <w:rsid w:val="00C80C03"/>
    <w:rsid w:val="00C80D57"/>
    <w:rsid w:val="00C80D6E"/>
    <w:rsid w:val="00C80E99"/>
    <w:rsid w:val="00C80FFD"/>
    <w:rsid w:val="00C81060"/>
    <w:rsid w:val="00C811AF"/>
    <w:rsid w:val="00C815B7"/>
    <w:rsid w:val="00C815CF"/>
    <w:rsid w:val="00C81715"/>
    <w:rsid w:val="00C81776"/>
    <w:rsid w:val="00C81804"/>
    <w:rsid w:val="00C8190D"/>
    <w:rsid w:val="00C81A93"/>
    <w:rsid w:val="00C81F94"/>
    <w:rsid w:val="00C821BE"/>
    <w:rsid w:val="00C82394"/>
    <w:rsid w:val="00C825A0"/>
    <w:rsid w:val="00C825F8"/>
    <w:rsid w:val="00C8263B"/>
    <w:rsid w:val="00C82BC0"/>
    <w:rsid w:val="00C82E7D"/>
    <w:rsid w:val="00C82FB1"/>
    <w:rsid w:val="00C8302F"/>
    <w:rsid w:val="00C83065"/>
    <w:rsid w:val="00C83156"/>
    <w:rsid w:val="00C83381"/>
    <w:rsid w:val="00C83431"/>
    <w:rsid w:val="00C835C1"/>
    <w:rsid w:val="00C838C1"/>
    <w:rsid w:val="00C83AF7"/>
    <w:rsid w:val="00C83CEB"/>
    <w:rsid w:val="00C83D5A"/>
    <w:rsid w:val="00C843EB"/>
    <w:rsid w:val="00C845C0"/>
    <w:rsid w:val="00C84663"/>
    <w:rsid w:val="00C847B6"/>
    <w:rsid w:val="00C849D5"/>
    <w:rsid w:val="00C84CC2"/>
    <w:rsid w:val="00C84CDF"/>
    <w:rsid w:val="00C851F3"/>
    <w:rsid w:val="00C85308"/>
    <w:rsid w:val="00C8532B"/>
    <w:rsid w:val="00C854C7"/>
    <w:rsid w:val="00C855A5"/>
    <w:rsid w:val="00C8567D"/>
    <w:rsid w:val="00C8567E"/>
    <w:rsid w:val="00C85906"/>
    <w:rsid w:val="00C85A33"/>
    <w:rsid w:val="00C85C87"/>
    <w:rsid w:val="00C85F51"/>
    <w:rsid w:val="00C86462"/>
    <w:rsid w:val="00C86872"/>
    <w:rsid w:val="00C869E8"/>
    <w:rsid w:val="00C86BFE"/>
    <w:rsid w:val="00C86CFA"/>
    <w:rsid w:val="00C86DCD"/>
    <w:rsid w:val="00C86F83"/>
    <w:rsid w:val="00C8716F"/>
    <w:rsid w:val="00C87252"/>
    <w:rsid w:val="00C875F9"/>
    <w:rsid w:val="00C876C4"/>
    <w:rsid w:val="00C87810"/>
    <w:rsid w:val="00C878BF"/>
    <w:rsid w:val="00C879D7"/>
    <w:rsid w:val="00C87BAF"/>
    <w:rsid w:val="00C87CED"/>
    <w:rsid w:val="00C87D50"/>
    <w:rsid w:val="00C87D7F"/>
    <w:rsid w:val="00C87E8B"/>
    <w:rsid w:val="00C87EDC"/>
    <w:rsid w:val="00C87F58"/>
    <w:rsid w:val="00C9024F"/>
    <w:rsid w:val="00C90317"/>
    <w:rsid w:val="00C903CE"/>
    <w:rsid w:val="00C904B2"/>
    <w:rsid w:val="00C904CB"/>
    <w:rsid w:val="00C90642"/>
    <w:rsid w:val="00C906F4"/>
    <w:rsid w:val="00C90AA1"/>
    <w:rsid w:val="00C90BCA"/>
    <w:rsid w:val="00C90EA8"/>
    <w:rsid w:val="00C90F25"/>
    <w:rsid w:val="00C90F98"/>
    <w:rsid w:val="00C910A6"/>
    <w:rsid w:val="00C91234"/>
    <w:rsid w:val="00C91494"/>
    <w:rsid w:val="00C91610"/>
    <w:rsid w:val="00C9197F"/>
    <w:rsid w:val="00C91BBC"/>
    <w:rsid w:val="00C920E7"/>
    <w:rsid w:val="00C922D6"/>
    <w:rsid w:val="00C926B5"/>
    <w:rsid w:val="00C92751"/>
    <w:rsid w:val="00C92E95"/>
    <w:rsid w:val="00C92F60"/>
    <w:rsid w:val="00C92FAF"/>
    <w:rsid w:val="00C930FD"/>
    <w:rsid w:val="00C9337E"/>
    <w:rsid w:val="00C93706"/>
    <w:rsid w:val="00C93CE4"/>
    <w:rsid w:val="00C93D2B"/>
    <w:rsid w:val="00C93F87"/>
    <w:rsid w:val="00C940BF"/>
    <w:rsid w:val="00C94251"/>
    <w:rsid w:val="00C942A5"/>
    <w:rsid w:val="00C943C6"/>
    <w:rsid w:val="00C9447F"/>
    <w:rsid w:val="00C94539"/>
    <w:rsid w:val="00C945AF"/>
    <w:rsid w:val="00C9466C"/>
    <w:rsid w:val="00C94679"/>
    <w:rsid w:val="00C94AF8"/>
    <w:rsid w:val="00C94EFD"/>
    <w:rsid w:val="00C9500B"/>
    <w:rsid w:val="00C95099"/>
    <w:rsid w:val="00C95272"/>
    <w:rsid w:val="00C955EF"/>
    <w:rsid w:val="00C95624"/>
    <w:rsid w:val="00C95656"/>
    <w:rsid w:val="00C957D3"/>
    <w:rsid w:val="00C95AA8"/>
    <w:rsid w:val="00C95EB7"/>
    <w:rsid w:val="00C96033"/>
    <w:rsid w:val="00C963AA"/>
    <w:rsid w:val="00C9670F"/>
    <w:rsid w:val="00C96BCF"/>
    <w:rsid w:val="00C96D2E"/>
    <w:rsid w:val="00C96DDB"/>
    <w:rsid w:val="00C96EC8"/>
    <w:rsid w:val="00C96EEB"/>
    <w:rsid w:val="00C96F77"/>
    <w:rsid w:val="00C9706C"/>
    <w:rsid w:val="00C973E8"/>
    <w:rsid w:val="00C97561"/>
    <w:rsid w:val="00C977C2"/>
    <w:rsid w:val="00C97878"/>
    <w:rsid w:val="00C9792B"/>
    <w:rsid w:val="00C97B83"/>
    <w:rsid w:val="00C97D12"/>
    <w:rsid w:val="00C97F44"/>
    <w:rsid w:val="00CA0386"/>
    <w:rsid w:val="00CA03A5"/>
    <w:rsid w:val="00CA06CF"/>
    <w:rsid w:val="00CA0903"/>
    <w:rsid w:val="00CA0B5A"/>
    <w:rsid w:val="00CA0C24"/>
    <w:rsid w:val="00CA0E66"/>
    <w:rsid w:val="00CA0EB3"/>
    <w:rsid w:val="00CA0F4C"/>
    <w:rsid w:val="00CA1251"/>
    <w:rsid w:val="00CA12A5"/>
    <w:rsid w:val="00CA133C"/>
    <w:rsid w:val="00CA1357"/>
    <w:rsid w:val="00CA1470"/>
    <w:rsid w:val="00CA18A7"/>
    <w:rsid w:val="00CA18F0"/>
    <w:rsid w:val="00CA193F"/>
    <w:rsid w:val="00CA1A20"/>
    <w:rsid w:val="00CA1A5D"/>
    <w:rsid w:val="00CA1BC4"/>
    <w:rsid w:val="00CA22D3"/>
    <w:rsid w:val="00CA27B0"/>
    <w:rsid w:val="00CA292C"/>
    <w:rsid w:val="00CA2AF5"/>
    <w:rsid w:val="00CA2BAE"/>
    <w:rsid w:val="00CA2BDE"/>
    <w:rsid w:val="00CA2C4E"/>
    <w:rsid w:val="00CA31C8"/>
    <w:rsid w:val="00CA32C9"/>
    <w:rsid w:val="00CA346F"/>
    <w:rsid w:val="00CA35AF"/>
    <w:rsid w:val="00CA3614"/>
    <w:rsid w:val="00CA36A3"/>
    <w:rsid w:val="00CA3755"/>
    <w:rsid w:val="00CA390F"/>
    <w:rsid w:val="00CA3A4B"/>
    <w:rsid w:val="00CA3B19"/>
    <w:rsid w:val="00CA3FBE"/>
    <w:rsid w:val="00CA4190"/>
    <w:rsid w:val="00CA4543"/>
    <w:rsid w:val="00CA4567"/>
    <w:rsid w:val="00CA474B"/>
    <w:rsid w:val="00CA4833"/>
    <w:rsid w:val="00CA4854"/>
    <w:rsid w:val="00CA48F3"/>
    <w:rsid w:val="00CA4E11"/>
    <w:rsid w:val="00CA52D5"/>
    <w:rsid w:val="00CA55A6"/>
    <w:rsid w:val="00CA55F9"/>
    <w:rsid w:val="00CA585F"/>
    <w:rsid w:val="00CA58D3"/>
    <w:rsid w:val="00CA599E"/>
    <w:rsid w:val="00CA5B02"/>
    <w:rsid w:val="00CA5C36"/>
    <w:rsid w:val="00CA60B6"/>
    <w:rsid w:val="00CA62DB"/>
    <w:rsid w:val="00CA644B"/>
    <w:rsid w:val="00CA6638"/>
    <w:rsid w:val="00CA691E"/>
    <w:rsid w:val="00CA6C5B"/>
    <w:rsid w:val="00CA6F08"/>
    <w:rsid w:val="00CA70E9"/>
    <w:rsid w:val="00CA7490"/>
    <w:rsid w:val="00CA754D"/>
    <w:rsid w:val="00CA76DE"/>
    <w:rsid w:val="00CA76F9"/>
    <w:rsid w:val="00CA774C"/>
    <w:rsid w:val="00CA782E"/>
    <w:rsid w:val="00CA7C00"/>
    <w:rsid w:val="00CA7CD9"/>
    <w:rsid w:val="00CA7DEE"/>
    <w:rsid w:val="00CA7EF0"/>
    <w:rsid w:val="00CB0100"/>
    <w:rsid w:val="00CB0393"/>
    <w:rsid w:val="00CB03D2"/>
    <w:rsid w:val="00CB04EA"/>
    <w:rsid w:val="00CB059E"/>
    <w:rsid w:val="00CB09BD"/>
    <w:rsid w:val="00CB0A6D"/>
    <w:rsid w:val="00CB0A7B"/>
    <w:rsid w:val="00CB0B42"/>
    <w:rsid w:val="00CB0CA0"/>
    <w:rsid w:val="00CB0D2C"/>
    <w:rsid w:val="00CB0D3F"/>
    <w:rsid w:val="00CB1020"/>
    <w:rsid w:val="00CB1136"/>
    <w:rsid w:val="00CB1162"/>
    <w:rsid w:val="00CB1163"/>
    <w:rsid w:val="00CB126A"/>
    <w:rsid w:val="00CB150A"/>
    <w:rsid w:val="00CB1585"/>
    <w:rsid w:val="00CB1598"/>
    <w:rsid w:val="00CB159A"/>
    <w:rsid w:val="00CB15DE"/>
    <w:rsid w:val="00CB18E9"/>
    <w:rsid w:val="00CB1964"/>
    <w:rsid w:val="00CB1AE9"/>
    <w:rsid w:val="00CB1F8B"/>
    <w:rsid w:val="00CB2054"/>
    <w:rsid w:val="00CB22AA"/>
    <w:rsid w:val="00CB23AE"/>
    <w:rsid w:val="00CB2597"/>
    <w:rsid w:val="00CB2AEF"/>
    <w:rsid w:val="00CB2D82"/>
    <w:rsid w:val="00CB2DC0"/>
    <w:rsid w:val="00CB2E9D"/>
    <w:rsid w:val="00CB3111"/>
    <w:rsid w:val="00CB3194"/>
    <w:rsid w:val="00CB3416"/>
    <w:rsid w:val="00CB342F"/>
    <w:rsid w:val="00CB396D"/>
    <w:rsid w:val="00CB3B3C"/>
    <w:rsid w:val="00CB3CC3"/>
    <w:rsid w:val="00CB3F8E"/>
    <w:rsid w:val="00CB4075"/>
    <w:rsid w:val="00CB40A9"/>
    <w:rsid w:val="00CB41C1"/>
    <w:rsid w:val="00CB42E0"/>
    <w:rsid w:val="00CB45CA"/>
    <w:rsid w:val="00CB4694"/>
    <w:rsid w:val="00CB4A0A"/>
    <w:rsid w:val="00CB4CB3"/>
    <w:rsid w:val="00CB541B"/>
    <w:rsid w:val="00CB5598"/>
    <w:rsid w:val="00CB5781"/>
    <w:rsid w:val="00CB57DA"/>
    <w:rsid w:val="00CB5A66"/>
    <w:rsid w:val="00CB5B85"/>
    <w:rsid w:val="00CB5C29"/>
    <w:rsid w:val="00CB5C6F"/>
    <w:rsid w:val="00CB5E8A"/>
    <w:rsid w:val="00CB5F03"/>
    <w:rsid w:val="00CB608A"/>
    <w:rsid w:val="00CB61C7"/>
    <w:rsid w:val="00CB6249"/>
    <w:rsid w:val="00CB65CE"/>
    <w:rsid w:val="00CB6653"/>
    <w:rsid w:val="00CB6787"/>
    <w:rsid w:val="00CB6864"/>
    <w:rsid w:val="00CB6982"/>
    <w:rsid w:val="00CB6C39"/>
    <w:rsid w:val="00CB70CD"/>
    <w:rsid w:val="00CB7150"/>
    <w:rsid w:val="00CB715E"/>
    <w:rsid w:val="00CB724D"/>
    <w:rsid w:val="00CB7296"/>
    <w:rsid w:val="00CB7373"/>
    <w:rsid w:val="00CB7C78"/>
    <w:rsid w:val="00CB7D6D"/>
    <w:rsid w:val="00CB7DC1"/>
    <w:rsid w:val="00CB7EAF"/>
    <w:rsid w:val="00CC0073"/>
    <w:rsid w:val="00CC0077"/>
    <w:rsid w:val="00CC014B"/>
    <w:rsid w:val="00CC0172"/>
    <w:rsid w:val="00CC018B"/>
    <w:rsid w:val="00CC05E1"/>
    <w:rsid w:val="00CC0641"/>
    <w:rsid w:val="00CC0848"/>
    <w:rsid w:val="00CC0C70"/>
    <w:rsid w:val="00CC0F15"/>
    <w:rsid w:val="00CC10B2"/>
    <w:rsid w:val="00CC1323"/>
    <w:rsid w:val="00CC1369"/>
    <w:rsid w:val="00CC1586"/>
    <w:rsid w:val="00CC1669"/>
    <w:rsid w:val="00CC1750"/>
    <w:rsid w:val="00CC19D9"/>
    <w:rsid w:val="00CC1BDE"/>
    <w:rsid w:val="00CC1D1D"/>
    <w:rsid w:val="00CC2119"/>
    <w:rsid w:val="00CC21F5"/>
    <w:rsid w:val="00CC22F4"/>
    <w:rsid w:val="00CC231D"/>
    <w:rsid w:val="00CC243D"/>
    <w:rsid w:val="00CC2816"/>
    <w:rsid w:val="00CC28E0"/>
    <w:rsid w:val="00CC2CB1"/>
    <w:rsid w:val="00CC2CD3"/>
    <w:rsid w:val="00CC3133"/>
    <w:rsid w:val="00CC3320"/>
    <w:rsid w:val="00CC344E"/>
    <w:rsid w:val="00CC363B"/>
    <w:rsid w:val="00CC3B6E"/>
    <w:rsid w:val="00CC3B7E"/>
    <w:rsid w:val="00CC3DD2"/>
    <w:rsid w:val="00CC4258"/>
    <w:rsid w:val="00CC441C"/>
    <w:rsid w:val="00CC45EB"/>
    <w:rsid w:val="00CC4A6B"/>
    <w:rsid w:val="00CC4AD4"/>
    <w:rsid w:val="00CC4C0A"/>
    <w:rsid w:val="00CC4C4A"/>
    <w:rsid w:val="00CC4CAD"/>
    <w:rsid w:val="00CC4D53"/>
    <w:rsid w:val="00CC4FCF"/>
    <w:rsid w:val="00CC5137"/>
    <w:rsid w:val="00CC52AE"/>
    <w:rsid w:val="00CC5550"/>
    <w:rsid w:val="00CC55A4"/>
    <w:rsid w:val="00CC56DD"/>
    <w:rsid w:val="00CC56F9"/>
    <w:rsid w:val="00CC5AD3"/>
    <w:rsid w:val="00CC5C33"/>
    <w:rsid w:val="00CC5CA2"/>
    <w:rsid w:val="00CC5D9E"/>
    <w:rsid w:val="00CC5EB0"/>
    <w:rsid w:val="00CC6108"/>
    <w:rsid w:val="00CC6208"/>
    <w:rsid w:val="00CC6248"/>
    <w:rsid w:val="00CC64B1"/>
    <w:rsid w:val="00CC674E"/>
    <w:rsid w:val="00CC6752"/>
    <w:rsid w:val="00CC6777"/>
    <w:rsid w:val="00CC6B0A"/>
    <w:rsid w:val="00CC6EC9"/>
    <w:rsid w:val="00CC7621"/>
    <w:rsid w:val="00CC770C"/>
    <w:rsid w:val="00CC79CF"/>
    <w:rsid w:val="00CC7ADB"/>
    <w:rsid w:val="00CC7B48"/>
    <w:rsid w:val="00CC7D5D"/>
    <w:rsid w:val="00CD00AB"/>
    <w:rsid w:val="00CD0853"/>
    <w:rsid w:val="00CD0AC4"/>
    <w:rsid w:val="00CD0B00"/>
    <w:rsid w:val="00CD0F20"/>
    <w:rsid w:val="00CD12D3"/>
    <w:rsid w:val="00CD1503"/>
    <w:rsid w:val="00CD1693"/>
    <w:rsid w:val="00CD16A5"/>
    <w:rsid w:val="00CD1735"/>
    <w:rsid w:val="00CD1B2E"/>
    <w:rsid w:val="00CD1C9E"/>
    <w:rsid w:val="00CD1E60"/>
    <w:rsid w:val="00CD1EBB"/>
    <w:rsid w:val="00CD1F4A"/>
    <w:rsid w:val="00CD20FF"/>
    <w:rsid w:val="00CD2131"/>
    <w:rsid w:val="00CD23F9"/>
    <w:rsid w:val="00CD2541"/>
    <w:rsid w:val="00CD2C84"/>
    <w:rsid w:val="00CD2E8A"/>
    <w:rsid w:val="00CD30B4"/>
    <w:rsid w:val="00CD31B4"/>
    <w:rsid w:val="00CD32C3"/>
    <w:rsid w:val="00CD32C7"/>
    <w:rsid w:val="00CD3467"/>
    <w:rsid w:val="00CD348E"/>
    <w:rsid w:val="00CD34A5"/>
    <w:rsid w:val="00CD351A"/>
    <w:rsid w:val="00CD37C1"/>
    <w:rsid w:val="00CD3989"/>
    <w:rsid w:val="00CD3C6B"/>
    <w:rsid w:val="00CD3D82"/>
    <w:rsid w:val="00CD3F48"/>
    <w:rsid w:val="00CD4103"/>
    <w:rsid w:val="00CD4106"/>
    <w:rsid w:val="00CD4307"/>
    <w:rsid w:val="00CD46D4"/>
    <w:rsid w:val="00CD484D"/>
    <w:rsid w:val="00CD49DC"/>
    <w:rsid w:val="00CD4E3A"/>
    <w:rsid w:val="00CD510B"/>
    <w:rsid w:val="00CD52D5"/>
    <w:rsid w:val="00CD5393"/>
    <w:rsid w:val="00CD5806"/>
    <w:rsid w:val="00CD58F7"/>
    <w:rsid w:val="00CD5983"/>
    <w:rsid w:val="00CD5AFD"/>
    <w:rsid w:val="00CD5D10"/>
    <w:rsid w:val="00CD5E8B"/>
    <w:rsid w:val="00CD5EBA"/>
    <w:rsid w:val="00CD62DF"/>
    <w:rsid w:val="00CD6364"/>
    <w:rsid w:val="00CD6895"/>
    <w:rsid w:val="00CD6972"/>
    <w:rsid w:val="00CD6A50"/>
    <w:rsid w:val="00CD6C7B"/>
    <w:rsid w:val="00CD6E46"/>
    <w:rsid w:val="00CD6FDC"/>
    <w:rsid w:val="00CD723B"/>
    <w:rsid w:val="00CD7A6E"/>
    <w:rsid w:val="00CD7B97"/>
    <w:rsid w:val="00CD7E8B"/>
    <w:rsid w:val="00CE00C2"/>
    <w:rsid w:val="00CE034E"/>
    <w:rsid w:val="00CE0377"/>
    <w:rsid w:val="00CE0413"/>
    <w:rsid w:val="00CE06DC"/>
    <w:rsid w:val="00CE06F5"/>
    <w:rsid w:val="00CE07D7"/>
    <w:rsid w:val="00CE0AF5"/>
    <w:rsid w:val="00CE0B46"/>
    <w:rsid w:val="00CE0C6A"/>
    <w:rsid w:val="00CE0D98"/>
    <w:rsid w:val="00CE0E45"/>
    <w:rsid w:val="00CE0F63"/>
    <w:rsid w:val="00CE1078"/>
    <w:rsid w:val="00CE10B1"/>
    <w:rsid w:val="00CE1361"/>
    <w:rsid w:val="00CE14BC"/>
    <w:rsid w:val="00CE1544"/>
    <w:rsid w:val="00CE1851"/>
    <w:rsid w:val="00CE1A39"/>
    <w:rsid w:val="00CE1BB5"/>
    <w:rsid w:val="00CE1BDB"/>
    <w:rsid w:val="00CE1D17"/>
    <w:rsid w:val="00CE1D5A"/>
    <w:rsid w:val="00CE1EA6"/>
    <w:rsid w:val="00CE2002"/>
    <w:rsid w:val="00CE206B"/>
    <w:rsid w:val="00CE207C"/>
    <w:rsid w:val="00CE20C5"/>
    <w:rsid w:val="00CE232B"/>
    <w:rsid w:val="00CE23E7"/>
    <w:rsid w:val="00CE2851"/>
    <w:rsid w:val="00CE2BC2"/>
    <w:rsid w:val="00CE2C3B"/>
    <w:rsid w:val="00CE2D3D"/>
    <w:rsid w:val="00CE3269"/>
    <w:rsid w:val="00CE3347"/>
    <w:rsid w:val="00CE33B9"/>
    <w:rsid w:val="00CE3758"/>
    <w:rsid w:val="00CE37C8"/>
    <w:rsid w:val="00CE37D7"/>
    <w:rsid w:val="00CE3A97"/>
    <w:rsid w:val="00CE3AC1"/>
    <w:rsid w:val="00CE3B50"/>
    <w:rsid w:val="00CE3D82"/>
    <w:rsid w:val="00CE3E4F"/>
    <w:rsid w:val="00CE40B8"/>
    <w:rsid w:val="00CE4172"/>
    <w:rsid w:val="00CE42DC"/>
    <w:rsid w:val="00CE4786"/>
    <w:rsid w:val="00CE4854"/>
    <w:rsid w:val="00CE4A19"/>
    <w:rsid w:val="00CE4AA5"/>
    <w:rsid w:val="00CE4D48"/>
    <w:rsid w:val="00CE4E14"/>
    <w:rsid w:val="00CE4FD9"/>
    <w:rsid w:val="00CE5045"/>
    <w:rsid w:val="00CE51F8"/>
    <w:rsid w:val="00CE52B2"/>
    <w:rsid w:val="00CE53C1"/>
    <w:rsid w:val="00CE594E"/>
    <w:rsid w:val="00CE5982"/>
    <w:rsid w:val="00CE5AA6"/>
    <w:rsid w:val="00CE5AE9"/>
    <w:rsid w:val="00CE5D12"/>
    <w:rsid w:val="00CE5F0B"/>
    <w:rsid w:val="00CE62AA"/>
    <w:rsid w:val="00CE6368"/>
    <w:rsid w:val="00CE6451"/>
    <w:rsid w:val="00CE6568"/>
    <w:rsid w:val="00CE6AB0"/>
    <w:rsid w:val="00CE6C41"/>
    <w:rsid w:val="00CE6D52"/>
    <w:rsid w:val="00CE73FE"/>
    <w:rsid w:val="00CE7529"/>
    <w:rsid w:val="00CE76E2"/>
    <w:rsid w:val="00CE7723"/>
    <w:rsid w:val="00CE7B1F"/>
    <w:rsid w:val="00CE7B8C"/>
    <w:rsid w:val="00CE7C7D"/>
    <w:rsid w:val="00CE7FD3"/>
    <w:rsid w:val="00CF019E"/>
    <w:rsid w:val="00CF0201"/>
    <w:rsid w:val="00CF025F"/>
    <w:rsid w:val="00CF03EF"/>
    <w:rsid w:val="00CF0681"/>
    <w:rsid w:val="00CF0810"/>
    <w:rsid w:val="00CF0D48"/>
    <w:rsid w:val="00CF0E48"/>
    <w:rsid w:val="00CF0F8D"/>
    <w:rsid w:val="00CF113E"/>
    <w:rsid w:val="00CF121D"/>
    <w:rsid w:val="00CF1420"/>
    <w:rsid w:val="00CF1480"/>
    <w:rsid w:val="00CF1629"/>
    <w:rsid w:val="00CF1A00"/>
    <w:rsid w:val="00CF1A32"/>
    <w:rsid w:val="00CF1A8A"/>
    <w:rsid w:val="00CF1C69"/>
    <w:rsid w:val="00CF1E15"/>
    <w:rsid w:val="00CF1EB5"/>
    <w:rsid w:val="00CF1F52"/>
    <w:rsid w:val="00CF20BD"/>
    <w:rsid w:val="00CF240B"/>
    <w:rsid w:val="00CF266D"/>
    <w:rsid w:val="00CF287E"/>
    <w:rsid w:val="00CF2C39"/>
    <w:rsid w:val="00CF2D7A"/>
    <w:rsid w:val="00CF2D8E"/>
    <w:rsid w:val="00CF2DE1"/>
    <w:rsid w:val="00CF2E38"/>
    <w:rsid w:val="00CF3072"/>
    <w:rsid w:val="00CF3103"/>
    <w:rsid w:val="00CF3582"/>
    <w:rsid w:val="00CF35A9"/>
    <w:rsid w:val="00CF3651"/>
    <w:rsid w:val="00CF3680"/>
    <w:rsid w:val="00CF37CE"/>
    <w:rsid w:val="00CF38E7"/>
    <w:rsid w:val="00CF3A89"/>
    <w:rsid w:val="00CF3B58"/>
    <w:rsid w:val="00CF4000"/>
    <w:rsid w:val="00CF43C4"/>
    <w:rsid w:val="00CF4736"/>
    <w:rsid w:val="00CF47AD"/>
    <w:rsid w:val="00CF4804"/>
    <w:rsid w:val="00CF482A"/>
    <w:rsid w:val="00CF4D94"/>
    <w:rsid w:val="00CF4FC3"/>
    <w:rsid w:val="00CF4FED"/>
    <w:rsid w:val="00CF51E0"/>
    <w:rsid w:val="00CF53E3"/>
    <w:rsid w:val="00CF56B2"/>
    <w:rsid w:val="00CF5CEF"/>
    <w:rsid w:val="00CF61D9"/>
    <w:rsid w:val="00CF6393"/>
    <w:rsid w:val="00CF67C8"/>
    <w:rsid w:val="00CF6AFE"/>
    <w:rsid w:val="00CF6C20"/>
    <w:rsid w:val="00CF6D52"/>
    <w:rsid w:val="00CF6F28"/>
    <w:rsid w:val="00CF6F60"/>
    <w:rsid w:val="00CF6F6B"/>
    <w:rsid w:val="00CF7026"/>
    <w:rsid w:val="00CF7038"/>
    <w:rsid w:val="00CF70F7"/>
    <w:rsid w:val="00CF7264"/>
    <w:rsid w:val="00CF73FA"/>
    <w:rsid w:val="00CF772C"/>
    <w:rsid w:val="00CF7BA0"/>
    <w:rsid w:val="00CF7C76"/>
    <w:rsid w:val="00CF7C7F"/>
    <w:rsid w:val="00CF7EC0"/>
    <w:rsid w:val="00D003D1"/>
    <w:rsid w:val="00D00559"/>
    <w:rsid w:val="00D00733"/>
    <w:rsid w:val="00D00747"/>
    <w:rsid w:val="00D007FC"/>
    <w:rsid w:val="00D00866"/>
    <w:rsid w:val="00D00936"/>
    <w:rsid w:val="00D00A4B"/>
    <w:rsid w:val="00D00B9A"/>
    <w:rsid w:val="00D00D3E"/>
    <w:rsid w:val="00D00F83"/>
    <w:rsid w:val="00D010BF"/>
    <w:rsid w:val="00D013B5"/>
    <w:rsid w:val="00D014DB"/>
    <w:rsid w:val="00D0157D"/>
    <w:rsid w:val="00D017BE"/>
    <w:rsid w:val="00D01BF2"/>
    <w:rsid w:val="00D01C0C"/>
    <w:rsid w:val="00D01DD8"/>
    <w:rsid w:val="00D023C2"/>
    <w:rsid w:val="00D0246C"/>
    <w:rsid w:val="00D02478"/>
    <w:rsid w:val="00D0253E"/>
    <w:rsid w:val="00D02690"/>
    <w:rsid w:val="00D026AE"/>
    <w:rsid w:val="00D02C18"/>
    <w:rsid w:val="00D02D8B"/>
    <w:rsid w:val="00D02E3B"/>
    <w:rsid w:val="00D03520"/>
    <w:rsid w:val="00D0362B"/>
    <w:rsid w:val="00D03ABC"/>
    <w:rsid w:val="00D03C05"/>
    <w:rsid w:val="00D03C8C"/>
    <w:rsid w:val="00D0425F"/>
    <w:rsid w:val="00D0435A"/>
    <w:rsid w:val="00D04373"/>
    <w:rsid w:val="00D0476A"/>
    <w:rsid w:val="00D0478E"/>
    <w:rsid w:val="00D0483C"/>
    <w:rsid w:val="00D04860"/>
    <w:rsid w:val="00D048DB"/>
    <w:rsid w:val="00D04911"/>
    <w:rsid w:val="00D04BEB"/>
    <w:rsid w:val="00D04DCE"/>
    <w:rsid w:val="00D05028"/>
    <w:rsid w:val="00D05208"/>
    <w:rsid w:val="00D05251"/>
    <w:rsid w:val="00D05344"/>
    <w:rsid w:val="00D0535E"/>
    <w:rsid w:val="00D05D76"/>
    <w:rsid w:val="00D05E2B"/>
    <w:rsid w:val="00D05EA1"/>
    <w:rsid w:val="00D05F50"/>
    <w:rsid w:val="00D060E8"/>
    <w:rsid w:val="00D064B7"/>
    <w:rsid w:val="00D06538"/>
    <w:rsid w:val="00D06925"/>
    <w:rsid w:val="00D06BC4"/>
    <w:rsid w:val="00D06BE9"/>
    <w:rsid w:val="00D06C30"/>
    <w:rsid w:val="00D071C1"/>
    <w:rsid w:val="00D074A2"/>
    <w:rsid w:val="00D07552"/>
    <w:rsid w:val="00D07872"/>
    <w:rsid w:val="00D07895"/>
    <w:rsid w:val="00D07A7B"/>
    <w:rsid w:val="00D07A96"/>
    <w:rsid w:val="00D10155"/>
    <w:rsid w:val="00D1024F"/>
    <w:rsid w:val="00D1039A"/>
    <w:rsid w:val="00D10414"/>
    <w:rsid w:val="00D105B1"/>
    <w:rsid w:val="00D105C4"/>
    <w:rsid w:val="00D105EB"/>
    <w:rsid w:val="00D10875"/>
    <w:rsid w:val="00D10BF6"/>
    <w:rsid w:val="00D10E23"/>
    <w:rsid w:val="00D1114C"/>
    <w:rsid w:val="00D11352"/>
    <w:rsid w:val="00D1139A"/>
    <w:rsid w:val="00D1165E"/>
    <w:rsid w:val="00D1169E"/>
    <w:rsid w:val="00D11B22"/>
    <w:rsid w:val="00D11D49"/>
    <w:rsid w:val="00D11F48"/>
    <w:rsid w:val="00D12570"/>
    <w:rsid w:val="00D12797"/>
    <w:rsid w:val="00D128E4"/>
    <w:rsid w:val="00D12AC1"/>
    <w:rsid w:val="00D12E78"/>
    <w:rsid w:val="00D12FE3"/>
    <w:rsid w:val="00D133C0"/>
    <w:rsid w:val="00D13548"/>
    <w:rsid w:val="00D135AD"/>
    <w:rsid w:val="00D135D3"/>
    <w:rsid w:val="00D137DA"/>
    <w:rsid w:val="00D138B1"/>
    <w:rsid w:val="00D13944"/>
    <w:rsid w:val="00D139F5"/>
    <w:rsid w:val="00D13B38"/>
    <w:rsid w:val="00D13D54"/>
    <w:rsid w:val="00D13E4A"/>
    <w:rsid w:val="00D1408D"/>
    <w:rsid w:val="00D140B0"/>
    <w:rsid w:val="00D14360"/>
    <w:rsid w:val="00D144AA"/>
    <w:rsid w:val="00D147B5"/>
    <w:rsid w:val="00D14B50"/>
    <w:rsid w:val="00D14BF5"/>
    <w:rsid w:val="00D1536A"/>
    <w:rsid w:val="00D1549A"/>
    <w:rsid w:val="00D15511"/>
    <w:rsid w:val="00D158D9"/>
    <w:rsid w:val="00D15936"/>
    <w:rsid w:val="00D159A9"/>
    <w:rsid w:val="00D15A89"/>
    <w:rsid w:val="00D15D01"/>
    <w:rsid w:val="00D15E3C"/>
    <w:rsid w:val="00D15EA6"/>
    <w:rsid w:val="00D160FD"/>
    <w:rsid w:val="00D16417"/>
    <w:rsid w:val="00D164F6"/>
    <w:rsid w:val="00D16798"/>
    <w:rsid w:val="00D168DA"/>
    <w:rsid w:val="00D16D82"/>
    <w:rsid w:val="00D16FA1"/>
    <w:rsid w:val="00D16FF9"/>
    <w:rsid w:val="00D1706F"/>
    <w:rsid w:val="00D171B3"/>
    <w:rsid w:val="00D173E4"/>
    <w:rsid w:val="00D17475"/>
    <w:rsid w:val="00D1747D"/>
    <w:rsid w:val="00D17981"/>
    <w:rsid w:val="00D17C38"/>
    <w:rsid w:val="00D20022"/>
    <w:rsid w:val="00D20033"/>
    <w:rsid w:val="00D2015B"/>
    <w:rsid w:val="00D205BE"/>
    <w:rsid w:val="00D2072C"/>
    <w:rsid w:val="00D20749"/>
    <w:rsid w:val="00D208D9"/>
    <w:rsid w:val="00D20AEE"/>
    <w:rsid w:val="00D20DD8"/>
    <w:rsid w:val="00D20F77"/>
    <w:rsid w:val="00D2119A"/>
    <w:rsid w:val="00D21394"/>
    <w:rsid w:val="00D2154E"/>
    <w:rsid w:val="00D21628"/>
    <w:rsid w:val="00D2173B"/>
    <w:rsid w:val="00D218AD"/>
    <w:rsid w:val="00D2192A"/>
    <w:rsid w:val="00D21AC6"/>
    <w:rsid w:val="00D21AD4"/>
    <w:rsid w:val="00D21BA3"/>
    <w:rsid w:val="00D21F05"/>
    <w:rsid w:val="00D21FF1"/>
    <w:rsid w:val="00D2213C"/>
    <w:rsid w:val="00D222FB"/>
    <w:rsid w:val="00D2240C"/>
    <w:rsid w:val="00D2246E"/>
    <w:rsid w:val="00D2261E"/>
    <w:rsid w:val="00D227DD"/>
    <w:rsid w:val="00D22C06"/>
    <w:rsid w:val="00D22E9E"/>
    <w:rsid w:val="00D2367E"/>
    <w:rsid w:val="00D2381C"/>
    <w:rsid w:val="00D2391B"/>
    <w:rsid w:val="00D23B0D"/>
    <w:rsid w:val="00D23B88"/>
    <w:rsid w:val="00D23F93"/>
    <w:rsid w:val="00D243C3"/>
    <w:rsid w:val="00D246BB"/>
    <w:rsid w:val="00D24973"/>
    <w:rsid w:val="00D24DA1"/>
    <w:rsid w:val="00D24DB4"/>
    <w:rsid w:val="00D25016"/>
    <w:rsid w:val="00D25165"/>
    <w:rsid w:val="00D2526C"/>
    <w:rsid w:val="00D25289"/>
    <w:rsid w:val="00D256F3"/>
    <w:rsid w:val="00D25B9F"/>
    <w:rsid w:val="00D25C85"/>
    <w:rsid w:val="00D25DDE"/>
    <w:rsid w:val="00D25F19"/>
    <w:rsid w:val="00D2622F"/>
    <w:rsid w:val="00D263BA"/>
    <w:rsid w:val="00D269FD"/>
    <w:rsid w:val="00D26AF2"/>
    <w:rsid w:val="00D26C41"/>
    <w:rsid w:val="00D26D43"/>
    <w:rsid w:val="00D26D7F"/>
    <w:rsid w:val="00D26DE2"/>
    <w:rsid w:val="00D26EF9"/>
    <w:rsid w:val="00D272F9"/>
    <w:rsid w:val="00D275D8"/>
    <w:rsid w:val="00D27628"/>
    <w:rsid w:val="00D27655"/>
    <w:rsid w:val="00D27694"/>
    <w:rsid w:val="00D27B5E"/>
    <w:rsid w:val="00D27C96"/>
    <w:rsid w:val="00D27CD0"/>
    <w:rsid w:val="00D27CFF"/>
    <w:rsid w:val="00D27E74"/>
    <w:rsid w:val="00D301B8"/>
    <w:rsid w:val="00D302A5"/>
    <w:rsid w:val="00D302FF"/>
    <w:rsid w:val="00D30401"/>
    <w:rsid w:val="00D3061D"/>
    <w:rsid w:val="00D30A08"/>
    <w:rsid w:val="00D30B28"/>
    <w:rsid w:val="00D30CCE"/>
    <w:rsid w:val="00D30F1F"/>
    <w:rsid w:val="00D30F30"/>
    <w:rsid w:val="00D30F9B"/>
    <w:rsid w:val="00D31136"/>
    <w:rsid w:val="00D311C9"/>
    <w:rsid w:val="00D311DD"/>
    <w:rsid w:val="00D31368"/>
    <w:rsid w:val="00D31762"/>
    <w:rsid w:val="00D3185C"/>
    <w:rsid w:val="00D31A37"/>
    <w:rsid w:val="00D31BB5"/>
    <w:rsid w:val="00D31C3A"/>
    <w:rsid w:val="00D31E96"/>
    <w:rsid w:val="00D31FC3"/>
    <w:rsid w:val="00D3225A"/>
    <w:rsid w:val="00D323B7"/>
    <w:rsid w:val="00D32537"/>
    <w:rsid w:val="00D325D3"/>
    <w:rsid w:val="00D32620"/>
    <w:rsid w:val="00D326C1"/>
    <w:rsid w:val="00D326F0"/>
    <w:rsid w:val="00D3297F"/>
    <w:rsid w:val="00D32A15"/>
    <w:rsid w:val="00D331F8"/>
    <w:rsid w:val="00D33677"/>
    <w:rsid w:val="00D336AA"/>
    <w:rsid w:val="00D337A1"/>
    <w:rsid w:val="00D33990"/>
    <w:rsid w:val="00D33C41"/>
    <w:rsid w:val="00D33D48"/>
    <w:rsid w:val="00D33E60"/>
    <w:rsid w:val="00D33F88"/>
    <w:rsid w:val="00D3444B"/>
    <w:rsid w:val="00D3454E"/>
    <w:rsid w:val="00D3458C"/>
    <w:rsid w:val="00D34816"/>
    <w:rsid w:val="00D348B2"/>
    <w:rsid w:val="00D34902"/>
    <w:rsid w:val="00D34971"/>
    <w:rsid w:val="00D34CD6"/>
    <w:rsid w:val="00D34D71"/>
    <w:rsid w:val="00D34FE4"/>
    <w:rsid w:val="00D35157"/>
    <w:rsid w:val="00D3525D"/>
    <w:rsid w:val="00D359D2"/>
    <w:rsid w:val="00D35D18"/>
    <w:rsid w:val="00D36073"/>
    <w:rsid w:val="00D3609A"/>
    <w:rsid w:val="00D362BF"/>
    <w:rsid w:val="00D3671A"/>
    <w:rsid w:val="00D36847"/>
    <w:rsid w:val="00D369DF"/>
    <w:rsid w:val="00D36A70"/>
    <w:rsid w:val="00D36A9C"/>
    <w:rsid w:val="00D36AC9"/>
    <w:rsid w:val="00D36DCD"/>
    <w:rsid w:val="00D36F31"/>
    <w:rsid w:val="00D36FBE"/>
    <w:rsid w:val="00D37359"/>
    <w:rsid w:val="00D37465"/>
    <w:rsid w:val="00D37569"/>
    <w:rsid w:val="00D3797B"/>
    <w:rsid w:val="00D37C31"/>
    <w:rsid w:val="00D37D18"/>
    <w:rsid w:val="00D37D5B"/>
    <w:rsid w:val="00D4023D"/>
    <w:rsid w:val="00D404E0"/>
    <w:rsid w:val="00D406CD"/>
    <w:rsid w:val="00D4096A"/>
    <w:rsid w:val="00D40B92"/>
    <w:rsid w:val="00D40BAE"/>
    <w:rsid w:val="00D40CCD"/>
    <w:rsid w:val="00D40CFA"/>
    <w:rsid w:val="00D40F1A"/>
    <w:rsid w:val="00D40F51"/>
    <w:rsid w:val="00D4100E"/>
    <w:rsid w:val="00D41153"/>
    <w:rsid w:val="00D411EF"/>
    <w:rsid w:val="00D413E9"/>
    <w:rsid w:val="00D416D4"/>
    <w:rsid w:val="00D4175D"/>
    <w:rsid w:val="00D41840"/>
    <w:rsid w:val="00D41844"/>
    <w:rsid w:val="00D41964"/>
    <w:rsid w:val="00D41AA3"/>
    <w:rsid w:val="00D4213A"/>
    <w:rsid w:val="00D422AB"/>
    <w:rsid w:val="00D4235E"/>
    <w:rsid w:val="00D42366"/>
    <w:rsid w:val="00D42493"/>
    <w:rsid w:val="00D42553"/>
    <w:rsid w:val="00D4298D"/>
    <w:rsid w:val="00D42AA8"/>
    <w:rsid w:val="00D42AC7"/>
    <w:rsid w:val="00D42B02"/>
    <w:rsid w:val="00D42E80"/>
    <w:rsid w:val="00D43098"/>
    <w:rsid w:val="00D43211"/>
    <w:rsid w:val="00D4332A"/>
    <w:rsid w:val="00D4357B"/>
    <w:rsid w:val="00D436B3"/>
    <w:rsid w:val="00D439BA"/>
    <w:rsid w:val="00D43D9B"/>
    <w:rsid w:val="00D43E59"/>
    <w:rsid w:val="00D44504"/>
    <w:rsid w:val="00D44781"/>
    <w:rsid w:val="00D447E5"/>
    <w:rsid w:val="00D44BDD"/>
    <w:rsid w:val="00D44C6B"/>
    <w:rsid w:val="00D44F83"/>
    <w:rsid w:val="00D45183"/>
    <w:rsid w:val="00D45222"/>
    <w:rsid w:val="00D454A6"/>
    <w:rsid w:val="00D455AF"/>
    <w:rsid w:val="00D455C3"/>
    <w:rsid w:val="00D4569E"/>
    <w:rsid w:val="00D457A6"/>
    <w:rsid w:val="00D457F6"/>
    <w:rsid w:val="00D4597D"/>
    <w:rsid w:val="00D45C8B"/>
    <w:rsid w:val="00D45DAE"/>
    <w:rsid w:val="00D461CC"/>
    <w:rsid w:val="00D4626F"/>
    <w:rsid w:val="00D4630B"/>
    <w:rsid w:val="00D46373"/>
    <w:rsid w:val="00D46465"/>
    <w:rsid w:val="00D46499"/>
    <w:rsid w:val="00D464F2"/>
    <w:rsid w:val="00D4660B"/>
    <w:rsid w:val="00D46692"/>
    <w:rsid w:val="00D466F9"/>
    <w:rsid w:val="00D46741"/>
    <w:rsid w:val="00D46B9A"/>
    <w:rsid w:val="00D46C94"/>
    <w:rsid w:val="00D46D4E"/>
    <w:rsid w:val="00D47297"/>
    <w:rsid w:val="00D472D5"/>
    <w:rsid w:val="00D47499"/>
    <w:rsid w:val="00D476F4"/>
    <w:rsid w:val="00D47AC7"/>
    <w:rsid w:val="00D47C4A"/>
    <w:rsid w:val="00D47D8A"/>
    <w:rsid w:val="00D47F39"/>
    <w:rsid w:val="00D50190"/>
    <w:rsid w:val="00D50317"/>
    <w:rsid w:val="00D504E3"/>
    <w:rsid w:val="00D50826"/>
    <w:rsid w:val="00D509A4"/>
    <w:rsid w:val="00D50A40"/>
    <w:rsid w:val="00D50AA7"/>
    <w:rsid w:val="00D50B7B"/>
    <w:rsid w:val="00D50CEB"/>
    <w:rsid w:val="00D50D42"/>
    <w:rsid w:val="00D50DAA"/>
    <w:rsid w:val="00D50DD9"/>
    <w:rsid w:val="00D50E97"/>
    <w:rsid w:val="00D511C2"/>
    <w:rsid w:val="00D5126A"/>
    <w:rsid w:val="00D512B8"/>
    <w:rsid w:val="00D512EE"/>
    <w:rsid w:val="00D515F0"/>
    <w:rsid w:val="00D517DB"/>
    <w:rsid w:val="00D51921"/>
    <w:rsid w:val="00D519BE"/>
    <w:rsid w:val="00D51AA9"/>
    <w:rsid w:val="00D51C8E"/>
    <w:rsid w:val="00D52152"/>
    <w:rsid w:val="00D52D75"/>
    <w:rsid w:val="00D53047"/>
    <w:rsid w:val="00D5349E"/>
    <w:rsid w:val="00D5382B"/>
    <w:rsid w:val="00D53994"/>
    <w:rsid w:val="00D53BB9"/>
    <w:rsid w:val="00D53C8D"/>
    <w:rsid w:val="00D5411F"/>
    <w:rsid w:val="00D54231"/>
    <w:rsid w:val="00D54379"/>
    <w:rsid w:val="00D546F5"/>
    <w:rsid w:val="00D54945"/>
    <w:rsid w:val="00D54ADC"/>
    <w:rsid w:val="00D54B03"/>
    <w:rsid w:val="00D54B14"/>
    <w:rsid w:val="00D54B50"/>
    <w:rsid w:val="00D54C34"/>
    <w:rsid w:val="00D54CA9"/>
    <w:rsid w:val="00D55117"/>
    <w:rsid w:val="00D5516E"/>
    <w:rsid w:val="00D5518D"/>
    <w:rsid w:val="00D551A3"/>
    <w:rsid w:val="00D5546E"/>
    <w:rsid w:val="00D5592A"/>
    <w:rsid w:val="00D55C9F"/>
    <w:rsid w:val="00D55D26"/>
    <w:rsid w:val="00D55DAD"/>
    <w:rsid w:val="00D55E80"/>
    <w:rsid w:val="00D56239"/>
    <w:rsid w:val="00D568A8"/>
    <w:rsid w:val="00D569C6"/>
    <w:rsid w:val="00D56F12"/>
    <w:rsid w:val="00D570AA"/>
    <w:rsid w:val="00D57235"/>
    <w:rsid w:val="00D57281"/>
    <w:rsid w:val="00D57325"/>
    <w:rsid w:val="00D573DB"/>
    <w:rsid w:val="00D579DC"/>
    <w:rsid w:val="00D57AC5"/>
    <w:rsid w:val="00D57CEE"/>
    <w:rsid w:val="00D57E15"/>
    <w:rsid w:val="00D600DA"/>
    <w:rsid w:val="00D60154"/>
    <w:rsid w:val="00D6017A"/>
    <w:rsid w:val="00D60192"/>
    <w:rsid w:val="00D6022E"/>
    <w:rsid w:val="00D60242"/>
    <w:rsid w:val="00D6060D"/>
    <w:rsid w:val="00D6095E"/>
    <w:rsid w:val="00D609EA"/>
    <w:rsid w:val="00D60A5C"/>
    <w:rsid w:val="00D60AB4"/>
    <w:rsid w:val="00D60B44"/>
    <w:rsid w:val="00D60C38"/>
    <w:rsid w:val="00D60C5E"/>
    <w:rsid w:val="00D61199"/>
    <w:rsid w:val="00D61299"/>
    <w:rsid w:val="00D61365"/>
    <w:rsid w:val="00D613C2"/>
    <w:rsid w:val="00D61B37"/>
    <w:rsid w:val="00D61BEB"/>
    <w:rsid w:val="00D61E5C"/>
    <w:rsid w:val="00D61EA2"/>
    <w:rsid w:val="00D61EBB"/>
    <w:rsid w:val="00D6203D"/>
    <w:rsid w:val="00D6279E"/>
    <w:rsid w:val="00D6281B"/>
    <w:rsid w:val="00D6281F"/>
    <w:rsid w:val="00D62CBA"/>
    <w:rsid w:val="00D62EFD"/>
    <w:rsid w:val="00D62FE0"/>
    <w:rsid w:val="00D63190"/>
    <w:rsid w:val="00D6335B"/>
    <w:rsid w:val="00D6370F"/>
    <w:rsid w:val="00D6394E"/>
    <w:rsid w:val="00D639AB"/>
    <w:rsid w:val="00D639F0"/>
    <w:rsid w:val="00D63A2A"/>
    <w:rsid w:val="00D63DD2"/>
    <w:rsid w:val="00D63F26"/>
    <w:rsid w:val="00D63FA6"/>
    <w:rsid w:val="00D64106"/>
    <w:rsid w:val="00D641DF"/>
    <w:rsid w:val="00D64407"/>
    <w:rsid w:val="00D64413"/>
    <w:rsid w:val="00D6445C"/>
    <w:rsid w:val="00D64790"/>
    <w:rsid w:val="00D64899"/>
    <w:rsid w:val="00D64F65"/>
    <w:rsid w:val="00D64F83"/>
    <w:rsid w:val="00D650CB"/>
    <w:rsid w:val="00D6525D"/>
    <w:rsid w:val="00D653CF"/>
    <w:rsid w:val="00D6580E"/>
    <w:rsid w:val="00D65D7E"/>
    <w:rsid w:val="00D65E73"/>
    <w:rsid w:val="00D6605B"/>
    <w:rsid w:val="00D661C4"/>
    <w:rsid w:val="00D663DE"/>
    <w:rsid w:val="00D666BE"/>
    <w:rsid w:val="00D6675E"/>
    <w:rsid w:val="00D66D34"/>
    <w:rsid w:val="00D66F2C"/>
    <w:rsid w:val="00D67278"/>
    <w:rsid w:val="00D67508"/>
    <w:rsid w:val="00D6756E"/>
    <w:rsid w:val="00D67960"/>
    <w:rsid w:val="00D67C1E"/>
    <w:rsid w:val="00D67C69"/>
    <w:rsid w:val="00D67DCC"/>
    <w:rsid w:val="00D67DEB"/>
    <w:rsid w:val="00D700B9"/>
    <w:rsid w:val="00D7024B"/>
    <w:rsid w:val="00D702FB"/>
    <w:rsid w:val="00D703B8"/>
    <w:rsid w:val="00D7062E"/>
    <w:rsid w:val="00D7063A"/>
    <w:rsid w:val="00D7065B"/>
    <w:rsid w:val="00D708EF"/>
    <w:rsid w:val="00D7093F"/>
    <w:rsid w:val="00D711AD"/>
    <w:rsid w:val="00D713F2"/>
    <w:rsid w:val="00D719B3"/>
    <w:rsid w:val="00D71B76"/>
    <w:rsid w:val="00D71D00"/>
    <w:rsid w:val="00D71D7F"/>
    <w:rsid w:val="00D71F6C"/>
    <w:rsid w:val="00D720D3"/>
    <w:rsid w:val="00D721B1"/>
    <w:rsid w:val="00D7236B"/>
    <w:rsid w:val="00D7253F"/>
    <w:rsid w:val="00D72571"/>
    <w:rsid w:val="00D72683"/>
    <w:rsid w:val="00D727D2"/>
    <w:rsid w:val="00D729FA"/>
    <w:rsid w:val="00D72ADC"/>
    <w:rsid w:val="00D72BEC"/>
    <w:rsid w:val="00D72C14"/>
    <w:rsid w:val="00D72D2B"/>
    <w:rsid w:val="00D7327F"/>
    <w:rsid w:val="00D73333"/>
    <w:rsid w:val="00D73CD1"/>
    <w:rsid w:val="00D73D04"/>
    <w:rsid w:val="00D73D55"/>
    <w:rsid w:val="00D73E8C"/>
    <w:rsid w:val="00D740E5"/>
    <w:rsid w:val="00D7428D"/>
    <w:rsid w:val="00D742F7"/>
    <w:rsid w:val="00D74341"/>
    <w:rsid w:val="00D74635"/>
    <w:rsid w:val="00D74696"/>
    <w:rsid w:val="00D747AA"/>
    <w:rsid w:val="00D749B5"/>
    <w:rsid w:val="00D749FE"/>
    <w:rsid w:val="00D74CE1"/>
    <w:rsid w:val="00D74EBF"/>
    <w:rsid w:val="00D74EEB"/>
    <w:rsid w:val="00D74FD9"/>
    <w:rsid w:val="00D752D1"/>
    <w:rsid w:val="00D75389"/>
    <w:rsid w:val="00D758C7"/>
    <w:rsid w:val="00D758D1"/>
    <w:rsid w:val="00D75DCD"/>
    <w:rsid w:val="00D7630E"/>
    <w:rsid w:val="00D76561"/>
    <w:rsid w:val="00D7663D"/>
    <w:rsid w:val="00D7668B"/>
    <w:rsid w:val="00D767C1"/>
    <w:rsid w:val="00D76844"/>
    <w:rsid w:val="00D7684A"/>
    <w:rsid w:val="00D76974"/>
    <w:rsid w:val="00D769E4"/>
    <w:rsid w:val="00D76ABD"/>
    <w:rsid w:val="00D76AC0"/>
    <w:rsid w:val="00D76E14"/>
    <w:rsid w:val="00D77060"/>
    <w:rsid w:val="00D7709C"/>
    <w:rsid w:val="00D770E3"/>
    <w:rsid w:val="00D77248"/>
    <w:rsid w:val="00D77323"/>
    <w:rsid w:val="00D773EC"/>
    <w:rsid w:val="00D77880"/>
    <w:rsid w:val="00D77C32"/>
    <w:rsid w:val="00D77C3B"/>
    <w:rsid w:val="00D77CA3"/>
    <w:rsid w:val="00D77DC1"/>
    <w:rsid w:val="00D77DD3"/>
    <w:rsid w:val="00D80492"/>
    <w:rsid w:val="00D80511"/>
    <w:rsid w:val="00D808DB"/>
    <w:rsid w:val="00D80975"/>
    <w:rsid w:val="00D80C5B"/>
    <w:rsid w:val="00D80CD2"/>
    <w:rsid w:val="00D80D94"/>
    <w:rsid w:val="00D80FD1"/>
    <w:rsid w:val="00D81012"/>
    <w:rsid w:val="00D81076"/>
    <w:rsid w:val="00D810B7"/>
    <w:rsid w:val="00D811C6"/>
    <w:rsid w:val="00D81218"/>
    <w:rsid w:val="00D812A7"/>
    <w:rsid w:val="00D8146C"/>
    <w:rsid w:val="00D815EA"/>
    <w:rsid w:val="00D8163E"/>
    <w:rsid w:val="00D817AD"/>
    <w:rsid w:val="00D8192A"/>
    <w:rsid w:val="00D81D23"/>
    <w:rsid w:val="00D81EFF"/>
    <w:rsid w:val="00D8234B"/>
    <w:rsid w:val="00D824DA"/>
    <w:rsid w:val="00D826A9"/>
    <w:rsid w:val="00D8276B"/>
    <w:rsid w:val="00D82AEC"/>
    <w:rsid w:val="00D82CA4"/>
    <w:rsid w:val="00D82DAF"/>
    <w:rsid w:val="00D82EAA"/>
    <w:rsid w:val="00D82F03"/>
    <w:rsid w:val="00D82F8E"/>
    <w:rsid w:val="00D8303F"/>
    <w:rsid w:val="00D83187"/>
    <w:rsid w:val="00D8321C"/>
    <w:rsid w:val="00D832C6"/>
    <w:rsid w:val="00D832CF"/>
    <w:rsid w:val="00D8335E"/>
    <w:rsid w:val="00D8415C"/>
    <w:rsid w:val="00D8440B"/>
    <w:rsid w:val="00D8449A"/>
    <w:rsid w:val="00D84771"/>
    <w:rsid w:val="00D847CD"/>
    <w:rsid w:val="00D84B6C"/>
    <w:rsid w:val="00D84B93"/>
    <w:rsid w:val="00D84BDC"/>
    <w:rsid w:val="00D84EB9"/>
    <w:rsid w:val="00D84EF9"/>
    <w:rsid w:val="00D84F07"/>
    <w:rsid w:val="00D84FF4"/>
    <w:rsid w:val="00D8546C"/>
    <w:rsid w:val="00D85607"/>
    <w:rsid w:val="00D8569A"/>
    <w:rsid w:val="00D85834"/>
    <w:rsid w:val="00D85845"/>
    <w:rsid w:val="00D8589A"/>
    <w:rsid w:val="00D85D22"/>
    <w:rsid w:val="00D85E6D"/>
    <w:rsid w:val="00D8605C"/>
    <w:rsid w:val="00D86580"/>
    <w:rsid w:val="00D8694F"/>
    <w:rsid w:val="00D86A00"/>
    <w:rsid w:val="00D86E0E"/>
    <w:rsid w:val="00D87053"/>
    <w:rsid w:val="00D87086"/>
    <w:rsid w:val="00D8741C"/>
    <w:rsid w:val="00D875D0"/>
    <w:rsid w:val="00D87799"/>
    <w:rsid w:val="00D87A30"/>
    <w:rsid w:val="00D87C3A"/>
    <w:rsid w:val="00D87C9D"/>
    <w:rsid w:val="00D87E54"/>
    <w:rsid w:val="00D87E65"/>
    <w:rsid w:val="00D87F17"/>
    <w:rsid w:val="00D87F3A"/>
    <w:rsid w:val="00D90373"/>
    <w:rsid w:val="00D90A41"/>
    <w:rsid w:val="00D90CD0"/>
    <w:rsid w:val="00D90D22"/>
    <w:rsid w:val="00D90E32"/>
    <w:rsid w:val="00D91091"/>
    <w:rsid w:val="00D912CB"/>
    <w:rsid w:val="00D9154A"/>
    <w:rsid w:val="00D9154B"/>
    <w:rsid w:val="00D915BC"/>
    <w:rsid w:val="00D91654"/>
    <w:rsid w:val="00D91697"/>
    <w:rsid w:val="00D91854"/>
    <w:rsid w:val="00D91895"/>
    <w:rsid w:val="00D91A9D"/>
    <w:rsid w:val="00D91AA1"/>
    <w:rsid w:val="00D91C3A"/>
    <w:rsid w:val="00D91D89"/>
    <w:rsid w:val="00D91E41"/>
    <w:rsid w:val="00D92095"/>
    <w:rsid w:val="00D921F3"/>
    <w:rsid w:val="00D923E6"/>
    <w:rsid w:val="00D923F7"/>
    <w:rsid w:val="00D924E5"/>
    <w:rsid w:val="00D92967"/>
    <w:rsid w:val="00D9299D"/>
    <w:rsid w:val="00D92C1D"/>
    <w:rsid w:val="00D93311"/>
    <w:rsid w:val="00D937F5"/>
    <w:rsid w:val="00D9391D"/>
    <w:rsid w:val="00D9392D"/>
    <w:rsid w:val="00D93994"/>
    <w:rsid w:val="00D93AA7"/>
    <w:rsid w:val="00D94388"/>
    <w:rsid w:val="00D94589"/>
    <w:rsid w:val="00D9471D"/>
    <w:rsid w:val="00D94748"/>
    <w:rsid w:val="00D947E2"/>
    <w:rsid w:val="00D94D16"/>
    <w:rsid w:val="00D94DE7"/>
    <w:rsid w:val="00D95136"/>
    <w:rsid w:val="00D9516B"/>
    <w:rsid w:val="00D95216"/>
    <w:rsid w:val="00D95411"/>
    <w:rsid w:val="00D9575C"/>
    <w:rsid w:val="00D957D0"/>
    <w:rsid w:val="00D95832"/>
    <w:rsid w:val="00D95A09"/>
    <w:rsid w:val="00D95B4B"/>
    <w:rsid w:val="00D95EA0"/>
    <w:rsid w:val="00D961AC"/>
    <w:rsid w:val="00D96432"/>
    <w:rsid w:val="00D96C0D"/>
    <w:rsid w:val="00D96CE2"/>
    <w:rsid w:val="00D96D20"/>
    <w:rsid w:val="00D96D43"/>
    <w:rsid w:val="00D97049"/>
    <w:rsid w:val="00D97122"/>
    <w:rsid w:val="00D97270"/>
    <w:rsid w:val="00D9753E"/>
    <w:rsid w:val="00D9768C"/>
    <w:rsid w:val="00D976E3"/>
    <w:rsid w:val="00D97923"/>
    <w:rsid w:val="00D97C2C"/>
    <w:rsid w:val="00DA00EA"/>
    <w:rsid w:val="00DA0105"/>
    <w:rsid w:val="00DA012E"/>
    <w:rsid w:val="00DA0304"/>
    <w:rsid w:val="00DA0692"/>
    <w:rsid w:val="00DA0BAB"/>
    <w:rsid w:val="00DA0BBC"/>
    <w:rsid w:val="00DA109B"/>
    <w:rsid w:val="00DA11C7"/>
    <w:rsid w:val="00DA135A"/>
    <w:rsid w:val="00DA142F"/>
    <w:rsid w:val="00DA1464"/>
    <w:rsid w:val="00DA14CC"/>
    <w:rsid w:val="00DA1505"/>
    <w:rsid w:val="00DA153D"/>
    <w:rsid w:val="00DA1611"/>
    <w:rsid w:val="00DA1752"/>
    <w:rsid w:val="00DA1806"/>
    <w:rsid w:val="00DA182D"/>
    <w:rsid w:val="00DA18FD"/>
    <w:rsid w:val="00DA1A10"/>
    <w:rsid w:val="00DA1C1C"/>
    <w:rsid w:val="00DA1CDE"/>
    <w:rsid w:val="00DA1D0E"/>
    <w:rsid w:val="00DA1D1C"/>
    <w:rsid w:val="00DA1D43"/>
    <w:rsid w:val="00DA1DE0"/>
    <w:rsid w:val="00DA1E61"/>
    <w:rsid w:val="00DA1FA4"/>
    <w:rsid w:val="00DA2022"/>
    <w:rsid w:val="00DA22F4"/>
    <w:rsid w:val="00DA2320"/>
    <w:rsid w:val="00DA2398"/>
    <w:rsid w:val="00DA24DA"/>
    <w:rsid w:val="00DA27A7"/>
    <w:rsid w:val="00DA2809"/>
    <w:rsid w:val="00DA2A1F"/>
    <w:rsid w:val="00DA2C32"/>
    <w:rsid w:val="00DA2E64"/>
    <w:rsid w:val="00DA346B"/>
    <w:rsid w:val="00DA34C5"/>
    <w:rsid w:val="00DA3655"/>
    <w:rsid w:val="00DA381E"/>
    <w:rsid w:val="00DA3B75"/>
    <w:rsid w:val="00DA3CA3"/>
    <w:rsid w:val="00DA3CF9"/>
    <w:rsid w:val="00DA3F24"/>
    <w:rsid w:val="00DA401B"/>
    <w:rsid w:val="00DA4044"/>
    <w:rsid w:val="00DA4200"/>
    <w:rsid w:val="00DA42D0"/>
    <w:rsid w:val="00DA43C8"/>
    <w:rsid w:val="00DA43EF"/>
    <w:rsid w:val="00DA454E"/>
    <w:rsid w:val="00DA4D62"/>
    <w:rsid w:val="00DA5214"/>
    <w:rsid w:val="00DA5223"/>
    <w:rsid w:val="00DA542A"/>
    <w:rsid w:val="00DA5924"/>
    <w:rsid w:val="00DA5AB5"/>
    <w:rsid w:val="00DA5B7C"/>
    <w:rsid w:val="00DA5E2A"/>
    <w:rsid w:val="00DA5ED2"/>
    <w:rsid w:val="00DA61A0"/>
    <w:rsid w:val="00DA6471"/>
    <w:rsid w:val="00DA685E"/>
    <w:rsid w:val="00DA6885"/>
    <w:rsid w:val="00DA69AF"/>
    <w:rsid w:val="00DA6AE7"/>
    <w:rsid w:val="00DA6B9D"/>
    <w:rsid w:val="00DA6D33"/>
    <w:rsid w:val="00DA6F17"/>
    <w:rsid w:val="00DA7097"/>
    <w:rsid w:val="00DA71B4"/>
    <w:rsid w:val="00DA7330"/>
    <w:rsid w:val="00DA73DE"/>
    <w:rsid w:val="00DA7654"/>
    <w:rsid w:val="00DA7774"/>
    <w:rsid w:val="00DA7841"/>
    <w:rsid w:val="00DA7BE5"/>
    <w:rsid w:val="00DA7CC8"/>
    <w:rsid w:val="00DB0141"/>
    <w:rsid w:val="00DB0175"/>
    <w:rsid w:val="00DB017F"/>
    <w:rsid w:val="00DB019E"/>
    <w:rsid w:val="00DB047C"/>
    <w:rsid w:val="00DB0695"/>
    <w:rsid w:val="00DB06C1"/>
    <w:rsid w:val="00DB083E"/>
    <w:rsid w:val="00DB0859"/>
    <w:rsid w:val="00DB0A6B"/>
    <w:rsid w:val="00DB0B91"/>
    <w:rsid w:val="00DB0C66"/>
    <w:rsid w:val="00DB0D50"/>
    <w:rsid w:val="00DB0FE0"/>
    <w:rsid w:val="00DB105C"/>
    <w:rsid w:val="00DB1471"/>
    <w:rsid w:val="00DB162C"/>
    <w:rsid w:val="00DB17D4"/>
    <w:rsid w:val="00DB1913"/>
    <w:rsid w:val="00DB19D8"/>
    <w:rsid w:val="00DB1AD8"/>
    <w:rsid w:val="00DB1C12"/>
    <w:rsid w:val="00DB1DA3"/>
    <w:rsid w:val="00DB1DF7"/>
    <w:rsid w:val="00DB1E03"/>
    <w:rsid w:val="00DB1FA6"/>
    <w:rsid w:val="00DB2049"/>
    <w:rsid w:val="00DB2569"/>
    <w:rsid w:val="00DB2642"/>
    <w:rsid w:val="00DB268F"/>
    <w:rsid w:val="00DB2771"/>
    <w:rsid w:val="00DB2DBD"/>
    <w:rsid w:val="00DB2E5A"/>
    <w:rsid w:val="00DB3253"/>
    <w:rsid w:val="00DB327D"/>
    <w:rsid w:val="00DB32C5"/>
    <w:rsid w:val="00DB336A"/>
    <w:rsid w:val="00DB3462"/>
    <w:rsid w:val="00DB356D"/>
    <w:rsid w:val="00DB35DC"/>
    <w:rsid w:val="00DB3641"/>
    <w:rsid w:val="00DB3715"/>
    <w:rsid w:val="00DB37B1"/>
    <w:rsid w:val="00DB3929"/>
    <w:rsid w:val="00DB3B69"/>
    <w:rsid w:val="00DB3E09"/>
    <w:rsid w:val="00DB3F5F"/>
    <w:rsid w:val="00DB4211"/>
    <w:rsid w:val="00DB438C"/>
    <w:rsid w:val="00DB45EB"/>
    <w:rsid w:val="00DB472E"/>
    <w:rsid w:val="00DB4750"/>
    <w:rsid w:val="00DB476E"/>
    <w:rsid w:val="00DB480E"/>
    <w:rsid w:val="00DB4919"/>
    <w:rsid w:val="00DB49A3"/>
    <w:rsid w:val="00DB4AA0"/>
    <w:rsid w:val="00DB50C3"/>
    <w:rsid w:val="00DB5266"/>
    <w:rsid w:val="00DB54CC"/>
    <w:rsid w:val="00DB584C"/>
    <w:rsid w:val="00DB58C3"/>
    <w:rsid w:val="00DB58CE"/>
    <w:rsid w:val="00DB5A1D"/>
    <w:rsid w:val="00DB5A42"/>
    <w:rsid w:val="00DB5A5A"/>
    <w:rsid w:val="00DB5E36"/>
    <w:rsid w:val="00DB61A5"/>
    <w:rsid w:val="00DB623F"/>
    <w:rsid w:val="00DB6433"/>
    <w:rsid w:val="00DB64E7"/>
    <w:rsid w:val="00DB68B7"/>
    <w:rsid w:val="00DB6C69"/>
    <w:rsid w:val="00DB6DAE"/>
    <w:rsid w:val="00DB733E"/>
    <w:rsid w:val="00DB74F9"/>
    <w:rsid w:val="00DB75DE"/>
    <w:rsid w:val="00DB75EA"/>
    <w:rsid w:val="00DB769E"/>
    <w:rsid w:val="00DB76AD"/>
    <w:rsid w:val="00DB789E"/>
    <w:rsid w:val="00DB7A69"/>
    <w:rsid w:val="00DB7C2B"/>
    <w:rsid w:val="00DB7EC9"/>
    <w:rsid w:val="00DB7F51"/>
    <w:rsid w:val="00DC0047"/>
    <w:rsid w:val="00DC04EB"/>
    <w:rsid w:val="00DC0689"/>
    <w:rsid w:val="00DC0CCF"/>
    <w:rsid w:val="00DC0F76"/>
    <w:rsid w:val="00DC1121"/>
    <w:rsid w:val="00DC117A"/>
    <w:rsid w:val="00DC12EC"/>
    <w:rsid w:val="00DC1375"/>
    <w:rsid w:val="00DC13E4"/>
    <w:rsid w:val="00DC1479"/>
    <w:rsid w:val="00DC1563"/>
    <w:rsid w:val="00DC1645"/>
    <w:rsid w:val="00DC177F"/>
    <w:rsid w:val="00DC18E2"/>
    <w:rsid w:val="00DC1A1F"/>
    <w:rsid w:val="00DC1B58"/>
    <w:rsid w:val="00DC1BEF"/>
    <w:rsid w:val="00DC1E99"/>
    <w:rsid w:val="00DC1F35"/>
    <w:rsid w:val="00DC1F93"/>
    <w:rsid w:val="00DC25F2"/>
    <w:rsid w:val="00DC2601"/>
    <w:rsid w:val="00DC2696"/>
    <w:rsid w:val="00DC2B86"/>
    <w:rsid w:val="00DC2BA3"/>
    <w:rsid w:val="00DC2C6B"/>
    <w:rsid w:val="00DC2CA7"/>
    <w:rsid w:val="00DC3457"/>
    <w:rsid w:val="00DC35B7"/>
    <w:rsid w:val="00DC35F6"/>
    <w:rsid w:val="00DC3834"/>
    <w:rsid w:val="00DC3B1C"/>
    <w:rsid w:val="00DC3E21"/>
    <w:rsid w:val="00DC3EF9"/>
    <w:rsid w:val="00DC403F"/>
    <w:rsid w:val="00DC40A4"/>
    <w:rsid w:val="00DC4215"/>
    <w:rsid w:val="00DC426E"/>
    <w:rsid w:val="00DC43FE"/>
    <w:rsid w:val="00DC45D1"/>
    <w:rsid w:val="00DC46CD"/>
    <w:rsid w:val="00DC4D8C"/>
    <w:rsid w:val="00DC4DC8"/>
    <w:rsid w:val="00DC4E5B"/>
    <w:rsid w:val="00DC5600"/>
    <w:rsid w:val="00DC5614"/>
    <w:rsid w:val="00DC577E"/>
    <w:rsid w:val="00DC5C5C"/>
    <w:rsid w:val="00DC5DB2"/>
    <w:rsid w:val="00DC5F95"/>
    <w:rsid w:val="00DC63E7"/>
    <w:rsid w:val="00DC662B"/>
    <w:rsid w:val="00DC663B"/>
    <w:rsid w:val="00DC6844"/>
    <w:rsid w:val="00DC68B6"/>
    <w:rsid w:val="00DC6C83"/>
    <w:rsid w:val="00DC6D25"/>
    <w:rsid w:val="00DC6D94"/>
    <w:rsid w:val="00DC6DEA"/>
    <w:rsid w:val="00DC711F"/>
    <w:rsid w:val="00DC73D7"/>
    <w:rsid w:val="00DC7C80"/>
    <w:rsid w:val="00DC7E73"/>
    <w:rsid w:val="00DC7EFE"/>
    <w:rsid w:val="00DD0043"/>
    <w:rsid w:val="00DD00ED"/>
    <w:rsid w:val="00DD04A3"/>
    <w:rsid w:val="00DD0638"/>
    <w:rsid w:val="00DD07E5"/>
    <w:rsid w:val="00DD0B13"/>
    <w:rsid w:val="00DD0B18"/>
    <w:rsid w:val="00DD0B6C"/>
    <w:rsid w:val="00DD0C8B"/>
    <w:rsid w:val="00DD0EA9"/>
    <w:rsid w:val="00DD11AB"/>
    <w:rsid w:val="00DD120D"/>
    <w:rsid w:val="00DD17D9"/>
    <w:rsid w:val="00DD1840"/>
    <w:rsid w:val="00DD18FC"/>
    <w:rsid w:val="00DD190C"/>
    <w:rsid w:val="00DD1E0F"/>
    <w:rsid w:val="00DD1F31"/>
    <w:rsid w:val="00DD1FE7"/>
    <w:rsid w:val="00DD22AE"/>
    <w:rsid w:val="00DD22FA"/>
    <w:rsid w:val="00DD2676"/>
    <w:rsid w:val="00DD268A"/>
    <w:rsid w:val="00DD2980"/>
    <w:rsid w:val="00DD2AC9"/>
    <w:rsid w:val="00DD2C0D"/>
    <w:rsid w:val="00DD2C82"/>
    <w:rsid w:val="00DD2EC0"/>
    <w:rsid w:val="00DD2F08"/>
    <w:rsid w:val="00DD30C1"/>
    <w:rsid w:val="00DD332A"/>
    <w:rsid w:val="00DD381B"/>
    <w:rsid w:val="00DD38CE"/>
    <w:rsid w:val="00DD4011"/>
    <w:rsid w:val="00DD410E"/>
    <w:rsid w:val="00DD46B7"/>
    <w:rsid w:val="00DD4AB0"/>
    <w:rsid w:val="00DD4B3A"/>
    <w:rsid w:val="00DD4B59"/>
    <w:rsid w:val="00DD4BA0"/>
    <w:rsid w:val="00DD4C0B"/>
    <w:rsid w:val="00DD4C8B"/>
    <w:rsid w:val="00DD4CA3"/>
    <w:rsid w:val="00DD4D2F"/>
    <w:rsid w:val="00DD4DFC"/>
    <w:rsid w:val="00DD5015"/>
    <w:rsid w:val="00DD509C"/>
    <w:rsid w:val="00DD5283"/>
    <w:rsid w:val="00DD5285"/>
    <w:rsid w:val="00DD53C3"/>
    <w:rsid w:val="00DD54A5"/>
    <w:rsid w:val="00DD553D"/>
    <w:rsid w:val="00DD582A"/>
    <w:rsid w:val="00DD58FD"/>
    <w:rsid w:val="00DD5F13"/>
    <w:rsid w:val="00DD60E3"/>
    <w:rsid w:val="00DD60F9"/>
    <w:rsid w:val="00DD614C"/>
    <w:rsid w:val="00DD621A"/>
    <w:rsid w:val="00DD6390"/>
    <w:rsid w:val="00DD650A"/>
    <w:rsid w:val="00DD6620"/>
    <w:rsid w:val="00DD6992"/>
    <w:rsid w:val="00DD69A5"/>
    <w:rsid w:val="00DD6BED"/>
    <w:rsid w:val="00DD6D8E"/>
    <w:rsid w:val="00DD6EDB"/>
    <w:rsid w:val="00DD722C"/>
    <w:rsid w:val="00DD7343"/>
    <w:rsid w:val="00DD7434"/>
    <w:rsid w:val="00DD7665"/>
    <w:rsid w:val="00DD76DF"/>
    <w:rsid w:val="00DD7A14"/>
    <w:rsid w:val="00DD7A3D"/>
    <w:rsid w:val="00DD7A8C"/>
    <w:rsid w:val="00DD7DC7"/>
    <w:rsid w:val="00DD7ED1"/>
    <w:rsid w:val="00DD7EF2"/>
    <w:rsid w:val="00DE0353"/>
    <w:rsid w:val="00DE039F"/>
    <w:rsid w:val="00DE0645"/>
    <w:rsid w:val="00DE0988"/>
    <w:rsid w:val="00DE09B4"/>
    <w:rsid w:val="00DE0A1B"/>
    <w:rsid w:val="00DE0A8C"/>
    <w:rsid w:val="00DE0C53"/>
    <w:rsid w:val="00DE12C2"/>
    <w:rsid w:val="00DE167C"/>
    <w:rsid w:val="00DE19E2"/>
    <w:rsid w:val="00DE260B"/>
    <w:rsid w:val="00DE26BD"/>
    <w:rsid w:val="00DE2964"/>
    <w:rsid w:val="00DE2974"/>
    <w:rsid w:val="00DE297E"/>
    <w:rsid w:val="00DE2EE7"/>
    <w:rsid w:val="00DE3009"/>
    <w:rsid w:val="00DE3121"/>
    <w:rsid w:val="00DE33CF"/>
    <w:rsid w:val="00DE3647"/>
    <w:rsid w:val="00DE37E3"/>
    <w:rsid w:val="00DE3C88"/>
    <w:rsid w:val="00DE3DCE"/>
    <w:rsid w:val="00DE3F26"/>
    <w:rsid w:val="00DE40DE"/>
    <w:rsid w:val="00DE4135"/>
    <w:rsid w:val="00DE420D"/>
    <w:rsid w:val="00DE428C"/>
    <w:rsid w:val="00DE442A"/>
    <w:rsid w:val="00DE4503"/>
    <w:rsid w:val="00DE457B"/>
    <w:rsid w:val="00DE4808"/>
    <w:rsid w:val="00DE4885"/>
    <w:rsid w:val="00DE4B3D"/>
    <w:rsid w:val="00DE4B62"/>
    <w:rsid w:val="00DE4BA3"/>
    <w:rsid w:val="00DE4E44"/>
    <w:rsid w:val="00DE53A6"/>
    <w:rsid w:val="00DE55A3"/>
    <w:rsid w:val="00DE5755"/>
    <w:rsid w:val="00DE588B"/>
    <w:rsid w:val="00DE5A8E"/>
    <w:rsid w:val="00DE5BD7"/>
    <w:rsid w:val="00DE5D40"/>
    <w:rsid w:val="00DE5D44"/>
    <w:rsid w:val="00DE5EFD"/>
    <w:rsid w:val="00DE6201"/>
    <w:rsid w:val="00DE639B"/>
    <w:rsid w:val="00DE644C"/>
    <w:rsid w:val="00DE65FE"/>
    <w:rsid w:val="00DE667C"/>
    <w:rsid w:val="00DE673D"/>
    <w:rsid w:val="00DE6743"/>
    <w:rsid w:val="00DE6801"/>
    <w:rsid w:val="00DE6ABD"/>
    <w:rsid w:val="00DE6BBD"/>
    <w:rsid w:val="00DE7001"/>
    <w:rsid w:val="00DE708C"/>
    <w:rsid w:val="00DE70C8"/>
    <w:rsid w:val="00DE7482"/>
    <w:rsid w:val="00DE7761"/>
    <w:rsid w:val="00DE7888"/>
    <w:rsid w:val="00DE7B57"/>
    <w:rsid w:val="00DE7BD1"/>
    <w:rsid w:val="00DE7E82"/>
    <w:rsid w:val="00DE7EC6"/>
    <w:rsid w:val="00DF016F"/>
    <w:rsid w:val="00DF0336"/>
    <w:rsid w:val="00DF0406"/>
    <w:rsid w:val="00DF055F"/>
    <w:rsid w:val="00DF0594"/>
    <w:rsid w:val="00DF065E"/>
    <w:rsid w:val="00DF083C"/>
    <w:rsid w:val="00DF0904"/>
    <w:rsid w:val="00DF0A30"/>
    <w:rsid w:val="00DF0AC2"/>
    <w:rsid w:val="00DF10AF"/>
    <w:rsid w:val="00DF1456"/>
    <w:rsid w:val="00DF151D"/>
    <w:rsid w:val="00DF168A"/>
    <w:rsid w:val="00DF1864"/>
    <w:rsid w:val="00DF1867"/>
    <w:rsid w:val="00DF186B"/>
    <w:rsid w:val="00DF1C05"/>
    <w:rsid w:val="00DF1E41"/>
    <w:rsid w:val="00DF235F"/>
    <w:rsid w:val="00DF25D4"/>
    <w:rsid w:val="00DF2718"/>
    <w:rsid w:val="00DF2792"/>
    <w:rsid w:val="00DF2836"/>
    <w:rsid w:val="00DF29BC"/>
    <w:rsid w:val="00DF2ADE"/>
    <w:rsid w:val="00DF2BFC"/>
    <w:rsid w:val="00DF2D45"/>
    <w:rsid w:val="00DF2F45"/>
    <w:rsid w:val="00DF3259"/>
    <w:rsid w:val="00DF338D"/>
    <w:rsid w:val="00DF34EC"/>
    <w:rsid w:val="00DF3723"/>
    <w:rsid w:val="00DF3AE6"/>
    <w:rsid w:val="00DF3B16"/>
    <w:rsid w:val="00DF3B9A"/>
    <w:rsid w:val="00DF3C56"/>
    <w:rsid w:val="00DF3E50"/>
    <w:rsid w:val="00DF3F1F"/>
    <w:rsid w:val="00DF428B"/>
    <w:rsid w:val="00DF46FE"/>
    <w:rsid w:val="00DF48AA"/>
    <w:rsid w:val="00DF4C91"/>
    <w:rsid w:val="00DF4CDF"/>
    <w:rsid w:val="00DF4D3B"/>
    <w:rsid w:val="00DF4E5B"/>
    <w:rsid w:val="00DF50B0"/>
    <w:rsid w:val="00DF53A5"/>
    <w:rsid w:val="00DF598D"/>
    <w:rsid w:val="00DF5C23"/>
    <w:rsid w:val="00DF5DB3"/>
    <w:rsid w:val="00DF5DE8"/>
    <w:rsid w:val="00DF5FAF"/>
    <w:rsid w:val="00DF6192"/>
    <w:rsid w:val="00DF6205"/>
    <w:rsid w:val="00DF635B"/>
    <w:rsid w:val="00DF658C"/>
    <w:rsid w:val="00DF6600"/>
    <w:rsid w:val="00DF670E"/>
    <w:rsid w:val="00DF693C"/>
    <w:rsid w:val="00DF6ED1"/>
    <w:rsid w:val="00DF6F77"/>
    <w:rsid w:val="00DF6FB5"/>
    <w:rsid w:val="00DF72CE"/>
    <w:rsid w:val="00DF737A"/>
    <w:rsid w:val="00DF77CB"/>
    <w:rsid w:val="00DF782F"/>
    <w:rsid w:val="00DF7876"/>
    <w:rsid w:val="00DF78BA"/>
    <w:rsid w:val="00DF7A19"/>
    <w:rsid w:val="00DF7B94"/>
    <w:rsid w:val="00DF7FF1"/>
    <w:rsid w:val="00E0037D"/>
    <w:rsid w:val="00E00452"/>
    <w:rsid w:val="00E0085E"/>
    <w:rsid w:val="00E00B91"/>
    <w:rsid w:val="00E00D99"/>
    <w:rsid w:val="00E012D9"/>
    <w:rsid w:val="00E012FE"/>
    <w:rsid w:val="00E01602"/>
    <w:rsid w:val="00E0186E"/>
    <w:rsid w:val="00E01AD8"/>
    <w:rsid w:val="00E01BB3"/>
    <w:rsid w:val="00E01E8C"/>
    <w:rsid w:val="00E01F0A"/>
    <w:rsid w:val="00E01F26"/>
    <w:rsid w:val="00E01FEE"/>
    <w:rsid w:val="00E02213"/>
    <w:rsid w:val="00E02289"/>
    <w:rsid w:val="00E0242A"/>
    <w:rsid w:val="00E024B1"/>
    <w:rsid w:val="00E025E5"/>
    <w:rsid w:val="00E026EE"/>
    <w:rsid w:val="00E02B1A"/>
    <w:rsid w:val="00E02BA1"/>
    <w:rsid w:val="00E02C60"/>
    <w:rsid w:val="00E02DAE"/>
    <w:rsid w:val="00E02DC6"/>
    <w:rsid w:val="00E02EA5"/>
    <w:rsid w:val="00E03108"/>
    <w:rsid w:val="00E03200"/>
    <w:rsid w:val="00E032C6"/>
    <w:rsid w:val="00E0362B"/>
    <w:rsid w:val="00E0368B"/>
    <w:rsid w:val="00E03831"/>
    <w:rsid w:val="00E039FE"/>
    <w:rsid w:val="00E03B79"/>
    <w:rsid w:val="00E03B7E"/>
    <w:rsid w:val="00E03D16"/>
    <w:rsid w:val="00E03EB0"/>
    <w:rsid w:val="00E03F33"/>
    <w:rsid w:val="00E03FA2"/>
    <w:rsid w:val="00E0429B"/>
    <w:rsid w:val="00E0450E"/>
    <w:rsid w:val="00E0489B"/>
    <w:rsid w:val="00E0493F"/>
    <w:rsid w:val="00E0499B"/>
    <w:rsid w:val="00E04B1D"/>
    <w:rsid w:val="00E04C17"/>
    <w:rsid w:val="00E04C22"/>
    <w:rsid w:val="00E04D19"/>
    <w:rsid w:val="00E04D2A"/>
    <w:rsid w:val="00E05426"/>
    <w:rsid w:val="00E056CA"/>
    <w:rsid w:val="00E05984"/>
    <w:rsid w:val="00E059D8"/>
    <w:rsid w:val="00E05E36"/>
    <w:rsid w:val="00E05E83"/>
    <w:rsid w:val="00E05ED1"/>
    <w:rsid w:val="00E06168"/>
    <w:rsid w:val="00E06200"/>
    <w:rsid w:val="00E06268"/>
    <w:rsid w:val="00E06406"/>
    <w:rsid w:val="00E065ED"/>
    <w:rsid w:val="00E06640"/>
    <w:rsid w:val="00E068D8"/>
    <w:rsid w:val="00E069EC"/>
    <w:rsid w:val="00E06D5A"/>
    <w:rsid w:val="00E06DE1"/>
    <w:rsid w:val="00E06EF5"/>
    <w:rsid w:val="00E07153"/>
    <w:rsid w:val="00E07187"/>
    <w:rsid w:val="00E07364"/>
    <w:rsid w:val="00E073C9"/>
    <w:rsid w:val="00E0777A"/>
    <w:rsid w:val="00E077A5"/>
    <w:rsid w:val="00E0792B"/>
    <w:rsid w:val="00E079E6"/>
    <w:rsid w:val="00E10286"/>
    <w:rsid w:val="00E1076A"/>
    <w:rsid w:val="00E10790"/>
    <w:rsid w:val="00E10837"/>
    <w:rsid w:val="00E10E2B"/>
    <w:rsid w:val="00E110A7"/>
    <w:rsid w:val="00E1117C"/>
    <w:rsid w:val="00E11271"/>
    <w:rsid w:val="00E11595"/>
    <w:rsid w:val="00E1192C"/>
    <w:rsid w:val="00E11959"/>
    <w:rsid w:val="00E124C4"/>
    <w:rsid w:val="00E12501"/>
    <w:rsid w:val="00E12599"/>
    <w:rsid w:val="00E126EA"/>
    <w:rsid w:val="00E1296B"/>
    <w:rsid w:val="00E12A6C"/>
    <w:rsid w:val="00E12B01"/>
    <w:rsid w:val="00E12B50"/>
    <w:rsid w:val="00E12E51"/>
    <w:rsid w:val="00E13160"/>
    <w:rsid w:val="00E133B2"/>
    <w:rsid w:val="00E13582"/>
    <w:rsid w:val="00E1363E"/>
    <w:rsid w:val="00E13684"/>
    <w:rsid w:val="00E1369F"/>
    <w:rsid w:val="00E136DD"/>
    <w:rsid w:val="00E13A5D"/>
    <w:rsid w:val="00E13AF0"/>
    <w:rsid w:val="00E13DA0"/>
    <w:rsid w:val="00E14016"/>
    <w:rsid w:val="00E1403E"/>
    <w:rsid w:val="00E141CE"/>
    <w:rsid w:val="00E14223"/>
    <w:rsid w:val="00E14806"/>
    <w:rsid w:val="00E148BA"/>
    <w:rsid w:val="00E14A1F"/>
    <w:rsid w:val="00E14AF4"/>
    <w:rsid w:val="00E14BA2"/>
    <w:rsid w:val="00E14ED3"/>
    <w:rsid w:val="00E14EF3"/>
    <w:rsid w:val="00E15020"/>
    <w:rsid w:val="00E15062"/>
    <w:rsid w:val="00E15164"/>
    <w:rsid w:val="00E153D9"/>
    <w:rsid w:val="00E15495"/>
    <w:rsid w:val="00E15936"/>
    <w:rsid w:val="00E159F3"/>
    <w:rsid w:val="00E15A66"/>
    <w:rsid w:val="00E15E68"/>
    <w:rsid w:val="00E160E3"/>
    <w:rsid w:val="00E161FE"/>
    <w:rsid w:val="00E16412"/>
    <w:rsid w:val="00E16785"/>
    <w:rsid w:val="00E16B12"/>
    <w:rsid w:val="00E16B91"/>
    <w:rsid w:val="00E16C3A"/>
    <w:rsid w:val="00E16ED9"/>
    <w:rsid w:val="00E16F49"/>
    <w:rsid w:val="00E1713A"/>
    <w:rsid w:val="00E171D8"/>
    <w:rsid w:val="00E174D0"/>
    <w:rsid w:val="00E1770B"/>
    <w:rsid w:val="00E17772"/>
    <w:rsid w:val="00E179FE"/>
    <w:rsid w:val="00E17F94"/>
    <w:rsid w:val="00E20000"/>
    <w:rsid w:val="00E2002E"/>
    <w:rsid w:val="00E202DF"/>
    <w:rsid w:val="00E2044D"/>
    <w:rsid w:val="00E205F1"/>
    <w:rsid w:val="00E208CB"/>
    <w:rsid w:val="00E20B2B"/>
    <w:rsid w:val="00E20B7F"/>
    <w:rsid w:val="00E20BF0"/>
    <w:rsid w:val="00E20C63"/>
    <w:rsid w:val="00E20CE9"/>
    <w:rsid w:val="00E2143E"/>
    <w:rsid w:val="00E2168D"/>
    <w:rsid w:val="00E2175D"/>
    <w:rsid w:val="00E21792"/>
    <w:rsid w:val="00E21888"/>
    <w:rsid w:val="00E21B14"/>
    <w:rsid w:val="00E21E78"/>
    <w:rsid w:val="00E21F91"/>
    <w:rsid w:val="00E22063"/>
    <w:rsid w:val="00E220E7"/>
    <w:rsid w:val="00E2220D"/>
    <w:rsid w:val="00E222AB"/>
    <w:rsid w:val="00E223C7"/>
    <w:rsid w:val="00E22752"/>
    <w:rsid w:val="00E228BB"/>
    <w:rsid w:val="00E22925"/>
    <w:rsid w:val="00E22E35"/>
    <w:rsid w:val="00E22F3C"/>
    <w:rsid w:val="00E22F8E"/>
    <w:rsid w:val="00E230AC"/>
    <w:rsid w:val="00E2349C"/>
    <w:rsid w:val="00E234F6"/>
    <w:rsid w:val="00E23727"/>
    <w:rsid w:val="00E238C4"/>
    <w:rsid w:val="00E23993"/>
    <w:rsid w:val="00E239D9"/>
    <w:rsid w:val="00E23A7E"/>
    <w:rsid w:val="00E2429C"/>
    <w:rsid w:val="00E24393"/>
    <w:rsid w:val="00E243A6"/>
    <w:rsid w:val="00E24464"/>
    <w:rsid w:val="00E24548"/>
    <w:rsid w:val="00E24577"/>
    <w:rsid w:val="00E245F6"/>
    <w:rsid w:val="00E247D7"/>
    <w:rsid w:val="00E24859"/>
    <w:rsid w:val="00E24940"/>
    <w:rsid w:val="00E24AF0"/>
    <w:rsid w:val="00E24BCC"/>
    <w:rsid w:val="00E24FD5"/>
    <w:rsid w:val="00E251A6"/>
    <w:rsid w:val="00E2565B"/>
    <w:rsid w:val="00E25910"/>
    <w:rsid w:val="00E25978"/>
    <w:rsid w:val="00E25995"/>
    <w:rsid w:val="00E25A20"/>
    <w:rsid w:val="00E25AAA"/>
    <w:rsid w:val="00E25B6A"/>
    <w:rsid w:val="00E25F8B"/>
    <w:rsid w:val="00E260B9"/>
    <w:rsid w:val="00E261E1"/>
    <w:rsid w:val="00E26AD2"/>
    <w:rsid w:val="00E26C0C"/>
    <w:rsid w:val="00E26C55"/>
    <w:rsid w:val="00E26CB8"/>
    <w:rsid w:val="00E26E65"/>
    <w:rsid w:val="00E26F1A"/>
    <w:rsid w:val="00E270F8"/>
    <w:rsid w:val="00E27296"/>
    <w:rsid w:val="00E274B0"/>
    <w:rsid w:val="00E27517"/>
    <w:rsid w:val="00E27A37"/>
    <w:rsid w:val="00E27F73"/>
    <w:rsid w:val="00E30095"/>
    <w:rsid w:val="00E302E0"/>
    <w:rsid w:val="00E30304"/>
    <w:rsid w:val="00E304E4"/>
    <w:rsid w:val="00E305DE"/>
    <w:rsid w:val="00E30748"/>
    <w:rsid w:val="00E30A1D"/>
    <w:rsid w:val="00E30AE3"/>
    <w:rsid w:val="00E30C7A"/>
    <w:rsid w:val="00E30D26"/>
    <w:rsid w:val="00E312FD"/>
    <w:rsid w:val="00E31466"/>
    <w:rsid w:val="00E31487"/>
    <w:rsid w:val="00E31775"/>
    <w:rsid w:val="00E31B26"/>
    <w:rsid w:val="00E31E6C"/>
    <w:rsid w:val="00E32171"/>
    <w:rsid w:val="00E323B1"/>
    <w:rsid w:val="00E325BF"/>
    <w:rsid w:val="00E3295E"/>
    <w:rsid w:val="00E32A11"/>
    <w:rsid w:val="00E32A15"/>
    <w:rsid w:val="00E32C95"/>
    <w:rsid w:val="00E33682"/>
    <w:rsid w:val="00E3371D"/>
    <w:rsid w:val="00E337AF"/>
    <w:rsid w:val="00E337D3"/>
    <w:rsid w:val="00E33A28"/>
    <w:rsid w:val="00E33A4E"/>
    <w:rsid w:val="00E33B3C"/>
    <w:rsid w:val="00E33B6F"/>
    <w:rsid w:val="00E33D38"/>
    <w:rsid w:val="00E33E37"/>
    <w:rsid w:val="00E33E5B"/>
    <w:rsid w:val="00E342FD"/>
    <w:rsid w:val="00E34308"/>
    <w:rsid w:val="00E343DD"/>
    <w:rsid w:val="00E34566"/>
    <w:rsid w:val="00E34590"/>
    <w:rsid w:val="00E3476E"/>
    <w:rsid w:val="00E347F6"/>
    <w:rsid w:val="00E3490F"/>
    <w:rsid w:val="00E34B3D"/>
    <w:rsid w:val="00E34DB6"/>
    <w:rsid w:val="00E34ED3"/>
    <w:rsid w:val="00E350C3"/>
    <w:rsid w:val="00E350F8"/>
    <w:rsid w:val="00E351BD"/>
    <w:rsid w:val="00E35225"/>
    <w:rsid w:val="00E355A3"/>
    <w:rsid w:val="00E35740"/>
    <w:rsid w:val="00E3584D"/>
    <w:rsid w:val="00E359CB"/>
    <w:rsid w:val="00E359CE"/>
    <w:rsid w:val="00E35AA9"/>
    <w:rsid w:val="00E35AEF"/>
    <w:rsid w:val="00E35C72"/>
    <w:rsid w:val="00E35FBD"/>
    <w:rsid w:val="00E35FE1"/>
    <w:rsid w:val="00E360C6"/>
    <w:rsid w:val="00E36433"/>
    <w:rsid w:val="00E364D8"/>
    <w:rsid w:val="00E3650D"/>
    <w:rsid w:val="00E3650F"/>
    <w:rsid w:val="00E3716F"/>
    <w:rsid w:val="00E371BA"/>
    <w:rsid w:val="00E37497"/>
    <w:rsid w:val="00E37683"/>
    <w:rsid w:val="00E37843"/>
    <w:rsid w:val="00E37877"/>
    <w:rsid w:val="00E379F1"/>
    <w:rsid w:val="00E37C8B"/>
    <w:rsid w:val="00E37D20"/>
    <w:rsid w:val="00E4006E"/>
    <w:rsid w:val="00E40230"/>
    <w:rsid w:val="00E40348"/>
    <w:rsid w:val="00E40370"/>
    <w:rsid w:val="00E4052D"/>
    <w:rsid w:val="00E406DF"/>
    <w:rsid w:val="00E40C89"/>
    <w:rsid w:val="00E40E80"/>
    <w:rsid w:val="00E40F4B"/>
    <w:rsid w:val="00E41045"/>
    <w:rsid w:val="00E418C8"/>
    <w:rsid w:val="00E41B2D"/>
    <w:rsid w:val="00E41B74"/>
    <w:rsid w:val="00E41EB5"/>
    <w:rsid w:val="00E42324"/>
    <w:rsid w:val="00E42429"/>
    <w:rsid w:val="00E424F5"/>
    <w:rsid w:val="00E42882"/>
    <w:rsid w:val="00E42C05"/>
    <w:rsid w:val="00E4357E"/>
    <w:rsid w:val="00E435FF"/>
    <w:rsid w:val="00E43654"/>
    <w:rsid w:val="00E43AA2"/>
    <w:rsid w:val="00E43AB7"/>
    <w:rsid w:val="00E43BB5"/>
    <w:rsid w:val="00E44210"/>
    <w:rsid w:val="00E445B6"/>
    <w:rsid w:val="00E446BA"/>
    <w:rsid w:val="00E44756"/>
    <w:rsid w:val="00E447B1"/>
    <w:rsid w:val="00E448BD"/>
    <w:rsid w:val="00E44941"/>
    <w:rsid w:val="00E44A72"/>
    <w:rsid w:val="00E44AAA"/>
    <w:rsid w:val="00E44D89"/>
    <w:rsid w:val="00E4521C"/>
    <w:rsid w:val="00E458CC"/>
    <w:rsid w:val="00E45C2E"/>
    <w:rsid w:val="00E45E68"/>
    <w:rsid w:val="00E46251"/>
    <w:rsid w:val="00E462D9"/>
    <w:rsid w:val="00E46891"/>
    <w:rsid w:val="00E468D8"/>
    <w:rsid w:val="00E46920"/>
    <w:rsid w:val="00E46BA1"/>
    <w:rsid w:val="00E46D53"/>
    <w:rsid w:val="00E46F14"/>
    <w:rsid w:val="00E46FAA"/>
    <w:rsid w:val="00E46FDB"/>
    <w:rsid w:val="00E4707D"/>
    <w:rsid w:val="00E471E0"/>
    <w:rsid w:val="00E4742B"/>
    <w:rsid w:val="00E4783F"/>
    <w:rsid w:val="00E47AB0"/>
    <w:rsid w:val="00E47AE0"/>
    <w:rsid w:val="00E47B60"/>
    <w:rsid w:val="00E47FE8"/>
    <w:rsid w:val="00E5035E"/>
    <w:rsid w:val="00E503B4"/>
    <w:rsid w:val="00E5053E"/>
    <w:rsid w:val="00E51055"/>
    <w:rsid w:val="00E51069"/>
    <w:rsid w:val="00E5126D"/>
    <w:rsid w:val="00E51585"/>
    <w:rsid w:val="00E5166C"/>
    <w:rsid w:val="00E5166F"/>
    <w:rsid w:val="00E519E8"/>
    <w:rsid w:val="00E51AD1"/>
    <w:rsid w:val="00E51CD6"/>
    <w:rsid w:val="00E51F4E"/>
    <w:rsid w:val="00E51F7E"/>
    <w:rsid w:val="00E521B8"/>
    <w:rsid w:val="00E52269"/>
    <w:rsid w:val="00E52336"/>
    <w:rsid w:val="00E5263B"/>
    <w:rsid w:val="00E527B3"/>
    <w:rsid w:val="00E527EC"/>
    <w:rsid w:val="00E5289E"/>
    <w:rsid w:val="00E528C3"/>
    <w:rsid w:val="00E52AD1"/>
    <w:rsid w:val="00E52E77"/>
    <w:rsid w:val="00E52F60"/>
    <w:rsid w:val="00E53357"/>
    <w:rsid w:val="00E5388C"/>
    <w:rsid w:val="00E538F8"/>
    <w:rsid w:val="00E53DCC"/>
    <w:rsid w:val="00E53E90"/>
    <w:rsid w:val="00E54174"/>
    <w:rsid w:val="00E541B3"/>
    <w:rsid w:val="00E54475"/>
    <w:rsid w:val="00E544F2"/>
    <w:rsid w:val="00E5454D"/>
    <w:rsid w:val="00E54A3C"/>
    <w:rsid w:val="00E54C7B"/>
    <w:rsid w:val="00E54E22"/>
    <w:rsid w:val="00E55423"/>
    <w:rsid w:val="00E554E2"/>
    <w:rsid w:val="00E55958"/>
    <w:rsid w:val="00E559C6"/>
    <w:rsid w:val="00E55D5F"/>
    <w:rsid w:val="00E55E77"/>
    <w:rsid w:val="00E55EE7"/>
    <w:rsid w:val="00E560DA"/>
    <w:rsid w:val="00E5626C"/>
    <w:rsid w:val="00E56278"/>
    <w:rsid w:val="00E562C2"/>
    <w:rsid w:val="00E56562"/>
    <w:rsid w:val="00E56763"/>
    <w:rsid w:val="00E56995"/>
    <w:rsid w:val="00E56D27"/>
    <w:rsid w:val="00E56D41"/>
    <w:rsid w:val="00E57165"/>
    <w:rsid w:val="00E572F4"/>
    <w:rsid w:val="00E57765"/>
    <w:rsid w:val="00E577BA"/>
    <w:rsid w:val="00E579C6"/>
    <w:rsid w:val="00E579FD"/>
    <w:rsid w:val="00E57B4F"/>
    <w:rsid w:val="00E57FF8"/>
    <w:rsid w:val="00E6007F"/>
    <w:rsid w:val="00E6013F"/>
    <w:rsid w:val="00E601D9"/>
    <w:rsid w:val="00E601F6"/>
    <w:rsid w:val="00E6040B"/>
    <w:rsid w:val="00E6046E"/>
    <w:rsid w:val="00E604DE"/>
    <w:rsid w:val="00E60A41"/>
    <w:rsid w:val="00E60A55"/>
    <w:rsid w:val="00E60B61"/>
    <w:rsid w:val="00E60B73"/>
    <w:rsid w:val="00E60C3E"/>
    <w:rsid w:val="00E60DA6"/>
    <w:rsid w:val="00E60F48"/>
    <w:rsid w:val="00E6100F"/>
    <w:rsid w:val="00E610A3"/>
    <w:rsid w:val="00E610CB"/>
    <w:rsid w:val="00E61310"/>
    <w:rsid w:val="00E61647"/>
    <w:rsid w:val="00E6205E"/>
    <w:rsid w:val="00E62115"/>
    <w:rsid w:val="00E6262F"/>
    <w:rsid w:val="00E62693"/>
    <w:rsid w:val="00E62825"/>
    <w:rsid w:val="00E62894"/>
    <w:rsid w:val="00E628C3"/>
    <w:rsid w:val="00E62A4D"/>
    <w:rsid w:val="00E62D47"/>
    <w:rsid w:val="00E62E50"/>
    <w:rsid w:val="00E6310C"/>
    <w:rsid w:val="00E634FE"/>
    <w:rsid w:val="00E63932"/>
    <w:rsid w:val="00E63A9B"/>
    <w:rsid w:val="00E6418F"/>
    <w:rsid w:val="00E64371"/>
    <w:rsid w:val="00E646BE"/>
    <w:rsid w:val="00E64A9A"/>
    <w:rsid w:val="00E64AC8"/>
    <w:rsid w:val="00E64C63"/>
    <w:rsid w:val="00E64DFE"/>
    <w:rsid w:val="00E64F31"/>
    <w:rsid w:val="00E65033"/>
    <w:rsid w:val="00E651E9"/>
    <w:rsid w:val="00E653F2"/>
    <w:rsid w:val="00E65873"/>
    <w:rsid w:val="00E6590E"/>
    <w:rsid w:val="00E65918"/>
    <w:rsid w:val="00E65BA3"/>
    <w:rsid w:val="00E65BF2"/>
    <w:rsid w:val="00E65ECC"/>
    <w:rsid w:val="00E663B9"/>
    <w:rsid w:val="00E6645E"/>
    <w:rsid w:val="00E665F7"/>
    <w:rsid w:val="00E66697"/>
    <w:rsid w:val="00E666E3"/>
    <w:rsid w:val="00E66728"/>
    <w:rsid w:val="00E6673E"/>
    <w:rsid w:val="00E66ABC"/>
    <w:rsid w:val="00E66AE6"/>
    <w:rsid w:val="00E66B1B"/>
    <w:rsid w:val="00E66C06"/>
    <w:rsid w:val="00E67640"/>
    <w:rsid w:val="00E67814"/>
    <w:rsid w:val="00E679B7"/>
    <w:rsid w:val="00E67A47"/>
    <w:rsid w:val="00E67B1F"/>
    <w:rsid w:val="00E67E8F"/>
    <w:rsid w:val="00E700D2"/>
    <w:rsid w:val="00E700F8"/>
    <w:rsid w:val="00E7012D"/>
    <w:rsid w:val="00E70260"/>
    <w:rsid w:val="00E70285"/>
    <w:rsid w:val="00E704F0"/>
    <w:rsid w:val="00E7056A"/>
    <w:rsid w:val="00E7066E"/>
    <w:rsid w:val="00E70798"/>
    <w:rsid w:val="00E707CD"/>
    <w:rsid w:val="00E707F4"/>
    <w:rsid w:val="00E7088E"/>
    <w:rsid w:val="00E70912"/>
    <w:rsid w:val="00E7092D"/>
    <w:rsid w:val="00E70966"/>
    <w:rsid w:val="00E70BAB"/>
    <w:rsid w:val="00E70E19"/>
    <w:rsid w:val="00E711F4"/>
    <w:rsid w:val="00E71335"/>
    <w:rsid w:val="00E71423"/>
    <w:rsid w:val="00E71508"/>
    <w:rsid w:val="00E71535"/>
    <w:rsid w:val="00E716EC"/>
    <w:rsid w:val="00E717BB"/>
    <w:rsid w:val="00E71876"/>
    <w:rsid w:val="00E718C7"/>
    <w:rsid w:val="00E718E3"/>
    <w:rsid w:val="00E71914"/>
    <w:rsid w:val="00E71B6A"/>
    <w:rsid w:val="00E71CE2"/>
    <w:rsid w:val="00E71F45"/>
    <w:rsid w:val="00E7200D"/>
    <w:rsid w:val="00E72573"/>
    <w:rsid w:val="00E7258E"/>
    <w:rsid w:val="00E7274D"/>
    <w:rsid w:val="00E72C15"/>
    <w:rsid w:val="00E730FA"/>
    <w:rsid w:val="00E734A5"/>
    <w:rsid w:val="00E73634"/>
    <w:rsid w:val="00E73677"/>
    <w:rsid w:val="00E737E1"/>
    <w:rsid w:val="00E7394A"/>
    <w:rsid w:val="00E73B35"/>
    <w:rsid w:val="00E73BDC"/>
    <w:rsid w:val="00E73BFA"/>
    <w:rsid w:val="00E73C9B"/>
    <w:rsid w:val="00E73F6C"/>
    <w:rsid w:val="00E744A9"/>
    <w:rsid w:val="00E746C2"/>
    <w:rsid w:val="00E74740"/>
    <w:rsid w:val="00E7496E"/>
    <w:rsid w:val="00E74B3A"/>
    <w:rsid w:val="00E74E05"/>
    <w:rsid w:val="00E74F23"/>
    <w:rsid w:val="00E75149"/>
    <w:rsid w:val="00E751A8"/>
    <w:rsid w:val="00E752C2"/>
    <w:rsid w:val="00E7548E"/>
    <w:rsid w:val="00E754C4"/>
    <w:rsid w:val="00E7551F"/>
    <w:rsid w:val="00E75A89"/>
    <w:rsid w:val="00E75A8D"/>
    <w:rsid w:val="00E75B2B"/>
    <w:rsid w:val="00E75C59"/>
    <w:rsid w:val="00E76290"/>
    <w:rsid w:val="00E7631E"/>
    <w:rsid w:val="00E763D1"/>
    <w:rsid w:val="00E767C9"/>
    <w:rsid w:val="00E768A3"/>
    <w:rsid w:val="00E76919"/>
    <w:rsid w:val="00E76953"/>
    <w:rsid w:val="00E76B63"/>
    <w:rsid w:val="00E76C94"/>
    <w:rsid w:val="00E76D58"/>
    <w:rsid w:val="00E76D9C"/>
    <w:rsid w:val="00E770EF"/>
    <w:rsid w:val="00E7720B"/>
    <w:rsid w:val="00E775CA"/>
    <w:rsid w:val="00E77855"/>
    <w:rsid w:val="00E77925"/>
    <w:rsid w:val="00E779B0"/>
    <w:rsid w:val="00E77C18"/>
    <w:rsid w:val="00E801F5"/>
    <w:rsid w:val="00E806F9"/>
    <w:rsid w:val="00E80719"/>
    <w:rsid w:val="00E80748"/>
    <w:rsid w:val="00E809E7"/>
    <w:rsid w:val="00E81171"/>
    <w:rsid w:val="00E81212"/>
    <w:rsid w:val="00E813BB"/>
    <w:rsid w:val="00E81412"/>
    <w:rsid w:val="00E815BE"/>
    <w:rsid w:val="00E81614"/>
    <w:rsid w:val="00E8161E"/>
    <w:rsid w:val="00E816CA"/>
    <w:rsid w:val="00E81E23"/>
    <w:rsid w:val="00E81FA8"/>
    <w:rsid w:val="00E823F1"/>
    <w:rsid w:val="00E8252C"/>
    <w:rsid w:val="00E827AC"/>
    <w:rsid w:val="00E8297C"/>
    <w:rsid w:val="00E82B8A"/>
    <w:rsid w:val="00E82CC4"/>
    <w:rsid w:val="00E8305D"/>
    <w:rsid w:val="00E83418"/>
    <w:rsid w:val="00E8355B"/>
    <w:rsid w:val="00E83599"/>
    <w:rsid w:val="00E835E7"/>
    <w:rsid w:val="00E83682"/>
    <w:rsid w:val="00E836B5"/>
    <w:rsid w:val="00E83884"/>
    <w:rsid w:val="00E83AF5"/>
    <w:rsid w:val="00E83CED"/>
    <w:rsid w:val="00E83EFF"/>
    <w:rsid w:val="00E840A8"/>
    <w:rsid w:val="00E841B4"/>
    <w:rsid w:val="00E84638"/>
    <w:rsid w:val="00E8487B"/>
    <w:rsid w:val="00E848AB"/>
    <w:rsid w:val="00E84916"/>
    <w:rsid w:val="00E84B63"/>
    <w:rsid w:val="00E84C96"/>
    <w:rsid w:val="00E84DDF"/>
    <w:rsid w:val="00E850DE"/>
    <w:rsid w:val="00E85104"/>
    <w:rsid w:val="00E851DA"/>
    <w:rsid w:val="00E857F2"/>
    <w:rsid w:val="00E857F3"/>
    <w:rsid w:val="00E85902"/>
    <w:rsid w:val="00E85BEA"/>
    <w:rsid w:val="00E85CF9"/>
    <w:rsid w:val="00E86176"/>
    <w:rsid w:val="00E8646A"/>
    <w:rsid w:val="00E8657F"/>
    <w:rsid w:val="00E8674D"/>
    <w:rsid w:val="00E867AE"/>
    <w:rsid w:val="00E86827"/>
    <w:rsid w:val="00E86C63"/>
    <w:rsid w:val="00E86E87"/>
    <w:rsid w:val="00E86ECF"/>
    <w:rsid w:val="00E86FEC"/>
    <w:rsid w:val="00E87037"/>
    <w:rsid w:val="00E870B5"/>
    <w:rsid w:val="00E870FE"/>
    <w:rsid w:val="00E87755"/>
    <w:rsid w:val="00E87BD3"/>
    <w:rsid w:val="00E9012B"/>
    <w:rsid w:val="00E9044E"/>
    <w:rsid w:val="00E9070A"/>
    <w:rsid w:val="00E908A7"/>
    <w:rsid w:val="00E90ABA"/>
    <w:rsid w:val="00E90DDA"/>
    <w:rsid w:val="00E9126A"/>
    <w:rsid w:val="00E918E9"/>
    <w:rsid w:val="00E91C58"/>
    <w:rsid w:val="00E91DCF"/>
    <w:rsid w:val="00E9204E"/>
    <w:rsid w:val="00E925C1"/>
    <w:rsid w:val="00E9267D"/>
    <w:rsid w:val="00E926DD"/>
    <w:rsid w:val="00E927DC"/>
    <w:rsid w:val="00E929DC"/>
    <w:rsid w:val="00E92A2E"/>
    <w:rsid w:val="00E92BC9"/>
    <w:rsid w:val="00E92D9B"/>
    <w:rsid w:val="00E92E1B"/>
    <w:rsid w:val="00E92FC9"/>
    <w:rsid w:val="00E9330C"/>
    <w:rsid w:val="00E9341E"/>
    <w:rsid w:val="00E939C6"/>
    <w:rsid w:val="00E93AC6"/>
    <w:rsid w:val="00E93AD5"/>
    <w:rsid w:val="00E93B60"/>
    <w:rsid w:val="00E93D11"/>
    <w:rsid w:val="00E93D4A"/>
    <w:rsid w:val="00E93F8F"/>
    <w:rsid w:val="00E94041"/>
    <w:rsid w:val="00E940EF"/>
    <w:rsid w:val="00E940FB"/>
    <w:rsid w:val="00E94254"/>
    <w:rsid w:val="00E94295"/>
    <w:rsid w:val="00E943CD"/>
    <w:rsid w:val="00E9442F"/>
    <w:rsid w:val="00E944B2"/>
    <w:rsid w:val="00E94679"/>
    <w:rsid w:val="00E94DAC"/>
    <w:rsid w:val="00E94E38"/>
    <w:rsid w:val="00E95017"/>
    <w:rsid w:val="00E954DF"/>
    <w:rsid w:val="00E955FB"/>
    <w:rsid w:val="00E957E5"/>
    <w:rsid w:val="00E95844"/>
    <w:rsid w:val="00E9594C"/>
    <w:rsid w:val="00E95B08"/>
    <w:rsid w:val="00E95C3A"/>
    <w:rsid w:val="00E95C3D"/>
    <w:rsid w:val="00E96256"/>
    <w:rsid w:val="00E962AF"/>
    <w:rsid w:val="00E962DF"/>
    <w:rsid w:val="00E96495"/>
    <w:rsid w:val="00E964CF"/>
    <w:rsid w:val="00E9662F"/>
    <w:rsid w:val="00E966A4"/>
    <w:rsid w:val="00E966BF"/>
    <w:rsid w:val="00E9674B"/>
    <w:rsid w:val="00E9675C"/>
    <w:rsid w:val="00E968BA"/>
    <w:rsid w:val="00E96D71"/>
    <w:rsid w:val="00E97081"/>
    <w:rsid w:val="00E97471"/>
    <w:rsid w:val="00E97652"/>
    <w:rsid w:val="00E976B2"/>
    <w:rsid w:val="00E97A05"/>
    <w:rsid w:val="00EA0659"/>
    <w:rsid w:val="00EA084E"/>
    <w:rsid w:val="00EA0885"/>
    <w:rsid w:val="00EA0C0A"/>
    <w:rsid w:val="00EA0CC5"/>
    <w:rsid w:val="00EA10D1"/>
    <w:rsid w:val="00EA1565"/>
    <w:rsid w:val="00EA16FB"/>
    <w:rsid w:val="00EA1755"/>
    <w:rsid w:val="00EA1853"/>
    <w:rsid w:val="00EA1ADA"/>
    <w:rsid w:val="00EA1BE1"/>
    <w:rsid w:val="00EA1E73"/>
    <w:rsid w:val="00EA2108"/>
    <w:rsid w:val="00EA214D"/>
    <w:rsid w:val="00EA2159"/>
    <w:rsid w:val="00EA216D"/>
    <w:rsid w:val="00EA219C"/>
    <w:rsid w:val="00EA2278"/>
    <w:rsid w:val="00EA240A"/>
    <w:rsid w:val="00EA26F5"/>
    <w:rsid w:val="00EA27DF"/>
    <w:rsid w:val="00EA2C82"/>
    <w:rsid w:val="00EA2D6A"/>
    <w:rsid w:val="00EA2E5F"/>
    <w:rsid w:val="00EA2EE8"/>
    <w:rsid w:val="00EA2FB7"/>
    <w:rsid w:val="00EA32FB"/>
    <w:rsid w:val="00EA38F8"/>
    <w:rsid w:val="00EA39D4"/>
    <w:rsid w:val="00EA3A7F"/>
    <w:rsid w:val="00EA3FDA"/>
    <w:rsid w:val="00EA4200"/>
    <w:rsid w:val="00EA4204"/>
    <w:rsid w:val="00EA4387"/>
    <w:rsid w:val="00EA4399"/>
    <w:rsid w:val="00EA4662"/>
    <w:rsid w:val="00EA4689"/>
    <w:rsid w:val="00EA46DC"/>
    <w:rsid w:val="00EA4726"/>
    <w:rsid w:val="00EA49D0"/>
    <w:rsid w:val="00EA4A40"/>
    <w:rsid w:val="00EA4A57"/>
    <w:rsid w:val="00EA4A6F"/>
    <w:rsid w:val="00EA4C85"/>
    <w:rsid w:val="00EA4F3F"/>
    <w:rsid w:val="00EA500E"/>
    <w:rsid w:val="00EA5050"/>
    <w:rsid w:val="00EA524C"/>
    <w:rsid w:val="00EA5474"/>
    <w:rsid w:val="00EA5536"/>
    <w:rsid w:val="00EA55AA"/>
    <w:rsid w:val="00EA5811"/>
    <w:rsid w:val="00EA5A25"/>
    <w:rsid w:val="00EA5C7C"/>
    <w:rsid w:val="00EA5EB2"/>
    <w:rsid w:val="00EA600E"/>
    <w:rsid w:val="00EA648A"/>
    <w:rsid w:val="00EA6548"/>
    <w:rsid w:val="00EA6755"/>
    <w:rsid w:val="00EA6A31"/>
    <w:rsid w:val="00EA6B69"/>
    <w:rsid w:val="00EA6C1C"/>
    <w:rsid w:val="00EA7112"/>
    <w:rsid w:val="00EA7252"/>
    <w:rsid w:val="00EA798C"/>
    <w:rsid w:val="00EA7B5F"/>
    <w:rsid w:val="00EA7D25"/>
    <w:rsid w:val="00EA7F1A"/>
    <w:rsid w:val="00EA7F48"/>
    <w:rsid w:val="00EB0103"/>
    <w:rsid w:val="00EB02AE"/>
    <w:rsid w:val="00EB03CF"/>
    <w:rsid w:val="00EB0A3D"/>
    <w:rsid w:val="00EB0CC8"/>
    <w:rsid w:val="00EB0D16"/>
    <w:rsid w:val="00EB0E87"/>
    <w:rsid w:val="00EB0FC4"/>
    <w:rsid w:val="00EB129A"/>
    <w:rsid w:val="00EB1690"/>
    <w:rsid w:val="00EB1B04"/>
    <w:rsid w:val="00EB1BF0"/>
    <w:rsid w:val="00EB1D33"/>
    <w:rsid w:val="00EB219A"/>
    <w:rsid w:val="00EB243A"/>
    <w:rsid w:val="00EB249D"/>
    <w:rsid w:val="00EB250C"/>
    <w:rsid w:val="00EB257B"/>
    <w:rsid w:val="00EB2584"/>
    <w:rsid w:val="00EB27C7"/>
    <w:rsid w:val="00EB28E4"/>
    <w:rsid w:val="00EB2C55"/>
    <w:rsid w:val="00EB31A2"/>
    <w:rsid w:val="00EB3214"/>
    <w:rsid w:val="00EB3452"/>
    <w:rsid w:val="00EB34F6"/>
    <w:rsid w:val="00EB353F"/>
    <w:rsid w:val="00EB38CE"/>
    <w:rsid w:val="00EB390C"/>
    <w:rsid w:val="00EB3A93"/>
    <w:rsid w:val="00EB3B3B"/>
    <w:rsid w:val="00EB3B9B"/>
    <w:rsid w:val="00EB4107"/>
    <w:rsid w:val="00EB452A"/>
    <w:rsid w:val="00EB4560"/>
    <w:rsid w:val="00EB4584"/>
    <w:rsid w:val="00EB45B4"/>
    <w:rsid w:val="00EB4622"/>
    <w:rsid w:val="00EB4A73"/>
    <w:rsid w:val="00EB4A88"/>
    <w:rsid w:val="00EB4AB8"/>
    <w:rsid w:val="00EB4E9B"/>
    <w:rsid w:val="00EB4EED"/>
    <w:rsid w:val="00EB51DF"/>
    <w:rsid w:val="00EB5867"/>
    <w:rsid w:val="00EB5C33"/>
    <w:rsid w:val="00EB5C8E"/>
    <w:rsid w:val="00EB60EA"/>
    <w:rsid w:val="00EB638F"/>
    <w:rsid w:val="00EB661F"/>
    <w:rsid w:val="00EB6625"/>
    <w:rsid w:val="00EB6E55"/>
    <w:rsid w:val="00EB7029"/>
    <w:rsid w:val="00EB716E"/>
    <w:rsid w:val="00EB722F"/>
    <w:rsid w:val="00EB76B0"/>
    <w:rsid w:val="00EB7770"/>
    <w:rsid w:val="00EB77D7"/>
    <w:rsid w:val="00EB7CB7"/>
    <w:rsid w:val="00EB7D87"/>
    <w:rsid w:val="00EC00B8"/>
    <w:rsid w:val="00EC01FD"/>
    <w:rsid w:val="00EC03EB"/>
    <w:rsid w:val="00EC0677"/>
    <w:rsid w:val="00EC06C7"/>
    <w:rsid w:val="00EC079D"/>
    <w:rsid w:val="00EC07D8"/>
    <w:rsid w:val="00EC08BF"/>
    <w:rsid w:val="00EC0B1D"/>
    <w:rsid w:val="00EC0C18"/>
    <w:rsid w:val="00EC0C7E"/>
    <w:rsid w:val="00EC0D6C"/>
    <w:rsid w:val="00EC0E44"/>
    <w:rsid w:val="00EC10C1"/>
    <w:rsid w:val="00EC1159"/>
    <w:rsid w:val="00EC11A7"/>
    <w:rsid w:val="00EC1356"/>
    <w:rsid w:val="00EC1366"/>
    <w:rsid w:val="00EC141B"/>
    <w:rsid w:val="00EC14D9"/>
    <w:rsid w:val="00EC1689"/>
    <w:rsid w:val="00EC16D2"/>
    <w:rsid w:val="00EC186C"/>
    <w:rsid w:val="00EC1915"/>
    <w:rsid w:val="00EC1A44"/>
    <w:rsid w:val="00EC1B66"/>
    <w:rsid w:val="00EC1B75"/>
    <w:rsid w:val="00EC1CA4"/>
    <w:rsid w:val="00EC1D22"/>
    <w:rsid w:val="00EC1FD6"/>
    <w:rsid w:val="00EC20BF"/>
    <w:rsid w:val="00EC22BE"/>
    <w:rsid w:val="00EC2333"/>
    <w:rsid w:val="00EC23A8"/>
    <w:rsid w:val="00EC23FB"/>
    <w:rsid w:val="00EC24F8"/>
    <w:rsid w:val="00EC25A9"/>
    <w:rsid w:val="00EC26AE"/>
    <w:rsid w:val="00EC29AB"/>
    <w:rsid w:val="00EC29ED"/>
    <w:rsid w:val="00EC2CE6"/>
    <w:rsid w:val="00EC2D67"/>
    <w:rsid w:val="00EC30E7"/>
    <w:rsid w:val="00EC324D"/>
    <w:rsid w:val="00EC3352"/>
    <w:rsid w:val="00EC3439"/>
    <w:rsid w:val="00EC35C6"/>
    <w:rsid w:val="00EC36F5"/>
    <w:rsid w:val="00EC38DC"/>
    <w:rsid w:val="00EC38E9"/>
    <w:rsid w:val="00EC3AC6"/>
    <w:rsid w:val="00EC3B4E"/>
    <w:rsid w:val="00EC3BEF"/>
    <w:rsid w:val="00EC3C3F"/>
    <w:rsid w:val="00EC3F4F"/>
    <w:rsid w:val="00EC4362"/>
    <w:rsid w:val="00EC4409"/>
    <w:rsid w:val="00EC447A"/>
    <w:rsid w:val="00EC472D"/>
    <w:rsid w:val="00EC4735"/>
    <w:rsid w:val="00EC473B"/>
    <w:rsid w:val="00EC4955"/>
    <w:rsid w:val="00EC4ADB"/>
    <w:rsid w:val="00EC4E9D"/>
    <w:rsid w:val="00EC52FC"/>
    <w:rsid w:val="00EC5381"/>
    <w:rsid w:val="00EC538E"/>
    <w:rsid w:val="00EC53F4"/>
    <w:rsid w:val="00EC56F1"/>
    <w:rsid w:val="00EC57B9"/>
    <w:rsid w:val="00EC5AC3"/>
    <w:rsid w:val="00EC6253"/>
    <w:rsid w:val="00EC63EC"/>
    <w:rsid w:val="00EC67A0"/>
    <w:rsid w:val="00EC67B1"/>
    <w:rsid w:val="00EC6865"/>
    <w:rsid w:val="00EC68F6"/>
    <w:rsid w:val="00EC6E1B"/>
    <w:rsid w:val="00EC6FAD"/>
    <w:rsid w:val="00EC714D"/>
    <w:rsid w:val="00EC748F"/>
    <w:rsid w:val="00EC7636"/>
    <w:rsid w:val="00EC77B9"/>
    <w:rsid w:val="00EC7ABA"/>
    <w:rsid w:val="00EC7DB4"/>
    <w:rsid w:val="00EC7E08"/>
    <w:rsid w:val="00ED0796"/>
    <w:rsid w:val="00ED07E3"/>
    <w:rsid w:val="00ED098B"/>
    <w:rsid w:val="00ED0B03"/>
    <w:rsid w:val="00ED0F89"/>
    <w:rsid w:val="00ED0FAE"/>
    <w:rsid w:val="00ED11CB"/>
    <w:rsid w:val="00ED1494"/>
    <w:rsid w:val="00ED16C2"/>
    <w:rsid w:val="00ED171A"/>
    <w:rsid w:val="00ED1AB2"/>
    <w:rsid w:val="00ED21C6"/>
    <w:rsid w:val="00ED23D8"/>
    <w:rsid w:val="00ED2547"/>
    <w:rsid w:val="00ED2B24"/>
    <w:rsid w:val="00ED2C7D"/>
    <w:rsid w:val="00ED32C4"/>
    <w:rsid w:val="00ED33A3"/>
    <w:rsid w:val="00ED33DE"/>
    <w:rsid w:val="00ED36D6"/>
    <w:rsid w:val="00ED36EC"/>
    <w:rsid w:val="00ED3F82"/>
    <w:rsid w:val="00ED4123"/>
    <w:rsid w:val="00ED42E0"/>
    <w:rsid w:val="00ED496E"/>
    <w:rsid w:val="00ED4E0D"/>
    <w:rsid w:val="00ED4E45"/>
    <w:rsid w:val="00ED5678"/>
    <w:rsid w:val="00ED5B59"/>
    <w:rsid w:val="00ED5FFE"/>
    <w:rsid w:val="00ED6158"/>
    <w:rsid w:val="00ED6908"/>
    <w:rsid w:val="00ED6A88"/>
    <w:rsid w:val="00ED6C6F"/>
    <w:rsid w:val="00ED7177"/>
    <w:rsid w:val="00ED7260"/>
    <w:rsid w:val="00ED7451"/>
    <w:rsid w:val="00ED76CE"/>
    <w:rsid w:val="00ED7AFE"/>
    <w:rsid w:val="00ED7BEB"/>
    <w:rsid w:val="00ED7F55"/>
    <w:rsid w:val="00EE0544"/>
    <w:rsid w:val="00EE05B0"/>
    <w:rsid w:val="00EE0688"/>
    <w:rsid w:val="00EE098C"/>
    <w:rsid w:val="00EE0DAD"/>
    <w:rsid w:val="00EE0E49"/>
    <w:rsid w:val="00EE0F14"/>
    <w:rsid w:val="00EE103C"/>
    <w:rsid w:val="00EE12A1"/>
    <w:rsid w:val="00EE1830"/>
    <w:rsid w:val="00EE18BA"/>
    <w:rsid w:val="00EE1A04"/>
    <w:rsid w:val="00EE1AEA"/>
    <w:rsid w:val="00EE1FED"/>
    <w:rsid w:val="00EE20E3"/>
    <w:rsid w:val="00EE225C"/>
    <w:rsid w:val="00EE2491"/>
    <w:rsid w:val="00EE24E5"/>
    <w:rsid w:val="00EE260E"/>
    <w:rsid w:val="00EE26C2"/>
    <w:rsid w:val="00EE2838"/>
    <w:rsid w:val="00EE28D9"/>
    <w:rsid w:val="00EE29F6"/>
    <w:rsid w:val="00EE2A39"/>
    <w:rsid w:val="00EE2BF1"/>
    <w:rsid w:val="00EE2DDE"/>
    <w:rsid w:val="00EE3076"/>
    <w:rsid w:val="00EE30D0"/>
    <w:rsid w:val="00EE3595"/>
    <w:rsid w:val="00EE3611"/>
    <w:rsid w:val="00EE364F"/>
    <w:rsid w:val="00EE3699"/>
    <w:rsid w:val="00EE37D1"/>
    <w:rsid w:val="00EE381D"/>
    <w:rsid w:val="00EE383B"/>
    <w:rsid w:val="00EE38D0"/>
    <w:rsid w:val="00EE39EA"/>
    <w:rsid w:val="00EE3A0C"/>
    <w:rsid w:val="00EE3B1B"/>
    <w:rsid w:val="00EE3B62"/>
    <w:rsid w:val="00EE4038"/>
    <w:rsid w:val="00EE40BF"/>
    <w:rsid w:val="00EE41E5"/>
    <w:rsid w:val="00EE4559"/>
    <w:rsid w:val="00EE488B"/>
    <w:rsid w:val="00EE4B91"/>
    <w:rsid w:val="00EE4D87"/>
    <w:rsid w:val="00EE4EC1"/>
    <w:rsid w:val="00EE4FEF"/>
    <w:rsid w:val="00EE50D0"/>
    <w:rsid w:val="00EE5130"/>
    <w:rsid w:val="00EE556C"/>
    <w:rsid w:val="00EE55C5"/>
    <w:rsid w:val="00EE560C"/>
    <w:rsid w:val="00EE58BB"/>
    <w:rsid w:val="00EE5A4D"/>
    <w:rsid w:val="00EE5C86"/>
    <w:rsid w:val="00EE5CF2"/>
    <w:rsid w:val="00EE5E87"/>
    <w:rsid w:val="00EE5EBF"/>
    <w:rsid w:val="00EE6478"/>
    <w:rsid w:val="00EE662E"/>
    <w:rsid w:val="00EE6807"/>
    <w:rsid w:val="00EE6AA0"/>
    <w:rsid w:val="00EE6ACD"/>
    <w:rsid w:val="00EE6C1F"/>
    <w:rsid w:val="00EE6C77"/>
    <w:rsid w:val="00EE6EF0"/>
    <w:rsid w:val="00EE6F8D"/>
    <w:rsid w:val="00EE7396"/>
    <w:rsid w:val="00EE7418"/>
    <w:rsid w:val="00EE747A"/>
    <w:rsid w:val="00EE75FB"/>
    <w:rsid w:val="00EE7754"/>
    <w:rsid w:val="00EE77FC"/>
    <w:rsid w:val="00EE7ABB"/>
    <w:rsid w:val="00EE7BB7"/>
    <w:rsid w:val="00EE7C04"/>
    <w:rsid w:val="00EF0160"/>
    <w:rsid w:val="00EF0176"/>
    <w:rsid w:val="00EF0199"/>
    <w:rsid w:val="00EF027F"/>
    <w:rsid w:val="00EF070A"/>
    <w:rsid w:val="00EF0789"/>
    <w:rsid w:val="00EF0845"/>
    <w:rsid w:val="00EF08CF"/>
    <w:rsid w:val="00EF0A95"/>
    <w:rsid w:val="00EF0BEF"/>
    <w:rsid w:val="00EF0FCA"/>
    <w:rsid w:val="00EF1108"/>
    <w:rsid w:val="00EF130D"/>
    <w:rsid w:val="00EF162A"/>
    <w:rsid w:val="00EF1835"/>
    <w:rsid w:val="00EF1A3B"/>
    <w:rsid w:val="00EF1BBD"/>
    <w:rsid w:val="00EF1CA3"/>
    <w:rsid w:val="00EF1D2B"/>
    <w:rsid w:val="00EF208E"/>
    <w:rsid w:val="00EF20DD"/>
    <w:rsid w:val="00EF23D8"/>
    <w:rsid w:val="00EF255E"/>
    <w:rsid w:val="00EF2599"/>
    <w:rsid w:val="00EF2661"/>
    <w:rsid w:val="00EF2827"/>
    <w:rsid w:val="00EF2897"/>
    <w:rsid w:val="00EF2A17"/>
    <w:rsid w:val="00EF2B38"/>
    <w:rsid w:val="00EF2B98"/>
    <w:rsid w:val="00EF2C0A"/>
    <w:rsid w:val="00EF2C7B"/>
    <w:rsid w:val="00EF2FC9"/>
    <w:rsid w:val="00EF2FFA"/>
    <w:rsid w:val="00EF311A"/>
    <w:rsid w:val="00EF330E"/>
    <w:rsid w:val="00EF3487"/>
    <w:rsid w:val="00EF35C8"/>
    <w:rsid w:val="00EF3978"/>
    <w:rsid w:val="00EF3A36"/>
    <w:rsid w:val="00EF3AD0"/>
    <w:rsid w:val="00EF3B00"/>
    <w:rsid w:val="00EF3D65"/>
    <w:rsid w:val="00EF3DC6"/>
    <w:rsid w:val="00EF3ECA"/>
    <w:rsid w:val="00EF3ED1"/>
    <w:rsid w:val="00EF4159"/>
    <w:rsid w:val="00EF4524"/>
    <w:rsid w:val="00EF457B"/>
    <w:rsid w:val="00EF46C6"/>
    <w:rsid w:val="00EF4963"/>
    <w:rsid w:val="00EF49AA"/>
    <w:rsid w:val="00EF49E0"/>
    <w:rsid w:val="00EF4CB1"/>
    <w:rsid w:val="00EF4D55"/>
    <w:rsid w:val="00EF5086"/>
    <w:rsid w:val="00EF50A9"/>
    <w:rsid w:val="00EF50BE"/>
    <w:rsid w:val="00EF51CC"/>
    <w:rsid w:val="00EF53D6"/>
    <w:rsid w:val="00EF54FF"/>
    <w:rsid w:val="00EF5685"/>
    <w:rsid w:val="00EF5B38"/>
    <w:rsid w:val="00EF5D1C"/>
    <w:rsid w:val="00EF5E0C"/>
    <w:rsid w:val="00EF6009"/>
    <w:rsid w:val="00EF6393"/>
    <w:rsid w:val="00EF64D0"/>
    <w:rsid w:val="00EF64EF"/>
    <w:rsid w:val="00EF650F"/>
    <w:rsid w:val="00EF65EF"/>
    <w:rsid w:val="00EF66D5"/>
    <w:rsid w:val="00EF6B6F"/>
    <w:rsid w:val="00EF6F30"/>
    <w:rsid w:val="00EF712E"/>
    <w:rsid w:val="00EF7145"/>
    <w:rsid w:val="00EF72F9"/>
    <w:rsid w:val="00EF7713"/>
    <w:rsid w:val="00EF78E1"/>
    <w:rsid w:val="00EF7B95"/>
    <w:rsid w:val="00EF7CC1"/>
    <w:rsid w:val="00EF7D78"/>
    <w:rsid w:val="00EF7EE9"/>
    <w:rsid w:val="00F000B4"/>
    <w:rsid w:val="00F00838"/>
    <w:rsid w:val="00F00A0D"/>
    <w:rsid w:val="00F00CD5"/>
    <w:rsid w:val="00F00EA5"/>
    <w:rsid w:val="00F01110"/>
    <w:rsid w:val="00F012E6"/>
    <w:rsid w:val="00F016C8"/>
    <w:rsid w:val="00F017DD"/>
    <w:rsid w:val="00F01A3C"/>
    <w:rsid w:val="00F01A8F"/>
    <w:rsid w:val="00F01D3F"/>
    <w:rsid w:val="00F01DDA"/>
    <w:rsid w:val="00F01E15"/>
    <w:rsid w:val="00F01E66"/>
    <w:rsid w:val="00F01E96"/>
    <w:rsid w:val="00F01F4E"/>
    <w:rsid w:val="00F0200A"/>
    <w:rsid w:val="00F0214F"/>
    <w:rsid w:val="00F02376"/>
    <w:rsid w:val="00F029A3"/>
    <w:rsid w:val="00F029C7"/>
    <w:rsid w:val="00F02A22"/>
    <w:rsid w:val="00F02B29"/>
    <w:rsid w:val="00F02FD7"/>
    <w:rsid w:val="00F03238"/>
    <w:rsid w:val="00F03431"/>
    <w:rsid w:val="00F035FD"/>
    <w:rsid w:val="00F03646"/>
    <w:rsid w:val="00F039CC"/>
    <w:rsid w:val="00F03C65"/>
    <w:rsid w:val="00F03C89"/>
    <w:rsid w:val="00F04014"/>
    <w:rsid w:val="00F041F2"/>
    <w:rsid w:val="00F043AD"/>
    <w:rsid w:val="00F046FD"/>
    <w:rsid w:val="00F0481F"/>
    <w:rsid w:val="00F04F23"/>
    <w:rsid w:val="00F04FCC"/>
    <w:rsid w:val="00F05058"/>
    <w:rsid w:val="00F055D5"/>
    <w:rsid w:val="00F05676"/>
    <w:rsid w:val="00F056AA"/>
    <w:rsid w:val="00F05865"/>
    <w:rsid w:val="00F05AC4"/>
    <w:rsid w:val="00F05AC5"/>
    <w:rsid w:val="00F05B63"/>
    <w:rsid w:val="00F05C25"/>
    <w:rsid w:val="00F05E29"/>
    <w:rsid w:val="00F05F4F"/>
    <w:rsid w:val="00F0603E"/>
    <w:rsid w:val="00F06051"/>
    <w:rsid w:val="00F06082"/>
    <w:rsid w:val="00F06878"/>
    <w:rsid w:val="00F069AD"/>
    <w:rsid w:val="00F06A75"/>
    <w:rsid w:val="00F06AB5"/>
    <w:rsid w:val="00F06AD5"/>
    <w:rsid w:val="00F06CEE"/>
    <w:rsid w:val="00F06EDA"/>
    <w:rsid w:val="00F06F3B"/>
    <w:rsid w:val="00F0713D"/>
    <w:rsid w:val="00F0728E"/>
    <w:rsid w:val="00F0731F"/>
    <w:rsid w:val="00F0763A"/>
    <w:rsid w:val="00F0781D"/>
    <w:rsid w:val="00F078C1"/>
    <w:rsid w:val="00F078E7"/>
    <w:rsid w:val="00F07A48"/>
    <w:rsid w:val="00F07A4D"/>
    <w:rsid w:val="00F07A9B"/>
    <w:rsid w:val="00F07E81"/>
    <w:rsid w:val="00F1003C"/>
    <w:rsid w:val="00F10242"/>
    <w:rsid w:val="00F10287"/>
    <w:rsid w:val="00F10466"/>
    <w:rsid w:val="00F104F7"/>
    <w:rsid w:val="00F1058C"/>
    <w:rsid w:val="00F106A6"/>
    <w:rsid w:val="00F107FE"/>
    <w:rsid w:val="00F10B4C"/>
    <w:rsid w:val="00F10C96"/>
    <w:rsid w:val="00F10FED"/>
    <w:rsid w:val="00F1100E"/>
    <w:rsid w:val="00F11014"/>
    <w:rsid w:val="00F11186"/>
    <w:rsid w:val="00F11285"/>
    <w:rsid w:val="00F112E4"/>
    <w:rsid w:val="00F114E8"/>
    <w:rsid w:val="00F118CA"/>
    <w:rsid w:val="00F11A71"/>
    <w:rsid w:val="00F11ABB"/>
    <w:rsid w:val="00F11BFE"/>
    <w:rsid w:val="00F11C4F"/>
    <w:rsid w:val="00F11D11"/>
    <w:rsid w:val="00F11E4F"/>
    <w:rsid w:val="00F11FCE"/>
    <w:rsid w:val="00F12039"/>
    <w:rsid w:val="00F1213A"/>
    <w:rsid w:val="00F122C4"/>
    <w:rsid w:val="00F12A90"/>
    <w:rsid w:val="00F12DD5"/>
    <w:rsid w:val="00F12E7A"/>
    <w:rsid w:val="00F12EA0"/>
    <w:rsid w:val="00F130C4"/>
    <w:rsid w:val="00F131A5"/>
    <w:rsid w:val="00F13344"/>
    <w:rsid w:val="00F133CC"/>
    <w:rsid w:val="00F134C1"/>
    <w:rsid w:val="00F135E6"/>
    <w:rsid w:val="00F13698"/>
    <w:rsid w:val="00F13A9C"/>
    <w:rsid w:val="00F13BB7"/>
    <w:rsid w:val="00F13CC3"/>
    <w:rsid w:val="00F13F9C"/>
    <w:rsid w:val="00F1410B"/>
    <w:rsid w:val="00F14473"/>
    <w:rsid w:val="00F1460F"/>
    <w:rsid w:val="00F147AF"/>
    <w:rsid w:val="00F1482C"/>
    <w:rsid w:val="00F149AA"/>
    <w:rsid w:val="00F14BFF"/>
    <w:rsid w:val="00F14C81"/>
    <w:rsid w:val="00F14D88"/>
    <w:rsid w:val="00F14E94"/>
    <w:rsid w:val="00F14ED4"/>
    <w:rsid w:val="00F15054"/>
    <w:rsid w:val="00F1511D"/>
    <w:rsid w:val="00F1544B"/>
    <w:rsid w:val="00F1573A"/>
    <w:rsid w:val="00F157E7"/>
    <w:rsid w:val="00F15D87"/>
    <w:rsid w:val="00F16821"/>
    <w:rsid w:val="00F16833"/>
    <w:rsid w:val="00F16C32"/>
    <w:rsid w:val="00F16CF1"/>
    <w:rsid w:val="00F16D18"/>
    <w:rsid w:val="00F16D54"/>
    <w:rsid w:val="00F16D6F"/>
    <w:rsid w:val="00F16DFF"/>
    <w:rsid w:val="00F17056"/>
    <w:rsid w:val="00F17135"/>
    <w:rsid w:val="00F172BE"/>
    <w:rsid w:val="00F172D8"/>
    <w:rsid w:val="00F17478"/>
    <w:rsid w:val="00F1747E"/>
    <w:rsid w:val="00F17759"/>
    <w:rsid w:val="00F17769"/>
    <w:rsid w:val="00F17940"/>
    <w:rsid w:val="00F2009B"/>
    <w:rsid w:val="00F2027B"/>
    <w:rsid w:val="00F2032E"/>
    <w:rsid w:val="00F20599"/>
    <w:rsid w:val="00F205D4"/>
    <w:rsid w:val="00F2070C"/>
    <w:rsid w:val="00F20749"/>
    <w:rsid w:val="00F20832"/>
    <w:rsid w:val="00F20A83"/>
    <w:rsid w:val="00F20D54"/>
    <w:rsid w:val="00F20DFD"/>
    <w:rsid w:val="00F20F10"/>
    <w:rsid w:val="00F21204"/>
    <w:rsid w:val="00F213B7"/>
    <w:rsid w:val="00F2149F"/>
    <w:rsid w:val="00F214CE"/>
    <w:rsid w:val="00F215B0"/>
    <w:rsid w:val="00F215DD"/>
    <w:rsid w:val="00F21745"/>
    <w:rsid w:val="00F218F4"/>
    <w:rsid w:val="00F21980"/>
    <w:rsid w:val="00F219DB"/>
    <w:rsid w:val="00F21A88"/>
    <w:rsid w:val="00F21B12"/>
    <w:rsid w:val="00F21CA4"/>
    <w:rsid w:val="00F21D8D"/>
    <w:rsid w:val="00F21DB2"/>
    <w:rsid w:val="00F21ECD"/>
    <w:rsid w:val="00F21FB4"/>
    <w:rsid w:val="00F21FF1"/>
    <w:rsid w:val="00F2232D"/>
    <w:rsid w:val="00F228C8"/>
    <w:rsid w:val="00F22CAA"/>
    <w:rsid w:val="00F22DF6"/>
    <w:rsid w:val="00F231E7"/>
    <w:rsid w:val="00F23372"/>
    <w:rsid w:val="00F23605"/>
    <w:rsid w:val="00F23698"/>
    <w:rsid w:val="00F23721"/>
    <w:rsid w:val="00F24125"/>
    <w:rsid w:val="00F241A4"/>
    <w:rsid w:val="00F24306"/>
    <w:rsid w:val="00F24313"/>
    <w:rsid w:val="00F2458A"/>
    <w:rsid w:val="00F24637"/>
    <w:rsid w:val="00F24791"/>
    <w:rsid w:val="00F2479F"/>
    <w:rsid w:val="00F24945"/>
    <w:rsid w:val="00F24ABD"/>
    <w:rsid w:val="00F24D5C"/>
    <w:rsid w:val="00F24FB4"/>
    <w:rsid w:val="00F25301"/>
    <w:rsid w:val="00F2536D"/>
    <w:rsid w:val="00F253C8"/>
    <w:rsid w:val="00F2557D"/>
    <w:rsid w:val="00F25A96"/>
    <w:rsid w:val="00F25C7E"/>
    <w:rsid w:val="00F25F5C"/>
    <w:rsid w:val="00F25FCC"/>
    <w:rsid w:val="00F26196"/>
    <w:rsid w:val="00F2642B"/>
    <w:rsid w:val="00F2655F"/>
    <w:rsid w:val="00F26A4D"/>
    <w:rsid w:val="00F26AA9"/>
    <w:rsid w:val="00F26DDF"/>
    <w:rsid w:val="00F26F87"/>
    <w:rsid w:val="00F27045"/>
    <w:rsid w:val="00F2727A"/>
    <w:rsid w:val="00F27496"/>
    <w:rsid w:val="00F2757C"/>
    <w:rsid w:val="00F275B4"/>
    <w:rsid w:val="00F27887"/>
    <w:rsid w:val="00F27903"/>
    <w:rsid w:val="00F279BF"/>
    <w:rsid w:val="00F27D5F"/>
    <w:rsid w:val="00F27DF9"/>
    <w:rsid w:val="00F27E67"/>
    <w:rsid w:val="00F27FC2"/>
    <w:rsid w:val="00F30519"/>
    <w:rsid w:val="00F3054F"/>
    <w:rsid w:val="00F307A3"/>
    <w:rsid w:val="00F30D6D"/>
    <w:rsid w:val="00F3115D"/>
    <w:rsid w:val="00F31171"/>
    <w:rsid w:val="00F312F0"/>
    <w:rsid w:val="00F314EE"/>
    <w:rsid w:val="00F3194A"/>
    <w:rsid w:val="00F3195A"/>
    <w:rsid w:val="00F319C2"/>
    <w:rsid w:val="00F31B06"/>
    <w:rsid w:val="00F31BC7"/>
    <w:rsid w:val="00F31C40"/>
    <w:rsid w:val="00F32052"/>
    <w:rsid w:val="00F32234"/>
    <w:rsid w:val="00F32303"/>
    <w:rsid w:val="00F3246F"/>
    <w:rsid w:val="00F325A9"/>
    <w:rsid w:val="00F32919"/>
    <w:rsid w:val="00F32DDA"/>
    <w:rsid w:val="00F32F6E"/>
    <w:rsid w:val="00F334DA"/>
    <w:rsid w:val="00F33513"/>
    <w:rsid w:val="00F335FE"/>
    <w:rsid w:val="00F3367D"/>
    <w:rsid w:val="00F336A4"/>
    <w:rsid w:val="00F3376F"/>
    <w:rsid w:val="00F337FB"/>
    <w:rsid w:val="00F338CE"/>
    <w:rsid w:val="00F33992"/>
    <w:rsid w:val="00F33B79"/>
    <w:rsid w:val="00F33B9B"/>
    <w:rsid w:val="00F33CE3"/>
    <w:rsid w:val="00F33E67"/>
    <w:rsid w:val="00F34084"/>
    <w:rsid w:val="00F3412F"/>
    <w:rsid w:val="00F34148"/>
    <w:rsid w:val="00F347D7"/>
    <w:rsid w:val="00F34869"/>
    <w:rsid w:val="00F34C65"/>
    <w:rsid w:val="00F34E46"/>
    <w:rsid w:val="00F34E88"/>
    <w:rsid w:val="00F34F71"/>
    <w:rsid w:val="00F352B9"/>
    <w:rsid w:val="00F3557E"/>
    <w:rsid w:val="00F3560E"/>
    <w:rsid w:val="00F356B6"/>
    <w:rsid w:val="00F35727"/>
    <w:rsid w:val="00F358B2"/>
    <w:rsid w:val="00F35B6D"/>
    <w:rsid w:val="00F35B9F"/>
    <w:rsid w:val="00F36503"/>
    <w:rsid w:val="00F36525"/>
    <w:rsid w:val="00F3659D"/>
    <w:rsid w:val="00F36659"/>
    <w:rsid w:val="00F36764"/>
    <w:rsid w:val="00F36B5F"/>
    <w:rsid w:val="00F36CC3"/>
    <w:rsid w:val="00F36F22"/>
    <w:rsid w:val="00F370EA"/>
    <w:rsid w:val="00F373BE"/>
    <w:rsid w:val="00F374A5"/>
    <w:rsid w:val="00F374AC"/>
    <w:rsid w:val="00F376B2"/>
    <w:rsid w:val="00F37C54"/>
    <w:rsid w:val="00F37D42"/>
    <w:rsid w:val="00F37D4F"/>
    <w:rsid w:val="00F37E22"/>
    <w:rsid w:val="00F37F08"/>
    <w:rsid w:val="00F40160"/>
    <w:rsid w:val="00F40213"/>
    <w:rsid w:val="00F4028E"/>
    <w:rsid w:val="00F40581"/>
    <w:rsid w:val="00F40A16"/>
    <w:rsid w:val="00F40B74"/>
    <w:rsid w:val="00F40BFA"/>
    <w:rsid w:val="00F40F6A"/>
    <w:rsid w:val="00F41053"/>
    <w:rsid w:val="00F4168C"/>
    <w:rsid w:val="00F4172E"/>
    <w:rsid w:val="00F41B1D"/>
    <w:rsid w:val="00F41E11"/>
    <w:rsid w:val="00F41EB4"/>
    <w:rsid w:val="00F41FEE"/>
    <w:rsid w:val="00F4214D"/>
    <w:rsid w:val="00F421B8"/>
    <w:rsid w:val="00F421DE"/>
    <w:rsid w:val="00F4230C"/>
    <w:rsid w:val="00F42659"/>
    <w:rsid w:val="00F42BE8"/>
    <w:rsid w:val="00F43538"/>
    <w:rsid w:val="00F4362A"/>
    <w:rsid w:val="00F436B9"/>
    <w:rsid w:val="00F436CA"/>
    <w:rsid w:val="00F43A56"/>
    <w:rsid w:val="00F43AF5"/>
    <w:rsid w:val="00F43C56"/>
    <w:rsid w:val="00F43D38"/>
    <w:rsid w:val="00F43EAC"/>
    <w:rsid w:val="00F4403F"/>
    <w:rsid w:val="00F4424E"/>
    <w:rsid w:val="00F443A5"/>
    <w:rsid w:val="00F4446D"/>
    <w:rsid w:val="00F44566"/>
    <w:rsid w:val="00F44569"/>
    <w:rsid w:val="00F445AA"/>
    <w:rsid w:val="00F445D5"/>
    <w:rsid w:val="00F44A6C"/>
    <w:rsid w:val="00F44AA7"/>
    <w:rsid w:val="00F44B2C"/>
    <w:rsid w:val="00F44FEA"/>
    <w:rsid w:val="00F45097"/>
    <w:rsid w:val="00F452F1"/>
    <w:rsid w:val="00F45364"/>
    <w:rsid w:val="00F4569E"/>
    <w:rsid w:val="00F4588B"/>
    <w:rsid w:val="00F45AC9"/>
    <w:rsid w:val="00F45C9B"/>
    <w:rsid w:val="00F45D8E"/>
    <w:rsid w:val="00F45E0D"/>
    <w:rsid w:val="00F45E63"/>
    <w:rsid w:val="00F45E70"/>
    <w:rsid w:val="00F45EF7"/>
    <w:rsid w:val="00F45FCF"/>
    <w:rsid w:val="00F46282"/>
    <w:rsid w:val="00F463FC"/>
    <w:rsid w:val="00F465B9"/>
    <w:rsid w:val="00F467D1"/>
    <w:rsid w:val="00F46A19"/>
    <w:rsid w:val="00F46C6F"/>
    <w:rsid w:val="00F46F91"/>
    <w:rsid w:val="00F470B6"/>
    <w:rsid w:val="00F472EC"/>
    <w:rsid w:val="00F47B8F"/>
    <w:rsid w:val="00F47BD5"/>
    <w:rsid w:val="00F47D57"/>
    <w:rsid w:val="00F47E4F"/>
    <w:rsid w:val="00F5025C"/>
    <w:rsid w:val="00F50328"/>
    <w:rsid w:val="00F503E4"/>
    <w:rsid w:val="00F5076E"/>
    <w:rsid w:val="00F508EF"/>
    <w:rsid w:val="00F5094F"/>
    <w:rsid w:val="00F509F3"/>
    <w:rsid w:val="00F509F5"/>
    <w:rsid w:val="00F50A12"/>
    <w:rsid w:val="00F50C42"/>
    <w:rsid w:val="00F50CEE"/>
    <w:rsid w:val="00F50DBA"/>
    <w:rsid w:val="00F50EAB"/>
    <w:rsid w:val="00F513C8"/>
    <w:rsid w:val="00F5187D"/>
    <w:rsid w:val="00F518A9"/>
    <w:rsid w:val="00F51B91"/>
    <w:rsid w:val="00F51C03"/>
    <w:rsid w:val="00F51FDF"/>
    <w:rsid w:val="00F52014"/>
    <w:rsid w:val="00F52170"/>
    <w:rsid w:val="00F521B9"/>
    <w:rsid w:val="00F521CA"/>
    <w:rsid w:val="00F521E4"/>
    <w:rsid w:val="00F52339"/>
    <w:rsid w:val="00F52387"/>
    <w:rsid w:val="00F524DA"/>
    <w:rsid w:val="00F525D9"/>
    <w:rsid w:val="00F52729"/>
    <w:rsid w:val="00F52744"/>
    <w:rsid w:val="00F528FD"/>
    <w:rsid w:val="00F52B89"/>
    <w:rsid w:val="00F52D18"/>
    <w:rsid w:val="00F53079"/>
    <w:rsid w:val="00F531DE"/>
    <w:rsid w:val="00F53264"/>
    <w:rsid w:val="00F53506"/>
    <w:rsid w:val="00F5359F"/>
    <w:rsid w:val="00F537F9"/>
    <w:rsid w:val="00F53BF0"/>
    <w:rsid w:val="00F53C3A"/>
    <w:rsid w:val="00F53C5A"/>
    <w:rsid w:val="00F53D4D"/>
    <w:rsid w:val="00F53E3F"/>
    <w:rsid w:val="00F541D2"/>
    <w:rsid w:val="00F5480F"/>
    <w:rsid w:val="00F548DE"/>
    <w:rsid w:val="00F54B4A"/>
    <w:rsid w:val="00F54BFC"/>
    <w:rsid w:val="00F55266"/>
    <w:rsid w:val="00F552B4"/>
    <w:rsid w:val="00F552ED"/>
    <w:rsid w:val="00F553A5"/>
    <w:rsid w:val="00F553D3"/>
    <w:rsid w:val="00F555B7"/>
    <w:rsid w:val="00F55627"/>
    <w:rsid w:val="00F556E7"/>
    <w:rsid w:val="00F55799"/>
    <w:rsid w:val="00F557B1"/>
    <w:rsid w:val="00F55A64"/>
    <w:rsid w:val="00F55BAD"/>
    <w:rsid w:val="00F55C5E"/>
    <w:rsid w:val="00F55CC5"/>
    <w:rsid w:val="00F55E45"/>
    <w:rsid w:val="00F56037"/>
    <w:rsid w:val="00F561C3"/>
    <w:rsid w:val="00F562A5"/>
    <w:rsid w:val="00F56430"/>
    <w:rsid w:val="00F56537"/>
    <w:rsid w:val="00F5659A"/>
    <w:rsid w:val="00F566B5"/>
    <w:rsid w:val="00F5690E"/>
    <w:rsid w:val="00F56C1E"/>
    <w:rsid w:val="00F56E55"/>
    <w:rsid w:val="00F56EE0"/>
    <w:rsid w:val="00F56EF8"/>
    <w:rsid w:val="00F56FBC"/>
    <w:rsid w:val="00F57050"/>
    <w:rsid w:val="00F57137"/>
    <w:rsid w:val="00F57213"/>
    <w:rsid w:val="00F57243"/>
    <w:rsid w:val="00F5745E"/>
    <w:rsid w:val="00F574A7"/>
    <w:rsid w:val="00F5753E"/>
    <w:rsid w:val="00F575C0"/>
    <w:rsid w:val="00F57678"/>
    <w:rsid w:val="00F57A36"/>
    <w:rsid w:val="00F57B75"/>
    <w:rsid w:val="00F57E21"/>
    <w:rsid w:val="00F60033"/>
    <w:rsid w:val="00F609CF"/>
    <w:rsid w:val="00F60C96"/>
    <w:rsid w:val="00F60DE4"/>
    <w:rsid w:val="00F60E01"/>
    <w:rsid w:val="00F60F09"/>
    <w:rsid w:val="00F6145B"/>
    <w:rsid w:val="00F614EA"/>
    <w:rsid w:val="00F61501"/>
    <w:rsid w:val="00F61893"/>
    <w:rsid w:val="00F61A97"/>
    <w:rsid w:val="00F61B1C"/>
    <w:rsid w:val="00F61CE8"/>
    <w:rsid w:val="00F61ECF"/>
    <w:rsid w:val="00F62471"/>
    <w:rsid w:val="00F6252C"/>
    <w:rsid w:val="00F62627"/>
    <w:rsid w:val="00F62755"/>
    <w:rsid w:val="00F62C5E"/>
    <w:rsid w:val="00F62D84"/>
    <w:rsid w:val="00F6302F"/>
    <w:rsid w:val="00F634BB"/>
    <w:rsid w:val="00F635E2"/>
    <w:rsid w:val="00F6381D"/>
    <w:rsid w:val="00F63B45"/>
    <w:rsid w:val="00F6404A"/>
    <w:rsid w:val="00F640CB"/>
    <w:rsid w:val="00F6417E"/>
    <w:rsid w:val="00F642B5"/>
    <w:rsid w:val="00F64364"/>
    <w:rsid w:val="00F64539"/>
    <w:rsid w:val="00F64613"/>
    <w:rsid w:val="00F646F2"/>
    <w:rsid w:val="00F64706"/>
    <w:rsid w:val="00F6486E"/>
    <w:rsid w:val="00F64AD8"/>
    <w:rsid w:val="00F64B6E"/>
    <w:rsid w:val="00F6511D"/>
    <w:rsid w:val="00F6550E"/>
    <w:rsid w:val="00F65540"/>
    <w:rsid w:val="00F65665"/>
    <w:rsid w:val="00F65885"/>
    <w:rsid w:val="00F65A6C"/>
    <w:rsid w:val="00F6660A"/>
    <w:rsid w:val="00F6693D"/>
    <w:rsid w:val="00F66992"/>
    <w:rsid w:val="00F669DC"/>
    <w:rsid w:val="00F66ABC"/>
    <w:rsid w:val="00F66B41"/>
    <w:rsid w:val="00F66B9E"/>
    <w:rsid w:val="00F66E02"/>
    <w:rsid w:val="00F67059"/>
    <w:rsid w:val="00F67216"/>
    <w:rsid w:val="00F67AAA"/>
    <w:rsid w:val="00F702BA"/>
    <w:rsid w:val="00F7041D"/>
    <w:rsid w:val="00F705B8"/>
    <w:rsid w:val="00F705D6"/>
    <w:rsid w:val="00F70601"/>
    <w:rsid w:val="00F70613"/>
    <w:rsid w:val="00F70861"/>
    <w:rsid w:val="00F7094D"/>
    <w:rsid w:val="00F709C8"/>
    <w:rsid w:val="00F70B59"/>
    <w:rsid w:val="00F70D36"/>
    <w:rsid w:val="00F70DB1"/>
    <w:rsid w:val="00F7109F"/>
    <w:rsid w:val="00F710A2"/>
    <w:rsid w:val="00F711A2"/>
    <w:rsid w:val="00F711D8"/>
    <w:rsid w:val="00F71551"/>
    <w:rsid w:val="00F716E2"/>
    <w:rsid w:val="00F7175B"/>
    <w:rsid w:val="00F719FE"/>
    <w:rsid w:val="00F71A8A"/>
    <w:rsid w:val="00F71B12"/>
    <w:rsid w:val="00F71B44"/>
    <w:rsid w:val="00F71CF9"/>
    <w:rsid w:val="00F71D8A"/>
    <w:rsid w:val="00F71EAE"/>
    <w:rsid w:val="00F71F8D"/>
    <w:rsid w:val="00F71FA0"/>
    <w:rsid w:val="00F71FEA"/>
    <w:rsid w:val="00F71FF8"/>
    <w:rsid w:val="00F72172"/>
    <w:rsid w:val="00F72239"/>
    <w:rsid w:val="00F723DC"/>
    <w:rsid w:val="00F72414"/>
    <w:rsid w:val="00F72452"/>
    <w:rsid w:val="00F724AC"/>
    <w:rsid w:val="00F726F1"/>
    <w:rsid w:val="00F7282F"/>
    <w:rsid w:val="00F72A3F"/>
    <w:rsid w:val="00F72A7A"/>
    <w:rsid w:val="00F72C13"/>
    <w:rsid w:val="00F72C67"/>
    <w:rsid w:val="00F72CEB"/>
    <w:rsid w:val="00F72E1A"/>
    <w:rsid w:val="00F72EA7"/>
    <w:rsid w:val="00F72EBE"/>
    <w:rsid w:val="00F72EFB"/>
    <w:rsid w:val="00F73070"/>
    <w:rsid w:val="00F7317B"/>
    <w:rsid w:val="00F73338"/>
    <w:rsid w:val="00F73524"/>
    <w:rsid w:val="00F7364A"/>
    <w:rsid w:val="00F73926"/>
    <w:rsid w:val="00F73D3B"/>
    <w:rsid w:val="00F73DE5"/>
    <w:rsid w:val="00F73FAD"/>
    <w:rsid w:val="00F73FFA"/>
    <w:rsid w:val="00F74155"/>
    <w:rsid w:val="00F7447A"/>
    <w:rsid w:val="00F7465E"/>
    <w:rsid w:val="00F746BE"/>
    <w:rsid w:val="00F74B3C"/>
    <w:rsid w:val="00F74D9B"/>
    <w:rsid w:val="00F74E7D"/>
    <w:rsid w:val="00F74F0F"/>
    <w:rsid w:val="00F74F4A"/>
    <w:rsid w:val="00F7529C"/>
    <w:rsid w:val="00F75472"/>
    <w:rsid w:val="00F75641"/>
    <w:rsid w:val="00F75684"/>
    <w:rsid w:val="00F75988"/>
    <w:rsid w:val="00F759B1"/>
    <w:rsid w:val="00F75AEE"/>
    <w:rsid w:val="00F75DE1"/>
    <w:rsid w:val="00F760AD"/>
    <w:rsid w:val="00F761B0"/>
    <w:rsid w:val="00F76337"/>
    <w:rsid w:val="00F763AB"/>
    <w:rsid w:val="00F7644C"/>
    <w:rsid w:val="00F76501"/>
    <w:rsid w:val="00F76558"/>
    <w:rsid w:val="00F7665D"/>
    <w:rsid w:val="00F767FE"/>
    <w:rsid w:val="00F76944"/>
    <w:rsid w:val="00F76C33"/>
    <w:rsid w:val="00F76DEE"/>
    <w:rsid w:val="00F76E11"/>
    <w:rsid w:val="00F771E5"/>
    <w:rsid w:val="00F77418"/>
    <w:rsid w:val="00F77C2F"/>
    <w:rsid w:val="00F77C8A"/>
    <w:rsid w:val="00F77E2D"/>
    <w:rsid w:val="00F77E5A"/>
    <w:rsid w:val="00F80374"/>
    <w:rsid w:val="00F8053B"/>
    <w:rsid w:val="00F80663"/>
    <w:rsid w:val="00F806E3"/>
    <w:rsid w:val="00F809FC"/>
    <w:rsid w:val="00F80B20"/>
    <w:rsid w:val="00F80C22"/>
    <w:rsid w:val="00F80DEE"/>
    <w:rsid w:val="00F81751"/>
    <w:rsid w:val="00F81B70"/>
    <w:rsid w:val="00F81CE3"/>
    <w:rsid w:val="00F81D97"/>
    <w:rsid w:val="00F82041"/>
    <w:rsid w:val="00F8223C"/>
    <w:rsid w:val="00F822E2"/>
    <w:rsid w:val="00F82349"/>
    <w:rsid w:val="00F82628"/>
    <w:rsid w:val="00F8262A"/>
    <w:rsid w:val="00F82666"/>
    <w:rsid w:val="00F827C3"/>
    <w:rsid w:val="00F82A9F"/>
    <w:rsid w:val="00F82ADD"/>
    <w:rsid w:val="00F82C40"/>
    <w:rsid w:val="00F82D49"/>
    <w:rsid w:val="00F830A7"/>
    <w:rsid w:val="00F830C3"/>
    <w:rsid w:val="00F8312B"/>
    <w:rsid w:val="00F832FE"/>
    <w:rsid w:val="00F834E0"/>
    <w:rsid w:val="00F8365E"/>
    <w:rsid w:val="00F83A19"/>
    <w:rsid w:val="00F83ACD"/>
    <w:rsid w:val="00F83CCD"/>
    <w:rsid w:val="00F83DE2"/>
    <w:rsid w:val="00F842BA"/>
    <w:rsid w:val="00F843AA"/>
    <w:rsid w:val="00F84566"/>
    <w:rsid w:val="00F847D5"/>
    <w:rsid w:val="00F84874"/>
    <w:rsid w:val="00F84BFA"/>
    <w:rsid w:val="00F84C30"/>
    <w:rsid w:val="00F84D71"/>
    <w:rsid w:val="00F85195"/>
    <w:rsid w:val="00F85264"/>
    <w:rsid w:val="00F855CB"/>
    <w:rsid w:val="00F856D6"/>
    <w:rsid w:val="00F8590B"/>
    <w:rsid w:val="00F85B16"/>
    <w:rsid w:val="00F85D56"/>
    <w:rsid w:val="00F85E8F"/>
    <w:rsid w:val="00F85F32"/>
    <w:rsid w:val="00F860E4"/>
    <w:rsid w:val="00F861EE"/>
    <w:rsid w:val="00F8627B"/>
    <w:rsid w:val="00F8632F"/>
    <w:rsid w:val="00F86659"/>
    <w:rsid w:val="00F86722"/>
    <w:rsid w:val="00F869A0"/>
    <w:rsid w:val="00F86A01"/>
    <w:rsid w:val="00F86AB5"/>
    <w:rsid w:val="00F86BE3"/>
    <w:rsid w:val="00F86CC7"/>
    <w:rsid w:val="00F86DFC"/>
    <w:rsid w:val="00F86E80"/>
    <w:rsid w:val="00F86EB1"/>
    <w:rsid w:val="00F86F38"/>
    <w:rsid w:val="00F872ED"/>
    <w:rsid w:val="00F875FC"/>
    <w:rsid w:val="00F87D70"/>
    <w:rsid w:val="00F87ED1"/>
    <w:rsid w:val="00F87F33"/>
    <w:rsid w:val="00F901BA"/>
    <w:rsid w:val="00F90222"/>
    <w:rsid w:val="00F9030A"/>
    <w:rsid w:val="00F90347"/>
    <w:rsid w:val="00F9042D"/>
    <w:rsid w:val="00F90488"/>
    <w:rsid w:val="00F906B0"/>
    <w:rsid w:val="00F9075F"/>
    <w:rsid w:val="00F9076E"/>
    <w:rsid w:val="00F90E0A"/>
    <w:rsid w:val="00F9109A"/>
    <w:rsid w:val="00F91436"/>
    <w:rsid w:val="00F91851"/>
    <w:rsid w:val="00F91CCB"/>
    <w:rsid w:val="00F91DEA"/>
    <w:rsid w:val="00F9220D"/>
    <w:rsid w:val="00F923AB"/>
    <w:rsid w:val="00F924A8"/>
    <w:rsid w:val="00F926C0"/>
    <w:rsid w:val="00F9284C"/>
    <w:rsid w:val="00F928D6"/>
    <w:rsid w:val="00F92A82"/>
    <w:rsid w:val="00F93185"/>
    <w:rsid w:val="00F937FA"/>
    <w:rsid w:val="00F938AF"/>
    <w:rsid w:val="00F93A66"/>
    <w:rsid w:val="00F93AC1"/>
    <w:rsid w:val="00F94675"/>
    <w:rsid w:val="00F9482E"/>
    <w:rsid w:val="00F94855"/>
    <w:rsid w:val="00F94D4E"/>
    <w:rsid w:val="00F94E33"/>
    <w:rsid w:val="00F94EF4"/>
    <w:rsid w:val="00F959CF"/>
    <w:rsid w:val="00F95A56"/>
    <w:rsid w:val="00F95BFE"/>
    <w:rsid w:val="00F95C82"/>
    <w:rsid w:val="00F962AC"/>
    <w:rsid w:val="00F9644A"/>
    <w:rsid w:val="00F96625"/>
    <w:rsid w:val="00F96737"/>
    <w:rsid w:val="00F967ED"/>
    <w:rsid w:val="00F96896"/>
    <w:rsid w:val="00F96D74"/>
    <w:rsid w:val="00F96FD4"/>
    <w:rsid w:val="00F970E1"/>
    <w:rsid w:val="00F9746F"/>
    <w:rsid w:val="00F9751F"/>
    <w:rsid w:val="00F97737"/>
    <w:rsid w:val="00F979A3"/>
    <w:rsid w:val="00F97ADC"/>
    <w:rsid w:val="00F97BF4"/>
    <w:rsid w:val="00F97C3D"/>
    <w:rsid w:val="00F97C5F"/>
    <w:rsid w:val="00F97CAF"/>
    <w:rsid w:val="00F97D01"/>
    <w:rsid w:val="00F97E0A"/>
    <w:rsid w:val="00F97E6D"/>
    <w:rsid w:val="00FA0245"/>
    <w:rsid w:val="00FA02FE"/>
    <w:rsid w:val="00FA0370"/>
    <w:rsid w:val="00FA04FA"/>
    <w:rsid w:val="00FA0B7D"/>
    <w:rsid w:val="00FA0BE4"/>
    <w:rsid w:val="00FA0D04"/>
    <w:rsid w:val="00FA0E0B"/>
    <w:rsid w:val="00FA0E7F"/>
    <w:rsid w:val="00FA0F17"/>
    <w:rsid w:val="00FA0F77"/>
    <w:rsid w:val="00FA0F9B"/>
    <w:rsid w:val="00FA107E"/>
    <w:rsid w:val="00FA1186"/>
    <w:rsid w:val="00FA1672"/>
    <w:rsid w:val="00FA1721"/>
    <w:rsid w:val="00FA1920"/>
    <w:rsid w:val="00FA1B30"/>
    <w:rsid w:val="00FA1BE4"/>
    <w:rsid w:val="00FA1C81"/>
    <w:rsid w:val="00FA1F43"/>
    <w:rsid w:val="00FA20BD"/>
    <w:rsid w:val="00FA2414"/>
    <w:rsid w:val="00FA25EF"/>
    <w:rsid w:val="00FA2982"/>
    <w:rsid w:val="00FA2ACE"/>
    <w:rsid w:val="00FA2ADB"/>
    <w:rsid w:val="00FA2B4D"/>
    <w:rsid w:val="00FA2CDC"/>
    <w:rsid w:val="00FA2CE9"/>
    <w:rsid w:val="00FA3101"/>
    <w:rsid w:val="00FA335F"/>
    <w:rsid w:val="00FA344F"/>
    <w:rsid w:val="00FA3757"/>
    <w:rsid w:val="00FA37C4"/>
    <w:rsid w:val="00FA391A"/>
    <w:rsid w:val="00FA39AA"/>
    <w:rsid w:val="00FA3CD5"/>
    <w:rsid w:val="00FA3E8A"/>
    <w:rsid w:val="00FA41C3"/>
    <w:rsid w:val="00FA4494"/>
    <w:rsid w:val="00FA456C"/>
    <w:rsid w:val="00FA4764"/>
    <w:rsid w:val="00FA49EE"/>
    <w:rsid w:val="00FA4BC8"/>
    <w:rsid w:val="00FA4ED4"/>
    <w:rsid w:val="00FA5156"/>
    <w:rsid w:val="00FA5718"/>
    <w:rsid w:val="00FA579D"/>
    <w:rsid w:val="00FA5883"/>
    <w:rsid w:val="00FA598A"/>
    <w:rsid w:val="00FA5C10"/>
    <w:rsid w:val="00FA5C29"/>
    <w:rsid w:val="00FA5CCA"/>
    <w:rsid w:val="00FA5EEF"/>
    <w:rsid w:val="00FA5F7D"/>
    <w:rsid w:val="00FA6089"/>
    <w:rsid w:val="00FA61F1"/>
    <w:rsid w:val="00FA61F7"/>
    <w:rsid w:val="00FA643F"/>
    <w:rsid w:val="00FA66F2"/>
    <w:rsid w:val="00FA6A3B"/>
    <w:rsid w:val="00FA6B85"/>
    <w:rsid w:val="00FA6CFB"/>
    <w:rsid w:val="00FA6DE5"/>
    <w:rsid w:val="00FA6F00"/>
    <w:rsid w:val="00FA75EB"/>
    <w:rsid w:val="00FA76DF"/>
    <w:rsid w:val="00FA77F1"/>
    <w:rsid w:val="00FA7CE5"/>
    <w:rsid w:val="00FA7D14"/>
    <w:rsid w:val="00FA7DAA"/>
    <w:rsid w:val="00FB0179"/>
    <w:rsid w:val="00FB03AB"/>
    <w:rsid w:val="00FB04C0"/>
    <w:rsid w:val="00FB068E"/>
    <w:rsid w:val="00FB07A6"/>
    <w:rsid w:val="00FB0A6F"/>
    <w:rsid w:val="00FB0AB1"/>
    <w:rsid w:val="00FB0BF2"/>
    <w:rsid w:val="00FB0DF3"/>
    <w:rsid w:val="00FB0E5E"/>
    <w:rsid w:val="00FB1135"/>
    <w:rsid w:val="00FB1365"/>
    <w:rsid w:val="00FB13CE"/>
    <w:rsid w:val="00FB15B8"/>
    <w:rsid w:val="00FB15E0"/>
    <w:rsid w:val="00FB17B8"/>
    <w:rsid w:val="00FB192E"/>
    <w:rsid w:val="00FB1B47"/>
    <w:rsid w:val="00FB1CEF"/>
    <w:rsid w:val="00FB1F06"/>
    <w:rsid w:val="00FB209F"/>
    <w:rsid w:val="00FB21C5"/>
    <w:rsid w:val="00FB24F5"/>
    <w:rsid w:val="00FB2728"/>
    <w:rsid w:val="00FB276D"/>
    <w:rsid w:val="00FB2774"/>
    <w:rsid w:val="00FB2857"/>
    <w:rsid w:val="00FB2A4A"/>
    <w:rsid w:val="00FB2E1A"/>
    <w:rsid w:val="00FB2F29"/>
    <w:rsid w:val="00FB2FF4"/>
    <w:rsid w:val="00FB3010"/>
    <w:rsid w:val="00FB3A5E"/>
    <w:rsid w:val="00FB3BB2"/>
    <w:rsid w:val="00FB3DDF"/>
    <w:rsid w:val="00FB40C8"/>
    <w:rsid w:val="00FB41F5"/>
    <w:rsid w:val="00FB4529"/>
    <w:rsid w:val="00FB4703"/>
    <w:rsid w:val="00FB48A2"/>
    <w:rsid w:val="00FB48B3"/>
    <w:rsid w:val="00FB4AE6"/>
    <w:rsid w:val="00FB4D63"/>
    <w:rsid w:val="00FB4DA8"/>
    <w:rsid w:val="00FB4F86"/>
    <w:rsid w:val="00FB4FD7"/>
    <w:rsid w:val="00FB50D4"/>
    <w:rsid w:val="00FB531E"/>
    <w:rsid w:val="00FB5395"/>
    <w:rsid w:val="00FB53E9"/>
    <w:rsid w:val="00FB5478"/>
    <w:rsid w:val="00FB54EF"/>
    <w:rsid w:val="00FB554C"/>
    <w:rsid w:val="00FB55D9"/>
    <w:rsid w:val="00FB5790"/>
    <w:rsid w:val="00FB5849"/>
    <w:rsid w:val="00FB5905"/>
    <w:rsid w:val="00FB5F19"/>
    <w:rsid w:val="00FB6072"/>
    <w:rsid w:val="00FB60E1"/>
    <w:rsid w:val="00FB623F"/>
    <w:rsid w:val="00FB6343"/>
    <w:rsid w:val="00FB66A3"/>
    <w:rsid w:val="00FB6C6D"/>
    <w:rsid w:val="00FB6EA0"/>
    <w:rsid w:val="00FB729A"/>
    <w:rsid w:val="00FB73F8"/>
    <w:rsid w:val="00FB774F"/>
    <w:rsid w:val="00FB77DB"/>
    <w:rsid w:val="00FB7816"/>
    <w:rsid w:val="00FB7885"/>
    <w:rsid w:val="00FB7B2F"/>
    <w:rsid w:val="00FB7BE2"/>
    <w:rsid w:val="00FB7C4C"/>
    <w:rsid w:val="00FB7F84"/>
    <w:rsid w:val="00FC025D"/>
    <w:rsid w:val="00FC0294"/>
    <w:rsid w:val="00FC0330"/>
    <w:rsid w:val="00FC03B4"/>
    <w:rsid w:val="00FC0403"/>
    <w:rsid w:val="00FC08B1"/>
    <w:rsid w:val="00FC0CAA"/>
    <w:rsid w:val="00FC0E41"/>
    <w:rsid w:val="00FC10CF"/>
    <w:rsid w:val="00FC10ED"/>
    <w:rsid w:val="00FC1167"/>
    <w:rsid w:val="00FC1447"/>
    <w:rsid w:val="00FC156A"/>
    <w:rsid w:val="00FC15A4"/>
    <w:rsid w:val="00FC1798"/>
    <w:rsid w:val="00FC18B2"/>
    <w:rsid w:val="00FC192F"/>
    <w:rsid w:val="00FC19CD"/>
    <w:rsid w:val="00FC1AEC"/>
    <w:rsid w:val="00FC1B9A"/>
    <w:rsid w:val="00FC1D30"/>
    <w:rsid w:val="00FC2428"/>
    <w:rsid w:val="00FC2669"/>
    <w:rsid w:val="00FC27E8"/>
    <w:rsid w:val="00FC28CB"/>
    <w:rsid w:val="00FC2ACE"/>
    <w:rsid w:val="00FC2BA3"/>
    <w:rsid w:val="00FC2C2B"/>
    <w:rsid w:val="00FC2C5E"/>
    <w:rsid w:val="00FC2DBC"/>
    <w:rsid w:val="00FC2DBF"/>
    <w:rsid w:val="00FC2E41"/>
    <w:rsid w:val="00FC3157"/>
    <w:rsid w:val="00FC363F"/>
    <w:rsid w:val="00FC39BF"/>
    <w:rsid w:val="00FC3A87"/>
    <w:rsid w:val="00FC3CEB"/>
    <w:rsid w:val="00FC3D36"/>
    <w:rsid w:val="00FC3EE7"/>
    <w:rsid w:val="00FC3F8E"/>
    <w:rsid w:val="00FC419F"/>
    <w:rsid w:val="00FC41DA"/>
    <w:rsid w:val="00FC41E7"/>
    <w:rsid w:val="00FC4478"/>
    <w:rsid w:val="00FC44AD"/>
    <w:rsid w:val="00FC460A"/>
    <w:rsid w:val="00FC485B"/>
    <w:rsid w:val="00FC49D0"/>
    <w:rsid w:val="00FC4DC2"/>
    <w:rsid w:val="00FC4DD8"/>
    <w:rsid w:val="00FC5399"/>
    <w:rsid w:val="00FC53BF"/>
    <w:rsid w:val="00FC5655"/>
    <w:rsid w:val="00FC5829"/>
    <w:rsid w:val="00FC5908"/>
    <w:rsid w:val="00FC59AF"/>
    <w:rsid w:val="00FC5A8F"/>
    <w:rsid w:val="00FC5CC9"/>
    <w:rsid w:val="00FC5F1E"/>
    <w:rsid w:val="00FC5F55"/>
    <w:rsid w:val="00FC5FF9"/>
    <w:rsid w:val="00FC60BC"/>
    <w:rsid w:val="00FC67D0"/>
    <w:rsid w:val="00FC71D4"/>
    <w:rsid w:val="00FC72DA"/>
    <w:rsid w:val="00FC7322"/>
    <w:rsid w:val="00FC79EA"/>
    <w:rsid w:val="00FC7BAE"/>
    <w:rsid w:val="00FC7DD9"/>
    <w:rsid w:val="00FC7F9B"/>
    <w:rsid w:val="00FC7FCF"/>
    <w:rsid w:val="00FD012F"/>
    <w:rsid w:val="00FD02C5"/>
    <w:rsid w:val="00FD052E"/>
    <w:rsid w:val="00FD073B"/>
    <w:rsid w:val="00FD0835"/>
    <w:rsid w:val="00FD08BD"/>
    <w:rsid w:val="00FD0988"/>
    <w:rsid w:val="00FD09B5"/>
    <w:rsid w:val="00FD0A63"/>
    <w:rsid w:val="00FD0CDE"/>
    <w:rsid w:val="00FD0D89"/>
    <w:rsid w:val="00FD0E09"/>
    <w:rsid w:val="00FD0E12"/>
    <w:rsid w:val="00FD0F2B"/>
    <w:rsid w:val="00FD0FC6"/>
    <w:rsid w:val="00FD1268"/>
    <w:rsid w:val="00FD130B"/>
    <w:rsid w:val="00FD1812"/>
    <w:rsid w:val="00FD1873"/>
    <w:rsid w:val="00FD1A1A"/>
    <w:rsid w:val="00FD1C13"/>
    <w:rsid w:val="00FD1C50"/>
    <w:rsid w:val="00FD1D2F"/>
    <w:rsid w:val="00FD21E8"/>
    <w:rsid w:val="00FD22E0"/>
    <w:rsid w:val="00FD2348"/>
    <w:rsid w:val="00FD2595"/>
    <w:rsid w:val="00FD25F6"/>
    <w:rsid w:val="00FD2692"/>
    <w:rsid w:val="00FD2728"/>
    <w:rsid w:val="00FD272E"/>
    <w:rsid w:val="00FD2882"/>
    <w:rsid w:val="00FD2A6B"/>
    <w:rsid w:val="00FD2B6E"/>
    <w:rsid w:val="00FD2CA2"/>
    <w:rsid w:val="00FD32E3"/>
    <w:rsid w:val="00FD3416"/>
    <w:rsid w:val="00FD3867"/>
    <w:rsid w:val="00FD38E2"/>
    <w:rsid w:val="00FD3BE2"/>
    <w:rsid w:val="00FD3D02"/>
    <w:rsid w:val="00FD3F6B"/>
    <w:rsid w:val="00FD3F80"/>
    <w:rsid w:val="00FD448C"/>
    <w:rsid w:val="00FD458E"/>
    <w:rsid w:val="00FD45DA"/>
    <w:rsid w:val="00FD460D"/>
    <w:rsid w:val="00FD4646"/>
    <w:rsid w:val="00FD4859"/>
    <w:rsid w:val="00FD48A7"/>
    <w:rsid w:val="00FD4A8A"/>
    <w:rsid w:val="00FD4AB1"/>
    <w:rsid w:val="00FD4CCC"/>
    <w:rsid w:val="00FD4E66"/>
    <w:rsid w:val="00FD4FC9"/>
    <w:rsid w:val="00FD51FA"/>
    <w:rsid w:val="00FD5427"/>
    <w:rsid w:val="00FD57CA"/>
    <w:rsid w:val="00FD59FD"/>
    <w:rsid w:val="00FD5A19"/>
    <w:rsid w:val="00FD5BA9"/>
    <w:rsid w:val="00FD5D51"/>
    <w:rsid w:val="00FD5F67"/>
    <w:rsid w:val="00FD6031"/>
    <w:rsid w:val="00FD6063"/>
    <w:rsid w:val="00FD64A6"/>
    <w:rsid w:val="00FD6648"/>
    <w:rsid w:val="00FD67B4"/>
    <w:rsid w:val="00FD67EE"/>
    <w:rsid w:val="00FD680A"/>
    <w:rsid w:val="00FD6B2D"/>
    <w:rsid w:val="00FD7078"/>
    <w:rsid w:val="00FD742D"/>
    <w:rsid w:val="00FD7448"/>
    <w:rsid w:val="00FD7512"/>
    <w:rsid w:val="00FD76E4"/>
    <w:rsid w:val="00FD790E"/>
    <w:rsid w:val="00FD790F"/>
    <w:rsid w:val="00FD7963"/>
    <w:rsid w:val="00FD7C5E"/>
    <w:rsid w:val="00FD7F29"/>
    <w:rsid w:val="00FE0082"/>
    <w:rsid w:val="00FE00E5"/>
    <w:rsid w:val="00FE017E"/>
    <w:rsid w:val="00FE02A8"/>
    <w:rsid w:val="00FE0387"/>
    <w:rsid w:val="00FE046F"/>
    <w:rsid w:val="00FE05BE"/>
    <w:rsid w:val="00FE05F9"/>
    <w:rsid w:val="00FE084C"/>
    <w:rsid w:val="00FE08E5"/>
    <w:rsid w:val="00FE09DE"/>
    <w:rsid w:val="00FE0A16"/>
    <w:rsid w:val="00FE0C9E"/>
    <w:rsid w:val="00FE0D60"/>
    <w:rsid w:val="00FE0F10"/>
    <w:rsid w:val="00FE11BD"/>
    <w:rsid w:val="00FE1265"/>
    <w:rsid w:val="00FE129D"/>
    <w:rsid w:val="00FE12DA"/>
    <w:rsid w:val="00FE131E"/>
    <w:rsid w:val="00FE150E"/>
    <w:rsid w:val="00FE17FD"/>
    <w:rsid w:val="00FE1873"/>
    <w:rsid w:val="00FE18FF"/>
    <w:rsid w:val="00FE193F"/>
    <w:rsid w:val="00FE1B46"/>
    <w:rsid w:val="00FE1BD7"/>
    <w:rsid w:val="00FE1E60"/>
    <w:rsid w:val="00FE1F21"/>
    <w:rsid w:val="00FE2684"/>
    <w:rsid w:val="00FE2988"/>
    <w:rsid w:val="00FE2992"/>
    <w:rsid w:val="00FE2DE6"/>
    <w:rsid w:val="00FE3009"/>
    <w:rsid w:val="00FE30A2"/>
    <w:rsid w:val="00FE30F6"/>
    <w:rsid w:val="00FE3276"/>
    <w:rsid w:val="00FE3521"/>
    <w:rsid w:val="00FE37B5"/>
    <w:rsid w:val="00FE381F"/>
    <w:rsid w:val="00FE394D"/>
    <w:rsid w:val="00FE3ABB"/>
    <w:rsid w:val="00FE3CC0"/>
    <w:rsid w:val="00FE3CC9"/>
    <w:rsid w:val="00FE3EE5"/>
    <w:rsid w:val="00FE433A"/>
    <w:rsid w:val="00FE4484"/>
    <w:rsid w:val="00FE4704"/>
    <w:rsid w:val="00FE4A39"/>
    <w:rsid w:val="00FE4B80"/>
    <w:rsid w:val="00FE4C09"/>
    <w:rsid w:val="00FE4C8B"/>
    <w:rsid w:val="00FE4EF6"/>
    <w:rsid w:val="00FE502C"/>
    <w:rsid w:val="00FE507E"/>
    <w:rsid w:val="00FE50F0"/>
    <w:rsid w:val="00FE5610"/>
    <w:rsid w:val="00FE5679"/>
    <w:rsid w:val="00FE5720"/>
    <w:rsid w:val="00FE5812"/>
    <w:rsid w:val="00FE588A"/>
    <w:rsid w:val="00FE589A"/>
    <w:rsid w:val="00FE58DE"/>
    <w:rsid w:val="00FE5AA5"/>
    <w:rsid w:val="00FE621B"/>
    <w:rsid w:val="00FE64CF"/>
    <w:rsid w:val="00FE64ED"/>
    <w:rsid w:val="00FE6B9A"/>
    <w:rsid w:val="00FE6D45"/>
    <w:rsid w:val="00FE6D6A"/>
    <w:rsid w:val="00FE6E8C"/>
    <w:rsid w:val="00FE6EB9"/>
    <w:rsid w:val="00FE6F53"/>
    <w:rsid w:val="00FE6F79"/>
    <w:rsid w:val="00FE70FE"/>
    <w:rsid w:val="00FE738D"/>
    <w:rsid w:val="00FE7951"/>
    <w:rsid w:val="00FE7C9E"/>
    <w:rsid w:val="00FE7EA1"/>
    <w:rsid w:val="00FF00CC"/>
    <w:rsid w:val="00FF0111"/>
    <w:rsid w:val="00FF0154"/>
    <w:rsid w:val="00FF0221"/>
    <w:rsid w:val="00FF04EA"/>
    <w:rsid w:val="00FF0638"/>
    <w:rsid w:val="00FF0790"/>
    <w:rsid w:val="00FF07A3"/>
    <w:rsid w:val="00FF0870"/>
    <w:rsid w:val="00FF0882"/>
    <w:rsid w:val="00FF0CC3"/>
    <w:rsid w:val="00FF0DDC"/>
    <w:rsid w:val="00FF0E2F"/>
    <w:rsid w:val="00FF0EBA"/>
    <w:rsid w:val="00FF0ED5"/>
    <w:rsid w:val="00FF0FEE"/>
    <w:rsid w:val="00FF117D"/>
    <w:rsid w:val="00FF1237"/>
    <w:rsid w:val="00FF12CE"/>
    <w:rsid w:val="00FF1479"/>
    <w:rsid w:val="00FF1937"/>
    <w:rsid w:val="00FF19D5"/>
    <w:rsid w:val="00FF1A70"/>
    <w:rsid w:val="00FF1C45"/>
    <w:rsid w:val="00FF1DA5"/>
    <w:rsid w:val="00FF1E1B"/>
    <w:rsid w:val="00FF2050"/>
    <w:rsid w:val="00FF21F5"/>
    <w:rsid w:val="00FF2219"/>
    <w:rsid w:val="00FF2467"/>
    <w:rsid w:val="00FF2864"/>
    <w:rsid w:val="00FF2B8A"/>
    <w:rsid w:val="00FF322E"/>
    <w:rsid w:val="00FF324D"/>
    <w:rsid w:val="00FF33EF"/>
    <w:rsid w:val="00FF3524"/>
    <w:rsid w:val="00FF3858"/>
    <w:rsid w:val="00FF3FC0"/>
    <w:rsid w:val="00FF4945"/>
    <w:rsid w:val="00FF49F5"/>
    <w:rsid w:val="00FF4A53"/>
    <w:rsid w:val="00FF4B79"/>
    <w:rsid w:val="00FF4B82"/>
    <w:rsid w:val="00FF4D73"/>
    <w:rsid w:val="00FF4EB0"/>
    <w:rsid w:val="00FF4F72"/>
    <w:rsid w:val="00FF515C"/>
    <w:rsid w:val="00FF518F"/>
    <w:rsid w:val="00FF5209"/>
    <w:rsid w:val="00FF528E"/>
    <w:rsid w:val="00FF53B7"/>
    <w:rsid w:val="00FF56FE"/>
    <w:rsid w:val="00FF5A0F"/>
    <w:rsid w:val="00FF5C76"/>
    <w:rsid w:val="00FF5D55"/>
    <w:rsid w:val="00FF5FAE"/>
    <w:rsid w:val="00FF6111"/>
    <w:rsid w:val="00FF6454"/>
    <w:rsid w:val="00FF66E1"/>
    <w:rsid w:val="00FF684B"/>
    <w:rsid w:val="00FF68C0"/>
    <w:rsid w:val="00FF6A59"/>
    <w:rsid w:val="00FF6B79"/>
    <w:rsid w:val="00FF6C22"/>
    <w:rsid w:val="00FF6E13"/>
    <w:rsid w:val="00FF6FC3"/>
    <w:rsid w:val="00FF6FF0"/>
    <w:rsid w:val="00FF70DF"/>
    <w:rsid w:val="00FF7143"/>
    <w:rsid w:val="00FF7185"/>
    <w:rsid w:val="00FF718A"/>
    <w:rsid w:val="00FF7419"/>
    <w:rsid w:val="00FF767A"/>
    <w:rsid w:val="00FF7BEF"/>
    <w:rsid w:val="00FF7FDE"/>
    <w:rsid w:val="010242DF"/>
    <w:rsid w:val="02F45745"/>
    <w:rsid w:val="04AB301E"/>
    <w:rsid w:val="06022044"/>
    <w:rsid w:val="060988E4"/>
    <w:rsid w:val="066C3BF7"/>
    <w:rsid w:val="072E183C"/>
    <w:rsid w:val="0745373D"/>
    <w:rsid w:val="078FC13F"/>
    <w:rsid w:val="08EBB91E"/>
    <w:rsid w:val="0919A83B"/>
    <w:rsid w:val="09C0BECE"/>
    <w:rsid w:val="0A36741C"/>
    <w:rsid w:val="0AFC74A0"/>
    <w:rsid w:val="0B13E66A"/>
    <w:rsid w:val="0B72BDCF"/>
    <w:rsid w:val="0C3ABD59"/>
    <w:rsid w:val="0CA8BA30"/>
    <w:rsid w:val="0D8855EC"/>
    <w:rsid w:val="0E113285"/>
    <w:rsid w:val="0FED9FB0"/>
    <w:rsid w:val="119C498F"/>
    <w:rsid w:val="12F785B0"/>
    <w:rsid w:val="1311C3DF"/>
    <w:rsid w:val="13376EE5"/>
    <w:rsid w:val="13C4659B"/>
    <w:rsid w:val="141E0F24"/>
    <w:rsid w:val="1431589D"/>
    <w:rsid w:val="16AE12A7"/>
    <w:rsid w:val="1799CF6E"/>
    <w:rsid w:val="19DC41D0"/>
    <w:rsid w:val="1A525764"/>
    <w:rsid w:val="1AF54CD0"/>
    <w:rsid w:val="1B3C2B72"/>
    <w:rsid w:val="1CE3C17A"/>
    <w:rsid w:val="1E50E10A"/>
    <w:rsid w:val="1E887462"/>
    <w:rsid w:val="1ED4EE7F"/>
    <w:rsid w:val="1F280E15"/>
    <w:rsid w:val="1F288C7D"/>
    <w:rsid w:val="1FEEDFDC"/>
    <w:rsid w:val="1FF3A111"/>
    <w:rsid w:val="2006ACE4"/>
    <w:rsid w:val="2072276F"/>
    <w:rsid w:val="20945495"/>
    <w:rsid w:val="20C5B4B0"/>
    <w:rsid w:val="20DBFADE"/>
    <w:rsid w:val="220AAE48"/>
    <w:rsid w:val="22683793"/>
    <w:rsid w:val="235D14CD"/>
    <w:rsid w:val="236E3A81"/>
    <w:rsid w:val="26368918"/>
    <w:rsid w:val="268DE709"/>
    <w:rsid w:val="2766EB65"/>
    <w:rsid w:val="276FB406"/>
    <w:rsid w:val="27A959E2"/>
    <w:rsid w:val="27B244BA"/>
    <w:rsid w:val="280EC7E8"/>
    <w:rsid w:val="28A5D213"/>
    <w:rsid w:val="28D55665"/>
    <w:rsid w:val="2A535650"/>
    <w:rsid w:val="2AABD98B"/>
    <w:rsid w:val="2B1B74EC"/>
    <w:rsid w:val="2B42A1FB"/>
    <w:rsid w:val="2C37E095"/>
    <w:rsid w:val="2D76DD58"/>
    <w:rsid w:val="2E497067"/>
    <w:rsid w:val="2E671A8C"/>
    <w:rsid w:val="2E6E7B70"/>
    <w:rsid w:val="30889A2C"/>
    <w:rsid w:val="3096C426"/>
    <w:rsid w:val="310DF5F4"/>
    <w:rsid w:val="31C7D694"/>
    <w:rsid w:val="33A4BC9D"/>
    <w:rsid w:val="34B2DF15"/>
    <w:rsid w:val="34FC1C97"/>
    <w:rsid w:val="365A0851"/>
    <w:rsid w:val="371A1597"/>
    <w:rsid w:val="3765E6C1"/>
    <w:rsid w:val="39377C7C"/>
    <w:rsid w:val="3A475BCE"/>
    <w:rsid w:val="3AAB1BDA"/>
    <w:rsid w:val="3BED42B4"/>
    <w:rsid w:val="3DFC027F"/>
    <w:rsid w:val="3F09AF9E"/>
    <w:rsid w:val="3F8227B8"/>
    <w:rsid w:val="41799AD3"/>
    <w:rsid w:val="44589F36"/>
    <w:rsid w:val="44831B8F"/>
    <w:rsid w:val="45700F41"/>
    <w:rsid w:val="474671A6"/>
    <w:rsid w:val="4751E997"/>
    <w:rsid w:val="48DDECDB"/>
    <w:rsid w:val="49D2B831"/>
    <w:rsid w:val="4B11C389"/>
    <w:rsid w:val="4CB161CC"/>
    <w:rsid w:val="4EB5028A"/>
    <w:rsid w:val="4F00597E"/>
    <w:rsid w:val="4F624CA8"/>
    <w:rsid w:val="4FDDFBF5"/>
    <w:rsid w:val="505F4C80"/>
    <w:rsid w:val="518DFD06"/>
    <w:rsid w:val="51ABC1D6"/>
    <w:rsid w:val="52C1E0F7"/>
    <w:rsid w:val="5356AEC0"/>
    <w:rsid w:val="548AFAA5"/>
    <w:rsid w:val="5498E0F3"/>
    <w:rsid w:val="55EBDD94"/>
    <w:rsid w:val="58C05E94"/>
    <w:rsid w:val="5986B179"/>
    <w:rsid w:val="59D78D54"/>
    <w:rsid w:val="5B3BAFA2"/>
    <w:rsid w:val="5BF76106"/>
    <w:rsid w:val="5C534C61"/>
    <w:rsid w:val="5C578F20"/>
    <w:rsid w:val="5E6997D2"/>
    <w:rsid w:val="5EECF980"/>
    <w:rsid w:val="5F868B7B"/>
    <w:rsid w:val="5FF55884"/>
    <w:rsid w:val="604605ED"/>
    <w:rsid w:val="60D46EE8"/>
    <w:rsid w:val="618F6180"/>
    <w:rsid w:val="61BEFA62"/>
    <w:rsid w:val="6426E8BD"/>
    <w:rsid w:val="643BC305"/>
    <w:rsid w:val="6463E117"/>
    <w:rsid w:val="65F9A77F"/>
    <w:rsid w:val="6866F4DC"/>
    <w:rsid w:val="68E1FEDB"/>
    <w:rsid w:val="69562E5D"/>
    <w:rsid w:val="6A089092"/>
    <w:rsid w:val="6A0B31C2"/>
    <w:rsid w:val="6A4EF926"/>
    <w:rsid w:val="6A8CD042"/>
    <w:rsid w:val="6B599AD5"/>
    <w:rsid w:val="6BB9F0B8"/>
    <w:rsid w:val="6BF98A2B"/>
    <w:rsid w:val="6CB64B70"/>
    <w:rsid w:val="6D35B826"/>
    <w:rsid w:val="6D9E3318"/>
    <w:rsid w:val="6E723146"/>
    <w:rsid w:val="6EE3441E"/>
    <w:rsid w:val="6EF409B5"/>
    <w:rsid w:val="6F018933"/>
    <w:rsid w:val="6FB0CDC0"/>
    <w:rsid w:val="707590D7"/>
    <w:rsid w:val="70B41376"/>
    <w:rsid w:val="71A3330C"/>
    <w:rsid w:val="7243259C"/>
    <w:rsid w:val="72E4BAD9"/>
    <w:rsid w:val="730F2AF5"/>
    <w:rsid w:val="746A6B77"/>
    <w:rsid w:val="7542F68E"/>
    <w:rsid w:val="75E72B67"/>
    <w:rsid w:val="765F8A4B"/>
    <w:rsid w:val="7890FE35"/>
    <w:rsid w:val="79A79152"/>
    <w:rsid w:val="79D7BAD7"/>
    <w:rsid w:val="7A2F3574"/>
    <w:rsid w:val="7A455021"/>
    <w:rsid w:val="7A461250"/>
    <w:rsid w:val="7AA9BDF7"/>
    <w:rsid w:val="7AD0711E"/>
    <w:rsid w:val="7C3270B9"/>
    <w:rsid w:val="7C34DDAA"/>
    <w:rsid w:val="7E358F6F"/>
    <w:rsid w:val="7FCF0D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376F2"/>
  <w15:docId w15:val="{BB1F37CC-7D27-4DD8-9BAD-37882263E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19" w:unhideWhenUsed="1" w:qFormat="1"/>
    <w:lsdException w:name="heading 3" w:semiHidden="1" w:uiPriority="9" w:unhideWhenUsed="1" w:qFormat="1"/>
    <w:lsdException w:name="heading 4" w:semiHidden="1" w:uiPriority="19" w:unhideWhenUsed="1" w:qFormat="1"/>
    <w:lsdException w:name="heading 5" w:semiHidden="1" w:uiPriority="9" w:unhideWhenUsed="1" w:qFormat="1"/>
    <w:lsdException w:name="heading 6" w:semiHidden="1" w:uiPriority="19" w:unhideWhenUsed="1" w:qFormat="1"/>
    <w:lsdException w:name="heading 7" w:semiHidden="1" w:uiPriority="19" w:unhideWhenUsed="1"/>
    <w:lsdException w:name="heading 8" w:semiHidden="1" w:uiPriority="19" w:unhideWhenUsed="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8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27"/>
    <w:pPr>
      <w:spacing w:after="120" w:line="240" w:lineRule="auto"/>
    </w:pPr>
    <w:rPr>
      <w:rFonts w:ascii="Segoe UI" w:hAnsi="Segoe UI"/>
      <w:sz w:val="19"/>
      <w:lang w:val="en-AU"/>
    </w:rPr>
  </w:style>
  <w:style w:type="paragraph" w:styleId="Heading1">
    <w:name w:val="heading 1"/>
    <w:basedOn w:val="Normal"/>
    <w:next w:val="Normal"/>
    <w:link w:val="Heading1Char"/>
    <w:uiPriority w:val="19"/>
    <w:qFormat/>
    <w:rsid w:val="00E67B1F"/>
    <w:pPr>
      <w:keepNext/>
      <w:pageBreakBefore/>
      <w:numPr>
        <w:numId w:val="7"/>
      </w:numPr>
      <w:spacing w:after="480"/>
      <w:outlineLvl w:val="0"/>
    </w:pPr>
    <w:rPr>
      <w:rFonts w:eastAsia="Times New Roman" w:cs="Times New Roman"/>
      <w:b/>
      <w:color w:val="00264D"/>
      <w:sz w:val="36"/>
      <w:szCs w:val="19"/>
      <w:lang w:eastAsia="en-AU"/>
    </w:rPr>
  </w:style>
  <w:style w:type="paragraph" w:styleId="Heading2">
    <w:name w:val="heading 2"/>
    <w:basedOn w:val="Normal"/>
    <w:next w:val="Normal"/>
    <w:link w:val="Heading2Char"/>
    <w:uiPriority w:val="19"/>
    <w:qFormat/>
    <w:rsid w:val="00E67B1F"/>
    <w:pPr>
      <w:keepNext/>
      <w:numPr>
        <w:ilvl w:val="1"/>
        <w:numId w:val="7"/>
      </w:numPr>
      <w:spacing w:before="300" w:after="180"/>
      <w:outlineLvl w:val="1"/>
    </w:pPr>
    <w:rPr>
      <w:rFonts w:ascii="Segoe UI Semibold" w:eastAsia="Times New Roman" w:hAnsi="Segoe UI Semibold" w:cs="Times New Roman"/>
      <w:color w:val="00264D"/>
      <w:sz w:val="30"/>
      <w:szCs w:val="19"/>
      <w:lang w:eastAsia="en-AU"/>
    </w:rPr>
  </w:style>
  <w:style w:type="paragraph" w:styleId="Heading3">
    <w:name w:val="heading 3"/>
    <w:basedOn w:val="Normal"/>
    <w:next w:val="Normal"/>
    <w:link w:val="Heading3Char"/>
    <w:uiPriority w:val="9"/>
    <w:qFormat/>
    <w:rsid w:val="00C05A43"/>
    <w:pPr>
      <w:keepNext/>
      <w:numPr>
        <w:ilvl w:val="2"/>
        <w:numId w:val="7"/>
      </w:numPr>
      <w:spacing w:before="240" w:line="259" w:lineRule="auto"/>
      <w:outlineLvl w:val="2"/>
    </w:pPr>
    <w:rPr>
      <w:rFonts w:ascii="Segoe UI Semibold" w:eastAsia="Times New Roman" w:hAnsi="Segoe UI Semibold" w:cs="Times New Roman"/>
      <w:color w:val="00264D"/>
      <w:sz w:val="26"/>
      <w:szCs w:val="19"/>
      <w:lang w:eastAsia="en-AU"/>
    </w:rPr>
  </w:style>
  <w:style w:type="paragraph" w:styleId="Heading4">
    <w:name w:val="heading 4"/>
    <w:basedOn w:val="Normal"/>
    <w:next w:val="Normal"/>
    <w:link w:val="Heading4Char"/>
    <w:uiPriority w:val="19"/>
    <w:qFormat/>
    <w:rsid w:val="00C05A43"/>
    <w:pPr>
      <w:keepNext/>
      <w:spacing w:before="180" w:line="259" w:lineRule="auto"/>
      <w:outlineLvl w:val="3"/>
    </w:pPr>
    <w:rPr>
      <w:rFonts w:ascii="Segoe UI Semibold" w:eastAsia="Times New Roman" w:hAnsi="Segoe UI Semibold" w:cs="Times New Roman"/>
      <w:color w:val="00264D" w:themeColor="background2"/>
      <w:sz w:val="22"/>
      <w:szCs w:val="19"/>
      <w:lang w:eastAsia="en-AU"/>
    </w:rPr>
  </w:style>
  <w:style w:type="paragraph" w:styleId="Heading5">
    <w:name w:val="heading 5"/>
    <w:basedOn w:val="Normal"/>
    <w:next w:val="Normal"/>
    <w:link w:val="Heading5Char"/>
    <w:uiPriority w:val="9"/>
    <w:qFormat/>
    <w:rsid w:val="00C05A43"/>
    <w:pPr>
      <w:keepNext/>
      <w:numPr>
        <w:ilvl w:val="4"/>
        <w:numId w:val="7"/>
      </w:numPr>
      <w:spacing w:before="180" w:line="259" w:lineRule="auto"/>
      <w:outlineLvl w:val="4"/>
    </w:pPr>
    <w:rPr>
      <w:rFonts w:eastAsia="Times New Roman" w:cs="Times New Roman"/>
      <w:b/>
      <w:color w:val="000000" w:themeColor="text1"/>
      <w:sz w:val="20"/>
      <w:szCs w:val="24"/>
      <w:lang w:eastAsia="en-AU"/>
    </w:rPr>
  </w:style>
  <w:style w:type="paragraph" w:styleId="Heading6">
    <w:name w:val="heading 6"/>
    <w:basedOn w:val="Normal"/>
    <w:next w:val="Normal"/>
    <w:link w:val="Heading6Char"/>
    <w:uiPriority w:val="19"/>
    <w:qFormat/>
    <w:rsid w:val="00C05A43"/>
    <w:pPr>
      <w:keepNext/>
      <w:keepLines/>
      <w:numPr>
        <w:ilvl w:val="5"/>
        <w:numId w:val="7"/>
      </w:numPr>
      <w:spacing w:before="120" w:line="259" w:lineRule="auto"/>
      <w:outlineLvl w:val="5"/>
    </w:pPr>
    <w:rPr>
      <w:rFonts w:eastAsiaTheme="majorEastAsia" w:cstheme="majorBidi"/>
      <w:b/>
      <w:i/>
      <w:iCs/>
      <w:color w:val="000000" w:themeColor="text1"/>
      <w:szCs w:val="19"/>
      <w:lang w:eastAsia="en-AU"/>
    </w:rPr>
  </w:style>
  <w:style w:type="paragraph" w:styleId="Heading7">
    <w:name w:val="heading 7"/>
    <w:basedOn w:val="Normal"/>
    <w:next w:val="Normal"/>
    <w:link w:val="Heading7Char"/>
    <w:uiPriority w:val="19"/>
    <w:semiHidden/>
    <w:rsid w:val="000137FA"/>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19"/>
    <w:semiHidden/>
    <w:rsid w:val="000137FA"/>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19"/>
    <w:semiHidden/>
    <w:qFormat/>
    <w:rsid w:val="00B10C1A"/>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9"/>
    <w:rsid w:val="00E67B1F"/>
    <w:rPr>
      <w:rFonts w:ascii="Segoe UI" w:eastAsia="Times New Roman" w:hAnsi="Segoe UI" w:cs="Times New Roman"/>
      <w:b/>
      <w:color w:val="00264D"/>
      <w:sz w:val="36"/>
      <w:szCs w:val="19"/>
      <w:lang w:val="en-AU" w:eastAsia="en-AU"/>
    </w:rPr>
  </w:style>
  <w:style w:type="character" w:customStyle="1" w:styleId="Heading2Char">
    <w:name w:val="Heading 2 Char"/>
    <w:basedOn w:val="DefaultParagraphFont"/>
    <w:link w:val="Heading2"/>
    <w:uiPriority w:val="19"/>
    <w:rsid w:val="00E67B1F"/>
    <w:rPr>
      <w:rFonts w:ascii="Segoe UI Semibold" w:eastAsia="Times New Roman" w:hAnsi="Segoe UI Semibold" w:cs="Times New Roman"/>
      <w:color w:val="00264D"/>
      <w:sz w:val="30"/>
      <w:szCs w:val="19"/>
      <w:lang w:val="en-AU" w:eastAsia="en-AU"/>
    </w:rPr>
  </w:style>
  <w:style w:type="character" w:customStyle="1" w:styleId="Heading3Char">
    <w:name w:val="Heading 3 Char"/>
    <w:basedOn w:val="DefaultParagraphFont"/>
    <w:link w:val="Heading3"/>
    <w:uiPriority w:val="9"/>
    <w:rsid w:val="00C05A43"/>
    <w:rPr>
      <w:rFonts w:ascii="Segoe UI Semibold" w:eastAsia="Times New Roman" w:hAnsi="Segoe UI Semibold" w:cs="Times New Roman"/>
      <w:color w:val="00264D"/>
      <w:sz w:val="26"/>
      <w:szCs w:val="19"/>
      <w:lang w:val="en-AU" w:eastAsia="en-AU"/>
    </w:rPr>
  </w:style>
  <w:style w:type="character" w:customStyle="1" w:styleId="Heading4Char">
    <w:name w:val="Heading 4 Char"/>
    <w:basedOn w:val="DefaultParagraphFont"/>
    <w:link w:val="Heading4"/>
    <w:uiPriority w:val="19"/>
    <w:rsid w:val="00C05A43"/>
    <w:rPr>
      <w:rFonts w:ascii="Segoe UI Semibold" w:eastAsia="Times New Roman" w:hAnsi="Segoe UI Semibold" w:cs="Times New Roman"/>
      <w:color w:val="00264D" w:themeColor="background2"/>
      <w:szCs w:val="19"/>
      <w:lang w:val="en-AU" w:eastAsia="en-AU"/>
    </w:rPr>
  </w:style>
  <w:style w:type="character" w:customStyle="1" w:styleId="Heading5Char">
    <w:name w:val="Heading 5 Char"/>
    <w:basedOn w:val="DefaultParagraphFont"/>
    <w:link w:val="Heading5"/>
    <w:uiPriority w:val="9"/>
    <w:rsid w:val="00C05A43"/>
    <w:rPr>
      <w:rFonts w:ascii="Segoe UI" w:eastAsia="Times New Roman" w:hAnsi="Segoe UI" w:cs="Times New Roman"/>
      <w:b/>
      <w:color w:val="000000" w:themeColor="text1"/>
      <w:sz w:val="20"/>
      <w:szCs w:val="24"/>
      <w:lang w:val="en-AU" w:eastAsia="en-AU"/>
    </w:rPr>
  </w:style>
  <w:style w:type="character" w:customStyle="1" w:styleId="Heading6Char">
    <w:name w:val="Heading 6 Char"/>
    <w:basedOn w:val="DefaultParagraphFont"/>
    <w:link w:val="Heading6"/>
    <w:uiPriority w:val="19"/>
    <w:rsid w:val="00C05A43"/>
    <w:rPr>
      <w:rFonts w:ascii="Segoe UI" w:eastAsiaTheme="majorEastAsia" w:hAnsi="Segoe UI" w:cstheme="majorBidi"/>
      <w:b/>
      <w:i/>
      <w:iCs/>
      <w:color w:val="000000" w:themeColor="text1"/>
      <w:sz w:val="19"/>
      <w:szCs w:val="19"/>
      <w:lang w:val="en-AU" w:eastAsia="en-AU"/>
    </w:rPr>
  </w:style>
  <w:style w:type="paragraph" w:customStyle="1" w:styleId="Bullet">
    <w:name w:val="Bullet"/>
    <w:aliases w:val="b,Body,bullet,bu,B,b Char Char Char Char Char Char Char Char,b Char Char Char,b Char Char Char Char Char Char,b Char Char,Body Char1 Char1,b Char,A,Text,Block,First,Indent,Macro,Plain,ba,Body1,Bullet List (a,c),b Char Char Char Char Char,Body..."/>
    <w:basedOn w:val="Normal"/>
    <w:link w:val="BulletChar"/>
    <w:qFormat/>
    <w:rsid w:val="00E20B2B"/>
    <w:pPr>
      <w:numPr>
        <w:numId w:val="3"/>
      </w:numPr>
      <w:suppressAutoHyphens/>
    </w:pPr>
    <w:rPr>
      <w:rFonts w:eastAsia="Times New Roman" w:cs="Times New Roman"/>
      <w:szCs w:val="19"/>
      <w:lang w:eastAsia="en-AU"/>
    </w:rPr>
  </w:style>
  <w:style w:type="paragraph" w:customStyle="1" w:styleId="TableNheader">
    <w:name w:val="Table N header"/>
    <w:basedOn w:val="Heading5"/>
    <w:qFormat/>
    <w:rsid w:val="00294C7F"/>
    <w:pPr>
      <w:numPr>
        <w:ilvl w:val="0"/>
        <w:numId w:val="0"/>
      </w:numPr>
      <w:spacing w:before="40" w:after="40"/>
    </w:pPr>
    <w:rPr>
      <w:rFonts w:ascii="Segoe UI Semibold" w:hAnsi="Segoe UI Semibold"/>
      <w:b w:val="0"/>
      <w:color w:val="00264D" w:themeColor="background2"/>
      <w:sz w:val="18"/>
    </w:rPr>
  </w:style>
  <w:style w:type="paragraph" w:customStyle="1" w:styleId="TableNText">
    <w:name w:val="Table N Text"/>
    <w:basedOn w:val="TableNheader"/>
    <w:link w:val="TableNTextChar"/>
    <w:qFormat/>
    <w:rsid w:val="00294C7F"/>
    <w:rPr>
      <w:rFonts w:ascii="Segoe UI" w:hAnsi="Segoe UI"/>
      <w:color w:val="auto"/>
      <w:sz w:val="17"/>
    </w:rPr>
  </w:style>
  <w:style w:type="table" w:customStyle="1" w:styleId="NousTableStyletopandsideheading">
    <w:name w:val="Nous Table Style top and side heading"/>
    <w:basedOn w:val="TableNormal"/>
    <w:uiPriority w:val="99"/>
    <w:rsid w:val="000D4C32"/>
    <w:pPr>
      <w:spacing w:after="0" w:line="240" w:lineRule="auto"/>
    </w:pPr>
    <w:tblPr>
      <w:tblBorders>
        <w:insideH w:val="single" w:sz="8" w:space="0" w:color="F9F9F9"/>
      </w:tblBorders>
      <w:tblCellMar>
        <w:top w:w="57" w:type="dxa"/>
        <w:left w:w="85" w:type="dxa"/>
        <w:bottom w:w="57" w:type="dxa"/>
        <w:right w:w="85" w:type="dxa"/>
      </w:tblCellMar>
    </w:tblPr>
    <w:tblStylePr w:type="firstRow">
      <w:pPr>
        <w:jc w:val="left"/>
      </w:pPr>
      <w:rPr>
        <w:rFonts w:ascii="Cambria" w:hAnsi="Cambria"/>
        <w:b w:val="0"/>
        <w:color w:val="00264D" w:themeColor="background2"/>
        <w:sz w:val="18"/>
      </w:rPr>
      <w:tblPr/>
      <w:tcPr>
        <w:tcBorders>
          <w:top w:val="single" w:sz="24" w:space="0" w:color="F8981D" w:themeColor="accent3"/>
          <w:insideV w:val="single" w:sz="8" w:space="0" w:color="FFFFFF" w:themeColor="background1"/>
        </w:tcBorders>
        <w:shd w:val="clear" w:color="auto" w:fill="E6E6E1" w:themeFill="accent5"/>
      </w:tcPr>
    </w:tblStylePr>
    <w:tblStylePr w:type="firstCol">
      <w:pPr>
        <w:jc w:val="center"/>
      </w:pPr>
      <w:rPr>
        <w:rFonts w:ascii="Cambria" w:hAnsi="Cambria"/>
        <w:b w:val="0"/>
        <w:color w:val="00264D" w:themeColor="background2"/>
        <w:sz w:val="18"/>
      </w:rPr>
      <w:tblPr/>
      <w:tcPr>
        <w:tcBorders>
          <w:left w:val="nil"/>
        </w:tcBorders>
        <w:shd w:val="clear" w:color="auto" w:fill="E6E6E1" w:themeFill="accent5"/>
      </w:tcPr>
    </w:tblStylePr>
  </w:style>
  <w:style w:type="paragraph" w:styleId="Footer">
    <w:name w:val="footer"/>
    <w:aliases w:val="Foot note"/>
    <w:basedOn w:val="Normal"/>
    <w:link w:val="FooterChar"/>
    <w:uiPriority w:val="89"/>
    <w:unhideWhenUsed/>
    <w:qFormat/>
    <w:rsid w:val="003A6E30"/>
    <w:pPr>
      <w:tabs>
        <w:tab w:val="center" w:pos="4513"/>
        <w:tab w:val="right" w:pos="9026"/>
      </w:tabs>
      <w:spacing w:after="0" w:line="259" w:lineRule="auto"/>
    </w:pPr>
    <w:rPr>
      <w:sz w:val="15"/>
    </w:rPr>
  </w:style>
  <w:style w:type="character" w:customStyle="1" w:styleId="FooterChar">
    <w:name w:val="Footer Char"/>
    <w:aliases w:val="Foot note Char"/>
    <w:basedOn w:val="DefaultParagraphFont"/>
    <w:link w:val="Footer"/>
    <w:uiPriority w:val="89"/>
    <w:rsid w:val="003A6E30"/>
    <w:rPr>
      <w:rFonts w:ascii="Segoe UI" w:hAnsi="Segoe UI"/>
      <w:sz w:val="15"/>
      <w:lang w:val="en-AU"/>
    </w:rPr>
  </w:style>
  <w:style w:type="paragraph" w:styleId="Caption">
    <w:name w:val="caption"/>
    <w:basedOn w:val="Normal"/>
    <w:next w:val="Normal"/>
    <w:uiPriority w:val="35"/>
    <w:qFormat/>
    <w:rsid w:val="00C05A43"/>
    <w:pPr>
      <w:keepNext/>
      <w:spacing w:before="180" w:line="259" w:lineRule="auto"/>
    </w:pPr>
    <w:rPr>
      <w:rFonts w:ascii="Segoe UI Semibold" w:hAnsi="Segoe UI Semibold"/>
      <w:bCs/>
      <w:color w:val="00264D" w:themeColor="background2"/>
      <w:szCs w:val="18"/>
    </w:rPr>
  </w:style>
  <w:style w:type="paragraph" w:customStyle="1" w:styleId="TableNBullet">
    <w:name w:val="Table N Bullet"/>
    <w:basedOn w:val="Bullet"/>
    <w:link w:val="TableNBulletChar"/>
    <w:uiPriority w:val="2"/>
    <w:qFormat/>
    <w:rsid w:val="0073030E"/>
    <w:pPr>
      <w:numPr>
        <w:numId w:val="5"/>
      </w:numPr>
      <w:spacing w:before="40" w:after="40"/>
    </w:pPr>
    <w:rPr>
      <w:sz w:val="17"/>
    </w:rPr>
  </w:style>
  <w:style w:type="paragraph" w:customStyle="1" w:styleId="TableNListnumbered">
    <w:name w:val="Table N List (numbered)"/>
    <w:basedOn w:val="TableNBullet"/>
    <w:uiPriority w:val="2"/>
    <w:qFormat/>
    <w:rsid w:val="00865A27"/>
    <w:pPr>
      <w:numPr>
        <w:numId w:val="6"/>
      </w:numPr>
    </w:pPr>
  </w:style>
  <w:style w:type="paragraph" w:customStyle="1" w:styleId="xAppendixLevel1">
    <w:name w:val="xAppendix Level 1"/>
    <w:basedOn w:val="Heading1"/>
    <w:next w:val="Normal"/>
    <w:uiPriority w:val="98"/>
    <w:qFormat/>
    <w:rsid w:val="00365464"/>
    <w:pPr>
      <w:numPr>
        <w:numId w:val="1"/>
      </w:numPr>
      <w:ind w:left="2268"/>
      <w:jc w:val="both"/>
    </w:pPr>
    <w:rPr>
      <w:rFonts w:cs="Segoe UI"/>
      <w:bCs/>
      <w:color w:val="00264D" w:themeColor="background2"/>
      <w:szCs w:val="36"/>
    </w:rPr>
  </w:style>
  <w:style w:type="paragraph" w:customStyle="1" w:styleId="xAppendixLevel2">
    <w:name w:val="xAppendix Level 2"/>
    <w:basedOn w:val="Heading2"/>
    <w:next w:val="Normal"/>
    <w:uiPriority w:val="98"/>
    <w:qFormat/>
    <w:rsid w:val="002B5822"/>
    <w:pPr>
      <w:numPr>
        <w:numId w:val="2"/>
      </w:numPr>
    </w:pPr>
    <w:rPr>
      <w:bCs/>
      <w:sz w:val="34"/>
    </w:rPr>
  </w:style>
  <w:style w:type="paragraph" w:customStyle="1" w:styleId="xAppendixLevel3">
    <w:name w:val="xAppendix Level 3"/>
    <w:basedOn w:val="Heading3"/>
    <w:next w:val="Normal"/>
    <w:uiPriority w:val="98"/>
    <w:qFormat/>
    <w:rsid w:val="002B5822"/>
    <w:pPr>
      <w:numPr>
        <w:numId w:val="2"/>
      </w:numPr>
    </w:pPr>
    <w:rPr>
      <w:bCs/>
    </w:rPr>
  </w:style>
  <w:style w:type="paragraph" w:customStyle="1" w:styleId="Listnumbered">
    <w:name w:val="List (numbered)"/>
    <w:basedOn w:val="Normal"/>
    <w:uiPriority w:val="1"/>
    <w:qFormat/>
    <w:rsid w:val="00294C7F"/>
    <w:pPr>
      <w:numPr>
        <w:numId w:val="4"/>
      </w:numPr>
    </w:pPr>
  </w:style>
  <w:style w:type="paragraph" w:customStyle="1" w:styleId="Source">
    <w:name w:val="Source"/>
    <w:basedOn w:val="Normal"/>
    <w:next w:val="Normal"/>
    <w:link w:val="SourceChar"/>
    <w:rsid w:val="0020000D"/>
    <w:pPr>
      <w:spacing w:before="120" w:after="240"/>
      <w:jc w:val="center"/>
    </w:pPr>
    <w:rPr>
      <w:rFonts w:eastAsia="Times New Roman" w:cs="Times New Roman"/>
      <w:i/>
      <w:sz w:val="17"/>
      <w:szCs w:val="19"/>
      <w:lang w:eastAsia="en-AU"/>
    </w:rPr>
  </w:style>
  <w:style w:type="character" w:customStyle="1" w:styleId="SourceChar">
    <w:name w:val="Source Char"/>
    <w:basedOn w:val="DefaultParagraphFont"/>
    <w:link w:val="Source"/>
    <w:rsid w:val="0020000D"/>
    <w:rPr>
      <w:rFonts w:ascii="Segoe UI" w:eastAsia="Times New Roman" w:hAnsi="Segoe UI" w:cs="Times New Roman"/>
      <w:i/>
      <w:sz w:val="17"/>
      <w:szCs w:val="19"/>
      <w:lang w:val="en-AU" w:eastAsia="en-AU"/>
    </w:rPr>
  </w:style>
  <w:style w:type="paragraph" w:customStyle="1" w:styleId="TableExpBullet0">
    <w:name w:val="Table Exp Bullet"/>
    <w:basedOn w:val="TableNBullet"/>
    <w:uiPriority w:val="3"/>
    <w:qFormat/>
    <w:rsid w:val="00865A27"/>
  </w:style>
  <w:style w:type="paragraph" w:customStyle="1" w:styleId="Tableexpheader">
    <w:name w:val="Table exp header"/>
    <w:basedOn w:val="TableNheader"/>
    <w:uiPriority w:val="3"/>
    <w:qFormat/>
    <w:rsid w:val="0029320C"/>
    <w:rPr>
      <w:sz w:val="17"/>
    </w:rPr>
  </w:style>
  <w:style w:type="paragraph" w:customStyle="1" w:styleId="TableexpListnumbered">
    <w:name w:val="Table exp List (numbered)"/>
    <w:basedOn w:val="TableNListnumbered"/>
    <w:uiPriority w:val="3"/>
    <w:qFormat/>
    <w:rsid w:val="0029320C"/>
    <w:rPr>
      <w:sz w:val="16"/>
    </w:rPr>
  </w:style>
  <w:style w:type="paragraph" w:customStyle="1" w:styleId="TableExpText">
    <w:name w:val="Table Exp Text"/>
    <w:basedOn w:val="TableNText"/>
    <w:uiPriority w:val="3"/>
    <w:qFormat/>
    <w:rsid w:val="0029320C"/>
    <w:rPr>
      <w:sz w:val="16"/>
    </w:rPr>
  </w:style>
  <w:style w:type="character" w:customStyle="1" w:styleId="Heading7Char">
    <w:name w:val="Heading 7 Char"/>
    <w:basedOn w:val="DefaultParagraphFont"/>
    <w:link w:val="Heading7"/>
    <w:uiPriority w:val="19"/>
    <w:semiHidden/>
    <w:rsid w:val="000137FA"/>
    <w:rPr>
      <w:rFonts w:ascii="Segoe UI" w:eastAsiaTheme="majorEastAsia" w:hAnsi="Segoe UI" w:cstheme="majorBidi"/>
      <w:i/>
      <w:iCs/>
      <w:color w:val="404040" w:themeColor="text1" w:themeTint="BF"/>
      <w:sz w:val="19"/>
    </w:rPr>
  </w:style>
  <w:style w:type="paragraph" w:customStyle="1" w:styleId="TableText">
    <w:name w:val="Table Text"/>
    <w:link w:val="TableTextChar"/>
    <w:uiPriority w:val="2"/>
    <w:rsid w:val="00653916"/>
    <w:pPr>
      <w:spacing w:before="40" w:after="40" w:line="240" w:lineRule="auto"/>
    </w:pPr>
    <w:rPr>
      <w:rFonts w:ascii="Segoe UI" w:eastAsia="Times New Roman" w:hAnsi="Segoe UI" w:cs="Times New Roman"/>
      <w:sz w:val="17"/>
      <w:szCs w:val="19"/>
      <w:lang w:val="en-AU" w:eastAsia="en-AU"/>
    </w:rPr>
  </w:style>
  <w:style w:type="paragraph" w:customStyle="1" w:styleId="Tablecolumnheading">
    <w:name w:val="Table column heading"/>
    <w:basedOn w:val="Normal"/>
    <w:link w:val="TablecolumnheadingChar"/>
    <w:uiPriority w:val="2"/>
    <w:rsid w:val="00653916"/>
    <w:pPr>
      <w:keepNext/>
      <w:spacing w:before="40" w:after="40"/>
    </w:pPr>
    <w:rPr>
      <w:rFonts w:ascii="Segoe UI Semibold" w:eastAsia="Times New Roman" w:hAnsi="Segoe UI Semibold" w:cs="Times New Roman"/>
      <w:color w:val="00264D"/>
      <w:sz w:val="18"/>
      <w:szCs w:val="17"/>
      <w:lang w:eastAsia="en-AU"/>
    </w:rPr>
  </w:style>
  <w:style w:type="character" w:customStyle="1" w:styleId="TableTextChar">
    <w:name w:val="Table Text Char"/>
    <w:basedOn w:val="DefaultParagraphFont"/>
    <w:link w:val="TableText"/>
    <w:uiPriority w:val="2"/>
    <w:rsid w:val="00865A27"/>
    <w:rPr>
      <w:rFonts w:ascii="Segoe UI" w:eastAsia="Times New Roman" w:hAnsi="Segoe UI" w:cs="Times New Roman"/>
      <w:sz w:val="17"/>
      <w:szCs w:val="19"/>
      <w:lang w:val="en-AU" w:eastAsia="en-AU"/>
    </w:rPr>
  </w:style>
  <w:style w:type="character" w:customStyle="1" w:styleId="TablecolumnheadingChar">
    <w:name w:val="Table column heading Char"/>
    <w:basedOn w:val="DefaultParagraphFont"/>
    <w:link w:val="Tablecolumnheading"/>
    <w:uiPriority w:val="2"/>
    <w:rsid w:val="00865A27"/>
    <w:rPr>
      <w:rFonts w:ascii="Segoe UI Semibold" w:eastAsia="Times New Roman" w:hAnsi="Segoe UI Semibold" w:cs="Times New Roman"/>
      <w:color w:val="00264D"/>
      <w:sz w:val="18"/>
      <w:szCs w:val="17"/>
      <w:lang w:val="en-AU" w:eastAsia="en-AU"/>
    </w:rPr>
  </w:style>
  <w:style w:type="table" w:customStyle="1" w:styleId="Style1">
    <w:name w:val="Style1"/>
    <w:basedOn w:val="TableNormal"/>
    <w:uiPriority w:val="99"/>
    <w:rsid w:val="00653916"/>
    <w:pPr>
      <w:spacing w:after="0" w:line="240" w:lineRule="auto"/>
    </w:pPr>
    <w:tblPr/>
    <w:tcPr>
      <w:shd w:val="clear" w:color="auto" w:fill="E6E6E1" w:themeFill="accent5"/>
    </w:tcPr>
  </w:style>
  <w:style w:type="paragraph" w:styleId="BalloonText">
    <w:name w:val="Balloon Text"/>
    <w:basedOn w:val="Normal"/>
    <w:link w:val="BalloonTextChar"/>
    <w:uiPriority w:val="99"/>
    <w:semiHidden/>
    <w:unhideWhenUsed/>
    <w:rsid w:val="00037C0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C03"/>
    <w:rPr>
      <w:rFonts w:ascii="Tahoma" w:hAnsi="Tahoma" w:cs="Tahoma"/>
      <w:sz w:val="16"/>
      <w:szCs w:val="16"/>
    </w:rPr>
  </w:style>
  <w:style w:type="paragraph" w:customStyle="1" w:styleId="URL-groupcomau">
    <w:name w:val="URL - group.com.au"/>
    <w:basedOn w:val="Normal"/>
    <w:link w:val="URL-groupcomauChar"/>
    <w:uiPriority w:val="89"/>
    <w:semiHidden/>
    <w:qFormat/>
    <w:rsid w:val="00FD4AB1"/>
    <w:pPr>
      <w:spacing w:after="0"/>
    </w:pPr>
    <w:rPr>
      <w:rFonts w:eastAsia="Times New Roman" w:cs="Times New Roman"/>
      <w:color w:val="2E368F" w:themeColor="text2"/>
      <w:spacing w:val="20"/>
      <w:sz w:val="14"/>
      <w:szCs w:val="19"/>
      <w:lang w:eastAsia="en-AU"/>
    </w:rPr>
  </w:style>
  <w:style w:type="character" w:customStyle="1" w:styleId="URL-groupcomauChar">
    <w:name w:val="URL - group.com.au Char"/>
    <w:basedOn w:val="DefaultParagraphFont"/>
    <w:link w:val="URL-groupcomau"/>
    <w:uiPriority w:val="89"/>
    <w:semiHidden/>
    <w:rsid w:val="00FD4AB1"/>
    <w:rPr>
      <w:rFonts w:ascii="Segoe UI" w:eastAsia="Times New Roman" w:hAnsi="Segoe UI" w:cs="Times New Roman"/>
      <w:color w:val="2E368F" w:themeColor="text2"/>
      <w:spacing w:val="20"/>
      <w:sz w:val="14"/>
      <w:szCs w:val="19"/>
      <w:lang w:val="en-AU" w:eastAsia="en-AU"/>
    </w:rPr>
  </w:style>
  <w:style w:type="paragraph" w:customStyle="1" w:styleId="URL-nous">
    <w:name w:val="URL - nous"/>
    <w:basedOn w:val="Normal"/>
    <w:link w:val="URL-nousChar"/>
    <w:uiPriority w:val="89"/>
    <w:semiHidden/>
    <w:qFormat/>
    <w:rsid w:val="00FD4AB1"/>
    <w:pPr>
      <w:spacing w:after="0"/>
    </w:pPr>
    <w:rPr>
      <w:rFonts w:eastAsia="Times New Roman" w:cs="Times New Roman"/>
      <w:color w:val="FF3A40" w:themeColor="accent1"/>
      <w:spacing w:val="20"/>
      <w:sz w:val="14"/>
      <w:szCs w:val="19"/>
      <w:lang w:eastAsia="en-AU"/>
    </w:rPr>
  </w:style>
  <w:style w:type="character" w:customStyle="1" w:styleId="URL-nousChar">
    <w:name w:val="URL - nous Char"/>
    <w:basedOn w:val="DefaultParagraphFont"/>
    <w:link w:val="URL-nous"/>
    <w:uiPriority w:val="89"/>
    <w:semiHidden/>
    <w:rsid w:val="00FD4AB1"/>
    <w:rPr>
      <w:rFonts w:ascii="Segoe UI" w:eastAsia="Times New Roman" w:hAnsi="Segoe UI" w:cs="Times New Roman"/>
      <w:color w:val="FF3A40" w:themeColor="accent1"/>
      <w:spacing w:val="20"/>
      <w:sz w:val="14"/>
      <w:szCs w:val="19"/>
      <w:lang w:val="en-AU" w:eastAsia="en-AU"/>
    </w:rPr>
  </w:style>
  <w:style w:type="paragraph" w:customStyle="1" w:styleId="ContentsHeading">
    <w:name w:val="Contents Heading"/>
    <w:basedOn w:val="Normal"/>
    <w:uiPriority w:val="19"/>
    <w:rsid w:val="00CF7BA0"/>
    <w:pPr>
      <w:spacing w:before="360" w:after="600"/>
    </w:pPr>
    <w:rPr>
      <w:rFonts w:eastAsia="Times New Roman" w:cs="Segoe UI"/>
      <w:b/>
      <w:color w:val="00264D"/>
      <w:sz w:val="36"/>
      <w:szCs w:val="36"/>
      <w:lang w:eastAsia="en-AU"/>
    </w:rPr>
  </w:style>
  <w:style w:type="character" w:customStyle="1" w:styleId="BulletChar">
    <w:name w:val="Bullet Char"/>
    <w:aliases w:val="List Paragraph Char,Bulletr List Paragraph Char,Use Case List Paragraph Char,lp1 Char,Figure_name Char,List Paragraph1 Char,Numbered Indented Text Char,Bullet- First level Char,List NUmber Char,Listenabsatz1 Char,List Paragraph11 Char,L Char"/>
    <w:basedOn w:val="DefaultParagraphFont"/>
    <w:link w:val="Bullet"/>
    <w:qFormat/>
    <w:rsid w:val="00E20B2B"/>
    <w:rPr>
      <w:rFonts w:ascii="Segoe UI" w:eastAsia="Times New Roman" w:hAnsi="Segoe UI" w:cs="Times New Roman"/>
      <w:sz w:val="19"/>
      <w:szCs w:val="19"/>
      <w:lang w:val="en-AU" w:eastAsia="en-AU"/>
    </w:rPr>
  </w:style>
  <w:style w:type="paragraph" w:customStyle="1" w:styleId="Sectiondividerheading">
    <w:name w:val="Section divider heading"/>
    <w:basedOn w:val="Normal"/>
    <w:link w:val="SectiondividerheadingChar"/>
    <w:uiPriority w:val="99"/>
    <w:rsid w:val="00A10340"/>
    <w:pPr>
      <w:spacing w:after="0"/>
    </w:pPr>
    <w:rPr>
      <w:rFonts w:eastAsia="Source Sans Pro" w:cs="Segoe UI"/>
      <w:b/>
      <w:bCs/>
      <w:color w:val="F8981D"/>
      <w:sz w:val="56"/>
      <w:szCs w:val="56"/>
      <w:lang w:eastAsia="en-AU"/>
    </w:rPr>
  </w:style>
  <w:style w:type="character" w:customStyle="1" w:styleId="SectiondividerheadingChar">
    <w:name w:val="Section divider heading Char"/>
    <w:basedOn w:val="DefaultParagraphFont"/>
    <w:link w:val="Sectiondividerheading"/>
    <w:uiPriority w:val="99"/>
    <w:rsid w:val="00865A27"/>
    <w:rPr>
      <w:rFonts w:ascii="Segoe UI" w:eastAsia="Source Sans Pro" w:hAnsi="Segoe UI" w:cs="Segoe UI"/>
      <w:b/>
      <w:bCs/>
      <w:color w:val="F8981D"/>
      <w:sz w:val="56"/>
      <w:szCs w:val="56"/>
      <w:lang w:val="en-AU" w:eastAsia="en-AU"/>
    </w:rPr>
  </w:style>
  <w:style w:type="paragraph" w:styleId="TOC2">
    <w:name w:val="toc 2"/>
    <w:basedOn w:val="Normal"/>
    <w:next w:val="Normal"/>
    <w:autoRedefine/>
    <w:uiPriority w:val="39"/>
    <w:unhideWhenUsed/>
    <w:qFormat/>
    <w:rsid w:val="00C05A43"/>
    <w:pPr>
      <w:tabs>
        <w:tab w:val="left" w:pos="851"/>
        <w:tab w:val="right" w:leader="dot" w:pos="9185"/>
      </w:tabs>
      <w:spacing w:after="100"/>
      <w:ind w:left="850" w:hanging="425"/>
    </w:pPr>
  </w:style>
  <w:style w:type="paragraph" w:styleId="TOC1">
    <w:name w:val="toc 1"/>
    <w:basedOn w:val="Normal"/>
    <w:next w:val="Normal"/>
    <w:autoRedefine/>
    <w:uiPriority w:val="39"/>
    <w:unhideWhenUsed/>
    <w:qFormat/>
    <w:rsid w:val="002753F2"/>
    <w:pPr>
      <w:tabs>
        <w:tab w:val="left" w:pos="426"/>
        <w:tab w:val="left" w:pos="1134"/>
        <w:tab w:val="right" w:leader="dot" w:pos="9185"/>
      </w:tabs>
      <w:spacing w:before="180" w:after="100"/>
      <w:ind w:left="425" w:hanging="425"/>
    </w:pPr>
    <w:rPr>
      <w:rFonts w:ascii="Segoe UI Semibold" w:hAnsi="Segoe UI Semibold"/>
      <w:noProof/>
    </w:rPr>
  </w:style>
  <w:style w:type="character" w:styleId="Hyperlink">
    <w:name w:val="Hyperlink"/>
    <w:basedOn w:val="DefaultParagraphFont"/>
    <w:uiPriority w:val="99"/>
    <w:unhideWhenUsed/>
    <w:rsid w:val="008A4363"/>
    <w:rPr>
      <w:color w:val="0048C7" w:themeColor="hyperlink"/>
      <w:u w:val="single"/>
    </w:rPr>
  </w:style>
  <w:style w:type="table" w:styleId="TableGrid">
    <w:name w:val="Table Grid"/>
    <w:aliases w:val="Nous Table,Table"/>
    <w:basedOn w:val="TableNormal"/>
    <w:uiPriority w:val="99"/>
    <w:rsid w:val="00547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071DFF"/>
    <w:pPr>
      <w:spacing w:after="0" w:line="240" w:lineRule="auto"/>
    </w:pPr>
    <w:tblPr>
      <w:tblStyleRowBandSize w:val="1"/>
      <w:tblStyleColBandSize w:val="1"/>
      <w:tblBorders>
        <w:top w:val="single" w:sz="8" w:space="0" w:color="E6E6E1" w:themeColor="accent5"/>
        <w:left w:val="single" w:sz="8" w:space="0" w:color="E6E6E1" w:themeColor="accent5"/>
        <w:bottom w:val="single" w:sz="8" w:space="0" w:color="E6E6E1" w:themeColor="accent5"/>
        <w:right w:val="single" w:sz="8" w:space="0" w:color="E6E6E1" w:themeColor="accent5"/>
        <w:insideH w:val="single" w:sz="8" w:space="0" w:color="E6E6E1" w:themeColor="accent5"/>
        <w:insideV w:val="single" w:sz="8" w:space="0" w:color="E6E6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E6E1" w:themeColor="accent5"/>
          <w:left w:val="single" w:sz="8" w:space="0" w:color="E6E6E1" w:themeColor="accent5"/>
          <w:bottom w:val="single" w:sz="18" w:space="0" w:color="E6E6E1" w:themeColor="accent5"/>
          <w:right w:val="single" w:sz="8" w:space="0" w:color="E6E6E1" w:themeColor="accent5"/>
          <w:insideH w:val="nil"/>
          <w:insideV w:val="single" w:sz="8" w:space="0" w:color="E6E6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1" w:themeColor="accent5"/>
          <w:left w:val="single" w:sz="8" w:space="0" w:color="E6E6E1" w:themeColor="accent5"/>
          <w:bottom w:val="single" w:sz="8" w:space="0" w:color="E6E6E1" w:themeColor="accent5"/>
          <w:right w:val="single" w:sz="8" w:space="0" w:color="E6E6E1" w:themeColor="accent5"/>
          <w:insideH w:val="nil"/>
          <w:insideV w:val="single" w:sz="8" w:space="0" w:color="E6E6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tcPr>
    </w:tblStylePr>
    <w:tblStylePr w:type="band1Vert">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shd w:val="clear" w:color="auto" w:fill="F8F8F7" w:themeFill="accent5" w:themeFillTint="3F"/>
      </w:tcPr>
    </w:tblStylePr>
    <w:tblStylePr w:type="band1Horz">
      <w:tblPr/>
      <w:tcPr>
        <w:tcBorders>
          <w:top w:val="single" w:sz="8" w:space="0" w:color="E6E6E1" w:themeColor="accent5"/>
          <w:left w:val="single" w:sz="8" w:space="0" w:color="E6E6E1" w:themeColor="accent5"/>
          <w:bottom w:val="single" w:sz="8" w:space="0" w:color="E6E6E1" w:themeColor="accent5"/>
          <w:right w:val="single" w:sz="8" w:space="0" w:color="E6E6E1" w:themeColor="accent5"/>
          <w:insideV w:val="single" w:sz="8" w:space="0" w:color="E6E6E1" w:themeColor="accent5"/>
        </w:tcBorders>
        <w:shd w:val="clear" w:color="auto" w:fill="F8F8F7" w:themeFill="accent5" w:themeFillTint="3F"/>
      </w:tcPr>
    </w:tblStylePr>
    <w:tblStylePr w:type="band2Horz">
      <w:tblPr/>
      <w:tcPr>
        <w:tcBorders>
          <w:top w:val="single" w:sz="8" w:space="0" w:color="E6E6E1" w:themeColor="accent5"/>
          <w:left w:val="single" w:sz="8" w:space="0" w:color="E6E6E1" w:themeColor="accent5"/>
          <w:bottom w:val="single" w:sz="8" w:space="0" w:color="E6E6E1" w:themeColor="accent5"/>
          <w:right w:val="single" w:sz="8" w:space="0" w:color="E6E6E1" w:themeColor="accent5"/>
          <w:insideV w:val="single" w:sz="8" w:space="0" w:color="E6E6E1" w:themeColor="accent5"/>
        </w:tcBorders>
      </w:tcPr>
    </w:tblStylePr>
  </w:style>
  <w:style w:type="table" w:styleId="LightList-Accent5">
    <w:name w:val="Light List Accent 5"/>
    <w:basedOn w:val="TableNormal"/>
    <w:uiPriority w:val="61"/>
    <w:rsid w:val="00071DFF"/>
    <w:pPr>
      <w:spacing w:after="0" w:line="240" w:lineRule="auto"/>
    </w:pPr>
    <w:tblPr>
      <w:tblStyleRowBandSize w:val="1"/>
      <w:tblStyleColBandSize w:val="1"/>
      <w:tblBorders>
        <w:top w:val="single" w:sz="8" w:space="0" w:color="E6E6E1" w:themeColor="accent5"/>
        <w:left w:val="single" w:sz="8" w:space="0" w:color="E6E6E1" w:themeColor="accent5"/>
        <w:bottom w:val="single" w:sz="8" w:space="0" w:color="E6E6E1" w:themeColor="accent5"/>
        <w:right w:val="single" w:sz="8" w:space="0" w:color="E6E6E1" w:themeColor="accent5"/>
      </w:tblBorders>
    </w:tblPr>
    <w:tblStylePr w:type="firstRow">
      <w:pPr>
        <w:spacing w:before="0" w:after="0" w:line="240" w:lineRule="auto"/>
      </w:pPr>
      <w:rPr>
        <w:b/>
        <w:bCs/>
        <w:color w:val="FFFFFF" w:themeColor="background1"/>
      </w:rPr>
      <w:tblPr/>
      <w:tcPr>
        <w:shd w:val="clear" w:color="auto" w:fill="E6E6E1" w:themeFill="accent5"/>
      </w:tcPr>
    </w:tblStylePr>
    <w:tblStylePr w:type="lastRow">
      <w:pPr>
        <w:spacing w:before="0" w:after="0" w:line="240" w:lineRule="auto"/>
      </w:pPr>
      <w:rPr>
        <w:b/>
        <w:bCs/>
      </w:rPr>
      <w:tblPr/>
      <w:tcPr>
        <w:tcBorders>
          <w:top w:val="double" w:sz="6" w:space="0" w:color="E6E6E1" w:themeColor="accent5"/>
          <w:left w:val="single" w:sz="8" w:space="0" w:color="E6E6E1" w:themeColor="accent5"/>
          <w:bottom w:val="single" w:sz="8" w:space="0" w:color="E6E6E1" w:themeColor="accent5"/>
          <w:right w:val="single" w:sz="8" w:space="0" w:color="E6E6E1" w:themeColor="accent5"/>
        </w:tcBorders>
      </w:tcPr>
    </w:tblStylePr>
    <w:tblStylePr w:type="firstCol">
      <w:rPr>
        <w:b/>
        <w:bCs/>
      </w:rPr>
    </w:tblStylePr>
    <w:tblStylePr w:type="lastCol">
      <w:rPr>
        <w:b/>
        <w:bCs/>
      </w:rPr>
    </w:tblStylePr>
    <w:tblStylePr w:type="band1Vert">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tcPr>
    </w:tblStylePr>
    <w:tblStylePr w:type="band1Horz">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tcPr>
    </w:tblStylePr>
  </w:style>
  <w:style w:type="table" w:styleId="MediumShading1-Accent5">
    <w:name w:val="Medium Shading 1 Accent 5"/>
    <w:basedOn w:val="TableNormal"/>
    <w:uiPriority w:val="63"/>
    <w:rsid w:val="00071DFF"/>
    <w:pPr>
      <w:spacing w:after="0" w:line="240" w:lineRule="auto"/>
    </w:pPr>
    <w:tblPr>
      <w:tblStyleRowBandSize w:val="1"/>
      <w:tblStyleColBandSize w:val="1"/>
      <w:tblBorders>
        <w:top w:val="single" w:sz="8" w:space="0" w:color="ECECE8" w:themeColor="accent5" w:themeTint="BF"/>
        <w:left w:val="single" w:sz="8" w:space="0" w:color="ECECE8" w:themeColor="accent5" w:themeTint="BF"/>
        <w:bottom w:val="single" w:sz="8" w:space="0" w:color="ECECE8" w:themeColor="accent5" w:themeTint="BF"/>
        <w:right w:val="single" w:sz="8" w:space="0" w:color="ECECE8" w:themeColor="accent5" w:themeTint="BF"/>
        <w:insideH w:val="single" w:sz="8" w:space="0" w:color="ECECE8" w:themeColor="accent5" w:themeTint="BF"/>
      </w:tblBorders>
    </w:tblPr>
    <w:tblStylePr w:type="firstRow">
      <w:pPr>
        <w:spacing w:before="0" w:after="0" w:line="240" w:lineRule="auto"/>
      </w:pPr>
      <w:rPr>
        <w:b/>
        <w:bCs/>
        <w:color w:val="FFFFFF" w:themeColor="background1"/>
      </w:rPr>
      <w:tblPr/>
      <w:tcPr>
        <w:tcBorders>
          <w:top w:val="single" w:sz="8" w:space="0" w:color="ECECE8" w:themeColor="accent5" w:themeTint="BF"/>
          <w:left w:val="single" w:sz="8" w:space="0" w:color="ECECE8" w:themeColor="accent5" w:themeTint="BF"/>
          <w:bottom w:val="single" w:sz="8" w:space="0" w:color="ECECE8" w:themeColor="accent5" w:themeTint="BF"/>
          <w:right w:val="single" w:sz="8" w:space="0" w:color="ECECE8" w:themeColor="accent5" w:themeTint="BF"/>
          <w:insideH w:val="nil"/>
          <w:insideV w:val="nil"/>
        </w:tcBorders>
        <w:shd w:val="clear" w:color="auto" w:fill="E6E6E1" w:themeFill="accent5"/>
      </w:tcPr>
    </w:tblStylePr>
    <w:tblStylePr w:type="lastRow">
      <w:pPr>
        <w:spacing w:before="0" w:after="0" w:line="240" w:lineRule="auto"/>
      </w:pPr>
      <w:rPr>
        <w:b/>
        <w:bCs/>
      </w:rPr>
      <w:tblPr/>
      <w:tcPr>
        <w:tcBorders>
          <w:top w:val="double" w:sz="6" w:space="0" w:color="ECECE8" w:themeColor="accent5" w:themeTint="BF"/>
          <w:left w:val="single" w:sz="8" w:space="0" w:color="ECECE8" w:themeColor="accent5" w:themeTint="BF"/>
          <w:bottom w:val="single" w:sz="8" w:space="0" w:color="ECECE8" w:themeColor="accent5" w:themeTint="BF"/>
          <w:right w:val="single" w:sz="8" w:space="0" w:color="ECEC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8F7" w:themeFill="accent5" w:themeFillTint="3F"/>
      </w:tcPr>
    </w:tblStylePr>
    <w:tblStylePr w:type="band1Horz">
      <w:tblPr/>
      <w:tcPr>
        <w:tcBorders>
          <w:insideH w:val="nil"/>
          <w:insideV w:val="nil"/>
        </w:tcBorders>
        <w:shd w:val="clear" w:color="auto" w:fill="F8F8F7" w:themeFill="accent5" w:themeFillTint="3F"/>
      </w:tcPr>
    </w:tblStylePr>
    <w:tblStylePr w:type="band2Horz">
      <w:tblPr/>
      <w:tcPr>
        <w:tcBorders>
          <w:insideH w:val="nil"/>
          <w:insideV w:val="nil"/>
        </w:tcBorders>
      </w:tcPr>
    </w:tblStylePr>
  </w:style>
  <w:style w:type="character" w:customStyle="1" w:styleId="TableNBulletChar">
    <w:name w:val="Table N Bullet Char"/>
    <w:basedOn w:val="DefaultParagraphFont"/>
    <w:link w:val="TableNBullet"/>
    <w:uiPriority w:val="2"/>
    <w:rsid w:val="0073030E"/>
    <w:rPr>
      <w:rFonts w:ascii="Segoe UI" w:eastAsia="Times New Roman" w:hAnsi="Segoe UI" w:cs="Times New Roman"/>
      <w:sz w:val="17"/>
      <w:szCs w:val="19"/>
      <w:lang w:val="en-AU" w:eastAsia="en-AU"/>
    </w:rPr>
  </w:style>
  <w:style w:type="table" w:customStyle="1" w:styleId="NOUSSideHeader">
    <w:name w:val="NOUS Side Header"/>
    <w:basedOn w:val="TableNormal"/>
    <w:uiPriority w:val="99"/>
    <w:rsid w:val="000D4C32"/>
    <w:pPr>
      <w:spacing w:after="0" w:line="240" w:lineRule="auto"/>
      <w:ind w:left="57"/>
    </w:pPr>
    <w:rPr>
      <w:rFonts w:ascii="Segoe UI" w:hAnsi="Segoe UI"/>
      <w:sz w:val="17"/>
    </w:rPr>
    <w:tblPr>
      <w:tblBorders>
        <w:insideH w:val="single" w:sz="8" w:space="0" w:color="E6E6E1" w:themeColor="accent5"/>
      </w:tblBorders>
      <w:tblCellMar>
        <w:top w:w="57" w:type="dxa"/>
        <w:left w:w="85" w:type="dxa"/>
        <w:bottom w:w="57" w:type="dxa"/>
        <w:right w:w="85" w:type="dxa"/>
      </w:tblCellMar>
    </w:tblPr>
    <w:tblStylePr w:type="firstCol">
      <w:pPr>
        <w:wordWrap/>
        <w:jc w:val="center"/>
      </w:pPr>
      <w:rPr>
        <w:rFonts w:ascii="Cambria" w:hAnsi="Cambria"/>
        <w:b w:val="0"/>
        <w:color w:val="00264D" w:themeColor="background2"/>
        <w:sz w:val="18"/>
      </w:rPr>
      <w:tblPr/>
      <w:tcPr>
        <w:tcBorders>
          <w:top w:val="nil"/>
          <w:left w:val="single" w:sz="24" w:space="0" w:color="F8981D" w:themeColor="accent3"/>
          <w:bottom w:val="nil"/>
          <w:right w:val="nil"/>
          <w:insideH w:val="nil"/>
          <w:insideV w:val="nil"/>
          <w:tl2br w:val="nil"/>
          <w:tr2bl w:val="nil"/>
        </w:tcBorders>
        <w:shd w:val="clear" w:color="auto" w:fill="E6E6E1" w:themeFill="accent5"/>
      </w:tcPr>
    </w:tblStylePr>
  </w:style>
  <w:style w:type="table" w:customStyle="1" w:styleId="NOUS">
    <w:name w:val="NOUS"/>
    <w:basedOn w:val="TableNormal"/>
    <w:uiPriority w:val="99"/>
    <w:rsid w:val="000D4C32"/>
    <w:pPr>
      <w:spacing w:after="0" w:line="240" w:lineRule="auto"/>
    </w:pPr>
    <w:rPr>
      <w:rFonts w:ascii="Segoe UI" w:hAnsi="Segoe UI"/>
      <w:sz w:val="17"/>
    </w:rPr>
    <w:tblPr>
      <w:tblBorders>
        <w:bottom w:val="single" w:sz="8" w:space="0" w:color="E6E6E1" w:themeColor="accent5"/>
        <w:insideH w:val="single" w:sz="8" w:space="0" w:color="E6E6E1" w:themeColor="accent5"/>
      </w:tblBorders>
      <w:tblCellMar>
        <w:top w:w="57" w:type="dxa"/>
        <w:left w:w="85" w:type="dxa"/>
        <w:bottom w:w="57" w:type="dxa"/>
        <w:right w:w="85" w:type="dxa"/>
      </w:tblCellMar>
    </w:tblPr>
    <w:tblStylePr w:type="firstRow">
      <w:rPr>
        <w:rFonts w:ascii="Cambria" w:hAnsi="Cambria"/>
        <w:b w:val="0"/>
        <w:color w:val="00264D" w:themeColor="background2"/>
        <w:sz w:val="18"/>
      </w:rPr>
      <w:tblPr/>
      <w:trPr>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style>
  <w:style w:type="character" w:customStyle="1" w:styleId="Heading8Char">
    <w:name w:val="Heading 8 Char"/>
    <w:basedOn w:val="DefaultParagraphFont"/>
    <w:link w:val="Heading8"/>
    <w:uiPriority w:val="19"/>
    <w:semiHidden/>
    <w:rsid w:val="000137FA"/>
    <w:rPr>
      <w:rFonts w:ascii="Segoe UI" w:eastAsiaTheme="majorEastAsia" w:hAnsi="Segoe UI" w:cstheme="majorBidi"/>
      <w:color w:val="404040" w:themeColor="text1" w:themeTint="BF"/>
      <w:sz w:val="20"/>
      <w:szCs w:val="20"/>
    </w:rPr>
  </w:style>
  <w:style w:type="paragraph" w:customStyle="1" w:styleId="Covertitle">
    <w:name w:val="Cover title"/>
    <w:basedOn w:val="Normal"/>
    <w:link w:val="CovertitleChar"/>
    <w:uiPriority w:val="99"/>
    <w:semiHidden/>
    <w:rsid w:val="00865A27"/>
    <w:pPr>
      <w:suppressAutoHyphens/>
      <w:spacing w:after="0" w:line="720" w:lineRule="exact"/>
    </w:pPr>
    <w:rPr>
      <w:rFonts w:eastAsia="Times New Roman" w:cs="Times New Roman"/>
      <w:color w:val="2E368F" w:themeColor="text2"/>
      <w:sz w:val="84"/>
      <w:szCs w:val="19"/>
      <w:lang w:eastAsia="en-AU"/>
    </w:rPr>
  </w:style>
  <w:style w:type="character" w:customStyle="1" w:styleId="CovertitleChar">
    <w:name w:val="Cover title Char"/>
    <w:basedOn w:val="DefaultParagraphFont"/>
    <w:link w:val="Covertitle"/>
    <w:uiPriority w:val="99"/>
    <w:semiHidden/>
    <w:rsid w:val="00865A27"/>
    <w:rPr>
      <w:rFonts w:ascii="Segoe UI" w:eastAsia="Times New Roman" w:hAnsi="Segoe UI" w:cs="Times New Roman"/>
      <w:color w:val="2E368F" w:themeColor="text2"/>
      <w:sz w:val="84"/>
      <w:szCs w:val="19"/>
      <w:lang w:val="en-AU" w:eastAsia="en-AU"/>
    </w:rPr>
  </w:style>
  <w:style w:type="paragraph" w:customStyle="1" w:styleId="CoverPage-Client">
    <w:name w:val="Cover Page - Client"/>
    <w:basedOn w:val="Normal"/>
    <w:link w:val="CoverPage-ClientChar"/>
    <w:uiPriority w:val="99"/>
    <w:semiHidden/>
    <w:rsid w:val="00865A27"/>
    <w:pPr>
      <w:suppressAutoHyphens/>
      <w:spacing w:before="480" w:after="0" w:line="380" w:lineRule="exact"/>
    </w:pPr>
    <w:rPr>
      <w:rFonts w:eastAsia="Times New Roman" w:cs="Times New Roman"/>
      <w:color w:val="2E368F" w:themeColor="text2"/>
      <w:sz w:val="36"/>
      <w:szCs w:val="19"/>
      <w:lang w:eastAsia="en-AU"/>
    </w:rPr>
  </w:style>
  <w:style w:type="character" w:customStyle="1" w:styleId="CoverPage-ClientChar">
    <w:name w:val="Cover Page - Client Char"/>
    <w:basedOn w:val="DefaultParagraphFont"/>
    <w:link w:val="CoverPage-Client"/>
    <w:uiPriority w:val="99"/>
    <w:semiHidden/>
    <w:rsid w:val="00865A27"/>
    <w:rPr>
      <w:rFonts w:ascii="Segoe UI" w:eastAsia="Times New Roman" w:hAnsi="Segoe UI" w:cs="Times New Roman"/>
      <w:color w:val="2E368F" w:themeColor="text2"/>
      <w:sz w:val="36"/>
      <w:szCs w:val="19"/>
      <w:lang w:val="en-AU" w:eastAsia="en-AU"/>
    </w:rPr>
  </w:style>
  <w:style w:type="paragraph" w:customStyle="1" w:styleId="CoverPage-Date">
    <w:name w:val="Cover Page - Date"/>
    <w:basedOn w:val="Normal"/>
    <w:link w:val="CoverPage-DateChar"/>
    <w:uiPriority w:val="99"/>
    <w:semiHidden/>
    <w:rsid w:val="00865A27"/>
    <w:pPr>
      <w:suppressAutoHyphens/>
      <w:spacing w:before="320" w:after="0" w:line="280" w:lineRule="exact"/>
    </w:pPr>
    <w:rPr>
      <w:rFonts w:eastAsia="Times New Roman" w:cs="Times New Roman"/>
      <w:color w:val="00264D" w:themeColor="background2"/>
      <w:sz w:val="24"/>
      <w:szCs w:val="19"/>
      <w:lang w:eastAsia="en-AU"/>
    </w:rPr>
  </w:style>
  <w:style w:type="character" w:customStyle="1" w:styleId="CoverPage-DateChar">
    <w:name w:val="Cover Page - Date Char"/>
    <w:basedOn w:val="DefaultParagraphFont"/>
    <w:link w:val="CoverPage-Date"/>
    <w:uiPriority w:val="99"/>
    <w:semiHidden/>
    <w:rsid w:val="00865A27"/>
    <w:rPr>
      <w:rFonts w:ascii="Segoe UI" w:eastAsia="Times New Roman" w:hAnsi="Segoe UI" w:cs="Times New Roman"/>
      <w:color w:val="00264D" w:themeColor="background2"/>
      <w:sz w:val="24"/>
      <w:szCs w:val="19"/>
      <w:lang w:val="en-AU" w:eastAsia="en-AU"/>
    </w:rPr>
  </w:style>
  <w:style w:type="character" w:styleId="PlaceholderText">
    <w:name w:val="Placeholder Text"/>
    <w:basedOn w:val="DefaultParagraphFont"/>
    <w:uiPriority w:val="99"/>
    <w:semiHidden/>
    <w:rsid w:val="00865A27"/>
    <w:rPr>
      <w:color w:val="808080"/>
    </w:rPr>
  </w:style>
  <w:style w:type="paragraph" w:customStyle="1" w:styleId="BioHeading">
    <w:name w:val="Bio Heading"/>
    <w:basedOn w:val="Normal"/>
    <w:uiPriority w:val="97"/>
    <w:qFormat/>
    <w:rsid w:val="00865A27"/>
    <w:pPr>
      <w:spacing w:after="165" w:line="259" w:lineRule="auto"/>
    </w:pPr>
    <w:rPr>
      <w:rFonts w:ascii="Segoe UI Semibold" w:hAnsi="Segoe UI Semibold"/>
      <w:color w:val="00264D" w:themeColor="background2"/>
      <w:sz w:val="26"/>
    </w:rPr>
  </w:style>
  <w:style w:type="paragraph" w:styleId="Header">
    <w:name w:val="header"/>
    <w:basedOn w:val="Normal"/>
    <w:link w:val="HeaderChar"/>
    <w:uiPriority w:val="99"/>
    <w:unhideWhenUsed/>
    <w:rsid w:val="001051E0"/>
    <w:pPr>
      <w:tabs>
        <w:tab w:val="center" w:pos="4513"/>
        <w:tab w:val="right" w:pos="9026"/>
      </w:tabs>
      <w:spacing w:after="0"/>
    </w:pPr>
  </w:style>
  <w:style w:type="character" w:customStyle="1" w:styleId="HeaderChar">
    <w:name w:val="Header Char"/>
    <w:basedOn w:val="DefaultParagraphFont"/>
    <w:link w:val="Header"/>
    <w:uiPriority w:val="99"/>
    <w:rsid w:val="001051E0"/>
    <w:rPr>
      <w:rFonts w:ascii="Segoe UI" w:hAnsi="Segoe UI"/>
      <w:sz w:val="19"/>
    </w:rPr>
  </w:style>
  <w:style w:type="character" w:styleId="CommentReference">
    <w:name w:val="annotation reference"/>
    <w:basedOn w:val="DefaultParagraphFont"/>
    <w:uiPriority w:val="99"/>
    <w:semiHidden/>
    <w:unhideWhenUsed/>
    <w:rsid w:val="001C0EF6"/>
    <w:rPr>
      <w:sz w:val="16"/>
      <w:szCs w:val="16"/>
    </w:rPr>
  </w:style>
  <w:style w:type="paragraph" w:styleId="CommentText">
    <w:name w:val="annotation text"/>
    <w:basedOn w:val="Normal"/>
    <w:link w:val="CommentTextChar"/>
    <w:uiPriority w:val="99"/>
    <w:unhideWhenUsed/>
    <w:rsid w:val="001C0EF6"/>
    <w:rPr>
      <w:sz w:val="20"/>
      <w:szCs w:val="20"/>
    </w:rPr>
  </w:style>
  <w:style w:type="character" w:customStyle="1" w:styleId="CommentTextChar">
    <w:name w:val="Comment Text Char"/>
    <w:basedOn w:val="DefaultParagraphFont"/>
    <w:link w:val="CommentText"/>
    <w:uiPriority w:val="99"/>
    <w:rsid w:val="001C0EF6"/>
    <w:rPr>
      <w:rFonts w:ascii="Segoe UI" w:hAnsi="Segoe UI"/>
      <w:sz w:val="20"/>
      <w:szCs w:val="20"/>
      <w:lang w:val="en-AU"/>
    </w:rPr>
  </w:style>
  <w:style w:type="paragraph" w:styleId="CommentSubject">
    <w:name w:val="annotation subject"/>
    <w:basedOn w:val="CommentText"/>
    <w:next w:val="CommentText"/>
    <w:link w:val="CommentSubjectChar"/>
    <w:uiPriority w:val="99"/>
    <w:semiHidden/>
    <w:unhideWhenUsed/>
    <w:rsid w:val="001C0EF6"/>
    <w:rPr>
      <w:b/>
      <w:bCs/>
    </w:rPr>
  </w:style>
  <w:style w:type="character" w:customStyle="1" w:styleId="CommentSubjectChar">
    <w:name w:val="Comment Subject Char"/>
    <w:basedOn w:val="CommentTextChar"/>
    <w:link w:val="CommentSubject"/>
    <w:uiPriority w:val="99"/>
    <w:semiHidden/>
    <w:rsid w:val="001C0EF6"/>
    <w:rPr>
      <w:rFonts w:ascii="Segoe UI" w:hAnsi="Segoe UI"/>
      <w:b/>
      <w:bCs/>
      <w:sz w:val="20"/>
      <w:szCs w:val="20"/>
      <w:lang w:val="en-AU"/>
    </w:rPr>
  </w:style>
  <w:style w:type="paragraph" w:styleId="FootnoteText">
    <w:name w:val="footnote text"/>
    <w:basedOn w:val="Normal"/>
    <w:link w:val="FootnoteTextChar"/>
    <w:uiPriority w:val="99"/>
    <w:unhideWhenUsed/>
    <w:rsid w:val="003A6E30"/>
    <w:pPr>
      <w:spacing w:after="0"/>
    </w:pPr>
    <w:rPr>
      <w:sz w:val="15"/>
      <w:szCs w:val="20"/>
    </w:rPr>
  </w:style>
  <w:style w:type="character" w:customStyle="1" w:styleId="FootnoteTextChar">
    <w:name w:val="Footnote Text Char"/>
    <w:basedOn w:val="DefaultParagraphFont"/>
    <w:link w:val="FootnoteText"/>
    <w:uiPriority w:val="99"/>
    <w:rsid w:val="003A6E30"/>
    <w:rPr>
      <w:rFonts w:ascii="Segoe UI" w:hAnsi="Segoe UI"/>
      <w:sz w:val="15"/>
      <w:szCs w:val="20"/>
      <w:lang w:val="en-AU"/>
    </w:rPr>
  </w:style>
  <w:style w:type="paragraph" w:customStyle="1" w:styleId="NousFooter">
    <w:name w:val="Nous Footer"/>
    <w:basedOn w:val="Normal"/>
    <w:uiPriority w:val="96"/>
    <w:qFormat/>
    <w:rsid w:val="003A6E30"/>
    <w:pPr>
      <w:spacing w:after="0" w:line="259" w:lineRule="auto"/>
    </w:pPr>
    <w:rPr>
      <w:color w:val="808080" w:themeColor="background1" w:themeShade="80"/>
      <w:sz w:val="15"/>
      <w:szCs w:val="15"/>
      <w:lang w:eastAsia="en-AU"/>
    </w:rPr>
  </w:style>
  <w:style w:type="character" w:styleId="FootnoteReference">
    <w:name w:val="footnote reference"/>
    <w:basedOn w:val="DefaultParagraphFont"/>
    <w:uiPriority w:val="99"/>
    <w:unhideWhenUsed/>
    <w:rsid w:val="003A6E30"/>
    <w:rPr>
      <w:vertAlign w:val="superscript"/>
    </w:rPr>
  </w:style>
  <w:style w:type="character" w:customStyle="1" w:styleId="Heading9Char">
    <w:name w:val="Heading 9 Char"/>
    <w:basedOn w:val="DefaultParagraphFont"/>
    <w:link w:val="Heading9"/>
    <w:uiPriority w:val="19"/>
    <w:semiHidden/>
    <w:rsid w:val="00B10C1A"/>
    <w:rPr>
      <w:rFonts w:eastAsiaTheme="majorEastAsia" w:cstheme="majorBidi"/>
      <w:color w:val="272727" w:themeColor="text1" w:themeTint="D8"/>
      <w:sz w:val="19"/>
      <w:lang w:val="en-AU"/>
    </w:rPr>
  </w:style>
  <w:style w:type="paragraph" w:customStyle="1" w:styleId="TableExpbullet">
    <w:name w:val="Table Exp bullet"/>
    <w:basedOn w:val="Normal"/>
    <w:uiPriority w:val="3"/>
    <w:qFormat/>
    <w:rsid w:val="00B10C1A"/>
    <w:pPr>
      <w:numPr>
        <w:numId w:val="12"/>
      </w:numPr>
      <w:spacing w:before="60" w:after="60" w:line="259" w:lineRule="auto"/>
    </w:pPr>
    <w:rPr>
      <w:sz w:val="16"/>
    </w:rPr>
  </w:style>
  <w:style w:type="table" w:customStyle="1" w:styleId="NousTableSide">
    <w:name w:val="Nous Table_Side"/>
    <w:basedOn w:val="TableNormal"/>
    <w:uiPriority w:val="99"/>
    <w:rsid w:val="00B10C1A"/>
    <w:pPr>
      <w:spacing w:after="0" w:line="240" w:lineRule="auto"/>
    </w:pPr>
    <w:rPr>
      <w:rFonts w:ascii="Segoe UI" w:hAnsi="Segoe UI"/>
      <w:sz w:val="17"/>
    </w:rPr>
    <w:tblPr>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blStylePr w:type="firstCol">
      <w:pPr>
        <w:jc w:val="left"/>
      </w:pPr>
      <w:rPr>
        <w:rFonts w:ascii="Cambria" w:hAnsi="Cambria"/>
        <w:b w:val="0"/>
        <w:color w:val="00264D" w:themeColor="background2"/>
        <w:sz w:val="17"/>
      </w:rPr>
      <w:tblPr/>
      <w:tcPr>
        <w:tcBorders>
          <w:top w:val="single" w:sz="12" w:space="0" w:color="FFFFFF" w:themeColor="background1"/>
          <w:left w:val="single" w:sz="18" w:space="0" w:color="F8981D" w:themeColor="accent3"/>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E6E6E1" w:themeFill="accent5"/>
      </w:tcPr>
    </w:tblStylePr>
  </w:style>
  <w:style w:type="table" w:customStyle="1" w:styleId="NousTableTopandside">
    <w:name w:val="Nous Table_Top and side"/>
    <w:basedOn w:val="TableNormal"/>
    <w:uiPriority w:val="99"/>
    <w:rsid w:val="00B10C1A"/>
    <w:pPr>
      <w:spacing w:after="0" w:line="240" w:lineRule="auto"/>
    </w:pPr>
    <w:tblPr>
      <w:tblBorders>
        <w:insideH w:val="single" w:sz="8" w:space="0" w:color="F9F9F9"/>
      </w:tblBorders>
      <w:tblCellMar>
        <w:top w:w="57" w:type="dxa"/>
        <w:left w:w="85" w:type="dxa"/>
        <w:bottom w:w="57" w:type="dxa"/>
        <w:right w:w="85" w:type="dxa"/>
      </w:tblCellMar>
    </w:tblPr>
    <w:tblStylePr w:type="firstRow">
      <w:pPr>
        <w:jc w:val="left"/>
      </w:pPr>
      <w:rPr>
        <w:rFonts w:ascii="Cambria" w:hAnsi="Cambria"/>
        <w:b w:val="0"/>
        <w:color w:val="00264D" w:themeColor="background2"/>
        <w:sz w:val="18"/>
      </w:rPr>
      <w:tblPr/>
      <w:tcPr>
        <w:tcBorders>
          <w:top w:val="single" w:sz="24" w:space="0" w:color="F8981D" w:themeColor="accent3"/>
          <w:insideV w:val="single" w:sz="8" w:space="0" w:color="FFFFFF" w:themeColor="background1"/>
        </w:tcBorders>
        <w:shd w:val="clear" w:color="auto" w:fill="E6E6E1" w:themeFill="accent5"/>
        <w:vAlign w:val="center"/>
      </w:tcPr>
    </w:tblStylePr>
    <w:tblStylePr w:type="firstCol">
      <w:pPr>
        <w:jc w:val="left"/>
      </w:pPr>
      <w:rPr>
        <w:rFonts w:ascii="Cambria" w:hAnsi="Cambria"/>
        <w:b w:val="0"/>
        <w:color w:val="00264D" w:themeColor="background2"/>
        <w:sz w:val="18"/>
      </w:rPr>
      <w:tblPr/>
      <w:tcPr>
        <w:tcBorders>
          <w:left w:val="nil"/>
        </w:tcBorders>
        <w:shd w:val="clear" w:color="auto" w:fill="E6E6E1" w:themeFill="accent5"/>
      </w:tcPr>
    </w:tblStylePr>
  </w:style>
  <w:style w:type="paragraph" w:customStyle="1" w:styleId="Sectionintroduction">
    <w:name w:val="Section introduction"/>
    <w:uiPriority w:val="21"/>
    <w:qFormat/>
    <w:rsid w:val="00B10C1A"/>
    <w:pPr>
      <w:spacing w:before="120" w:after="120"/>
    </w:pPr>
    <w:rPr>
      <w:rFonts w:ascii="Segoe UI Semilight" w:hAnsi="Segoe UI Semilight"/>
      <w:color w:val="00264D" w:themeColor="background2"/>
      <w:sz w:val="21"/>
      <w:szCs w:val="21"/>
      <w:lang w:val="en-AU"/>
    </w:rPr>
  </w:style>
  <w:style w:type="paragraph" w:customStyle="1" w:styleId="Callout">
    <w:name w:val="Call out"/>
    <w:basedOn w:val="Normal"/>
    <w:uiPriority w:val="98"/>
    <w:qFormat/>
    <w:rsid w:val="00B10C1A"/>
    <w:pPr>
      <w:pBdr>
        <w:top w:val="single" w:sz="18" w:space="4" w:color="E6E6E1" w:themeColor="accent5"/>
      </w:pBdr>
      <w:spacing w:line="259" w:lineRule="auto"/>
    </w:pPr>
    <w:rPr>
      <w:rFonts w:ascii="Segoe UI Semilight" w:hAnsi="Segoe UI Semilight"/>
      <w:color w:val="F8981D" w:themeColor="accent3"/>
      <w:kern w:val="24"/>
      <w:sz w:val="22"/>
    </w:rPr>
  </w:style>
  <w:style w:type="paragraph" w:customStyle="1" w:styleId="Longformcallout">
    <w:name w:val="Long form callout"/>
    <w:basedOn w:val="Normal"/>
    <w:uiPriority w:val="20"/>
    <w:qFormat/>
    <w:rsid w:val="00B10C1A"/>
    <w:pPr>
      <w:spacing w:before="60" w:after="60"/>
    </w:pPr>
    <w:rPr>
      <w:color w:val="00264D" w:themeColor="background2"/>
      <w:szCs w:val="19"/>
      <w:lang w:eastAsia="en-AU"/>
    </w:rPr>
  </w:style>
  <w:style w:type="paragraph" w:customStyle="1" w:styleId="longformcalloutbullet">
    <w:name w:val="long form call out bullet"/>
    <w:basedOn w:val="Longformcallout"/>
    <w:uiPriority w:val="20"/>
    <w:qFormat/>
    <w:rsid w:val="00B10C1A"/>
    <w:pPr>
      <w:numPr>
        <w:numId w:val="8"/>
      </w:numPr>
      <w:ind w:left="340" w:hanging="340"/>
    </w:pPr>
  </w:style>
  <w:style w:type="paragraph" w:customStyle="1" w:styleId="longformcalloutnumber">
    <w:name w:val="long form callout number"/>
    <w:basedOn w:val="longformcalloutbullet"/>
    <w:uiPriority w:val="20"/>
    <w:qFormat/>
    <w:rsid w:val="00B10C1A"/>
    <w:pPr>
      <w:numPr>
        <w:numId w:val="9"/>
      </w:numPr>
    </w:pPr>
  </w:style>
  <w:style w:type="paragraph" w:customStyle="1" w:styleId="introductionlist">
    <w:name w:val="introduction list"/>
    <w:basedOn w:val="Sectionintroduction"/>
    <w:uiPriority w:val="21"/>
    <w:qFormat/>
    <w:rsid w:val="00B10C1A"/>
    <w:pPr>
      <w:numPr>
        <w:numId w:val="10"/>
      </w:numPr>
      <w:spacing w:before="60"/>
    </w:pPr>
  </w:style>
  <w:style w:type="paragraph" w:customStyle="1" w:styleId="intoductionbullet">
    <w:name w:val="intoduction bullet"/>
    <w:basedOn w:val="Sectionintroduction"/>
    <w:uiPriority w:val="21"/>
    <w:qFormat/>
    <w:rsid w:val="00B10C1A"/>
    <w:pPr>
      <w:numPr>
        <w:numId w:val="11"/>
      </w:numPr>
    </w:pPr>
  </w:style>
  <w:style w:type="table" w:customStyle="1" w:styleId="Sectionintroductiontable">
    <w:name w:val="Section introduction table"/>
    <w:basedOn w:val="TableNormal"/>
    <w:uiPriority w:val="99"/>
    <w:rsid w:val="00B10C1A"/>
    <w:pPr>
      <w:spacing w:after="0" w:line="240" w:lineRule="auto"/>
    </w:pPr>
    <w:tblPr>
      <w:tblCellMar>
        <w:top w:w="113" w:type="dxa"/>
        <w:left w:w="0" w:type="dxa"/>
        <w:bottom w:w="113" w:type="dxa"/>
        <w:right w:w="0" w:type="dxa"/>
      </w:tblCellMar>
    </w:tblPr>
    <w:tblStylePr w:type="firstRow">
      <w:pPr>
        <w:wordWrap/>
        <w:spacing w:beforeLines="0" w:before="0" w:beforeAutospacing="0" w:afterLines="0" w:after="0" w:afterAutospacing="0"/>
      </w:pPr>
      <w:rPr>
        <w:rFonts w:ascii="Cambria" w:hAnsi="Cambria"/>
        <w:color w:val="00264D" w:themeColor="background2"/>
        <w:sz w:val="21"/>
      </w:rPr>
      <w:tblPr/>
      <w:tcPr>
        <w:tcBorders>
          <w:top w:val="single" w:sz="8" w:space="0" w:color="00264D" w:themeColor="background2"/>
          <w:left w:val="nil"/>
          <w:bottom w:val="single" w:sz="8" w:space="0" w:color="00264D" w:themeColor="background2"/>
          <w:right w:val="nil"/>
        </w:tcBorders>
      </w:tcPr>
    </w:tblStylePr>
  </w:style>
  <w:style w:type="numbering" w:customStyle="1" w:styleId="Listnumberedmultilevel">
    <w:name w:val="List (numbered)_multilevel"/>
    <w:uiPriority w:val="99"/>
    <w:rsid w:val="00B10C1A"/>
    <w:pPr>
      <w:numPr>
        <w:numId w:val="12"/>
      </w:numPr>
    </w:pPr>
  </w:style>
  <w:style w:type="numbering" w:customStyle="1" w:styleId="TableexpListnumberedmultilevel">
    <w:name w:val="Table exp List (numbered) multilevel"/>
    <w:uiPriority w:val="99"/>
    <w:rsid w:val="00B10C1A"/>
    <w:pPr>
      <w:numPr>
        <w:numId w:val="11"/>
      </w:numPr>
    </w:pPr>
  </w:style>
  <w:style w:type="numbering" w:customStyle="1" w:styleId="TableNListnumberedmultilevel">
    <w:name w:val="Table N List (numbered) multilevel"/>
    <w:uiPriority w:val="99"/>
    <w:rsid w:val="00B10C1A"/>
    <w:pPr>
      <w:numPr>
        <w:numId w:val="13"/>
      </w:numPr>
    </w:pPr>
  </w:style>
  <w:style w:type="table" w:customStyle="1" w:styleId="NousLongformcallout">
    <w:name w:val="Nous_Long form call out"/>
    <w:basedOn w:val="TableNormal"/>
    <w:uiPriority w:val="99"/>
    <w:rsid w:val="00B10C1A"/>
    <w:pPr>
      <w:spacing w:after="0" w:line="240" w:lineRule="auto"/>
    </w:pPr>
    <w:rPr>
      <w:color w:val="00264D" w:themeColor="background2"/>
    </w:rPr>
    <w:tblPr>
      <w:tblBorders>
        <w:left w:val="single" w:sz="4" w:space="0" w:color="2E368F" w:themeColor="text2"/>
      </w:tblBorders>
      <w:tblCellMar>
        <w:top w:w="113" w:type="dxa"/>
        <w:bottom w:w="113" w:type="dxa"/>
      </w:tblCellMar>
    </w:tblPr>
    <w:tcPr>
      <w:shd w:val="clear" w:color="auto" w:fill="E6E6E1" w:themeFill="accent5"/>
    </w:tcPr>
  </w:style>
  <w:style w:type="paragraph" w:customStyle="1" w:styleId="CaseStudytitle">
    <w:name w:val="Case Study title"/>
    <w:basedOn w:val="Normal"/>
    <w:rsid w:val="00B10C1A"/>
    <w:rPr>
      <w:rFonts w:asciiTheme="majorHAnsi" w:hAnsiTheme="majorHAnsi"/>
      <w:caps/>
      <w:color w:val="F25E21" w:themeColor="accent2"/>
      <w:sz w:val="24"/>
    </w:rPr>
  </w:style>
  <w:style w:type="character" w:customStyle="1" w:styleId="TableNTextChar">
    <w:name w:val="Table N Text Char"/>
    <w:basedOn w:val="DefaultParagraphFont"/>
    <w:link w:val="TableNText"/>
    <w:rsid w:val="00B10C1A"/>
    <w:rPr>
      <w:rFonts w:ascii="Segoe UI" w:eastAsia="Times New Roman" w:hAnsi="Segoe UI" w:cs="Times New Roman"/>
      <w:sz w:val="17"/>
      <w:szCs w:val="24"/>
      <w:lang w:val="en-AU" w:eastAsia="en-AU"/>
    </w:rPr>
  </w:style>
  <w:style w:type="character" w:styleId="FollowedHyperlink">
    <w:name w:val="FollowedHyperlink"/>
    <w:basedOn w:val="DefaultParagraphFont"/>
    <w:uiPriority w:val="99"/>
    <w:semiHidden/>
    <w:unhideWhenUsed/>
    <w:rsid w:val="00B10C1A"/>
    <w:rPr>
      <w:color w:val="0048C7" w:themeColor="followedHyperlink"/>
      <w:u w:val="single"/>
    </w:rPr>
  </w:style>
  <w:style w:type="paragraph" w:customStyle="1" w:styleId="BIOsubheadingnew">
    <w:name w:val="BIO sub heading_new"/>
    <w:basedOn w:val="Normal"/>
    <w:rsid w:val="00B10C1A"/>
    <w:pPr>
      <w:spacing w:before="180" w:after="60" w:line="257" w:lineRule="auto"/>
      <w:jc w:val="right"/>
    </w:pPr>
    <w:rPr>
      <w:rFonts w:asciiTheme="majorHAnsi" w:hAnsiTheme="majorHAnsi" w:cstheme="majorHAnsi"/>
      <w:noProof/>
      <w:color w:val="00264D" w:themeColor="background2"/>
      <w:sz w:val="20"/>
      <w:szCs w:val="24"/>
    </w:rPr>
  </w:style>
  <w:style w:type="table" w:customStyle="1" w:styleId="NOUSSideHeader1">
    <w:name w:val="NOUS Side Header1"/>
    <w:basedOn w:val="TableNormal"/>
    <w:next w:val="TableGrid"/>
    <w:uiPriority w:val="39"/>
    <w:rsid w:val="00B10C1A"/>
    <w:pPr>
      <w:spacing w:after="0" w:line="240" w:lineRule="auto"/>
    </w:pPr>
    <w:rPr>
      <w:rFonts w:ascii="Segoe UI" w:hAnsi="Segoe UI"/>
      <w:sz w:val="17"/>
    </w:rPr>
    <w:tblPr>
      <w:tblStyleRowBandSize w:val="1"/>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cPr>
      <w:vAlign w:val="center"/>
    </w:tcPr>
    <w:tblStylePr w:type="firstRow">
      <w:pPr>
        <w:jc w:val="left"/>
      </w:pPr>
      <w:rPr>
        <w:rFonts w:ascii="Cambria" w:hAnsi="Cambria"/>
        <w:b w:val="0"/>
        <w:color w:val="00264D" w:themeColor="background2"/>
        <w:sz w:val="18"/>
      </w:rPr>
      <w:tblPr/>
      <w:trPr>
        <w:cantSplit/>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tblStylePr w:type="band1Horz">
      <w:rPr>
        <w:rFonts w:ascii="Cambria" w:hAnsi="Cambria"/>
        <w:sz w:val="17"/>
      </w:rPr>
    </w:tblStylePr>
    <w:tblStylePr w:type="band2Horz">
      <w:rPr>
        <w:rFonts w:ascii="Cambria" w:hAnsi="Cambria"/>
        <w:sz w:val="17"/>
      </w:rPr>
    </w:tblStylePr>
  </w:style>
  <w:style w:type="paragraph" w:customStyle="1" w:styleId="TableNbiophoto">
    <w:name w:val="Table N bio photo"/>
    <w:basedOn w:val="TableNText"/>
    <w:qFormat/>
    <w:rsid w:val="00B10C1A"/>
    <w:pPr>
      <w:keepNext w:val="0"/>
      <w:spacing w:before="60" w:after="0" w:line="257" w:lineRule="auto"/>
      <w:outlineLvl w:val="9"/>
    </w:pPr>
    <w:rPr>
      <w:rFonts w:eastAsiaTheme="minorHAnsi" w:cstheme="minorBidi"/>
      <w:szCs w:val="22"/>
      <w:lang w:eastAsia="en-US"/>
    </w:rPr>
  </w:style>
  <w:style w:type="paragraph" w:styleId="Title">
    <w:name w:val="Title"/>
    <w:basedOn w:val="Normal"/>
    <w:next w:val="Normal"/>
    <w:link w:val="TitleChar"/>
    <w:uiPriority w:val="10"/>
    <w:rsid w:val="00B10C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C1A"/>
    <w:rPr>
      <w:rFonts w:asciiTheme="majorHAnsi" w:eastAsiaTheme="majorEastAsia" w:hAnsiTheme="majorHAnsi" w:cstheme="majorBidi"/>
      <w:spacing w:val="-10"/>
      <w:kern w:val="28"/>
      <w:sz w:val="56"/>
      <w:szCs w:val="56"/>
      <w:lang w:val="en-AU"/>
    </w:rPr>
  </w:style>
  <w:style w:type="paragraph" w:styleId="Subtitle">
    <w:name w:val="Subtitle"/>
    <w:basedOn w:val="Normal"/>
    <w:next w:val="Normal"/>
    <w:link w:val="SubtitleChar"/>
    <w:uiPriority w:val="11"/>
    <w:rsid w:val="00B10C1A"/>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C1A"/>
    <w:rPr>
      <w:rFonts w:eastAsiaTheme="majorEastAsia" w:cstheme="majorBidi"/>
      <w:color w:val="595959" w:themeColor="text1" w:themeTint="A6"/>
      <w:spacing w:val="15"/>
      <w:sz w:val="28"/>
      <w:szCs w:val="28"/>
      <w:lang w:val="en-AU"/>
    </w:rPr>
  </w:style>
  <w:style w:type="paragraph" w:styleId="Quote">
    <w:name w:val="Quote"/>
    <w:basedOn w:val="Normal"/>
    <w:next w:val="Normal"/>
    <w:link w:val="QuoteChar"/>
    <w:uiPriority w:val="29"/>
    <w:rsid w:val="00B10C1A"/>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B10C1A"/>
    <w:rPr>
      <w:rFonts w:ascii="Segoe UI" w:hAnsi="Segoe UI"/>
      <w:i/>
      <w:iCs/>
      <w:color w:val="404040" w:themeColor="text1" w:themeTint="BF"/>
      <w:sz w:val="19"/>
      <w:lang w:val="en-AU"/>
    </w:rPr>
  </w:style>
  <w:style w:type="paragraph" w:styleId="ListParagraph">
    <w:name w:val="List Paragraph"/>
    <w:basedOn w:val="Normal"/>
    <w:uiPriority w:val="34"/>
    <w:qFormat/>
    <w:rsid w:val="00B10C1A"/>
    <w:pPr>
      <w:spacing w:line="259" w:lineRule="auto"/>
      <w:ind w:left="720"/>
      <w:contextualSpacing/>
    </w:pPr>
  </w:style>
  <w:style w:type="character" w:styleId="IntenseEmphasis">
    <w:name w:val="Intense Emphasis"/>
    <w:basedOn w:val="DefaultParagraphFont"/>
    <w:uiPriority w:val="21"/>
    <w:rsid w:val="00B10C1A"/>
    <w:rPr>
      <w:i/>
      <w:iCs/>
      <w:color w:val="EA0006" w:themeColor="accent1" w:themeShade="BF"/>
    </w:rPr>
  </w:style>
  <w:style w:type="paragraph" w:styleId="IntenseQuote">
    <w:name w:val="Intense Quote"/>
    <w:basedOn w:val="Normal"/>
    <w:next w:val="Normal"/>
    <w:link w:val="IntenseQuoteChar"/>
    <w:uiPriority w:val="30"/>
    <w:rsid w:val="00B10C1A"/>
    <w:pPr>
      <w:pBdr>
        <w:top w:val="single" w:sz="4" w:space="10" w:color="EA0006" w:themeColor="accent1" w:themeShade="BF"/>
        <w:bottom w:val="single" w:sz="4" w:space="10" w:color="EA0006" w:themeColor="accent1" w:themeShade="BF"/>
      </w:pBdr>
      <w:spacing w:before="360" w:after="360" w:line="259" w:lineRule="auto"/>
      <w:ind w:left="864" w:right="864"/>
      <w:jc w:val="center"/>
    </w:pPr>
    <w:rPr>
      <w:i/>
      <w:iCs/>
      <w:color w:val="EA0006" w:themeColor="accent1" w:themeShade="BF"/>
    </w:rPr>
  </w:style>
  <w:style w:type="character" w:customStyle="1" w:styleId="IntenseQuoteChar">
    <w:name w:val="Intense Quote Char"/>
    <w:basedOn w:val="DefaultParagraphFont"/>
    <w:link w:val="IntenseQuote"/>
    <w:uiPriority w:val="30"/>
    <w:rsid w:val="00B10C1A"/>
    <w:rPr>
      <w:rFonts w:ascii="Segoe UI" w:hAnsi="Segoe UI"/>
      <w:i/>
      <w:iCs/>
      <w:color w:val="EA0006" w:themeColor="accent1" w:themeShade="BF"/>
      <w:sz w:val="19"/>
      <w:lang w:val="en-AU"/>
    </w:rPr>
  </w:style>
  <w:style w:type="character" w:styleId="IntenseReference">
    <w:name w:val="Intense Reference"/>
    <w:basedOn w:val="DefaultParagraphFont"/>
    <w:uiPriority w:val="32"/>
    <w:rsid w:val="00B10C1A"/>
    <w:rPr>
      <w:b/>
      <w:bCs/>
      <w:smallCaps/>
      <w:color w:val="EA0006" w:themeColor="accent1" w:themeShade="BF"/>
      <w:spacing w:val="5"/>
    </w:rPr>
  </w:style>
  <w:style w:type="character" w:styleId="Mention">
    <w:name w:val="Mention"/>
    <w:basedOn w:val="DefaultParagraphFont"/>
    <w:uiPriority w:val="99"/>
    <w:unhideWhenUsed/>
    <w:rsid w:val="00B10C1A"/>
    <w:rPr>
      <w:color w:val="2B579A"/>
      <w:shd w:val="clear" w:color="auto" w:fill="E1DFDD"/>
    </w:rPr>
  </w:style>
  <w:style w:type="character" w:styleId="UnresolvedMention">
    <w:name w:val="Unresolved Mention"/>
    <w:basedOn w:val="DefaultParagraphFont"/>
    <w:uiPriority w:val="99"/>
    <w:semiHidden/>
    <w:unhideWhenUsed/>
    <w:rsid w:val="00B10C1A"/>
    <w:rPr>
      <w:color w:val="605E5C"/>
      <w:shd w:val="clear" w:color="auto" w:fill="E1DFDD"/>
    </w:rPr>
  </w:style>
  <w:style w:type="paragraph" w:styleId="Revision">
    <w:name w:val="Revision"/>
    <w:hidden/>
    <w:uiPriority w:val="99"/>
    <w:semiHidden/>
    <w:rsid w:val="00B10C1A"/>
    <w:pPr>
      <w:spacing w:after="0" w:line="240" w:lineRule="auto"/>
    </w:pPr>
    <w:rPr>
      <w:rFonts w:ascii="Segoe UI" w:hAnsi="Segoe UI"/>
      <w:sz w:val="19"/>
      <w:lang w:val="en-AU"/>
    </w:rPr>
  </w:style>
  <w:style w:type="table" w:customStyle="1" w:styleId="NousTableSide1">
    <w:name w:val="Nous Table_Side1"/>
    <w:basedOn w:val="TableNormal"/>
    <w:uiPriority w:val="99"/>
    <w:rsid w:val="00B10C1A"/>
    <w:pPr>
      <w:spacing w:after="0" w:line="240" w:lineRule="auto"/>
    </w:pPr>
    <w:rPr>
      <w:rFonts w:ascii="Segoe UI" w:hAnsi="Segoe UI"/>
      <w:sz w:val="17"/>
    </w:rPr>
    <w:tblPr>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blStylePr w:type="firstCol">
      <w:pPr>
        <w:jc w:val="left"/>
      </w:pPr>
      <w:rPr>
        <w:rFonts w:ascii="Cambria" w:hAnsi="Cambria"/>
        <w:b w:val="0"/>
        <w:color w:val="00264D" w:themeColor="background2"/>
        <w:sz w:val="17"/>
      </w:rPr>
      <w:tblPr/>
      <w:tcPr>
        <w:tcBorders>
          <w:top w:val="single" w:sz="12" w:space="0" w:color="FFFFFF" w:themeColor="background1"/>
          <w:left w:val="single" w:sz="18" w:space="0" w:color="F8981D" w:themeColor="accent3"/>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E6E6E1" w:themeFill="accent5"/>
      </w:tcPr>
    </w:tblStylePr>
  </w:style>
  <w:style w:type="paragraph" w:customStyle="1" w:styleId="font-claude-response-body">
    <w:name w:val="font-claude-response-body"/>
    <w:basedOn w:val="Normal"/>
    <w:rsid w:val="00B10C1A"/>
    <w:pPr>
      <w:spacing w:before="100" w:beforeAutospacing="1" w:after="100" w:afterAutospacing="1"/>
    </w:pPr>
    <w:rPr>
      <w:rFonts w:ascii="Times New Roman" w:eastAsia="Times New Roman" w:hAnsi="Times New Roman" w:cs="Times New Roman"/>
      <w:sz w:val="24"/>
      <w:szCs w:val="24"/>
      <w:lang w:eastAsia="en-AU"/>
    </w:rPr>
  </w:style>
  <w:style w:type="paragraph" w:styleId="TOCHeading">
    <w:name w:val="TOC Heading"/>
    <w:basedOn w:val="Heading1"/>
    <w:next w:val="Normal"/>
    <w:uiPriority w:val="39"/>
    <w:unhideWhenUsed/>
    <w:qFormat/>
    <w:rsid w:val="00B10C1A"/>
    <w:pPr>
      <w:keepLines/>
      <w:pageBreakBefore w:val="0"/>
      <w:numPr>
        <w:numId w:val="0"/>
      </w:numPr>
      <w:spacing w:before="240" w:after="0" w:line="259" w:lineRule="auto"/>
      <w:outlineLvl w:val="9"/>
    </w:pPr>
    <w:rPr>
      <w:rFonts w:asciiTheme="majorHAnsi" w:eastAsiaTheme="majorEastAsia" w:hAnsiTheme="majorHAnsi" w:cstheme="majorBidi"/>
      <w:b w:val="0"/>
      <w:color w:val="EA0006" w:themeColor="accent1" w:themeShade="BF"/>
      <w:sz w:val="32"/>
      <w:szCs w:val="32"/>
      <w:lang w:val="en-US" w:eastAsia="en-US"/>
    </w:rPr>
  </w:style>
  <w:style w:type="paragraph" w:styleId="TOC3">
    <w:name w:val="toc 3"/>
    <w:basedOn w:val="Normal"/>
    <w:next w:val="Normal"/>
    <w:autoRedefine/>
    <w:uiPriority w:val="39"/>
    <w:unhideWhenUsed/>
    <w:rsid w:val="00B10C1A"/>
    <w:pPr>
      <w:spacing w:after="100" w:line="259" w:lineRule="auto"/>
      <w:ind w:left="380"/>
    </w:pPr>
  </w:style>
  <w:style w:type="paragraph" w:styleId="NormalWeb">
    <w:name w:val="Normal (Web)"/>
    <w:basedOn w:val="Normal"/>
    <w:uiPriority w:val="99"/>
    <w:unhideWhenUsed/>
    <w:rsid w:val="00B10C1A"/>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B10C1A"/>
    <w:rPr>
      <w:b/>
      <w:bCs/>
    </w:rPr>
  </w:style>
  <w:style w:type="character" w:styleId="Emphasis">
    <w:name w:val="Emphasis"/>
    <w:basedOn w:val="DefaultParagraphFont"/>
    <w:uiPriority w:val="20"/>
    <w:qFormat/>
    <w:rsid w:val="00BE2C88"/>
    <w:rPr>
      <w:i/>
      <w:iCs/>
    </w:rPr>
  </w:style>
  <w:style w:type="table" w:customStyle="1" w:styleId="NOUS1">
    <w:name w:val="NOUS1"/>
    <w:basedOn w:val="TableNormal"/>
    <w:uiPriority w:val="99"/>
    <w:rsid w:val="00193C5E"/>
    <w:pPr>
      <w:spacing w:after="0" w:line="240" w:lineRule="auto"/>
    </w:pPr>
    <w:rPr>
      <w:rFonts w:ascii="Segoe UI" w:hAnsi="Segoe UI"/>
      <w:sz w:val="17"/>
    </w:rPr>
    <w:tblPr>
      <w:tblBorders>
        <w:bottom w:val="single" w:sz="8" w:space="0" w:color="E6E6E1" w:themeColor="accent5"/>
        <w:insideH w:val="single" w:sz="8" w:space="0" w:color="E6E6E1" w:themeColor="accent5"/>
      </w:tblBorders>
      <w:tblCellMar>
        <w:top w:w="57" w:type="dxa"/>
        <w:left w:w="85" w:type="dxa"/>
        <w:bottom w:w="57" w:type="dxa"/>
        <w:right w:w="85" w:type="dxa"/>
      </w:tblCellMar>
    </w:tblPr>
    <w:tblStylePr w:type="firstRow">
      <w:rPr>
        <w:rFonts w:ascii="Cambria" w:hAnsi="Cambria"/>
        <w:b w:val="0"/>
        <w:color w:val="00264D" w:themeColor="background2"/>
        <w:sz w:val="18"/>
      </w:rPr>
      <w:tblPr/>
      <w:trPr>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style>
  <w:style w:type="table" w:customStyle="1" w:styleId="NOUS2">
    <w:name w:val="NOUS2"/>
    <w:basedOn w:val="TableNormal"/>
    <w:uiPriority w:val="99"/>
    <w:rsid w:val="009A506B"/>
    <w:pPr>
      <w:spacing w:after="0" w:line="240" w:lineRule="auto"/>
    </w:pPr>
    <w:rPr>
      <w:rFonts w:ascii="Segoe UI" w:hAnsi="Segoe UI"/>
      <w:sz w:val="17"/>
    </w:rPr>
    <w:tblPr>
      <w:tblBorders>
        <w:bottom w:val="single" w:sz="8" w:space="0" w:color="E6E6E1" w:themeColor="accent5"/>
        <w:insideH w:val="single" w:sz="8" w:space="0" w:color="E6E6E1" w:themeColor="accent5"/>
      </w:tblBorders>
      <w:tblCellMar>
        <w:top w:w="57" w:type="dxa"/>
        <w:left w:w="85" w:type="dxa"/>
        <w:bottom w:w="57" w:type="dxa"/>
        <w:right w:w="85" w:type="dxa"/>
      </w:tblCellMar>
    </w:tblPr>
    <w:tblStylePr w:type="firstRow">
      <w:rPr>
        <w:rFonts w:ascii="Cambria" w:hAnsi="Cambria"/>
        <w:b w:val="0"/>
        <w:color w:val="00264D" w:themeColor="background2"/>
        <w:sz w:val="18"/>
      </w:rPr>
      <w:tblPr/>
      <w:trPr>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60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Default Theme">
  <a:themeElements>
    <a:clrScheme name="New Brand">
      <a:dk1>
        <a:sysClr val="windowText" lastClr="000000"/>
      </a:dk1>
      <a:lt1>
        <a:sysClr val="window" lastClr="FFFFFF"/>
      </a:lt1>
      <a:dk2>
        <a:srgbClr val="2E368F"/>
      </a:dk2>
      <a:lt2>
        <a:srgbClr val="00264D"/>
      </a:lt2>
      <a:accent1>
        <a:srgbClr val="FF3A40"/>
      </a:accent1>
      <a:accent2>
        <a:srgbClr val="F25E21"/>
      </a:accent2>
      <a:accent3>
        <a:srgbClr val="F8981D"/>
      </a:accent3>
      <a:accent4>
        <a:srgbClr val="FED13B"/>
      </a:accent4>
      <a:accent5>
        <a:srgbClr val="E6E6E1"/>
      </a:accent5>
      <a:accent6>
        <a:srgbClr val="25B3E0"/>
      </a:accent6>
      <a:hlink>
        <a:srgbClr val="0048C7"/>
      </a:hlink>
      <a:folHlink>
        <a:srgbClr val="0048C7"/>
      </a:folHlink>
    </a:clrScheme>
    <a:fontScheme name="Nous Font">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accent3"/>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25400" cap="rnd">
          <a:solidFill>
            <a:schemeClr val="accent3"/>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442D97CDE29947A7B74442579F9272" ma:contentTypeVersion="11" ma:contentTypeDescription="Create a new document." ma:contentTypeScope="" ma:versionID="4d62573cff8c3d0179660d67bd9977e9">
  <xsd:schema xmlns:xsd="http://www.w3.org/2001/XMLSchema" xmlns:xs="http://www.w3.org/2001/XMLSchema" xmlns:p="http://schemas.microsoft.com/office/2006/metadata/properties" xmlns:ns2="219121eb-7194-4b54-a4eb-b0bbf5679e64" xmlns:ns3="3820e37b-b1a1-49e3-9bc9-940d01ab5ef9" targetNamespace="http://schemas.microsoft.com/office/2006/metadata/properties" ma:root="true" ma:fieldsID="546a9616175846be905cc2bddf6a3a58" ns2:_="" ns3:_="">
    <xsd:import namespace="219121eb-7194-4b54-a4eb-b0bbf5679e64"/>
    <xsd:import namespace="3820e37b-b1a1-49e3-9bc9-940d01ab5e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121eb-7194-4b54-a4eb-b0bbf5679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2a39602-bab5-4ac0-a14f-71daef3a253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20e37b-b1a1-49e3-9bc9-940d01ab5ef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d10adff-d230-4abd-9ab3-15840c1a57da}" ma:internalName="TaxCatchAll" ma:showField="CatchAllData" ma:web="3820e37b-b1a1-49e3-9bc9-940d01ab5e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FastMetadata xmlns="219121eb-7194-4b54-a4eb-b0bbf5679e64" xsi:nil="true"/>
    <MediaServiceMetadata xmlns="219121eb-7194-4b54-a4eb-b0bbf5679e64" xsi:nil="true"/>
    <MediaServiceSearchProperties xmlns="219121eb-7194-4b54-a4eb-b0bbf5679e64" xsi:nil="true"/>
    <lcf76f155ced4ddcb4097134ff3c332f xmlns="219121eb-7194-4b54-a4eb-b0bbf5679e64">
      <Terms xmlns="http://schemas.microsoft.com/office/infopath/2007/PartnerControls"/>
    </lcf76f155ced4ddcb4097134ff3c332f>
    <TaxCatchAll xmlns="3820e37b-b1a1-49e3-9bc9-940d01ab5ef9"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1B4A30-4335-4615-B531-124E826026D8}">
  <ds:schemaRefs>
    <ds:schemaRef ds:uri="http://schemas.microsoft.com/sharepoint/v3/contenttype/forms"/>
  </ds:schemaRefs>
</ds:datastoreItem>
</file>

<file path=customXml/itemProps3.xml><?xml version="1.0" encoding="utf-8"?>
<ds:datastoreItem xmlns:ds="http://schemas.openxmlformats.org/officeDocument/2006/customXml" ds:itemID="{738C7C80-E189-469B-81A8-D13E9A86C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121eb-7194-4b54-a4eb-b0bbf5679e64"/>
    <ds:schemaRef ds:uri="3820e37b-b1a1-49e3-9bc9-940d01ab5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462EA-10A7-4754-94DC-A6846B7C0C55}">
  <ds:schemaRefs>
    <ds:schemaRef ds:uri="http://schemas.microsoft.com/office/2006/metadata/properties"/>
    <ds:schemaRef ds:uri="http://schemas.microsoft.com/office/infopath/2007/PartnerControls"/>
    <ds:schemaRef ds:uri="219121eb-7194-4b54-a4eb-b0bbf5679e64"/>
    <ds:schemaRef ds:uri="3820e37b-b1a1-49e3-9bc9-940d01ab5ef9"/>
  </ds:schemaRefs>
</ds:datastoreItem>
</file>

<file path=customXml/itemProps5.xml><?xml version="1.0" encoding="utf-8"?>
<ds:datastoreItem xmlns:ds="http://schemas.openxmlformats.org/officeDocument/2006/customXml" ds:itemID="{2875B17F-0DB6-4FF5-A0B5-36D245B95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16</Pages>
  <Words>6380</Words>
  <Characters>39306</Characters>
  <Application>Microsoft Office Word</Application>
  <DocSecurity>0</DocSecurity>
  <Lines>873</Lines>
  <Paragraphs>236</Paragraphs>
  <ScaleCrop>false</ScaleCrop>
  <HeadingPairs>
    <vt:vector size="2" baseType="variant">
      <vt:variant>
        <vt:lpstr>Title</vt:lpstr>
      </vt:variant>
      <vt:variant>
        <vt:i4>1</vt:i4>
      </vt:variant>
    </vt:vector>
  </HeadingPairs>
  <TitlesOfParts>
    <vt:vector size="1" baseType="lpstr">
      <vt:lpstr>Draft Report – Review of nKPI and OSR</vt:lpstr>
    </vt:vector>
  </TitlesOfParts>
  <Company>The Nous Group</Company>
  <LinksUpToDate>false</LinksUpToDate>
  <CharactersWithSpaces>45450</CharactersWithSpaces>
  <SharedDoc>false</SharedDoc>
  <HLinks>
    <vt:vector size="462" baseType="variant">
      <vt:variant>
        <vt:i4>524355</vt:i4>
      </vt:variant>
      <vt:variant>
        <vt:i4>423</vt:i4>
      </vt:variant>
      <vt:variant>
        <vt:i4>0</vt:i4>
      </vt:variant>
      <vt:variant>
        <vt:i4>5</vt:i4>
      </vt:variant>
      <vt:variant>
        <vt:lpwstr>https://dataportal.health.gov.au/wps/wcm/connect/dataportal/282c4814-b605-4c01-95e4-af2d38eaff22/Guide+to+the+OSR+Form+in+the+Health+Data+Portal.pdf?MOD=AJPERES</vt:lpwstr>
      </vt:variant>
      <vt:variant>
        <vt:lpwstr>:~:text=DEFINITIONS:%20An%20episode%20of%20care,other%20evaluation%20and%20reporting%20purposes.</vt:lpwstr>
      </vt:variant>
      <vt:variant>
        <vt:i4>1572918</vt:i4>
      </vt:variant>
      <vt:variant>
        <vt:i4>296</vt:i4>
      </vt:variant>
      <vt:variant>
        <vt:i4>0</vt:i4>
      </vt:variant>
      <vt:variant>
        <vt:i4>5</vt:i4>
      </vt:variant>
      <vt:variant>
        <vt:lpwstr/>
      </vt:variant>
      <vt:variant>
        <vt:lpwstr>_Toc233719623</vt:lpwstr>
      </vt:variant>
      <vt:variant>
        <vt:i4>1572918</vt:i4>
      </vt:variant>
      <vt:variant>
        <vt:i4>290</vt:i4>
      </vt:variant>
      <vt:variant>
        <vt:i4>0</vt:i4>
      </vt:variant>
      <vt:variant>
        <vt:i4>5</vt:i4>
      </vt:variant>
      <vt:variant>
        <vt:lpwstr/>
      </vt:variant>
      <vt:variant>
        <vt:lpwstr>_Toc233719622</vt:lpwstr>
      </vt:variant>
      <vt:variant>
        <vt:i4>1572918</vt:i4>
      </vt:variant>
      <vt:variant>
        <vt:i4>284</vt:i4>
      </vt:variant>
      <vt:variant>
        <vt:i4>0</vt:i4>
      </vt:variant>
      <vt:variant>
        <vt:i4>5</vt:i4>
      </vt:variant>
      <vt:variant>
        <vt:lpwstr/>
      </vt:variant>
      <vt:variant>
        <vt:lpwstr>_Toc233719621</vt:lpwstr>
      </vt:variant>
      <vt:variant>
        <vt:i4>1572918</vt:i4>
      </vt:variant>
      <vt:variant>
        <vt:i4>278</vt:i4>
      </vt:variant>
      <vt:variant>
        <vt:i4>0</vt:i4>
      </vt:variant>
      <vt:variant>
        <vt:i4>5</vt:i4>
      </vt:variant>
      <vt:variant>
        <vt:lpwstr/>
      </vt:variant>
      <vt:variant>
        <vt:lpwstr>_Toc233719620</vt:lpwstr>
      </vt:variant>
      <vt:variant>
        <vt:i4>1769526</vt:i4>
      </vt:variant>
      <vt:variant>
        <vt:i4>272</vt:i4>
      </vt:variant>
      <vt:variant>
        <vt:i4>0</vt:i4>
      </vt:variant>
      <vt:variant>
        <vt:i4>5</vt:i4>
      </vt:variant>
      <vt:variant>
        <vt:lpwstr/>
      </vt:variant>
      <vt:variant>
        <vt:lpwstr>_Toc233719619</vt:lpwstr>
      </vt:variant>
      <vt:variant>
        <vt:i4>1769526</vt:i4>
      </vt:variant>
      <vt:variant>
        <vt:i4>266</vt:i4>
      </vt:variant>
      <vt:variant>
        <vt:i4>0</vt:i4>
      </vt:variant>
      <vt:variant>
        <vt:i4>5</vt:i4>
      </vt:variant>
      <vt:variant>
        <vt:lpwstr/>
      </vt:variant>
      <vt:variant>
        <vt:lpwstr>_Toc233719618</vt:lpwstr>
      </vt:variant>
      <vt:variant>
        <vt:i4>1769526</vt:i4>
      </vt:variant>
      <vt:variant>
        <vt:i4>260</vt:i4>
      </vt:variant>
      <vt:variant>
        <vt:i4>0</vt:i4>
      </vt:variant>
      <vt:variant>
        <vt:i4>5</vt:i4>
      </vt:variant>
      <vt:variant>
        <vt:lpwstr/>
      </vt:variant>
      <vt:variant>
        <vt:lpwstr>_Toc233719617</vt:lpwstr>
      </vt:variant>
      <vt:variant>
        <vt:i4>1769526</vt:i4>
      </vt:variant>
      <vt:variant>
        <vt:i4>254</vt:i4>
      </vt:variant>
      <vt:variant>
        <vt:i4>0</vt:i4>
      </vt:variant>
      <vt:variant>
        <vt:i4>5</vt:i4>
      </vt:variant>
      <vt:variant>
        <vt:lpwstr/>
      </vt:variant>
      <vt:variant>
        <vt:lpwstr>_Toc233719616</vt:lpwstr>
      </vt:variant>
      <vt:variant>
        <vt:i4>1769526</vt:i4>
      </vt:variant>
      <vt:variant>
        <vt:i4>248</vt:i4>
      </vt:variant>
      <vt:variant>
        <vt:i4>0</vt:i4>
      </vt:variant>
      <vt:variant>
        <vt:i4>5</vt:i4>
      </vt:variant>
      <vt:variant>
        <vt:lpwstr/>
      </vt:variant>
      <vt:variant>
        <vt:lpwstr>_Toc233719615</vt:lpwstr>
      </vt:variant>
      <vt:variant>
        <vt:i4>1769526</vt:i4>
      </vt:variant>
      <vt:variant>
        <vt:i4>242</vt:i4>
      </vt:variant>
      <vt:variant>
        <vt:i4>0</vt:i4>
      </vt:variant>
      <vt:variant>
        <vt:i4>5</vt:i4>
      </vt:variant>
      <vt:variant>
        <vt:lpwstr/>
      </vt:variant>
      <vt:variant>
        <vt:lpwstr>_Toc233719614</vt:lpwstr>
      </vt:variant>
      <vt:variant>
        <vt:i4>1769526</vt:i4>
      </vt:variant>
      <vt:variant>
        <vt:i4>236</vt:i4>
      </vt:variant>
      <vt:variant>
        <vt:i4>0</vt:i4>
      </vt:variant>
      <vt:variant>
        <vt:i4>5</vt:i4>
      </vt:variant>
      <vt:variant>
        <vt:lpwstr/>
      </vt:variant>
      <vt:variant>
        <vt:lpwstr>_Toc233719613</vt:lpwstr>
      </vt:variant>
      <vt:variant>
        <vt:i4>1769526</vt:i4>
      </vt:variant>
      <vt:variant>
        <vt:i4>230</vt:i4>
      </vt:variant>
      <vt:variant>
        <vt:i4>0</vt:i4>
      </vt:variant>
      <vt:variant>
        <vt:i4>5</vt:i4>
      </vt:variant>
      <vt:variant>
        <vt:lpwstr/>
      </vt:variant>
      <vt:variant>
        <vt:lpwstr>_Toc233719612</vt:lpwstr>
      </vt:variant>
      <vt:variant>
        <vt:i4>1769526</vt:i4>
      </vt:variant>
      <vt:variant>
        <vt:i4>224</vt:i4>
      </vt:variant>
      <vt:variant>
        <vt:i4>0</vt:i4>
      </vt:variant>
      <vt:variant>
        <vt:i4>5</vt:i4>
      </vt:variant>
      <vt:variant>
        <vt:lpwstr/>
      </vt:variant>
      <vt:variant>
        <vt:lpwstr>_Toc233719611</vt:lpwstr>
      </vt:variant>
      <vt:variant>
        <vt:i4>1769526</vt:i4>
      </vt:variant>
      <vt:variant>
        <vt:i4>218</vt:i4>
      </vt:variant>
      <vt:variant>
        <vt:i4>0</vt:i4>
      </vt:variant>
      <vt:variant>
        <vt:i4>5</vt:i4>
      </vt:variant>
      <vt:variant>
        <vt:lpwstr/>
      </vt:variant>
      <vt:variant>
        <vt:lpwstr>_Toc233719610</vt:lpwstr>
      </vt:variant>
      <vt:variant>
        <vt:i4>1703990</vt:i4>
      </vt:variant>
      <vt:variant>
        <vt:i4>212</vt:i4>
      </vt:variant>
      <vt:variant>
        <vt:i4>0</vt:i4>
      </vt:variant>
      <vt:variant>
        <vt:i4>5</vt:i4>
      </vt:variant>
      <vt:variant>
        <vt:lpwstr/>
      </vt:variant>
      <vt:variant>
        <vt:lpwstr>_Toc233719609</vt:lpwstr>
      </vt:variant>
      <vt:variant>
        <vt:i4>1703990</vt:i4>
      </vt:variant>
      <vt:variant>
        <vt:i4>206</vt:i4>
      </vt:variant>
      <vt:variant>
        <vt:i4>0</vt:i4>
      </vt:variant>
      <vt:variant>
        <vt:i4>5</vt:i4>
      </vt:variant>
      <vt:variant>
        <vt:lpwstr/>
      </vt:variant>
      <vt:variant>
        <vt:lpwstr>_Toc233719608</vt:lpwstr>
      </vt:variant>
      <vt:variant>
        <vt:i4>1703990</vt:i4>
      </vt:variant>
      <vt:variant>
        <vt:i4>200</vt:i4>
      </vt:variant>
      <vt:variant>
        <vt:i4>0</vt:i4>
      </vt:variant>
      <vt:variant>
        <vt:i4>5</vt:i4>
      </vt:variant>
      <vt:variant>
        <vt:lpwstr/>
      </vt:variant>
      <vt:variant>
        <vt:lpwstr>_Toc233719607</vt:lpwstr>
      </vt:variant>
      <vt:variant>
        <vt:i4>1703990</vt:i4>
      </vt:variant>
      <vt:variant>
        <vt:i4>194</vt:i4>
      </vt:variant>
      <vt:variant>
        <vt:i4>0</vt:i4>
      </vt:variant>
      <vt:variant>
        <vt:i4>5</vt:i4>
      </vt:variant>
      <vt:variant>
        <vt:lpwstr/>
      </vt:variant>
      <vt:variant>
        <vt:lpwstr>_Toc233719606</vt:lpwstr>
      </vt:variant>
      <vt:variant>
        <vt:i4>1703990</vt:i4>
      </vt:variant>
      <vt:variant>
        <vt:i4>188</vt:i4>
      </vt:variant>
      <vt:variant>
        <vt:i4>0</vt:i4>
      </vt:variant>
      <vt:variant>
        <vt:i4>5</vt:i4>
      </vt:variant>
      <vt:variant>
        <vt:lpwstr/>
      </vt:variant>
      <vt:variant>
        <vt:lpwstr>_Toc233719605</vt:lpwstr>
      </vt:variant>
      <vt:variant>
        <vt:i4>1703990</vt:i4>
      </vt:variant>
      <vt:variant>
        <vt:i4>182</vt:i4>
      </vt:variant>
      <vt:variant>
        <vt:i4>0</vt:i4>
      </vt:variant>
      <vt:variant>
        <vt:i4>5</vt:i4>
      </vt:variant>
      <vt:variant>
        <vt:lpwstr/>
      </vt:variant>
      <vt:variant>
        <vt:lpwstr>_Toc233719604</vt:lpwstr>
      </vt:variant>
      <vt:variant>
        <vt:i4>1703990</vt:i4>
      </vt:variant>
      <vt:variant>
        <vt:i4>176</vt:i4>
      </vt:variant>
      <vt:variant>
        <vt:i4>0</vt:i4>
      </vt:variant>
      <vt:variant>
        <vt:i4>5</vt:i4>
      </vt:variant>
      <vt:variant>
        <vt:lpwstr/>
      </vt:variant>
      <vt:variant>
        <vt:lpwstr>_Toc233719603</vt:lpwstr>
      </vt:variant>
      <vt:variant>
        <vt:i4>1703990</vt:i4>
      </vt:variant>
      <vt:variant>
        <vt:i4>170</vt:i4>
      </vt:variant>
      <vt:variant>
        <vt:i4>0</vt:i4>
      </vt:variant>
      <vt:variant>
        <vt:i4>5</vt:i4>
      </vt:variant>
      <vt:variant>
        <vt:lpwstr/>
      </vt:variant>
      <vt:variant>
        <vt:lpwstr>_Toc233719602</vt:lpwstr>
      </vt:variant>
      <vt:variant>
        <vt:i4>1703990</vt:i4>
      </vt:variant>
      <vt:variant>
        <vt:i4>164</vt:i4>
      </vt:variant>
      <vt:variant>
        <vt:i4>0</vt:i4>
      </vt:variant>
      <vt:variant>
        <vt:i4>5</vt:i4>
      </vt:variant>
      <vt:variant>
        <vt:lpwstr/>
      </vt:variant>
      <vt:variant>
        <vt:lpwstr>_Toc233719601</vt:lpwstr>
      </vt:variant>
      <vt:variant>
        <vt:i4>1703990</vt:i4>
      </vt:variant>
      <vt:variant>
        <vt:i4>158</vt:i4>
      </vt:variant>
      <vt:variant>
        <vt:i4>0</vt:i4>
      </vt:variant>
      <vt:variant>
        <vt:i4>5</vt:i4>
      </vt:variant>
      <vt:variant>
        <vt:lpwstr/>
      </vt:variant>
      <vt:variant>
        <vt:lpwstr>_Toc233719600</vt:lpwstr>
      </vt:variant>
      <vt:variant>
        <vt:i4>1245237</vt:i4>
      </vt:variant>
      <vt:variant>
        <vt:i4>152</vt:i4>
      </vt:variant>
      <vt:variant>
        <vt:i4>0</vt:i4>
      </vt:variant>
      <vt:variant>
        <vt:i4>5</vt:i4>
      </vt:variant>
      <vt:variant>
        <vt:lpwstr/>
      </vt:variant>
      <vt:variant>
        <vt:lpwstr>_Toc233719599</vt:lpwstr>
      </vt:variant>
      <vt:variant>
        <vt:i4>1245237</vt:i4>
      </vt:variant>
      <vt:variant>
        <vt:i4>146</vt:i4>
      </vt:variant>
      <vt:variant>
        <vt:i4>0</vt:i4>
      </vt:variant>
      <vt:variant>
        <vt:i4>5</vt:i4>
      </vt:variant>
      <vt:variant>
        <vt:lpwstr/>
      </vt:variant>
      <vt:variant>
        <vt:lpwstr>_Toc233719598</vt:lpwstr>
      </vt:variant>
      <vt:variant>
        <vt:i4>1245237</vt:i4>
      </vt:variant>
      <vt:variant>
        <vt:i4>140</vt:i4>
      </vt:variant>
      <vt:variant>
        <vt:i4>0</vt:i4>
      </vt:variant>
      <vt:variant>
        <vt:i4>5</vt:i4>
      </vt:variant>
      <vt:variant>
        <vt:lpwstr/>
      </vt:variant>
      <vt:variant>
        <vt:lpwstr>_Toc233719597</vt:lpwstr>
      </vt:variant>
      <vt:variant>
        <vt:i4>1245237</vt:i4>
      </vt:variant>
      <vt:variant>
        <vt:i4>134</vt:i4>
      </vt:variant>
      <vt:variant>
        <vt:i4>0</vt:i4>
      </vt:variant>
      <vt:variant>
        <vt:i4>5</vt:i4>
      </vt:variant>
      <vt:variant>
        <vt:lpwstr/>
      </vt:variant>
      <vt:variant>
        <vt:lpwstr>_Toc233719596</vt:lpwstr>
      </vt:variant>
      <vt:variant>
        <vt:i4>1245237</vt:i4>
      </vt:variant>
      <vt:variant>
        <vt:i4>128</vt:i4>
      </vt:variant>
      <vt:variant>
        <vt:i4>0</vt:i4>
      </vt:variant>
      <vt:variant>
        <vt:i4>5</vt:i4>
      </vt:variant>
      <vt:variant>
        <vt:lpwstr/>
      </vt:variant>
      <vt:variant>
        <vt:lpwstr>_Toc233719595</vt:lpwstr>
      </vt:variant>
      <vt:variant>
        <vt:i4>1245237</vt:i4>
      </vt:variant>
      <vt:variant>
        <vt:i4>122</vt:i4>
      </vt:variant>
      <vt:variant>
        <vt:i4>0</vt:i4>
      </vt:variant>
      <vt:variant>
        <vt:i4>5</vt:i4>
      </vt:variant>
      <vt:variant>
        <vt:lpwstr/>
      </vt:variant>
      <vt:variant>
        <vt:lpwstr>_Toc233719594</vt:lpwstr>
      </vt:variant>
      <vt:variant>
        <vt:i4>1245237</vt:i4>
      </vt:variant>
      <vt:variant>
        <vt:i4>116</vt:i4>
      </vt:variant>
      <vt:variant>
        <vt:i4>0</vt:i4>
      </vt:variant>
      <vt:variant>
        <vt:i4>5</vt:i4>
      </vt:variant>
      <vt:variant>
        <vt:lpwstr/>
      </vt:variant>
      <vt:variant>
        <vt:lpwstr>_Toc233719593</vt:lpwstr>
      </vt:variant>
      <vt:variant>
        <vt:i4>1245237</vt:i4>
      </vt:variant>
      <vt:variant>
        <vt:i4>110</vt:i4>
      </vt:variant>
      <vt:variant>
        <vt:i4>0</vt:i4>
      </vt:variant>
      <vt:variant>
        <vt:i4>5</vt:i4>
      </vt:variant>
      <vt:variant>
        <vt:lpwstr/>
      </vt:variant>
      <vt:variant>
        <vt:lpwstr>_Toc233719592</vt:lpwstr>
      </vt:variant>
      <vt:variant>
        <vt:i4>1245237</vt:i4>
      </vt:variant>
      <vt:variant>
        <vt:i4>104</vt:i4>
      </vt:variant>
      <vt:variant>
        <vt:i4>0</vt:i4>
      </vt:variant>
      <vt:variant>
        <vt:i4>5</vt:i4>
      </vt:variant>
      <vt:variant>
        <vt:lpwstr/>
      </vt:variant>
      <vt:variant>
        <vt:lpwstr>_Toc233719591</vt:lpwstr>
      </vt:variant>
      <vt:variant>
        <vt:i4>1245237</vt:i4>
      </vt:variant>
      <vt:variant>
        <vt:i4>98</vt:i4>
      </vt:variant>
      <vt:variant>
        <vt:i4>0</vt:i4>
      </vt:variant>
      <vt:variant>
        <vt:i4>5</vt:i4>
      </vt:variant>
      <vt:variant>
        <vt:lpwstr/>
      </vt:variant>
      <vt:variant>
        <vt:lpwstr>_Toc233719590</vt:lpwstr>
      </vt:variant>
      <vt:variant>
        <vt:i4>1179701</vt:i4>
      </vt:variant>
      <vt:variant>
        <vt:i4>92</vt:i4>
      </vt:variant>
      <vt:variant>
        <vt:i4>0</vt:i4>
      </vt:variant>
      <vt:variant>
        <vt:i4>5</vt:i4>
      </vt:variant>
      <vt:variant>
        <vt:lpwstr/>
      </vt:variant>
      <vt:variant>
        <vt:lpwstr>_Toc233719589</vt:lpwstr>
      </vt:variant>
      <vt:variant>
        <vt:i4>1179701</vt:i4>
      </vt:variant>
      <vt:variant>
        <vt:i4>86</vt:i4>
      </vt:variant>
      <vt:variant>
        <vt:i4>0</vt:i4>
      </vt:variant>
      <vt:variant>
        <vt:i4>5</vt:i4>
      </vt:variant>
      <vt:variant>
        <vt:lpwstr/>
      </vt:variant>
      <vt:variant>
        <vt:lpwstr>_Toc233719588</vt:lpwstr>
      </vt:variant>
      <vt:variant>
        <vt:i4>1179701</vt:i4>
      </vt:variant>
      <vt:variant>
        <vt:i4>80</vt:i4>
      </vt:variant>
      <vt:variant>
        <vt:i4>0</vt:i4>
      </vt:variant>
      <vt:variant>
        <vt:i4>5</vt:i4>
      </vt:variant>
      <vt:variant>
        <vt:lpwstr/>
      </vt:variant>
      <vt:variant>
        <vt:lpwstr>_Toc233719587</vt:lpwstr>
      </vt:variant>
      <vt:variant>
        <vt:i4>1179701</vt:i4>
      </vt:variant>
      <vt:variant>
        <vt:i4>74</vt:i4>
      </vt:variant>
      <vt:variant>
        <vt:i4>0</vt:i4>
      </vt:variant>
      <vt:variant>
        <vt:i4>5</vt:i4>
      </vt:variant>
      <vt:variant>
        <vt:lpwstr/>
      </vt:variant>
      <vt:variant>
        <vt:lpwstr>_Toc233719586</vt:lpwstr>
      </vt:variant>
      <vt:variant>
        <vt:i4>1179701</vt:i4>
      </vt:variant>
      <vt:variant>
        <vt:i4>68</vt:i4>
      </vt:variant>
      <vt:variant>
        <vt:i4>0</vt:i4>
      </vt:variant>
      <vt:variant>
        <vt:i4>5</vt:i4>
      </vt:variant>
      <vt:variant>
        <vt:lpwstr/>
      </vt:variant>
      <vt:variant>
        <vt:lpwstr>_Toc233719585</vt:lpwstr>
      </vt:variant>
      <vt:variant>
        <vt:i4>1179701</vt:i4>
      </vt:variant>
      <vt:variant>
        <vt:i4>62</vt:i4>
      </vt:variant>
      <vt:variant>
        <vt:i4>0</vt:i4>
      </vt:variant>
      <vt:variant>
        <vt:i4>5</vt:i4>
      </vt:variant>
      <vt:variant>
        <vt:lpwstr/>
      </vt:variant>
      <vt:variant>
        <vt:lpwstr>_Toc233719584</vt:lpwstr>
      </vt:variant>
      <vt:variant>
        <vt:i4>1179701</vt:i4>
      </vt:variant>
      <vt:variant>
        <vt:i4>56</vt:i4>
      </vt:variant>
      <vt:variant>
        <vt:i4>0</vt:i4>
      </vt:variant>
      <vt:variant>
        <vt:i4>5</vt:i4>
      </vt:variant>
      <vt:variant>
        <vt:lpwstr/>
      </vt:variant>
      <vt:variant>
        <vt:lpwstr>_Toc233719583</vt:lpwstr>
      </vt:variant>
      <vt:variant>
        <vt:i4>1179701</vt:i4>
      </vt:variant>
      <vt:variant>
        <vt:i4>50</vt:i4>
      </vt:variant>
      <vt:variant>
        <vt:i4>0</vt:i4>
      </vt:variant>
      <vt:variant>
        <vt:i4>5</vt:i4>
      </vt:variant>
      <vt:variant>
        <vt:lpwstr/>
      </vt:variant>
      <vt:variant>
        <vt:lpwstr>_Toc233719582</vt:lpwstr>
      </vt:variant>
      <vt:variant>
        <vt:i4>1179701</vt:i4>
      </vt:variant>
      <vt:variant>
        <vt:i4>44</vt:i4>
      </vt:variant>
      <vt:variant>
        <vt:i4>0</vt:i4>
      </vt:variant>
      <vt:variant>
        <vt:i4>5</vt:i4>
      </vt:variant>
      <vt:variant>
        <vt:lpwstr/>
      </vt:variant>
      <vt:variant>
        <vt:lpwstr>_Toc233719581</vt:lpwstr>
      </vt:variant>
      <vt:variant>
        <vt:i4>1179701</vt:i4>
      </vt:variant>
      <vt:variant>
        <vt:i4>38</vt:i4>
      </vt:variant>
      <vt:variant>
        <vt:i4>0</vt:i4>
      </vt:variant>
      <vt:variant>
        <vt:i4>5</vt:i4>
      </vt:variant>
      <vt:variant>
        <vt:lpwstr/>
      </vt:variant>
      <vt:variant>
        <vt:lpwstr>_Toc233719580</vt:lpwstr>
      </vt:variant>
      <vt:variant>
        <vt:i4>1900597</vt:i4>
      </vt:variant>
      <vt:variant>
        <vt:i4>32</vt:i4>
      </vt:variant>
      <vt:variant>
        <vt:i4>0</vt:i4>
      </vt:variant>
      <vt:variant>
        <vt:i4>5</vt:i4>
      </vt:variant>
      <vt:variant>
        <vt:lpwstr/>
      </vt:variant>
      <vt:variant>
        <vt:lpwstr>_Toc233719579</vt:lpwstr>
      </vt:variant>
      <vt:variant>
        <vt:i4>1900597</vt:i4>
      </vt:variant>
      <vt:variant>
        <vt:i4>26</vt:i4>
      </vt:variant>
      <vt:variant>
        <vt:i4>0</vt:i4>
      </vt:variant>
      <vt:variant>
        <vt:i4>5</vt:i4>
      </vt:variant>
      <vt:variant>
        <vt:lpwstr/>
      </vt:variant>
      <vt:variant>
        <vt:lpwstr>_Toc233719578</vt:lpwstr>
      </vt:variant>
      <vt:variant>
        <vt:i4>1900597</vt:i4>
      </vt:variant>
      <vt:variant>
        <vt:i4>20</vt:i4>
      </vt:variant>
      <vt:variant>
        <vt:i4>0</vt:i4>
      </vt:variant>
      <vt:variant>
        <vt:i4>5</vt:i4>
      </vt:variant>
      <vt:variant>
        <vt:lpwstr/>
      </vt:variant>
      <vt:variant>
        <vt:lpwstr>_Toc233719577</vt:lpwstr>
      </vt:variant>
      <vt:variant>
        <vt:i4>1900597</vt:i4>
      </vt:variant>
      <vt:variant>
        <vt:i4>14</vt:i4>
      </vt:variant>
      <vt:variant>
        <vt:i4>0</vt:i4>
      </vt:variant>
      <vt:variant>
        <vt:i4>5</vt:i4>
      </vt:variant>
      <vt:variant>
        <vt:lpwstr/>
      </vt:variant>
      <vt:variant>
        <vt:lpwstr>_Toc233719576</vt:lpwstr>
      </vt:variant>
      <vt:variant>
        <vt:i4>1900597</vt:i4>
      </vt:variant>
      <vt:variant>
        <vt:i4>8</vt:i4>
      </vt:variant>
      <vt:variant>
        <vt:i4>0</vt:i4>
      </vt:variant>
      <vt:variant>
        <vt:i4>5</vt:i4>
      </vt:variant>
      <vt:variant>
        <vt:lpwstr/>
      </vt:variant>
      <vt:variant>
        <vt:lpwstr>_Toc233719575</vt:lpwstr>
      </vt:variant>
      <vt:variant>
        <vt:i4>1900597</vt:i4>
      </vt:variant>
      <vt:variant>
        <vt:i4>2</vt:i4>
      </vt:variant>
      <vt:variant>
        <vt:i4>0</vt:i4>
      </vt:variant>
      <vt:variant>
        <vt:i4>5</vt:i4>
      </vt:variant>
      <vt:variant>
        <vt:lpwstr/>
      </vt:variant>
      <vt:variant>
        <vt:lpwstr>_Toc233719574</vt:lpwstr>
      </vt:variant>
      <vt:variant>
        <vt:i4>4522008</vt:i4>
      </vt:variant>
      <vt:variant>
        <vt:i4>72</vt:i4>
      </vt:variant>
      <vt:variant>
        <vt:i4>0</vt:i4>
      </vt:variant>
      <vt:variant>
        <vt:i4>5</vt:i4>
      </vt:variant>
      <vt:variant>
        <vt:lpwstr>https://www.health.gov.au/committees-and-groups/aboriginal-and-torres-strait-islander-health-services-data-advisory-group</vt:lpwstr>
      </vt:variant>
      <vt:variant>
        <vt:lpwstr/>
      </vt:variant>
      <vt:variant>
        <vt:i4>3276884</vt:i4>
      </vt:variant>
      <vt:variant>
        <vt:i4>69</vt:i4>
      </vt:variant>
      <vt:variant>
        <vt:i4>0</vt:i4>
      </vt:variant>
      <vt:variant>
        <vt:i4>5</vt:i4>
      </vt:variant>
      <vt:variant>
        <vt:lpwstr>https://www.digital.gov.au/sites/default/files/documents/2025-12/Policy for the responsible use of AI in Government 2.0_0.pdf</vt:lpwstr>
      </vt:variant>
      <vt:variant>
        <vt:lpwstr/>
      </vt:variant>
      <vt:variant>
        <vt:i4>3342462</vt:i4>
      </vt:variant>
      <vt:variant>
        <vt:i4>66</vt:i4>
      </vt:variant>
      <vt:variant>
        <vt:i4>0</vt:i4>
      </vt:variant>
      <vt:variant>
        <vt:i4>5</vt:i4>
      </vt:variant>
      <vt:variant>
        <vt:lpwstr>https://www.csiro.au/en/news/All/News/2025/October/CSIRO-report-highlights-need-for-Indigenous-led-approach-to-AI-in-healthcare</vt:lpwstr>
      </vt:variant>
      <vt:variant>
        <vt:lpwstr/>
      </vt:variant>
      <vt:variant>
        <vt:i4>1638406</vt:i4>
      </vt:variant>
      <vt:variant>
        <vt:i4>63</vt:i4>
      </vt:variant>
      <vt:variant>
        <vt:i4>0</vt:i4>
      </vt:variant>
      <vt:variant>
        <vt:i4>5</vt:i4>
      </vt:variant>
      <vt:variant>
        <vt:lpwstr>https://avasant.com/report/ambient-ai-scribes-streamlining-clinical-documentation-for-operational-efficiency/</vt:lpwstr>
      </vt:variant>
      <vt:variant>
        <vt:lpwstr/>
      </vt:variant>
      <vt:variant>
        <vt:i4>6946878</vt:i4>
      </vt:variant>
      <vt:variant>
        <vt:i4>60</vt:i4>
      </vt:variant>
      <vt:variant>
        <vt:i4>0</vt:i4>
      </vt:variant>
      <vt:variant>
        <vt:i4>5</vt:i4>
      </vt:variant>
      <vt:variant>
        <vt:lpwstr>https://doi.org/10.1038/s41746-025-02272-z</vt:lpwstr>
      </vt:variant>
      <vt:variant>
        <vt:lpwstr/>
      </vt:variant>
      <vt:variant>
        <vt:i4>5505149</vt:i4>
      </vt:variant>
      <vt:variant>
        <vt:i4>57</vt:i4>
      </vt:variant>
      <vt:variant>
        <vt:i4>0</vt:i4>
      </vt:variant>
      <vt:variant>
        <vt:i4>5</vt:i4>
      </vt:variant>
      <vt:variant>
        <vt:lpwstr>https://digitalhealth.org.au/wp-content/uploads/2025/07/Implementation_AI-scribes-in-healthcare-workflows.pdf</vt:lpwstr>
      </vt:variant>
      <vt:variant>
        <vt:lpwstr/>
      </vt:variant>
      <vt:variant>
        <vt:i4>4390923</vt:i4>
      </vt:variant>
      <vt:variant>
        <vt:i4>54</vt:i4>
      </vt:variant>
      <vt:variant>
        <vt:i4>0</vt:i4>
      </vt:variant>
      <vt:variant>
        <vt:i4>5</vt:i4>
      </vt:variant>
      <vt:variant>
        <vt:lpwstr>https://www.racgp.org.au/running-a-practice/technology/artificial-intelligence-ai/artificial-intelligence-ai-scribes</vt:lpwstr>
      </vt:variant>
      <vt:variant>
        <vt:lpwstr/>
      </vt:variant>
      <vt:variant>
        <vt:i4>4390923</vt:i4>
      </vt:variant>
      <vt:variant>
        <vt:i4>51</vt:i4>
      </vt:variant>
      <vt:variant>
        <vt:i4>0</vt:i4>
      </vt:variant>
      <vt:variant>
        <vt:i4>5</vt:i4>
      </vt:variant>
      <vt:variant>
        <vt:lpwstr>https://www.racgp.org.au/running-a-practice/technology/artificial-intelligence-ai/artificial-intelligence-ai-scribes</vt:lpwstr>
      </vt:variant>
      <vt:variant>
        <vt:lpwstr/>
      </vt:variant>
      <vt:variant>
        <vt:i4>524355</vt:i4>
      </vt:variant>
      <vt:variant>
        <vt:i4>48</vt:i4>
      </vt:variant>
      <vt:variant>
        <vt:i4>0</vt:i4>
      </vt:variant>
      <vt:variant>
        <vt:i4>5</vt:i4>
      </vt:variant>
      <vt:variant>
        <vt:lpwstr>https://dataportal.health.gov.au/wps/wcm/connect/dataportal/282c4814-b605-4c01-95e4-af2d38eaff22/Guide+to+the+OSR+Form+in+the+Health+Data+Portal.pdf?MOD=AJPERES</vt:lpwstr>
      </vt:variant>
      <vt:variant>
        <vt:lpwstr>:~:text=DEFINITIONS:%20An%20episode%20of%20care,other%20evaluation%20and%20reporting%20purposes.</vt:lpwstr>
      </vt:variant>
      <vt:variant>
        <vt:i4>6160475</vt:i4>
      </vt:variant>
      <vt:variant>
        <vt:i4>45</vt:i4>
      </vt:variant>
      <vt:variant>
        <vt:i4>0</vt:i4>
      </vt:variant>
      <vt:variant>
        <vt:i4>5</vt:i4>
      </vt:variant>
      <vt:variant>
        <vt:lpwstr>https://www.health.gov.au/sites/default/files/2024-12/overview_and_calculation_steps_-_iahp_primary_health_care_funding_model_technical_factsheet.pdf</vt:lpwstr>
      </vt:variant>
      <vt:variant>
        <vt:lpwstr/>
      </vt:variant>
      <vt:variant>
        <vt:i4>4980753</vt:i4>
      </vt:variant>
      <vt:variant>
        <vt:i4>42</vt:i4>
      </vt:variant>
      <vt:variant>
        <vt:i4>0</vt:i4>
      </vt:variant>
      <vt:variant>
        <vt:i4>5</vt:i4>
      </vt:variant>
      <vt:variant>
        <vt:lpwstr>https://dataportal.health.gov.au/wps/wcm/connect/dataportal/282c4814-b605-4c01-95e4-af2d38eaff22/Guide+to+the+OSR+Form+in+the+Health+Data+Portal.pdf</vt:lpwstr>
      </vt:variant>
      <vt:variant>
        <vt:lpwstr/>
      </vt:variant>
      <vt:variant>
        <vt:i4>5767172</vt:i4>
      </vt:variant>
      <vt:variant>
        <vt:i4>39</vt:i4>
      </vt:variant>
      <vt:variant>
        <vt:i4>0</vt:i4>
      </vt:variant>
      <vt:variant>
        <vt:i4>5</vt:i4>
      </vt:variant>
      <vt:variant>
        <vt:lpwstr>https://meteor.aihw.gov.au/content/814688</vt:lpwstr>
      </vt:variant>
      <vt:variant>
        <vt:lpwstr/>
      </vt:variant>
      <vt:variant>
        <vt:i4>3473517</vt:i4>
      </vt:variant>
      <vt:variant>
        <vt:i4>36</vt:i4>
      </vt:variant>
      <vt:variant>
        <vt:i4>0</vt:i4>
      </vt:variant>
      <vt:variant>
        <vt:i4>5</vt:i4>
      </vt:variant>
      <vt:variant>
        <vt:lpwstr>https://www.aihw.gov.au/getmedia/e44edeb2-b61f-4805-8b9f-aad0dd8dc001/aihw-ihw-225.pdf?v=20230605181616&amp;inline=true</vt:lpwstr>
      </vt:variant>
      <vt:variant>
        <vt:lpwstr/>
      </vt:variant>
      <vt:variant>
        <vt:i4>3342435</vt:i4>
      </vt:variant>
      <vt:variant>
        <vt:i4>33</vt:i4>
      </vt:variant>
      <vt:variant>
        <vt:i4>0</vt:i4>
      </vt:variant>
      <vt:variant>
        <vt:i4>5</vt:i4>
      </vt:variant>
      <vt:variant>
        <vt:lpwstr>https://www.health.gov.au/topics/aboriginal-and-torres-strait-islander-health/reporting/osr</vt:lpwstr>
      </vt:variant>
      <vt:variant>
        <vt:lpwstr/>
      </vt:variant>
      <vt:variant>
        <vt:i4>4194333</vt:i4>
      </vt:variant>
      <vt:variant>
        <vt:i4>30</vt:i4>
      </vt:variant>
      <vt:variant>
        <vt:i4>0</vt:i4>
      </vt:variant>
      <vt:variant>
        <vt:i4>5</vt:i4>
      </vt:variant>
      <vt:variant>
        <vt:lpwstr>https://www.health.gov.au/sites/default/files/2025-08/sexually-transmissible-infections-beforeplay-frequently-asked-questions.pdf</vt:lpwstr>
      </vt:variant>
      <vt:variant>
        <vt:lpwstr/>
      </vt:variant>
      <vt:variant>
        <vt:i4>3473517</vt:i4>
      </vt:variant>
      <vt:variant>
        <vt:i4>27</vt:i4>
      </vt:variant>
      <vt:variant>
        <vt:i4>0</vt:i4>
      </vt:variant>
      <vt:variant>
        <vt:i4>5</vt:i4>
      </vt:variant>
      <vt:variant>
        <vt:lpwstr>https://www.aihw.gov.au/getmedia/e44edeb2-b61f-4805-8b9f-aad0dd8dc001/aihw-ihw-225.pdf?v=20230605181616&amp;inline=true</vt:lpwstr>
      </vt:variant>
      <vt:variant>
        <vt:lpwstr/>
      </vt:variant>
      <vt:variant>
        <vt:i4>3604595</vt:i4>
      </vt:variant>
      <vt:variant>
        <vt:i4>24</vt:i4>
      </vt:variant>
      <vt:variant>
        <vt:i4>0</vt:i4>
      </vt:variant>
      <vt:variant>
        <vt:i4>5</vt:i4>
      </vt:variant>
      <vt:variant>
        <vt:lpwstr>https://www.aihw.gov.au/getmedia/e44edeb2-b61f-4805-8b9f-aad0dd8dc001/aihw-ihw-225.pdf</vt:lpwstr>
      </vt:variant>
      <vt:variant>
        <vt:lpwstr/>
      </vt:variant>
      <vt:variant>
        <vt:i4>1704012</vt:i4>
      </vt:variant>
      <vt:variant>
        <vt:i4>21</vt:i4>
      </vt:variant>
      <vt:variant>
        <vt:i4>0</vt:i4>
      </vt:variant>
      <vt:variant>
        <vt:i4>5</vt:i4>
      </vt:variant>
      <vt:variant>
        <vt:lpwstr>https://www.health.gov.au/topics/aboriginal-and-torres-strait-islander-health/reporting/nkpis?language=en</vt:lpwstr>
      </vt:variant>
      <vt:variant>
        <vt:lpwstr/>
      </vt:variant>
      <vt:variant>
        <vt:i4>589889</vt:i4>
      </vt:variant>
      <vt:variant>
        <vt:i4>18</vt:i4>
      </vt:variant>
      <vt:variant>
        <vt:i4>0</vt:i4>
      </vt:variant>
      <vt:variant>
        <vt:i4>5</vt:i4>
      </vt:variant>
      <vt:variant>
        <vt:lpwstr>https://meteor.aihw.gov.au/content/index.phtml/itemId/687913</vt:lpwstr>
      </vt:variant>
      <vt:variant>
        <vt:lpwstr/>
      </vt:variant>
      <vt:variant>
        <vt:i4>6029402</vt:i4>
      </vt:variant>
      <vt:variant>
        <vt:i4>15</vt:i4>
      </vt:variant>
      <vt:variant>
        <vt:i4>0</vt:i4>
      </vt:variant>
      <vt:variant>
        <vt:i4>5</vt:i4>
      </vt:variant>
      <vt:variant>
        <vt:lpwstr>https://www.closingthegap.gov.au/national-agreement/priority-reforms</vt:lpwstr>
      </vt:variant>
      <vt:variant>
        <vt:lpwstr/>
      </vt:variant>
      <vt:variant>
        <vt:i4>2883690</vt:i4>
      </vt:variant>
      <vt:variant>
        <vt:i4>12</vt:i4>
      </vt:variant>
      <vt:variant>
        <vt:i4>0</vt:i4>
      </vt:variant>
      <vt:variant>
        <vt:i4>5</vt:i4>
      </vt:variant>
      <vt:variant>
        <vt:lpwstr>https://www.indigenoushpf.gov.au/reports/summary-reports/summary-report</vt:lpwstr>
      </vt:variant>
      <vt:variant>
        <vt:lpwstr/>
      </vt:variant>
      <vt:variant>
        <vt:i4>6029405</vt:i4>
      </vt:variant>
      <vt:variant>
        <vt:i4>9</vt:i4>
      </vt:variant>
      <vt:variant>
        <vt:i4>0</vt:i4>
      </vt:variant>
      <vt:variant>
        <vt:i4>5</vt:i4>
      </vt:variant>
      <vt:variant>
        <vt:lpwstr>https://www.indigenoushpf.gov.au/measures/3-21-health-expenditure</vt:lpwstr>
      </vt:variant>
      <vt:variant>
        <vt:lpwstr/>
      </vt:variant>
      <vt:variant>
        <vt:i4>1900616</vt:i4>
      </vt:variant>
      <vt:variant>
        <vt:i4>6</vt:i4>
      </vt:variant>
      <vt:variant>
        <vt:i4>0</vt:i4>
      </vt:variant>
      <vt:variant>
        <vt:i4>5</vt:i4>
      </vt:variant>
      <vt:variant>
        <vt:lpwstr>https://www.aihw.gov.au/reports/indigenous-australians/indigenous-primary-health-care-results-osr-nkpi/contents/osr-organisations</vt:lpwstr>
      </vt:variant>
      <vt:variant>
        <vt:lpwstr/>
      </vt:variant>
      <vt:variant>
        <vt:i4>8126498</vt:i4>
      </vt:variant>
      <vt:variant>
        <vt:i4>3</vt:i4>
      </vt:variant>
      <vt:variant>
        <vt:i4>0</vt:i4>
      </vt:variant>
      <vt:variant>
        <vt:i4>5</vt:i4>
      </vt:variant>
      <vt:variant>
        <vt:lpwstr>https://www.aihw.gov.au/reports/indigenous-australians/indigenous-primary-health-care-results-osr-nkpi/contents/osr-clients</vt:lpwstr>
      </vt:variant>
      <vt:variant>
        <vt:lpwstr/>
      </vt:variant>
      <vt:variant>
        <vt:i4>2949218</vt:i4>
      </vt:variant>
      <vt:variant>
        <vt:i4>0</vt:i4>
      </vt:variant>
      <vt:variant>
        <vt:i4>0</vt:i4>
      </vt:variant>
      <vt:variant>
        <vt:i4>5</vt:i4>
      </vt:variant>
      <vt:variant>
        <vt:lpwstr>https://www.closingthegap.gov.au/national-agreement/national-agreement-closing-the-gap</vt:lpwstr>
      </vt:variant>
      <vt:variant>
        <vt:lpwstr/>
      </vt:variant>
      <vt:variant>
        <vt:i4>8060957</vt:i4>
      </vt:variant>
      <vt:variant>
        <vt:i4>0</vt:i4>
      </vt:variant>
      <vt:variant>
        <vt:i4>0</vt:i4>
      </vt:variant>
      <vt:variant>
        <vt:i4>5</vt:i4>
      </vt:variant>
      <vt:variant>
        <vt:lpwstr>mailto:Ian.Thompson@nousgroup.com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 Review of nKPI and OSR</dc:title>
  <dc:subject>Department of Health, Disability and Ageing</dc:subject>
  <dc:creator>Australian Government Department of Health, Disability and Ageing</dc:creator>
  <cp:keywords/>
  <cp:revision>17</cp:revision>
  <cp:lastPrinted>2026-07-28T10:32:00Z</cp:lastPrinted>
  <dcterms:created xsi:type="dcterms:W3CDTF">2026-08-11T06:15:00Z</dcterms:created>
  <dcterms:modified xsi:type="dcterms:W3CDTF">2026-09-15T00:13:00Z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0x01010034442D97CDE29947A7B74442579F9272</vt:lpwstr>
  </property>
  <property fmtid="{D5CDD505-2E9C-101B-9397-08002B2CF9AE}" pid="3" name="Order">
    <vt:r8>10700</vt:r8>
  </property>
  <property fmtid="{D5CDD505-2E9C-101B-9397-08002B2CF9AE}" pid="4" name="MediaServiceImageTags">
    <vt:lpwstr/>
  </property>
  <property fmtid="{D5CDD505-2E9C-101B-9397-08002B2CF9AE}" pid="5" name="docLang">
    <vt:lpwstr>en</vt:lpwstr>
  </property>
  <property fmtid="{D5CDD505-2E9C-101B-9397-08002B2CF9AE}" pid="6" name="ClassificationContentMarkingHeaderShapeIds">
    <vt:lpwstr>4f2ecc82,3f76c9ed,557f1ead,20b068fd,506997c4,4be2c2c1</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557ea06c,345eae9f,5f04f622,68e061c0,64137eee,6cf0d60f</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2026-04-13T22:58:15Z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86015c93-09e1-4127-8b56-7febcf7ea451</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