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AF93" w14:textId="77777777" w:rsidR="004E2E80" w:rsidRPr="00273CE7" w:rsidRDefault="00485C8E" w:rsidP="00260B03">
      <w:pPr>
        <w:pBdr>
          <w:top w:val="single" w:sz="48" w:space="8" w:color="D6C4B4"/>
          <w:left w:val="single" w:sz="48" w:space="0" w:color="D6C4B4"/>
          <w:bottom w:val="single" w:sz="48" w:space="0" w:color="D6C4B4"/>
          <w:right w:val="single" w:sz="48" w:space="0" w:color="D6C4B4"/>
        </w:pBdr>
        <w:shd w:val="clear" w:color="auto" w:fill="D6C4B4"/>
        <w:rPr>
          <w:rFonts w:asciiTheme="majorHAnsi" w:hAnsiTheme="majorHAnsi"/>
          <w:color w:val="003F50"/>
          <w:sz w:val="18"/>
          <w:szCs w:val="18"/>
        </w:rPr>
      </w:pPr>
      <w:r w:rsidRPr="00273CE7">
        <w:rPr>
          <w:rFonts w:asciiTheme="majorHAnsi" w:hAnsiTheme="majorHAnsi"/>
          <w:b/>
          <w:bCs/>
          <w:color w:val="003F50"/>
          <w:sz w:val="36"/>
          <w:szCs w:val="36"/>
        </w:rPr>
        <w:t>Working in Australia: an orientation to the health system</w:t>
      </w:r>
    </w:p>
    <w:p w14:paraId="72C373A4" w14:textId="77777777" w:rsidR="004E2E80" w:rsidRPr="005507BC" w:rsidRDefault="00485C8E" w:rsidP="00A1452C">
      <w:pPr>
        <w:spacing w:before="320" w:after="160"/>
        <w:rPr>
          <w:rFonts w:asciiTheme="majorHAnsi" w:hAnsiTheme="majorHAnsi"/>
        </w:rPr>
      </w:pPr>
      <w:r w:rsidRPr="005507BC">
        <w:rPr>
          <w:rFonts w:asciiTheme="majorHAnsi" w:hAnsiTheme="majorHAnsi"/>
          <w:sz w:val="22"/>
          <w:szCs w:val="22"/>
        </w:rPr>
        <w:t>These orientation units support internationally qualified health professionals to prepare for safe practice in Australia.</w:t>
      </w:r>
    </w:p>
    <w:p w14:paraId="194B7357" w14:textId="04025A52" w:rsidR="004E2E80" w:rsidRPr="00273CE7" w:rsidRDefault="31CEDF49" w:rsidP="602264FB">
      <w:pPr>
        <w:spacing w:after="160"/>
        <w:rPr>
          <w:rFonts w:asciiTheme="majorHAnsi" w:hAnsiTheme="majorHAnsi"/>
          <w:sz w:val="22"/>
          <w:szCs w:val="22"/>
        </w:rPr>
      </w:pPr>
      <w:r w:rsidRPr="602264FB">
        <w:rPr>
          <w:rFonts w:asciiTheme="majorHAnsi" w:hAnsiTheme="majorHAnsi"/>
          <w:color w:val="262626" w:themeColor="text1" w:themeTint="D9"/>
          <w:sz w:val="22"/>
          <w:szCs w:val="22"/>
        </w:rPr>
        <w:t xml:space="preserve">They provide foundational knowledge about Australia’s healthcare system and regulatory environment. They also cover professional responsibilities, cultural safety requirements, and the delivery of safe, high quality patient care. </w:t>
      </w:r>
    </w:p>
    <w:p w14:paraId="4F38413B" w14:textId="68192777" w:rsidR="004E2E80" w:rsidRPr="00273CE7" w:rsidRDefault="31CEDF49" w:rsidP="602264FB">
      <w:pPr>
        <w:spacing w:after="160"/>
        <w:rPr>
          <w:rFonts w:asciiTheme="majorHAnsi" w:hAnsiTheme="majorHAnsi"/>
          <w:sz w:val="22"/>
          <w:szCs w:val="22"/>
        </w:rPr>
      </w:pPr>
      <w:hyperlink r:id="rId10" w:history="1">
        <w:r w:rsidRPr="00193350">
          <w:rPr>
            <w:rStyle w:val="Hyperlink"/>
            <w:rFonts w:asciiTheme="majorHAnsi" w:hAnsiTheme="majorHAnsi"/>
            <w:b/>
            <w:bCs/>
            <w:sz w:val="22"/>
            <w:szCs w:val="22"/>
          </w:rPr>
          <w:t>Access the units here</w:t>
        </w:r>
      </w:hyperlink>
      <w:r w:rsidR="5D9C484C" w:rsidRPr="602264FB">
        <w:rPr>
          <w:rFonts w:asciiTheme="majorHAnsi" w:hAnsiTheme="majorHAnsi"/>
          <w:color w:val="262626" w:themeColor="text1" w:themeTint="D9"/>
          <w:sz w:val="22"/>
          <w:szCs w:val="22"/>
        </w:rPr>
        <w:t>.</w:t>
      </w:r>
    </w:p>
    <w:p w14:paraId="3C2B4894" w14:textId="77777777" w:rsidR="004E2E80" w:rsidRPr="00273CE7" w:rsidRDefault="00485C8E">
      <w:pPr>
        <w:spacing w:after="160"/>
        <w:rPr>
          <w:rFonts w:asciiTheme="majorHAnsi" w:hAnsiTheme="majorHAnsi"/>
          <w:color w:val="262626"/>
          <w:sz w:val="22"/>
          <w:szCs w:val="22"/>
        </w:rPr>
      </w:pPr>
      <w:r w:rsidRPr="00273CE7">
        <w:rPr>
          <w:rFonts w:asciiTheme="majorHAnsi" w:hAnsiTheme="majorHAnsi"/>
          <w:color w:val="262626"/>
          <w:sz w:val="22"/>
          <w:szCs w:val="22"/>
        </w:rPr>
        <w:t>These units are suitable for all health professionals, including medical practitioners, nurses, midwives, dental practitioners, and allied health professionals. These self-paced units can be completed independently in any order.</w:t>
      </w:r>
    </w:p>
    <w:p w14:paraId="638C2EEE" w14:textId="77777777" w:rsidR="004E2E80" w:rsidRPr="00273CE7" w:rsidRDefault="00485C8E">
      <w:pPr>
        <w:spacing w:after="200"/>
        <w:rPr>
          <w:rFonts w:asciiTheme="majorHAnsi" w:hAnsiTheme="majorHAnsi"/>
          <w:color w:val="262626"/>
          <w:sz w:val="22"/>
          <w:szCs w:val="22"/>
        </w:rPr>
      </w:pPr>
      <w:r w:rsidRPr="00273CE7">
        <w:rPr>
          <w:rFonts w:asciiTheme="majorHAnsi" w:hAnsiTheme="majorHAnsi"/>
          <w:color w:val="262626"/>
          <w:sz w:val="22"/>
          <w:szCs w:val="22"/>
        </w:rPr>
        <w:t>Health professionals are encouraged to complete further training that is relevant and specific to their workplace and profession, which may be delivered or set by employers, professional bodies, or regulators.</w:t>
      </w:r>
    </w:p>
    <w:p w14:paraId="13F14026" w14:textId="77777777" w:rsidR="004E2E80" w:rsidRPr="00273CE7" w:rsidRDefault="00485C8E">
      <w:pPr>
        <w:pBdr>
          <w:bottom w:val="single" w:sz="12" w:space="1" w:color="C4B49E"/>
        </w:pBdr>
        <w:spacing w:after="240"/>
        <w:rPr>
          <w:rFonts w:asciiTheme="majorHAnsi" w:hAnsiTheme="majorHAnsi"/>
          <w:color w:val="003F50"/>
          <w:sz w:val="22"/>
          <w:szCs w:val="22"/>
        </w:rPr>
      </w:pPr>
      <w:r w:rsidRPr="00273CE7">
        <w:rPr>
          <w:rFonts w:asciiTheme="majorHAnsi" w:hAnsiTheme="majorHAnsi"/>
          <w:i/>
          <w:iCs/>
          <w:color w:val="003F50"/>
          <w:sz w:val="22"/>
          <w:szCs w:val="22"/>
        </w:rPr>
        <w:t>Below is a summary of the 22 orientation units. Learners and supervisors can use the checklist to track completion.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50"/>
        <w:gridCol w:w="4866"/>
        <w:gridCol w:w="1150"/>
        <w:gridCol w:w="1300"/>
      </w:tblGrid>
      <w:tr w:rsidR="004E2E80" w:rsidRPr="00273CE7" w14:paraId="47FE68B9" w14:textId="77777777" w:rsidTr="3D9E0ADA">
        <w:trPr>
          <w:tblHeader/>
        </w:trPr>
        <w:tc>
          <w:tcPr>
            <w:tcW w:w="700" w:type="dxa"/>
            <w:tcBorders>
              <w:top w:val="nil"/>
              <w:left w:val="nil"/>
              <w:bottom w:val="single" w:sz="6" w:space="0" w:color="C4B49E"/>
              <w:right w:val="nil"/>
            </w:tcBorders>
            <w:shd w:val="clear" w:color="auto" w:fill="507063"/>
            <w:tcMar>
              <w:top w:w="110" w:type="dxa"/>
              <w:left w:w="120" w:type="dxa"/>
              <w:bottom w:w="110" w:type="dxa"/>
              <w:right w:w="120" w:type="dxa"/>
            </w:tcMar>
            <w:vAlign w:val="center"/>
          </w:tcPr>
          <w:p w14:paraId="302D6FCE" w14:textId="77777777" w:rsidR="004E2E80" w:rsidRPr="00273CE7" w:rsidRDefault="00485C8E">
            <w:pPr>
              <w:jc w:val="center"/>
              <w:rPr>
                <w:rFonts w:asciiTheme="majorHAnsi" w:hAnsiTheme="majorHAnsi"/>
              </w:rPr>
            </w:pPr>
            <w:r w:rsidRPr="00273CE7">
              <w:rPr>
                <w:rFonts w:asciiTheme="majorHAnsi" w:hAnsiTheme="majorHAnsi"/>
                <w:b/>
                <w:bCs/>
                <w:color w:val="FFFFFF"/>
                <w:sz w:val="20"/>
                <w:szCs w:val="20"/>
              </w:rPr>
              <w:t>Unit</w:t>
            </w:r>
          </w:p>
        </w:tc>
        <w:tc>
          <w:tcPr>
            <w:tcW w:w="2450" w:type="dxa"/>
            <w:tcBorders>
              <w:top w:val="nil"/>
              <w:left w:val="nil"/>
              <w:bottom w:val="single" w:sz="6" w:space="0" w:color="C4B49E"/>
              <w:right w:val="nil"/>
            </w:tcBorders>
            <w:shd w:val="clear" w:color="auto" w:fill="507063"/>
            <w:tcMar>
              <w:top w:w="110" w:type="dxa"/>
              <w:left w:w="120" w:type="dxa"/>
              <w:bottom w:w="110" w:type="dxa"/>
              <w:right w:w="120" w:type="dxa"/>
            </w:tcMar>
            <w:vAlign w:val="center"/>
          </w:tcPr>
          <w:p w14:paraId="5A26F6EB" w14:textId="68760C4D" w:rsidR="004E2E80" w:rsidRPr="00273CE7" w:rsidRDefault="2ABC7A9B" w:rsidP="3D9E0ADA">
            <w:pPr>
              <w:spacing w:line="259" w:lineRule="auto"/>
            </w:pPr>
            <w:r w:rsidRPr="3D9E0ADA">
              <w:rPr>
                <w:rFonts w:asciiTheme="majorHAnsi" w:hAnsiTheme="majorHAnsi"/>
                <w:b/>
                <w:bCs/>
                <w:color w:val="FFFFFF" w:themeColor="background1"/>
                <w:sz w:val="20"/>
                <w:szCs w:val="20"/>
              </w:rPr>
              <w:t>Topic</w:t>
            </w:r>
          </w:p>
        </w:tc>
        <w:tc>
          <w:tcPr>
            <w:tcW w:w="4866" w:type="dxa"/>
            <w:tcBorders>
              <w:top w:val="nil"/>
              <w:left w:val="nil"/>
              <w:bottom w:val="single" w:sz="6" w:space="0" w:color="C4B49E"/>
              <w:right w:val="nil"/>
            </w:tcBorders>
            <w:shd w:val="clear" w:color="auto" w:fill="507063"/>
            <w:tcMar>
              <w:top w:w="110" w:type="dxa"/>
              <w:left w:w="120" w:type="dxa"/>
              <w:bottom w:w="110" w:type="dxa"/>
              <w:right w:w="120" w:type="dxa"/>
            </w:tcMar>
            <w:vAlign w:val="center"/>
          </w:tcPr>
          <w:p w14:paraId="23DB8158" w14:textId="77777777" w:rsidR="004E2E80" w:rsidRPr="00273CE7" w:rsidRDefault="00485C8E">
            <w:pPr>
              <w:rPr>
                <w:rFonts w:asciiTheme="majorHAnsi" w:hAnsiTheme="majorHAnsi"/>
              </w:rPr>
            </w:pPr>
            <w:r w:rsidRPr="00273CE7">
              <w:rPr>
                <w:rFonts w:asciiTheme="majorHAnsi" w:hAnsiTheme="majorHAnsi"/>
                <w:b/>
                <w:bCs/>
                <w:color w:val="FFFFFF"/>
                <w:sz w:val="20"/>
                <w:szCs w:val="20"/>
              </w:rPr>
              <w:t>Description</w:t>
            </w:r>
          </w:p>
        </w:tc>
        <w:tc>
          <w:tcPr>
            <w:tcW w:w="1150" w:type="dxa"/>
            <w:tcBorders>
              <w:top w:val="nil"/>
              <w:left w:val="nil"/>
              <w:bottom w:val="single" w:sz="6" w:space="0" w:color="C4B49E"/>
              <w:right w:val="nil"/>
            </w:tcBorders>
            <w:shd w:val="clear" w:color="auto" w:fill="507063"/>
            <w:tcMar>
              <w:top w:w="110" w:type="dxa"/>
              <w:left w:w="120" w:type="dxa"/>
              <w:bottom w:w="110" w:type="dxa"/>
              <w:right w:w="120" w:type="dxa"/>
            </w:tcMar>
            <w:vAlign w:val="center"/>
          </w:tcPr>
          <w:p w14:paraId="36FDDCFE" w14:textId="77777777" w:rsidR="004E2E80" w:rsidRPr="00273CE7" w:rsidRDefault="00485C8E">
            <w:pPr>
              <w:rPr>
                <w:rFonts w:asciiTheme="majorHAnsi" w:hAnsiTheme="majorHAnsi"/>
              </w:rPr>
            </w:pPr>
            <w:r w:rsidRPr="00273CE7">
              <w:rPr>
                <w:rFonts w:asciiTheme="majorHAnsi" w:hAnsiTheme="majorHAnsi"/>
                <w:b/>
                <w:bCs/>
                <w:color w:val="FFFFFF"/>
                <w:sz w:val="20"/>
                <w:szCs w:val="20"/>
              </w:rPr>
              <w:t>Duration</w:t>
            </w:r>
          </w:p>
        </w:tc>
        <w:tc>
          <w:tcPr>
            <w:tcW w:w="1300" w:type="dxa"/>
            <w:tcBorders>
              <w:top w:val="nil"/>
              <w:left w:val="nil"/>
              <w:bottom w:val="single" w:sz="6" w:space="0" w:color="C4B49E"/>
              <w:right w:val="nil"/>
            </w:tcBorders>
            <w:shd w:val="clear" w:color="auto" w:fill="507063"/>
            <w:tcMar>
              <w:top w:w="110" w:type="dxa"/>
              <w:left w:w="120" w:type="dxa"/>
              <w:bottom w:w="110" w:type="dxa"/>
              <w:right w:w="120" w:type="dxa"/>
            </w:tcMar>
            <w:vAlign w:val="center"/>
          </w:tcPr>
          <w:p w14:paraId="4413D5D0" w14:textId="77777777" w:rsidR="004E2E80" w:rsidRPr="00273CE7" w:rsidRDefault="00485C8E">
            <w:pPr>
              <w:jc w:val="center"/>
              <w:rPr>
                <w:rFonts w:asciiTheme="majorHAnsi" w:hAnsiTheme="majorHAnsi"/>
              </w:rPr>
            </w:pPr>
            <w:r w:rsidRPr="00273CE7">
              <w:rPr>
                <w:rFonts w:asciiTheme="majorHAnsi" w:hAnsiTheme="majorHAnsi"/>
                <w:b/>
                <w:bCs/>
                <w:color w:val="FFFFFF"/>
                <w:sz w:val="20"/>
                <w:szCs w:val="20"/>
              </w:rPr>
              <w:t>Completed</w:t>
            </w:r>
          </w:p>
        </w:tc>
      </w:tr>
      <w:tr w:rsidR="004E2E80" w:rsidRPr="00273CE7" w14:paraId="042B66FD" w14:textId="77777777" w:rsidTr="3D9E0ADA">
        <w:trPr>
          <w:cantSplit/>
        </w:trPr>
        <w:tc>
          <w:tcPr>
            <w:tcW w:w="700" w:type="dxa"/>
            <w:tcBorders>
              <w:top w:val="single" w:sz="6" w:space="0" w:color="C4B49E"/>
              <w:left w:val="nil"/>
              <w:bottom w:val="single" w:sz="6" w:space="0" w:color="C4B49E"/>
              <w:right w:val="nil"/>
            </w:tcBorders>
            <w:shd w:val="clear" w:color="auto" w:fill="D6C4B4"/>
            <w:tcMar>
              <w:top w:w="100" w:type="dxa"/>
              <w:left w:w="120" w:type="dxa"/>
              <w:bottom w:w="100" w:type="dxa"/>
              <w:right w:w="120" w:type="dxa"/>
            </w:tcMar>
            <w:vAlign w:val="center"/>
          </w:tcPr>
          <w:p w14:paraId="06046B16" w14:textId="77777777" w:rsidR="004E2E80" w:rsidRPr="00273CE7" w:rsidRDefault="00485C8E">
            <w:pPr>
              <w:jc w:val="center"/>
              <w:rPr>
                <w:rFonts w:asciiTheme="majorHAnsi" w:hAnsiTheme="majorHAnsi"/>
              </w:rPr>
            </w:pPr>
            <w:r w:rsidRPr="00273CE7">
              <w:rPr>
                <w:rFonts w:asciiTheme="majorHAnsi" w:hAnsiTheme="majorHAnsi"/>
                <w:b/>
                <w:bCs/>
                <w:color w:val="1B4A52"/>
                <w:sz w:val="22"/>
                <w:szCs w:val="22"/>
              </w:rPr>
              <w:t>1</w:t>
            </w:r>
          </w:p>
        </w:tc>
        <w:tc>
          <w:tcPr>
            <w:tcW w:w="2450" w:type="dxa"/>
            <w:tcBorders>
              <w:top w:val="single" w:sz="6" w:space="0" w:color="C4B49E"/>
              <w:left w:val="nil"/>
              <w:bottom w:val="single" w:sz="6" w:space="0" w:color="C4B49E"/>
              <w:right w:val="nil"/>
            </w:tcBorders>
            <w:shd w:val="clear" w:color="auto" w:fill="D6C4B4"/>
            <w:tcMar>
              <w:top w:w="100" w:type="dxa"/>
              <w:left w:w="120" w:type="dxa"/>
              <w:bottom w:w="100" w:type="dxa"/>
              <w:right w:w="120" w:type="dxa"/>
            </w:tcMar>
            <w:vAlign w:val="center"/>
          </w:tcPr>
          <w:p w14:paraId="728CD15A" w14:textId="77777777" w:rsidR="004E2E80" w:rsidRPr="00273CE7" w:rsidRDefault="00485C8E">
            <w:pPr>
              <w:rPr>
                <w:rFonts w:asciiTheme="majorHAnsi" w:hAnsiTheme="majorHAnsi"/>
              </w:rPr>
            </w:pPr>
            <w:r w:rsidRPr="00273CE7">
              <w:rPr>
                <w:rFonts w:asciiTheme="majorHAnsi" w:hAnsiTheme="majorHAnsi"/>
                <w:b/>
                <w:bCs/>
                <w:color w:val="003F50"/>
              </w:rPr>
              <w:t>Australia and the health of its people</w:t>
            </w:r>
          </w:p>
        </w:tc>
        <w:tc>
          <w:tcPr>
            <w:tcW w:w="4866" w:type="dxa"/>
            <w:tcBorders>
              <w:top w:val="single" w:sz="6" w:space="0" w:color="C4B49E"/>
              <w:left w:val="nil"/>
              <w:bottom w:val="single" w:sz="6" w:space="0" w:color="C4B49E"/>
              <w:right w:val="nil"/>
            </w:tcBorders>
            <w:shd w:val="clear" w:color="auto" w:fill="D6C4B4"/>
            <w:tcMar>
              <w:top w:w="100" w:type="dxa"/>
              <w:left w:w="120" w:type="dxa"/>
              <w:bottom w:w="100" w:type="dxa"/>
              <w:right w:w="120" w:type="dxa"/>
            </w:tcMar>
            <w:vAlign w:val="center"/>
          </w:tcPr>
          <w:p w14:paraId="1F4869E6" w14:textId="4633F800" w:rsidR="004E2E80" w:rsidRPr="00273CE7" w:rsidRDefault="00485C8E">
            <w:pPr>
              <w:rPr>
                <w:rFonts w:asciiTheme="majorHAnsi" w:hAnsiTheme="majorHAnsi"/>
              </w:rPr>
            </w:pPr>
            <w:r w:rsidRPr="00273CE7">
              <w:rPr>
                <w:rFonts w:asciiTheme="majorHAnsi" w:hAnsiTheme="majorHAnsi"/>
                <w:color w:val="262626"/>
              </w:rPr>
              <w:t>This unit provides an overview of Australia’s geography, population, and the health of its people. It explores Australia’s unique national context, its diverse and multicultural population, and key trends shaping the health of Australians.</w:t>
            </w:r>
          </w:p>
        </w:tc>
        <w:tc>
          <w:tcPr>
            <w:tcW w:w="1150" w:type="dxa"/>
            <w:tcBorders>
              <w:top w:val="single" w:sz="6" w:space="0" w:color="C4B49E"/>
              <w:left w:val="nil"/>
              <w:bottom w:val="single" w:sz="6" w:space="0" w:color="C4B49E"/>
              <w:right w:val="nil"/>
            </w:tcBorders>
            <w:shd w:val="clear" w:color="auto" w:fill="D6C4B4"/>
            <w:tcMar>
              <w:top w:w="100" w:type="dxa"/>
              <w:left w:w="120" w:type="dxa"/>
              <w:bottom w:w="100" w:type="dxa"/>
              <w:right w:w="120" w:type="dxa"/>
            </w:tcMar>
            <w:vAlign w:val="center"/>
          </w:tcPr>
          <w:p w14:paraId="38136E4D"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il"/>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5C7B6054" w14:textId="7404F6DC" w:rsidR="004E2E80" w:rsidRPr="00273CE7" w:rsidRDefault="000E585E">
            <w:pPr>
              <w:jc w:val="center"/>
              <w:rPr>
                <w:rFonts w:asciiTheme="majorHAnsi" w:hAnsiTheme="majorHAnsi"/>
              </w:rPr>
            </w:pPr>
            <w:sdt>
              <w:sdtPr>
                <w:rPr>
                  <w:rFonts w:asciiTheme="majorHAnsi" w:hAnsiTheme="majorHAnsi"/>
                </w:rPr>
                <w:id w:val="-579145988"/>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3B197FC7"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101A9DAD" w14:textId="77777777" w:rsidR="004E2E80" w:rsidRPr="00273CE7" w:rsidRDefault="00485C8E">
            <w:pPr>
              <w:jc w:val="center"/>
              <w:rPr>
                <w:rFonts w:asciiTheme="majorHAnsi" w:hAnsiTheme="majorHAnsi"/>
              </w:rPr>
            </w:pPr>
            <w:r w:rsidRPr="00273CE7">
              <w:rPr>
                <w:rFonts w:asciiTheme="majorHAnsi" w:hAnsiTheme="majorHAnsi"/>
                <w:b/>
                <w:bCs/>
                <w:color w:val="1B4A52"/>
                <w:sz w:val="22"/>
                <w:szCs w:val="22"/>
              </w:rPr>
              <w:t>2</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81FBE4D" w14:textId="77777777" w:rsidR="004E2E80" w:rsidRPr="00273CE7" w:rsidRDefault="00485C8E">
            <w:pPr>
              <w:rPr>
                <w:rFonts w:asciiTheme="majorHAnsi" w:hAnsiTheme="majorHAnsi"/>
              </w:rPr>
            </w:pPr>
            <w:r w:rsidRPr="00273CE7">
              <w:rPr>
                <w:rFonts w:asciiTheme="majorHAnsi" w:hAnsiTheme="majorHAnsi"/>
                <w:b/>
                <w:bCs/>
                <w:color w:val="003F50"/>
              </w:rPr>
              <w:t>The Australian health system</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4D4829D" w14:textId="52BDE6AD" w:rsidR="004E2E80" w:rsidRPr="00273CE7" w:rsidRDefault="00485C8E">
            <w:pPr>
              <w:rPr>
                <w:rFonts w:asciiTheme="majorHAnsi" w:hAnsiTheme="majorHAnsi"/>
              </w:rPr>
            </w:pPr>
            <w:r w:rsidRPr="00273CE7">
              <w:rPr>
                <w:rFonts w:asciiTheme="majorHAnsi" w:hAnsiTheme="majorHAnsi"/>
                <w:color w:val="262626"/>
              </w:rPr>
              <w:t>This unit provides an overview of the principles and funding structure of Australia’s health system. It outlines the roles of federal, state, territory, and local governments, and highlights key programs that support public health across the country.</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07A3976E"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9F51AFF" w14:textId="1945D94E" w:rsidR="004E2E80" w:rsidRPr="00273CE7" w:rsidRDefault="000E585E">
            <w:pPr>
              <w:jc w:val="center"/>
              <w:rPr>
                <w:rFonts w:asciiTheme="majorHAnsi" w:hAnsiTheme="majorHAnsi"/>
              </w:rPr>
            </w:pPr>
            <w:sdt>
              <w:sdtPr>
                <w:rPr>
                  <w:rFonts w:asciiTheme="majorHAnsi" w:hAnsiTheme="majorHAnsi"/>
                </w:rPr>
                <w:id w:val="-1459794175"/>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5DCAE099"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5C47D8A5" w14:textId="77777777" w:rsidR="004E2E80" w:rsidRPr="00273CE7" w:rsidRDefault="00485C8E">
            <w:pPr>
              <w:jc w:val="center"/>
              <w:rPr>
                <w:rFonts w:asciiTheme="majorHAnsi" w:hAnsiTheme="majorHAnsi"/>
              </w:rPr>
            </w:pPr>
            <w:r w:rsidRPr="00273CE7">
              <w:rPr>
                <w:rFonts w:asciiTheme="majorHAnsi" w:hAnsiTheme="majorHAnsi"/>
                <w:b/>
                <w:bCs/>
                <w:color w:val="1B4A52"/>
                <w:sz w:val="22"/>
                <w:szCs w:val="22"/>
              </w:rPr>
              <w:t>3</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4B4F2C99" w14:textId="77777777" w:rsidR="004E2E80" w:rsidRPr="00273CE7" w:rsidRDefault="00485C8E">
            <w:pPr>
              <w:rPr>
                <w:rFonts w:asciiTheme="majorHAnsi" w:hAnsiTheme="majorHAnsi"/>
              </w:rPr>
            </w:pPr>
            <w:r w:rsidRPr="00273CE7">
              <w:rPr>
                <w:rFonts w:asciiTheme="majorHAnsi" w:hAnsiTheme="majorHAnsi"/>
                <w:b/>
                <w:bCs/>
                <w:color w:val="003F50"/>
              </w:rPr>
              <w:t>Medicare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76ED0AF" w14:textId="5A474A0C" w:rsidR="004E2E80" w:rsidRPr="00273CE7" w:rsidRDefault="00485C8E">
            <w:pPr>
              <w:rPr>
                <w:rFonts w:asciiTheme="majorHAnsi" w:hAnsiTheme="majorHAnsi"/>
              </w:rPr>
            </w:pPr>
            <w:r w:rsidRPr="00273CE7">
              <w:rPr>
                <w:rFonts w:asciiTheme="majorHAnsi" w:hAnsiTheme="majorHAnsi"/>
                <w:color w:val="262626"/>
              </w:rPr>
              <w:t>This unit provides an overview of Medicare, including how it operates and who is covered. It also explains Medicare provider numbers, the referral process, and the Child Dental Benefits Schedule, outlining how subsidised healthcare services are accessed.</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148A104" w14:textId="77777777" w:rsidR="004E2E80" w:rsidRPr="00273CE7" w:rsidRDefault="00485C8E">
            <w:pPr>
              <w:rPr>
                <w:rFonts w:asciiTheme="majorHAnsi" w:hAnsiTheme="majorHAnsi"/>
              </w:rPr>
            </w:pPr>
            <w:r w:rsidRPr="00273CE7">
              <w:rPr>
                <w:rFonts w:asciiTheme="majorHAnsi" w:hAnsiTheme="majorHAnsi"/>
                <w:color w:val="262626"/>
              </w:rPr>
              <w:t>25–30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4A55EF51" w14:textId="6461373B" w:rsidR="004E2E80" w:rsidRPr="00273CE7" w:rsidRDefault="000E585E">
            <w:pPr>
              <w:jc w:val="center"/>
              <w:rPr>
                <w:rFonts w:asciiTheme="majorHAnsi" w:hAnsiTheme="majorHAnsi"/>
              </w:rPr>
            </w:pPr>
            <w:sdt>
              <w:sdtPr>
                <w:rPr>
                  <w:rFonts w:asciiTheme="majorHAnsi" w:hAnsiTheme="majorHAnsi"/>
                </w:rPr>
                <w:id w:val="637076514"/>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50D8408F"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4B17362E" w14:textId="77777777" w:rsidR="004E2E80" w:rsidRPr="00273CE7" w:rsidRDefault="00485C8E">
            <w:pPr>
              <w:jc w:val="center"/>
              <w:rPr>
                <w:rFonts w:asciiTheme="majorHAnsi" w:hAnsiTheme="majorHAnsi"/>
              </w:rPr>
            </w:pPr>
            <w:r w:rsidRPr="00273CE7">
              <w:rPr>
                <w:rFonts w:asciiTheme="majorHAnsi" w:hAnsiTheme="majorHAnsi"/>
                <w:b/>
                <w:bCs/>
                <w:color w:val="1B4A52"/>
                <w:sz w:val="22"/>
                <w:szCs w:val="22"/>
              </w:rPr>
              <w:t>4</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486726E" w14:textId="77777777" w:rsidR="004E2E80" w:rsidRPr="00273CE7" w:rsidRDefault="00485C8E">
            <w:pPr>
              <w:rPr>
                <w:rFonts w:asciiTheme="majorHAnsi" w:hAnsiTheme="majorHAnsi"/>
              </w:rPr>
            </w:pPr>
            <w:r w:rsidRPr="00273CE7">
              <w:rPr>
                <w:rFonts w:asciiTheme="majorHAnsi" w:hAnsiTheme="majorHAnsi"/>
                <w:b/>
                <w:bCs/>
                <w:color w:val="003F50"/>
              </w:rPr>
              <w:t>Regulating and prescribing pharmaceuticals</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44E0B922" w14:textId="7BF087F8" w:rsidR="004E2E80" w:rsidRPr="00273CE7" w:rsidRDefault="00485C8E">
            <w:pPr>
              <w:rPr>
                <w:rFonts w:asciiTheme="majorHAnsi" w:hAnsiTheme="majorHAnsi"/>
              </w:rPr>
            </w:pPr>
            <w:r w:rsidRPr="00273CE7">
              <w:rPr>
                <w:rFonts w:asciiTheme="majorHAnsi" w:hAnsiTheme="majorHAnsi"/>
                <w:color w:val="262626"/>
              </w:rPr>
              <w:t>This unit provides an overview of pharmaceuticals in Australia, including prescription and non-prescription medicines, regulation and scheduling. It explores the Pharmaceutical Benefits Scheme, prescribing practices, and the acceptable terms, abbreviations, and dose designations used in clinical care.</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7C2B18A7" w14:textId="77777777" w:rsidR="004E2E80" w:rsidRPr="00273CE7" w:rsidRDefault="00485C8E">
            <w:pPr>
              <w:rPr>
                <w:rFonts w:asciiTheme="majorHAnsi" w:hAnsiTheme="majorHAnsi"/>
              </w:rPr>
            </w:pPr>
            <w:r w:rsidRPr="00273CE7">
              <w:rPr>
                <w:rFonts w:asciiTheme="majorHAnsi" w:hAnsiTheme="majorHAnsi"/>
                <w:color w:val="262626"/>
              </w:rPr>
              <w:t>40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1C5DAD90" w14:textId="498F86B4" w:rsidR="004E2E80" w:rsidRPr="00273CE7" w:rsidRDefault="000E585E">
            <w:pPr>
              <w:jc w:val="center"/>
              <w:rPr>
                <w:rFonts w:asciiTheme="majorHAnsi" w:hAnsiTheme="majorHAnsi"/>
              </w:rPr>
            </w:pPr>
            <w:sdt>
              <w:sdtPr>
                <w:rPr>
                  <w:rFonts w:asciiTheme="majorHAnsi" w:hAnsiTheme="majorHAnsi"/>
                </w:rPr>
                <w:id w:val="-566036109"/>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06E29D9E"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3318039"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5</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D10CF1D" w14:textId="77777777" w:rsidR="004E2E80" w:rsidRPr="00273CE7" w:rsidRDefault="00485C8E">
            <w:pPr>
              <w:rPr>
                <w:rFonts w:asciiTheme="majorHAnsi" w:hAnsiTheme="majorHAnsi"/>
                <w:color w:val="003F50"/>
              </w:rPr>
            </w:pPr>
            <w:r w:rsidRPr="00273CE7">
              <w:rPr>
                <w:rFonts w:asciiTheme="majorHAnsi" w:hAnsiTheme="majorHAnsi"/>
                <w:b/>
                <w:bCs/>
                <w:color w:val="003F50"/>
              </w:rPr>
              <w:t>National Disability Insurance Scheme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8E68585" w14:textId="559D3E96" w:rsidR="004E2E80" w:rsidRPr="00273CE7" w:rsidRDefault="00485C8E">
            <w:pPr>
              <w:rPr>
                <w:rFonts w:asciiTheme="majorHAnsi" w:hAnsiTheme="majorHAnsi"/>
              </w:rPr>
            </w:pPr>
            <w:r w:rsidRPr="00273CE7">
              <w:rPr>
                <w:rFonts w:asciiTheme="majorHAnsi" w:hAnsiTheme="majorHAnsi"/>
                <w:color w:val="262626"/>
              </w:rPr>
              <w:t>This unit provides an overview of the National Disability Insurance Scheme (NDIS), including its purpose and key organisations. It outlines how to work effectively with scheme participants and clarifies the responsibilities of health professionals when interacting with the scheme.</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7E9D0E10" w14:textId="77777777" w:rsidR="004E2E80" w:rsidRPr="00273CE7" w:rsidRDefault="00485C8E">
            <w:pPr>
              <w:rPr>
                <w:rFonts w:asciiTheme="majorHAnsi" w:hAnsiTheme="majorHAnsi"/>
              </w:rPr>
            </w:pPr>
            <w:r w:rsidRPr="00273CE7">
              <w:rPr>
                <w:rFonts w:asciiTheme="majorHAnsi" w:hAnsiTheme="majorHAnsi"/>
                <w:color w:val="262626"/>
              </w:rPr>
              <w:t>10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A317857" w14:textId="156BFB54" w:rsidR="004E2E80" w:rsidRPr="00273CE7" w:rsidRDefault="000E585E">
            <w:pPr>
              <w:jc w:val="center"/>
              <w:rPr>
                <w:rFonts w:asciiTheme="majorHAnsi" w:hAnsiTheme="majorHAnsi"/>
              </w:rPr>
            </w:pPr>
            <w:sdt>
              <w:sdtPr>
                <w:rPr>
                  <w:rFonts w:asciiTheme="majorHAnsi" w:hAnsiTheme="majorHAnsi"/>
                </w:rPr>
                <w:id w:val="711082394"/>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136DFCD0"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3EC55B1D"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6</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34454186" w14:textId="77777777" w:rsidR="004E2E80" w:rsidRPr="00273CE7" w:rsidRDefault="00485C8E">
            <w:pPr>
              <w:rPr>
                <w:rFonts w:asciiTheme="majorHAnsi" w:hAnsiTheme="majorHAnsi"/>
                <w:color w:val="003F50"/>
              </w:rPr>
            </w:pPr>
            <w:r w:rsidRPr="00273CE7">
              <w:rPr>
                <w:rFonts w:asciiTheme="majorHAnsi" w:hAnsiTheme="majorHAnsi"/>
                <w:b/>
                <w:bCs/>
                <w:color w:val="003F50"/>
              </w:rPr>
              <w:t>Health system funding other than Medicare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FEF9149" w14:textId="0C76E653" w:rsidR="004E2E80" w:rsidRPr="00273CE7" w:rsidRDefault="00485C8E">
            <w:pPr>
              <w:rPr>
                <w:rFonts w:asciiTheme="majorHAnsi" w:hAnsiTheme="majorHAnsi"/>
              </w:rPr>
            </w:pPr>
            <w:r w:rsidRPr="00273CE7">
              <w:rPr>
                <w:rFonts w:asciiTheme="majorHAnsi" w:hAnsiTheme="majorHAnsi"/>
                <w:color w:val="262626"/>
              </w:rPr>
              <w:t>This unit provides an overview of health system funding beyond Medicare, including the Department of Veterans’ Affairs, private health insurance, workers’ compensation, and compulsory third-party insurance. It outlines how these schemes support access to healthcare and interact with clinical practice.</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04A59509"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F5322E1" w14:textId="050D05E7" w:rsidR="004E2E80" w:rsidRPr="00273CE7" w:rsidRDefault="000E585E">
            <w:pPr>
              <w:jc w:val="center"/>
              <w:rPr>
                <w:rFonts w:asciiTheme="majorHAnsi" w:hAnsiTheme="majorHAnsi"/>
              </w:rPr>
            </w:pPr>
            <w:sdt>
              <w:sdtPr>
                <w:rPr>
                  <w:rFonts w:asciiTheme="majorHAnsi" w:hAnsiTheme="majorHAnsi"/>
                </w:rPr>
                <w:id w:val="-9307849"/>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3B12A751"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7D8880B0"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lastRenderedPageBreak/>
              <w:t>7</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78BDEAED" w14:textId="77777777" w:rsidR="004E2E80" w:rsidRPr="00273CE7" w:rsidRDefault="00485C8E">
            <w:pPr>
              <w:rPr>
                <w:rFonts w:asciiTheme="majorHAnsi" w:hAnsiTheme="majorHAnsi"/>
                <w:color w:val="003F50"/>
              </w:rPr>
            </w:pPr>
            <w:r w:rsidRPr="00273CE7">
              <w:rPr>
                <w:rFonts w:asciiTheme="majorHAnsi" w:hAnsiTheme="majorHAnsi"/>
                <w:b/>
                <w:bCs/>
                <w:color w:val="003F50"/>
              </w:rPr>
              <w:t>Regulation: maintaining safety and quality in patient care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28EA8434" w14:textId="486EABDC" w:rsidR="004E2E80" w:rsidRPr="00273CE7" w:rsidRDefault="00485C8E">
            <w:pPr>
              <w:rPr>
                <w:rFonts w:asciiTheme="majorHAnsi" w:hAnsiTheme="majorHAnsi"/>
              </w:rPr>
            </w:pPr>
            <w:r w:rsidRPr="00273CE7">
              <w:rPr>
                <w:rFonts w:asciiTheme="majorHAnsi" w:hAnsiTheme="majorHAnsi"/>
                <w:color w:val="262626"/>
              </w:rPr>
              <w:t>This unit provides an overview of the Australian health workforce, including its structure and regulation. It outlines the National Registration and Accreditation Scheme, professions not covered by it, and the regulation of health practitioners and services. It also covers professional indemnity insurance and key legislative and regulatory requirements, including advertising.</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47DE8D57" w14:textId="77777777" w:rsidR="004E2E80" w:rsidRPr="00273CE7" w:rsidRDefault="00485C8E">
            <w:pPr>
              <w:rPr>
                <w:rFonts w:asciiTheme="majorHAnsi" w:hAnsiTheme="majorHAnsi"/>
              </w:rPr>
            </w:pPr>
            <w:r w:rsidRPr="00273CE7">
              <w:rPr>
                <w:rFonts w:asciiTheme="majorHAnsi" w:hAnsiTheme="majorHAnsi"/>
                <w:color w:val="262626"/>
              </w:rPr>
              <w:t>45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FE12343" w14:textId="522D97FD" w:rsidR="004E2E80" w:rsidRPr="00273CE7" w:rsidRDefault="000E585E">
            <w:pPr>
              <w:jc w:val="center"/>
              <w:rPr>
                <w:rFonts w:asciiTheme="majorHAnsi" w:hAnsiTheme="majorHAnsi"/>
              </w:rPr>
            </w:pPr>
            <w:sdt>
              <w:sdtPr>
                <w:rPr>
                  <w:rFonts w:asciiTheme="majorHAnsi" w:hAnsiTheme="majorHAnsi"/>
                </w:rPr>
                <w:id w:val="856001589"/>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38C128C3"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5A9B06E"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8</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9E25C47" w14:textId="77777777" w:rsidR="004E2E80" w:rsidRPr="00273CE7" w:rsidRDefault="00485C8E">
            <w:pPr>
              <w:rPr>
                <w:rFonts w:asciiTheme="majorHAnsi" w:hAnsiTheme="majorHAnsi"/>
                <w:color w:val="003F50"/>
              </w:rPr>
            </w:pPr>
            <w:r w:rsidRPr="00273CE7">
              <w:rPr>
                <w:rFonts w:asciiTheme="majorHAnsi" w:hAnsiTheme="majorHAnsi"/>
                <w:b/>
                <w:bCs/>
                <w:color w:val="003F50"/>
              </w:rPr>
              <w:t>Complaints and notifications</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BFAF459" w14:textId="58C3E91E" w:rsidR="004E2E80" w:rsidRPr="00273CE7" w:rsidRDefault="00485C8E">
            <w:pPr>
              <w:rPr>
                <w:rFonts w:asciiTheme="majorHAnsi" w:hAnsiTheme="majorHAnsi"/>
              </w:rPr>
            </w:pPr>
            <w:r w:rsidRPr="00273CE7">
              <w:rPr>
                <w:rFonts w:asciiTheme="majorHAnsi" w:hAnsiTheme="majorHAnsi"/>
                <w:color w:val="262626"/>
              </w:rPr>
              <w:t>This unit provides an overview of the complaints and notifications process for health professionals in Australia. It explains the difference between a complaint and a notification, who can make them, who assesses them, and the responsibilities of health professionals in responding appropriately within legal and professional standards.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57CCB07" w14:textId="77777777" w:rsidR="004E2E80" w:rsidRPr="00273CE7" w:rsidRDefault="00485C8E">
            <w:pPr>
              <w:rPr>
                <w:rFonts w:asciiTheme="majorHAnsi" w:hAnsiTheme="majorHAnsi"/>
              </w:rPr>
            </w:pPr>
            <w:r w:rsidRPr="00273CE7">
              <w:rPr>
                <w:rFonts w:asciiTheme="majorHAnsi" w:hAnsiTheme="majorHAnsi"/>
                <w:color w:val="262626"/>
              </w:rPr>
              <w:t>15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F85BD6F" w14:textId="5F2602A6" w:rsidR="004E2E80" w:rsidRPr="00273CE7" w:rsidRDefault="000E585E">
            <w:pPr>
              <w:jc w:val="center"/>
              <w:rPr>
                <w:rFonts w:asciiTheme="majorHAnsi" w:hAnsiTheme="majorHAnsi"/>
              </w:rPr>
            </w:pPr>
            <w:sdt>
              <w:sdtPr>
                <w:rPr>
                  <w:rFonts w:asciiTheme="majorHAnsi" w:hAnsiTheme="majorHAnsi"/>
                </w:rPr>
                <w:id w:val="634849919"/>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7F97D0C2"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54587B8"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9</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774979A" w14:textId="77777777" w:rsidR="004E2E80" w:rsidRPr="00273CE7" w:rsidRDefault="00485C8E">
            <w:pPr>
              <w:rPr>
                <w:rFonts w:asciiTheme="majorHAnsi" w:hAnsiTheme="majorHAnsi"/>
                <w:color w:val="003F50"/>
              </w:rPr>
            </w:pPr>
            <w:r w:rsidRPr="00273CE7">
              <w:rPr>
                <w:rFonts w:asciiTheme="majorHAnsi" w:hAnsiTheme="majorHAnsi"/>
                <w:b/>
                <w:bCs/>
                <w:color w:val="003F50"/>
              </w:rPr>
              <w:t>Consent in Australian healthcare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0EE8CF28" w14:textId="6ED307B3" w:rsidR="004E2E80" w:rsidRPr="00273CE7" w:rsidRDefault="00485C8E">
            <w:pPr>
              <w:rPr>
                <w:rFonts w:asciiTheme="majorHAnsi" w:hAnsiTheme="majorHAnsi"/>
              </w:rPr>
            </w:pPr>
            <w:r w:rsidRPr="00273CE7">
              <w:rPr>
                <w:rFonts w:asciiTheme="majorHAnsi" w:hAnsiTheme="majorHAnsi"/>
                <w:color w:val="262626"/>
              </w:rPr>
              <w:t>This unit provides an overview of consent in Australian healthcare, including legal and ethical requirements. It explains capacity, substitute decision-makers, and the responsibilities of health professionals when obtaining and documenting consent.</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45FEDB4"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F2EC066" w14:textId="58072F52" w:rsidR="004E2E80" w:rsidRPr="00273CE7" w:rsidRDefault="000E585E">
            <w:pPr>
              <w:jc w:val="center"/>
              <w:rPr>
                <w:rFonts w:asciiTheme="majorHAnsi" w:hAnsiTheme="majorHAnsi"/>
              </w:rPr>
            </w:pPr>
            <w:sdt>
              <w:sdtPr>
                <w:rPr>
                  <w:rFonts w:asciiTheme="majorHAnsi" w:hAnsiTheme="majorHAnsi"/>
                </w:rPr>
                <w:id w:val="-248812124"/>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10A9EB70" w14:textId="77777777" w:rsidTr="3D9E0ADA">
        <w:trPr>
          <w:cantSplit/>
        </w:trPr>
        <w:tc>
          <w:tcPr>
            <w:tcW w:w="700" w:type="dxa"/>
            <w:tcBorders>
              <w:top w:val="single" w:sz="6" w:space="0" w:color="C4B49E"/>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7E309C28"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10</w:t>
            </w:r>
          </w:p>
        </w:tc>
        <w:tc>
          <w:tcPr>
            <w:tcW w:w="2450" w:type="dxa"/>
            <w:tcBorders>
              <w:top w:val="single" w:sz="6" w:space="0" w:color="C4B49E"/>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29E3AA23" w14:textId="77777777" w:rsidR="004E2E80" w:rsidRPr="00273CE7" w:rsidRDefault="00485C8E">
            <w:pPr>
              <w:rPr>
                <w:rFonts w:asciiTheme="majorHAnsi" w:hAnsiTheme="majorHAnsi"/>
                <w:color w:val="003F50"/>
              </w:rPr>
            </w:pPr>
            <w:r w:rsidRPr="00273CE7">
              <w:rPr>
                <w:rFonts w:asciiTheme="majorHAnsi" w:hAnsiTheme="majorHAnsi"/>
                <w:b/>
                <w:bCs/>
                <w:color w:val="003F50"/>
              </w:rPr>
              <w:t>Health information and privacy</w:t>
            </w:r>
          </w:p>
        </w:tc>
        <w:tc>
          <w:tcPr>
            <w:tcW w:w="4866" w:type="dxa"/>
            <w:tcBorders>
              <w:top w:val="single" w:sz="6" w:space="0" w:color="C4B49E"/>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1E02C115" w14:textId="30DB5C22" w:rsidR="004E2E80" w:rsidRPr="00273CE7" w:rsidRDefault="00485C8E">
            <w:pPr>
              <w:rPr>
                <w:rFonts w:asciiTheme="majorHAnsi" w:hAnsiTheme="majorHAnsi"/>
              </w:rPr>
            </w:pPr>
            <w:r w:rsidRPr="00273CE7">
              <w:rPr>
                <w:rFonts w:asciiTheme="majorHAnsi" w:hAnsiTheme="majorHAnsi"/>
                <w:color w:val="262626"/>
              </w:rPr>
              <w:t>This unit provides an overview of health information in Australia, including the principles and legal requirements for its collection, use, and disclosure. It also explores privacy, confidentiality, and My Health Record, and their role in supporting safe and ethical clinical practice.</w:t>
            </w:r>
          </w:p>
        </w:tc>
        <w:tc>
          <w:tcPr>
            <w:tcW w:w="1150" w:type="dxa"/>
            <w:tcBorders>
              <w:top w:val="single" w:sz="6" w:space="0" w:color="C4B49E"/>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6AB5F73A" w14:textId="77777777" w:rsidR="004E2E80" w:rsidRPr="00273CE7" w:rsidRDefault="00485C8E">
            <w:pPr>
              <w:rPr>
                <w:rFonts w:asciiTheme="majorHAnsi" w:hAnsiTheme="majorHAnsi"/>
              </w:rPr>
            </w:pPr>
            <w:r w:rsidRPr="00273CE7">
              <w:rPr>
                <w:rFonts w:asciiTheme="majorHAnsi" w:hAnsiTheme="majorHAnsi"/>
                <w:color w:val="262626"/>
              </w:rPr>
              <w:t>30 minutes</w:t>
            </w:r>
          </w:p>
        </w:tc>
        <w:tc>
          <w:tcPr>
            <w:tcW w:w="1300" w:type="dxa"/>
            <w:tcBorders>
              <w:top w:val="single" w:sz="6" w:space="0" w:color="C4B49E"/>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61DA598A" w14:textId="2E700664" w:rsidR="004E2E80" w:rsidRPr="00273CE7" w:rsidRDefault="000E585E">
            <w:pPr>
              <w:jc w:val="center"/>
              <w:rPr>
                <w:rFonts w:asciiTheme="majorHAnsi" w:hAnsiTheme="majorHAnsi"/>
              </w:rPr>
            </w:pPr>
            <w:sdt>
              <w:sdtPr>
                <w:rPr>
                  <w:rFonts w:asciiTheme="majorHAnsi" w:hAnsiTheme="majorHAnsi"/>
                </w:rPr>
                <w:id w:val="-2027243822"/>
                <w14:checkbox>
                  <w14:checked w14:val="0"/>
                  <w14:checkedState w14:val="2612" w14:font="MS Gothic"/>
                  <w14:uncheckedState w14:val="2610" w14:font="MS Gothic"/>
                </w14:checkbox>
              </w:sdtPr>
              <w:sdtEndPr/>
              <w:sdtContent>
                <w:r w:rsidR="005F7462" w:rsidRPr="00273CE7">
                  <w:rPr>
                    <w:rFonts w:asciiTheme="majorHAnsi" w:eastAsia="MS Gothic" w:hAnsiTheme="majorHAnsi"/>
                  </w:rPr>
                  <w:t>☐</w:t>
                </w:r>
              </w:sdtContent>
            </w:sdt>
          </w:p>
        </w:tc>
      </w:tr>
      <w:tr w:rsidR="004E2E80" w:rsidRPr="00273CE7" w14:paraId="53F5CA5F" w14:textId="77777777" w:rsidTr="3D9E0ADA">
        <w:trPr>
          <w:cantSplit/>
        </w:trPr>
        <w:tc>
          <w:tcPr>
            <w:tcW w:w="700" w:type="dxa"/>
            <w:tcBorders>
              <w:top w:val="nil"/>
              <w:left w:val="nil"/>
              <w:bottom w:val="nil"/>
              <w:right w:val="nil"/>
            </w:tcBorders>
            <w:shd w:val="clear" w:color="auto" w:fill="D6C4B4"/>
            <w:tcMar>
              <w:top w:w="100" w:type="dxa"/>
              <w:left w:w="120" w:type="dxa"/>
              <w:bottom w:w="100" w:type="dxa"/>
              <w:right w:w="120" w:type="dxa"/>
            </w:tcMar>
            <w:vAlign w:val="center"/>
          </w:tcPr>
          <w:p w14:paraId="61B9D52B"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11</w:t>
            </w:r>
          </w:p>
        </w:tc>
        <w:tc>
          <w:tcPr>
            <w:tcW w:w="2450" w:type="dxa"/>
            <w:tcBorders>
              <w:top w:val="nil"/>
              <w:left w:val="nil"/>
              <w:bottom w:val="nil"/>
              <w:right w:val="nil"/>
            </w:tcBorders>
            <w:shd w:val="clear" w:color="auto" w:fill="D6C4B4"/>
            <w:tcMar>
              <w:top w:w="100" w:type="dxa"/>
              <w:left w:w="120" w:type="dxa"/>
              <w:bottom w:w="100" w:type="dxa"/>
              <w:right w:w="120" w:type="dxa"/>
            </w:tcMar>
            <w:vAlign w:val="center"/>
          </w:tcPr>
          <w:p w14:paraId="3133B647" w14:textId="77777777" w:rsidR="004E2E80" w:rsidRPr="00273CE7" w:rsidRDefault="00485C8E">
            <w:pPr>
              <w:rPr>
                <w:rFonts w:asciiTheme="majorHAnsi" w:hAnsiTheme="majorHAnsi"/>
                <w:color w:val="003F50"/>
              </w:rPr>
            </w:pPr>
            <w:r w:rsidRPr="00273CE7">
              <w:rPr>
                <w:rFonts w:asciiTheme="majorHAnsi" w:hAnsiTheme="majorHAnsi"/>
                <w:b/>
                <w:bCs/>
                <w:color w:val="003F50"/>
              </w:rPr>
              <w:t>Policies and processes concerning death and dying</w:t>
            </w:r>
          </w:p>
        </w:tc>
        <w:tc>
          <w:tcPr>
            <w:tcW w:w="4866" w:type="dxa"/>
            <w:tcBorders>
              <w:top w:val="nil"/>
              <w:left w:val="nil"/>
              <w:bottom w:val="nil"/>
              <w:right w:val="nil"/>
            </w:tcBorders>
            <w:shd w:val="clear" w:color="auto" w:fill="D6C4B4"/>
            <w:tcMar>
              <w:top w:w="100" w:type="dxa"/>
              <w:left w:w="120" w:type="dxa"/>
              <w:bottom w:w="100" w:type="dxa"/>
              <w:right w:w="120" w:type="dxa"/>
            </w:tcMar>
            <w:vAlign w:val="center"/>
          </w:tcPr>
          <w:p w14:paraId="27E48B99" w14:textId="6A6A52CD" w:rsidR="004E2E80" w:rsidRPr="00273CE7" w:rsidRDefault="00485C8E">
            <w:pPr>
              <w:rPr>
                <w:rFonts w:asciiTheme="majorHAnsi" w:hAnsiTheme="majorHAnsi"/>
              </w:rPr>
            </w:pPr>
            <w:r w:rsidRPr="00273CE7">
              <w:rPr>
                <w:rFonts w:asciiTheme="majorHAnsi" w:hAnsiTheme="majorHAnsi"/>
                <w:color w:val="262626"/>
              </w:rPr>
              <w:t>This unit provides an overview of the legal and professional responsibilities when a person dies in Australia. It covers the Coroners Act, completion of Parts A and B of the Medical Certificate of Cause of Death, and key aspects of end-of-life and palliative care, including advance care planning, advance care directives, and voluntary assisted dying.</w:t>
            </w:r>
          </w:p>
        </w:tc>
        <w:tc>
          <w:tcPr>
            <w:tcW w:w="1150" w:type="dxa"/>
            <w:tcBorders>
              <w:top w:val="nil"/>
              <w:left w:val="nil"/>
              <w:bottom w:val="nil"/>
              <w:right w:val="nil"/>
            </w:tcBorders>
            <w:shd w:val="clear" w:color="auto" w:fill="D6C4B4"/>
            <w:tcMar>
              <w:top w:w="100" w:type="dxa"/>
              <w:left w:w="120" w:type="dxa"/>
              <w:bottom w:w="100" w:type="dxa"/>
              <w:right w:w="120" w:type="dxa"/>
            </w:tcMar>
            <w:vAlign w:val="center"/>
          </w:tcPr>
          <w:p w14:paraId="05CC4334" w14:textId="77777777" w:rsidR="004E2E80" w:rsidRPr="00273CE7" w:rsidRDefault="00485C8E">
            <w:pPr>
              <w:rPr>
                <w:rFonts w:asciiTheme="majorHAnsi" w:hAnsiTheme="majorHAnsi"/>
              </w:rPr>
            </w:pPr>
            <w:r w:rsidRPr="00273CE7">
              <w:rPr>
                <w:rFonts w:asciiTheme="majorHAnsi" w:hAnsiTheme="majorHAnsi"/>
                <w:color w:val="262626"/>
              </w:rPr>
              <w:t>30 minutes</w:t>
            </w:r>
          </w:p>
        </w:tc>
        <w:tc>
          <w:tcPr>
            <w:tcW w:w="1300" w:type="dxa"/>
            <w:tcBorders>
              <w:top w:val="nil"/>
              <w:left w:val="nil"/>
              <w:bottom w:val="nil"/>
              <w:right w:val="nil"/>
            </w:tcBorders>
            <w:shd w:val="clear" w:color="auto" w:fill="D6C4B4"/>
            <w:tcMar>
              <w:top w:w="100" w:type="dxa"/>
              <w:left w:w="120" w:type="dxa"/>
              <w:bottom w:w="100" w:type="dxa"/>
              <w:right w:w="120" w:type="dxa"/>
            </w:tcMar>
            <w:vAlign w:val="center"/>
          </w:tcPr>
          <w:p w14:paraId="083AD479" w14:textId="2537F169" w:rsidR="004E2E80" w:rsidRPr="00273CE7" w:rsidRDefault="000E585E">
            <w:pPr>
              <w:jc w:val="center"/>
              <w:rPr>
                <w:rFonts w:asciiTheme="majorHAnsi" w:hAnsiTheme="majorHAnsi"/>
              </w:rPr>
            </w:pPr>
            <w:sdt>
              <w:sdtPr>
                <w:rPr>
                  <w:rFonts w:asciiTheme="majorHAnsi" w:hAnsiTheme="majorHAnsi"/>
                </w:rPr>
                <w:id w:val="111788653"/>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66DF950A" w14:textId="77777777" w:rsidTr="3D9E0ADA">
        <w:trPr>
          <w:cantSplit/>
        </w:trPr>
        <w:tc>
          <w:tcPr>
            <w:tcW w:w="700" w:type="dxa"/>
            <w:tcBorders>
              <w:top w:val="nil"/>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176182FE"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12</w:t>
            </w:r>
          </w:p>
        </w:tc>
        <w:tc>
          <w:tcPr>
            <w:tcW w:w="2450" w:type="dxa"/>
            <w:tcBorders>
              <w:top w:val="nil"/>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12EB1402" w14:textId="77777777" w:rsidR="004E2E80" w:rsidRPr="00273CE7" w:rsidRDefault="00485C8E">
            <w:pPr>
              <w:rPr>
                <w:rFonts w:asciiTheme="majorHAnsi" w:hAnsiTheme="majorHAnsi"/>
                <w:color w:val="003F50"/>
              </w:rPr>
            </w:pPr>
            <w:r w:rsidRPr="00273CE7">
              <w:rPr>
                <w:rFonts w:asciiTheme="majorHAnsi" w:hAnsiTheme="majorHAnsi"/>
                <w:b/>
                <w:bCs/>
                <w:color w:val="003F50"/>
              </w:rPr>
              <w:t>Child protection and domestic family violence</w:t>
            </w:r>
          </w:p>
        </w:tc>
        <w:tc>
          <w:tcPr>
            <w:tcW w:w="4866" w:type="dxa"/>
            <w:tcBorders>
              <w:top w:val="nil"/>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5F6B3A03" w14:textId="0BF76322" w:rsidR="004E2E80" w:rsidRPr="00273CE7" w:rsidRDefault="00485C8E">
            <w:pPr>
              <w:rPr>
                <w:rFonts w:asciiTheme="majorHAnsi" w:hAnsiTheme="majorHAnsi"/>
              </w:rPr>
            </w:pPr>
            <w:r w:rsidRPr="00273CE7">
              <w:rPr>
                <w:rFonts w:asciiTheme="majorHAnsi" w:hAnsiTheme="majorHAnsi"/>
                <w:color w:val="262626"/>
              </w:rPr>
              <w:t>This unit covers child protection, child abuse and neglect, and responses to domestic and family violence. It emphasises the responsibility of health professionals to identify, respond to, and report concerns, while building skills to support vulnerable patients using trauma-informed, and legally compliant approaches.</w:t>
            </w:r>
          </w:p>
        </w:tc>
        <w:tc>
          <w:tcPr>
            <w:tcW w:w="1150" w:type="dxa"/>
            <w:tcBorders>
              <w:top w:val="nil"/>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2F9D6227" w14:textId="77777777" w:rsidR="004E2E80" w:rsidRPr="00273CE7" w:rsidRDefault="00485C8E">
            <w:pPr>
              <w:rPr>
                <w:rFonts w:asciiTheme="majorHAnsi" w:hAnsiTheme="majorHAnsi"/>
              </w:rPr>
            </w:pPr>
            <w:r w:rsidRPr="00273CE7">
              <w:rPr>
                <w:rFonts w:asciiTheme="majorHAnsi" w:hAnsiTheme="majorHAnsi"/>
                <w:color w:val="262626"/>
              </w:rPr>
              <w:t>20 minutes</w:t>
            </w:r>
          </w:p>
        </w:tc>
        <w:tc>
          <w:tcPr>
            <w:tcW w:w="1300" w:type="dxa"/>
            <w:tcBorders>
              <w:top w:val="nil"/>
              <w:left w:val="none" w:sz="0" w:space="0" w:color="FFFFFF" w:themeColor="background1"/>
              <w:bottom w:val="nil"/>
              <w:right w:val="none" w:sz="0" w:space="0" w:color="FFFFFF" w:themeColor="background1"/>
            </w:tcBorders>
            <w:shd w:val="clear" w:color="auto" w:fill="FFFFFF" w:themeFill="background1"/>
            <w:tcMar>
              <w:top w:w="100" w:type="dxa"/>
              <w:left w:w="120" w:type="dxa"/>
              <w:bottom w:w="100" w:type="dxa"/>
              <w:right w:w="120" w:type="dxa"/>
            </w:tcMar>
            <w:vAlign w:val="center"/>
          </w:tcPr>
          <w:p w14:paraId="43CB3C92" w14:textId="01C671B2" w:rsidR="004E2E80" w:rsidRPr="00273CE7" w:rsidRDefault="000E585E">
            <w:pPr>
              <w:jc w:val="center"/>
              <w:rPr>
                <w:rFonts w:asciiTheme="majorHAnsi" w:hAnsiTheme="majorHAnsi"/>
              </w:rPr>
            </w:pPr>
            <w:sdt>
              <w:sdtPr>
                <w:rPr>
                  <w:rFonts w:asciiTheme="majorHAnsi" w:hAnsiTheme="majorHAnsi"/>
                </w:rPr>
                <w:id w:val="1100689838"/>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1274E16A" w14:textId="77777777" w:rsidTr="3D9E0ADA">
        <w:trPr>
          <w:cantSplit/>
        </w:trPr>
        <w:tc>
          <w:tcPr>
            <w:tcW w:w="700" w:type="dxa"/>
            <w:tcBorders>
              <w:top w:val="nil"/>
              <w:left w:val="nil"/>
              <w:bottom w:val="nil"/>
              <w:right w:val="nil"/>
            </w:tcBorders>
            <w:shd w:val="clear" w:color="auto" w:fill="D6C4B4"/>
            <w:tcMar>
              <w:top w:w="100" w:type="dxa"/>
              <w:left w:w="120" w:type="dxa"/>
              <w:bottom w:w="100" w:type="dxa"/>
              <w:right w:w="120" w:type="dxa"/>
            </w:tcMar>
            <w:vAlign w:val="center"/>
          </w:tcPr>
          <w:p w14:paraId="2A657EF8"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13</w:t>
            </w:r>
          </w:p>
        </w:tc>
        <w:tc>
          <w:tcPr>
            <w:tcW w:w="2450" w:type="dxa"/>
            <w:tcBorders>
              <w:top w:val="nil"/>
              <w:left w:val="nil"/>
              <w:bottom w:val="nil"/>
              <w:right w:val="nil"/>
            </w:tcBorders>
            <w:shd w:val="clear" w:color="auto" w:fill="D6C4B4"/>
            <w:tcMar>
              <w:top w:w="100" w:type="dxa"/>
              <w:left w:w="120" w:type="dxa"/>
              <w:bottom w:w="100" w:type="dxa"/>
              <w:right w:w="120" w:type="dxa"/>
            </w:tcMar>
            <w:vAlign w:val="center"/>
          </w:tcPr>
          <w:p w14:paraId="12C4BDDF" w14:textId="77777777" w:rsidR="004E2E80" w:rsidRPr="00273CE7" w:rsidRDefault="00485C8E">
            <w:pPr>
              <w:rPr>
                <w:rFonts w:asciiTheme="majorHAnsi" w:hAnsiTheme="majorHAnsi"/>
                <w:color w:val="003F50"/>
              </w:rPr>
            </w:pPr>
            <w:r w:rsidRPr="00273CE7">
              <w:rPr>
                <w:rFonts w:asciiTheme="majorHAnsi" w:hAnsiTheme="majorHAnsi"/>
                <w:b/>
                <w:bCs/>
                <w:color w:val="003F50"/>
              </w:rPr>
              <w:t>Aged care</w:t>
            </w:r>
          </w:p>
        </w:tc>
        <w:tc>
          <w:tcPr>
            <w:tcW w:w="4866" w:type="dxa"/>
            <w:tcBorders>
              <w:top w:val="nil"/>
              <w:left w:val="nil"/>
              <w:bottom w:val="nil"/>
              <w:right w:val="nil"/>
            </w:tcBorders>
            <w:shd w:val="clear" w:color="auto" w:fill="D6C4B4"/>
            <w:tcMar>
              <w:top w:w="100" w:type="dxa"/>
              <w:left w:w="120" w:type="dxa"/>
              <w:bottom w:w="100" w:type="dxa"/>
              <w:right w:w="120" w:type="dxa"/>
            </w:tcMar>
            <w:vAlign w:val="center"/>
          </w:tcPr>
          <w:p w14:paraId="20B4DC52" w14:textId="2CA2CEF8" w:rsidR="004E2E80" w:rsidRPr="00273CE7" w:rsidRDefault="00485C8E">
            <w:pPr>
              <w:rPr>
                <w:rFonts w:asciiTheme="majorHAnsi" w:hAnsiTheme="majorHAnsi"/>
              </w:rPr>
            </w:pPr>
            <w:r w:rsidRPr="00273CE7">
              <w:rPr>
                <w:rFonts w:asciiTheme="majorHAnsi" w:hAnsiTheme="majorHAnsi"/>
                <w:color w:val="262626"/>
              </w:rPr>
              <w:t>This unit provides an overview of aged care in Australia, including services and workforce. It outlines how services are funded, accessed, and regulated, and key professionals and types of care supporting older people.</w:t>
            </w:r>
          </w:p>
        </w:tc>
        <w:tc>
          <w:tcPr>
            <w:tcW w:w="1150" w:type="dxa"/>
            <w:tcBorders>
              <w:top w:val="nil"/>
              <w:left w:val="nil"/>
              <w:bottom w:val="nil"/>
              <w:right w:val="nil"/>
            </w:tcBorders>
            <w:shd w:val="clear" w:color="auto" w:fill="D6C4B4"/>
            <w:tcMar>
              <w:top w:w="100" w:type="dxa"/>
              <w:left w:w="120" w:type="dxa"/>
              <w:bottom w:w="100" w:type="dxa"/>
              <w:right w:w="120" w:type="dxa"/>
            </w:tcMar>
            <w:vAlign w:val="center"/>
          </w:tcPr>
          <w:p w14:paraId="5574F421" w14:textId="77777777" w:rsidR="004E2E80" w:rsidRPr="00273CE7" w:rsidRDefault="00485C8E">
            <w:pPr>
              <w:rPr>
                <w:rFonts w:asciiTheme="majorHAnsi" w:hAnsiTheme="majorHAnsi"/>
              </w:rPr>
            </w:pPr>
            <w:r w:rsidRPr="00273CE7">
              <w:rPr>
                <w:rFonts w:asciiTheme="majorHAnsi" w:hAnsiTheme="majorHAnsi"/>
                <w:color w:val="262626"/>
              </w:rPr>
              <w:t>20 minutes</w:t>
            </w:r>
          </w:p>
        </w:tc>
        <w:tc>
          <w:tcPr>
            <w:tcW w:w="1300" w:type="dxa"/>
            <w:tcBorders>
              <w:top w:val="nil"/>
              <w:left w:val="nil"/>
              <w:bottom w:val="nil"/>
              <w:right w:val="nil"/>
            </w:tcBorders>
            <w:shd w:val="clear" w:color="auto" w:fill="D6C4B4"/>
            <w:tcMar>
              <w:top w:w="100" w:type="dxa"/>
              <w:left w:w="120" w:type="dxa"/>
              <w:bottom w:w="100" w:type="dxa"/>
              <w:right w:w="120" w:type="dxa"/>
            </w:tcMar>
            <w:vAlign w:val="center"/>
          </w:tcPr>
          <w:p w14:paraId="02C674A0" w14:textId="0706C24E" w:rsidR="004E2E80" w:rsidRPr="00273CE7" w:rsidRDefault="000E585E">
            <w:pPr>
              <w:jc w:val="center"/>
              <w:rPr>
                <w:rFonts w:asciiTheme="majorHAnsi" w:hAnsiTheme="majorHAnsi"/>
              </w:rPr>
            </w:pPr>
            <w:sdt>
              <w:sdtPr>
                <w:rPr>
                  <w:rFonts w:asciiTheme="majorHAnsi" w:hAnsiTheme="majorHAnsi"/>
                </w:rPr>
                <w:id w:val="959683261"/>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65874728" w14:textId="77777777" w:rsidTr="3D9E0ADA">
        <w:trPr>
          <w:cantSplit/>
        </w:trPr>
        <w:tc>
          <w:tcPr>
            <w:tcW w:w="700" w:type="dxa"/>
            <w:tcBorders>
              <w:top w:val="nil"/>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8F85755"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14</w:t>
            </w:r>
          </w:p>
        </w:tc>
        <w:tc>
          <w:tcPr>
            <w:tcW w:w="2450" w:type="dxa"/>
            <w:tcBorders>
              <w:top w:val="nil"/>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A3B2EB8" w14:textId="77777777" w:rsidR="004E2E80" w:rsidRPr="00273CE7" w:rsidRDefault="00485C8E">
            <w:pPr>
              <w:rPr>
                <w:rFonts w:asciiTheme="majorHAnsi" w:hAnsiTheme="majorHAnsi"/>
                <w:color w:val="003F50"/>
              </w:rPr>
            </w:pPr>
            <w:r w:rsidRPr="00273CE7">
              <w:rPr>
                <w:rFonts w:asciiTheme="majorHAnsi" w:hAnsiTheme="majorHAnsi"/>
                <w:b/>
                <w:bCs/>
                <w:color w:val="003F50"/>
              </w:rPr>
              <w:t>Mental health services</w:t>
            </w:r>
          </w:p>
        </w:tc>
        <w:tc>
          <w:tcPr>
            <w:tcW w:w="4866" w:type="dxa"/>
            <w:tcBorders>
              <w:top w:val="nil"/>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B7C36B1" w14:textId="7CEABBBC" w:rsidR="004E2E80" w:rsidRPr="00273CE7" w:rsidRDefault="00485C8E">
            <w:pPr>
              <w:rPr>
                <w:rFonts w:asciiTheme="majorHAnsi" w:hAnsiTheme="majorHAnsi"/>
              </w:rPr>
            </w:pPr>
            <w:r w:rsidRPr="00273CE7">
              <w:rPr>
                <w:rFonts w:asciiTheme="majorHAnsi" w:hAnsiTheme="majorHAnsi"/>
                <w:color w:val="262626"/>
              </w:rPr>
              <w:t>This unit provides an overview of mental health services in Australia and how they support people with diverse mental health needs. It explores the main types of services and the range of professionals involved, highlighting their roles in delivering care.</w:t>
            </w:r>
          </w:p>
        </w:tc>
        <w:tc>
          <w:tcPr>
            <w:tcW w:w="1150" w:type="dxa"/>
            <w:tcBorders>
              <w:top w:val="nil"/>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74AE2B7" w14:textId="77777777" w:rsidR="004E2E80" w:rsidRPr="00273CE7" w:rsidRDefault="00485C8E">
            <w:pPr>
              <w:rPr>
                <w:rFonts w:asciiTheme="majorHAnsi" w:hAnsiTheme="majorHAnsi"/>
              </w:rPr>
            </w:pPr>
            <w:r w:rsidRPr="00273CE7">
              <w:rPr>
                <w:rFonts w:asciiTheme="majorHAnsi" w:hAnsiTheme="majorHAnsi"/>
                <w:color w:val="262626"/>
              </w:rPr>
              <w:t>20 minutes</w:t>
            </w:r>
          </w:p>
        </w:tc>
        <w:tc>
          <w:tcPr>
            <w:tcW w:w="1300" w:type="dxa"/>
            <w:tcBorders>
              <w:top w:val="nil"/>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EE86C15" w14:textId="53A68AB0" w:rsidR="004E2E80" w:rsidRPr="00273CE7" w:rsidRDefault="000E585E">
            <w:pPr>
              <w:jc w:val="center"/>
              <w:rPr>
                <w:rFonts w:asciiTheme="majorHAnsi" w:hAnsiTheme="majorHAnsi"/>
              </w:rPr>
            </w:pPr>
            <w:sdt>
              <w:sdtPr>
                <w:rPr>
                  <w:rFonts w:asciiTheme="majorHAnsi" w:hAnsiTheme="majorHAnsi"/>
                </w:rPr>
                <w:id w:val="-1841757690"/>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44BCB1F7"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1C1A82B"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15</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B1CDD25" w14:textId="77777777" w:rsidR="004E2E80" w:rsidRPr="00273CE7" w:rsidRDefault="00485C8E">
            <w:pPr>
              <w:rPr>
                <w:rFonts w:asciiTheme="majorHAnsi" w:hAnsiTheme="majorHAnsi"/>
                <w:b/>
                <w:bCs/>
                <w:color w:val="003F50"/>
              </w:rPr>
            </w:pPr>
            <w:r w:rsidRPr="00273CE7">
              <w:rPr>
                <w:rFonts w:asciiTheme="majorHAnsi" w:hAnsiTheme="majorHAnsi"/>
                <w:b/>
                <w:bCs/>
                <w:color w:val="003F50"/>
              </w:rPr>
              <w:t>Working in the Australian health system</w:t>
            </w:r>
          </w:p>
          <w:p w14:paraId="4D5D3CE8" w14:textId="77777777" w:rsidR="00F964BE" w:rsidRPr="00273CE7" w:rsidRDefault="00F964BE" w:rsidP="00F964BE">
            <w:pPr>
              <w:rPr>
                <w:rFonts w:asciiTheme="majorHAnsi" w:hAnsiTheme="majorHAnsi"/>
              </w:rPr>
            </w:pP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0CF66E78" w14:textId="54310B9D" w:rsidR="004E2E80" w:rsidRPr="00273CE7" w:rsidRDefault="00485C8E">
            <w:pPr>
              <w:rPr>
                <w:rFonts w:asciiTheme="majorHAnsi" w:hAnsiTheme="majorHAnsi"/>
              </w:rPr>
            </w:pPr>
            <w:r w:rsidRPr="00273CE7">
              <w:rPr>
                <w:rFonts w:asciiTheme="majorHAnsi" w:hAnsiTheme="majorHAnsi"/>
                <w:color w:val="262626"/>
              </w:rPr>
              <w:t>This unit provides an overview of working in the Australian health system, including employment conditions, remuneration, and leave entitlements. It also explores diversity and inclusion, respectful workplace behaviour, and support services to maintain health and wellbeing of health professionals.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4F8B16E" w14:textId="77777777" w:rsidR="004E2E80" w:rsidRPr="00273CE7" w:rsidRDefault="00485C8E">
            <w:pPr>
              <w:rPr>
                <w:rFonts w:asciiTheme="majorHAnsi" w:hAnsiTheme="majorHAnsi"/>
              </w:rPr>
            </w:pPr>
            <w:r w:rsidRPr="00273CE7">
              <w:rPr>
                <w:rFonts w:asciiTheme="majorHAnsi" w:hAnsiTheme="majorHAnsi"/>
                <w:color w:val="262626"/>
              </w:rPr>
              <w:t>40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3BBBFE0" w14:textId="6322CBDA" w:rsidR="004E2E80" w:rsidRPr="00273CE7" w:rsidRDefault="000E585E">
            <w:pPr>
              <w:jc w:val="center"/>
              <w:rPr>
                <w:rFonts w:asciiTheme="majorHAnsi" w:hAnsiTheme="majorHAnsi"/>
              </w:rPr>
            </w:pPr>
            <w:sdt>
              <w:sdtPr>
                <w:rPr>
                  <w:rFonts w:asciiTheme="majorHAnsi" w:hAnsiTheme="majorHAnsi"/>
                </w:rPr>
                <w:id w:val="-272862162"/>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7ED3E175"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16043669"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16</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3AA82047" w14:textId="77777777" w:rsidR="004E2E80" w:rsidRPr="00273CE7" w:rsidRDefault="00485C8E">
            <w:pPr>
              <w:rPr>
                <w:rFonts w:asciiTheme="majorHAnsi" w:hAnsiTheme="majorHAnsi"/>
                <w:color w:val="003F50"/>
              </w:rPr>
            </w:pPr>
            <w:r w:rsidRPr="00273CE7">
              <w:rPr>
                <w:rFonts w:asciiTheme="majorHAnsi" w:hAnsiTheme="majorHAnsi"/>
                <w:b/>
                <w:bCs/>
                <w:color w:val="003F50"/>
              </w:rPr>
              <w:t>Clinical communication and open disclosure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EEB1E3B" w14:textId="78976AA9" w:rsidR="004E2E80" w:rsidRPr="00273CE7" w:rsidRDefault="00485C8E">
            <w:pPr>
              <w:rPr>
                <w:rFonts w:asciiTheme="majorHAnsi" w:hAnsiTheme="majorHAnsi"/>
              </w:rPr>
            </w:pPr>
            <w:r w:rsidRPr="00273CE7">
              <w:rPr>
                <w:rFonts w:asciiTheme="majorHAnsi" w:hAnsiTheme="majorHAnsi"/>
                <w:color w:val="262626"/>
              </w:rPr>
              <w:t>This unit provides an overview of communication in clinical practice and open disclosure. It emphasises clear, safe communication with patients, families, and multidisciplinary teams.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7CF3A07C" w14:textId="77777777" w:rsidR="004E2E80" w:rsidRPr="00273CE7" w:rsidRDefault="00485C8E">
            <w:pPr>
              <w:rPr>
                <w:rFonts w:asciiTheme="majorHAnsi" w:hAnsiTheme="majorHAnsi"/>
              </w:rPr>
            </w:pPr>
            <w:r w:rsidRPr="00273CE7">
              <w:rPr>
                <w:rFonts w:asciiTheme="majorHAnsi" w:hAnsiTheme="majorHAnsi"/>
                <w:color w:val="262626"/>
              </w:rPr>
              <w:t>20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960BA32" w14:textId="37FBB9A4" w:rsidR="004E2E80" w:rsidRPr="00273CE7" w:rsidRDefault="000E585E">
            <w:pPr>
              <w:jc w:val="center"/>
              <w:rPr>
                <w:rFonts w:asciiTheme="majorHAnsi" w:hAnsiTheme="majorHAnsi"/>
              </w:rPr>
            </w:pPr>
            <w:sdt>
              <w:sdtPr>
                <w:rPr>
                  <w:rFonts w:asciiTheme="majorHAnsi" w:hAnsiTheme="majorHAnsi"/>
                </w:rPr>
                <w:id w:val="1417830706"/>
                <w14:checkbox>
                  <w14:checked w14:val="0"/>
                  <w14:checkedState w14:val="2612" w14:font="MS Gothic"/>
                  <w14:uncheckedState w14:val="2610" w14:font="MS Gothic"/>
                </w14:checkbox>
              </w:sdtPr>
              <w:sdtEndPr/>
              <w:sdtContent>
                <w:r w:rsidR="00F75A8D" w:rsidRPr="00273CE7">
                  <w:rPr>
                    <w:rFonts w:asciiTheme="majorHAnsi" w:eastAsia="MS Gothic" w:hAnsiTheme="majorHAnsi"/>
                  </w:rPr>
                  <w:t>☐</w:t>
                </w:r>
              </w:sdtContent>
            </w:sdt>
          </w:p>
        </w:tc>
      </w:tr>
      <w:tr w:rsidR="004E2E80" w:rsidRPr="00273CE7" w14:paraId="4B1BC07E"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EBF51F9"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lastRenderedPageBreak/>
              <w:t>17</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2CB88ADC" w14:textId="77777777" w:rsidR="004E2E80" w:rsidRPr="00273CE7" w:rsidRDefault="00485C8E">
            <w:pPr>
              <w:rPr>
                <w:rFonts w:asciiTheme="majorHAnsi" w:hAnsiTheme="majorHAnsi"/>
                <w:color w:val="003F50"/>
              </w:rPr>
            </w:pPr>
            <w:r w:rsidRPr="00273CE7">
              <w:rPr>
                <w:rFonts w:asciiTheme="majorHAnsi" w:hAnsiTheme="majorHAnsi"/>
                <w:b/>
                <w:bCs/>
                <w:color w:val="003F50"/>
              </w:rPr>
              <w:t>Aboriginal and Torres Strait Islander Peoples</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3EB3E5C0" w14:textId="63E3D36C" w:rsidR="004E2E80" w:rsidRPr="00273CE7" w:rsidRDefault="00485C8E">
            <w:pPr>
              <w:rPr>
                <w:rFonts w:asciiTheme="majorHAnsi" w:hAnsiTheme="majorHAnsi"/>
              </w:rPr>
            </w:pPr>
            <w:r w:rsidRPr="00273CE7">
              <w:rPr>
                <w:rFonts w:asciiTheme="majorHAnsi" w:hAnsiTheme="majorHAnsi"/>
                <w:color w:val="262626"/>
              </w:rPr>
              <w:t>This unit recognises Aboriginal and Torres Strait Islander peoples as the First Peoples of Australia and builds cultural understanding. It introduces key terminology, explores the diversity of Country, cultures and languages, and provides an overview of contemporary lived experiences.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681C9B3" w14:textId="77777777" w:rsidR="004E2E80" w:rsidRPr="00273CE7" w:rsidRDefault="00485C8E">
            <w:pPr>
              <w:rPr>
                <w:rFonts w:asciiTheme="majorHAnsi" w:hAnsiTheme="majorHAnsi"/>
              </w:rPr>
            </w:pPr>
            <w:r w:rsidRPr="00273CE7">
              <w:rPr>
                <w:rFonts w:asciiTheme="majorHAnsi" w:hAnsiTheme="majorHAnsi"/>
                <w:color w:val="262626"/>
              </w:rPr>
              <w:t>30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0C238E6E" w14:textId="16DA0A08" w:rsidR="004E2E80" w:rsidRPr="00273CE7" w:rsidRDefault="000E585E">
            <w:pPr>
              <w:jc w:val="center"/>
              <w:rPr>
                <w:rFonts w:asciiTheme="majorHAnsi" w:hAnsiTheme="majorHAnsi"/>
              </w:rPr>
            </w:pPr>
            <w:sdt>
              <w:sdtPr>
                <w:rPr>
                  <w:rFonts w:asciiTheme="majorHAnsi" w:hAnsiTheme="majorHAnsi"/>
                </w:rPr>
                <w:id w:val="122346032"/>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r w:rsidR="004E2E80" w:rsidRPr="00273CE7" w14:paraId="683BC26C"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02B473E6"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18</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5FCEF507" w14:textId="0992DDA0" w:rsidR="004E2E80" w:rsidRPr="00273CE7" w:rsidRDefault="006A130B">
            <w:pPr>
              <w:rPr>
                <w:rFonts w:asciiTheme="majorHAnsi" w:hAnsiTheme="majorHAnsi"/>
                <w:color w:val="003F50"/>
              </w:rPr>
            </w:pPr>
            <w:r w:rsidRPr="006A130B">
              <w:rPr>
                <w:rFonts w:asciiTheme="majorHAnsi" w:hAnsiTheme="majorHAnsi"/>
                <w:b/>
                <w:bCs/>
                <w:color w:val="003F50"/>
              </w:rPr>
              <w:t>Aboriginal and Torres Strait Islander Peoples –</w:t>
            </w:r>
            <w:r>
              <w:rPr>
                <w:rFonts w:asciiTheme="majorHAnsi" w:hAnsiTheme="majorHAnsi"/>
                <w:b/>
                <w:bCs/>
                <w:color w:val="003F50"/>
              </w:rPr>
              <w:t xml:space="preserve"> </w:t>
            </w:r>
            <w:r>
              <w:rPr>
                <w:rFonts w:asciiTheme="majorHAnsi" w:hAnsiTheme="majorHAnsi"/>
                <w:b/>
                <w:bCs/>
                <w:color w:val="003F50"/>
              </w:rPr>
              <w:br/>
            </w:r>
            <w:r w:rsidR="00485C8E" w:rsidRPr="00273CE7">
              <w:rPr>
                <w:rFonts w:asciiTheme="majorHAnsi" w:hAnsiTheme="majorHAnsi"/>
                <w:b/>
                <w:bCs/>
                <w:color w:val="003F50"/>
              </w:rPr>
              <w:t>History and systems</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19AE969" w14:textId="77777777" w:rsidR="004E2E80" w:rsidRPr="00273CE7" w:rsidRDefault="00485C8E">
            <w:pPr>
              <w:rPr>
                <w:rFonts w:asciiTheme="majorHAnsi" w:hAnsiTheme="majorHAnsi"/>
              </w:rPr>
            </w:pPr>
            <w:r w:rsidRPr="00273CE7">
              <w:rPr>
                <w:rFonts w:asciiTheme="majorHAnsi" w:hAnsiTheme="majorHAnsi"/>
                <w:color w:val="262626"/>
              </w:rPr>
              <w:t>This unit provides an overview of colonisation in Australia and its ongoing impacts on Aboriginal and Torres Strait Islander health and wellbeing. It examines how policies and practices have shaped health outcomes, explores intergenerational trauma and resilience, and considers how these legacies continue to influence experiences of healthcare today.</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4EF91FC9"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4645362A" w14:textId="45BF9246" w:rsidR="004E2E80" w:rsidRPr="00273CE7" w:rsidRDefault="000E585E">
            <w:pPr>
              <w:jc w:val="center"/>
              <w:rPr>
                <w:rFonts w:asciiTheme="majorHAnsi" w:hAnsiTheme="majorHAnsi"/>
              </w:rPr>
            </w:pPr>
            <w:sdt>
              <w:sdtPr>
                <w:rPr>
                  <w:rFonts w:asciiTheme="majorHAnsi" w:hAnsiTheme="majorHAnsi"/>
                </w:rPr>
                <w:id w:val="-1098018541"/>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r w:rsidR="004E2E80" w:rsidRPr="00273CE7" w14:paraId="4AB8EE0F"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579E88EB"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19</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77F7777C" w14:textId="0FBB41FA" w:rsidR="004E2E80" w:rsidRPr="00273CE7" w:rsidRDefault="006A130B">
            <w:pPr>
              <w:rPr>
                <w:rFonts w:asciiTheme="majorHAnsi" w:hAnsiTheme="majorHAnsi"/>
                <w:color w:val="003F50"/>
              </w:rPr>
            </w:pPr>
            <w:r w:rsidRPr="006A130B">
              <w:rPr>
                <w:rFonts w:asciiTheme="majorHAnsi" w:hAnsiTheme="majorHAnsi"/>
                <w:b/>
                <w:bCs/>
                <w:color w:val="003F50"/>
              </w:rPr>
              <w:t>Aboriginal and Torres Strait Islander Peoples –</w:t>
            </w:r>
            <w:r>
              <w:rPr>
                <w:rFonts w:asciiTheme="majorHAnsi" w:hAnsiTheme="majorHAnsi"/>
                <w:b/>
                <w:bCs/>
                <w:color w:val="003F50"/>
              </w:rPr>
              <w:t xml:space="preserve"> </w:t>
            </w:r>
            <w:r>
              <w:rPr>
                <w:rFonts w:asciiTheme="majorHAnsi" w:hAnsiTheme="majorHAnsi"/>
                <w:b/>
                <w:bCs/>
                <w:color w:val="003F50"/>
              </w:rPr>
              <w:br/>
            </w:r>
            <w:r w:rsidR="00485C8E" w:rsidRPr="00273CE7">
              <w:rPr>
                <w:rFonts w:asciiTheme="majorHAnsi" w:hAnsiTheme="majorHAnsi"/>
                <w:b/>
                <w:bCs/>
                <w:color w:val="003F50"/>
              </w:rPr>
              <w:t>What is cultural safety in the Australian health context</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BAFC143" w14:textId="77777777" w:rsidR="004E2E80" w:rsidRPr="00273CE7" w:rsidRDefault="00485C8E">
            <w:pPr>
              <w:rPr>
                <w:rFonts w:asciiTheme="majorHAnsi" w:hAnsiTheme="majorHAnsi"/>
              </w:rPr>
            </w:pPr>
            <w:r w:rsidRPr="00273CE7">
              <w:rPr>
                <w:rFonts w:asciiTheme="majorHAnsi" w:hAnsiTheme="majorHAnsi"/>
                <w:color w:val="262626"/>
              </w:rPr>
              <w:t>This unit introduces the concept of cultural safety, emphasising its foundational importance for Aboriginal and Torres Strait Islander peoples within the Australian health system. It outlines responsibilities across the health system and explores social and emotional wellbeing.</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509612DC" w14:textId="77777777" w:rsidR="004E2E80" w:rsidRPr="00273CE7" w:rsidRDefault="00485C8E">
            <w:pPr>
              <w:rPr>
                <w:rFonts w:asciiTheme="majorHAnsi" w:hAnsiTheme="majorHAnsi"/>
              </w:rPr>
            </w:pPr>
            <w:r w:rsidRPr="00273CE7">
              <w:rPr>
                <w:rFonts w:asciiTheme="majorHAnsi" w:hAnsiTheme="majorHAnsi"/>
                <w:color w:val="262626"/>
              </w:rPr>
              <w:t>30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285E74F0" w14:textId="615B5833" w:rsidR="004E2E80" w:rsidRPr="00273CE7" w:rsidRDefault="000E585E">
            <w:pPr>
              <w:jc w:val="center"/>
              <w:rPr>
                <w:rFonts w:asciiTheme="majorHAnsi" w:hAnsiTheme="majorHAnsi"/>
              </w:rPr>
            </w:pPr>
            <w:sdt>
              <w:sdtPr>
                <w:rPr>
                  <w:rFonts w:asciiTheme="majorHAnsi" w:hAnsiTheme="majorHAnsi"/>
                </w:rPr>
                <w:id w:val="-759596239"/>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r w:rsidR="004E2E80" w:rsidRPr="00273CE7" w14:paraId="5758419B"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33918B3E"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20</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7197A289" w14:textId="1DDEDB61" w:rsidR="004E2E80" w:rsidRPr="00273CE7" w:rsidRDefault="006A130B">
            <w:pPr>
              <w:rPr>
                <w:rFonts w:asciiTheme="majorHAnsi" w:hAnsiTheme="majorHAnsi"/>
                <w:color w:val="003F50"/>
              </w:rPr>
            </w:pPr>
            <w:r w:rsidRPr="006A130B">
              <w:rPr>
                <w:rFonts w:asciiTheme="majorHAnsi" w:hAnsiTheme="majorHAnsi"/>
                <w:b/>
                <w:bCs/>
                <w:color w:val="003F50"/>
              </w:rPr>
              <w:t>Aboriginal and Torres Strait Islander Peoples –</w:t>
            </w:r>
            <w:r>
              <w:rPr>
                <w:rFonts w:asciiTheme="majorHAnsi" w:hAnsiTheme="majorHAnsi"/>
                <w:b/>
                <w:bCs/>
                <w:color w:val="003F50"/>
              </w:rPr>
              <w:t xml:space="preserve"> </w:t>
            </w:r>
            <w:r>
              <w:rPr>
                <w:rFonts w:asciiTheme="majorHAnsi" w:hAnsiTheme="majorHAnsi"/>
                <w:b/>
                <w:bCs/>
                <w:color w:val="003F50"/>
              </w:rPr>
              <w:br/>
            </w:r>
            <w:r w:rsidR="00485C8E" w:rsidRPr="00273CE7">
              <w:rPr>
                <w:rFonts w:asciiTheme="majorHAnsi" w:hAnsiTheme="majorHAnsi"/>
                <w:b/>
                <w:bCs/>
                <w:color w:val="003F50"/>
              </w:rPr>
              <w:t>Communication, respect and racism</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14359E1" w14:textId="77777777" w:rsidR="004E2E80" w:rsidRPr="00273CE7" w:rsidRDefault="00485C8E">
            <w:pPr>
              <w:rPr>
                <w:rFonts w:asciiTheme="majorHAnsi" w:hAnsiTheme="majorHAnsi"/>
              </w:rPr>
            </w:pPr>
            <w:r w:rsidRPr="00273CE7">
              <w:rPr>
                <w:rFonts w:asciiTheme="majorHAnsi" w:hAnsiTheme="majorHAnsi"/>
                <w:color w:val="262626"/>
              </w:rPr>
              <w:t>This unit examines how communication shapes Aboriginal and Torres Strait Islander peoples’ healthcare experiences, highlighting culturally respectful practice, barriers to care, and the importance of respect, trust, and family-centred decision-making.</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FDBED2B" w14:textId="77777777" w:rsidR="004E2E80" w:rsidRPr="00273CE7" w:rsidRDefault="00485C8E">
            <w:pPr>
              <w:rPr>
                <w:rFonts w:asciiTheme="majorHAnsi" w:hAnsiTheme="majorHAnsi"/>
              </w:rPr>
            </w:pPr>
            <w:r w:rsidRPr="00273CE7">
              <w:rPr>
                <w:rFonts w:asciiTheme="majorHAnsi" w:hAnsiTheme="majorHAnsi"/>
                <w:color w:val="262626"/>
              </w:rPr>
              <w:t>20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6326820E" w14:textId="08539564" w:rsidR="004E2E80" w:rsidRPr="00273CE7" w:rsidRDefault="000E585E">
            <w:pPr>
              <w:jc w:val="center"/>
              <w:rPr>
                <w:rFonts w:asciiTheme="majorHAnsi" w:hAnsiTheme="majorHAnsi"/>
              </w:rPr>
            </w:pPr>
            <w:sdt>
              <w:sdtPr>
                <w:rPr>
                  <w:rFonts w:asciiTheme="majorHAnsi" w:hAnsiTheme="majorHAnsi"/>
                </w:rPr>
                <w:id w:val="1422604687"/>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r w:rsidR="004E2E80" w:rsidRPr="00273CE7" w14:paraId="40BC7639"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6FD9AE13"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21</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0CF7F5C8" w14:textId="6C4AE189" w:rsidR="004E2E80" w:rsidRPr="00273CE7" w:rsidRDefault="006A130B">
            <w:pPr>
              <w:rPr>
                <w:rFonts w:asciiTheme="majorHAnsi" w:hAnsiTheme="majorHAnsi"/>
                <w:color w:val="003F50"/>
              </w:rPr>
            </w:pPr>
            <w:r w:rsidRPr="006A130B">
              <w:rPr>
                <w:rFonts w:asciiTheme="majorHAnsi" w:hAnsiTheme="majorHAnsi"/>
                <w:b/>
                <w:bCs/>
                <w:color w:val="003F50"/>
              </w:rPr>
              <w:t>Aboriginal and Torres Strait Islander Peoples –</w:t>
            </w:r>
            <w:r>
              <w:rPr>
                <w:rFonts w:asciiTheme="majorHAnsi" w:hAnsiTheme="majorHAnsi"/>
                <w:b/>
                <w:bCs/>
                <w:color w:val="003F50"/>
              </w:rPr>
              <w:t xml:space="preserve"> </w:t>
            </w:r>
            <w:r>
              <w:rPr>
                <w:rFonts w:asciiTheme="majorHAnsi" w:hAnsiTheme="majorHAnsi"/>
                <w:b/>
                <w:bCs/>
                <w:color w:val="003F50"/>
              </w:rPr>
              <w:br/>
            </w:r>
            <w:r w:rsidR="00485C8E" w:rsidRPr="00273CE7">
              <w:rPr>
                <w:rFonts w:asciiTheme="majorHAnsi" w:hAnsiTheme="majorHAnsi"/>
                <w:b/>
                <w:bCs/>
                <w:color w:val="003F50"/>
              </w:rPr>
              <w:t>Access and working with diverse peoples</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1F9CBC45" w14:textId="3632C428" w:rsidR="004E2E80" w:rsidRPr="00273CE7" w:rsidRDefault="00485C8E">
            <w:pPr>
              <w:rPr>
                <w:rFonts w:asciiTheme="majorHAnsi" w:hAnsiTheme="majorHAnsi"/>
              </w:rPr>
            </w:pPr>
            <w:r w:rsidRPr="00273CE7">
              <w:rPr>
                <w:rFonts w:asciiTheme="majorHAnsi" w:hAnsiTheme="majorHAnsi"/>
                <w:color w:val="262626"/>
              </w:rPr>
              <w:t>This unit explores the Australian health system for Aboriginal and Torres Strait Islander peoples, focusing on barriers to timely, culturally safe care, the role of Aboriginal and Torres Strait Islander community-controlled health organisations, intersectionality, and the contribution of health professionals in rural and remote communities.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5AEF68E6" w14:textId="77777777" w:rsidR="004E2E80" w:rsidRPr="00273CE7" w:rsidRDefault="00485C8E">
            <w:pPr>
              <w:rPr>
                <w:rFonts w:asciiTheme="majorHAnsi" w:hAnsiTheme="majorHAnsi"/>
              </w:rPr>
            </w:pPr>
            <w:r w:rsidRPr="00273CE7">
              <w:rPr>
                <w:rFonts w:asciiTheme="majorHAnsi" w:hAnsiTheme="majorHAnsi"/>
                <w:color w:val="262626"/>
              </w:rPr>
              <w:t>25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D6C4B4"/>
            <w:tcMar>
              <w:top w:w="100" w:type="dxa"/>
              <w:left w:w="120" w:type="dxa"/>
              <w:bottom w:w="100" w:type="dxa"/>
              <w:right w:w="120" w:type="dxa"/>
            </w:tcMar>
            <w:vAlign w:val="center"/>
          </w:tcPr>
          <w:p w14:paraId="2D98247C" w14:textId="0996D048" w:rsidR="004E2E80" w:rsidRPr="00273CE7" w:rsidRDefault="000E585E">
            <w:pPr>
              <w:jc w:val="center"/>
              <w:rPr>
                <w:rFonts w:asciiTheme="majorHAnsi" w:hAnsiTheme="majorHAnsi"/>
              </w:rPr>
            </w:pPr>
            <w:sdt>
              <w:sdtPr>
                <w:rPr>
                  <w:rFonts w:asciiTheme="majorHAnsi" w:hAnsiTheme="majorHAnsi"/>
                </w:rPr>
                <w:id w:val="1752463762"/>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r w:rsidR="004E2E80" w:rsidRPr="00273CE7" w14:paraId="4BD0664F" w14:textId="77777777" w:rsidTr="3D9E0ADA">
        <w:trPr>
          <w:cantSplit/>
        </w:trPr>
        <w:tc>
          <w:tcPr>
            <w:tcW w:w="7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191045FF" w14:textId="77777777" w:rsidR="004E2E80" w:rsidRPr="00273CE7" w:rsidRDefault="00485C8E">
            <w:pPr>
              <w:jc w:val="center"/>
              <w:rPr>
                <w:rFonts w:asciiTheme="majorHAnsi" w:hAnsiTheme="majorHAnsi"/>
                <w:color w:val="003F50"/>
              </w:rPr>
            </w:pPr>
            <w:r w:rsidRPr="00273CE7">
              <w:rPr>
                <w:rFonts w:asciiTheme="majorHAnsi" w:hAnsiTheme="majorHAnsi"/>
                <w:b/>
                <w:bCs/>
                <w:color w:val="003F50"/>
                <w:sz w:val="22"/>
                <w:szCs w:val="22"/>
              </w:rPr>
              <w:t>22</w:t>
            </w:r>
          </w:p>
        </w:tc>
        <w:tc>
          <w:tcPr>
            <w:tcW w:w="24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205A0096" w14:textId="14A3D5B9" w:rsidR="004E2E80" w:rsidRPr="00273CE7" w:rsidRDefault="006A130B">
            <w:pPr>
              <w:rPr>
                <w:rFonts w:asciiTheme="majorHAnsi" w:hAnsiTheme="majorHAnsi"/>
                <w:color w:val="003F50"/>
              </w:rPr>
            </w:pPr>
            <w:r w:rsidRPr="006A130B">
              <w:rPr>
                <w:rFonts w:asciiTheme="majorHAnsi" w:hAnsiTheme="majorHAnsi"/>
                <w:b/>
                <w:bCs/>
                <w:color w:val="003F50"/>
              </w:rPr>
              <w:t>Aboriginal and Torres Strait Islander Peoples –</w:t>
            </w:r>
            <w:r>
              <w:rPr>
                <w:rFonts w:asciiTheme="majorHAnsi" w:hAnsiTheme="majorHAnsi"/>
                <w:b/>
                <w:bCs/>
                <w:color w:val="003F50"/>
              </w:rPr>
              <w:t xml:space="preserve"> </w:t>
            </w:r>
            <w:r>
              <w:rPr>
                <w:rFonts w:asciiTheme="majorHAnsi" w:hAnsiTheme="majorHAnsi"/>
                <w:b/>
                <w:bCs/>
                <w:color w:val="003F50"/>
              </w:rPr>
              <w:br/>
            </w:r>
            <w:r w:rsidR="00485C8E" w:rsidRPr="00273CE7">
              <w:rPr>
                <w:rFonts w:asciiTheme="majorHAnsi" w:hAnsiTheme="majorHAnsi"/>
                <w:b/>
                <w:bCs/>
                <w:color w:val="003F50"/>
              </w:rPr>
              <w:t>Cultural learning and reflection in practice</w:t>
            </w:r>
          </w:p>
        </w:tc>
        <w:tc>
          <w:tcPr>
            <w:tcW w:w="4866"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37D52FC4" w14:textId="549BF7EA" w:rsidR="004E2E80" w:rsidRPr="00273CE7" w:rsidRDefault="00485C8E">
            <w:pPr>
              <w:rPr>
                <w:rFonts w:asciiTheme="majorHAnsi" w:hAnsiTheme="majorHAnsi"/>
              </w:rPr>
            </w:pPr>
            <w:r w:rsidRPr="00273CE7">
              <w:rPr>
                <w:rFonts w:asciiTheme="majorHAnsi" w:hAnsiTheme="majorHAnsi"/>
                <w:color w:val="262626"/>
              </w:rPr>
              <w:t>This unit supports reflection on clinical role and translating theory into practice to strengthen culturally safe care. It emphasises continuing cultural learning as an ongoing journey shaped by experience, building understanding, relationships and care outcomes.</w:t>
            </w:r>
          </w:p>
        </w:tc>
        <w:tc>
          <w:tcPr>
            <w:tcW w:w="115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089651AA" w14:textId="77777777" w:rsidR="004E2E80" w:rsidRPr="00273CE7" w:rsidRDefault="00485C8E">
            <w:pPr>
              <w:rPr>
                <w:rFonts w:asciiTheme="majorHAnsi" w:hAnsiTheme="majorHAnsi"/>
              </w:rPr>
            </w:pPr>
            <w:r w:rsidRPr="00273CE7">
              <w:rPr>
                <w:rFonts w:asciiTheme="majorHAnsi" w:hAnsiTheme="majorHAnsi"/>
                <w:color w:val="262626"/>
              </w:rPr>
              <w:t>15 minutes</w:t>
            </w:r>
          </w:p>
        </w:tc>
        <w:tc>
          <w:tcPr>
            <w:tcW w:w="1300" w:type="dxa"/>
            <w:tcBorders>
              <w:top w:val="single" w:sz="6" w:space="0" w:color="C4B49E"/>
              <w:left w:val="none" w:sz="0" w:space="0" w:color="FFFFFF" w:themeColor="background1"/>
              <w:bottom w:val="single" w:sz="6" w:space="0" w:color="C4B49E"/>
              <w:right w:val="none" w:sz="0" w:space="0" w:color="FFFFFF" w:themeColor="background1"/>
            </w:tcBorders>
            <w:shd w:val="clear" w:color="auto" w:fill="FFFFFF" w:themeFill="background1"/>
            <w:tcMar>
              <w:top w:w="100" w:type="dxa"/>
              <w:left w:w="120" w:type="dxa"/>
              <w:bottom w:w="100" w:type="dxa"/>
              <w:right w:w="120" w:type="dxa"/>
            </w:tcMar>
            <w:vAlign w:val="center"/>
          </w:tcPr>
          <w:p w14:paraId="09C7A9F9" w14:textId="79C12169" w:rsidR="004E2E80" w:rsidRPr="00273CE7" w:rsidRDefault="000E585E">
            <w:pPr>
              <w:jc w:val="center"/>
              <w:rPr>
                <w:rFonts w:asciiTheme="majorHAnsi" w:hAnsiTheme="majorHAnsi"/>
              </w:rPr>
            </w:pPr>
            <w:sdt>
              <w:sdtPr>
                <w:rPr>
                  <w:rFonts w:asciiTheme="majorHAnsi" w:hAnsiTheme="majorHAnsi"/>
                </w:rPr>
                <w:id w:val="999540943"/>
                <w14:checkbox>
                  <w14:checked w14:val="0"/>
                  <w14:checkedState w14:val="2612" w14:font="MS Gothic"/>
                  <w14:uncheckedState w14:val="2610" w14:font="MS Gothic"/>
                </w14:checkbox>
              </w:sdtPr>
              <w:sdtEndPr/>
              <w:sdtContent>
                <w:r w:rsidR="00485C8E" w:rsidRPr="00273CE7">
                  <w:rPr>
                    <w:rFonts w:asciiTheme="majorHAnsi" w:eastAsia="MS Gothic" w:hAnsiTheme="majorHAnsi" w:cs="MS Gothic"/>
                  </w:rPr>
                  <w:t>☐</w:t>
                </w:r>
              </w:sdtContent>
            </w:sdt>
          </w:p>
        </w:tc>
      </w:tr>
    </w:tbl>
    <w:p w14:paraId="14F1CF07" w14:textId="4F0D9275" w:rsidR="004E2E80" w:rsidRPr="00273CE7" w:rsidRDefault="004E2E80" w:rsidP="00F75A8D">
      <w:pPr>
        <w:pBdr>
          <w:top w:val="single" w:sz="12" w:space="6" w:color="C4B49E"/>
        </w:pBdr>
        <w:tabs>
          <w:tab w:val="right" w:pos="10466"/>
        </w:tabs>
        <w:spacing w:before="400"/>
        <w:rPr>
          <w:rFonts w:asciiTheme="majorHAnsi" w:hAnsiTheme="majorHAnsi"/>
        </w:rPr>
      </w:pPr>
    </w:p>
    <w:sectPr w:rsidR="004E2E80" w:rsidRPr="00273CE7" w:rsidSect="005D0753">
      <w:headerReference w:type="even" r:id="rId11"/>
      <w:footerReference w:type="even" r:id="rId12"/>
      <w:footerReference w:type="default" r:id="rId13"/>
      <w:headerReference w:type="first" r:id="rId14"/>
      <w:footerReference w:type="first" r:id="rId15"/>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FC7E1" w14:textId="77777777" w:rsidR="000E585E" w:rsidRDefault="000E585E">
      <w:r>
        <w:separator/>
      </w:r>
    </w:p>
  </w:endnote>
  <w:endnote w:type="continuationSeparator" w:id="0">
    <w:p w14:paraId="2C357D9A" w14:textId="77777777" w:rsidR="000E585E" w:rsidRDefault="000E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BA4E" w14:textId="27E79C72" w:rsidR="0041387B" w:rsidRDefault="0041387B">
    <w:pPr>
      <w:pStyle w:val="Footer"/>
    </w:pPr>
    <w:r>
      <w:rPr>
        <w:noProof/>
      </w:rPr>
      <mc:AlternateContent>
        <mc:Choice Requires="wps">
          <w:drawing>
            <wp:anchor distT="0" distB="0" distL="0" distR="0" simplePos="0" relativeHeight="251662336" behindDoc="0" locked="0" layoutInCell="1" allowOverlap="1" wp14:anchorId="7B6992DC" wp14:editId="692D8667">
              <wp:simplePos x="635" y="635"/>
              <wp:positionH relativeFrom="page">
                <wp:align>center</wp:align>
              </wp:positionH>
              <wp:positionV relativeFrom="page">
                <wp:align>bottom</wp:align>
              </wp:positionV>
              <wp:extent cx="622300" cy="376555"/>
              <wp:effectExtent l="0" t="0" r="6350" b="0"/>
              <wp:wrapNone/>
              <wp:docPr id="17080703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BDB4E7" w14:textId="75D1D037"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6992DC"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51BDB4E7" w14:textId="75D1D037"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2FC6" w14:textId="2E7B045B" w:rsidR="004E2E80" w:rsidRDefault="00485C8E">
    <w:pPr>
      <w:tabs>
        <w:tab w:val="right" w:pos="10466"/>
      </w:tabs>
    </w:pPr>
    <w:r>
      <w:rPr>
        <w:b/>
        <w:bCs/>
        <w:color w:val="1B4A52"/>
        <w:sz w:val="16"/>
        <w:szCs w:val="16"/>
      </w:rPr>
      <w:t>Working in Australia: an orientation to the health system</w:t>
    </w:r>
    <w:r>
      <w:rPr>
        <w:sz w:val="16"/>
        <w:szCs w:val="16"/>
      </w:rPr>
      <w:tab/>
    </w:r>
    <w:r>
      <w:rPr>
        <w:color w:val="1B4A52"/>
        <w:sz w:val="16"/>
        <w:szCs w:val="16"/>
      </w:rPr>
      <w:fldChar w:fldCharType="begin"/>
    </w:r>
    <w:r>
      <w:rPr>
        <w:color w:val="1B4A52"/>
        <w:sz w:val="16"/>
        <w:szCs w:val="16"/>
      </w:rPr>
      <w:instrText>PAGE</w:instrText>
    </w:r>
    <w:r>
      <w:rPr>
        <w:color w:val="1B4A52"/>
        <w:sz w:val="16"/>
        <w:szCs w:val="16"/>
      </w:rPr>
      <w:fldChar w:fldCharType="separate"/>
    </w:r>
    <w:r w:rsidR="00F30F54">
      <w:rPr>
        <w:noProof/>
        <w:color w:val="1B4A52"/>
        <w:sz w:val="16"/>
        <w:szCs w:val="16"/>
      </w:rPr>
      <w:t>1</w:t>
    </w:r>
    <w:r>
      <w:rPr>
        <w:color w:val="1B4A5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31C4" w14:textId="3D8B4F29" w:rsidR="0041387B" w:rsidRDefault="0041387B">
    <w:pPr>
      <w:pStyle w:val="Footer"/>
    </w:pPr>
    <w:r>
      <w:rPr>
        <w:noProof/>
      </w:rPr>
      <mc:AlternateContent>
        <mc:Choice Requires="wps">
          <w:drawing>
            <wp:anchor distT="0" distB="0" distL="0" distR="0" simplePos="0" relativeHeight="251661312" behindDoc="0" locked="0" layoutInCell="1" allowOverlap="1" wp14:anchorId="2468AD64" wp14:editId="08E9B6DF">
              <wp:simplePos x="635" y="635"/>
              <wp:positionH relativeFrom="page">
                <wp:align>center</wp:align>
              </wp:positionH>
              <wp:positionV relativeFrom="page">
                <wp:align>bottom</wp:align>
              </wp:positionV>
              <wp:extent cx="622300" cy="376555"/>
              <wp:effectExtent l="0" t="0" r="6350" b="0"/>
              <wp:wrapNone/>
              <wp:docPr id="25776558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BD6882" w14:textId="2E5F41C9"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68AD64"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5BD6882" w14:textId="2E5F41C9"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8339" w14:textId="77777777" w:rsidR="000E585E" w:rsidRDefault="000E585E">
      <w:r>
        <w:separator/>
      </w:r>
    </w:p>
  </w:footnote>
  <w:footnote w:type="continuationSeparator" w:id="0">
    <w:p w14:paraId="7956A58B" w14:textId="77777777" w:rsidR="000E585E" w:rsidRDefault="000E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1EF3" w14:textId="1A5B149E" w:rsidR="0041387B" w:rsidRDefault="0041387B">
    <w:pPr>
      <w:pStyle w:val="Header"/>
    </w:pPr>
    <w:r>
      <w:rPr>
        <w:noProof/>
      </w:rPr>
      <mc:AlternateContent>
        <mc:Choice Requires="wps">
          <w:drawing>
            <wp:anchor distT="0" distB="0" distL="0" distR="0" simplePos="0" relativeHeight="251659264" behindDoc="0" locked="0" layoutInCell="1" allowOverlap="1" wp14:anchorId="3332A6E6" wp14:editId="116B8DE8">
              <wp:simplePos x="635" y="635"/>
              <wp:positionH relativeFrom="page">
                <wp:align>center</wp:align>
              </wp:positionH>
              <wp:positionV relativeFrom="page">
                <wp:align>top</wp:align>
              </wp:positionV>
              <wp:extent cx="622300" cy="376555"/>
              <wp:effectExtent l="0" t="0" r="6350" b="4445"/>
              <wp:wrapNone/>
              <wp:docPr id="8470579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A5E974" w14:textId="0BF9C09D"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32A6E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24A5E974" w14:textId="0BF9C09D"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5671" w14:textId="2143D750" w:rsidR="0041387B" w:rsidRDefault="0041387B">
    <w:pPr>
      <w:pStyle w:val="Header"/>
    </w:pPr>
    <w:r>
      <w:rPr>
        <w:noProof/>
      </w:rPr>
      <mc:AlternateContent>
        <mc:Choice Requires="wps">
          <w:drawing>
            <wp:anchor distT="0" distB="0" distL="0" distR="0" simplePos="0" relativeHeight="251658240" behindDoc="0" locked="0" layoutInCell="1" allowOverlap="1" wp14:anchorId="42A7D761" wp14:editId="73B0F663">
              <wp:simplePos x="635" y="635"/>
              <wp:positionH relativeFrom="page">
                <wp:align>center</wp:align>
              </wp:positionH>
              <wp:positionV relativeFrom="page">
                <wp:align>top</wp:align>
              </wp:positionV>
              <wp:extent cx="622300" cy="376555"/>
              <wp:effectExtent l="0" t="0" r="6350" b="4445"/>
              <wp:wrapNone/>
              <wp:docPr id="12450898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4F8554" w14:textId="4BBAECAA"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7D761"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E4F8554" w14:textId="4BBAECAA" w:rsidR="0041387B" w:rsidRPr="0041387B" w:rsidRDefault="0041387B" w:rsidP="0041387B">
                    <w:pPr>
                      <w:rPr>
                        <w:rFonts w:ascii="Aptos" w:eastAsia="Aptos" w:hAnsi="Aptos" w:cs="Aptos"/>
                        <w:noProof/>
                        <w:color w:val="FF0000"/>
                        <w:sz w:val="24"/>
                        <w:szCs w:val="24"/>
                      </w:rPr>
                    </w:pPr>
                    <w:r w:rsidRPr="0041387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5500B8"/>
    <w:multiLevelType w:val="hybridMultilevel"/>
    <w:tmpl w:val="6ECCFD8A"/>
    <w:lvl w:ilvl="0" w:tplc="600E86CA">
      <w:start w:val="1"/>
      <w:numFmt w:val="bullet"/>
      <w:lvlText w:val="●"/>
      <w:lvlJc w:val="left"/>
      <w:pPr>
        <w:ind w:left="720" w:hanging="360"/>
      </w:pPr>
    </w:lvl>
    <w:lvl w:ilvl="1" w:tplc="93E66B9C">
      <w:start w:val="1"/>
      <w:numFmt w:val="bullet"/>
      <w:lvlText w:val="○"/>
      <w:lvlJc w:val="left"/>
      <w:pPr>
        <w:ind w:left="1440" w:hanging="360"/>
      </w:pPr>
    </w:lvl>
    <w:lvl w:ilvl="2" w:tplc="C2745062">
      <w:start w:val="1"/>
      <w:numFmt w:val="bullet"/>
      <w:lvlText w:val="■"/>
      <w:lvlJc w:val="left"/>
      <w:pPr>
        <w:ind w:left="2160" w:hanging="360"/>
      </w:pPr>
    </w:lvl>
    <w:lvl w:ilvl="3" w:tplc="17EAB750">
      <w:start w:val="1"/>
      <w:numFmt w:val="bullet"/>
      <w:lvlText w:val="●"/>
      <w:lvlJc w:val="left"/>
      <w:pPr>
        <w:ind w:left="2880" w:hanging="360"/>
      </w:pPr>
    </w:lvl>
    <w:lvl w:ilvl="4" w:tplc="2B02316A">
      <w:start w:val="1"/>
      <w:numFmt w:val="bullet"/>
      <w:lvlText w:val="○"/>
      <w:lvlJc w:val="left"/>
      <w:pPr>
        <w:ind w:left="3600" w:hanging="360"/>
      </w:pPr>
    </w:lvl>
    <w:lvl w:ilvl="5" w:tplc="F768EE94">
      <w:start w:val="1"/>
      <w:numFmt w:val="bullet"/>
      <w:lvlText w:val="■"/>
      <w:lvlJc w:val="left"/>
      <w:pPr>
        <w:ind w:left="4320" w:hanging="360"/>
      </w:pPr>
    </w:lvl>
    <w:lvl w:ilvl="6" w:tplc="53AC6F52">
      <w:start w:val="1"/>
      <w:numFmt w:val="bullet"/>
      <w:lvlText w:val="●"/>
      <w:lvlJc w:val="left"/>
      <w:pPr>
        <w:ind w:left="5040" w:hanging="360"/>
      </w:pPr>
    </w:lvl>
    <w:lvl w:ilvl="7" w:tplc="060443AE">
      <w:start w:val="1"/>
      <w:numFmt w:val="bullet"/>
      <w:lvlText w:val="●"/>
      <w:lvlJc w:val="left"/>
      <w:pPr>
        <w:ind w:left="5760" w:hanging="360"/>
      </w:pPr>
    </w:lvl>
    <w:lvl w:ilvl="8" w:tplc="ECCA9FB2">
      <w:start w:val="1"/>
      <w:numFmt w:val="bullet"/>
      <w:lvlText w:val="●"/>
      <w:lvlJc w:val="left"/>
      <w:pPr>
        <w:ind w:left="6480" w:hanging="360"/>
      </w:pPr>
    </w:lvl>
  </w:abstractNum>
  <w:num w:numId="1" w16cid:durableId="7353979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E80"/>
    <w:rsid w:val="000269B3"/>
    <w:rsid w:val="00045CF3"/>
    <w:rsid w:val="0008558F"/>
    <w:rsid w:val="000B19BF"/>
    <w:rsid w:val="000C2F91"/>
    <w:rsid w:val="000E585E"/>
    <w:rsid w:val="000F548B"/>
    <w:rsid w:val="001661F0"/>
    <w:rsid w:val="00166706"/>
    <w:rsid w:val="00193350"/>
    <w:rsid w:val="001A342D"/>
    <w:rsid w:val="001D512E"/>
    <w:rsid w:val="00245B43"/>
    <w:rsid w:val="002500E0"/>
    <w:rsid w:val="00260B03"/>
    <w:rsid w:val="00265D3B"/>
    <w:rsid w:val="00273CE7"/>
    <w:rsid w:val="002C7945"/>
    <w:rsid w:val="002D0B86"/>
    <w:rsid w:val="002E2CD2"/>
    <w:rsid w:val="00322A89"/>
    <w:rsid w:val="00335810"/>
    <w:rsid w:val="003634BD"/>
    <w:rsid w:val="003A09FA"/>
    <w:rsid w:val="003E4412"/>
    <w:rsid w:val="004113EA"/>
    <w:rsid w:val="0041387B"/>
    <w:rsid w:val="00431D07"/>
    <w:rsid w:val="00442A09"/>
    <w:rsid w:val="00445D75"/>
    <w:rsid w:val="00463B71"/>
    <w:rsid w:val="0047489B"/>
    <w:rsid w:val="00485C8E"/>
    <w:rsid w:val="004E2E80"/>
    <w:rsid w:val="005039E5"/>
    <w:rsid w:val="0051069E"/>
    <w:rsid w:val="00511359"/>
    <w:rsid w:val="00521082"/>
    <w:rsid w:val="005507BC"/>
    <w:rsid w:val="00586D20"/>
    <w:rsid w:val="005B4522"/>
    <w:rsid w:val="005D0753"/>
    <w:rsid w:val="005F7462"/>
    <w:rsid w:val="00621727"/>
    <w:rsid w:val="006637E2"/>
    <w:rsid w:val="00667907"/>
    <w:rsid w:val="006A130B"/>
    <w:rsid w:val="006C1952"/>
    <w:rsid w:val="006C738B"/>
    <w:rsid w:val="00756D92"/>
    <w:rsid w:val="00766857"/>
    <w:rsid w:val="00780FAA"/>
    <w:rsid w:val="007F20C9"/>
    <w:rsid w:val="007F7C32"/>
    <w:rsid w:val="008456F7"/>
    <w:rsid w:val="00870FF6"/>
    <w:rsid w:val="008841CB"/>
    <w:rsid w:val="008D524A"/>
    <w:rsid w:val="00911768"/>
    <w:rsid w:val="009A55FA"/>
    <w:rsid w:val="009C135C"/>
    <w:rsid w:val="009D0598"/>
    <w:rsid w:val="009E20FC"/>
    <w:rsid w:val="009E4742"/>
    <w:rsid w:val="009F6EF4"/>
    <w:rsid w:val="00A1452C"/>
    <w:rsid w:val="00A23F99"/>
    <w:rsid w:val="00A671CD"/>
    <w:rsid w:val="00A6763C"/>
    <w:rsid w:val="00A74016"/>
    <w:rsid w:val="00AC2175"/>
    <w:rsid w:val="00B14244"/>
    <w:rsid w:val="00B64D2D"/>
    <w:rsid w:val="00BB3D9B"/>
    <w:rsid w:val="00BC167E"/>
    <w:rsid w:val="00BD0070"/>
    <w:rsid w:val="00BD09DF"/>
    <w:rsid w:val="00BE5B49"/>
    <w:rsid w:val="00C05772"/>
    <w:rsid w:val="00C15378"/>
    <w:rsid w:val="00C94430"/>
    <w:rsid w:val="00CB1334"/>
    <w:rsid w:val="00CB779F"/>
    <w:rsid w:val="00D041BC"/>
    <w:rsid w:val="00D13227"/>
    <w:rsid w:val="00D34691"/>
    <w:rsid w:val="00D95B7E"/>
    <w:rsid w:val="00DC0031"/>
    <w:rsid w:val="00DC15BC"/>
    <w:rsid w:val="00E223A2"/>
    <w:rsid w:val="00E43953"/>
    <w:rsid w:val="00E50392"/>
    <w:rsid w:val="00E94975"/>
    <w:rsid w:val="00EB2D34"/>
    <w:rsid w:val="00F30F54"/>
    <w:rsid w:val="00F4003A"/>
    <w:rsid w:val="00F5662D"/>
    <w:rsid w:val="00F75A8D"/>
    <w:rsid w:val="00F91A46"/>
    <w:rsid w:val="00F964BE"/>
    <w:rsid w:val="2ABC7A9B"/>
    <w:rsid w:val="31CEDF49"/>
    <w:rsid w:val="3D9E0ADA"/>
    <w:rsid w:val="5D9C484C"/>
    <w:rsid w:val="602264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084A0"/>
  <w15:docId w15:val="{E821182F-FEFF-445F-86AB-C5B152BC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95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64D2D"/>
    <w:pPr>
      <w:tabs>
        <w:tab w:val="center" w:pos="4513"/>
        <w:tab w:val="right" w:pos="9026"/>
      </w:tabs>
    </w:pPr>
  </w:style>
  <w:style w:type="character" w:customStyle="1" w:styleId="HeaderChar">
    <w:name w:val="Header Char"/>
    <w:basedOn w:val="DefaultParagraphFont"/>
    <w:link w:val="Header"/>
    <w:uiPriority w:val="99"/>
    <w:rsid w:val="00B64D2D"/>
  </w:style>
  <w:style w:type="paragraph" w:styleId="Footer">
    <w:name w:val="footer"/>
    <w:basedOn w:val="Normal"/>
    <w:link w:val="FooterChar"/>
    <w:uiPriority w:val="99"/>
    <w:unhideWhenUsed/>
    <w:rsid w:val="00B64D2D"/>
    <w:pPr>
      <w:tabs>
        <w:tab w:val="center" w:pos="4513"/>
        <w:tab w:val="right" w:pos="9026"/>
      </w:tabs>
    </w:pPr>
  </w:style>
  <w:style w:type="character" w:customStyle="1" w:styleId="FooterChar">
    <w:name w:val="Footer Char"/>
    <w:basedOn w:val="DefaultParagraphFont"/>
    <w:link w:val="Footer"/>
    <w:uiPriority w:val="99"/>
    <w:rsid w:val="00B64D2D"/>
  </w:style>
  <w:style w:type="character" w:styleId="PlaceholderText">
    <w:name w:val="Placeholder Text"/>
    <w:basedOn w:val="DefaultParagraphFont"/>
    <w:uiPriority w:val="99"/>
    <w:semiHidden/>
    <w:rsid w:val="005F7462"/>
    <w:rPr>
      <w:color w:val="666666"/>
    </w:rPr>
  </w:style>
  <w:style w:type="character" w:styleId="UnresolvedMention">
    <w:name w:val="Unresolved Mention"/>
    <w:basedOn w:val="DefaultParagraphFont"/>
    <w:uiPriority w:val="99"/>
    <w:semiHidden/>
    <w:unhideWhenUsed/>
    <w:rsid w:val="00193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health.gov.au/committees-and-groups/health-workforce-taskforce-hwt/working-in-australia-an-orientation-to-the-health-syste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6422e4-215b-42a2-8807-28192b1678e0">
      <Terms xmlns="http://schemas.microsoft.com/office/infopath/2007/PartnerControls"/>
    </lcf76f155ced4ddcb4097134ff3c332f>
    <Demo xmlns="1b6422e4-215b-42a2-8807-28192b1678e0">
      <Url xsi:nil="true"/>
      <Description xsi:nil="true"/>
    </Demo>
    <TaxCatchAll xmlns="1c3b9067-fb5d-420e-a338-163ec65fe6f0" xsi:nil="true"/>
    <ArticulateRisedemo26052026 xmlns="1b6422e4-215b-42a2-8807-28192b1678e0">
      <Url xsi:nil="true"/>
      <Description xsi:nil="true"/>
    </ArticulateRisedemo2605202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B54B14A2F72841A86365D3D6559EE2" ma:contentTypeVersion="18" ma:contentTypeDescription="Create a new document." ma:contentTypeScope="" ma:versionID="ad131902d3f412e0c1ccda38f816c669">
  <xsd:schema xmlns:xsd="http://www.w3.org/2001/XMLSchema" xmlns:xs="http://www.w3.org/2001/XMLSchema" xmlns:p="http://schemas.microsoft.com/office/2006/metadata/properties" xmlns:ns2="1b6422e4-215b-42a2-8807-28192b1678e0" xmlns:ns3="1c3b9067-fb5d-420e-a338-163ec65fe6f0" targetNamespace="http://schemas.microsoft.com/office/2006/metadata/properties" ma:root="true" ma:fieldsID="6f50a97085283235580f9c81111be9f7" ns2:_="" ns3:_="">
    <xsd:import namespace="1b6422e4-215b-42a2-8807-28192b1678e0"/>
    <xsd:import namespace="1c3b9067-fb5d-420e-a338-163ec65fe6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ArticulateRisedemo26052026" minOccurs="0"/>
                <xsd:element ref="ns2:Dem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422e4-215b-42a2-8807-28192b167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4c9e2d-f8e3-4a57-bac9-17bee8f457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ArticulateRisedemo26052026" ma:index="24" nillable="true" ma:displayName="Articulate Rise demo 26052026" ma:format="Hyperlink" ma:internalName="ArticulateRisedemo26052026">
      <xsd:complexType>
        <xsd:complexContent>
          <xsd:extension base="dms:URL">
            <xsd:sequence>
              <xsd:element name="Url" type="dms:ValidUrl" minOccurs="0" nillable="true"/>
              <xsd:element name="Description" type="xsd:string" nillable="true"/>
            </xsd:sequence>
          </xsd:extension>
        </xsd:complexContent>
      </xsd:complexType>
    </xsd:element>
    <xsd:element name="Demo" ma:index="25" nillable="true" ma:displayName="Demo" ma:description="https://teams.microsoft.com/l/meetingrecap?driveId=b%21y1lL4ggkV0OjoaqZ-uEqUl38Ofxi5MpOsEH1lNu-yev21U5UFANmQJ7jJN-9XClB&amp;driveItemId=01D2BOQRANXGFSVIIDH5A3KKGOZW5HGDY4&amp;sitePath=https%3A%2F%2Fnswhealth-my.sharepoint.com%2F%3Av%3A%2Fg%2Fpersonal%2Fkatie_nelson_health_nsw_gov_au1%2FIQANuYsqoQM_QbUozs26cw8cAawAECDVvpHbNGXDFGXe6s8&amp;fileUrl=https%3A%2F%2Fnswhealth-my.sharepoint.com%2Fpersonal%2Fkatie_nelson_health_nsw_gov_au1%2FDocuments%2FRecordings%2FOrientation+modules+weekly+project+meeting-20260526_134027-Meeting+Recording.mp4%3Fweb%3D1&amp;iCalUid=040000008200E00074C5B7101A82E00807EA051ABACA8734CAD6DC0100000000000000001000000082F373EEE5C0DE448882CEC6BC405726&amp;masterICalUid=040000008200E00074C5B7101A82E00800000000BACA8734CAD6DC0100000000000000001000000082F373EEE5C0DE448882CEC6BC405726&amp;threadId=19%3Ameeting_M2Y0MmU2MjMtZTAxZC00MTBlLTljM2MtZTUyNjYxY2YxZWQy%40thread.v2&amp;organizerId=b9dd2a8d-b3cc-4ebb-948d-fec9348930a6&amp;tenantId=a687a7bf-02db-43df-bcbb-e7a8bda611a2&amp;callId=6b6b59c0-00a9-408c-800d-e76bb125fe7a&amp;threadType=Meeting&amp;meetingType=Recurring&amp;subType=RecapSharingLink_RecapCore" ma:format="Hyperlink" ma:internalName="Dem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b9067-fb5d-420e-a338-163ec65fe6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dcc8c2-7177-42d5-9b4e-70922e695911}" ma:internalName="TaxCatchAll" ma:showField="CatchAllData" ma:web="1c3b9067-fb5d-420e-a338-163ec65fe6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4EDC2-FDCA-4646-8FE4-4BE538097149}">
  <ds:schemaRefs>
    <ds:schemaRef ds:uri="http://schemas.microsoft.com/office/2006/metadata/properties"/>
    <ds:schemaRef ds:uri="http://schemas.microsoft.com/office/infopath/2007/PartnerControls"/>
    <ds:schemaRef ds:uri="1b6422e4-215b-42a2-8807-28192b1678e0"/>
    <ds:schemaRef ds:uri="1c3b9067-fb5d-420e-a338-163ec65fe6f0"/>
  </ds:schemaRefs>
</ds:datastoreItem>
</file>

<file path=customXml/itemProps2.xml><?xml version="1.0" encoding="utf-8"?>
<ds:datastoreItem xmlns:ds="http://schemas.openxmlformats.org/officeDocument/2006/customXml" ds:itemID="{27CCB8BB-C7C0-428F-BD65-0F880BF74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422e4-215b-42a2-8807-28192b1678e0"/>
    <ds:schemaRef ds:uri="1c3b9067-fb5d-420e-a338-163ec65fe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4BA7F-0D93-4F24-A43F-4A26E4A2B7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1228</Words>
  <Characters>7483</Characters>
  <Application>Microsoft Office Word</Application>
  <DocSecurity>0</DocSecurity>
  <Lines>254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in Australia: Learner and supervisor checklist</dc:title>
  <dc:subject>An orientation to the Australians health system</dc:subject>
  <dc:creator>Health Workforce Taskforce</dc:creator>
  <cp:keywords>Health workforce; Working in Australia; health system</cp:keywords>
  <cp:lastModifiedBy>NEWBERRY, Jacqui</cp:lastModifiedBy>
  <cp:revision>58</cp:revision>
  <cp:lastPrinted>2026-06-12T09:29:00Z</cp:lastPrinted>
  <dcterms:created xsi:type="dcterms:W3CDTF">2026-06-12T05:42:00Z</dcterms:created>
  <dcterms:modified xsi:type="dcterms:W3CDTF">2026-08-28T01:32:00Z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0x010100FFB54B14A2F72841A86365D3D6559EE2</vt:lpwstr>
  </property>
  <property fmtid="{D5CDD505-2E9C-101B-9397-08002B2CF9AE}" pid="3" name="MSIP_Label_76a44f01-6907-4156-9b79-a71e6c56ad93_Enabled">
    <vt:lpwstr>true</vt:lpwstr>
  </property>
  <property fmtid="{D5CDD505-2E9C-101B-9397-08002B2CF9AE}" pid="4" name="MSIP_Label_76a44f01-6907-4156-9b79-a71e6c56ad93_SetDate">
    <vt:lpwstr>2026-06-10T02:42:43Z</vt:lpwstr>
  </property>
  <property fmtid="{D5CDD505-2E9C-101B-9397-08002B2CF9AE}" pid="5" name="MSIP_Label_76a44f01-6907-4156-9b79-a71e6c56ad93_Method">
    <vt:lpwstr>Privileged</vt:lpwstr>
  </property>
  <property fmtid="{D5CDD505-2E9C-101B-9397-08002B2CF9AE}" pid="6" name="MSIP_Label_76a44f01-6907-4156-9b79-a71e6c56ad93_Name">
    <vt:lpwstr>OFFICIAL</vt:lpwstr>
  </property>
  <property fmtid="{D5CDD505-2E9C-101B-9397-08002B2CF9AE}" pid="7" name="MSIP_Label_76a44f01-6907-4156-9b79-a71e6c56ad93_SiteId">
    <vt:lpwstr>a687a7bf-02db-43df-bcbb-e7a8bda611a2</vt:lpwstr>
  </property>
  <property fmtid="{D5CDD505-2E9C-101B-9397-08002B2CF9AE}" pid="8" name="MSIP_Label_76a44f01-6907-4156-9b79-a71e6c56ad93_ActionId">
    <vt:lpwstr>88f9a260-4843-4942-9586-8dc1531c3491</vt:lpwstr>
  </property>
  <property fmtid="{D5CDD505-2E9C-101B-9397-08002B2CF9AE}" pid="9" name="MSIP_Label_76a44f01-6907-4156-9b79-a71e6c56ad93_ContentBits">
    <vt:lpwstr>0</vt:lpwstr>
  </property>
  <property fmtid="{D5CDD505-2E9C-101B-9397-08002B2CF9AE}" pid="10" name="MSIP_Label_76a44f01-6907-4156-9b79-a71e6c56ad93_Tag">
    <vt:lpwstr>10, 0, 1, 1</vt:lpwstr>
  </property>
  <property fmtid="{D5CDD505-2E9C-101B-9397-08002B2CF9AE}" pid="11" name="MediaServiceImageTags">
    <vt:lpwstr/>
  </property>
  <property fmtid="{D5CDD505-2E9C-101B-9397-08002B2CF9AE}" pid="12" name="ClassificationContentMarkingHeaderShapeIds">
    <vt:lpwstr>4a36903e,327d13fa,6dc515f1</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f5d30cd,65cf15bf,1e136bbd</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2026-08-28T01:29:47Z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31bceab2-5fe4-4b75-8ebb-2f488dbdfbd3</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ies>
</file>