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2732" w:rsidP="003D033A" w:rsidRDefault="00925E29" w14:paraId="064663E6" w14:textId="78C83A25">
      <w:pPr>
        <w:pStyle w:val="Title"/>
      </w:pPr>
      <w:r>
        <w:t>Table of new framework planning rules</w:t>
      </w:r>
    </w:p>
    <w:p w:rsidRPr="00CB0268" w:rsidR="00AF5943" w:rsidP="3232BEC4" w:rsidRDefault="00AF5943" w14:paraId="2FB634F2" w14:textId="4ADDB88D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</w:pPr>
      <w:r w:rsidR="00AF5943">
        <w:rPr/>
        <w:t xml:space="preserve">The table below provides a description of the </w:t>
      </w:r>
      <w:r w:rsidR="564FBF34">
        <w:rPr/>
        <w:t xml:space="preserve">8 </w:t>
      </w:r>
      <w:r w:rsidR="00AF5943">
        <w:rPr/>
        <w:t xml:space="preserve">new framework planning NDIS rules, the category of each rule and when consultation on each rule will occur. For </w:t>
      </w:r>
      <w:r w:rsidR="0009073E">
        <w:rPr/>
        <w:t>more</w:t>
      </w:r>
      <w:r w:rsidR="00AF5943">
        <w:rPr/>
        <w:t xml:space="preserve"> information about legal instruments and categories of NDIS Rules visit </w:t>
      </w:r>
      <w:hyperlink r:id="R2e349dfd73d44450">
        <w:r w:rsidRPr="3232BEC4" w:rsidR="008A3E58">
          <w:rPr>
            <w:rStyle w:val="cf01"/>
            <w:rFonts w:ascii="Arial" w:hAnsi="Arial" w:cs="Arial"/>
            <w:color w:val="0000FF"/>
            <w:sz w:val="22"/>
            <w:szCs w:val="22"/>
            <w:u w:val="single"/>
          </w:rPr>
          <w:t>ndis-legal-instruments-explained.pdf</w:t>
        </w:r>
      </w:hyperlink>
    </w:p>
    <w:p w:rsidRPr="00681D99" w:rsidR="00681D99" w:rsidP="00681D99" w:rsidRDefault="00681D99" w14:paraId="724CA048" w14:textId="77777777">
      <w:pPr>
        <w:pStyle w:val="Heading2"/>
      </w:pPr>
      <w:r w:rsidRPr="00681D99">
        <w:t>NDIS new framework planning rules</w:t>
      </w:r>
    </w:p>
    <w:tbl>
      <w:tblPr>
        <w:tblStyle w:val="ListTable3-Accent1"/>
        <w:tblW w:w="14029" w:type="dxa"/>
        <w:tblLook w:val="04A0" w:firstRow="1" w:lastRow="0" w:firstColumn="1" w:lastColumn="0" w:noHBand="0" w:noVBand="1"/>
        <w:tblDescription w:val="Add Alt Text describing the content of the table"/>
      </w:tblPr>
      <w:tblGrid>
        <w:gridCol w:w="2263"/>
        <w:gridCol w:w="6804"/>
        <w:gridCol w:w="2835"/>
        <w:gridCol w:w="2127"/>
      </w:tblGrid>
      <w:tr w:rsidRPr="004C402B" w:rsidR="00ED6AA9" w:rsidTr="00E578DA" w14:paraId="77D8189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0261B138" w14:textId="77777777">
            <w:pPr>
              <w:pStyle w:val="TableHeader"/>
              <w:rPr>
                <w:b/>
              </w:rPr>
            </w:pPr>
            <w:r w:rsidRPr="004C402B">
              <w:rPr>
                <w:b/>
              </w:rPr>
              <w:t>Rule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78D857C7" w14:textId="77777777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C402B">
              <w:rPr>
                <w:b/>
              </w:rPr>
              <w:t>Description</w:t>
            </w:r>
          </w:p>
        </w:tc>
        <w:tc>
          <w:tcPr>
            <w:tcW w:w="2835" w:type="dxa"/>
            <w:hideMark/>
          </w:tcPr>
          <w:p w:rsidRPr="004C402B" w:rsidR="00ED6AA9" w:rsidP="00E578DA" w:rsidRDefault="00ED6AA9" w14:paraId="1EAC7478" w14:textId="77777777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C402B">
              <w:rPr>
                <w:b/>
              </w:rPr>
              <w:t>Category*</w:t>
            </w:r>
          </w:p>
        </w:tc>
        <w:tc>
          <w:tcPr>
            <w:tcW w:w="2127" w:type="dxa"/>
          </w:tcPr>
          <w:p w:rsidRPr="004C402B" w:rsidR="00ED6AA9" w:rsidP="00E578DA" w:rsidRDefault="00ED6AA9" w14:paraId="58FCDDDC" w14:textId="77777777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Consultation </w:t>
            </w:r>
          </w:p>
        </w:tc>
      </w:tr>
      <w:tr w:rsidRPr="004C402B" w:rsidR="00ED6AA9" w:rsidTr="00E578DA" w14:paraId="0754AB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38342043" w14:textId="77777777">
            <w:pPr>
              <w:pStyle w:val="TableText"/>
            </w:pPr>
            <w:r w:rsidRPr="004C402B">
              <w:t xml:space="preserve">New Framework Transition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42C6883A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>The transition arrangements for different cohorts of participants to move to new framework plans, ensuring participants are advised of the timing of their transition.</w:t>
            </w:r>
          </w:p>
        </w:tc>
        <w:tc>
          <w:tcPr>
            <w:tcW w:w="2835" w:type="dxa"/>
          </w:tcPr>
          <w:p w:rsidRPr="004C402B" w:rsidR="00ED6AA9" w:rsidP="00E578DA" w:rsidRDefault="00ED6AA9" w14:paraId="5564E366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Category A/ Transitional rule </w:t>
            </w:r>
          </w:p>
        </w:tc>
        <w:tc>
          <w:tcPr>
            <w:tcW w:w="2127" w:type="dxa"/>
          </w:tcPr>
          <w:p w:rsidRPr="004C402B" w:rsidR="00ED6AA9" w:rsidP="00E578DA" w:rsidRDefault="00ED6AA9" w14:paraId="1A74A117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144E">
              <w:t>January-March 2026</w:t>
            </w:r>
          </w:p>
        </w:tc>
      </w:tr>
      <w:tr w:rsidRPr="004C402B" w:rsidR="00ED6AA9" w:rsidTr="00E578DA" w14:paraId="465F50C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5642282D" w14:textId="77777777">
            <w:pPr>
              <w:pStyle w:val="TableText"/>
            </w:pPr>
            <w:r w:rsidRPr="004C402B">
              <w:t>New Framework Plan Spending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430C388A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 xml:space="preserve">Documents circumstances when the Agency may limit how participants can spend their flexible funding </w:t>
            </w:r>
            <w:r>
              <w:t xml:space="preserve">for safeguarding reasons </w:t>
            </w:r>
            <w:r w:rsidRPr="004C402B">
              <w:t xml:space="preserve">(in addition to those in the </w:t>
            </w:r>
            <w:r w:rsidRPr="004C402B">
              <w:rPr>
                <w:i/>
              </w:rPr>
              <w:t>NDIS Act</w:t>
            </w:r>
            <w:r w:rsidRPr="004C402B">
              <w:t xml:space="preserve">) and matters the CEO must consider when making decisions </w:t>
            </w:r>
            <w:proofErr w:type="gramStart"/>
            <w:r w:rsidRPr="004C402B">
              <w:t>to:</w:t>
            </w:r>
            <w:proofErr w:type="gramEnd"/>
            <w:r w:rsidRPr="004C402B">
              <w:t xml:space="preserve"> limit how a participant can spend their flexible funding; determine funding periods; and </w:t>
            </w:r>
            <w:r>
              <w:t>apply</w:t>
            </w:r>
            <w:r w:rsidRPr="004C402B">
              <w:t xml:space="preserve"> requirements for the provision or purchasing of supports. </w:t>
            </w:r>
          </w:p>
        </w:tc>
        <w:tc>
          <w:tcPr>
            <w:tcW w:w="2835" w:type="dxa"/>
          </w:tcPr>
          <w:p w:rsidRPr="004C402B" w:rsidR="00ED6AA9" w:rsidP="00E578DA" w:rsidRDefault="00ED6AA9" w14:paraId="46E1D914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 xml:space="preserve">Category A rule </w:t>
            </w:r>
          </w:p>
          <w:p w:rsidRPr="004C402B" w:rsidR="00ED6AA9" w:rsidP="00E578DA" w:rsidRDefault="00ED6AA9" w14:paraId="6151B106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:rsidRPr="004C402B" w:rsidR="00ED6AA9" w:rsidP="00E578DA" w:rsidRDefault="00ED6AA9" w14:paraId="16012E71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144E">
              <w:t>January-March 2026</w:t>
            </w:r>
          </w:p>
        </w:tc>
      </w:tr>
      <w:tr w:rsidRPr="004C402B" w:rsidR="00ED6AA9" w:rsidTr="00E578DA" w14:paraId="0FDA0D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51ABF209" w14:textId="77777777">
            <w:pPr>
              <w:pStyle w:val="TableText"/>
              <w:rPr>
                <w:i/>
                <w:iCs/>
              </w:rPr>
            </w:pPr>
            <w:r w:rsidRPr="004C402B">
              <w:t>Notices of Impairment</w:t>
            </w:r>
            <w:r>
              <w:t>s</w:t>
            </w:r>
            <w:r w:rsidRPr="004C402B">
              <w:t xml:space="preserve">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4C711F22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Enables the Agency to issue a notice of impairment to existing participants (who made their access prior </w:t>
            </w:r>
            <w:r>
              <w:t xml:space="preserve">to </w:t>
            </w:r>
            <w:r w:rsidRPr="004C402B">
              <w:t xml:space="preserve">1 January 2025) specifying the category of impairment(s) </w:t>
            </w:r>
            <w:r>
              <w:t>for</w:t>
            </w:r>
            <w:r w:rsidRPr="004C402B">
              <w:t xml:space="preserve"> which a participant </w:t>
            </w:r>
            <w:r>
              <w:t>meets</w:t>
            </w:r>
            <w:r w:rsidRPr="004C402B">
              <w:t xml:space="preserve"> the disability or early intervention requirements. </w:t>
            </w:r>
          </w:p>
        </w:tc>
        <w:tc>
          <w:tcPr>
            <w:tcW w:w="2835" w:type="dxa"/>
          </w:tcPr>
          <w:p w:rsidRPr="004C402B" w:rsidR="00ED6AA9" w:rsidP="00E578DA" w:rsidRDefault="00ED6AA9" w14:paraId="2AC4295B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Category D rule </w:t>
            </w:r>
          </w:p>
          <w:p w:rsidRPr="004C402B" w:rsidR="00ED6AA9" w:rsidP="00E578DA" w:rsidRDefault="00ED6AA9" w14:paraId="42733EE8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:rsidRPr="004C402B" w:rsidR="00ED6AA9" w:rsidP="00E578DA" w:rsidRDefault="00ED6AA9" w14:paraId="5A41229F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January-March 2026</w:t>
            </w:r>
          </w:p>
        </w:tc>
      </w:tr>
      <w:tr w:rsidRPr="004C402B" w:rsidR="00ED6AA9" w:rsidTr="00E578DA" w14:paraId="44079C2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3B458667" w14:textId="77777777">
            <w:pPr>
              <w:pStyle w:val="TableText"/>
              <w:rPr>
                <w:b w:val="0"/>
                <w:bCs w:val="0"/>
              </w:rPr>
            </w:pPr>
            <w:r w:rsidRPr="004C402B">
              <w:t xml:space="preserve">Stated Supports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7541E426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 xml:space="preserve">Outlines which </w:t>
            </w:r>
            <w:proofErr w:type="gramStart"/>
            <w:r w:rsidRPr="004C402B">
              <w:t>supports</w:t>
            </w:r>
            <w:proofErr w:type="gramEnd"/>
            <w:r w:rsidRPr="004C402B">
              <w:t xml:space="preserve"> will be stated for all participants or specific groups of participants.</w:t>
            </w:r>
          </w:p>
        </w:tc>
        <w:tc>
          <w:tcPr>
            <w:tcW w:w="2835" w:type="dxa"/>
            <w:hideMark/>
          </w:tcPr>
          <w:p w:rsidRPr="004C402B" w:rsidR="00ED6AA9" w:rsidP="00E578DA" w:rsidRDefault="00ED6AA9" w14:paraId="7BDA71A0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>Category A /Transitional rule</w:t>
            </w:r>
          </w:p>
        </w:tc>
        <w:tc>
          <w:tcPr>
            <w:tcW w:w="2127" w:type="dxa"/>
          </w:tcPr>
          <w:p w:rsidRPr="004C402B" w:rsidR="00ED6AA9" w:rsidP="00E578DA" w:rsidRDefault="00ED6AA9" w14:paraId="0645EFA7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144E">
              <w:t>January-March 2026</w:t>
            </w:r>
          </w:p>
        </w:tc>
      </w:tr>
      <w:tr w:rsidRPr="004C402B" w:rsidR="00ED6AA9" w:rsidTr="00E578DA" w14:paraId="70B11C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72FD7C3F" w14:textId="77777777">
            <w:pPr>
              <w:pStyle w:val="TableText"/>
            </w:pPr>
            <w:r w:rsidRPr="004C402B">
              <w:t xml:space="preserve">NDIS Supports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01946A10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Amendments to the NDIS supports transitional rule based on insights from the implementation of the rule from 3 October 2024 to date. Changes are also required to ensure the rule effectively supports the implementation of new framework planning. </w:t>
            </w:r>
          </w:p>
        </w:tc>
        <w:tc>
          <w:tcPr>
            <w:tcW w:w="2835" w:type="dxa"/>
          </w:tcPr>
          <w:p w:rsidRPr="004C402B" w:rsidR="00ED6AA9" w:rsidP="00E578DA" w:rsidRDefault="00ED6AA9" w14:paraId="35B58DF4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Category A/ Transitional rule </w:t>
            </w:r>
          </w:p>
          <w:p w:rsidRPr="004C402B" w:rsidR="00ED6AA9" w:rsidP="00E578DA" w:rsidRDefault="00ED6AA9" w14:paraId="11138E94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7" w:type="dxa"/>
          </w:tcPr>
          <w:p w:rsidRPr="004C402B" w:rsidR="00ED6AA9" w:rsidP="00E578DA" w:rsidRDefault="00ED6AA9" w14:paraId="365186E7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2025; August-October 2026</w:t>
            </w:r>
          </w:p>
        </w:tc>
      </w:tr>
      <w:tr w:rsidRPr="004C402B" w:rsidR="00ED6AA9" w:rsidTr="00E578DA" w14:paraId="086F4DC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559265B3" w14:textId="77777777">
            <w:pPr>
              <w:pStyle w:val="TableText"/>
              <w:rPr>
                <w:bCs w:val="0"/>
              </w:rPr>
            </w:pPr>
            <w:r w:rsidRPr="004C402B">
              <w:t xml:space="preserve">Budget Method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6C547A56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>Will provide transparency for how the Agency has determined a participant’s total amount of funding (both flexible and stated supports).</w:t>
            </w:r>
          </w:p>
        </w:tc>
        <w:tc>
          <w:tcPr>
            <w:tcW w:w="2835" w:type="dxa"/>
            <w:hideMark/>
          </w:tcPr>
          <w:p w:rsidRPr="004C402B" w:rsidR="00ED6AA9" w:rsidP="00E578DA" w:rsidRDefault="00ED6AA9" w14:paraId="7FE62E2C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>Category A/ Transitional rule</w:t>
            </w:r>
          </w:p>
        </w:tc>
        <w:tc>
          <w:tcPr>
            <w:tcW w:w="2127" w:type="dxa"/>
          </w:tcPr>
          <w:p w:rsidRPr="004C402B" w:rsidR="00ED6AA9" w:rsidP="00E578DA" w:rsidRDefault="00ED6AA9" w14:paraId="3C8654C8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August-October 2026</w:t>
            </w:r>
          </w:p>
        </w:tc>
      </w:tr>
      <w:tr w:rsidRPr="004C402B" w:rsidR="00ED6AA9" w:rsidTr="00E578DA" w14:paraId="2AEFFB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3108A6D0" w14:textId="77777777">
            <w:pPr>
              <w:pStyle w:val="TableText"/>
              <w:rPr>
                <w:i/>
                <w:iCs/>
              </w:rPr>
            </w:pPr>
            <w:r w:rsidRPr="004C402B">
              <w:t xml:space="preserve">Support Needs Assessment 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33F43E46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 xml:space="preserve">Creates the support needs assessment process for the Agency’s new planning </w:t>
            </w:r>
            <w:proofErr w:type="gramStart"/>
            <w:r w:rsidRPr="004C402B">
              <w:t xml:space="preserve">pathway, </w:t>
            </w:r>
            <w:r>
              <w:t>and</w:t>
            </w:r>
            <w:proofErr w:type="gramEnd"/>
            <w:r>
              <w:t xml:space="preserve"> </w:t>
            </w:r>
            <w:r w:rsidRPr="004C402B">
              <w:t xml:space="preserve">includes </w:t>
            </w:r>
            <w:r>
              <w:t xml:space="preserve">the </w:t>
            </w:r>
            <w:r w:rsidRPr="004C402B">
              <w:t xml:space="preserve">assessment process and tool(s) used, the support needs assessment report content and when a replacement assessment </w:t>
            </w:r>
            <w:r>
              <w:t>should</w:t>
            </w:r>
            <w:r w:rsidRPr="004C402B">
              <w:t xml:space="preserve"> be arranged.</w:t>
            </w:r>
          </w:p>
        </w:tc>
        <w:tc>
          <w:tcPr>
            <w:tcW w:w="2835" w:type="dxa"/>
            <w:hideMark/>
          </w:tcPr>
          <w:p w:rsidRPr="004C402B" w:rsidR="00ED6AA9" w:rsidP="00E578DA" w:rsidRDefault="00ED6AA9" w14:paraId="3C05CC8F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402B">
              <w:t>Category A/ Transitional rule</w:t>
            </w:r>
          </w:p>
        </w:tc>
        <w:tc>
          <w:tcPr>
            <w:tcW w:w="2127" w:type="dxa"/>
          </w:tcPr>
          <w:p w:rsidRPr="004C402B" w:rsidR="00ED6AA9" w:rsidP="00E578DA" w:rsidRDefault="00ED6AA9" w14:paraId="45856E94" w14:textId="77777777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August-October 2026</w:t>
            </w:r>
          </w:p>
        </w:tc>
      </w:tr>
      <w:tr w:rsidRPr="004C402B" w:rsidR="00ED6AA9" w:rsidTr="00E578DA" w14:paraId="628EDD1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:rsidRPr="004C402B" w:rsidR="00ED6AA9" w:rsidP="00E578DA" w:rsidRDefault="00ED6AA9" w14:paraId="538D98BB" w14:textId="77777777">
            <w:pPr>
              <w:pStyle w:val="TableText"/>
              <w:rPr>
                <w:b w:val="0"/>
                <w:bCs w:val="0"/>
              </w:rPr>
            </w:pPr>
            <w:r w:rsidRPr="004C402B">
              <w:t>Plan Variation</w:t>
            </w:r>
          </w:p>
        </w:tc>
        <w:tc>
          <w:tcPr>
            <w:tcW w:w="6804" w:type="dxa"/>
            <w:hideMark/>
          </w:tcPr>
          <w:p w:rsidRPr="004C402B" w:rsidR="00ED6AA9" w:rsidP="00E578DA" w:rsidRDefault="00ED6AA9" w14:paraId="7A291BBE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>Criteria for deciding whether to vary a plan under the existing permitted variations in the Act, and additional circumstances in which a participant’s budget can be varied.</w:t>
            </w:r>
          </w:p>
        </w:tc>
        <w:tc>
          <w:tcPr>
            <w:tcW w:w="2835" w:type="dxa"/>
            <w:hideMark/>
          </w:tcPr>
          <w:p w:rsidRPr="004C402B" w:rsidR="00ED6AA9" w:rsidP="00E578DA" w:rsidRDefault="00ED6AA9" w14:paraId="161A31C0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402B">
              <w:t>Category A rule</w:t>
            </w:r>
          </w:p>
        </w:tc>
        <w:tc>
          <w:tcPr>
            <w:tcW w:w="2127" w:type="dxa"/>
          </w:tcPr>
          <w:p w:rsidRPr="004C402B" w:rsidR="00ED6AA9" w:rsidP="00E578DA" w:rsidRDefault="00ED6AA9" w14:paraId="05F3519E" w14:textId="77777777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August-October 2026</w:t>
            </w:r>
          </w:p>
        </w:tc>
      </w:tr>
    </w:tbl>
    <w:p w:rsidRPr="004C402B" w:rsidR="0009073E" w:rsidP="0009073E" w:rsidRDefault="0009073E" w14:paraId="0C930834" w14:textId="77777777">
      <w:pPr>
        <w:rPr>
          <w:b/>
          <w:bCs/>
          <w:color w:val="000000"/>
        </w:rPr>
      </w:pPr>
      <w:r w:rsidRPr="004C402B">
        <w:rPr>
          <w:i/>
          <w:iCs/>
          <w:color w:val="000000"/>
        </w:rPr>
        <w:t>* Category A rules require at least majority agreement of states and territories. Category D rules require state and territory consultation but not agreement. Transitional rules can be made by the Minister following a formal agreement making process with state and territory Disability Ministers.</w:t>
      </w:r>
      <w:r w:rsidRPr="004C402B">
        <w:rPr>
          <w:color w:val="000000"/>
        </w:rPr>
        <w:t> </w:t>
      </w:r>
    </w:p>
    <w:p w:rsidRPr="000224E6" w:rsidR="0009073E" w:rsidP="0009073E" w:rsidRDefault="0009073E" w14:paraId="7FAE5F8B" w14:textId="77777777">
      <w:r w:rsidRPr="000224E6">
        <w:t>The rules will be regularly reviewed and amended to help transition future participant cohorts and learn from the participant experience when implementing the new model.</w:t>
      </w:r>
    </w:p>
    <w:p w:rsidR="00681D99" w:rsidRDefault="00681D99" w14:paraId="0F42FFAB" w14:textId="00672A7D">
      <w:pPr>
        <w:spacing w:before="0" w:after="0" w:line="240" w:lineRule="auto"/>
      </w:pPr>
    </w:p>
    <w:sectPr w:rsidR="00681D99" w:rsidSect="00B648E0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9A1" w:rsidP="006B56BB" w:rsidRDefault="00D829A1" w14:paraId="329D7E03" w14:textId="77777777">
      <w:r>
        <w:separator/>
      </w:r>
    </w:p>
    <w:p w:rsidR="00D829A1" w:rsidRDefault="00D829A1" w14:paraId="5EF7FB66" w14:textId="77777777"/>
  </w:endnote>
  <w:endnote w:type="continuationSeparator" w:id="0">
    <w:p w:rsidR="00D829A1" w:rsidP="006B56BB" w:rsidRDefault="00D829A1" w14:paraId="0FC93E13" w14:textId="77777777">
      <w:r>
        <w:continuationSeparator/>
      </w:r>
    </w:p>
    <w:p w:rsidR="00D829A1" w:rsidRDefault="00D829A1" w14:paraId="365F2A95" w14:textId="77777777"/>
  </w:endnote>
  <w:endnote w:type="continuationNotice" w:id="1">
    <w:p w:rsidR="00D829A1" w:rsidRDefault="00D829A1" w14:paraId="754232B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65998" w:rsidR="00D07414" w:rsidP="00765998" w:rsidRDefault="00016E30" w14:paraId="1F194CBC" w14:textId="05E0372E">
    <w:pPr>
      <w:pStyle w:val="Footer"/>
      <w:tabs>
        <w:tab w:val="clear" w:pos="0"/>
        <w:tab w:val="clear" w:pos="9026"/>
        <w:tab w:val="right" w:pos="13948"/>
      </w:tabs>
      <w:jc w:val="left"/>
    </w:pPr>
    <w:r w:rsidRPr="00016E30">
      <w:t>Department of Health, Disability and Ageing</w:t>
    </w:r>
    <w:r w:rsidR="00FA5B36">
      <w:t xml:space="preserve"> </w:t>
    </w:r>
    <w:r w:rsidR="000D4FB1">
      <w:t>–</w:t>
    </w:r>
    <w:r w:rsidR="00765998">
      <w:t xml:space="preserve"> </w:t>
    </w:r>
    <w:r w:rsidR="00B648E0">
      <w:t>Table of new framework planning rules</w:t>
    </w:r>
    <w:sdt>
      <w:sdtPr>
        <w:id w:val="1988363087"/>
        <w:docPartObj>
          <w:docPartGallery w:val="Page Numbers (Bottom of Page)"/>
          <w:docPartUnique/>
        </w:docPartObj>
      </w:sdtPr>
      <w:sdtContent>
        <w:r w:rsidR="00765998">
          <w:tab/>
        </w:r>
        <w:r w:rsidRPr="003D033A" w:rsidR="00765998">
          <w:fldChar w:fldCharType="begin"/>
        </w:r>
        <w:r w:rsidRPr="003D033A" w:rsidR="00765998">
          <w:instrText xml:space="preserve"> PAGE   \* MERGEFORMAT </w:instrText>
        </w:r>
        <w:r w:rsidRPr="003D033A" w:rsidR="00765998">
          <w:fldChar w:fldCharType="separate"/>
        </w:r>
        <w:r w:rsidR="00765998">
          <w:t>1</w:t>
        </w:r>
        <w:r w:rsidRPr="003D033A" w:rsidR="00765998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998" w:rsidP="00765998" w:rsidRDefault="00016E30" w14:paraId="21337E3B" w14:textId="1F628FB5">
    <w:pPr>
      <w:pStyle w:val="Footer"/>
      <w:tabs>
        <w:tab w:val="clear" w:pos="0"/>
        <w:tab w:val="clear" w:pos="9026"/>
        <w:tab w:val="right" w:pos="13948"/>
      </w:tabs>
      <w:jc w:val="left"/>
    </w:pPr>
    <w:r w:rsidRPr="00016E30">
      <w:t>Department of Health, Disability and Ageing</w:t>
    </w:r>
    <w:r w:rsidR="0036794D">
      <w:t>–</w:t>
    </w:r>
    <w:r w:rsidR="00765998">
      <w:t xml:space="preserve"> </w:t>
    </w:r>
    <w:r w:rsidR="002A4580">
      <w:t>Table of new framework planning rules</w:t>
    </w:r>
    <w:sdt>
      <w:sdtPr>
        <w:id w:val="-471054190"/>
        <w:docPartObj>
          <w:docPartGallery w:val="Page Numbers (Bottom of Page)"/>
          <w:docPartUnique/>
        </w:docPartObj>
      </w:sdtPr>
      <w:sdtContent>
        <w:r w:rsidR="00765998">
          <w:tab/>
        </w:r>
        <w:r w:rsidRPr="003D033A" w:rsidR="00765998">
          <w:fldChar w:fldCharType="begin"/>
        </w:r>
        <w:r w:rsidRPr="003D033A" w:rsidR="00765998">
          <w:instrText xml:space="preserve"> PAGE   \* MERGEFORMAT </w:instrText>
        </w:r>
        <w:r w:rsidRPr="003D033A" w:rsidR="00765998">
          <w:fldChar w:fldCharType="separate"/>
        </w:r>
        <w:r w:rsidR="00765998">
          <w:t>1</w:t>
        </w:r>
        <w:r w:rsidRPr="003D033A" w:rsidR="0076599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9A1" w:rsidP="006B56BB" w:rsidRDefault="00D829A1" w14:paraId="4482EF26" w14:textId="77777777">
      <w:r>
        <w:separator/>
      </w:r>
    </w:p>
    <w:p w:rsidR="00D829A1" w:rsidRDefault="00D829A1" w14:paraId="6E1D6922" w14:textId="77777777"/>
  </w:footnote>
  <w:footnote w:type="continuationSeparator" w:id="0">
    <w:p w:rsidR="00D829A1" w:rsidP="006B56BB" w:rsidRDefault="00D829A1" w14:paraId="1E609645" w14:textId="77777777">
      <w:r>
        <w:continuationSeparator/>
      </w:r>
    </w:p>
    <w:p w:rsidR="00D829A1" w:rsidRDefault="00D829A1" w14:paraId="7A719906" w14:textId="77777777"/>
  </w:footnote>
  <w:footnote w:type="continuationNotice" w:id="1">
    <w:p w:rsidR="00D829A1" w:rsidRDefault="00D829A1" w14:paraId="25FF611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C77" w:rsidP="008E0C77" w:rsidRDefault="008E0C77" w14:paraId="32D22F1D" w14:textId="777777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5998" w:rsidRDefault="008B0752" w14:paraId="592CA909" w14:textId="77777777">
    <w:pPr>
      <w:pStyle w:val="Header"/>
    </w:pPr>
    <w:r>
      <w:rPr>
        <w:noProof/>
      </w:rPr>
      <w:drawing>
        <wp:inline distT="0" distB="0" distL="0" distR="0" wp14:anchorId="2551690F" wp14:editId="3F383080">
          <wp:extent cx="8890000" cy="930384"/>
          <wp:effectExtent l="0" t="0" r="0" b="0"/>
          <wp:docPr id="2" name="Picture 2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ustralian Government Department of Health, Disability and Age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105"/>
                  <a:stretch>
                    <a:fillRect/>
                  </a:stretch>
                </pic:blipFill>
                <pic:spPr bwMode="auto">
                  <a:xfrm>
                    <a:off x="0" y="0"/>
                    <a:ext cx="8890000" cy="9303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1CC6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7C1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9D616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3" w15:restartNumberingAfterBreak="0">
    <w:nsid w:val="FFFFFF81"/>
    <w:multiLevelType w:val="singleLevel"/>
    <w:tmpl w:val="7742C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4" w15:restartNumberingAfterBreak="0">
    <w:nsid w:val="FFFFFF82"/>
    <w:multiLevelType w:val="singleLevel"/>
    <w:tmpl w:val="ADA8B8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6" w15:restartNumberingAfterBreak="0">
    <w:nsid w:val="FFFFFF88"/>
    <w:multiLevelType w:val="singleLevel"/>
    <w:tmpl w:val="08342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3311526"/>
    <w:multiLevelType w:val="hybridMultilevel"/>
    <w:tmpl w:val="374EFC3E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Calibri" w:hAnsi="Calibri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hint="default" w:ascii="Symbol" w:hAnsi="Symbol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Calibri" w:hAnsi="Calibri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Calibri" w:hAnsi="Calibri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Calibri" w:hAnsi="Calibri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Calibri" w:hAnsi="Calibri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Calibri" w:hAnsi="Calibri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Calibri" w:hAnsi="Calibri"/>
      </w:rPr>
    </w:lvl>
  </w:abstractNum>
  <w:abstractNum w:abstractNumId="14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F8287E"/>
    <w:multiLevelType w:val="hybridMultilevel"/>
    <w:tmpl w:val="F64076A0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349714951">
    <w:abstractNumId w:val="7"/>
  </w:num>
  <w:num w:numId="2" w16cid:durableId="978993025">
    <w:abstractNumId w:val="15"/>
  </w:num>
  <w:num w:numId="3" w16cid:durableId="2126190776">
    <w:abstractNumId w:val="17"/>
  </w:num>
  <w:num w:numId="4" w16cid:durableId="281958947">
    <w:abstractNumId w:val="8"/>
  </w:num>
  <w:num w:numId="5" w16cid:durableId="968315718">
    <w:abstractNumId w:val="8"/>
    <w:lvlOverride w:ilvl="0">
      <w:startOverride w:val="1"/>
    </w:lvlOverride>
  </w:num>
  <w:num w:numId="6" w16cid:durableId="540291909">
    <w:abstractNumId w:val="9"/>
  </w:num>
  <w:num w:numId="7" w16cid:durableId="688989805">
    <w:abstractNumId w:val="13"/>
  </w:num>
  <w:num w:numId="8" w16cid:durableId="1558396252">
    <w:abstractNumId w:val="16"/>
  </w:num>
  <w:num w:numId="9" w16cid:durableId="1228608924">
    <w:abstractNumId w:val="5"/>
  </w:num>
  <w:num w:numId="10" w16cid:durableId="772942754">
    <w:abstractNumId w:val="4"/>
  </w:num>
  <w:num w:numId="11" w16cid:durableId="667831207">
    <w:abstractNumId w:val="3"/>
  </w:num>
  <w:num w:numId="12" w16cid:durableId="1527404855">
    <w:abstractNumId w:val="2"/>
  </w:num>
  <w:num w:numId="13" w16cid:durableId="1902599416">
    <w:abstractNumId w:val="6"/>
  </w:num>
  <w:num w:numId="14" w16cid:durableId="561450091">
    <w:abstractNumId w:val="1"/>
  </w:num>
  <w:num w:numId="15" w16cid:durableId="1576089098">
    <w:abstractNumId w:val="0"/>
  </w:num>
  <w:num w:numId="16" w16cid:durableId="199324748">
    <w:abstractNumId w:val="18"/>
  </w:num>
  <w:num w:numId="17" w16cid:durableId="25446275">
    <w:abstractNumId w:val="10"/>
  </w:num>
  <w:num w:numId="18" w16cid:durableId="1281571126">
    <w:abstractNumId w:val="11"/>
  </w:num>
  <w:num w:numId="19" w16cid:durableId="763838685">
    <w:abstractNumId w:val="12"/>
  </w:num>
  <w:num w:numId="20" w16cid:durableId="1682660945">
    <w:abstractNumId w:val="10"/>
  </w:num>
  <w:num w:numId="21" w16cid:durableId="322897377">
    <w:abstractNumId w:val="12"/>
  </w:num>
  <w:num w:numId="22" w16cid:durableId="1593851851">
    <w:abstractNumId w:val="18"/>
  </w:num>
  <w:num w:numId="23" w16cid:durableId="663510714">
    <w:abstractNumId w:val="15"/>
  </w:num>
  <w:num w:numId="24" w16cid:durableId="194124381">
    <w:abstractNumId w:val="17"/>
  </w:num>
  <w:num w:numId="25" w16cid:durableId="429475986">
    <w:abstractNumId w:val="8"/>
  </w:num>
  <w:num w:numId="26" w16cid:durableId="1836649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5E"/>
    <w:rsid w:val="00003743"/>
    <w:rsid w:val="000047B4"/>
    <w:rsid w:val="00005712"/>
    <w:rsid w:val="00007FD8"/>
    <w:rsid w:val="000117F8"/>
    <w:rsid w:val="0001460F"/>
    <w:rsid w:val="00016E30"/>
    <w:rsid w:val="000224E6"/>
    <w:rsid w:val="00022629"/>
    <w:rsid w:val="00026139"/>
    <w:rsid w:val="00027601"/>
    <w:rsid w:val="00033321"/>
    <w:rsid w:val="000338E5"/>
    <w:rsid w:val="00033ECC"/>
    <w:rsid w:val="0003422F"/>
    <w:rsid w:val="00044374"/>
    <w:rsid w:val="00046FF0"/>
    <w:rsid w:val="00050176"/>
    <w:rsid w:val="000549E4"/>
    <w:rsid w:val="000636CC"/>
    <w:rsid w:val="00067456"/>
    <w:rsid w:val="00071506"/>
    <w:rsid w:val="0007154F"/>
    <w:rsid w:val="00081AB1"/>
    <w:rsid w:val="00090316"/>
    <w:rsid w:val="0009073E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4FB1"/>
    <w:rsid w:val="000D72AE"/>
    <w:rsid w:val="000D7AEA"/>
    <w:rsid w:val="000E2C66"/>
    <w:rsid w:val="000F123C"/>
    <w:rsid w:val="000F2FED"/>
    <w:rsid w:val="00100107"/>
    <w:rsid w:val="0010616D"/>
    <w:rsid w:val="00110478"/>
    <w:rsid w:val="0011711B"/>
    <w:rsid w:val="00117F8A"/>
    <w:rsid w:val="00121B9B"/>
    <w:rsid w:val="00122ADC"/>
    <w:rsid w:val="00130F59"/>
    <w:rsid w:val="00133EC0"/>
    <w:rsid w:val="00134DC1"/>
    <w:rsid w:val="00141CE5"/>
    <w:rsid w:val="00144908"/>
    <w:rsid w:val="001571C7"/>
    <w:rsid w:val="00161094"/>
    <w:rsid w:val="00166A3E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064A0"/>
    <w:rsid w:val="00210B09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664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A4580"/>
    <w:rsid w:val="002B20E6"/>
    <w:rsid w:val="002B42A3"/>
    <w:rsid w:val="002C0CDD"/>
    <w:rsid w:val="002C38C4"/>
    <w:rsid w:val="002E1A1D"/>
    <w:rsid w:val="002E4081"/>
    <w:rsid w:val="002E5B78"/>
    <w:rsid w:val="002F3AE3"/>
    <w:rsid w:val="0030464B"/>
    <w:rsid w:val="0030786C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57DFF"/>
    <w:rsid w:val="00360E4E"/>
    <w:rsid w:val="0036794D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31C3"/>
    <w:rsid w:val="003E5265"/>
    <w:rsid w:val="003F0955"/>
    <w:rsid w:val="003F5F4D"/>
    <w:rsid w:val="003F646F"/>
    <w:rsid w:val="00400F00"/>
    <w:rsid w:val="00404F8B"/>
    <w:rsid w:val="00405256"/>
    <w:rsid w:val="00410031"/>
    <w:rsid w:val="00415AE5"/>
    <w:rsid w:val="00415C8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0AD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2022"/>
    <w:rsid w:val="004F7C05"/>
    <w:rsid w:val="00501C94"/>
    <w:rsid w:val="00506432"/>
    <w:rsid w:val="00510EB0"/>
    <w:rsid w:val="0052051D"/>
    <w:rsid w:val="0053725B"/>
    <w:rsid w:val="00545EE6"/>
    <w:rsid w:val="005550E7"/>
    <w:rsid w:val="005564FB"/>
    <w:rsid w:val="005572C7"/>
    <w:rsid w:val="005650ED"/>
    <w:rsid w:val="00575754"/>
    <w:rsid w:val="00581FBA"/>
    <w:rsid w:val="00591E20"/>
    <w:rsid w:val="00595408"/>
    <w:rsid w:val="00595E84"/>
    <w:rsid w:val="00595F81"/>
    <w:rsid w:val="005A0C59"/>
    <w:rsid w:val="005A48EB"/>
    <w:rsid w:val="005A6CFB"/>
    <w:rsid w:val="005C5AEB"/>
    <w:rsid w:val="005D7F5C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5C7A"/>
    <w:rsid w:val="0067697A"/>
    <w:rsid w:val="00681D99"/>
    <w:rsid w:val="006821EB"/>
    <w:rsid w:val="006A33FE"/>
    <w:rsid w:val="006B2286"/>
    <w:rsid w:val="006B56BB"/>
    <w:rsid w:val="006C0253"/>
    <w:rsid w:val="006C77A8"/>
    <w:rsid w:val="006D4098"/>
    <w:rsid w:val="006D7681"/>
    <w:rsid w:val="006D7B2E"/>
    <w:rsid w:val="006E02EA"/>
    <w:rsid w:val="006E0968"/>
    <w:rsid w:val="006E2AF6"/>
    <w:rsid w:val="006F67DB"/>
    <w:rsid w:val="00701275"/>
    <w:rsid w:val="00702EFE"/>
    <w:rsid w:val="00707F56"/>
    <w:rsid w:val="00713558"/>
    <w:rsid w:val="00720D08"/>
    <w:rsid w:val="007263B9"/>
    <w:rsid w:val="007334F8"/>
    <w:rsid w:val="007339CD"/>
    <w:rsid w:val="007359D8"/>
    <w:rsid w:val="007362D4"/>
    <w:rsid w:val="00756620"/>
    <w:rsid w:val="00765998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127AF"/>
    <w:rsid w:val="00812B46"/>
    <w:rsid w:val="00815700"/>
    <w:rsid w:val="008264EB"/>
    <w:rsid w:val="00826B8F"/>
    <w:rsid w:val="00831E8A"/>
    <w:rsid w:val="00835C76"/>
    <w:rsid w:val="008372BE"/>
    <w:rsid w:val="008376E2"/>
    <w:rsid w:val="00843049"/>
    <w:rsid w:val="008500A5"/>
    <w:rsid w:val="0085209B"/>
    <w:rsid w:val="00856B66"/>
    <w:rsid w:val="008601AC"/>
    <w:rsid w:val="00861A5F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095E"/>
    <w:rsid w:val="0089677E"/>
    <w:rsid w:val="008A3E58"/>
    <w:rsid w:val="008A7438"/>
    <w:rsid w:val="008B0752"/>
    <w:rsid w:val="008B1334"/>
    <w:rsid w:val="008B25C7"/>
    <w:rsid w:val="008B343A"/>
    <w:rsid w:val="008C0278"/>
    <w:rsid w:val="008C24E9"/>
    <w:rsid w:val="008D0533"/>
    <w:rsid w:val="008D42CB"/>
    <w:rsid w:val="008D48C9"/>
    <w:rsid w:val="008D6381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5E29"/>
    <w:rsid w:val="009261E6"/>
    <w:rsid w:val="009268E1"/>
    <w:rsid w:val="009344DE"/>
    <w:rsid w:val="00945E7F"/>
    <w:rsid w:val="009557C1"/>
    <w:rsid w:val="00960D6E"/>
    <w:rsid w:val="00974B59"/>
    <w:rsid w:val="0098340B"/>
    <w:rsid w:val="00986830"/>
    <w:rsid w:val="009924C3"/>
    <w:rsid w:val="00993102"/>
    <w:rsid w:val="009B1570"/>
    <w:rsid w:val="009C6F10"/>
    <w:rsid w:val="009D148F"/>
    <w:rsid w:val="009D3D70"/>
    <w:rsid w:val="009E6F7E"/>
    <w:rsid w:val="009E7A57"/>
    <w:rsid w:val="009F157D"/>
    <w:rsid w:val="009F4803"/>
    <w:rsid w:val="009F4F6A"/>
    <w:rsid w:val="00A13EB5"/>
    <w:rsid w:val="00A16E36"/>
    <w:rsid w:val="00A24961"/>
    <w:rsid w:val="00A24B10"/>
    <w:rsid w:val="00A277EF"/>
    <w:rsid w:val="00A30E9B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E1D7D"/>
    <w:rsid w:val="00AE2A8B"/>
    <w:rsid w:val="00AE3F64"/>
    <w:rsid w:val="00AF5943"/>
    <w:rsid w:val="00AF7386"/>
    <w:rsid w:val="00AF7934"/>
    <w:rsid w:val="00B00B81"/>
    <w:rsid w:val="00B04580"/>
    <w:rsid w:val="00B04B09"/>
    <w:rsid w:val="00B16A51"/>
    <w:rsid w:val="00B32222"/>
    <w:rsid w:val="00B3618D"/>
    <w:rsid w:val="00B36233"/>
    <w:rsid w:val="00B42851"/>
    <w:rsid w:val="00B45AC7"/>
    <w:rsid w:val="00B5372F"/>
    <w:rsid w:val="00B61129"/>
    <w:rsid w:val="00B648E0"/>
    <w:rsid w:val="00B64B76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5E9F"/>
    <w:rsid w:val="00BA7A1E"/>
    <w:rsid w:val="00BB2F6C"/>
    <w:rsid w:val="00BB3875"/>
    <w:rsid w:val="00BB5860"/>
    <w:rsid w:val="00BB6AAD"/>
    <w:rsid w:val="00BC0FFB"/>
    <w:rsid w:val="00BC4A19"/>
    <w:rsid w:val="00BC4E6D"/>
    <w:rsid w:val="00BD0617"/>
    <w:rsid w:val="00BD2E9B"/>
    <w:rsid w:val="00BD7ABF"/>
    <w:rsid w:val="00BD7FB2"/>
    <w:rsid w:val="00C00930"/>
    <w:rsid w:val="00C060AD"/>
    <w:rsid w:val="00C10235"/>
    <w:rsid w:val="00C113BF"/>
    <w:rsid w:val="00C2176E"/>
    <w:rsid w:val="00C23430"/>
    <w:rsid w:val="00C27D67"/>
    <w:rsid w:val="00C4631F"/>
    <w:rsid w:val="00C47CDE"/>
    <w:rsid w:val="00C50E16"/>
    <w:rsid w:val="00C5221A"/>
    <w:rsid w:val="00C55258"/>
    <w:rsid w:val="00C72023"/>
    <w:rsid w:val="00C82EEB"/>
    <w:rsid w:val="00C95E4D"/>
    <w:rsid w:val="00C971DC"/>
    <w:rsid w:val="00CA16B7"/>
    <w:rsid w:val="00CA62AE"/>
    <w:rsid w:val="00CB0268"/>
    <w:rsid w:val="00CB5B1A"/>
    <w:rsid w:val="00CC220B"/>
    <w:rsid w:val="00CC5C43"/>
    <w:rsid w:val="00CD02AE"/>
    <w:rsid w:val="00CD2A4F"/>
    <w:rsid w:val="00CE03CA"/>
    <w:rsid w:val="00CE22F1"/>
    <w:rsid w:val="00CE50F2"/>
    <w:rsid w:val="00CE6502"/>
    <w:rsid w:val="00CF7D3C"/>
    <w:rsid w:val="00D01F09"/>
    <w:rsid w:val="00D03AA0"/>
    <w:rsid w:val="00D07414"/>
    <w:rsid w:val="00D0778D"/>
    <w:rsid w:val="00D147EB"/>
    <w:rsid w:val="00D322ED"/>
    <w:rsid w:val="00D34667"/>
    <w:rsid w:val="00D401E1"/>
    <w:rsid w:val="00D408B4"/>
    <w:rsid w:val="00D524C8"/>
    <w:rsid w:val="00D70E24"/>
    <w:rsid w:val="00D72B61"/>
    <w:rsid w:val="00D829A1"/>
    <w:rsid w:val="00DA3D1D"/>
    <w:rsid w:val="00DB6286"/>
    <w:rsid w:val="00DB645F"/>
    <w:rsid w:val="00DB76E9"/>
    <w:rsid w:val="00DC0A67"/>
    <w:rsid w:val="00DC1D5E"/>
    <w:rsid w:val="00DC45DB"/>
    <w:rsid w:val="00DC5220"/>
    <w:rsid w:val="00DC52A8"/>
    <w:rsid w:val="00DD2061"/>
    <w:rsid w:val="00DD7DAB"/>
    <w:rsid w:val="00DE3355"/>
    <w:rsid w:val="00DF0C60"/>
    <w:rsid w:val="00DF486F"/>
    <w:rsid w:val="00DF5B5B"/>
    <w:rsid w:val="00DF7619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50188"/>
    <w:rsid w:val="00E50BB3"/>
    <w:rsid w:val="00E515CB"/>
    <w:rsid w:val="00E52260"/>
    <w:rsid w:val="00E578DA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D6AA9"/>
    <w:rsid w:val="00EE2982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5189"/>
    <w:rsid w:val="00F321DE"/>
    <w:rsid w:val="00F33777"/>
    <w:rsid w:val="00F40648"/>
    <w:rsid w:val="00F44EDC"/>
    <w:rsid w:val="00F47DA2"/>
    <w:rsid w:val="00F519FC"/>
    <w:rsid w:val="00F51D04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A5B36"/>
    <w:rsid w:val="00FB16B4"/>
    <w:rsid w:val="00FB6F92"/>
    <w:rsid w:val="00FC026E"/>
    <w:rsid w:val="00FC5124"/>
    <w:rsid w:val="00FD4731"/>
    <w:rsid w:val="00FD4C1A"/>
    <w:rsid w:val="00FD6768"/>
    <w:rsid w:val="00FF0AB0"/>
    <w:rsid w:val="00FF28AC"/>
    <w:rsid w:val="00FF7F62"/>
    <w:rsid w:val="3232BEC4"/>
    <w:rsid w:val="38CF8FCA"/>
    <w:rsid w:val="564FB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42337"/>
  <w15:docId w15:val="{262A22E6-1191-4AD5-8BCB-A1BD9F35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99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uiPriority="99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uiPriority="99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B64B7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B64B7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B64B7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B64B7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B64B7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B64B7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B64B7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B64B76"/>
    <w:pPr>
      <w:keepNext/>
      <w:keepLines/>
      <w:spacing w:before="40"/>
      <w:outlineLvl w:val="6"/>
    </w:pPr>
    <w:rPr>
      <w:rFonts w:ascii="Arial" w:hAnsi="Arial" w:eastAsiaTheme="majorEastAsia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mphasis">
    <w:name w:val="Emphasis"/>
    <w:basedOn w:val="DefaultParagraphFont"/>
    <w:rsid w:val="00B64B76"/>
    <w:rPr>
      <w:i/>
      <w:iCs/>
    </w:rPr>
  </w:style>
  <w:style w:type="character" w:styleId="Strong">
    <w:name w:val="Strong"/>
    <w:basedOn w:val="DefaultParagraphFont"/>
    <w:rsid w:val="00B64B76"/>
    <w:rPr>
      <w:b/>
      <w:bCs/>
    </w:rPr>
  </w:style>
  <w:style w:type="paragraph" w:styleId="Subtitle">
    <w:name w:val="Subtitle"/>
    <w:next w:val="Normal"/>
    <w:link w:val="SubtitleChar"/>
    <w:qFormat/>
    <w:rsid w:val="00B64B76"/>
    <w:pPr>
      <w:numPr>
        <w:ilvl w:val="1"/>
      </w:numPr>
      <w:spacing w:before="120" w:after="60"/>
    </w:pPr>
    <w:rPr>
      <w:rFonts w:ascii="Arial" w:hAnsi="Arial" w:eastAsiaTheme="majorEastAsia" w:cstheme="majorBidi"/>
      <w:iCs/>
      <w:color w:val="3F4A75"/>
      <w:spacing w:val="15"/>
      <w:sz w:val="40"/>
      <w:szCs w:val="24"/>
      <w:lang w:eastAsia="en-US"/>
    </w:rPr>
  </w:style>
  <w:style w:type="character" w:styleId="SubtitleChar" w:customStyle="1">
    <w:name w:val="Subtitle Char"/>
    <w:basedOn w:val="DefaultParagraphFont"/>
    <w:link w:val="Subtitle"/>
    <w:rsid w:val="00B64B76"/>
    <w:rPr>
      <w:rFonts w:ascii="Arial" w:hAnsi="Arial" w:eastAsiaTheme="majorEastAsia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B64B76"/>
    <w:pPr>
      <w:spacing w:before="480" w:after="120"/>
      <w:contextualSpacing/>
    </w:pPr>
    <w:rPr>
      <w:rFonts w:ascii="Arial" w:hAnsi="Arial" w:eastAsiaTheme="majorEastAsia" w:cstheme="majorBidi"/>
      <w:b/>
      <w:color w:val="3F4A75"/>
      <w:kern w:val="28"/>
      <w:sz w:val="52"/>
      <w:szCs w:val="52"/>
      <w:lang w:eastAsia="en-US"/>
    </w:rPr>
  </w:style>
  <w:style w:type="character" w:styleId="TitleChar" w:customStyle="1">
    <w:name w:val="Title Char"/>
    <w:basedOn w:val="DefaultParagraphFont"/>
    <w:link w:val="Title"/>
    <w:rsid w:val="00B64B76"/>
    <w:rPr>
      <w:rFonts w:ascii="Arial" w:hAnsi="Arial" w:eastAsiaTheme="majorEastAsia" w:cstheme="majorBidi"/>
      <w:b/>
      <w:color w:val="3F4A75"/>
      <w:kern w:val="28"/>
      <w:sz w:val="52"/>
      <w:szCs w:val="52"/>
      <w:lang w:eastAsia="en-US"/>
    </w:rPr>
  </w:style>
  <w:style w:type="paragraph" w:styleId="Boxheading" w:customStyle="1">
    <w:name w:val="Box heading"/>
    <w:basedOn w:val="Boxtype"/>
    <w:qFormat/>
    <w:rsid w:val="00B64B7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B64B7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B64B7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B64B7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styleId="QuoteChar" w:customStyle="1">
    <w:name w:val="Quote Char"/>
    <w:basedOn w:val="DefaultParagraphFont"/>
    <w:link w:val="Quote"/>
    <w:uiPriority w:val="29"/>
    <w:rsid w:val="00B64B7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B64B76"/>
    <w:pPr>
      <w:pBdr>
        <w:bottom w:val="single" w:color="3F4A75" w:themeColor="accent1" w:sz="4" w:space="4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64B7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B64B7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B64B7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B64B76"/>
    <w:pPr>
      <w:numPr>
        <w:numId w:val="22"/>
      </w:numPr>
    </w:pPr>
  </w:style>
  <w:style w:type="paragraph" w:styleId="ListNumber2">
    <w:name w:val="List Number 2"/>
    <w:basedOn w:val="ListBullet"/>
    <w:qFormat/>
    <w:rsid w:val="00B64B76"/>
    <w:pPr>
      <w:numPr>
        <w:numId w:val="21"/>
      </w:numPr>
    </w:pPr>
  </w:style>
  <w:style w:type="paragraph" w:styleId="ListBullet">
    <w:name w:val="List Bullet"/>
    <w:basedOn w:val="Normal"/>
    <w:qFormat/>
    <w:rsid w:val="00B64B7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B64B7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64B7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styleId="ImageTitle" w:customStyle="1">
    <w:name w:val="Image Title"/>
    <w:locked/>
    <w:rsid w:val="00B64B7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B64B76"/>
  </w:style>
  <w:style w:type="character" w:styleId="BodyTextChar" w:customStyle="1">
    <w:name w:val="Body Text Char"/>
    <w:basedOn w:val="DefaultParagraphFont"/>
    <w:link w:val="BodyText"/>
    <w:semiHidden/>
    <w:rsid w:val="00B64B7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B64B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Columns3">
    <w:name w:val="Table Columns 3"/>
    <w:basedOn w:val="TableNormal"/>
    <w:locked/>
    <w:rsid w:val="00B64B76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ableText" w:customStyle="1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B64B7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1">
    <w:name w:val="Table Columns 1"/>
    <w:basedOn w:val="TableNormal"/>
    <w:locked/>
    <w:rsid w:val="00B64B76"/>
    <w:rPr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locked/>
    <w:rsid w:val="00B64B76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B64B76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locked/>
    <w:rsid w:val="00B64B76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ableTitle" w:customStyle="1">
    <w:name w:val="Table Title"/>
    <w:link w:val="TableTitleChar"/>
    <w:qFormat/>
    <w:locked/>
    <w:rsid w:val="00B64B7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B64B7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styleId="HeaderChar" w:customStyle="1">
    <w:name w:val="Header Char"/>
    <w:basedOn w:val="DefaultParagraphFont"/>
    <w:link w:val="Header"/>
    <w:rsid w:val="00B64B7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B64B7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B64B76"/>
    <w:rPr>
      <w:rFonts w:ascii="Arial" w:hAnsi="Arial"/>
      <w:szCs w:val="24"/>
      <w:lang w:eastAsia="en-US"/>
    </w:rPr>
  </w:style>
  <w:style w:type="paragraph" w:styleId="TableHeaderWhite" w:customStyle="1">
    <w:name w:val="Table Header White"/>
    <w:basedOn w:val="Normal"/>
    <w:next w:val="Tabletextleft"/>
    <w:qFormat/>
    <w:rsid w:val="00B64B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B64B76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paragraph" w:styleId="Tablehead" w:customStyle="1">
    <w:name w:val="Table_head"/>
    <w:basedOn w:val="Normal"/>
    <w:locked/>
    <w:rsid w:val="00B64B76"/>
    <w:pPr>
      <w:spacing w:before="60"/>
    </w:pPr>
    <w:rPr>
      <w:rFonts w:cs="Arial"/>
      <w:b/>
      <w:sz w:val="20"/>
    </w:rPr>
  </w:style>
  <w:style w:type="paragraph" w:styleId="FigureTitle" w:customStyle="1">
    <w:name w:val="Figure Title"/>
    <w:next w:val="Normal"/>
    <w:qFormat/>
    <w:rsid w:val="00B64B7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styleId="Headertext" w:customStyle="1">
    <w:name w:val="Header text"/>
    <w:rsid w:val="00B64B7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B64B76"/>
    <w:rPr>
      <w:color w:val="0000FF" w:themeColor="hyperlink"/>
      <w:u w:val="single"/>
    </w:rPr>
  </w:style>
  <w:style w:type="table" w:styleId="PHNGreyTable" w:customStyle="1">
    <w:name w:val="PHN Grey Table"/>
    <w:basedOn w:val="TableNormal"/>
    <w:uiPriority w:val="99"/>
    <w:rsid w:val="00B64B76"/>
    <w:pPr>
      <w:spacing w:before="120" w:after="120"/>
    </w:pPr>
    <w:rPr>
      <w:rFonts w:ascii="Arial" w:hAnsi="Arial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styleId="Tablelistbullet" w:customStyle="1">
    <w:name w:val="Table list bullet"/>
    <w:basedOn w:val="Tabletextleft"/>
    <w:qFormat/>
    <w:rsid w:val="00B64B76"/>
    <w:pPr>
      <w:numPr>
        <w:numId w:val="24"/>
      </w:numPr>
    </w:pPr>
    <w:rPr>
      <w:szCs w:val="20"/>
    </w:rPr>
  </w:style>
  <w:style w:type="paragraph" w:styleId="Tablelistnumber" w:customStyle="1">
    <w:name w:val="Table list number"/>
    <w:basedOn w:val="Tabletextleft"/>
    <w:qFormat/>
    <w:rsid w:val="00B64B76"/>
    <w:pPr>
      <w:numPr>
        <w:numId w:val="25"/>
      </w:numPr>
    </w:pPr>
    <w:rPr>
      <w:bCs/>
      <w14:numSpacing w14:val="proportional"/>
    </w:rPr>
  </w:style>
  <w:style w:type="paragraph" w:styleId="TableHeader" w:customStyle="1">
    <w:name w:val="Table Header"/>
    <w:basedOn w:val="Normal"/>
    <w:next w:val="Tabletextleft"/>
    <w:qFormat/>
    <w:rsid w:val="00B64B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styleId="SectionHeading" w:customStyle="1">
    <w:name w:val="Section Heading"/>
    <w:basedOn w:val="Heading1"/>
    <w:next w:val="Normal"/>
    <w:rsid w:val="00B64B76"/>
    <w:rPr>
      <w:szCs w:val="32"/>
    </w:rPr>
  </w:style>
  <w:style w:type="paragraph" w:styleId="FootnoteText">
    <w:name w:val="footnote text"/>
    <w:link w:val="FootnoteTextChar"/>
    <w:rsid w:val="00B64B76"/>
    <w:rPr>
      <w:rFonts w:ascii="Arial" w:hAnsi="Arial"/>
      <w:lang w:eastAsia="en-US"/>
    </w:rPr>
  </w:style>
  <w:style w:type="character" w:styleId="FootnoteTextChar" w:customStyle="1">
    <w:name w:val="Footnote Text Char"/>
    <w:basedOn w:val="DefaultParagraphFont"/>
    <w:link w:val="FootnoteText"/>
    <w:rsid w:val="00B64B76"/>
    <w:rPr>
      <w:rFonts w:ascii="Arial" w:hAnsi="Arial"/>
      <w:lang w:eastAsia="en-US"/>
    </w:rPr>
  </w:style>
  <w:style w:type="paragraph" w:styleId="VisionBox" w:customStyle="1">
    <w:name w:val="VisionBox"/>
    <w:basedOn w:val="Normal"/>
    <w:qFormat/>
    <w:rsid w:val="00B64B76"/>
    <w:pPr>
      <w:pBdr>
        <w:top w:val="single" w:color="358189" w:sz="4" w:space="15"/>
        <w:bottom w:val="single" w:color="358189" w:sz="4" w:space="10"/>
      </w:pBdr>
      <w:spacing w:before="240" w:after="240" w:line="340" w:lineRule="exact"/>
    </w:pPr>
    <w:rPr>
      <w:rFonts w:eastAsiaTheme="minorHAnsi"/>
      <w:color w:val="358189"/>
    </w:rPr>
  </w:style>
  <w:style w:type="paragraph" w:styleId="Boxtype" w:customStyle="1">
    <w:name w:val="Box type"/>
    <w:next w:val="Normal"/>
    <w:qFormat/>
    <w:rsid w:val="00B64B76"/>
    <w:pPr>
      <w:pBdr>
        <w:top w:val="single" w:color="358189" w:sz="6" w:space="20"/>
        <w:left w:val="single" w:color="358189" w:sz="6" w:space="10"/>
        <w:bottom w:val="single" w:color="358189" w:sz="6" w:space="10"/>
        <w:right w:val="single" w:color="358189" w:sz="6" w:space="10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styleId="BoldAllCaps" w:customStyle="1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color="auto" w:sz="0" w:space="0"/>
    </w:rPr>
  </w:style>
  <w:style w:type="paragraph" w:styleId="PolicyStatement" w:customStyle="1">
    <w:name w:val="PolicyStatement"/>
    <w:basedOn w:val="Normal"/>
    <w:qFormat/>
    <w:rsid w:val="00B64B76"/>
    <w:pPr>
      <w:pBdr>
        <w:top w:val="single" w:color="F2F2F2" w:themeColor="background1" w:themeShade="F2" w:sz="4" w:space="20"/>
        <w:left w:val="single" w:color="F2F2F2" w:themeColor="background1" w:themeShade="F2" w:sz="4" w:space="10"/>
        <w:bottom w:val="single" w:color="F2F2F2" w:themeColor="background1" w:themeShade="F2" w:sz="4" w:space="10"/>
        <w:right w:val="single" w:color="F2F2F2" w:themeColor="background1" w:themeShade="F2" w:sz="4" w:space="10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styleId="IntroPara" w:customStyle="1">
    <w:name w:val="Intro Para"/>
    <w:basedOn w:val="Normal"/>
    <w:next w:val="Normal"/>
    <w:qFormat/>
    <w:rsid w:val="00B64B76"/>
    <w:pPr>
      <w:spacing w:before="480" w:line="400" w:lineRule="exact"/>
    </w:pPr>
    <w:rPr>
      <w:color w:val="358189"/>
      <w:sz w:val="28"/>
    </w:rPr>
  </w:style>
  <w:style w:type="paragraph" w:styleId="Intropara0" w:customStyle="1">
    <w:name w:val="Intro para"/>
    <w:basedOn w:val="VisionBox"/>
    <w:rsid w:val="008376E2"/>
    <w:pPr>
      <w:pBdr>
        <w:top w:val="none" w:color="auto" w:sz="0" w:space="0"/>
        <w:bottom w:val="none" w:color="auto" w:sz="0" w:space="0"/>
      </w:pBdr>
      <w:spacing w:before="480" w:line="400" w:lineRule="exact"/>
    </w:pPr>
    <w:rPr>
      <w:sz w:val="28"/>
    </w:rPr>
  </w:style>
  <w:style w:type="table" w:styleId="DepartmentofHealthtable" w:customStyle="1">
    <w:name w:val="Department of Health table"/>
    <w:basedOn w:val="TableNormal"/>
    <w:uiPriority w:val="99"/>
    <w:rsid w:val="00B64B76"/>
    <w:rPr>
      <w:rFonts w:ascii="Arial" w:hAnsi="Arial"/>
      <w:color w:val="000000" w:themeColor="text1"/>
      <w:sz w:val="21"/>
    </w:rPr>
    <w:tblPr>
      <w:tblStyleRowBandSize w:val="1"/>
      <w:tblBorders>
        <w:top w:val="single" w:color="auto" w:sz="4" w:space="0"/>
        <w:bottom w:val="single" w:color="auto" w:sz="4" w:space="0"/>
        <w:insideH w:val="single" w:color="auto" w:sz="4" w:space="0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Tabletitle0" w:customStyle="1">
    <w:name w:val="Table title"/>
    <w:basedOn w:val="Normal"/>
    <w:rsid w:val="009040E9"/>
    <w:rPr>
      <w:b/>
      <w:bCs/>
      <w:szCs w:val="20"/>
    </w:rPr>
  </w:style>
  <w:style w:type="paragraph" w:styleId="Tableheader0" w:customStyle="1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styleId="Tabletextleft" w:customStyle="1">
    <w:name w:val="Table text left"/>
    <w:autoRedefine/>
    <w:qFormat/>
    <w:rsid w:val="00B64B7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styleId="TabletextRight" w:customStyle="1">
    <w:name w:val="Table text Right"/>
    <w:basedOn w:val="Tabletextleft"/>
    <w:rsid w:val="009040E9"/>
    <w:pPr>
      <w:jc w:val="right"/>
    </w:pPr>
  </w:style>
  <w:style w:type="paragraph" w:styleId="Tabletextright0" w:customStyle="1">
    <w:name w:val="Table text right"/>
    <w:basedOn w:val="Tabletextleft"/>
    <w:rsid w:val="00B64B76"/>
    <w:pPr>
      <w:jc w:val="right"/>
    </w:pPr>
  </w:style>
  <w:style w:type="paragraph" w:styleId="BalloonText">
    <w:name w:val="Balloon Text"/>
    <w:basedOn w:val="Normal"/>
    <w:link w:val="BalloonTextChar"/>
    <w:rsid w:val="00B64B7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B64B7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B64B76"/>
    <w:pPr>
      <w:spacing w:after="200"/>
    </w:pPr>
    <w:rPr>
      <w:b/>
      <w:bCs/>
      <w:color w:val="3F4A75" w:themeColor="accent1"/>
      <w:sz w:val="18"/>
      <w:szCs w:val="18"/>
    </w:rPr>
  </w:style>
  <w:style w:type="paragraph" w:styleId="Footerrightpage" w:customStyle="1">
    <w:name w:val="Footer right page"/>
    <w:basedOn w:val="Footer"/>
    <w:rsid w:val="00B64B76"/>
  </w:style>
  <w:style w:type="character" w:styleId="Heading7Char" w:customStyle="1">
    <w:name w:val="Heading 7 Char"/>
    <w:basedOn w:val="DefaultParagraphFont"/>
    <w:link w:val="Heading7"/>
    <w:semiHidden/>
    <w:rsid w:val="00B64B76"/>
    <w:rPr>
      <w:rFonts w:ascii="Arial" w:hAnsi="Arial" w:eastAsiaTheme="majorEastAsia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B64B7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64B7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Style1" w:customStyle="1">
    <w:name w:val="Style1"/>
    <w:next w:val="Normal"/>
    <w:rsid w:val="00B64B76"/>
    <w:pPr>
      <w:pBdr>
        <w:top w:val="single" w:color="358189" w:sz="6" w:space="20"/>
        <w:left w:val="single" w:color="358189" w:sz="6" w:space="10"/>
        <w:bottom w:val="single" w:color="358189" w:sz="6" w:space="10"/>
        <w:right w:val="single" w:color="358189" w:sz="6" w:space="10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styleId="Tabletextcentre" w:customStyle="1">
    <w:name w:val="Table text centre"/>
    <w:basedOn w:val="Tabletextleft"/>
    <w:rsid w:val="00B64B76"/>
    <w:pPr>
      <w:jc w:val="center"/>
    </w:pPr>
  </w:style>
  <w:style w:type="paragraph" w:styleId="TableTextright1" w:customStyle="1">
    <w:name w:val="Table Text right"/>
    <w:basedOn w:val="Tabletextleft"/>
    <w:rsid w:val="00B64B76"/>
    <w:pPr>
      <w:jc w:val="right"/>
    </w:pPr>
  </w:style>
  <w:style w:type="character" w:styleId="TableTitleChar" w:customStyle="1">
    <w:name w:val="Table Title Char"/>
    <w:basedOn w:val="DefaultParagraphFont"/>
    <w:link w:val="TableTitle"/>
    <w:rsid w:val="00B64B7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URL" w:customStyle="1">
    <w:name w:val="URL"/>
    <w:basedOn w:val="Normal"/>
    <w:rsid w:val="00B64B76"/>
    <w:pPr>
      <w:spacing w:before="3120"/>
      <w:jc w:val="center"/>
    </w:pPr>
    <w:rPr>
      <w:b/>
      <w:bCs/>
      <w:sz w:val="24"/>
      <w:szCs w:val="20"/>
    </w:rPr>
  </w:style>
  <w:style w:type="character" w:styleId="cf01" w:customStyle="1">
    <w:name w:val="cf01"/>
    <w:basedOn w:val="DefaultParagraphFont"/>
    <w:rsid w:val="00AF5943"/>
    <w:rPr>
      <w:rFonts w:hint="default" w:ascii="Segoe UI" w:hAnsi="Segoe UI" w:cs="Segoe UI"/>
      <w:sz w:val="18"/>
      <w:szCs w:val="18"/>
    </w:rPr>
  </w:style>
  <w:style w:type="table" w:styleId="ListTable3-Accent5">
    <w:name w:val="List Table 3 Accent 5"/>
    <w:basedOn w:val="TableNormal"/>
    <w:uiPriority w:val="48"/>
    <w:rsid w:val="004620AD"/>
    <w:tblPr>
      <w:tblStyleRowBandSize w:val="1"/>
      <w:tblStyleColBandSize w:val="1"/>
      <w:tblBorders>
        <w:top w:val="single" w:color="3998B5" w:themeColor="accent5" w:sz="4" w:space="0"/>
        <w:left w:val="single" w:color="3998B5" w:themeColor="accent5" w:sz="4" w:space="0"/>
        <w:bottom w:val="single" w:color="3998B5" w:themeColor="accent5" w:sz="4" w:space="0"/>
        <w:right w:val="single" w:color="3998B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98B5" w:themeFill="accent5"/>
      </w:tcPr>
    </w:tblStylePr>
    <w:tblStylePr w:type="lastRow">
      <w:rPr>
        <w:b/>
        <w:bCs/>
      </w:rPr>
      <w:tblPr/>
      <w:tcPr>
        <w:tcBorders>
          <w:top w:val="double" w:color="3998B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998B5" w:themeColor="accent5" w:sz="4" w:space="0"/>
          <w:right w:val="single" w:color="3998B5" w:themeColor="accent5" w:sz="4" w:space="0"/>
        </w:tcBorders>
      </w:tcPr>
    </w:tblStylePr>
    <w:tblStylePr w:type="band1Horz">
      <w:tblPr/>
      <w:tcPr>
        <w:tcBorders>
          <w:top w:val="single" w:color="3998B5" w:themeColor="accent5" w:sz="4" w:space="0"/>
          <w:bottom w:val="single" w:color="3998B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998B5" w:themeColor="accent5" w:sz="4" w:space="0"/>
          <w:left w:val="nil"/>
        </w:tcBorders>
      </w:tcPr>
    </w:tblStylePr>
    <w:tblStylePr w:type="swCell">
      <w:tblPr/>
      <w:tcPr>
        <w:tcBorders>
          <w:top w:val="double" w:color="3998B5" w:themeColor="accent5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620AD"/>
    <w:tblPr>
      <w:tblStyleRowBandSize w:val="1"/>
      <w:tblStyleColBandSize w:val="1"/>
      <w:tblBorders>
        <w:top w:val="single" w:color="358189" w:themeColor="accent2" w:sz="4" w:space="0"/>
        <w:left w:val="single" w:color="358189" w:themeColor="accent2" w:sz="4" w:space="0"/>
        <w:bottom w:val="single" w:color="358189" w:themeColor="accent2" w:sz="4" w:space="0"/>
        <w:right w:val="single" w:color="358189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8189" w:themeFill="accent2"/>
      </w:tcPr>
    </w:tblStylePr>
    <w:tblStylePr w:type="lastRow">
      <w:rPr>
        <w:b/>
        <w:bCs/>
      </w:rPr>
      <w:tblPr/>
      <w:tcPr>
        <w:tcBorders>
          <w:top w:val="double" w:color="358189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58189" w:themeColor="accent2" w:sz="4" w:space="0"/>
          <w:right w:val="single" w:color="358189" w:themeColor="accent2" w:sz="4" w:space="0"/>
        </w:tcBorders>
      </w:tcPr>
    </w:tblStylePr>
    <w:tblStylePr w:type="band1Horz">
      <w:tblPr/>
      <w:tcPr>
        <w:tcBorders>
          <w:top w:val="single" w:color="358189" w:themeColor="accent2" w:sz="4" w:space="0"/>
          <w:bottom w:val="single" w:color="358189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58189" w:themeColor="accent2" w:sz="4" w:space="0"/>
          <w:left w:val="nil"/>
        </w:tcBorders>
      </w:tcPr>
    </w:tblStylePr>
    <w:tblStylePr w:type="swCell">
      <w:tblPr/>
      <w:tcPr>
        <w:tcBorders>
          <w:top w:val="double" w:color="358189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620AD"/>
    <w:tblPr>
      <w:tblStyleRowBandSize w:val="1"/>
      <w:tblStyleColBandSize w:val="1"/>
      <w:tblBorders>
        <w:top w:val="single" w:color="0078BF" w:themeColor="accent3" w:sz="4" w:space="0"/>
        <w:left w:val="single" w:color="0078BF" w:themeColor="accent3" w:sz="4" w:space="0"/>
        <w:bottom w:val="single" w:color="0078BF" w:themeColor="accent3" w:sz="4" w:space="0"/>
        <w:right w:val="single" w:color="0078BF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8BF" w:themeFill="accent3"/>
      </w:tcPr>
    </w:tblStylePr>
    <w:tblStylePr w:type="lastRow">
      <w:rPr>
        <w:b/>
        <w:bCs/>
      </w:rPr>
      <w:tblPr/>
      <w:tcPr>
        <w:tcBorders>
          <w:top w:val="double" w:color="0078B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78BF" w:themeColor="accent3" w:sz="4" w:space="0"/>
          <w:right w:val="single" w:color="0078BF" w:themeColor="accent3" w:sz="4" w:space="0"/>
        </w:tcBorders>
      </w:tcPr>
    </w:tblStylePr>
    <w:tblStylePr w:type="band1Horz">
      <w:tblPr/>
      <w:tcPr>
        <w:tcBorders>
          <w:top w:val="single" w:color="0078BF" w:themeColor="accent3" w:sz="4" w:space="0"/>
          <w:bottom w:val="single" w:color="0078BF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78BF" w:themeColor="accent3" w:sz="4" w:space="0"/>
          <w:left w:val="nil"/>
        </w:tcBorders>
      </w:tcPr>
    </w:tblStylePr>
    <w:tblStylePr w:type="swCell">
      <w:tblPr/>
      <w:tcPr>
        <w:tcBorders>
          <w:top w:val="double" w:color="0078BF" w:themeColor="accent3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578DA"/>
    <w:tblPr>
      <w:tblStyleRowBandSize w:val="1"/>
      <w:tblStyleColBandSize w:val="1"/>
      <w:tblBorders>
        <w:top w:val="single" w:color="3F4A75" w:themeColor="accent1" w:sz="4" w:space="0"/>
        <w:left w:val="single" w:color="3F4A75" w:themeColor="accent1" w:sz="4" w:space="0"/>
        <w:bottom w:val="single" w:color="3F4A75" w:themeColor="accent1" w:sz="4" w:space="0"/>
        <w:right w:val="single" w:color="3F4A75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4A75" w:themeFill="accent1"/>
      </w:tcPr>
    </w:tblStylePr>
    <w:tblStylePr w:type="lastRow">
      <w:rPr>
        <w:b/>
        <w:bCs/>
      </w:rPr>
      <w:tblPr/>
      <w:tcPr>
        <w:tcBorders>
          <w:top w:val="double" w:color="3F4A7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F4A75" w:themeColor="accent1" w:sz="4" w:space="0"/>
          <w:right w:val="single" w:color="3F4A75" w:themeColor="accent1" w:sz="4" w:space="0"/>
        </w:tcBorders>
      </w:tcPr>
    </w:tblStylePr>
    <w:tblStylePr w:type="band1Horz">
      <w:tblPr/>
      <w:tcPr>
        <w:tcBorders>
          <w:top w:val="single" w:color="3F4A75" w:themeColor="accent1" w:sz="4" w:space="0"/>
          <w:bottom w:val="single" w:color="3F4A75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F4A75" w:themeColor="accent1" w:sz="4" w:space="0"/>
          <w:left w:val="nil"/>
        </w:tcBorders>
      </w:tcPr>
    </w:tblStylePr>
    <w:tblStylePr w:type="swCell">
      <w:tblPr/>
      <w:tcPr>
        <w:tcBorders>
          <w:top w:val="double" w:color="3F4A75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health.gov.au/sites/default/files/2025-07/ndis-legal-instruments-explained.pdf" TargetMode="External" Id="R2e349dfd73d4445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fact%20sheet%20landscape%20template%20blue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7" ma:contentTypeDescription="Create a new document." ma:contentTypeScope="" ma:versionID="e044113ca106b990b06c9c8d79e858bd">
  <xsd:schema xmlns:xsd="http://www.w3.org/2001/XMLSchema" xmlns:xs="http://www.w3.org/2001/XMLSchema" xmlns:p="http://schemas.microsoft.com/office/2006/metadata/properties" xmlns:ns2="91b40e7f-128e-49f6-a30d-9c137c2f2d67" targetNamespace="http://schemas.microsoft.com/office/2006/metadata/properties" ma:root="true" ma:fieldsID="ec72ae0b92e46d70193e1783187e4b79" ns2:_="">
    <xsd:import namespace="91b40e7f-128e-49f6-a30d-9c137c2f2d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2C75D-203C-411B-B25C-7FB68D7AF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302A5-2A8A-4052-A27B-A6924B27E8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Health, Disability and Ageing fact sheet landscape template blue.dotx</Template>
  <DocSecurity>4</DocSecurity>
  <ScaleCrop>false</ScaleCrop>
  <Company>Department of Health Disability and Ageing</Company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new framework planning rules</dc:title>
  <dc:subject>NDIS new frameworkplanning</dc:subject>
  <dc:creator>Department of Health Disability and Ageing</dc:creator>
  <cp:keywords>NDIS, new framework planning</cp:keywords>
  <dcterms:created xsi:type="dcterms:W3CDTF">2026-08-07T23:29:00Z</dcterms:created>
  <dcterms:modified xsi:type="dcterms:W3CDTF">2026-08-07T06:49:31Z</dcterms:modified>
  <cp:category>NDIS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0x01010063A1E6A07BD3F940A2A717962B7173DC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51fd6265-6544-4238-b880-a78f6dafdbf9</vt:lpwstr>
  </property>
  <property fmtid="{D5CDD505-2E9C-101B-9397-08002B2CF9AE}" pid="7" name="Keywords1">
    <vt:lpwstr>45;#Factsheet|e6399178-8246-423e-9818-2fbb787c959a;#4;#Visual identity|a54ebda2-a0fd-45ec-8fc0-1cf31001b526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Factsheet|e6399178-8246-423e-9818-2fbb787c959a;Visual identity|a54ebda2-a0fd-45ec-8fc0-1cf31001b526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Template|0635ea83-9a41-497c-9b11-d9d7178dcab7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42;#|0635ea83-9a41-497c-9b11-d9d7178dcab7</vt:lpwstr>
  </property>
  <property fmtid="{D5CDD505-2E9C-101B-9397-08002B2CF9AE}" pid="22" name="Int-Topics">
    <vt:lpwstr>45;#Factsheet|e6399178-8246-423e-9818-2fbb787c959a;#4;#visual identity|a54ebda2-a0fd-45ec-8fc0-1cf31001b526</vt:lpwstr>
  </property>
  <property fmtid="{D5CDD505-2E9C-101B-9397-08002B2CF9AE}" pid="23" name="lcf76f155ced4ddcb4097134ff3c332f">
    <vt:lpwstr/>
  </property>
  <property fmtid="{D5CDD505-2E9C-101B-9397-08002B2CF9AE}" pid="24" name="MSIP_Label_7cd3e8b9-ffed-43a8-b7f4-cc2fa0382d36_Enabled">
    <vt:lpwstr>true</vt:lpwstr>
  </property>
  <property fmtid="{D5CDD505-2E9C-101B-9397-08002B2CF9AE}" pid="25" name="MSIP_Label_7cd3e8b9-ffed-43a8-b7f4-cc2fa0382d36_SetDate">
    <vt:lpwstr>2026-08-07T06:29:07Z</vt:lpwstr>
  </property>
  <property fmtid="{D5CDD505-2E9C-101B-9397-08002B2CF9AE}" pid="26" name="MSIP_Label_7cd3e8b9-ffed-43a8-b7f4-cc2fa0382d36_Method">
    <vt:lpwstr>Privileged</vt:lpwstr>
  </property>
  <property fmtid="{D5CDD505-2E9C-101B-9397-08002B2CF9AE}" pid="27" name="MSIP_Label_7cd3e8b9-ffed-43a8-b7f4-cc2fa0382d36_Name">
    <vt:lpwstr>O</vt:lpwstr>
  </property>
  <property fmtid="{D5CDD505-2E9C-101B-9397-08002B2CF9AE}" pid="28" name="MSIP_Label_7cd3e8b9-ffed-43a8-b7f4-cc2fa0382d36_SiteId">
    <vt:lpwstr>34a3929c-73cf-4954-abfe-147dc3517892</vt:lpwstr>
  </property>
  <property fmtid="{D5CDD505-2E9C-101B-9397-08002B2CF9AE}" pid="29" name="MSIP_Label_7cd3e8b9-ffed-43a8-b7f4-cc2fa0382d36_ActionId">
    <vt:lpwstr>c15bb041-4c18-4a77-a937-783ee44ee686</vt:lpwstr>
  </property>
  <property fmtid="{D5CDD505-2E9C-101B-9397-08002B2CF9AE}" pid="30" name="MSIP_Label_7cd3e8b9-ffed-43a8-b7f4-cc2fa0382d36_ContentBits">
    <vt:lpwstr>3</vt:lpwstr>
  </property>
  <property fmtid="{D5CDD505-2E9C-101B-9397-08002B2CF9AE}" pid="31" name="MSIP_Label_7cd3e8b9-ffed-43a8-b7f4-cc2fa0382d36_Tag">
    <vt:lpwstr>10, 0, 1, 1</vt:lpwstr>
  </property>
  <property fmtid="{D5CDD505-2E9C-101B-9397-08002B2CF9AE}" pid="32" name="docLang">
    <vt:lpwstr>en</vt:lpwstr>
  </property>
</Properties>
</file>