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E012F" w14:textId="19D5B70F" w:rsidR="00751A23" w:rsidRPr="00D934A4" w:rsidRDefault="002116E9" w:rsidP="005D4A3F">
      <w:pPr>
        <w:pStyle w:val="Title"/>
        <w:rPr>
          <w:rFonts w:cs="Arial"/>
        </w:rPr>
      </w:pPr>
      <w:r w:rsidRPr="00D934A4">
        <w:rPr>
          <w:rFonts w:cs="Arial"/>
        </w:rPr>
        <w:t>Quarterly Financial Report | Guidance and FAQs</w:t>
      </w:r>
    </w:p>
    <w:p w14:paraId="60F53510" w14:textId="6929E360" w:rsidR="00751A23" w:rsidRPr="00D934A4" w:rsidRDefault="001D306E" w:rsidP="006249DC">
      <w:pPr>
        <w:pStyle w:val="Subtitle"/>
        <w:rPr>
          <w:rFonts w:cs="Arial"/>
        </w:rPr>
      </w:pPr>
      <w:r w:rsidRPr="00D934A4">
        <w:rPr>
          <w:rFonts w:cs="Arial"/>
        </w:rPr>
        <w:t xml:space="preserve">Quarter </w:t>
      </w:r>
      <w:r w:rsidR="00EE5294">
        <w:rPr>
          <w:rFonts w:cs="Arial"/>
        </w:rPr>
        <w:t>1 2026-27</w:t>
      </w:r>
    </w:p>
    <w:p w14:paraId="77704821" w14:textId="4A451768" w:rsidR="000F16CA" w:rsidRPr="00A838CF" w:rsidRDefault="000F16CA" w:rsidP="00831ECA">
      <w:pPr>
        <w:pStyle w:val="Header"/>
        <w:rPr>
          <w:color w:val="1E1545" w:themeColor="text1"/>
        </w:rPr>
        <w:sectPr w:rsidR="000F16CA" w:rsidRPr="00A838CF" w:rsidSect="00627385">
          <w:headerReference w:type="even" r:id="rId11"/>
          <w:footerReference w:type="even" r:id="rId12"/>
          <w:footerReference w:type="default" r:id="rId13"/>
          <w:headerReference w:type="first" r:id="rId14"/>
          <w:footerReference w:type="first" r:id="rId15"/>
          <w:type w:val="continuous"/>
          <w:pgSz w:w="11906" w:h="16838"/>
          <w:pgMar w:top="8505" w:right="1418" w:bottom="1418" w:left="1418" w:header="850" w:footer="709" w:gutter="0"/>
          <w:cols w:space="708"/>
          <w:titlePg/>
          <w:docGrid w:linePitch="360"/>
        </w:sectPr>
      </w:pPr>
      <w:r w:rsidRPr="00A838CF">
        <w:rPr>
          <w:color w:val="1E1545" w:themeColor="text1"/>
        </w:rPr>
        <w:t>Version 1.0</w:t>
      </w:r>
    </w:p>
    <w:p w14:paraId="298C14F3" w14:textId="7F5EA349" w:rsidR="00722466" w:rsidRPr="004D34EB" w:rsidRDefault="006C4E9C" w:rsidP="004D34EB">
      <w:r w:rsidRPr="004D34EB">
        <w:rPr>
          <w:noProof/>
        </w:rPr>
        <w:lastRenderedPageBreak/>
        <w:drawing>
          <wp:anchor distT="0" distB="0" distL="114300" distR="114300" simplePos="0" relativeHeight="251658242" behindDoc="1" locked="0" layoutInCell="1" allowOverlap="1" wp14:anchorId="66153BBC" wp14:editId="474033D4">
            <wp:simplePos x="904875" y="1076325"/>
            <wp:positionH relativeFrom="page">
              <wp:align>center</wp:align>
            </wp:positionH>
            <wp:positionV relativeFrom="page">
              <wp:align>top</wp:align>
            </wp:positionV>
            <wp:extent cx="7560000" cy="10688400"/>
            <wp:effectExtent l="0" t="0" r="3175"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Pr="004D34EB">
        <w:br w:type="page"/>
      </w:r>
      <w:r w:rsidR="00722466" w:rsidRPr="004D34EB">
        <w:br w:type="page"/>
      </w:r>
    </w:p>
    <w:p w14:paraId="3EBD88E8" w14:textId="77777777" w:rsidR="00722466" w:rsidRPr="00A61985" w:rsidRDefault="00722466" w:rsidP="00A61985">
      <w:pPr>
        <w:sectPr w:rsidR="00722466" w:rsidRPr="00A61985" w:rsidSect="00D0690C">
          <w:headerReference w:type="even" r:id="rId17"/>
          <w:footerReference w:type="even" r:id="rId18"/>
          <w:pgSz w:w="11906" w:h="16838"/>
          <w:pgMar w:top="1701" w:right="1418" w:bottom="1418" w:left="1418" w:header="709" w:footer="709" w:gutter="0"/>
          <w:cols w:space="708"/>
          <w:docGrid w:linePitch="360"/>
        </w:sectPr>
      </w:pPr>
    </w:p>
    <w:p w14:paraId="1D95A700" w14:textId="5CB2288F" w:rsidR="00A21237" w:rsidRDefault="00085BA7" w:rsidP="00E61D43">
      <w:pPr>
        <w:pStyle w:val="FigureTitle"/>
        <w:rPr>
          <w:rFonts w:cs="Arial"/>
        </w:rPr>
      </w:pPr>
      <w:r w:rsidRPr="00D934A4">
        <w:rPr>
          <w:rFonts w:cs="Arial"/>
        </w:rPr>
        <w:t>Version History</w:t>
      </w:r>
    </w:p>
    <w:p w14:paraId="2CED2B98" w14:textId="1A409144" w:rsidR="003C2E5C" w:rsidRDefault="003B6FB7" w:rsidP="3796D72D">
      <w:pPr>
        <w:rPr>
          <w:rFonts w:cs="Arial"/>
        </w:rPr>
      </w:pPr>
      <w:r w:rsidRPr="00D934A4">
        <w:rPr>
          <w:rFonts w:cs="Arial"/>
        </w:rPr>
        <w:t>The Department of Health, Disability and Ageing (department) will continue to update this Guidance and FAQs document throughout the 202</w:t>
      </w:r>
      <w:r w:rsidR="00DB0B8D">
        <w:rPr>
          <w:rFonts w:cs="Arial"/>
        </w:rPr>
        <w:t>6</w:t>
      </w:r>
      <w:r w:rsidRPr="00D934A4">
        <w:rPr>
          <w:rFonts w:cs="Arial"/>
        </w:rPr>
        <w:t>-2</w:t>
      </w:r>
      <w:r w:rsidR="00DB0B8D">
        <w:rPr>
          <w:rFonts w:cs="Arial"/>
        </w:rPr>
        <w:t>7</w:t>
      </w:r>
      <w:r w:rsidRPr="00D934A4">
        <w:rPr>
          <w:rFonts w:cs="Arial"/>
        </w:rPr>
        <w:t xml:space="preserve"> financial year. The table </w:t>
      </w:r>
      <w:r w:rsidR="00594433">
        <w:rPr>
          <w:rFonts w:cs="Arial"/>
        </w:rPr>
        <w:t>below</w:t>
      </w:r>
      <w:r w:rsidRPr="00D934A4">
        <w:rPr>
          <w:rFonts w:cs="Arial"/>
        </w:rPr>
        <w:t xml:space="preserve"> will reflect changes, as new information is added or updated. </w:t>
      </w:r>
    </w:p>
    <w:tbl>
      <w:tblPr>
        <w:tblStyle w:val="TableGrid"/>
        <w:tblW w:w="9493" w:type="dxa"/>
        <w:tblLook w:val="04A0" w:firstRow="1" w:lastRow="0" w:firstColumn="1" w:lastColumn="0" w:noHBand="0" w:noVBand="1"/>
      </w:tblPr>
      <w:tblGrid>
        <w:gridCol w:w="2263"/>
        <w:gridCol w:w="2410"/>
        <w:gridCol w:w="4820"/>
      </w:tblGrid>
      <w:tr w:rsidR="003C2E5C" w:rsidRPr="00D934A4" w14:paraId="12052E9A" w14:textId="77777777" w:rsidTr="001C1AD4">
        <w:trPr>
          <w:trHeight w:val="420"/>
          <w:tblHeader/>
        </w:trPr>
        <w:tc>
          <w:tcPr>
            <w:tcW w:w="2263" w:type="dxa"/>
            <w:shd w:val="clear" w:color="auto" w:fill="2AB1BB" w:themeFill="accent1"/>
          </w:tcPr>
          <w:p w14:paraId="3509F37B" w14:textId="77777777" w:rsidR="003C2E5C" w:rsidRPr="00D934A4" w:rsidRDefault="003C2E5C" w:rsidP="001C1AD4">
            <w:pPr>
              <w:pStyle w:val="FigureTitle"/>
              <w:rPr>
                <w:rFonts w:cs="Arial"/>
                <w:sz w:val="20"/>
                <w:szCs w:val="20"/>
              </w:rPr>
            </w:pPr>
            <w:r w:rsidRPr="00D934A4">
              <w:rPr>
                <w:rFonts w:cs="Arial"/>
                <w:sz w:val="20"/>
                <w:szCs w:val="20"/>
              </w:rPr>
              <w:t>Version</w:t>
            </w:r>
          </w:p>
        </w:tc>
        <w:tc>
          <w:tcPr>
            <w:tcW w:w="2410" w:type="dxa"/>
            <w:shd w:val="clear" w:color="auto" w:fill="2AB1BB" w:themeFill="accent1"/>
          </w:tcPr>
          <w:p w14:paraId="59CE8901" w14:textId="77777777" w:rsidR="003C2E5C" w:rsidRPr="00D934A4" w:rsidRDefault="003C2E5C" w:rsidP="001C1AD4">
            <w:pPr>
              <w:pStyle w:val="FigureTitle"/>
              <w:rPr>
                <w:rFonts w:cs="Arial"/>
                <w:sz w:val="20"/>
                <w:szCs w:val="20"/>
              </w:rPr>
            </w:pPr>
            <w:r w:rsidRPr="00D934A4">
              <w:rPr>
                <w:rFonts w:cs="Arial"/>
                <w:sz w:val="20"/>
                <w:szCs w:val="20"/>
              </w:rPr>
              <w:t>Date</w:t>
            </w:r>
          </w:p>
        </w:tc>
        <w:tc>
          <w:tcPr>
            <w:tcW w:w="4820" w:type="dxa"/>
            <w:shd w:val="clear" w:color="auto" w:fill="2AB1BB" w:themeFill="accent1"/>
          </w:tcPr>
          <w:p w14:paraId="636AC49A" w14:textId="77777777" w:rsidR="003C2E5C" w:rsidRPr="00D934A4" w:rsidRDefault="003C2E5C" w:rsidP="001C1AD4">
            <w:pPr>
              <w:pStyle w:val="FigureTitle"/>
              <w:rPr>
                <w:rFonts w:cs="Arial"/>
                <w:sz w:val="20"/>
                <w:szCs w:val="20"/>
              </w:rPr>
            </w:pPr>
            <w:r w:rsidRPr="00D934A4">
              <w:rPr>
                <w:rFonts w:cs="Arial"/>
                <w:sz w:val="20"/>
                <w:szCs w:val="20"/>
              </w:rPr>
              <w:t>Explanation of changes</w:t>
            </w:r>
          </w:p>
        </w:tc>
      </w:tr>
      <w:tr w:rsidR="003C2E5C" w:rsidRPr="00D934A4" w14:paraId="2CD88917" w14:textId="77777777" w:rsidTr="001C1AD4">
        <w:trPr>
          <w:trHeight w:val="611"/>
        </w:trPr>
        <w:tc>
          <w:tcPr>
            <w:tcW w:w="2263" w:type="dxa"/>
          </w:tcPr>
          <w:p w14:paraId="6BD97793" w14:textId="77777777" w:rsidR="003C2E5C" w:rsidRPr="005B1115" w:rsidRDefault="003C2E5C" w:rsidP="001C1AD4">
            <w:pPr>
              <w:pStyle w:val="FigureTitle"/>
              <w:rPr>
                <w:rFonts w:cs="Arial"/>
                <w:b w:val="0"/>
              </w:rPr>
            </w:pPr>
            <w:r w:rsidRPr="005B1115">
              <w:rPr>
                <w:rFonts w:cs="Arial"/>
                <w:b w:val="0"/>
              </w:rPr>
              <w:t>Quarter 1 202</w:t>
            </w:r>
            <w:r>
              <w:rPr>
                <w:rFonts w:cs="Arial"/>
                <w:b w:val="0"/>
              </w:rPr>
              <w:t>6</w:t>
            </w:r>
            <w:r w:rsidRPr="005B1115">
              <w:rPr>
                <w:rFonts w:cs="Arial"/>
                <w:b w:val="0"/>
              </w:rPr>
              <w:t>-2</w:t>
            </w:r>
            <w:r>
              <w:rPr>
                <w:rFonts w:cs="Arial"/>
                <w:b w:val="0"/>
              </w:rPr>
              <w:t>7</w:t>
            </w:r>
          </w:p>
          <w:p w14:paraId="10CD33FF" w14:textId="77777777" w:rsidR="003C2E5C" w:rsidRPr="005B1115" w:rsidRDefault="003C2E5C" w:rsidP="001C1AD4">
            <w:pPr>
              <w:pStyle w:val="FigureTitle"/>
              <w:rPr>
                <w:rFonts w:cs="Arial"/>
                <w:b w:val="0"/>
              </w:rPr>
            </w:pPr>
            <w:r w:rsidRPr="005B1115">
              <w:rPr>
                <w:b w:val="0"/>
                <w:bCs w:val="0"/>
              </w:rPr>
              <w:t>Version 1.0</w:t>
            </w:r>
          </w:p>
        </w:tc>
        <w:tc>
          <w:tcPr>
            <w:tcW w:w="2410" w:type="dxa"/>
          </w:tcPr>
          <w:p w14:paraId="2B507F33" w14:textId="77777777" w:rsidR="003C2E5C" w:rsidRPr="005B1115" w:rsidRDefault="003C2E5C" w:rsidP="001C1AD4">
            <w:pPr>
              <w:pStyle w:val="FigureTitle"/>
              <w:rPr>
                <w:rFonts w:cs="Arial"/>
                <w:b w:val="0"/>
              </w:rPr>
            </w:pPr>
            <w:r>
              <w:rPr>
                <w:rFonts w:cs="Arial"/>
                <w:b w:val="0"/>
              </w:rPr>
              <w:t xml:space="preserve">4 August </w:t>
            </w:r>
            <w:r w:rsidRPr="005B1115">
              <w:rPr>
                <w:rFonts w:cs="Arial"/>
                <w:b w:val="0"/>
              </w:rPr>
              <w:t>2026</w:t>
            </w:r>
          </w:p>
        </w:tc>
        <w:tc>
          <w:tcPr>
            <w:tcW w:w="4820" w:type="dxa"/>
          </w:tcPr>
          <w:p w14:paraId="4A2C9EE5" w14:textId="77777777" w:rsidR="003C2E5C" w:rsidRPr="005B1115" w:rsidRDefault="003C2E5C" w:rsidP="001C1AD4">
            <w:pPr>
              <w:pStyle w:val="FigureTitle"/>
              <w:rPr>
                <w:rFonts w:cs="Arial"/>
                <w:b w:val="0"/>
                <w:bCs w:val="0"/>
              </w:rPr>
            </w:pPr>
            <w:r w:rsidRPr="005B1115">
              <w:rPr>
                <w:rFonts w:cs="Arial"/>
                <w:b w:val="0"/>
                <w:bCs w:val="0"/>
              </w:rPr>
              <w:t xml:space="preserve">Updated for Quarter </w:t>
            </w:r>
            <w:r>
              <w:rPr>
                <w:rFonts w:cs="Arial"/>
                <w:b w:val="0"/>
                <w:bCs w:val="0"/>
              </w:rPr>
              <w:t>1</w:t>
            </w:r>
            <w:r w:rsidRPr="005B1115">
              <w:rPr>
                <w:rFonts w:cs="Arial"/>
                <w:b w:val="0"/>
                <w:bCs w:val="0"/>
              </w:rPr>
              <w:t xml:space="preserve"> 202</w:t>
            </w:r>
            <w:r>
              <w:rPr>
                <w:rFonts w:cs="Arial"/>
                <w:b w:val="0"/>
                <w:bCs w:val="0"/>
              </w:rPr>
              <w:t>6</w:t>
            </w:r>
            <w:r w:rsidRPr="005B1115">
              <w:rPr>
                <w:rFonts w:cs="Arial"/>
                <w:b w:val="0"/>
                <w:bCs w:val="0"/>
              </w:rPr>
              <w:t>-2</w:t>
            </w:r>
            <w:r>
              <w:rPr>
                <w:rFonts w:cs="Arial"/>
                <w:b w:val="0"/>
                <w:bCs w:val="0"/>
              </w:rPr>
              <w:t>7</w:t>
            </w:r>
            <w:r w:rsidRPr="005B1115">
              <w:rPr>
                <w:rFonts w:cs="Arial"/>
                <w:b w:val="0"/>
                <w:bCs w:val="0"/>
              </w:rPr>
              <w:t xml:space="preserve"> changes.</w:t>
            </w:r>
          </w:p>
        </w:tc>
      </w:tr>
    </w:tbl>
    <w:p w14:paraId="0D16A9D8" w14:textId="77777777" w:rsidR="003B6FB7" w:rsidRPr="00EB135B" w:rsidRDefault="003B6FB7" w:rsidP="00EB135B">
      <w:r w:rsidRPr="00EB135B">
        <w:br w:type="page"/>
      </w:r>
    </w:p>
    <w:p w14:paraId="2D7BDE8F" w14:textId="2F1D2B66" w:rsidR="00DD6906" w:rsidRPr="00D934A4" w:rsidRDefault="00DD6906" w:rsidP="00E61D43">
      <w:pPr>
        <w:pStyle w:val="FigureTitle"/>
        <w:rPr>
          <w:rFonts w:cs="Arial"/>
          <w:sz w:val="60"/>
          <w:szCs w:val="60"/>
        </w:rPr>
      </w:pPr>
      <w:r w:rsidRPr="00D934A4">
        <w:rPr>
          <w:rFonts w:cs="Arial"/>
          <w:sz w:val="60"/>
          <w:szCs w:val="60"/>
        </w:rPr>
        <w:t>Contents</w:t>
      </w:r>
    </w:p>
    <w:p w14:paraId="0E3289C2" w14:textId="1A33A062" w:rsidR="007B360B" w:rsidRDefault="00E2686B">
      <w:pPr>
        <w:pStyle w:val="TOC1"/>
        <w:rPr>
          <w:rFonts w:asciiTheme="minorHAnsi" w:eastAsiaTheme="minorEastAsia" w:hAnsiTheme="minorHAnsi" w:cstheme="minorBidi"/>
          <w:b w:val="0"/>
          <w:bCs w:val="0"/>
          <w:noProof/>
          <w:color w:val="auto"/>
          <w:kern w:val="2"/>
          <w:szCs w:val="24"/>
          <w:lang w:eastAsia="en-AU"/>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236740371" w:history="1">
        <w:r w:rsidR="007B360B" w:rsidRPr="00D92CF2">
          <w:rPr>
            <w:rStyle w:val="Hyperlink"/>
            <w:noProof/>
          </w:rPr>
          <w:t>1. Introduction to the Quarterly Financial Report</w:t>
        </w:r>
        <w:r w:rsidR="007B360B">
          <w:rPr>
            <w:noProof/>
            <w:webHidden/>
          </w:rPr>
          <w:tab/>
        </w:r>
        <w:r w:rsidR="007B360B">
          <w:rPr>
            <w:noProof/>
            <w:webHidden/>
          </w:rPr>
          <w:fldChar w:fldCharType="begin"/>
        </w:r>
        <w:r w:rsidR="007B360B">
          <w:rPr>
            <w:noProof/>
            <w:webHidden/>
          </w:rPr>
          <w:instrText xml:space="preserve"> PAGEREF _Toc236740371 \h </w:instrText>
        </w:r>
        <w:r w:rsidR="007B360B">
          <w:rPr>
            <w:noProof/>
            <w:webHidden/>
          </w:rPr>
        </w:r>
        <w:r w:rsidR="007B360B">
          <w:rPr>
            <w:noProof/>
            <w:webHidden/>
          </w:rPr>
          <w:fldChar w:fldCharType="separate"/>
        </w:r>
        <w:r w:rsidR="005933D4">
          <w:rPr>
            <w:noProof/>
            <w:webHidden/>
          </w:rPr>
          <w:t>7</w:t>
        </w:r>
        <w:r w:rsidR="007B360B">
          <w:rPr>
            <w:noProof/>
            <w:webHidden/>
          </w:rPr>
          <w:fldChar w:fldCharType="end"/>
        </w:r>
      </w:hyperlink>
    </w:p>
    <w:p w14:paraId="43DB9D03" w14:textId="7AFA0A90"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2" w:history="1">
        <w:r w:rsidRPr="00D92CF2">
          <w:rPr>
            <w:rStyle w:val="Hyperlink"/>
            <w:noProof/>
          </w:rPr>
          <w:t>2. Changes to the QFR</w:t>
        </w:r>
        <w:r>
          <w:rPr>
            <w:noProof/>
            <w:webHidden/>
          </w:rPr>
          <w:tab/>
        </w:r>
        <w:r>
          <w:rPr>
            <w:noProof/>
            <w:webHidden/>
          </w:rPr>
          <w:fldChar w:fldCharType="begin"/>
        </w:r>
        <w:r>
          <w:rPr>
            <w:noProof/>
            <w:webHidden/>
          </w:rPr>
          <w:instrText xml:space="preserve"> PAGEREF _Toc236740372 \h </w:instrText>
        </w:r>
        <w:r>
          <w:rPr>
            <w:noProof/>
            <w:webHidden/>
          </w:rPr>
        </w:r>
        <w:r>
          <w:rPr>
            <w:noProof/>
            <w:webHidden/>
          </w:rPr>
          <w:fldChar w:fldCharType="separate"/>
        </w:r>
        <w:r w:rsidR="005933D4">
          <w:rPr>
            <w:noProof/>
            <w:webHidden/>
          </w:rPr>
          <w:t>15</w:t>
        </w:r>
        <w:r>
          <w:rPr>
            <w:noProof/>
            <w:webHidden/>
          </w:rPr>
          <w:fldChar w:fldCharType="end"/>
        </w:r>
      </w:hyperlink>
    </w:p>
    <w:p w14:paraId="5B234525" w14:textId="1FD71D5F"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3" w:history="1">
        <w:r w:rsidRPr="00D92CF2">
          <w:rPr>
            <w:rStyle w:val="Hyperlink"/>
            <w:noProof/>
          </w:rPr>
          <w:t>3. General guidance &amp; FAQs</w:t>
        </w:r>
        <w:r>
          <w:rPr>
            <w:noProof/>
            <w:webHidden/>
          </w:rPr>
          <w:tab/>
        </w:r>
        <w:r>
          <w:rPr>
            <w:noProof/>
            <w:webHidden/>
          </w:rPr>
          <w:fldChar w:fldCharType="begin"/>
        </w:r>
        <w:r>
          <w:rPr>
            <w:noProof/>
            <w:webHidden/>
          </w:rPr>
          <w:instrText xml:space="preserve"> PAGEREF _Toc236740373 \h </w:instrText>
        </w:r>
        <w:r>
          <w:rPr>
            <w:noProof/>
            <w:webHidden/>
          </w:rPr>
        </w:r>
        <w:r>
          <w:rPr>
            <w:noProof/>
            <w:webHidden/>
          </w:rPr>
          <w:fldChar w:fldCharType="separate"/>
        </w:r>
        <w:r w:rsidR="005933D4">
          <w:rPr>
            <w:noProof/>
            <w:webHidden/>
          </w:rPr>
          <w:t>18</w:t>
        </w:r>
        <w:r>
          <w:rPr>
            <w:noProof/>
            <w:webHidden/>
          </w:rPr>
          <w:fldChar w:fldCharType="end"/>
        </w:r>
      </w:hyperlink>
    </w:p>
    <w:p w14:paraId="73207A19" w14:textId="7894739E"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4" w:history="1">
        <w:r w:rsidRPr="00D92CF2">
          <w:rPr>
            <w:rStyle w:val="Hyperlink"/>
            <w:noProof/>
          </w:rPr>
          <w:t>4. Viability and Prudential Compliance Questions</w:t>
        </w:r>
        <w:r>
          <w:rPr>
            <w:noProof/>
            <w:webHidden/>
          </w:rPr>
          <w:tab/>
        </w:r>
        <w:r>
          <w:rPr>
            <w:noProof/>
            <w:webHidden/>
          </w:rPr>
          <w:fldChar w:fldCharType="begin"/>
        </w:r>
        <w:r>
          <w:rPr>
            <w:noProof/>
            <w:webHidden/>
          </w:rPr>
          <w:instrText xml:space="preserve"> PAGEREF _Toc236740374 \h </w:instrText>
        </w:r>
        <w:r>
          <w:rPr>
            <w:noProof/>
            <w:webHidden/>
          </w:rPr>
        </w:r>
        <w:r>
          <w:rPr>
            <w:noProof/>
            <w:webHidden/>
          </w:rPr>
          <w:fldChar w:fldCharType="separate"/>
        </w:r>
        <w:r w:rsidR="005933D4">
          <w:rPr>
            <w:noProof/>
            <w:webHidden/>
          </w:rPr>
          <w:t>22</w:t>
        </w:r>
        <w:r>
          <w:rPr>
            <w:noProof/>
            <w:webHidden/>
          </w:rPr>
          <w:fldChar w:fldCharType="end"/>
        </w:r>
      </w:hyperlink>
    </w:p>
    <w:p w14:paraId="3FF9133C" w14:textId="3C10E8CE"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5" w:history="1">
        <w:r w:rsidRPr="00D92CF2">
          <w:rPr>
            <w:rStyle w:val="Hyperlink"/>
            <w:noProof/>
          </w:rPr>
          <w:t>5. Year to Date Financial Statements</w:t>
        </w:r>
        <w:r>
          <w:rPr>
            <w:noProof/>
            <w:webHidden/>
          </w:rPr>
          <w:tab/>
        </w:r>
        <w:r>
          <w:rPr>
            <w:noProof/>
            <w:webHidden/>
          </w:rPr>
          <w:fldChar w:fldCharType="begin"/>
        </w:r>
        <w:r>
          <w:rPr>
            <w:noProof/>
            <w:webHidden/>
          </w:rPr>
          <w:instrText xml:space="preserve"> PAGEREF _Toc236740375 \h </w:instrText>
        </w:r>
        <w:r>
          <w:rPr>
            <w:noProof/>
            <w:webHidden/>
          </w:rPr>
        </w:r>
        <w:r>
          <w:rPr>
            <w:noProof/>
            <w:webHidden/>
          </w:rPr>
          <w:fldChar w:fldCharType="separate"/>
        </w:r>
        <w:r w:rsidR="005933D4">
          <w:rPr>
            <w:noProof/>
            <w:webHidden/>
          </w:rPr>
          <w:t>25</w:t>
        </w:r>
        <w:r>
          <w:rPr>
            <w:noProof/>
            <w:webHidden/>
          </w:rPr>
          <w:fldChar w:fldCharType="end"/>
        </w:r>
      </w:hyperlink>
    </w:p>
    <w:p w14:paraId="5163ABE7" w14:textId="002C74F4"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6" w:history="1">
        <w:r w:rsidRPr="00D92CF2">
          <w:rPr>
            <w:rStyle w:val="Hyperlink"/>
            <w:noProof/>
          </w:rPr>
          <w:t>6. Residential Costs and Hours</w:t>
        </w:r>
        <w:r>
          <w:rPr>
            <w:noProof/>
            <w:webHidden/>
          </w:rPr>
          <w:tab/>
        </w:r>
        <w:r>
          <w:rPr>
            <w:noProof/>
            <w:webHidden/>
          </w:rPr>
          <w:fldChar w:fldCharType="begin"/>
        </w:r>
        <w:r>
          <w:rPr>
            <w:noProof/>
            <w:webHidden/>
          </w:rPr>
          <w:instrText xml:space="preserve"> PAGEREF _Toc236740376 \h </w:instrText>
        </w:r>
        <w:r>
          <w:rPr>
            <w:noProof/>
            <w:webHidden/>
          </w:rPr>
        </w:r>
        <w:r>
          <w:rPr>
            <w:noProof/>
            <w:webHidden/>
          </w:rPr>
          <w:fldChar w:fldCharType="separate"/>
        </w:r>
        <w:r w:rsidR="005933D4">
          <w:rPr>
            <w:noProof/>
            <w:webHidden/>
          </w:rPr>
          <w:t>29</w:t>
        </w:r>
        <w:r>
          <w:rPr>
            <w:noProof/>
            <w:webHidden/>
          </w:rPr>
          <w:fldChar w:fldCharType="end"/>
        </w:r>
      </w:hyperlink>
    </w:p>
    <w:p w14:paraId="77C6A537" w14:textId="500D40AA"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7" w:history="1">
        <w:r w:rsidRPr="00D92CF2">
          <w:rPr>
            <w:rStyle w:val="Hyperlink"/>
            <w:noProof/>
          </w:rPr>
          <w:t>7. Support at Home Rates of Pay</w:t>
        </w:r>
        <w:r>
          <w:rPr>
            <w:noProof/>
            <w:webHidden/>
          </w:rPr>
          <w:tab/>
        </w:r>
        <w:r>
          <w:rPr>
            <w:noProof/>
            <w:webHidden/>
          </w:rPr>
          <w:fldChar w:fldCharType="begin"/>
        </w:r>
        <w:r>
          <w:rPr>
            <w:noProof/>
            <w:webHidden/>
          </w:rPr>
          <w:instrText xml:space="preserve"> PAGEREF _Toc236740377 \h </w:instrText>
        </w:r>
        <w:r>
          <w:rPr>
            <w:noProof/>
            <w:webHidden/>
          </w:rPr>
        </w:r>
        <w:r>
          <w:rPr>
            <w:noProof/>
            <w:webHidden/>
          </w:rPr>
          <w:fldChar w:fldCharType="separate"/>
        </w:r>
        <w:r w:rsidR="005933D4">
          <w:rPr>
            <w:noProof/>
            <w:webHidden/>
          </w:rPr>
          <w:t>34</w:t>
        </w:r>
        <w:r>
          <w:rPr>
            <w:noProof/>
            <w:webHidden/>
          </w:rPr>
          <w:fldChar w:fldCharType="end"/>
        </w:r>
      </w:hyperlink>
    </w:p>
    <w:p w14:paraId="1ABD2931" w14:textId="57CB71C1" w:rsidR="007B360B" w:rsidRDefault="007B360B">
      <w:pPr>
        <w:pStyle w:val="TOC1"/>
        <w:rPr>
          <w:rFonts w:asciiTheme="minorHAnsi" w:eastAsiaTheme="minorEastAsia" w:hAnsiTheme="minorHAnsi" w:cstheme="minorBidi"/>
          <w:b w:val="0"/>
          <w:bCs w:val="0"/>
          <w:noProof/>
          <w:color w:val="auto"/>
          <w:kern w:val="2"/>
          <w:szCs w:val="24"/>
          <w:lang w:eastAsia="en-AU"/>
          <w14:ligatures w14:val="standardContextual"/>
        </w:rPr>
      </w:pPr>
      <w:hyperlink w:anchor="_Toc236740378" w:history="1">
        <w:r w:rsidRPr="00D92CF2">
          <w:rPr>
            <w:rStyle w:val="Hyperlink"/>
            <w:noProof/>
          </w:rPr>
          <w:t>8. Food and Nutrition Costs</w:t>
        </w:r>
        <w:r>
          <w:rPr>
            <w:noProof/>
            <w:webHidden/>
          </w:rPr>
          <w:tab/>
        </w:r>
        <w:r>
          <w:rPr>
            <w:noProof/>
            <w:webHidden/>
          </w:rPr>
          <w:fldChar w:fldCharType="begin"/>
        </w:r>
        <w:r>
          <w:rPr>
            <w:noProof/>
            <w:webHidden/>
          </w:rPr>
          <w:instrText xml:space="preserve"> PAGEREF _Toc236740378 \h </w:instrText>
        </w:r>
        <w:r>
          <w:rPr>
            <w:noProof/>
            <w:webHidden/>
          </w:rPr>
        </w:r>
        <w:r>
          <w:rPr>
            <w:noProof/>
            <w:webHidden/>
          </w:rPr>
          <w:fldChar w:fldCharType="separate"/>
        </w:r>
        <w:r w:rsidR="005933D4">
          <w:rPr>
            <w:noProof/>
            <w:webHidden/>
          </w:rPr>
          <w:t>36</w:t>
        </w:r>
        <w:r>
          <w:rPr>
            <w:noProof/>
            <w:webHidden/>
          </w:rPr>
          <w:fldChar w:fldCharType="end"/>
        </w:r>
      </w:hyperlink>
    </w:p>
    <w:p w14:paraId="14FCB051" w14:textId="65E1FA2A" w:rsidR="00DD694E" w:rsidRPr="005C0A6F" w:rsidRDefault="00E2686B" w:rsidP="005C0A6F">
      <w:pPr>
        <w:rPr>
          <w:rFonts w:cs="Arial"/>
        </w:rPr>
      </w:pPr>
      <w:r>
        <w:rPr>
          <w:rFonts w:cs="Arial"/>
          <w:szCs w:val="20"/>
        </w:rPr>
        <w:fldChar w:fldCharType="end"/>
      </w:r>
      <w:r w:rsidR="00DD694E" w:rsidRPr="00D934A4">
        <w:br w:type="page"/>
      </w:r>
    </w:p>
    <w:p w14:paraId="4F389639" w14:textId="59B84121" w:rsidR="00DD694E" w:rsidRPr="004D34EB" w:rsidRDefault="00DD694E" w:rsidP="004D34EB">
      <w:r w:rsidRPr="004D34EB">
        <w:rPr>
          <w:noProof/>
        </w:rPr>
        <mc:AlternateContent>
          <mc:Choice Requires="wps">
            <w:drawing>
              <wp:anchor distT="0" distB="0" distL="114300" distR="114300" simplePos="0" relativeHeight="251658243" behindDoc="1" locked="0" layoutInCell="1" allowOverlap="1" wp14:anchorId="2465F1C2" wp14:editId="4DAD22DA">
                <wp:simplePos x="0" y="0"/>
                <wp:positionH relativeFrom="page">
                  <wp:align>left</wp:align>
                </wp:positionH>
                <wp:positionV relativeFrom="page">
                  <wp:posOffset>-417589</wp:posOffset>
                </wp:positionV>
                <wp:extent cx="8626956" cy="12192000"/>
                <wp:effectExtent l="0" t="0" r="0" b="0"/>
                <wp:wrapNone/>
                <wp:docPr id="1955098640" name="Rectangle 19550986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26956" cy="121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6233D1C4">
              <v:rect id="Rectangle 1955098640" style="position:absolute;margin-left:0;margin-top:-32.9pt;width:679.3pt;height:960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quot;&quot;" o:spid="_x0000_s1026" fillcolor="#1e1545 [3213]" stroked="f" strokeweight="2pt" w14:anchorId="0390C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">
                <w10:wrap anchorx="page" anchory="page"/>
              </v:rect>
            </w:pict>
          </mc:Fallback>
        </mc:AlternateContent>
      </w:r>
    </w:p>
    <w:p w14:paraId="41281E37" w14:textId="3E567A34" w:rsidR="00DD694E" w:rsidRPr="00D934A4" w:rsidRDefault="00DD694E" w:rsidP="00DD694E">
      <w:pPr>
        <w:pStyle w:val="SectionNumber"/>
        <w:rPr>
          <w:rFonts w:cs="Arial"/>
          <w:noProof w:val="0"/>
        </w:rPr>
      </w:pPr>
      <w:r w:rsidRPr="00D934A4">
        <w:rPr>
          <w:rFonts w:cs="Arial"/>
        </w:rPr>
        <mc:AlternateContent>
          <mc:Choice Requires="wps">
            <w:drawing>
              <wp:anchor distT="0" distB="0" distL="114300" distR="114300" simplePos="0" relativeHeight="251658244" behindDoc="1" locked="0" layoutInCell="1" allowOverlap="1" wp14:anchorId="3B3E7A76" wp14:editId="66ECE319">
                <wp:simplePos x="171450" y="400050"/>
                <wp:positionH relativeFrom="page">
                  <wp:align>left</wp:align>
                </wp:positionH>
                <wp:positionV relativeFrom="page">
                  <wp:align>top</wp:align>
                </wp:positionV>
                <wp:extent cx="7560000" cy="10692000"/>
                <wp:effectExtent l="0" t="0" r="3175" b="0"/>
                <wp:wrapNone/>
                <wp:docPr id="1883609514" name="Rectangle 18836095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40FDB047">
              <v:rect id="Rectangle 1883609514" style="position:absolute;margin-left:0;margin-top:0;width:595.3pt;height:841.9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62D04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69331C">
        <w:rPr>
          <w:rFonts w:cs="Arial"/>
          <w:noProof w:val="0"/>
        </w:rPr>
        <w:t>1</w:t>
      </w:r>
    </w:p>
    <w:p w14:paraId="3B1BF979" w14:textId="7D8B6AE8" w:rsidR="00DD694E" w:rsidRPr="00D934A4" w:rsidRDefault="00DD694E" w:rsidP="004D34EB">
      <w:pPr>
        <w:pStyle w:val="SectionTitle"/>
      </w:pPr>
      <w:r w:rsidRPr="00D934A4">
        <w:t>Introduction to the Quarterly Financial Report</w:t>
      </w:r>
    </w:p>
    <w:p w14:paraId="022A4F33" w14:textId="77777777" w:rsidR="00DD694E" w:rsidRPr="004D34EB" w:rsidRDefault="00DD694E" w:rsidP="004D34EB"/>
    <w:p w14:paraId="1D2917B6" w14:textId="48E7DD87" w:rsidR="00DD694E" w:rsidRPr="004D34EB" w:rsidRDefault="00DD694E" w:rsidP="004D34EB">
      <w:r w:rsidRPr="004D34EB">
        <w:br w:type="page"/>
      </w:r>
    </w:p>
    <w:p w14:paraId="2BBCC96D" w14:textId="0EF7EC98" w:rsidR="002116E9" w:rsidRDefault="00A90A82" w:rsidP="0043312C">
      <w:pPr>
        <w:pStyle w:val="NewHeading1"/>
      </w:pPr>
      <w:bookmarkStart w:id="0" w:name="_Toc236740371"/>
      <w:r>
        <w:t xml:space="preserve">1. </w:t>
      </w:r>
      <w:r w:rsidR="002116E9" w:rsidRPr="005D2310">
        <w:t xml:space="preserve">Introduction </w:t>
      </w:r>
      <w:r w:rsidR="00C61D8C" w:rsidRPr="005D2310">
        <w:t>to the Quarterly Financial Report</w:t>
      </w:r>
      <w:bookmarkEnd w:id="0"/>
    </w:p>
    <w:p w14:paraId="10CA9B13" w14:textId="315B8490" w:rsidR="002116E9" w:rsidRPr="001E7272" w:rsidRDefault="00A90A82" w:rsidP="001E7272">
      <w:pPr>
        <w:pStyle w:val="NewHeading2"/>
      </w:pPr>
      <w:r>
        <w:t xml:space="preserve">1.1 </w:t>
      </w:r>
      <w:r w:rsidR="002116E9" w:rsidRPr="001E7272">
        <w:t>Purpose</w:t>
      </w:r>
    </w:p>
    <w:p w14:paraId="14850042" w14:textId="3DC4D9BF" w:rsidR="002116E9" w:rsidRPr="00D934A4" w:rsidRDefault="002116E9" w:rsidP="002116E9">
      <w:pPr>
        <w:rPr>
          <w:rFonts w:cs="Arial"/>
        </w:rPr>
      </w:pPr>
      <w:r w:rsidRPr="00D934A4">
        <w:rPr>
          <w:rFonts w:cs="Arial"/>
        </w:rPr>
        <w:t xml:space="preserve">This </w:t>
      </w:r>
      <w:r w:rsidR="00534DD2">
        <w:rPr>
          <w:rFonts w:cs="Arial"/>
        </w:rPr>
        <w:t>guidance and frequently asked questions (FAQs)</w:t>
      </w:r>
      <w:r w:rsidRPr="00D934A4">
        <w:rPr>
          <w:rFonts w:cs="Arial"/>
        </w:rPr>
        <w:t xml:space="preserve"> </w:t>
      </w:r>
      <w:r w:rsidR="00831792" w:rsidRPr="00D934A4">
        <w:rPr>
          <w:rFonts w:cs="Arial"/>
        </w:rPr>
        <w:t>are</w:t>
      </w:r>
      <w:r w:rsidRPr="00D934A4">
        <w:rPr>
          <w:rFonts w:cs="Arial"/>
        </w:rPr>
        <w:t xml:space="preserve"> designed to assist Registered Providers of aged care </w:t>
      </w:r>
      <w:r w:rsidR="00357938" w:rsidRPr="00D934A4">
        <w:rPr>
          <w:rFonts w:cs="Arial"/>
        </w:rPr>
        <w:t>services</w:t>
      </w:r>
      <w:r w:rsidRPr="00D934A4">
        <w:rPr>
          <w:rFonts w:cs="Arial"/>
        </w:rPr>
        <w:t xml:space="preserve"> complete their Quarterly Financial Report (QFR).  </w:t>
      </w:r>
    </w:p>
    <w:p w14:paraId="4AFCAA66" w14:textId="09ABA368" w:rsidR="002116E9" w:rsidRPr="00D934A4" w:rsidRDefault="00E67EE2" w:rsidP="00A90A82">
      <w:pPr>
        <w:pStyle w:val="NewHeading2"/>
      </w:pPr>
      <w:r>
        <w:t xml:space="preserve">1.2 </w:t>
      </w:r>
      <w:r w:rsidR="002116E9" w:rsidRPr="00D934A4">
        <w:t>Background</w:t>
      </w:r>
    </w:p>
    <w:p w14:paraId="4F9FB20E" w14:textId="4B251369" w:rsidR="002116E9" w:rsidRPr="00D934A4" w:rsidRDefault="002116E9" w:rsidP="002116E9">
      <w:pPr>
        <w:rPr>
          <w:rFonts w:cs="Arial"/>
        </w:rPr>
      </w:pPr>
      <w:r w:rsidRPr="00D934A4">
        <w:rPr>
          <w:rFonts w:cs="Arial"/>
        </w:rPr>
        <w:t xml:space="preserve">The QFR was introduced </w:t>
      </w:r>
      <w:r w:rsidR="0096560A">
        <w:rPr>
          <w:rFonts w:cs="Arial"/>
        </w:rPr>
        <w:t>from 1 July 2022</w:t>
      </w:r>
      <w:r w:rsidRPr="00D934A4">
        <w:rPr>
          <w:rFonts w:cs="Arial"/>
        </w:rPr>
        <w:t xml:space="preserve"> as part of broader initiatives to improve financial reporting and strengthen prudential compliance for registered aged care providers</w:t>
      </w:r>
      <w:r w:rsidR="00EB49E7" w:rsidRPr="00D934A4">
        <w:rPr>
          <w:rFonts w:cs="Arial"/>
        </w:rPr>
        <w:t xml:space="preserve"> (formerly approved aged care providers)</w:t>
      </w:r>
      <w:r w:rsidRPr="00D934A4">
        <w:rPr>
          <w:rFonts w:cs="Arial"/>
        </w:rPr>
        <w:t xml:space="preserve">. Information reported assists the Government to monitor and support providers. </w:t>
      </w:r>
      <w:r w:rsidR="0091573B">
        <w:rPr>
          <w:rFonts w:cs="Arial"/>
        </w:rPr>
        <w:t xml:space="preserve">Some of the financial information collected through the QFR is published in the </w:t>
      </w:r>
      <w:hyperlink r:id="rId19" w:anchor="quarterly-financial-snapshot-qfs-of-the-aged-care-sector-reports" w:history="1">
        <w:r w:rsidR="0091573B" w:rsidRPr="000763C2">
          <w:rPr>
            <w:rStyle w:val="Hyperlink"/>
            <w:rFonts w:cs="Arial"/>
            <w:color w:val="2AB1BB" w:themeColor="accent1"/>
          </w:rPr>
          <w:t>Quarterly Financial Snapshot</w:t>
        </w:r>
      </w:hyperlink>
      <w:r w:rsidR="00596B7D" w:rsidRPr="000763C2">
        <w:rPr>
          <w:rFonts w:cs="Arial"/>
          <w:color w:val="2AB1BB" w:themeColor="accent1"/>
        </w:rPr>
        <w:t xml:space="preserve">. </w:t>
      </w:r>
    </w:p>
    <w:p w14:paraId="2E720FA2" w14:textId="1B4B11FF" w:rsidR="002116E9" w:rsidRPr="00D934A4" w:rsidRDefault="00DB556E" w:rsidP="003174AC">
      <w:pPr>
        <w:pStyle w:val="NewHeading2"/>
      </w:pPr>
      <w:r>
        <w:t xml:space="preserve">1.3 </w:t>
      </w:r>
      <w:r w:rsidR="00A335B2" w:rsidRPr="00D934A4">
        <w:t>Reporting requirements</w:t>
      </w:r>
    </w:p>
    <w:p w14:paraId="1D245A99" w14:textId="08331B58" w:rsidR="00BF262A" w:rsidRPr="00674871" w:rsidRDefault="00C41655" w:rsidP="00674871">
      <w:pPr>
        <w:rPr>
          <w:rFonts w:cs="Arial"/>
        </w:rPr>
      </w:pPr>
      <w:r w:rsidRPr="00674871">
        <w:rPr>
          <w:rFonts w:cs="Arial"/>
        </w:rPr>
        <w:t>Registered providers must comply with the reporting obligations set out in section</w:t>
      </w:r>
      <w:r w:rsidR="00DF4C0F">
        <w:rPr>
          <w:rFonts w:cs="Arial"/>
        </w:rPr>
        <w:t> </w:t>
      </w:r>
      <w:r w:rsidRPr="00674871">
        <w:rPr>
          <w:rFonts w:cs="Arial"/>
        </w:rPr>
        <w:t>166 of the </w:t>
      </w:r>
      <w:r w:rsidRPr="00C00554">
        <w:rPr>
          <w:rFonts w:cs="Arial"/>
          <w:i/>
        </w:rPr>
        <w:t>Aged Care Act 2024</w:t>
      </w:r>
      <w:r w:rsidRPr="00674871">
        <w:rPr>
          <w:rFonts w:cs="Arial"/>
        </w:rPr>
        <w:t> (the Act), as well as any requirements prescribed under this provision in the </w:t>
      </w:r>
      <w:r w:rsidRPr="00C00554">
        <w:rPr>
          <w:rFonts w:cs="Arial"/>
          <w:i/>
        </w:rPr>
        <w:t>Aged Care Rules 2025</w:t>
      </w:r>
      <w:r w:rsidRPr="00674871">
        <w:rPr>
          <w:rFonts w:cs="Arial"/>
        </w:rPr>
        <w:t> (the Rules).  </w:t>
      </w:r>
    </w:p>
    <w:p w14:paraId="23BA9123" w14:textId="77777777" w:rsidR="00C41655" w:rsidRPr="00674871" w:rsidRDefault="00C41655" w:rsidP="00674871">
      <w:pPr>
        <w:rPr>
          <w:rFonts w:cs="Arial"/>
        </w:rPr>
      </w:pPr>
      <w:r w:rsidRPr="00674871">
        <w:rPr>
          <w:rFonts w:cs="Arial"/>
        </w:rPr>
        <w:t>Section 166-340 of the Rules requires registered providers to submit a quarterly financial report for each quarter in a reporting period and sets out the specific requirements for that report.  </w:t>
      </w:r>
    </w:p>
    <w:p w14:paraId="5769047C" w14:textId="46339E55" w:rsidR="00061227" w:rsidRPr="0006779F" w:rsidRDefault="000E2837" w:rsidP="00EB135B">
      <w:pPr>
        <w:pStyle w:val="ListBullet"/>
      </w:pPr>
      <w:r w:rsidRPr="0006779F">
        <w:t xml:space="preserve">If you are a Registered Provider delivering residential aged care </w:t>
      </w:r>
      <w:r w:rsidR="00D33FBB" w:rsidRPr="0006779F">
        <w:t>and/</w:t>
      </w:r>
      <w:r w:rsidRPr="0006779F">
        <w:t xml:space="preserve">or </w:t>
      </w:r>
      <w:r w:rsidR="00D33FBB" w:rsidRPr="0006779F">
        <w:t xml:space="preserve">the </w:t>
      </w:r>
      <w:r w:rsidRPr="0006779F">
        <w:t xml:space="preserve">Support at Home </w:t>
      </w:r>
      <w:r w:rsidR="008878F8" w:rsidRPr="0006779F">
        <w:t>program</w:t>
      </w:r>
      <w:r w:rsidRPr="0006779F">
        <w:t>, you are required to submit a QFR</w:t>
      </w:r>
      <w:r w:rsidR="00247E57">
        <w:t>.</w:t>
      </w:r>
      <w:r w:rsidRPr="0006779F">
        <w:t xml:space="preserve"> </w:t>
      </w:r>
    </w:p>
    <w:p w14:paraId="24056BB8" w14:textId="47752553" w:rsidR="000E2837" w:rsidRPr="0006779F" w:rsidRDefault="000E2837" w:rsidP="00EB135B">
      <w:pPr>
        <w:pStyle w:val="ListBullet"/>
      </w:pPr>
      <w:r w:rsidRPr="0006779F">
        <w:t>If you are a Registered Provider delivering Multi-Purpose Services</w:t>
      </w:r>
      <w:r w:rsidR="00D71661" w:rsidRPr="0006779F">
        <w:t xml:space="preserve"> Program</w:t>
      </w:r>
      <w:r w:rsidRPr="0006779F">
        <w:t xml:space="preserve"> (MPS</w:t>
      </w:r>
      <w:r w:rsidR="00D71661" w:rsidRPr="0006779F">
        <w:t>P</w:t>
      </w:r>
      <w:r w:rsidRPr="0006779F">
        <w:t>)</w:t>
      </w:r>
      <w:r w:rsidR="005A5BE7" w:rsidRPr="0006779F">
        <w:t xml:space="preserve"> and/</w:t>
      </w:r>
      <w:r w:rsidRPr="0006779F">
        <w:t>or National Aboriginal and Torres Strait Islander Flexible Aged Care</w:t>
      </w:r>
      <w:r w:rsidR="001204F4" w:rsidRPr="0006779F">
        <w:t xml:space="preserve">, you are also required to complete a </w:t>
      </w:r>
      <w:r w:rsidR="00831792" w:rsidRPr="0006779F">
        <w:t>QFR</w:t>
      </w:r>
      <w:r w:rsidR="00831792">
        <w:t xml:space="preserve"> but</w:t>
      </w:r>
      <w:r w:rsidR="001204F4" w:rsidRPr="0006779F">
        <w:t xml:space="preserve"> will complete the </w:t>
      </w:r>
      <w:r w:rsidRPr="0006779F">
        <w:t xml:space="preserve">food and nutrition reporting only. </w:t>
      </w:r>
    </w:p>
    <w:p w14:paraId="75146C55" w14:textId="77777777" w:rsidR="00AF6DD4" w:rsidRPr="0006779F" w:rsidRDefault="00AF6DD4" w:rsidP="00EB135B">
      <w:pPr>
        <w:pStyle w:val="ListBullet"/>
      </w:pPr>
      <w:r w:rsidRPr="0006779F">
        <w:t xml:space="preserve">Providers who solely deliver Commonwealth Home Support Programme (CHSP) services do not have to submit a QFR. </w:t>
      </w:r>
    </w:p>
    <w:p w14:paraId="1BF7391B" w14:textId="32E30E10" w:rsidR="007F701A" w:rsidRPr="00D934A4" w:rsidRDefault="007F701A" w:rsidP="002116E9">
      <w:pPr>
        <w:rPr>
          <w:rFonts w:cs="Arial"/>
        </w:rPr>
      </w:pPr>
      <w:r w:rsidRPr="00D934A4">
        <w:rPr>
          <w:rFonts w:cs="Arial"/>
        </w:rPr>
        <w:t xml:space="preserve">What you are required to report in the QFR depends on the types of </w:t>
      </w:r>
      <w:r w:rsidR="00251D32" w:rsidRPr="00D934A4">
        <w:rPr>
          <w:rFonts w:cs="Arial"/>
        </w:rPr>
        <w:t>programs</w:t>
      </w:r>
      <w:r w:rsidRPr="00D934A4">
        <w:rPr>
          <w:rFonts w:cs="Arial"/>
        </w:rPr>
        <w:t xml:space="preserve"> you deliver. </w:t>
      </w:r>
    </w:p>
    <w:p w14:paraId="73A51663" w14:textId="77777777" w:rsidR="0006779F" w:rsidRPr="004D34EB" w:rsidRDefault="0006779F" w:rsidP="004D34EB">
      <w:r w:rsidRPr="004D34EB">
        <w:br w:type="page"/>
      </w:r>
    </w:p>
    <w:p w14:paraId="7D8B9E62" w14:textId="235AF63C" w:rsidR="007F701A" w:rsidRPr="00D934A4" w:rsidRDefault="007F701A" w:rsidP="002116E9">
      <w:pPr>
        <w:rPr>
          <w:rFonts w:cs="Arial"/>
        </w:rPr>
      </w:pPr>
      <w:r w:rsidRPr="00D934A4">
        <w:rPr>
          <w:rFonts w:cs="Arial"/>
        </w:rPr>
        <w:t xml:space="preserve">The table below outlines the reporting </w:t>
      </w:r>
      <w:r w:rsidR="00A335B2" w:rsidRPr="00D934A4">
        <w:rPr>
          <w:rFonts w:cs="Arial"/>
        </w:rPr>
        <w:t>requirements</w:t>
      </w:r>
      <w:r w:rsidRPr="00D934A4">
        <w:rPr>
          <w:rFonts w:cs="Arial"/>
        </w:rPr>
        <w:t xml:space="preserve">: </w:t>
      </w:r>
    </w:p>
    <w:tbl>
      <w:tblPr>
        <w:tblStyle w:val="DepartmentofHealthtable"/>
        <w:tblW w:w="9497" w:type="dxa"/>
        <w:tblBorders>
          <w:left w:val="single" w:sz="4" w:space="0" w:color="1E1545" w:themeColor="text1"/>
          <w:right w:val="single" w:sz="4" w:space="0" w:color="1E1545" w:themeColor="text1"/>
          <w:insideV w:val="single" w:sz="4" w:space="0" w:color="1E1545" w:themeColor="text1"/>
        </w:tblBorders>
        <w:tblLayout w:type="fixed"/>
        <w:tblLook w:val="04A0" w:firstRow="1" w:lastRow="0" w:firstColumn="1" w:lastColumn="0" w:noHBand="0" w:noVBand="1"/>
      </w:tblPr>
      <w:tblGrid>
        <w:gridCol w:w="1984"/>
        <w:gridCol w:w="1843"/>
        <w:gridCol w:w="1559"/>
        <w:gridCol w:w="1418"/>
        <w:gridCol w:w="1134"/>
        <w:gridCol w:w="1559"/>
      </w:tblGrid>
      <w:tr w:rsidR="008E5719" w:rsidRPr="00D934A4" w14:paraId="609D236F" w14:textId="77777777" w:rsidTr="00BB6BEA">
        <w:trPr>
          <w:cnfStyle w:val="100000000000" w:firstRow="1" w:lastRow="0" w:firstColumn="0" w:lastColumn="0" w:oddVBand="0" w:evenVBand="0" w:oddHBand="0" w:evenHBand="0" w:firstRowFirstColumn="0" w:firstRowLastColumn="0" w:lastRowFirstColumn="0" w:lastRowLastColumn="0"/>
          <w:trHeight w:val="474"/>
          <w:tblHeader/>
        </w:trPr>
        <w:tc>
          <w:tcPr>
            <w:tcW w:w="1984" w:type="dxa"/>
            <w:hideMark/>
          </w:tcPr>
          <w:p w14:paraId="266137B6" w14:textId="77777777" w:rsidR="008E5719" w:rsidRPr="00D934A4" w:rsidRDefault="008E5719" w:rsidP="00D510E0">
            <w:pPr>
              <w:pStyle w:val="TableHeaderWhite"/>
              <w:rPr>
                <w:rFonts w:cs="Arial"/>
                <w:b/>
                <w:color w:val="auto"/>
                <w:szCs w:val="24"/>
                <w:lang w:val="en-AU" w:eastAsia="zh-CN" w:bidi="th-TH"/>
              </w:rPr>
            </w:pPr>
            <w:r w:rsidRPr="00D934A4">
              <w:rPr>
                <w:rFonts w:cs="Arial"/>
                <w:b/>
                <w:color w:val="auto"/>
                <w:szCs w:val="24"/>
                <w:lang w:val="en-AU" w:eastAsia="zh-CN" w:bidi="th-TH"/>
              </w:rPr>
              <w:t>Form Name</w:t>
            </w:r>
          </w:p>
        </w:tc>
        <w:tc>
          <w:tcPr>
            <w:tcW w:w="1843" w:type="dxa"/>
            <w:hideMark/>
          </w:tcPr>
          <w:p w14:paraId="7AA306CC" w14:textId="77777777" w:rsidR="008E5719" w:rsidRPr="00D934A4" w:rsidRDefault="008E5719" w:rsidP="00D510E0">
            <w:pPr>
              <w:pStyle w:val="TableHeaderWhite"/>
              <w:rPr>
                <w:rFonts w:cs="Arial"/>
                <w:b/>
                <w:color w:val="auto"/>
                <w:szCs w:val="24"/>
                <w:lang w:val="en-AU" w:eastAsia="zh-CN" w:bidi="th-TH"/>
              </w:rPr>
            </w:pPr>
            <w:r w:rsidRPr="00D934A4">
              <w:rPr>
                <w:rFonts w:cs="Arial"/>
                <w:b/>
                <w:color w:val="auto"/>
                <w:szCs w:val="24"/>
                <w:lang w:val="en-AU" w:eastAsia="zh-CN" w:bidi="th-TH"/>
              </w:rPr>
              <w:t>Data Collection Level</w:t>
            </w:r>
          </w:p>
        </w:tc>
        <w:tc>
          <w:tcPr>
            <w:tcW w:w="1559" w:type="dxa"/>
            <w:hideMark/>
          </w:tcPr>
          <w:p w14:paraId="5B48C8F7" w14:textId="77777777" w:rsidR="008E5719" w:rsidRPr="00D934A4" w:rsidRDefault="008E5719" w:rsidP="00D510E0">
            <w:pPr>
              <w:pStyle w:val="TableHeaderWhite"/>
              <w:rPr>
                <w:rFonts w:cs="Arial"/>
                <w:b/>
                <w:color w:val="auto"/>
                <w:szCs w:val="24"/>
                <w:lang w:val="en-AU"/>
              </w:rPr>
            </w:pPr>
            <w:r w:rsidRPr="00D934A4">
              <w:rPr>
                <w:rFonts w:cs="Arial"/>
                <w:b/>
                <w:color w:val="auto"/>
                <w:szCs w:val="24"/>
                <w:lang w:val="en-AU"/>
              </w:rPr>
              <w:t>Residential Aged Care</w:t>
            </w:r>
          </w:p>
        </w:tc>
        <w:tc>
          <w:tcPr>
            <w:tcW w:w="1418" w:type="dxa"/>
            <w:hideMark/>
          </w:tcPr>
          <w:p w14:paraId="12528FEA" w14:textId="09B2CDBF" w:rsidR="008E5719" w:rsidRPr="00D934A4" w:rsidRDefault="008E5719" w:rsidP="00D510E0">
            <w:pPr>
              <w:pStyle w:val="TableHeaderWhite"/>
              <w:rPr>
                <w:rFonts w:cs="Arial"/>
                <w:b/>
                <w:color w:val="auto"/>
                <w:szCs w:val="24"/>
                <w:lang w:val="en-AU"/>
              </w:rPr>
            </w:pPr>
            <w:r w:rsidRPr="00D934A4">
              <w:rPr>
                <w:rFonts w:cs="Arial"/>
                <w:b/>
                <w:color w:val="auto"/>
                <w:szCs w:val="24"/>
                <w:lang w:val="en-AU"/>
              </w:rPr>
              <w:t>Support at Home</w:t>
            </w:r>
          </w:p>
        </w:tc>
        <w:tc>
          <w:tcPr>
            <w:tcW w:w="1134" w:type="dxa"/>
            <w:hideMark/>
          </w:tcPr>
          <w:p w14:paraId="0467B1DE" w14:textId="77777777" w:rsidR="008E5719" w:rsidRPr="00D934A4" w:rsidRDefault="008E5719" w:rsidP="00D510E0">
            <w:pPr>
              <w:pStyle w:val="TableHeaderWhite"/>
              <w:rPr>
                <w:rFonts w:cs="Arial"/>
                <w:b/>
                <w:color w:val="auto"/>
                <w:szCs w:val="24"/>
                <w:lang w:val="en-AU"/>
              </w:rPr>
            </w:pPr>
            <w:r w:rsidRPr="00D934A4">
              <w:rPr>
                <w:rFonts w:cs="Arial"/>
                <w:b/>
                <w:bCs/>
                <w:color w:val="auto"/>
                <w:szCs w:val="24"/>
                <w:lang w:val="en-AU"/>
              </w:rPr>
              <w:t>MPSP</w:t>
            </w:r>
          </w:p>
        </w:tc>
        <w:tc>
          <w:tcPr>
            <w:tcW w:w="1559" w:type="dxa"/>
            <w:hideMark/>
          </w:tcPr>
          <w:p w14:paraId="191F4B6C" w14:textId="77777777" w:rsidR="008E5719" w:rsidRPr="00D934A4" w:rsidRDefault="008E5719" w:rsidP="00D510E0">
            <w:pPr>
              <w:pStyle w:val="TableHeaderWhite"/>
              <w:rPr>
                <w:rFonts w:cs="Arial"/>
                <w:b/>
                <w:color w:val="auto"/>
                <w:szCs w:val="24"/>
                <w:lang w:val="en-AU"/>
              </w:rPr>
            </w:pPr>
            <w:r w:rsidRPr="00D934A4">
              <w:rPr>
                <w:rFonts w:cs="Arial"/>
                <w:b/>
                <w:color w:val="auto"/>
                <w:szCs w:val="24"/>
                <w:lang w:val="en-AU"/>
              </w:rPr>
              <w:t>NATSIFAC</w:t>
            </w:r>
          </w:p>
        </w:tc>
      </w:tr>
      <w:tr w:rsidR="008E5719" w:rsidRPr="00D934A4" w14:paraId="03A68471" w14:textId="77777777" w:rsidTr="00082961">
        <w:trPr>
          <w:trHeight w:val="703"/>
        </w:trPr>
        <w:tc>
          <w:tcPr>
            <w:tcW w:w="1984" w:type="dxa"/>
            <w:hideMark/>
          </w:tcPr>
          <w:p w14:paraId="076531D1" w14:textId="77777777" w:rsidR="008E5719" w:rsidRPr="00BB6BEA" w:rsidRDefault="008E5719" w:rsidP="00BB6BEA">
            <w:pPr>
              <w:rPr>
                <w:lang w:eastAsia="zh-CN" w:bidi="th-TH"/>
              </w:rPr>
            </w:pPr>
            <w:r w:rsidRPr="00BB6BEA">
              <w:rPr>
                <w:lang w:eastAsia="zh-CN" w:bidi="th-TH"/>
              </w:rPr>
              <w:t>Viability and Prudential Compliance Questions*</w:t>
            </w:r>
          </w:p>
        </w:tc>
        <w:tc>
          <w:tcPr>
            <w:tcW w:w="1843" w:type="dxa"/>
            <w:hideMark/>
          </w:tcPr>
          <w:p w14:paraId="5034E642" w14:textId="77777777" w:rsidR="008E5719" w:rsidRPr="00BB6BEA" w:rsidRDefault="008E5719" w:rsidP="00BB6BEA">
            <w:pPr>
              <w:rPr>
                <w:lang w:eastAsia="zh-CN" w:bidi="th-TH"/>
              </w:rPr>
            </w:pPr>
            <w:r w:rsidRPr="00BB6BEA">
              <w:rPr>
                <w:lang w:eastAsia="zh-CN" w:bidi="th-TH"/>
              </w:rPr>
              <w:t>Registered Provider</w:t>
            </w:r>
          </w:p>
        </w:tc>
        <w:tc>
          <w:tcPr>
            <w:tcW w:w="1559" w:type="dxa"/>
            <w:hideMark/>
          </w:tcPr>
          <w:p w14:paraId="187248D2" w14:textId="77777777" w:rsidR="008E5719" w:rsidRPr="00A61985" w:rsidRDefault="008E5719" w:rsidP="00A61985">
            <w:pPr>
              <w:pStyle w:val="NormalCentrestrong"/>
            </w:pPr>
            <w:r w:rsidRPr="00A61985">
              <w:t>YES</w:t>
            </w:r>
          </w:p>
        </w:tc>
        <w:tc>
          <w:tcPr>
            <w:tcW w:w="1418" w:type="dxa"/>
            <w:hideMark/>
          </w:tcPr>
          <w:p w14:paraId="736067C5" w14:textId="77777777" w:rsidR="008E5719" w:rsidRPr="00A61985" w:rsidRDefault="008E5719" w:rsidP="00A61985">
            <w:pPr>
              <w:pStyle w:val="NormalCentrestrong"/>
            </w:pPr>
            <w:r w:rsidRPr="00A61985">
              <w:t>YES</w:t>
            </w:r>
          </w:p>
        </w:tc>
        <w:tc>
          <w:tcPr>
            <w:tcW w:w="1134" w:type="dxa"/>
            <w:hideMark/>
          </w:tcPr>
          <w:p w14:paraId="5479D558" w14:textId="77777777" w:rsidR="008E5719" w:rsidRPr="004D34EB" w:rsidRDefault="008E5719" w:rsidP="004D34EB">
            <w:pPr>
              <w:pStyle w:val="Tabletextcentre"/>
              <w:rPr>
                <w:lang w:eastAsia="zh-CN" w:bidi="th-TH"/>
              </w:rPr>
            </w:pPr>
            <w:r w:rsidRPr="004D34EB">
              <w:rPr>
                <w:lang w:eastAsia="zh-CN" w:bidi="th-TH"/>
              </w:rPr>
              <w:t>NO</w:t>
            </w:r>
          </w:p>
        </w:tc>
        <w:tc>
          <w:tcPr>
            <w:tcW w:w="1559" w:type="dxa"/>
            <w:hideMark/>
          </w:tcPr>
          <w:p w14:paraId="60FA76A5" w14:textId="77777777" w:rsidR="008E5719" w:rsidRPr="004D34EB" w:rsidRDefault="008E5719" w:rsidP="004D34EB">
            <w:pPr>
              <w:pStyle w:val="Tabletextcentre"/>
              <w:rPr>
                <w:lang w:eastAsia="zh-CN" w:bidi="th-TH"/>
              </w:rPr>
            </w:pPr>
            <w:r w:rsidRPr="004D34EB">
              <w:rPr>
                <w:lang w:eastAsia="zh-CN" w:bidi="th-TH"/>
              </w:rPr>
              <w:t>NO</w:t>
            </w:r>
          </w:p>
        </w:tc>
      </w:tr>
      <w:tr w:rsidR="008E5719" w:rsidRPr="00D934A4" w14:paraId="71F36CA9" w14:textId="77777777" w:rsidTr="00082961">
        <w:trPr>
          <w:trHeight w:val="567"/>
        </w:trPr>
        <w:tc>
          <w:tcPr>
            <w:tcW w:w="1984" w:type="dxa"/>
            <w:hideMark/>
          </w:tcPr>
          <w:p w14:paraId="26339721" w14:textId="77777777" w:rsidR="008E5719" w:rsidRPr="00D934A4" w:rsidRDefault="008E5719" w:rsidP="00D510E0">
            <w:pPr>
              <w:rPr>
                <w:rFonts w:cs="Arial"/>
                <w:b/>
                <w:lang w:eastAsia="zh-CN" w:bidi="th-TH"/>
              </w:rPr>
            </w:pPr>
            <w:r w:rsidRPr="00D934A4">
              <w:rPr>
                <w:rFonts w:cs="Arial"/>
                <w:lang w:eastAsia="zh-CN" w:bidi="th-TH"/>
              </w:rPr>
              <w:t>YTD Financial Statements*</w:t>
            </w:r>
          </w:p>
        </w:tc>
        <w:tc>
          <w:tcPr>
            <w:tcW w:w="1843" w:type="dxa"/>
            <w:hideMark/>
          </w:tcPr>
          <w:p w14:paraId="243989AF" w14:textId="77777777" w:rsidR="008E5719" w:rsidRPr="00BB6BEA" w:rsidRDefault="008E5719" w:rsidP="00BB6BEA">
            <w:pPr>
              <w:rPr>
                <w:lang w:eastAsia="zh-CN" w:bidi="th-TH"/>
              </w:rPr>
            </w:pPr>
            <w:r w:rsidRPr="00BB6BEA">
              <w:rPr>
                <w:lang w:eastAsia="zh-CN" w:bidi="th-TH"/>
              </w:rPr>
              <w:t>Registered Provider</w:t>
            </w:r>
          </w:p>
        </w:tc>
        <w:tc>
          <w:tcPr>
            <w:tcW w:w="1559" w:type="dxa"/>
            <w:hideMark/>
          </w:tcPr>
          <w:p w14:paraId="4E63B6FF" w14:textId="77777777" w:rsidR="008E5719" w:rsidRPr="00A61985" w:rsidRDefault="008E5719" w:rsidP="00A61985">
            <w:pPr>
              <w:pStyle w:val="NormalCentrestrong"/>
            </w:pPr>
            <w:r w:rsidRPr="00A61985">
              <w:t>YES</w:t>
            </w:r>
          </w:p>
        </w:tc>
        <w:tc>
          <w:tcPr>
            <w:tcW w:w="1418" w:type="dxa"/>
            <w:hideMark/>
          </w:tcPr>
          <w:p w14:paraId="627025DB" w14:textId="77777777" w:rsidR="008E5719" w:rsidRPr="00A61985" w:rsidRDefault="008E5719" w:rsidP="00A61985">
            <w:pPr>
              <w:pStyle w:val="NormalCentrestrong"/>
            </w:pPr>
            <w:r w:rsidRPr="00A61985">
              <w:t>YES</w:t>
            </w:r>
          </w:p>
        </w:tc>
        <w:tc>
          <w:tcPr>
            <w:tcW w:w="1134" w:type="dxa"/>
            <w:hideMark/>
          </w:tcPr>
          <w:p w14:paraId="03693EDE" w14:textId="77777777" w:rsidR="008E5719" w:rsidRPr="004D34EB" w:rsidRDefault="008E5719" w:rsidP="004D34EB">
            <w:pPr>
              <w:pStyle w:val="Tabletextcentre"/>
              <w:rPr>
                <w:lang w:eastAsia="zh-CN" w:bidi="th-TH"/>
              </w:rPr>
            </w:pPr>
            <w:r w:rsidRPr="004D34EB">
              <w:rPr>
                <w:lang w:eastAsia="zh-CN" w:bidi="th-TH"/>
              </w:rPr>
              <w:t>NO</w:t>
            </w:r>
          </w:p>
        </w:tc>
        <w:tc>
          <w:tcPr>
            <w:tcW w:w="1559" w:type="dxa"/>
            <w:hideMark/>
          </w:tcPr>
          <w:p w14:paraId="779D8B3C" w14:textId="77777777" w:rsidR="008E5719" w:rsidRPr="004D34EB" w:rsidRDefault="008E5719" w:rsidP="004D34EB">
            <w:pPr>
              <w:pStyle w:val="Tabletextcentre"/>
              <w:rPr>
                <w:lang w:eastAsia="zh-CN" w:bidi="th-TH"/>
              </w:rPr>
            </w:pPr>
            <w:r w:rsidRPr="004D34EB">
              <w:rPr>
                <w:lang w:eastAsia="zh-CN" w:bidi="th-TH"/>
              </w:rPr>
              <w:t>NO</w:t>
            </w:r>
          </w:p>
        </w:tc>
      </w:tr>
      <w:tr w:rsidR="008E5719" w:rsidRPr="00D934A4" w14:paraId="1CE49A20" w14:textId="77777777" w:rsidTr="00082961">
        <w:trPr>
          <w:trHeight w:val="567"/>
        </w:trPr>
        <w:tc>
          <w:tcPr>
            <w:tcW w:w="1984" w:type="dxa"/>
          </w:tcPr>
          <w:p w14:paraId="229C96F1" w14:textId="43902E52" w:rsidR="008E5719" w:rsidRPr="00D934A4" w:rsidRDefault="008E5719" w:rsidP="00D510E0">
            <w:pPr>
              <w:rPr>
                <w:rFonts w:cs="Arial"/>
                <w:lang w:bidi="th-TH"/>
              </w:rPr>
            </w:pPr>
            <w:r w:rsidRPr="00D934A4">
              <w:rPr>
                <w:rFonts w:cs="Arial"/>
                <w:lang w:bidi="th-TH"/>
              </w:rPr>
              <w:t>Residential Costs and Hours</w:t>
            </w:r>
          </w:p>
        </w:tc>
        <w:tc>
          <w:tcPr>
            <w:tcW w:w="1843" w:type="dxa"/>
          </w:tcPr>
          <w:p w14:paraId="6C5765A7" w14:textId="64C34001" w:rsidR="008E5719" w:rsidRPr="00BB6BEA" w:rsidRDefault="00FC480D" w:rsidP="00BB6BEA">
            <w:pPr>
              <w:rPr>
                <w:lang w:bidi="th-TH"/>
              </w:rPr>
            </w:pPr>
            <w:r w:rsidRPr="00BB6BEA">
              <w:rPr>
                <w:lang w:bidi="th-TH"/>
              </w:rPr>
              <w:t>Approved Residential Care Home</w:t>
            </w:r>
            <w:r w:rsidR="008E5719" w:rsidRPr="00BB6BEA">
              <w:rPr>
                <w:lang w:bidi="th-TH"/>
              </w:rPr>
              <w:t xml:space="preserve"> level</w:t>
            </w:r>
          </w:p>
        </w:tc>
        <w:tc>
          <w:tcPr>
            <w:tcW w:w="1559" w:type="dxa"/>
          </w:tcPr>
          <w:p w14:paraId="6FE3AA28" w14:textId="77777777" w:rsidR="008E5719" w:rsidRPr="00A61985" w:rsidRDefault="008E5719" w:rsidP="00A61985">
            <w:pPr>
              <w:pStyle w:val="NormalCentrestrong"/>
            </w:pPr>
            <w:r w:rsidRPr="00A61985">
              <w:t>YES</w:t>
            </w:r>
          </w:p>
        </w:tc>
        <w:tc>
          <w:tcPr>
            <w:tcW w:w="1418" w:type="dxa"/>
          </w:tcPr>
          <w:p w14:paraId="0C03AF5B" w14:textId="77777777" w:rsidR="008E5719" w:rsidRPr="004D34EB" w:rsidRDefault="008E5719" w:rsidP="004D34EB">
            <w:pPr>
              <w:pStyle w:val="Tabletextcentre"/>
              <w:rPr>
                <w:lang w:bidi="th-TH"/>
              </w:rPr>
            </w:pPr>
            <w:r w:rsidRPr="004D34EB">
              <w:rPr>
                <w:lang w:bidi="th-TH"/>
              </w:rPr>
              <w:t>NO</w:t>
            </w:r>
          </w:p>
        </w:tc>
        <w:tc>
          <w:tcPr>
            <w:tcW w:w="1134" w:type="dxa"/>
          </w:tcPr>
          <w:p w14:paraId="046ADC0D" w14:textId="77777777" w:rsidR="008E5719" w:rsidRPr="004D34EB" w:rsidRDefault="008E5719" w:rsidP="004D34EB">
            <w:pPr>
              <w:pStyle w:val="Tabletextcentre"/>
              <w:rPr>
                <w:lang w:bidi="th-TH"/>
              </w:rPr>
            </w:pPr>
            <w:r w:rsidRPr="004D34EB">
              <w:rPr>
                <w:lang w:bidi="th-TH"/>
              </w:rPr>
              <w:t>NO</w:t>
            </w:r>
          </w:p>
        </w:tc>
        <w:tc>
          <w:tcPr>
            <w:tcW w:w="1559" w:type="dxa"/>
          </w:tcPr>
          <w:p w14:paraId="128895B9" w14:textId="77777777" w:rsidR="008E5719" w:rsidRPr="004D34EB" w:rsidRDefault="008E5719" w:rsidP="004D34EB">
            <w:pPr>
              <w:pStyle w:val="Tabletextcentre"/>
              <w:rPr>
                <w:lang w:bidi="th-TH"/>
              </w:rPr>
            </w:pPr>
            <w:r w:rsidRPr="004D34EB">
              <w:rPr>
                <w:lang w:bidi="th-TH"/>
              </w:rPr>
              <w:t>NO</w:t>
            </w:r>
          </w:p>
        </w:tc>
      </w:tr>
      <w:tr w:rsidR="008E5719" w:rsidRPr="00D934A4" w14:paraId="4B12EEFF" w14:textId="77777777" w:rsidTr="00082961">
        <w:trPr>
          <w:trHeight w:val="567"/>
        </w:trPr>
        <w:tc>
          <w:tcPr>
            <w:tcW w:w="1984" w:type="dxa"/>
            <w:hideMark/>
          </w:tcPr>
          <w:p w14:paraId="08F96EC8" w14:textId="4CF5C9F5" w:rsidR="008E5719" w:rsidRPr="00D934A4" w:rsidRDefault="008E5719" w:rsidP="00D510E0">
            <w:pPr>
              <w:rPr>
                <w:rFonts w:cs="Arial"/>
                <w:b/>
                <w:lang w:eastAsia="zh-CN" w:bidi="th-TH"/>
              </w:rPr>
            </w:pPr>
            <w:r w:rsidRPr="00D934A4">
              <w:rPr>
                <w:rFonts w:cs="Arial"/>
                <w:lang w:eastAsia="zh-CN" w:bidi="th-TH"/>
              </w:rPr>
              <w:t xml:space="preserve">Support at Home </w:t>
            </w:r>
            <w:r w:rsidR="00A33CC7">
              <w:rPr>
                <w:rFonts w:cs="Arial"/>
                <w:lang w:eastAsia="zh-CN" w:bidi="th-TH"/>
              </w:rPr>
              <w:t xml:space="preserve">Rates of Pay </w:t>
            </w:r>
          </w:p>
        </w:tc>
        <w:tc>
          <w:tcPr>
            <w:tcW w:w="1843" w:type="dxa"/>
            <w:hideMark/>
          </w:tcPr>
          <w:p w14:paraId="641BA820" w14:textId="77777777" w:rsidR="008E5719" w:rsidRPr="00BB6BEA" w:rsidRDefault="008E5719" w:rsidP="00BB6BEA">
            <w:pPr>
              <w:rPr>
                <w:lang w:eastAsia="zh-CN" w:bidi="th-TH"/>
              </w:rPr>
            </w:pPr>
            <w:r w:rsidRPr="00BB6BEA">
              <w:rPr>
                <w:lang w:eastAsia="zh-CN" w:bidi="th-TH"/>
              </w:rPr>
              <w:t>Program level</w:t>
            </w:r>
          </w:p>
        </w:tc>
        <w:tc>
          <w:tcPr>
            <w:tcW w:w="1559" w:type="dxa"/>
            <w:hideMark/>
          </w:tcPr>
          <w:p w14:paraId="140DB9AE" w14:textId="77777777" w:rsidR="008E5719" w:rsidRPr="004D34EB" w:rsidRDefault="008E5719" w:rsidP="004D34EB">
            <w:pPr>
              <w:pStyle w:val="Tabletextcentre"/>
              <w:rPr>
                <w:lang w:eastAsia="zh-CN" w:bidi="th-TH"/>
              </w:rPr>
            </w:pPr>
            <w:r w:rsidRPr="004D34EB">
              <w:rPr>
                <w:lang w:eastAsia="zh-CN" w:bidi="th-TH"/>
              </w:rPr>
              <w:t>NO</w:t>
            </w:r>
          </w:p>
        </w:tc>
        <w:tc>
          <w:tcPr>
            <w:tcW w:w="1418" w:type="dxa"/>
            <w:hideMark/>
          </w:tcPr>
          <w:p w14:paraId="6D990AD2" w14:textId="1E9FBF65" w:rsidR="008E5719" w:rsidRPr="00A61985" w:rsidRDefault="00B52630" w:rsidP="00A61985">
            <w:pPr>
              <w:pStyle w:val="NormalCentrestrong"/>
            </w:pPr>
            <w:r w:rsidRPr="00A61985">
              <w:t>RATES OF PAY</w:t>
            </w:r>
            <w:r w:rsidR="008E5719" w:rsidRPr="00A61985">
              <w:t xml:space="preserve"> ONLY</w:t>
            </w:r>
          </w:p>
        </w:tc>
        <w:tc>
          <w:tcPr>
            <w:tcW w:w="1134" w:type="dxa"/>
            <w:hideMark/>
          </w:tcPr>
          <w:p w14:paraId="2341067D" w14:textId="77777777" w:rsidR="008E5719" w:rsidRPr="004D34EB" w:rsidRDefault="008E5719" w:rsidP="004D34EB">
            <w:pPr>
              <w:pStyle w:val="Tabletextcentre"/>
              <w:rPr>
                <w:lang w:eastAsia="zh-CN" w:bidi="th-TH"/>
              </w:rPr>
            </w:pPr>
            <w:r w:rsidRPr="004D34EB">
              <w:rPr>
                <w:lang w:eastAsia="zh-CN" w:bidi="th-TH"/>
              </w:rPr>
              <w:t>NO</w:t>
            </w:r>
          </w:p>
        </w:tc>
        <w:tc>
          <w:tcPr>
            <w:tcW w:w="1559" w:type="dxa"/>
            <w:hideMark/>
          </w:tcPr>
          <w:p w14:paraId="10A2A7FA" w14:textId="77777777" w:rsidR="008E5719" w:rsidRPr="004D34EB" w:rsidRDefault="008E5719" w:rsidP="004D34EB">
            <w:pPr>
              <w:pStyle w:val="Tabletextcentre"/>
              <w:rPr>
                <w:lang w:eastAsia="zh-CN" w:bidi="th-TH"/>
              </w:rPr>
            </w:pPr>
            <w:r w:rsidRPr="004D34EB">
              <w:rPr>
                <w:lang w:eastAsia="zh-CN" w:bidi="th-TH"/>
              </w:rPr>
              <w:t>NO</w:t>
            </w:r>
          </w:p>
        </w:tc>
      </w:tr>
      <w:tr w:rsidR="008E5719" w:rsidRPr="00D934A4" w14:paraId="364ED144" w14:textId="77777777" w:rsidTr="00082961">
        <w:trPr>
          <w:trHeight w:val="567"/>
        </w:trPr>
        <w:tc>
          <w:tcPr>
            <w:tcW w:w="1984" w:type="dxa"/>
            <w:hideMark/>
          </w:tcPr>
          <w:p w14:paraId="306789EC" w14:textId="77777777" w:rsidR="008E5719" w:rsidRPr="00D934A4" w:rsidRDefault="008E5719" w:rsidP="00D510E0">
            <w:pPr>
              <w:rPr>
                <w:rFonts w:cs="Arial"/>
                <w:b/>
                <w:lang w:eastAsia="zh-CN" w:bidi="th-TH"/>
              </w:rPr>
            </w:pPr>
            <w:r w:rsidRPr="00D934A4">
              <w:rPr>
                <w:rFonts w:cs="Arial"/>
                <w:lang w:eastAsia="zh-CN" w:bidi="th-TH"/>
              </w:rPr>
              <w:t>Food and Nutrition Costs</w:t>
            </w:r>
          </w:p>
        </w:tc>
        <w:tc>
          <w:tcPr>
            <w:tcW w:w="1843" w:type="dxa"/>
            <w:hideMark/>
          </w:tcPr>
          <w:p w14:paraId="0F23020C" w14:textId="5FE90098" w:rsidR="008E5719" w:rsidRPr="00BB6BEA" w:rsidRDefault="00773E18" w:rsidP="00BB6BEA">
            <w:pPr>
              <w:rPr>
                <w:lang w:eastAsia="zh-CN" w:bidi="th-TH"/>
              </w:rPr>
            </w:pPr>
            <w:r w:rsidRPr="00BB6BEA">
              <w:rPr>
                <w:lang w:bidi="th-TH"/>
              </w:rPr>
              <w:t xml:space="preserve">Approved Residential Care Home </w:t>
            </w:r>
            <w:r w:rsidR="008E5719" w:rsidRPr="00BB6BEA">
              <w:rPr>
                <w:lang w:eastAsia="zh-CN" w:bidi="th-TH"/>
              </w:rPr>
              <w:t>level</w:t>
            </w:r>
          </w:p>
        </w:tc>
        <w:tc>
          <w:tcPr>
            <w:tcW w:w="1559" w:type="dxa"/>
            <w:hideMark/>
          </w:tcPr>
          <w:p w14:paraId="4D123BA2" w14:textId="77777777" w:rsidR="008E5719" w:rsidRPr="00A61985" w:rsidRDefault="008E5719" w:rsidP="00A61985">
            <w:pPr>
              <w:pStyle w:val="NormalCentrestrong"/>
            </w:pPr>
            <w:r w:rsidRPr="00A61985">
              <w:t>YES</w:t>
            </w:r>
          </w:p>
        </w:tc>
        <w:tc>
          <w:tcPr>
            <w:tcW w:w="1418" w:type="dxa"/>
            <w:hideMark/>
          </w:tcPr>
          <w:p w14:paraId="4F86954F" w14:textId="77777777" w:rsidR="008E5719" w:rsidRPr="004D34EB" w:rsidRDefault="008E5719" w:rsidP="004D34EB">
            <w:pPr>
              <w:pStyle w:val="Tabletextcentre"/>
              <w:rPr>
                <w:lang w:eastAsia="zh-CN" w:bidi="th-TH"/>
              </w:rPr>
            </w:pPr>
            <w:r w:rsidRPr="004D34EB">
              <w:rPr>
                <w:lang w:eastAsia="zh-CN" w:bidi="th-TH"/>
              </w:rPr>
              <w:t>NO</w:t>
            </w:r>
          </w:p>
        </w:tc>
        <w:tc>
          <w:tcPr>
            <w:tcW w:w="1134" w:type="dxa"/>
            <w:hideMark/>
          </w:tcPr>
          <w:p w14:paraId="791AE145" w14:textId="77777777" w:rsidR="008E5719" w:rsidRPr="00A61985" w:rsidRDefault="008E5719" w:rsidP="00A61985">
            <w:pPr>
              <w:pStyle w:val="NormalCentrestrong"/>
            </w:pPr>
            <w:r w:rsidRPr="00A61985">
              <w:t>YES</w:t>
            </w:r>
          </w:p>
        </w:tc>
        <w:tc>
          <w:tcPr>
            <w:tcW w:w="1559" w:type="dxa"/>
            <w:hideMark/>
          </w:tcPr>
          <w:p w14:paraId="174111A6" w14:textId="77777777" w:rsidR="008E5719" w:rsidRPr="00A61985" w:rsidRDefault="008E5719" w:rsidP="00A61985">
            <w:pPr>
              <w:pStyle w:val="NormalCentrestrong"/>
            </w:pPr>
            <w:r w:rsidRPr="00A61985">
              <w:t>YES</w:t>
            </w:r>
          </w:p>
        </w:tc>
      </w:tr>
    </w:tbl>
    <w:p w14:paraId="094A92C7" w14:textId="4F531B15" w:rsidR="006E1B78" w:rsidRPr="0093572D" w:rsidRDefault="006E1B78" w:rsidP="00BB6BEA">
      <w:pPr>
        <w:pStyle w:val="FootnoteText"/>
      </w:pPr>
      <w:r w:rsidRPr="0093572D">
        <w:t>* Government providers of residential aged care and</w:t>
      </w:r>
      <w:r w:rsidR="000D0B66" w:rsidRPr="0093572D">
        <w:t>/or the</w:t>
      </w:r>
      <w:r w:rsidRPr="0093572D">
        <w:t xml:space="preserve"> Support at Home</w:t>
      </w:r>
      <w:r w:rsidR="000D0B66" w:rsidRPr="0093572D">
        <w:t xml:space="preserve"> program</w:t>
      </w:r>
      <w:r w:rsidRPr="0093572D">
        <w:t xml:space="preserve"> are not required to complete the Viability and Prudential Compliance Questions or the YTD Financial Statements. </w:t>
      </w:r>
    </w:p>
    <w:p w14:paraId="32332DA4" w14:textId="706AA9A4" w:rsidR="00BB6BEA" w:rsidRPr="001C1AD4" w:rsidRDefault="00BB6BEA" w:rsidP="001C1AD4">
      <w:r w:rsidRPr="001C1AD4">
        <w:br w:type="page"/>
      </w:r>
    </w:p>
    <w:p w14:paraId="38CEC70D" w14:textId="16255B7B" w:rsidR="00CD5300" w:rsidRPr="00D934A4" w:rsidRDefault="00E67EE2" w:rsidP="00E17575">
      <w:pPr>
        <w:pStyle w:val="NewHeading2"/>
      </w:pPr>
      <w:r>
        <w:t>1.</w:t>
      </w:r>
      <w:r w:rsidR="00DB556E">
        <w:t>4</w:t>
      </w:r>
      <w:r>
        <w:t xml:space="preserve"> </w:t>
      </w:r>
      <w:r w:rsidR="00CD5300" w:rsidRPr="00D934A4">
        <w:t>Scope of the QFR</w:t>
      </w:r>
    </w:p>
    <w:p w14:paraId="133A4C22" w14:textId="460CE38C" w:rsidR="002116E9" w:rsidRPr="00D934A4" w:rsidRDefault="00CD5300" w:rsidP="002116E9">
      <w:pPr>
        <w:rPr>
          <w:rFonts w:cs="Arial"/>
        </w:rPr>
      </w:pPr>
      <w:r w:rsidRPr="00D934A4">
        <w:rPr>
          <w:rFonts w:cs="Arial"/>
        </w:rPr>
        <w:t xml:space="preserve">The data captured in the QFR is used </w:t>
      </w:r>
      <w:r w:rsidR="00BF75EC" w:rsidRPr="00D934A4">
        <w:rPr>
          <w:rFonts w:cs="Arial"/>
        </w:rPr>
        <w:t xml:space="preserve">for pricing and policy decisions, </w:t>
      </w:r>
      <w:r w:rsidRPr="00D934A4">
        <w:rPr>
          <w:rFonts w:cs="Arial"/>
        </w:rPr>
        <w:t>to improve financial transparency and strengthen prudential compliance.</w:t>
      </w:r>
    </w:p>
    <w:tbl>
      <w:tblPr>
        <w:tblStyle w:val="TableGrid"/>
        <w:tblW w:w="0" w:type="auto"/>
        <w:tblBorders>
          <w:top w:val="dotted" w:sz="4" w:space="0" w:color="1E1545" w:themeColor="text1"/>
          <w:left w:val="dotted" w:sz="4" w:space="0" w:color="1E1545" w:themeColor="text1"/>
          <w:bottom w:val="dotted" w:sz="4" w:space="0" w:color="1E1545" w:themeColor="text1"/>
          <w:right w:val="dotted" w:sz="4" w:space="0" w:color="1E1545" w:themeColor="text1"/>
          <w:insideH w:val="dotted" w:sz="4" w:space="0" w:color="1E1545" w:themeColor="text1"/>
          <w:insideV w:val="dotted" w:sz="4" w:space="0" w:color="1E1545" w:themeColor="text1"/>
        </w:tblBorders>
        <w:tblLook w:val="04A0" w:firstRow="1" w:lastRow="0" w:firstColumn="1" w:lastColumn="0" w:noHBand="0" w:noVBand="1"/>
      </w:tblPr>
      <w:tblGrid>
        <w:gridCol w:w="4510"/>
        <w:gridCol w:w="21"/>
        <w:gridCol w:w="4489"/>
      </w:tblGrid>
      <w:tr w:rsidR="008C4CF6" w:rsidRPr="00D934A4" w14:paraId="5F257A86" w14:textId="77777777" w:rsidTr="00BB6BEA">
        <w:trPr>
          <w:tblHeader/>
        </w:trPr>
        <w:tc>
          <w:tcPr>
            <w:tcW w:w="9020" w:type="dxa"/>
            <w:gridSpan w:val="3"/>
            <w:tcBorders>
              <w:top w:val="single" w:sz="4" w:space="0" w:color="1E1545" w:themeColor="text1"/>
              <w:left w:val="single" w:sz="4" w:space="0" w:color="1E1545" w:themeColor="text1"/>
              <w:bottom w:val="single" w:sz="4" w:space="0" w:color="1E1545" w:themeColor="text1"/>
              <w:right w:val="single" w:sz="4" w:space="0" w:color="1E1545" w:themeColor="text1"/>
            </w:tcBorders>
            <w:shd w:val="clear" w:color="auto" w:fill="1E1545" w:themeFill="text1"/>
          </w:tcPr>
          <w:p w14:paraId="4FD951D7" w14:textId="07E7DBB2" w:rsidR="00695334" w:rsidRPr="00A61985" w:rsidRDefault="00695334" w:rsidP="00A61985">
            <w:pPr>
              <w:pStyle w:val="TableHeaderWhite"/>
            </w:pPr>
            <w:r w:rsidRPr="00A61985">
              <w:t>Viability and Prudential Compliance Questions</w:t>
            </w:r>
          </w:p>
        </w:tc>
      </w:tr>
      <w:tr w:rsidR="00695334" w:rsidRPr="00D934A4" w14:paraId="2250D127" w14:textId="77777777" w:rsidTr="00D568ED">
        <w:tc>
          <w:tcPr>
            <w:tcW w:w="4531" w:type="dxa"/>
            <w:gridSpan w:val="2"/>
            <w:tcBorders>
              <w:top w:val="single" w:sz="4" w:space="0" w:color="1E1545" w:themeColor="text1"/>
              <w:bottom w:val="single" w:sz="4" w:space="0" w:color="1E1545" w:themeColor="text1"/>
            </w:tcBorders>
          </w:tcPr>
          <w:p w14:paraId="219B8408" w14:textId="77777777" w:rsidR="00695334" w:rsidRPr="00A61985" w:rsidRDefault="00695334" w:rsidP="00A61985">
            <w:pPr>
              <w:pStyle w:val="Tablelistbullet"/>
            </w:pPr>
            <w:r w:rsidRPr="00A61985">
              <w:t xml:space="preserve">Solvency </w:t>
            </w:r>
          </w:p>
          <w:p w14:paraId="6624F44E" w14:textId="77777777" w:rsidR="00695334" w:rsidRPr="00A61985" w:rsidRDefault="00695334" w:rsidP="00A61985">
            <w:pPr>
              <w:pStyle w:val="Tablelistbullet"/>
            </w:pPr>
            <w:r w:rsidRPr="00A61985">
              <w:t xml:space="preserve">Financial performance </w:t>
            </w:r>
          </w:p>
          <w:p w14:paraId="32BD4687" w14:textId="77777777" w:rsidR="00695334" w:rsidRPr="00A61985" w:rsidRDefault="00695334" w:rsidP="00A61985">
            <w:pPr>
              <w:pStyle w:val="Tablelistbullet"/>
            </w:pPr>
            <w:r w:rsidRPr="00A61985">
              <w:t xml:space="preserve">Sale or purchase </w:t>
            </w:r>
          </w:p>
          <w:p w14:paraId="22477BFE" w14:textId="77777777" w:rsidR="00695334" w:rsidRPr="00A61985" w:rsidRDefault="00695334" w:rsidP="00A61985">
            <w:pPr>
              <w:pStyle w:val="Tablelistbullet"/>
            </w:pPr>
            <w:r w:rsidRPr="00A61985">
              <w:t xml:space="preserve">Occupancy </w:t>
            </w:r>
          </w:p>
          <w:p w14:paraId="2B6C75AC" w14:textId="77777777" w:rsidR="00695334" w:rsidRPr="00A61985" w:rsidRDefault="00695334" w:rsidP="00A61985">
            <w:pPr>
              <w:pStyle w:val="Tablelistbullet"/>
            </w:pPr>
            <w:r w:rsidRPr="00A61985">
              <w:t xml:space="preserve">Refundable Accommodation Deposit </w:t>
            </w:r>
          </w:p>
          <w:p w14:paraId="7AEB1C60" w14:textId="77777777" w:rsidR="00695334" w:rsidRPr="00A61985" w:rsidRDefault="00695334" w:rsidP="00A61985">
            <w:pPr>
              <w:pStyle w:val="Tablelistbullet"/>
            </w:pPr>
            <w:r w:rsidRPr="00A61985">
              <w:t xml:space="preserve">Business improvement advice or strategies </w:t>
            </w:r>
          </w:p>
          <w:p w14:paraId="28AC875D" w14:textId="77777777" w:rsidR="00695334" w:rsidRPr="00A61985" w:rsidRDefault="00695334" w:rsidP="00A61985">
            <w:pPr>
              <w:pStyle w:val="Tablelistbullet"/>
            </w:pPr>
            <w:r w:rsidRPr="00A61985">
              <w:t xml:space="preserve">Governance and management </w:t>
            </w:r>
          </w:p>
          <w:p w14:paraId="7DD1B141" w14:textId="77777777" w:rsidR="00695334" w:rsidRPr="00A61985" w:rsidRDefault="00695334" w:rsidP="00A61985">
            <w:pPr>
              <w:pStyle w:val="Tablelistbullet"/>
            </w:pPr>
            <w:r w:rsidRPr="00A61985">
              <w:t xml:space="preserve">Recruitment and retention </w:t>
            </w:r>
          </w:p>
          <w:p w14:paraId="708A0CD6" w14:textId="77777777" w:rsidR="00695334" w:rsidRPr="00A61985" w:rsidRDefault="00695334" w:rsidP="00A61985">
            <w:pPr>
              <w:pStyle w:val="Tablelistbullet"/>
            </w:pPr>
            <w:r w:rsidRPr="00A61985">
              <w:t xml:space="preserve">Capital works </w:t>
            </w:r>
          </w:p>
          <w:p w14:paraId="79C4EBCC" w14:textId="77777777" w:rsidR="00695334" w:rsidRPr="00A61985" w:rsidRDefault="00695334" w:rsidP="00A61985">
            <w:pPr>
              <w:pStyle w:val="Tablelistbullet"/>
            </w:pPr>
            <w:r w:rsidRPr="00A61985">
              <w:t xml:space="preserve">Workforce </w:t>
            </w:r>
          </w:p>
          <w:p w14:paraId="2B8010B9" w14:textId="0DD9DB76" w:rsidR="00695334" w:rsidRPr="00D934A4" w:rsidRDefault="00695334" w:rsidP="00A61985">
            <w:pPr>
              <w:pStyle w:val="Tablelistbullet"/>
            </w:pPr>
            <w:r w:rsidRPr="00A61985">
              <w:t>Outbreak management</w:t>
            </w:r>
          </w:p>
        </w:tc>
        <w:tc>
          <w:tcPr>
            <w:tcW w:w="4489" w:type="dxa"/>
            <w:tcBorders>
              <w:top w:val="single" w:sz="4" w:space="0" w:color="1E1545" w:themeColor="text1"/>
              <w:bottom w:val="single" w:sz="4" w:space="0" w:color="1E1545" w:themeColor="text1"/>
            </w:tcBorders>
            <w:shd w:val="clear" w:color="auto" w:fill="F1F2F2" w:themeFill="background1"/>
          </w:tcPr>
          <w:p w14:paraId="324180FE" w14:textId="77777777" w:rsidR="00695334" w:rsidRPr="00D934A4" w:rsidRDefault="00695334" w:rsidP="002116E9">
            <w:pPr>
              <w:rPr>
                <w:rFonts w:cs="Arial"/>
                <w:sz w:val="22"/>
                <w:szCs w:val="22"/>
              </w:rPr>
            </w:pPr>
            <w:r w:rsidRPr="00D934A4">
              <w:rPr>
                <w:rFonts w:cs="Arial"/>
                <w:sz w:val="22"/>
                <w:szCs w:val="22"/>
              </w:rPr>
              <w:t xml:space="preserve">This data informs: </w:t>
            </w:r>
          </w:p>
          <w:p w14:paraId="444EDD22" w14:textId="446F052A" w:rsidR="00695334" w:rsidRPr="00D934A4" w:rsidRDefault="00695334" w:rsidP="00A61985">
            <w:pPr>
              <w:pStyle w:val="Tablelistbullet"/>
            </w:pPr>
            <w:r w:rsidRPr="00D934A4">
              <w:t>Identification of emerging financial viability issues</w:t>
            </w:r>
          </w:p>
          <w:p w14:paraId="6B0E654B" w14:textId="705E4ACD" w:rsidR="00695334" w:rsidRPr="00D934A4" w:rsidRDefault="00695334" w:rsidP="00A61985">
            <w:pPr>
              <w:pStyle w:val="Tablelistbullet"/>
            </w:pPr>
            <w:r w:rsidRPr="00D934A4">
              <w:t xml:space="preserve">Allows the department and the Aged Care Quality and Safety Commission to proactively work with providers to support their compliance and address financial risks </w:t>
            </w:r>
          </w:p>
        </w:tc>
      </w:tr>
      <w:tr w:rsidR="008C4CF6" w:rsidRPr="00D934A4" w14:paraId="1FA3AFB7" w14:textId="77777777" w:rsidTr="00D568ED">
        <w:tc>
          <w:tcPr>
            <w:tcW w:w="9020" w:type="dxa"/>
            <w:gridSpan w:val="3"/>
            <w:tcBorders>
              <w:top w:val="single" w:sz="4" w:space="0" w:color="1E1545" w:themeColor="text1"/>
              <w:left w:val="single" w:sz="4" w:space="0" w:color="1E1545" w:themeColor="text1"/>
              <w:bottom w:val="single" w:sz="4" w:space="0" w:color="1E1545" w:themeColor="text1"/>
              <w:right w:val="single" w:sz="4" w:space="0" w:color="1E1545" w:themeColor="text1"/>
            </w:tcBorders>
            <w:shd w:val="clear" w:color="auto" w:fill="1E1545" w:themeFill="text1"/>
          </w:tcPr>
          <w:p w14:paraId="0ABD6A4D" w14:textId="4235164B" w:rsidR="00695334" w:rsidRPr="00A61985" w:rsidRDefault="00695334" w:rsidP="00A61985">
            <w:pPr>
              <w:pStyle w:val="TableHeaderWhite"/>
            </w:pPr>
            <w:r w:rsidRPr="00A61985">
              <w:t xml:space="preserve">Year-to-date Financial Statements </w:t>
            </w:r>
          </w:p>
        </w:tc>
      </w:tr>
      <w:tr w:rsidR="00695334" w:rsidRPr="00D934A4" w14:paraId="57D3C41E" w14:textId="77777777" w:rsidTr="00D568ED">
        <w:tc>
          <w:tcPr>
            <w:tcW w:w="4531" w:type="dxa"/>
            <w:gridSpan w:val="2"/>
            <w:tcBorders>
              <w:top w:val="single" w:sz="4" w:space="0" w:color="1E1545" w:themeColor="text1"/>
              <w:bottom w:val="single" w:sz="4" w:space="0" w:color="1E1545" w:themeColor="text1"/>
            </w:tcBorders>
          </w:tcPr>
          <w:p w14:paraId="7C4B2C0E" w14:textId="77777777" w:rsidR="00695334" w:rsidRPr="00A61985" w:rsidRDefault="00695334" w:rsidP="00A61985">
            <w:pPr>
              <w:pStyle w:val="Tablelistbullet"/>
            </w:pPr>
            <w:r w:rsidRPr="00A61985">
              <w:t>Assets</w:t>
            </w:r>
          </w:p>
          <w:p w14:paraId="6AE61057" w14:textId="77777777" w:rsidR="00695334" w:rsidRPr="00A61985" w:rsidRDefault="00695334" w:rsidP="00A61985">
            <w:pPr>
              <w:pStyle w:val="Tablelistbullet"/>
            </w:pPr>
            <w:r w:rsidRPr="00A61985">
              <w:t>Liabilities</w:t>
            </w:r>
          </w:p>
          <w:p w14:paraId="170DD22B" w14:textId="77777777" w:rsidR="00695334" w:rsidRPr="00A61985" w:rsidRDefault="00695334" w:rsidP="00A61985">
            <w:pPr>
              <w:pStyle w:val="Tablelistbullet"/>
            </w:pPr>
            <w:r w:rsidRPr="00A61985">
              <w:t>Equity</w:t>
            </w:r>
          </w:p>
          <w:p w14:paraId="08447924" w14:textId="77777777" w:rsidR="00695334" w:rsidRPr="00A61985" w:rsidRDefault="00695334" w:rsidP="00A61985">
            <w:pPr>
              <w:pStyle w:val="Tablelistbullet"/>
            </w:pPr>
            <w:r w:rsidRPr="00A61985">
              <w:t>Income</w:t>
            </w:r>
          </w:p>
          <w:p w14:paraId="45E8126D" w14:textId="77777777" w:rsidR="00695334" w:rsidRPr="00A61985" w:rsidRDefault="00695334" w:rsidP="00A61985">
            <w:pPr>
              <w:pStyle w:val="Tablelistbullet"/>
            </w:pPr>
            <w:r w:rsidRPr="00A61985">
              <w:t>Expenses</w:t>
            </w:r>
          </w:p>
          <w:p w14:paraId="5D210644" w14:textId="7317A9D9" w:rsidR="00695334" w:rsidRPr="00D934A4" w:rsidRDefault="00695334" w:rsidP="00A61985">
            <w:pPr>
              <w:pStyle w:val="Tablelistbullet"/>
            </w:pPr>
            <w:r w:rsidRPr="00A61985">
              <w:t>External lines of credit</w:t>
            </w:r>
          </w:p>
        </w:tc>
        <w:tc>
          <w:tcPr>
            <w:tcW w:w="4489" w:type="dxa"/>
            <w:tcBorders>
              <w:top w:val="single" w:sz="4" w:space="0" w:color="1E1545" w:themeColor="text1"/>
              <w:bottom w:val="single" w:sz="4" w:space="0" w:color="1E1545" w:themeColor="text1"/>
            </w:tcBorders>
            <w:shd w:val="clear" w:color="auto" w:fill="F1F2F2" w:themeFill="background1"/>
          </w:tcPr>
          <w:p w14:paraId="3C8CA761" w14:textId="77777777" w:rsidR="00695334" w:rsidRPr="00D934A4" w:rsidRDefault="00695334" w:rsidP="002116E9">
            <w:pPr>
              <w:rPr>
                <w:rFonts w:cs="Arial"/>
                <w:sz w:val="22"/>
                <w:szCs w:val="22"/>
              </w:rPr>
            </w:pPr>
            <w:r w:rsidRPr="00D934A4">
              <w:rPr>
                <w:rFonts w:cs="Arial"/>
                <w:sz w:val="22"/>
                <w:szCs w:val="22"/>
              </w:rPr>
              <w:t>This data informs:</w:t>
            </w:r>
          </w:p>
          <w:p w14:paraId="43685578" w14:textId="6124FCDF" w:rsidR="00695334" w:rsidRPr="00D934A4" w:rsidRDefault="00695334" w:rsidP="00A61985">
            <w:pPr>
              <w:pStyle w:val="Tablelistbullet"/>
            </w:pPr>
            <w:r w:rsidRPr="00D934A4">
              <w:t xml:space="preserve">Sector performance </w:t>
            </w:r>
          </w:p>
          <w:p w14:paraId="7227017C" w14:textId="3EAE4F10" w:rsidR="00695334" w:rsidRPr="00D934A4" w:rsidRDefault="00695334" w:rsidP="00A61985">
            <w:pPr>
              <w:pStyle w:val="Tablelistbullet"/>
            </w:pPr>
            <w:r w:rsidRPr="00D934A4">
              <w:t xml:space="preserve">Publication of the Quarterly Financial Snapshot </w:t>
            </w:r>
          </w:p>
          <w:p w14:paraId="56FA3518" w14:textId="461B3E5B" w:rsidR="00695334" w:rsidRPr="00D934A4" w:rsidRDefault="00695334" w:rsidP="00A61985">
            <w:pPr>
              <w:pStyle w:val="Tablelistbullet"/>
            </w:pPr>
            <w:r w:rsidRPr="00D934A4">
              <w:t>Modelling provider viability risks</w:t>
            </w:r>
          </w:p>
        </w:tc>
      </w:tr>
      <w:tr w:rsidR="008C4CF6" w:rsidRPr="00D934A4" w14:paraId="6DE2C12B" w14:textId="77777777" w:rsidTr="00D568ED">
        <w:tc>
          <w:tcPr>
            <w:tcW w:w="9020" w:type="dxa"/>
            <w:gridSpan w:val="3"/>
            <w:tcBorders>
              <w:top w:val="single" w:sz="4" w:space="0" w:color="1E1545" w:themeColor="text1"/>
              <w:left w:val="single" w:sz="4" w:space="0" w:color="1E1545" w:themeColor="text1"/>
              <w:bottom w:val="single" w:sz="4" w:space="0" w:color="1E1545" w:themeColor="text1"/>
              <w:right w:val="single" w:sz="4" w:space="0" w:color="1E1545" w:themeColor="text1"/>
            </w:tcBorders>
            <w:shd w:val="clear" w:color="auto" w:fill="1E1545" w:themeFill="text1"/>
          </w:tcPr>
          <w:p w14:paraId="7E967A67" w14:textId="01041A4B" w:rsidR="00695334" w:rsidRPr="00A61985" w:rsidRDefault="009C0DB4" w:rsidP="00A61985">
            <w:pPr>
              <w:pStyle w:val="TableHeaderWhite"/>
            </w:pPr>
            <w:r w:rsidRPr="00A61985">
              <w:t xml:space="preserve">Residential </w:t>
            </w:r>
            <w:r w:rsidR="00695334" w:rsidRPr="00A61985">
              <w:t xml:space="preserve">Labour Costs and </w:t>
            </w:r>
            <w:r w:rsidR="0097526C" w:rsidRPr="00A61985">
              <w:t>H</w:t>
            </w:r>
            <w:r w:rsidR="00695334" w:rsidRPr="00A61985">
              <w:t xml:space="preserve">ours </w:t>
            </w:r>
          </w:p>
        </w:tc>
      </w:tr>
      <w:tr w:rsidR="00695334" w:rsidRPr="00D934A4" w14:paraId="5AC54F77" w14:textId="77777777" w:rsidTr="00D568ED">
        <w:tc>
          <w:tcPr>
            <w:tcW w:w="4531" w:type="dxa"/>
            <w:gridSpan w:val="2"/>
            <w:tcBorders>
              <w:top w:val="single" w:sz="4" w:space="0" w:color="1E1545" w:themeColor="text1"/>
              <w:bottom w:val="single" w:sz="4" w:space="0" w:color="1E1545" w:themeColor="text1"/>
            </w:tcBorders>
          </w:tcPr>
          <w:p w14:paraId="1DC00009" w14:textId="77777777" w:rsidR="00695334" w:rsidRPr="00A61985" w:rsidRDefault="00695334" w:rsidP="00A61985">
            <w:pPr>
              <w:pStyle w:val="Tablelistbullet"/>
            </w:pPr>
            <w:r w:rsidRPr="00A61985">
              <w:t>Care Expenses</w:t>
            </w:r>
          </w:p>
          <w:p w14:paraId="69CE1655" w14:textId="77777777" w:rsidR="00695334" w:rsidRPr="00A61985" w:rsidRDefault="00695334" w:rsidP="00A61985">
            <w:pPr>
              <w:pStyle w:val="Tablelistbullet"/>
            </w:pPr>
            <w:r w:rsidRPr="00A61985">
              <w:t>Labour Hours</w:t>
            </w:r>
          </w:p>
          <w:p w14:paraId="223BBC82" w14:textId="77777777" w:rsidR="00695334" w:rsidRPr="00A61985" w:rsidRDefault="00695334" w:rsidP="00A61985">
            <w:pPr>
              <w:pStyle w:val="Tablelistbullet"/>
            </w:pPr>
            <w:r w:rsidRPr="00A61985">
              <w:t>Labour Hourly rates of pay</w:t>
            </w:r>
          </w:p>
          <w:p w14:paraId="68BB83D7" w14:textId="77777777" w:rsidR="00695334" w:rsidRPr="00A61985" w:rsidRDefault="00695334" w:rsidP="00A61985">
            <w:pPr>
              <w:pStyle w:val="Tablelistbullet"/>
            </w:pPr>
            <w:r w:rsidRPr="00A61985">
              <w:t>Bed days</w:t>
            </w:r>
          </w:p>
          <w:p w14:paraId="7CBDCD48" w14:textId="1E61F523" w:rsidR="00695334" w:rsidRPr="00A61985" w:rsidRDefault="00695334" w:rsidP="00A61985">
            <w:pPr>
              <w:pStyle w:val="Tablelistbullet"/>
            </w:pPr>
            <w:r w:rsidRPr="00A61985">
              <w:t xml:space="preserve">Direct care minutes (worked) per </w:t>
            </w:r>
            <w:r w:rsidR="00500128" w:rsidRPr="00A61985">
              <w:t>Operational</w:t>
            </w:r>
            <w:r w:rsidRPr="00A61985">
              <w:t xml:space="preserve"> Bed Day</w:t>
            </w:r>
          </w:p>
          <w:p w14:paraId="5D1BE972" w14:textId="77777777" w:rsidR="00F47987" w:rsidRPr="00A61985" w:rsidRDefault="00F47987" w:rsidP="00A61985">
            <w:pPr>
              <w:pStyle w:val="Tablelistbullet"/>
            </w:pPr>
            <w:r w:rsidRPr="00A61985">
              <w:t>Hotel/Everyday Living Expenses</w:t>
            </w:r>
          </w:p>
          <w:p w14:paraId="12D793CE" w14:textId="77777777" w:rsidR="00F47987" w:rsidRPr="00A61985" w:rsidRDefault="00F47987" w:rsidP="00A61985">
            <w:pPr>
              <w:pStyle w:val="Tablelistbullet"/>
            </w:pPr>
            <w:r w:rsidRPr="00A61985">
              <w:t>Accommodation Expenses</w:t>
            </w:r>
          </w:p>
          <w:p w14:paraId="52E7494C" w14:textId="68B8BF87" w:rsidR="00695334" w:rsidRPr="0088274E" w:rsidRDefault="00F47987" w:rsidP="00A61985">
            <w:pPr>
              <w:pStyle w:val="Tablelistbullet"/>
            </w:pPr>
            <w:r w:rsidRPr="00A61985">
              <w:t>Administration Expenses</w:t>
            </w:r>
          </w:p>
        </w:tc>
        <w:tc>
          <w:tcPr>
            <w:tcW w:w="4489" w:type="dxa"/>
            <w:tcBorders>
              <w:top w:val="single" w:sz="4" w:space="0" w:color="1E1545" w:themeColor="text1"/>
              <w:bottom w:val="single" w:sz="4" w:space="0" w:color="1E1545" w:themeColor="text1"/>
            </w:tcBorders>
            <w:shd w:val="clear" w:color="auto" w:fill="F1F2F2" w:themeFill="background1"/>
          </w:tcPr>
          <w:p w14:paraId="79FD00A7" w14:textId="77777777" w:rsidR="00695334" w:rsidRPr="00D934A4" w:rsidRDefault="00695334" w:rsidP="002116E9">
            <w:pPr>
              <w:rPr>
                <w:rFonts w:cs="Arial"/>
                <w:sz w:val="22"/>
                <w:szCs w:val="22"/>
              </w:rPr>
            </w:pPr>
            <w:r w:rsidRPr="00D934A4">
              <w:rPr>
                <w:rFonts w:cs="Arial"/>
                <w:sz w:val="22"/>
                <w:szCs w:val="22"/>
              </w:rPr>
              <w:t>This data informs:</w:t>
            </w:r>
          </w:p>
          <w:p w14:paraId="410BFDB6" w14:textId="78AA136F" w:rsidR="00FA75F4" w:rsidRDefault="00FA75F4" w:rsidP="00A61985">
            <w:pPr>
              <w:pStyle w:val="Tablelistbullet"/>
            </w:pPr>
            <w:r>
              <w:t>Care minutes (residential aged care)</w:t>
            </w:r>
          </w:p>
          <w:p w14:paraId="2EEBDAB9" w14:textId="540AE550" w:rsidR="00695334" w:rsidRPr="00D934A4" w:rsidRDefault="00695334" w:rsidP="00A61985">
            <w:pPr>
              <w:pStyle w:val="Tablelistbullet"/>
            </w:pPr>
            <w:r w:rsidRPr="00D934A4">
              <w:t xml:space="preserve">Star Ratings (in conjunction with other qualitative information) </w:t>
            </w:r>
          </w:p>
          <w:p w14:paraId="092D222F" w14:textId="21F622BA" w:rsidR="007C1101" w:rsidRPr="00D934A4" w:rsidRDefault="007C1101" w:rsidP="00A61985">
            <w:pPr>
              <w:pStyle w:val="Tablelistbullet"/>
            </w:pPr>
            <w:r w:rsidRPr="00D934A4">
              <w:t xml:space="preserve">Sector performance </w:t>
            </w:r>
          </w:p>
          <w:p w14:paraId="34D50835" w14:textId="39E6AB90" w:rsidR="009478C4" w:rsidRPr="00D934A4" w:rsidRDefault="007C1101" w:rsidP="00A61985">
            <w:pPr>
              <w:pStyle w:val="Tablelistbullet"/>
            </w:pPr>
            <w:r w:rsidRPr="00D934A4">
              <w:t xml:space="preserve">Publication of the Quarterly Financial Snapshot </w:t>
            </w:r>
          </w:p>
          <w:p w14:paraId="0DF3BDCE" w14:textId="7F9E3C57" w:rsidR="00AD4043" w:rsidRPr="0088274E" w:rsidRDefault="009478C4" w:rsidP="00A61985">
            <w:pPr>
              <w:pStyle w:val="Tablelistbullet"/>
            </w:pPr>
            <w:r w:rsidRPr="00D934A4">
              <w:t>Choice for Older Australians and their families by publishing data on the My Aged Care website</w:t>
            </w:r>
            <w:r w:rsidR="007C1101" w:rsidRPr="00D934A4">
              <w:t xml:space="preserve"> </w:t>
            </w:r>
          </w:p>
        </w:tc>
      </w:tr>
      <w:tr w:rsidR="009C0DB4" w:rsidRPr="00D934A4" w14:paraId="31353765" w14:textId="77777777" w:rsidTr="000B2BEF">
        <w:tc>
          <w:tcPr>
            <w:tcW w:w="9020" w:type="dxa"/>
            <w:gridSpan w:val="3"/>
            <w:tcBorders>
              <w:top w:val="single" w:sz="4" w:space="0" w:color="1E1545" w:themeColor="text1"/>
              <w:left w:val="single" w:sz="4" w:space="0" w:color="1E1545" w:themeColor="text1"/>
              <w:bottom w:val="single" w:sz="4" w:space="0" w:color="1E1545" w:themeColor="text1"/>
              <w:right w:val="single" w:sz="4" w:space="0" w:color="1E1545" w:themeColor="text1"/>
            </w:tcBorders>
            <w:shd w:val="clear" w:color="auto" w:fill="1E1545" w:themeFill="text1"/>
          </w:tcPr>
          <w:p w14:paraId="2885D47B" w14:textId="768A2193" w:rsidR="009C0DB4" w:rsidRPr="00A61985" w:rsidRDefault="005F4A1E" w:rsidP="00A61985">
            <w:pPr>
              <w:pStyle w:val="TableHeaderWhite"/>
            </w:pPr>
            <w:r w:rsidRPr="00A61985">
              <w:t>Support at Home Rates of Pay</w:t>
            </w:r>
          </w:p>
        </w:tc>
      </w:tr>
      <w:tr w:rsidR="000B2BEF" w:rsidRPr="00D934A4" w14:paraId="4DBDC26B" w14:textId="77777777" w:rsidTr="000B2BEF">
        <w:tc>
          <w:tcPr>
            <w:tcW w:w="4510" w:type="dxa"/>
            <w:tcBorders>
              <w:top w:val="single" w:sz="4" w:space="0" w:color="1E1545" w:themeColor="text1"/>
              <w:left w:val="single" w:sz="4" w:space="0" w:color="1E1545" w:themeColor="text1"/>
              <w:bottom w:val="single" w:sz="4" w:space="0" w:color="1E1545" w:themeColor="text1"/>
              <w:right w:val="dotted" w:sz="4" w:space="0" w:color="1E1545" w:themeColor="text1"/>
            </w:tcBorders>
            <w:shd w:val="clear" w:color="auto" w:fill="F1F2F2" w:themeFill="background1"/>
          </w:tcPr>
          <w:p w14:paraId="0C18E575" w14:textId="3597ABA0" w:rsidR="000B2BEF" w:rsidRPr="0088274E" w:rsidRDefault="0088274E" w:rsidP="00A61985">
            <w:pPr>
              <w:pStyle w:val="Tablelistbullet"/>
            </w:pPr>
            <w:r w:rsidRPr="00D934A4">
              <w:t>Labour Hourly rates of pay</w:t>
            </w:r>
          </w:p>
        </w:tc>
        <w:tc>
          <w:tcPr>
            <w:tcW w:w="4510" w:type="dxa"/>
            <w:gridSpan w:val="2"/>
            <w:tcBorders>
              <w:top w:val="single" w:sz="4" w:space="0" w:color="1E1545" w:themeColor="text1"/>
              <w:left w:val="dotted" w:sz="4" w:space="0" w:color="1E1545" w:themeColor="text1"/>
              <w:bottom w:val="single" w:sz="4" w:space="0" w:color="1E1545" w:themeColor="text1"/>
              <w:right w:val="single" w:sz="4" w:space="0" w:color="1E1545" w:themeColor="text1"/>
            </w:tcBorders>
            <w:shd w:val="clear" w:color="auto" w:fill="F1F2F2" w:themeFill="background1"/>
          </w:tcPr>
          <w:p w14:paraId="12F1D057" w14:textId="6A99297F" w:rsidR="00176539" w:rsidRDefault="00176539" w:rsidP="00A61985">
            <w:pPr>
              <w:pStyle w:val="Tabletext"/>
            </w:pPr>
            <w:r>
              <w:t>This data informs:</w:t>
            </w:r>
          </w:p>
          <w:p w14:paraId="263B5878" w14:textId="0C863026" w:rsidR="000B2BEF" w:rsidRPr="000B2BEF" w:rsidRDefault="00E31F4A" w:rsidP="00A61985">
            <w:pPr>
              <w:pStyle w:val="Tablelistbullet"/>
            </w:pPr>
            <w:r w:rsidRPr="00D934A4">
              <w:t>Choice for Older Australians and their families by publishing data on the My Aged Care website</w:t>
            </w:r>
          </w:p>
        </w:tc>
      </w:tr>
      <w:tr w:rsidR="008C4CF6" w:rsidRPr="00D934A4" w14:paraId="4DE28986" w14:textId="77777777" w:rsidTr="00D568ED">
        <w:tc>
          <w:tcPr>
            <w:tcW w:w="9020" w:type="dxa"/>
            <w:gridSpan w:val="3"/>
            <w:tcBorders>
              <w:top w:val="single" w:sz="4" w:space="0" w:color="1E1545" w:themeColor="text1"/>
              <w:left w:val="single" w:sz="4" w:space="0" w:color="1E1545" w:themeColor="text1"/>
              <w:bottom w:val="single" w:sz="4" w:space="0" w:color="1E1545" w:themeColor="text1"/>
              <w:right w:val="single" w:sz="4" w:space="0" w:color="1E1545" w:themeColor="text1"/>
            </w:tcBorders>
            <w:shd w:val="clear" w:color="auto" w:fill="1E1545" w:themeFill="text1"/>
          </w:tcPr>
          <w:p w14:paraId="2E49522E" w14:textId="46DC7C32" w:rsidR="00695334" w:rsidRPr="00A61985" w:rsidRDefault="00695334" w:rsidP="00A61985">
            <w:pPr>
              <w:pStyle w:val="TableHeaderWhite"/>
            </w:pPr>
            <w:r w:rsidRPr="00A61985">
              <w:t xml:space="preserve">Food and Nutrition </w:t>
            </w:r>
            <w:r w:rsidR="00E31F4A" w:rsidRPr="00A61985">
              <w:t>Costs</w:t>
            </w:r>
            <w:r w:rsidRPr="00A61985">
              <w:t xml:space="preserve"> </w:t>
            </w:r>
          </w:p>
        </w:tc>
      </w:tr>
      <w:tr w:rsidR="00695334" w:rsidRPr="00D934A4" w14:paraId="22D4DDF1" w14:textId="77777777" w:rsidTr="00D568ED">
        <w:tc>
          <w:tcPr>
            <w:tcW w:w="4531" w:type="dxa"/>
            <w:gridSpan w:val="2"/>
            <w:tcBorders>
              <w:top w:val="single" w:sz="4" w:space="0" w:color="1E1545" w:themeColor="text1"/>
            </w:tcBorders>
          </w:tcPr>
          <w:p w14:paraId="4CF7F9DD" w14:textId="77777777" w:rsidR="00695334" w:rsidRPr="00D934A4" w:rsidRDefault="00695334" w:rsidP="00A61985">
            <w:pPr>
              <w:pStyle w:val="Tablelistbullet"/>
            </w:pPr>
            <w:r w:rsidRPr="00D934A4">
              <w:t>Resident expenses</w:t>
            </w:r>
          </w:p>
          <w:p w14:paraId="603965B4" w14:textId="77777777" w:rsidR="00695334" w:rsidRPr="00D934A4" w:rsidRDefault="00695334" w:rsidP="00A61985">
            <w:pPr>
              <w:pStyle w:val="Tablelistbullet"/>
            </w:pPr>
            <w:r w:rsidRPr="00D934A4">
              <w:t>Allied Health expenses</w:t>
            </w:r>
          </w:p>
          <w:p w14:paraId="14FFA31A" w14:textId="77777777" w:rsidR="00695334" w:rsidRPr="00D934A4" w:rsidRDefault="00695334" w:rsidP="00A61985">
            <w:pPr>
              <w:pStyle w:val="Tablelistbullet"/>
            </w:pPr>
            <w:r w:rsidRPr="00D934A4">
              <w:t>Allied Health Worked Hours</w:t>
            </w:r>
          </w:p>
          <w:p w14:paraId="2E20E7D3" w14:textId="77777777" w:rsidR="00695334" w:rsidRPr="00D934A4" w:rsidRDefault="00695334" w:rsidP="00A61985">
            <w:pPr>
              <w:pStyle w:val="Tablelistbullet"/>
            </w:pPr>
            <w:r w:rsidRPr="00D934A4">
              <w:t>Questions about the model in which food is prepared</w:t>
            </w:r>
          </w:p>
          <w:p w14:paraId="3F6A5927" w14:textId="77777777" w:rsidR="00695334" w:rsidRPr="00D934A4" w:rsidRDefault="00695334" w:rsidP="00A61985">
            <w:pPr>
              <w:pStyle w:val="Tablelistbullet"/>
            </w:pPr>
            <w:r w:rsidRPr="00D934A4">
              <w:t>Internal catering (on site and off site)</w:t>
            </w:r>
          </w:p>
          <w:p w14:paraId="6DEAFC4A" w14:textId="77777777" w:rsidR="00695334" w:rsidRPr="00D934A4" w:rsidRDefault="00695334" w:rsidP="00A61985">
            <w:pPr>
              <w:pStyle w:val="Tablelistbullet"/>
            </w:pPr>
            <w:r w:rsidRPr="00D934A4">
              <w:t>Contract catering (on site and off site)</w:t>
            </w:r>
          </w:p>
          <w:p w14:paraId="0A630A46" w14:textId="6ADD9BE4" w:rsidR="00695334" w:rsidRPr="00D934A4" w:rsidRDefault="00695334" w:rsidP="00A61985">
            <w:pPr>
              <w:pStyle w:val="Tablelistbullet"/>
            </w:pPr>
            <w:r w:rsidRPr="00D934A4">
              <w:t>Average daily spend (internal and contract catering)</w:t>
            </w:r>
          </w:p>
        </w:tc>
        <w:tc>
          <w:tcPr>
            <w:tcW w:w="4489" w:type="dxa"/>
            <w:tcBorders>
              <w:top w:val="single" w:sz="4" w:space="0" w:color="1E1545" w:themeColor="text1"/>
            </w:tcBorders>
            <w:shd w:val="clear" w:color="auto" w:fill="F1F2F2" w:themeFill="background1"/>
          </w:tcPr>
          <w:p w14:paraId="444520D4" w14:textId="77777777" w:rsidR="00695334" w:rsidRPr="00D934A4" w:rsidRDefault="008C4CF6" w:rsidP="002116E9">
            <w:pPr>
              <w:rPr>
                <w:rFonts w:cs="Arial"/>
                <w:sz w:val="22"/>
                <w:szCs w:val="22"/>
              </w:rPr>
            </w:pPr>
            <w:r w:rsidRPr="00D934A4">
              <w:rPr>
                <w:rFonts w:cs="Arial"/>
                <w:sz w:val="22"/>
                <w:szCs w:val="22"/>
              </w:rPr>
              <w:t>This data informs:</w:t>
            </w:r>
          </w:p>
          <w:p w14:paraId="148DE69D" w14:textId="1AD36619" w:rsidR="008C4CF6" w:rsidRPr="00A61985" w:rsidRDefault="008C4CF6" w:rsidP="00A61985">
            <w:pPr>
              <w:pStyle w:val="Tablelistbullet"/>
            </w:pPr>
            <w:r w:rsidRPr="00A61985">
              <w:t xml:space="preserve">Choice for Older Australians and their families by publishing food and nutrition data on the My Aged Care website </w:t>
            </w:r>
          </w:p>
        </w:tc>
      </w:tr>
    </w:tbl>
    <w:p w14:paraId="27099564" w14:textId="4009DEE0" w:rsidR="00911880" w:rsidRPr="00D934A4" w:rsidRDefault="00E67EE2" w:rsidP="00DA30A8">
      <w:pPr>
        <w:pStyle w:val="NewHeading2"/>
      </w:pPr>
      <w:r>
        <w:t>1.</w:t>
      </w:r>
      <w:r w:rsidR="00DB556E">
        <w:t>5</w:t>
      </w:r>
      <w:r>
        <w:t xml:space="preserve"> </w:t>
      </w:r>
      <w:r w:rsidR="00911880" w:rsidRPr="00D934A4">
        <w:t>Declaration</w:t>
      </w:r>
    </w:p>
    <w:p w14:paraId="35B4D633" w14:textId="77777777" w:rsidR="00911880" w:rsidRPr="00D934A4" w:rsidRDefault="00911880" w:rsidP="00911880">
      <w:pPr>
        <w:rPr>
          <w:rFonts w:cs="Arial"/>
        </w:rPr>
      </w:pPr>
      <w:r w:rsidRPr="00D934A4">
        <w:rPr>
          <w:rFonts w:cs="Arial"/>
        </w:rPr>
        <w:t xml:space="preserve">The QFR declaration will become available to download from the portal once all the required sections of the QFR have been successfully completed. </w:t>
      </w:r>
    </w:p>
    <w:p w14:paraId="758A3732" w14:textId="31EBA4E1" w:rsidR="00911880" w:rsidRPr="00B33A38" w:rsidRDefault="00911880" w:rsidP="00911880">
      <w:pPr>
        <w:rPr>
          <w:rFonts w:cs="Arial"/>
          <w:b/>
          <w:bCs/>
        </w:rPr>
      </w:pPr>
      <w:r w:rsidRPr="00B33A38">
        <w:rPr>
          <w:rFonts w:cs="Arial"/>
          <w:lang w:val="en-US"/>
        </w:rPr>
        <w:t xml:space="preserve">Subsection 166-340(5) of the </w:t>
      </w:r>
      <w:r w:rsidRPr="008E63A4">
        <w:rPr>
          <w:rFonts w:cs="Arial"/>
          <w:i/>
          <w:iCs/>
          <w:lang w:val="en-US"/>
        </w:rPr>
        <w:t>Aged Care Rules 2025</w:t>
      </w:r>
      <w:r>
        <w:rPr>
          <w:rFonts w:cs="Arial"/>
          <w:lang w:val="en-US"/>
        </w:rPr>
        <w:t xml:space="preserve"> requires that the quarterly financial report </w:t>
      </w:r>
      <w:r w:rsidRPr="00B33A38">
        <w:rPr>
          <w:rFonts w:cs="Arial"/>
          <w:lang w:val="en-US"/>
        </w:rPr>
        <w:t xml:space="preserve">be in the approved </w:t>
      </w:r>
      <w:r>
        <w:rPr>
          <w:rFonts w:cs="Arial"/>
          <w:lang w:val="en-US"/>
        </w:rPr>
        <w:t xml:space="preserve">report </w:t>
      </w:r>
      <w:r w:rsidRPr="00B33A38">
        <w:rPr>
          <w:rFonts w:cs="Arial"/>
          <w:lang w:val="en-US"/>
        </w:rPr>
        <w:t>form and signed by a member of the governing body of the registered provider.</w:t>
      </w:r>
      <w:r w:rsidRPr="00B33A38">
        <w:rPr>
          <w:rFonts w:cs="Arial"/>
          <w:b/>
          <w:bCs/>
        </w:rPr>
        <w:t> </w:t>
      </w:r>
    </w:p>
    <w:p w14:paraId="52745CBE" w14:textId="255D8006" w:rsidR="00911880" w:rsidRPr="00BB6BEA" w:rsidRDefault="00911880" w:rsidP="00911880">
      <w:r w:rsidRPr="00B33A38">
        <w:rPr>
          <w:rFonts w:cs="Arial"/>
          <w:lang w:val="en-US"/>
        </w:rPr>
        <w:t>Section 7 of the </w:t>
      </w:r>
      <w:r w:rsidRPr="00B33A38">
        <w:rPr>
          <w:rFonts w:cs="Arial"/>
          <w:i/>
          <w:iCs/>
          <w:lang w:val="en-US"/>
        </w:rPr>
        <w:t>Aged Care Act 2024</w:t>
      </w:r>
      <w:r w:rsidRPr="00B33A38">
        <w:rPr>
          <w:rFonts w:cs="Arial"/>
          <w:lang w:val="en-US"/>
        </w:rPr>
        <w:t> defines the governing body of a registered provider as:</w:t>
      </w:r>
    </w:p>
    <w:p w14:paraId="5516CE4C" w14:textId="71D1EB00" w:rsidR="00911880" w:rsidRPr="00B33A38" w:rsidRDefault="00911880" w:rsidP="00A61985">
      <w:pPr>
        <w:pStyle w:val="NormalIndent"/>
        <w:rPr>
          <w:b/>
          <w:bCs/>
        </w:rPr>
      </w:pPr>
      <w:r w:rsidRPr="00B33A38">
        <w:rPr>
          <w:lang w:val="en-US"/>
        </w:rPr>
        <w:t>(a) if the registered provider is a body corporate incorporated, or taken to be incorporated, under the </w:t>
      </w:r>
      <w:r w:rsidRPr="00B33A38">
        <w:rPr>
          <w:i/>
          <w:iCs/>
          <w:lang w:val="en-US"/>
        </w:rPr>
        <w:t>Corporations Act 2001</w:t>
      </w:r>
      <w:r w:rsidRPr="00B33A38">
        <w:rPr>
          <w:lang w:val="en-US"/>
        </w:rPr>
        <w:t>, that has a board of directors—the board of directors; or</w:t>
      </w:r>
    </w:p>
    <w:p w14:paraId="66F51B50" w14:textId="4266838F" w:rsidR="00911880" w:rsidRDefault="00911880" w:rsidP="00A61985">
      <w:pPr>
        <w:pStyle w:val="NormalIndent"/>
        <w:rPr>
          <w:b/>
          <w:bCs/>
        </w:rPr>
      </w:pPr>
      <w:r w:rsidRPr="00B33A38">
        <w:rPr>
          <w:lang w:val="en-US"/>
        </w:rPr>
        <w:t>(b) otherwise—the person or the group of persons responsible for the executive decisions of the registered provider.</w:t>
      </w:r>
      <w:r w:rsidR="005E3E91">
        <w:rPr>
          <w:lang w:val="en-US"/>
        </w:rPr>
        <w:t>*</w:t>
      </w:r>
    </w:p>
    <w:p w14:paraId="5E11872E" w14:textId="39973202" w:rsidR="00CA0475" w:rsidRPr="001C1AD4" w:rsidRDefault="00761588" w:rsidP="001C1AD4">
      <w:r w:rsidRPr="001C1AD4">
        <w:t xml:space="preserve">* </w:t>
      </w:r>
      <w:r w:rsidR="00272BDE" w:rsidRPr="001C1AD4">
        <w:t>G</w:t>
      </w:r>
      <w:r w:rsidR="00297DC7" w:rsidRPr="001C1AD4">
        <w:t>overnment providers</w:t>
      </w:r>
      <w:r w:rsidR="00272BDE" w:rsidRPr="001C1AD4">
        <w:t xml:space="preserve"> </w:t>
      </w:r>
      <w:r w:rsidR="00B100E8" w:rsidRPr="001C1AD4">
        <w:t xml:space="preserve">must have the QFR </w:t>
      </w:r>
      <w:r w:rsidR="008362EC" w:rsidRPr="001C1AD4">
        <w:t xml:space="preserve">declaration </w:t>
      </w:r>
      <w:r w:rsidR="00B100E8" w:rsidRPr="001C1AD4">
        <w:t xml:space="preserve">signed by </w:t>
      </w:r>
      <w:r w:rsidR="00103B85" w:rsidRPr="001C1AD4">
        <w:t xml:space="preserve">a person </w:t>
      </w:r>
      <w:r w:rsidR="008362EC" w:rsidRPr="001C1AD4">
        <w:t>responsible for the executive decisions of the registered provider</w:t>
      </w:r>
      <w:r w:rsidR="00CA0475" w:rsidRPr="001C1AD4">
        <w:t xml:space="preserve">, however the </w:t>
      </w:r>
      <w:r w:rsidR="008362EC" w:rsidRPr="001C1AD4">
        <w:t>person signing does not need to be listed as a Responsible Person in the GPMS Registered Provider Portal</w:t>
      </w:r>
      <w:r w:rsidR="00CA0475" w:rsidRPr="001C1AD4">
        <w:t xml:space="preserve">. </w:t>
      </w:r>
    </w:p>
    <w:p w14:paraId="6425C6DE" w14:textId="537F1F24" w:rsidR="00911880" w:rsidRPr="00D934A4" w:rsidRDefault="00911880" w:rsidP="00CA0475">
      <w:pPr>
        <w:rPr>
          <w:rFonts w:cs="Arial"/>
        </w:rPr>
      </w:pPr>
      <w:r w:rsidRPr="00D934A4">
        <w:rPr>
          <w:rFonts w:cs="Arial"/>
        </w:rPr>
        <w:t>To avoid delays in submitting the QFR, it is recommended that providers have at least two signatories available to ensure coverage in the event the regular signatory is not available.</w:t>
      </w:r>
    </w:p>
    <w:p w14:paraId="4BE22B42" w14:textId="65BE630B" w:rsidR="008C4CF6" w:rsidRPr="00D934A4" w:rsidRDefault="00E67EE2" w:rsidP="00E17575">
      <w:pPr>
        <w:pStyle w:val="NewHeading2"/>
      </w:pPr>
      <w:r>
        <w:t>1.</w:t>
      </w:r>
      <w:r w:rsidR="00DB556E">
        <w:t>6</w:t>
      </w:r>
      <w:r>
        <w:t xml:space="preserve"> </w:t>
      </w:r>
      <w:r w:rsidR="008C4CF6" w:rsidRPr="00D934A4">
        <w:t>Submission Due Dates</w:t>
      </w:r>
    </w:p>
    <w:p w14:paraId="7BA60894" w14:textId="4E13CD96" w:rsidR="005542A1" w:rsidRDefault="00120ACD" w:rsidP="008C4CF6">
      <w:pPr>
        <w:rPr>
          <w:rFonts w:cs="Arial"/>
        </w:rPr>
      </w:pPr>
      <w:r>
        <w:rPr>
          <w:rFonts w:cs="Arial"/>
        </w:rPr>
        <w:t>Subsection 166-340</w:t>
      </w:r>
      <w:r w:rsidR="007C42A7">
        <w:rPr>
          <w:rFonts w:cs="Arial"/>
        </w:rPr>
        <w:t xml:space="preserve">(7) of the </w:t>
      </w:r>
      <w:r w:rsidR="007C42A7" w:rsidRPr="00F9514F">
        <w:rPr>
          <w:rFonts w:cs="Arial"/>
          <w:i/>
          <w:iCs/>
        </w:rPr>
        <w:t>Aged Care Rules 2025</w:t>
      </w:r>
      <w:r w:rsidR="007C42A7">
        <w:rPr>
          <w:rFonts w:cs="Arial"/>
        </w:rPr>
        <w:t xml:space="preserve"> </w:t>
      </w:r>
      <w:r w:rsidR="009B5669">
        <w:rPr>
          <w:rFonts w:cs="Arial"/>
        </w:rPr>
        <w:t xml:space="preserve">sets out </w:t>
      </w:r>
      <w:r w:rsidR="00CD5967">
        <w:rPr>
          <w:rFonts w:cs="Arial"/>
        </w:rPr>
        <w:t>that QFRs are due</w:t>
      </w:r>
      <w:r w:rsidR="00F9514F">
        <w:rPr>
          <w:rFonts w:cs="Arial"/>
        </w:rPr>
        <w:t xml:space="preserve">: </w:t>
      </w:r>
    </w:p>
    <w:p w14:paraId="0A265A21" w14:textId="77777777" w:rsidR="00D65209" w:rsidRPr="00EB135B" w:rsidRDefault="008C4CF6" w:rsidP="00EB135B">
      <w:pPr>
        <w:pStyle w:val="ListBullet"/>
      </w:pPr>
      <w:r w:rsidRPr="00EB135B">
        <w:t>within 35 days after the end of each quarter</w:t>
      </w:r>
    </w:p>
    <w:p w14:paraId="6BC6A043" w14:textId="34A2F5AF" w:rsidR="002116E9" w:rsidRPr="00EB135B" w:rsidRDefault="00675261" w:rsidP="00EB135B">
      <w:pPr>
        <w:pStyle w:val="ListBullet"/>
      </w:pPr>
      <w:r w:rsidRPr="00EB135B">
        <w:t xml:space="preserve">within </w:t>
      </w:r>
      <w:r w:rsidR="008C4CF6" w:rsidRPr="00EB135B">
        <w:t xml:space="preserve">45 days </w:t>
      </w:r>
      <w:r w:rsidR="00D65209" w:rsidRPr="00EB135B">
        <w:t xml:space="preserve">after the end of </w:t>
      </w:r>
      <w:r w:rsidR="00752A92" w:rsidRPr="00EB135B">
        <w:t>the quarter ending 31 December (</w:t>
      </w:r>
      <w:r w:rsidR="00FD7932" w:rsidRPr="00EB135B">
        <w:t>Q</w:t>
      </w:r>
      <w:r w:rsidR="008C4CF6" w:rsidRPr="00EB135B">
        <w:t>uarter 2</w:t>
      </w:r>
      <w:r w:rsidR="00752A92" w:rsidRPr="00EB135B">
        <w:t>)</w:t>
      </w:r>
      <w:r w:rsidRPr="00EB135B">
        <w:t xml:space="preserve"> to</w:t>
      </w:r>
      <w:r w:rsidR="008C4CF6" w:rsidRPr="00EB135B">
        <w:t xml:space="preserve"> accommodate for the holiday period. </w:t>
      </w:r>
    </w:p>
    <w:p w14:paraId="420A7FA7" w14:textId="77777777" w:rsidR="00943B90" w:rsidRPr="00D934A4" w:rsidRDefault="00943B90" w:rsidP="00943B90">
      <w:pPr>
        <w:rPr>
          <w:rFonts w:cs="Arial"/>
        </w:rPr>
      </w:pPr>
      <w:r w:rsidRPr="00D934A4">
        <w:rPr>
          <w:rFonts w:cs="Arial"/>
        </w:rPr>
        <w:t>Providers are encouraged to complete and lodge their QFR early so that there is adequate time to address any issues and finalise all components of the QFR.</w:t>
      </w:r>
    </w:p>
    <w:p w14:paraId="1FDD7602" w14:textId="6E1401F4" w:rsidR="008C4CF6" w:rsidRDefault="008C4CF6" w:rsidP="008C4CF6">
      <w:pPr>
        <w:rPr>
          <w:rFonts w:cs="Arial"/>
        </w:rPr>
      </w:pPr>
      <w:r w:rsidRPr="00D934A4">
        <w:rPr>
          <w:rFonts w:cs="Arial"/>
        </w:rPr>
        <w:t>The dates of submissions are outlined in the table below:</w:t>
      </w:r>
    </w:p>
    <w:tbl>
      <w:tblPr>
        <w:tblStyle w:val="TableGrid"/>
        <w:tblW w:w="0" w:type="auto"/>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Look w:val="04A0" w:firstRow="1" w:lastRow="0" w:firstColumn="1" w:lastColumn="0" w:noHBand="0" w:noVBand="1"/>
      </w:tblPr>
      <w:tblGrid>
        <w:gridCol w:w="2264"/>
        <w:gridCol w:w="3541"/>
        <w:gridCol w:w="1985"/>
        <w:gridCol w:w="1270"/>
      </w:tblGrid>
      <w:tr w:rsidR="009E2D24" w:rsidRPr="00BB6BEA" w14:paraId="68C5378C" w14:textId="77777777" w:rsidTr="00BB6BEA">
        <w:trPr>
          <w:tblHeader/>
        </w:trPr>
        <w:tc>
          <w:tcPr>
            <w:tcW w:w="2265" w:type="dxa"/>
            <w:tcBorders>
              <w:right w:val="single" w:sz="4" w:space="0" w:color="FFFFFF"/>
            </w:tcBorders>
            <w:shd w:val="clear" w:color="auto" w:fill="1E1545" w:themeFill="text1"/>
            <w:vAlign w:val="center"/>
          </w:tcPr>
          <w:p w14:paraId="6C2FFF76" w14:textId="77777777" w:rsidR="009E2D24" w:rsidRPr="00BB6BEA" w:rsidRDefault="009E2D24" w:rsidP="00BB6BEA">
            <w:pPr>
              <w:pStyle w:val="TableHeaderWhite"/>
            </w:pPr>
            <w:r w:rsidRPr="00BB6BEA">
              <w:t>Quarter</w:t>
            </w:r>
          </w:p>
        </w:tc>
        <w:tc>
          <w:tcPr>
            <w:tcW w:w="3542" w:type="dxa"/>
            <w:tcBorders>
              <w:left w:val="single" w:sz="4" w:space="0" w:color="FFFFFF"/>
              <w:right w:val="single" w:sz="4" w:space="0" w:color="FFFFFF"/>
            </w:tcBorders>
            <w:shd w:val="clear" w:color="auto" w:fill="1E1545" w:themeFill="text1"/>
            <w:vAlign w:val="center"/>
          </w:tcPr>
          <w:p w14:paraId="086854EC" w14:textId="77777777" w:rsidR="009E2D24" w:rsidRPr="00BB6BEA" w:rsidRDefault="009E2D24" w:rsidP="00BB6BEA">
            <w:pPr>
              <w:pStyle w:val="TableHeaderWhite"/>
            </w:pPr>
            <w:r w:rsidRPr="00BB6BEA">
              <w:t>Reporting Period</w:t>
            </w:r>
          </w:p>
        </w:tc>
        <w:tc>
          <w:tcPr>
            <w:tcW w:w="1985" w:type="dxa"/>
            <w:tcBorders>
              <w:left w:val="single" w:sz="4" w:space="0" w:color="FFFFFF"/>
              <w:right w:val="single" w:sz="4" w:space="0" w:color="FFFFFF"/>
            </w:tcBorders>
            <w:shd w:val="clear" w:color="auto" w:fill="1E1545" w:themeFill="text1"/>
            <w:vAlign w:val="center"/>
          </w:tcPr>
          <w:p w14:paraId="258E8960" w14:textId="77777777" w:rsidR="009E2D24" w:rsidRPr="00BB6BEA" w:rsidRDefault="009E2D24" w:rsidP="00BB6BEA">
            <w:pPr>
              <w:pStyle w:val="TableHeaderWhite"/>
            </w:pPr>
            <w:r w:rsidRPr="00BB6BEA">
              <w:t>Date of Submission</w:t>
            </w:r>
          </w:p>
        </w:tc>
        <w:tc>
          <w:tcPr>
            <w:tcW w:w="1268" w:type="dxa"/>
            <w:tcBorders>
              <w:left w:val="single" w:sz="4" w:space="0" w:color="FFFFFF"/>
            </w:tcBorders>
            <w:shd w:val="clear" w:color="auto" w:fill="1E1545" w:themeFill="text1"/>
            <w:vAlign w:val="center"/>
          </w:tcPr>
          <w:p w14:paraId="6838DEB8" w14:textId="77777777" w:rsidR="009E2D24" w:rsidRPr="00BB6BEA" w:rsidRDefault="009E2D24" w:rsidP="00BB6BEA">
            <w:pPr>
              <w:pStyle w:val="TableHeaderWhite"/>
            </w:pPr>
            <w:r w:rsidRPr="00BB6BEA">
              <w:t># days to complete</w:t>
            </w:r>
          </w:p>
        </w:tc>
      </w:tr>
      <w:tr w:rsidR="009E2D24" w:rsidRPr="00D934A4" w14:paraId="4A47C4E0" w14:textId="77777777" w:rsidTr="00A44190">
        <w:tc>
          <w:tcPr>
            <w:tcW w:w="2265" w:type="dxa"/>
            <w:vAlign w:val="center"/>
          </w:tcPr>
          <w:p w14:paraId="70F0D59D" w14:textId="77777777" w:rsidR="009E2D24" w:rsidRPr="00D934A4" w:rsidRDefault="009E2D24" w:rsidP="00A44190">
            <w:pPr>
              <w:rPr>
                <w:rFonts w:cs="Arial"/>
                <w:sz w:val="20"/>
                <w:szCs w:val="20"/>
              </w:rPr>
            </w:pPr>
            <w:r w:rsidRPr="00D934A4">
              <w:rPr>
                <w:rFonts w:cs="Arial"/>
                <w:sz w:val="20"/>
                <w:szCs w:val="20"/>
              </w:rPr>
              <w:t>Quarter 1 (202</w:t>
            </w:r>
            <w:r>
              <w:rPr>
                <w:rFonts w:cs="Arial"/>
                <w:sz w:val="20"/>
                <w:szCs w:val="20"/>
              </w:rPr>
              <w:t>6</w:t>
            </w:r>
            <w:r w:rsidRPr="00D934A4">
              <w:rPr>
                <w:rFonts w:cs="Arial"/>
                <w:sz w:val="20"/>
                <w:szCs w:val="20"/>
              </w:rPr>
              <w:t>-2</w:t>
            </w:r>
            <w:r>
              <w:rPr>
                <w:rFonts w:cs="Arial"/>
                <w:sz w:val="20"/>
                <w:szCs w:val="20"/>
              </w:rPr>
              <w:t>7</w:t>
            </w:r>
            <w:r w:rsidRPr="00D934A4">
              <w:rPr>
                <w:rFonts w:cs="Arial"/>
                <w:sz w:val="20"/>
                <w:szCs w:val="20"/>
              </w:rPr>
              <w:t>) </w:t>
            </w:r>
          </w:p>
        </w:tc>
        <w:tc>
          <w:tcPr>
            <w:tcW w:w="3542" w:type="dxa"/>
            <w:vAlign w:val="center"/>
          </w:tcPr>
          <w:p w14:paraId="623FED7B" w14:textId="77777777" w:rsidR="009E2D24" w:rsidRPr="00D934A4" w:rsidRDefault="009E2D24" w:rsidP="00A44190">
            <w:pPr>
              <w:rPr>
                <w:rFonts w:cs="Arial"/>
                <w:sz w:val="20"/>
                <w:szCs w:val="20"/>
              </w:rPr>
            </w:pPr>
            <w:r w:rsidRPr="00D934A4">
              <w:rPr>
                <w:rFonts w:cs="Arial"/>
                <w:sz w:val="20"/>
                <w:szCs w:val="20"/>
              </w:rPr>
              <w:t>1 July 202</w:t>
            </w:r>
            <w:r>
              <w:rPr>
                <w:rFonts w:cs="Arial"/>
                <w:sz w:val="20"/>
                <w:szCs w:val="20"/>
              </w:rPr>
              <w:t>6</w:t>
            </w:r>
            <w:r w:rsidRPr="00D934A4">
              <w:rPr>
                <w:rFonts w:cs="Arial"/>
                <w:sz w:val="20"/>
                <w:szCs w:val="20"/>
              </w:rPr>
              <w:t xml:space="preserve"> to 30 September 202</w:t>
            </w:r>
            <w:r>
              <w:rPr>
                <w:rFonts w:cs="Arial"/>
                <w:sz w:val="20"/>
                <w:szCs w:val="20"/>
              </w:rPr>
              <w:t>6</w:t>
            </w:r>
            <w:r w:rsidRPr="00D934A4">
              <w:rPr>
                <w:rFonts w:cs="Arial"/>
                <w:sz w:val="20"/>
                <w:szCs w:val="20"/>
              </w:rPr>
              <w:t> </w:t>
            </w:r>
          </w:p>
        </w:tc>
        <w:tc>
          <w:tcPr>
            <w:tcW w:w="1985" w:type="dxa"/>
            <w:vAlign w:val="center"/>
          </w:tcPr>
          <w:p w14:paraId="498674DB" w14:textId="77777777" w:rsidR="009E2D24" w:rsidRPr="00D934A4" w:rsidRDefault="009E2D24" w:rsidP="00A44190">
            <w:pPr>
              <w:rPr>
                <w:rFonts w:cs="Arial"/>
                <w:sz w:val="20"/>
                <w:szCs w:val="20"/>
              </w:rPr>
            </w:pPr>
            <w:r w:rsidRPr="00D934A4">
              <w:rPr>
                <w:rFonts w:cs="Arial"/>
                <w:sz w:val="20"/>
                <w:szCs w:val="20"/>
              </w:rPr>
              <w:t>4 November 202</w:t>
            </w:r>
            <w:r>
              <w:rPr>
                <w:rFonts w:cs="Arial"/>
                <w:sz w:val="20"/>
                <w:szCs w:val="20"/>
              </w:rPr>
              <w:t>6</w:t>
            </w:r>
            <w:r w:rsidRPr="00D934A4">
              <w:rPr>
                <w:rFonts w:cs="Arial"/>
                <w:sz w:val="20"/>
                <w:szCs w:val="20"/>
              </w:rPr>
              <w:t> </w:t>
            </w:r>
          </w:p>
        </w:tc>
        <w:tc>
          <w:tcPr>
            <w:tcW w:w="1268" w:type="dxa"/>
            <w:vAlign w:val="center"/>
          </w:tcPr>
          <w:p w14:paraId="463DC1FC" w14:textId="77777777" w:rsidR="009E2D24" w:rsidRPr="00D934A4" w:rsidRDefault="009E2D24" w:rsidP="00A44190">
            <w:pPr>
              <w:rPr>
                <w:rFonts w:cs="Arial"/>
                <w:sz w:val="20"/>
                <w:szCs w:val="20"/>
              </w:rPr>
            </w:pPr>
            <w:r w:rsidRPr="00D934A4">
              <w:rPr>
                <w:rFonts w:cs="Arial"/>
                <w:sz w:val="20"/>
                <w:szCs w:val="20"/>
              </w:rPr>
              <w:t>35 days </w:t>
            </w:r>
          </w:p>
        </w:tc>
      </w:tr>
      <w:tr w:rsidR="009E2D24" w:rsidRPr="00D934A4" w14:paraId="38DACD8F" w14:textId="77777777" w:rsidTr="00A44190">
        <w:tc>
          <w:tcPr>
            <w:tcW w:w="2265" w:type="dxa"/>
            <w:shd w:val="clear" w:color="auto" w:fill="F1F2F2" w:themeFill="background2"/>
            <w:vAlign w:val="center"/>
          </w:tcPr>
          <w:p w14:paraId="3E58A788" w14:textId="77777777" w:rsidR="009E2D24" w:rsidRPr="00D934A4" w:rsidRDefault="009E2D24" w:rsidP="00A44190">
            <w:pPr>
              <w:rPr>
                <w:rFonts w:cs="Arial"/>
                <w:sz w:val="20"/>
                <w:szCs w:val="20"/>
              </w:rPr>
            </w:pPr>
            <w:r w:rsidRPr="00D934A4">
              <w:rPr>
                <w:rFonts w:cs="Arial"/>
                <w:sz w:val="20"/>
                <w:szCs w:val="20"/>
              </w:rPr>
              <w:t>Quarter 2 (202</w:t>
            </w:r>
            <w:r>
              <w:rPr>
                <w:rFonts w:cs="Arial"/>
                <w:sz w:val="20"/>
                <w:szCs w:val="20"/>
              </w:rPr>
              <w:t>6</w:t>
            </w:r>
            <w:r w:rsidRPr="00D934A4">
              <w:rPr>
                <w:rFonts w:cs="Arial"/>
                <w:sz w:val="20"/>
                <w:szCs w:val="20"/>
              </w:rPr>
              <w:t>-2</w:t>
            </w:r>
            <w:r>
              <w:rPr>
                <w:rFonts w:cs="Arial"/>
                <w:sz w:val="20"/>
                <w:szCs w:val="20"/>
              </w:rPr>
              <w:t>7</w:t>
            </w:r>
            <w:r w:rsidRPr="00D934A4">
              <w:rPr>
                <w:rFonts w:cs="Arial"/>
                <w:sz w:val="20"/>
                <w:szCs w:val="20"/>
              </w:rPr>
              <w:t>) </w:t>
            </w:r>
          </w:p>
        </w:tc>
        <w:tc>
          <w:tcPr>
            <w:tcW w:w="3542" w:type="dxa"/>
            <w:shd w:val="clear" w:color="auto" w:fill="F1F2F2" w:themeFill="background2"/>
            <w:vAlign w:val="center"/>
          </w:tcPr>
          <w:p w14:paraId="6A1FE44B" w14:textId="77777777" w:rsidR="009E2D24" w:rsidRPr="00D934A4" w:rsidRDefault="009E2D24" w:rsidP="00A44190">
            <w:pPr>
              <w:rPr>
                <w:rFonts w:cs="Arial"/>
                <w:sz w:val="20"/>
                <w:szCs w:val="20"/>
              </w:rPr>
            </w:pPr>
            <w:r w:rsidRPr="00D934A4">
              <w:rPr>
                <w:rFonts w:cs="Arial"/>
                <w:sz w:val="20"/>
                <w:szCs w:val="20"/>
              </w:rPr>
              <w:t>1 October 202</w:t>
            </w:r>
            <w:r>
              <w:rPr>
                <w:rFonts w:cs="Arial"/>
                <w:sz w:val="20"/>
                <w:szCs w:val="20"/>
              </w:rPr>
              <w:t>6</w:t>
            </w:r>
            <w:r w:rsidRPr="00D934A4">
              <w:rPr>
                <w:rFonts w:cs="Arial"/>
                <w:sz w:val="20"/>
                <w:szCs w:val="20"/>
              </w:rPr>
              <w:t xml:space="preserve"> to 31 December 202</w:t>
            </w:r>
            <w:r>
              <w:rPr>
                <w:rFonts w:cs="Arial"/>
                <w:sz w:val="20"/>
                <w:szCs w:val="20"/>
              </w:rPr>
              <w:t>6</w:t>
            </w:r>
          </w:p>
        </w:tc>
        <w:tc>
          <w:tcPr>
            <w:tcW w:w="1985" w:type="dxa"/>
            <w:shd w:val="clear" w:color="auto" w:fill="F1F2F2" w:themeFill="background2"/>
            <w:vAlign w:val="center"/>
          </w:tcPr>
          <w:p w14:paraId="648613EB" w14:textId="77777777" w:rsidR="009E2D24" w:rsidRPr="00D934A4" w:rsidRDefault="009E2D24" w:rsidP="00A44190">
            <w:pPr>
              <w:rPr>
                <w:rFonts w:cs="Arial"/>
                <w:sz w:val="20"/>
                <w:szCs w:val="20"/>
              </w:rPr>
            </w:pPr>
            <w:r w:rsidRPr="00D934A4">
              <w:rPr>
                <w:rFonts w:cs="Arial"/>
                <w:sz w:val="20"/>
                <w:szCs w:val="20"/>
              </w:rPr>
              <w:t>14 February 202</w:t>
            </w:r>
            <w:r>
              <w:rPr>
                <w:rFonts w:cs="Arial"/>
                <w:sz w:val="20"/>
                <w:szCs w:val="20"/>
              </w:rPr>
              <w:t>7</w:t>
            </w:r>
            <w:r w:rsidRPr="00D934A4">
              <w:rPr>
                <w:rFonts w:cs="Arial"/>
                <w:sz w:val="20"/>
                <w:szCs w:val="20"/>
              </w:rPr>
              <w:t> </w:t>
            </w:r>
          </w:p>
        </w:tc>
        <w:tc>
          <w:tcPr>
            <w:tcW w:w="1268" w:type="dxa"/>
            <w:shd w:val="clear" w:color="auto" w:fill="F1F2F2" w:themeFill="background2"/>
            <w:vAlign w:val="center"/>
          </w:tcPr>
          <w:p w14:paraId="06B7162F" w14:textId="77777777" w:rsidR="009E2D24" w:rsidRPr="00D934A4" w:rsidRDefault="009E2D24" w:rsidP="00A44190">
            <w:pPr>
              <w:rPr>
                <w:rFonts w:cs="Arial"/>
                <w:sz w:val="20"/>
                <w:szCs w:val="20"/>
              </w:rPr>
            </w:pPr>
            <w:r w:rsidRPr="00D934A4">
              <w:rPr>
                <w:rFonts w:cs="Arial"/>
                <w:sz w:val="20"/>
                <w:szCs w:val="20"/>
              </w:rPr>
              <w:t>45 days </w:t>
            </w:r>
          </w:p>
        </w:tc>
      </w:tr>
      <w:tr w:rsidR="009E2D24" w:rsidRPr="00D934A4" w14:paraId="49D7634D" w14:textId="77777777" w:rsidTr="00A44190">
        <w:tc>
          <w:tcPr>
            <w:tcW w:w="2265" w:type="dxa"/>
            <w:vAlign w:val="center"/>
          </w:tcPr>
          <w:p w14:paraId="3D0CC18A" w14:textId="77777777" w:rsidR="009E2D24" w:rsidRPr="00D934A4" w:rsidRDefault="009E2D24" w:rsidP="00A44190">
            <w:pPr>
              <w:rPr>
                <w:rFonts w:cs="Arial"/>
                <w:sz w:val="20"/>
                <w:szCs w:val="20"/>
              </w:rPr>
            </w:pPr>
            <w:r w:rsidRPr="00D934A4">
              <w:rPr>
                <w:rFonts w:cs="Arial"/>
                <w:sz w:val="20"/>
                <w:szCs w:val="20"/>
              </w:rPr>
              <w:t>Quarter 3 (202</w:t>
            </w:r>
            <w:r>
              <w:rPr>
                <w:rFonts w:cs="Arial"/>
                <w:sz w:val="20"/>
                <w:szCs w:val="20"/>
              </w:rPr>
              <w:t>6</w:t>
            </w:r>
            <w:r w:rsidRPr="00D934A4">
              <w:rPr>
                <w:rFonts w:cs="Arial"/>
                <w:sz w:val="20"/>
                <w:szCs w:val="20"/>
              </w:rPr>
              <w:t>-2</w:t>
            </w:r>
            <w:r>
              <w:rPr>
                <w:rFonts w:cs="Arial"/>
                <w:sz w:val="20"/>
                <w:szCs w:val="20"/>
              </w:rPr>
              <w:t>7</w:t>
            </w:r>
            <w:r w:rsidRPr="00D934A4">
              <w:rPr>
                <w:rFonts w:cs="Arial"/>
                <w:sz w:val="20"/>
                <w:szCs w:val="20"/>
              </w:rPr>
              <w:t>) </w:t>
            </w:r>
          </w:p>
        </w:tc>
        <w:tc>
          <w:tcPr>
            <w:tcW w:w="3542" w:type="dxa"/>
            <w:vAlign w:val="center"/>
          </w:tcPr>
          <w:p w14:paraId="2D6995C3" w14:textId="77777777" w:rsidR="009E2D24" w:rsidRPr="00D934A4" w:rsidRDefault="009E2D24" w:rsidP="00A44190">
            <w:pPr>
              <w:rPr>
                <w:rFonts w:cs="Arial"/>
                <w:sz w:val="20"/>
                <w:szCs w:val="20"/>
              </w:rPr>
            </w:pPr>
            <w:r w:rsidRPr="00D934A4">
              <w:rPr>
                <w:rFonts w:cs="Arial"/>
                <w:sz w:val="20"/>
                <w:szCs w:val="20"/>
              </w:rPr>
              <w:t>1 January 202</w:t>
            </w:r>
            <w:r>
              <w:rPr>
                <w:rFonts w:cs="Arial"/>
                <w:sz w:val="20"/>
                <w:szCs w:val="20"/>
              </w:rPr>
              <w:t>7</w:t>
            </w:r>
            <w:r w:rsidRPr="00D934A4">
              <w:rPr>
                <w:rFonts w:cs="Arial"/>
                <w:sz w:val="20"/>
                <w:szCs w:val="20"/>
              </w:rPr>
              <w:t xml:space="preserve"> to 31 March 202</w:t>
            </w:r>
            <w:r>
              <w:rPr>
                <w:rFonts w:cs="Arial"/>
                <w:sz w:val="20"/>
                <w:szCs w:val="20"/>
              </w:rPr>
              <w:t>7</w:t>
            </w:r>
            <w:r w:rsidRPr="00D934A4">
              <w:rPr>
                <w:rFonts w:cs="Arial"/>
                <w:sz w:val="20"/>
                <w:szCs w:val="20"/>
              </w:rPr>
              <w:t> </w:t>
            </w:r>
          </w:p>
        </w:tc>
        <w:tc>
          <w:tcPr>
            <w:tcW w:w="1985" w:type="dxa"/>
            <w:vAlign w:val="center"/>
          </w:tcPr>
          <w:p w14:paraId="46A33062" w14:textId="77777777" w:rsidR="009E2D24" w:rsidRPr="00D934A4" w:rsidRDefault="009E2D24" w:rsidP="00A44190">
            <w:pPr>
              <w:rPr>
                <w:rFonts w:cs="Arial"/>
                <w:sz w:val="20"/>
                <w:szCs w:val="20"/>
              </w:rPr>
            </w:pPr>
            <w:r w:rsidRPr="00D934A4">
              <w:rPr>
                <w:rFonts w:cs="Arial"/>
                <w:sz w:val="20"/>
                <w:szCs w:val="20"/>
              </w:rPr>
              <w:t>5 May 202</w:t>
            </w:r>
            <w:r>
              <w:rPr>
                <w:rFonts w:cs="Arial"/>
                <w:sz w:val="20"/>
                <w:szCs w:val="20"/>
              </w:rPr>
              <w:t>7</w:t>
            </w:r>
            <w:r w:rsidRPr="00D934A4">
              <w:rPr>
                <w:rFonts w:cs="Arial"/>
                <w:sz w:val="20"/>
                <w:szCs w:val="20"/>
              </w:rPr>
              <w:t>  </w:t>
            </w:r>
          </w:p>
        </w:tc>
        <w:tc>
          <w:tcPr>
            <w:tcW w:w="1268" w:type="dxa"/>
            <w:vAlign w:val="center"/>
          </w:tcPr>
          <w:p w14:paraId="7D83F192" w14:textId="77777777" w:rsidR="009E2D24" w:rsidRPr="00D934A4" w:rsidRDefault="009E2D24" w:rsidP="00A44190">
            <w:pPr>
              <w:rPr>
                <w:rFonts w:cs="Arial"/>
                <w:sz w:val="20"/>
                <w:szCs w:val="20"/>
              </w:rPr>
            </w:pPr>
            <w:r w:rsidRPr="00D934A4">
              <w:rPr>
                <w:rFonts w:cs="Arial"/>
                <w:sz w:val="20"/>
                <w:szCs w:val="20"/>
              </w:rPr>
              <w:t>35 days  </w:t>
            </w:r>
          </w:p>
        </w:tc>
      </w:tr>
      <w:tr w:rsidR="009E2D24" w:rsidRPr="00D934A4" w14:paraId="57381B4D" w14:textId="77777777" w:rsidTr="00A44190">
        <w:tc>
          <w:tcPr>
            <w:tcW w:w="2265" w:type="dxa"/>
            <w:shd w:val="clear" w:color="auto" w:fill="F1F2F2" w:themeFill="background2"/>
            <w:vAlign w:val="center"/>
          </w:tcPr>
          <w:p w14:paraId="67096526" w14:textId="77777777" w:rsidR="009E2D24" w:rsidRPr="00D934A4" w:rsidRDefault="009E2D24" w:rsidP="00A44190">
            <w:pPr>
              <w:rPr>
                <w:rFonts w:cs="Arial"/>
                <w:sz w:val="20"/>
                <w:szCs w:val="20"/>
              </w:rPr>
            </w:pPr>
            <w:r w:rsidRPr="00D934A4">
              <w:rPr>
                <w:rFonts w:cs="Arial"/>
                <w:sz w:val="20"/>
                <w:szCs w:val="20"/>
              </w:rPr>
              <w:t>Quarter 4 (202</w:t>
            </w:r>
            <w:r>
              <w:rPr>
                <w:rFonts w:cs="Arial"/>
                <w:sz w:val="20"/>
                <w:szCs w:val="20"/>
              </w:rPr>
              <w:t>6</w:t>
            </w:r>
            <w:r w:rsidRPr="00D934A4">
              <w:rPr>
                <w:rFonts w:cs="Arial"/>
                <w:sz w:val="20"/>
                <w:szCs w:val="20"/>
              </w:rPr>
              <w:t>-2</w:t>
            </w:r>
            <w:r>
              <w:rPr>
                <w:rFonts w:cs="Arial"/>
                <w:sz w:val="20"/>
                <w:szCs w:val="20"/>
              </w:rPr>
              <w:t>7</w:t>
            </w:r>
            <w:r w:rsidRPr="00D934A4">
              <w:rPr>
                <w:rFonts w:cs="Arial"/>
                <w:sz w:val="20"/>
                <w:szCs w:val="20"/>
              </w:rPr>
              <w:t>) </w:t>
            </w:r>
          </w:p>
        </w:tc>
        <w:tc>
          <w:tcPr>
            <w:tcW w:w="3542" w:type="dxa"/>
            <w:shd w:val="clear" w:color="auto" w:fill="F1F2F2" w:themeFill="background2"/>
            <w:vAlign w:val="center"/>
          </w:tcPr>
          <w:p w14:paraId="6E7A5D63" w14:textId="77777777" w:rsidR="009E2D24" w:rsidRPr="00D934A4" w:rsidRDefault="009E2D24" w:rsidP="00A44190">
            <w:pPr>
              <w:rPr>
                <w:rFonts w:cs="Arial"/>
                <w:sz w:val="20"/>
                <w:szCs w:val="20"/>
              </w:rPr>
            </w:pPr>
            <w:r w:rsidRPr="00D934A4">
              <w:rPr>
                <w:rFonts w:cs="Arial"/>
                <w:sz w:val="20"/>
                <w:szCs w:val="20"/>
              </w:rPr>
              <w:t>1 April 202</w:t>
            </w:r>
            <w:r>
              <w:rPr>
                <w:rFonts w:cs="Arial"/>
                <w:sz w:val="20"/>
                <w:szCs w:val="20"/>
              </w:rPr>
              <w:t>7</w:t>
            </w:r>
            <w:r w:rsidRPr="00D934A4">
              <w:rPr>
                <w:rFonts w:cs="Arial"/>
                <w:sz w:val="20"/>
                <w:szCs w:val="20"/>
              </w:rPr>
              <w:t xml:space="preserve"> to 30 June 202</w:t>
            </w:r>
            <w:r>
              <w:rPr>
                <w:rFonts w:cs="Arial"/>
                <w:sz w:val="20"/>
                <w:szCs w:val="20"/>
              </w:rPr>
              <w:t>7</w:t>
            </w:r>
            <w:r w:rsidRPr="00D934A4">
              <w:rPr>
                <w:rFonts w:cs="Arial"/>
                <w:sz w:val="20"/>
                <w:szCs w:val="20"/>
              </w:rPr>
              <w:t> </w:t>
            </w:r>
          </w:p>
        </w:tc>
        <w:tc>
          <w:tcPr>
            <w:tcW w:w="1985" w:type="dxa"/>
            <w:shd w:val="clear" w:color="auto" w:fill="F1F2F2" w:themeFill="background2"/>
            <w:vAlign w:val="center"/>
          </w:tcPr>
          <w:p w14:paraId="675D7F19" w14:textId="77777777" w:rsidR="009E2D24" w:rsidRPr="00D934A4" w:rsidRDefault="009E2D24" w:rsidP="00A44190">
            <w:pPr>
              <w:rPr>
                <w:rFonts w:cs="Arial"/>
                <w:sz w:val="20"/>
                <w:szCs w:val="20"/>
              </w:rPr>
            </w:pPr>
            <w:r w:rsidRPr="00D934A4">
              <w:rPr>
                <w:rFonts w:cs="Arial"/>
                <w:sz w:val="20"/>
                <w:szCs w:val="20"/>
              </w:rPr>
              <w:t>4 August 202</w:t>
            </w:r>
            <w:r>
              <w:rPr>
                <w:rFonts w:cs="Arial"/>
                <w:sz w:val="20"/>
                <w:szCs w:val="20"/>
              </w:rPr>
              <w:t>7</w:t>
            </w:r>
            <w:r w:rsidRPr="00D934A4">
              <w:rPr>
                <w:rFonts w:cs="Arial"/>
                <w:sz w:val="20"/>
                <w:szCs w:val="20"/>
              </w:rPr>
              <w:t>  </w:t>
            </w:r>
          </w:p>
        </w:tc>
        <w:tc>
          <w:tcPr>
            <w:tcW w:w="1268" w:type="dxa"/>
            <w:shd w:val="clear" w:color="auto" w:fill="F1F2F2" w:themeFill="background2"/>
            <w:vAlign w:val="center"/>
          </w:tcPr>
          <w:p w14:paraId="08E1BDB9" w14:textId="77777777" w:rsidR="009E2D24" w:rsidRPr="00D934A4" w:rsidRDefault="009E2D24" w:rsidP="00A44190">
            <w:pPr>
              <w:rPr>
                <w:rFonts w:cs="Arial"/>
                <w:sz w:val="20"/>
                <w:szCs w:val="20"/>
              </w:rPr>
            </w:pPr>
            <w:r w:rsidRPr="00D934A4">
              <w:rPr>
                <w:rFonts w:cs="Arial"/>
                <w:sz w:val="20"/>
                <w:szCs w:val="20"/>
              </w:rPr>
              <w:t>35 days </w:t>
            </w:r>
          </w:p>
        </w:tc>
      </w:tr>
    </w:tbl>
    <w:p w14:paraId="4D73326E" w14:textId="766D1052" w:rsidR="00277C8D" w:rsidRPr="00D934A4" w:rsidRDefault="00E67EE2" w:rsidP="00E17575">
      <w:pPr>
        <w:pStyle w:val="NewHeading2"/>
      </w:pPr>
      <w:r>
        <w:t>1.</w:t>
      </w:r>
      <w:r w:rsidR="00DB556E">
        <w:t>7</w:t>
      </w:r>
      <w:r>
        <w:t xml:space="preserve"> </w:t>
      </w:r>
      <w:r w:rsidR="00277C8D" w:rsidRPr="00D934A4">
        <w:t>Late Submissions</w:t>
      </w:r>
    </w:p>
    <w:p w14:paraId="4D2BD185" w14:textId="132B0220" w:rsidR="00277C8D" w:rsidRPr="00D934A4" w:rsidRDefault="00277C8D" w:rsidP="008C4CF6">
      <w:pPr>
        <w:rPr>
          <w:rFonts w:cs="Arial"/>
        </w:rPr>
      </w:pPr>
      <w:r w:rsidRPr="00D934A4">
        <w:rPr>
          <w:rFonts w:cs="Arial"/>
        </w:rPr>
        <w:t xml:space="preserve">There is no legislative authority to grant an extension to the due dates. </w:t>
      </w:r>
    </w:p>
    <w:p w14:paraId="57392CF3" w14:textId="0A969A86" w:rsidR="00277C8D" w:rsidRPr="00D934A4" w:rsidRDefault="00277C8D" w:rsidP="008C4CF6">
      <w:pPr>
        <w:rPr>
          <w:rFonts w:cs="Arial"/>
        </w:rPr>
      </w:pPr>
      <w:r w:rsidRPr="00D934A4">
        <w:rPr>
          <w:rFonts w:cs="Arial"/>
        </w:rPr>
        <w:t xml:space="preserve">The </w:t>
      </w:r>
      <w:r w:rsidR="00AA37B1" w:rsidRPr="00D934A4">
        <w:rPr>
          <w:rFonts w:cs="Arial"/>
        </w:rPr>
        <w:t>Aged Care Quality and Safety Commission (</w:t>
      </w:r>
      <w:r w:rsidRPr="00D934A4">
        <w:rPr>
          <w:rFonts w:cs="Arial"/>
        </w:rPr>
        <w:t>ACQSC</w:t>
      </w:r>
      <w:r w:rsidR="00AA37B1" w:rsidRPr="00D934A4">
        <w:rPr>
          <w:rFonts w:cs="Arial"/>
        </w:rPr>
        <w:t>)</w:t>
      </w:r>
      <w:r w:rsidRPr="00D934A4">
        <w:rPr>
          <w:rFonts w:cs="Arial"/>
        </w:rPr>
        <w:t xml:space="preserve"> monitors compliance with lodgement timeframes. They may take formal compliance action where other regulatory approaches, such as reminders and cautioning of providers, does not result in timely lodgement. </w:t>
      </w:r>
    </w:p>
    <w:p w14:paraId="6CA70ED2" w14:textId="77777777" w:rsidR="00AD5BF7" w:rsidRPr="00D934A4" w:rsidRDefault="00AD5BF7" w:rsidP="00AD5BF7">
      <w:pPr>
        <w:rPr>
          <w:rFonts w:cs="Arial"/>
        </w:rPr>
      </w:pPr>
      <w:r w:rsidRPr="00D934A4">
        <w:rPr>
          <w:rFonts w:cs="Arial"/>
        </w:rPr>
        <w:t>Submissions after the due date may not be included in Star Ratings. This is likely to result in the system applying ‘no’ rating and will display ‘No rating available’. This could also result in a</w:t>
      </w:r>
      <w:r>
        <w:rPr>
          <w:rFonts w:cs="Arial"/>
        </w:rPr>
        <w:t>n</w:t>
      </w:r>
      <w:r w:rsidRPr="00D934A4">
        <w:rPr>
          <w:rFonts w:cs="Arial"/>
        </w:rPr>
        <w:t xml:space="preserve"> </w:t>
      </w:r>
      <w:r>
        <w:rPr>
          <w:rFonts w:cs="Arial"/>
        </w:rPr>
        <w:t xml:space="preserve">approved residential care home </w:t>
      </w:r>
      <w:r w:rsidRPr="00D934A4">
        <w:rPr>
          <w:rFonts w:cs="Arial"/>
        </w:rPr>
        <w:t>having no Overall Star Rating.</w:t>
      </w:r>
    </w:p>
    <w:p w14:paraId="5A62CE77" w14:textId="493CAE01" w:rsidR="00277C8D" w:rsidRPr="00D934A4" w:rsidRDefault="00E67EE2" w:rsidP="00E17575">
      <w:pPr>
        <w:pStyle w:val="NewHeading2"/>
      </w:pPr>
      <w:r>
        <w:t>1.</w:t>
      </w:r>
      <w:r w:rsidR="00DB556E">
        <w:t>8</w:t>
      </w:r>
      <w:r>
        <w:t xml:space="preserve"> </w:t>
      </w:r>
      <w:r w:rsidR="00277C8D" w:rsidRPr="00D934A4">
        <w:t xml:space="preserve">Non-compliance with reporting obligations </w:t>
      </w:r>
    </w:p>
    <w:p w14:paraId="3258F954" w14:textId="3C698CCA" w:rsidR="00277C8D" w:rsidRPr="00D934A4" w:rsidRDefault="00277C8D" w:rsidP="00277C8D">
      <w:pPr>
        <w:rPr>
          <w:rFonts w:cs="Arial"/>
        </w:rPr>
      </w:pPr>
      <w:r w:rsidRPr="00D934A4">
        <w:rPr>
          <w:rFonts w:cs="Arial"/>
        </w:rPr>
        <w:t>Where a provider fails to meet reporting obligations, the ACQSC will consider a range of regulatory actions. Depending on the nature and extent of the non-compliance, this may involve engaging with a provider via telephone/email, issuing a notice requiring the production of information, or taking enforceable regulatory action. </w:t>
      </w:r>
    </w:p>
    <w:p w14:paraId="1A61CD75" w14:textId="42804916" w:rsidR="00277C8D" w:rsidRPr="00D934A4" w:rsidRDefault="00277C8D" w:rsidP="00277C8D">
      <w:pPr>
        <w:rPr>
          <w:rFonts w:cs="Arial"/>
        </w:rPr>
      </w:pPr>
      <w:r w:rsidRPr="00D934A4">
        <w:rPr>
          <w:rFonts w:cs="Arial"/>
        </w:rPr>
        <w:t>The ACQSC maintains records of providers’ compliance with reporting requirements. This is considered in conjunction with other performance information, including quality of care, to determine the provider’s overall risk profile and inform the ACQSC’s response to the non-compliance issue(s). The approach taken will be proportionate and risk based. </w:t>
      </w:r>
    </w:p>
    <w:p w14:paraId="3513AEFD" w14:textId="77777777" w:rsidR="00277C8D" w:rsidRPr="00D934A4" w:rsidRDefault="00277C8D" w:rsidP="00277C8D">
      <w:pPr>
        <w:rPr>
          <w:rFonts w:cs="Arial"/>
        </w:rPr>
      </w:pPr>
      <w:r w:rsidRPr="00D934A4">
        <w:rPr>
          <w:rFonts w:cs="Arial"/>
        </w:rPr>
        <w:t>The ACQSC considers factors such as: </w:t>
      </w:r>
    </w:p>
    <w:p w14:paraId="4F2CDD33" w14:textId="4C3D26AA" w:rsidR="00277C8D" w:rsidRPr="00D934A4" w:rsidRDefault="00277C8D" w:rsidP="00BB6BEA">
      <w:pPr>
        <w:pStyle w:val="ListBullet"/>
      </w:pPr>
      <w:r w:rsidRPr="00D934A4">
        <w:t>the frequency and tim</w:t>
      </w:r>
      <w:r w:rsidR="00D2646A" w:rsidRPr="00D934A4">
        <w:t>ing</w:t>
      </w:r>
      <w:r w:rsidRPr="00D934A4">
        <w:t xml:space="preserve"> of the non-reporting </w:t>
      </w:r>
    </w:p>
    <w:p w14:paraId="072EDDB3" w14:textId="77777777" w:rsidR="00277C8D" w:rsidRPr="00D934A4" w:rsidRDefault="00277C8D" w:rsidP="00BB6BEA">
      <w:pPr>
        <w:pStyle w:val="ListBullet"/>
      </w:pPr>
      <w:r w:rsidRPr="00D934A4">
        <w:t>the consequences of the non-reporting  </w:t>
      </w:r>
    </w:p>
    <w:p w14:paraId="2BFBCC48" w14:textId="77777777" w:rsidR="00277C8D" w:rsidRPr="00D934A4" w:rsidRDefault="00277C8D" w:rsidP="00BB6BEA">
      <w:pPr>
        <w:pStyle w:val="ListBullet"/>
      </w:pPr>
      <w:r w:rsidRPr="00D934A4">
        <w:t>whether the provider has advised the ACQSC or the department (where relevant) of the reporting delay, provided a reasonable explanation for the delay and has a reasonable plan to comply with the requirement and ensure ongoing compliance. </w:t>
      </w:r>
    </w:p>
    <w:p w14:paraId="2CFC7613" w14:textId="79769D69" w:rsidR="009D392C" w:rsidRPr="00D934A4" w:rsidRDefault="00E67EE2" w:rsidP="00E17575">
      <w:pPr>
        <w:pStyle w:val="NewHeading2"/>
      </w:pPr>
      <w:r>
        <w:t>1.</w:t>
      </w:r>
      <w:r w:rsidR="00DB556E">
        <w:t>9</w:t>
      </w:r>
      <w:r>
        <w:t xml:space="preserve"> </w:t>
      </w:r>
      <w:r w:rsidR="009D392C" w:rsidRPr="00D934A4">
        <w:t>Completing the QFR</w:t>
      </w:r>
    </w:p>
    <w:p w14:paraId="6504BBEE" w14:textId="632A6DC4" w:rsidR="00995997" w:rsidRDefault="00995997" w:rsidP="00995997">
      <w:pPr>
        <w:rPr>
          <w:rFonts w:cs="Arial"/>
        </w:rPr>
      </w:pPr>
      <w:r>
        <w:rPr>
          <w:rFonts w:cs="Arial"/>
        </w:rPr>
        <w:t>The QFR is completed in the Government Provider Management System (GPMS).</w:t>
      </w:r>
    </w:p>
    <w:p w14:paraId="02C52487" w14:textId="43A34577" w:rsidR="009D392C" w:rsidRDefault="009D392C" w:rsidP="009D392C">
      <w:pPr>
        <w:numPr>
          <w:ilvl w:val="0"/>
          <w:numId w:val="16"/>
        </w:numPr>
        <w:rPr>
          <w:rFonts w:cs="Arial"/>
        </w:rPr>
      </w:pPr>
      <w:r w:rsidRPr="00D934A4">
        <w:rPr>
          <w:rFonts w:cs="Arial"/>
        </w:rPr>
        <w:t xml:space="preserve">Providers will use </w:t>
      </w:r>
      <w:r w:rsidR="005D25D1">
        <w:rPr>
          <w:rFonts w:cs="Arial"/>
        </w:rPr>
        <w:t xml:space="preserve">the </w:t>
      </w:r>
      <w:r w:rsidRPr="00D934A4">
        <w:rPr>
          <w:rFonts w:cs="Arial"/>
          <w:i/>
        </w:rPr>
        <w:t>GPMS Registered Provider</w:t>
      </w:r>
      <w:r w:rsidR="005D25D1">
        <w:rPr>
          <w:rFonts w:cs="Arial"/>
          <w:i/>
        </w:rPr>
        <w:t xml:space="preserve"> Portal</w:t>
      </w:r>
      <w:r w:rsidRPr="00D934A4">
        <w:rPr>
          <w:rFonts w:cs="Arial"/>
        </w:rPr>
        <w:t xml:space="preserve"> for submission of QFR Q</w:t>
      </w:r>
      <w:r w:rsidR="005D418D">
        <w:rPr>
          <w:rFonts w:cs="Arial"/>
        </w:rPr>
        <w:t>uarter 2</w:t>
      </w:r>
      <w:r w:rsidRPr="00D934A4">
        <w:rPr>
          <w:rFonts w:cs="Arial"/>
        </w:rPr>
        <w:t xml:space="preserve"> 2025-26</w:t>
      </w:r>
      <w:r w:rsidR="003D75EC">
        <w:rPr>
          <w:rFonts w:cs="Arial"/>
        </w:rPr>
        <w:t xml:space="preserve"> onwards</w:t>
      </w:r>
      <w:r w:rsidRPr="00D934A4">
        <w:rPr>
          <w:rFonts w:cs="Arial"/>
        </w:rPr>
        <w:t xml:space="preserve">, under their new registered provider. </w:t>
      </w:r>
    </w:p>
    <w:p w14:paraId="2EA478D8" w14:textId="06A77C76" w:rsidR="008C4F70" w:rsidRPr="008C4F70" w:rsidRDefault="008C4F70" w:rsidP="008C4F70">
      <w:pPr>
        <w:numPr>
          <w:ilvl w:val="0"/>
          <w:numId w:val="16"/>
        </w:numPr>
        <w:rPr>
          <w:rFonts w:cs="Arial"/>
        </w:rPr>
      </w:pPr>
      <w:r>
        <w:rPr>
          <w:rFonts w:cs="Arial"/>
        </w:rPr>
        <w:t xml:space="preserve">The </w:t>
      </w:r>
      <w:r w:rsidRPr="00D934A4">
        <w:rPr>
          <w:rFonts w:cs="Arial"/>
          <w:i/>
        </w:rPr>
        <w:t>GPMS Approved Provider</w:t>
      </w:r>
      <w:r>
        <w:rPr>
          <w:rFonts w:cs="Arial"/>
          <w:i/>
        </w:rPr>
        <w:t xml:space="preserve"> Portal </w:t>
      </w:r>
      <w:r>
        <w:rPr>
          <w:rFonts w:cs="Arial"/>
          <w:iCs/>
        </w:rPr>
        <w:t>is to be used</w:t>
      </w:r>
      <w:r w:rsidRPr="00D934A4">
        <w:rPr>
          <w:rFonts w:cs="Arial"/>
        </w:rPr>
        <w:t xml:space="preserve"> for </w:t>
      </w:r>
      <w:r w:rsidR="00801748">
        <w:rPr>
          <w:rFonts w:cs="Arial"/>
        </w:rPr>
        <w:t>re</w:t>
      </w:r>
      <w:r w:rsidRPr="00D934A4">
        <w:rPr>
          <w:rFonts w:cs="Arial"/>
        </w:rPr>
        <w:t>submission of QFR Quarter 1 2025-26 and prior forms</w:t>
      </w:r>
      <w:r w:rsidR="00801748">
        <w:rPr>
          <w:rFonts w:cs="Arial"/>
        </w:rPr>
        <w:t>.</w:t>
      </w:r>
    </w:p>
    <w:p w14:paraId="60170883" w14:textId="1A10C20E" w:rsidR="009D392C" w:rsidRDefault="009D392C" w:rsidP="009D392C">
      <w:pPr>
        <w:rPr>
          <w:rFonts w:cs="Arial"/>
        </w:rPr>
      </w:pPr>
      <w:r w:rsidRPr="00D934A4">
        <w:rPr>
          <w:rFonts w:cs="Arial"/>
        </w:rPr>
        <w:t xml:space="preserve">For further assistance please </w:t>
      </w:r>
      <w:r w:rsidR="0020036E">
        <w:rPr>
          <w:rFonts w:cs="Arial"/>
        </w:rPr>
        <w:t xml:space="preserve">visit the </w:t>
      </w:r>
      <w:hyperlink r:id="rId20" w:history="1">
        <w:r w:rsidR="0020036E" w:rsidRPr="00C126A6">
          <w:rPr>
            <w:rStyle w:val="Hyperlink"/>
            <w:rFonts w:cs="Arial"/>
          </w:rPr>
          <w:t>Government Provider Management System (GPMS)</w:t>
        </w:r>
      </w:hyperlink>
      <w:r w:rsidR="0020036E">
        <w:rPr>
          <w:rFonts w:cs="Arial"/>
        </w:rPr>
        <w:t xml:space="preserve"> webpage</w:t>
      </w:r>
      <w:r w:rsidRPr="00D934A4">
        <w:rPr>
          <w:rFonts w:cs="Arial"/>
        </w:rPr>
        <w:t>.</w:t>
      </w:r>
    </w:p>
    <w:p w14:paraId="49637C2C" w14:textId="63257A7A" w:rsidR="00F5184A" w:rsidRPr="00EB1182" w:rsidRDefault="00F5184A" w:rsidP="00EB1182">
      <w:pPr>
        <w:pStyle w:val="Heading3"/>
      </w:pPr>
      <w:r w:rsidRPr="00EB1182">
        <w:t xml:space="preserve">1.9.1 Entering Data </w:t>
      </w:r>
    </w:p>
    <w:tbl>
      <w:tblPr>
        <w:tblStyle w:val="TableGrid"/>
        <w:tblW w:w="0" w:type="auto"/>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Look w:val="04A0" w:firstRow="1" w:lastRow="0" w:firstColumn="1" w:lastColumn="0" w:noHBand="0" w:noVBand="1"/>
      </w:tblPr>
      <w:tblGrid>
        <w:gridCol w:w="2689"/>
        <w:gridCol w:w="3118"/>
        <w:gridCol w:w="2977"/>
      </w:tblGrid>
      <w:tr w:rsidR="00D70A36" w:rsidRPr="00BB6BEA" w14:paraId="6138B3AB" w14:textId="77777777" w:rsidTr="00BB6BEA">
        <w:trPr>
          <w:tblHeader/>
        </w:trPr>
        <w:tc>
          <w:tcPr>
            <w:tcW w:w="2689" w:type="dxa"/>
            <w:tcBorders>
              <w:right w:val="single" w:sz="4" w:space="0" w:color="FFFFFF"/>
            </w:tcBorders>
            <w:shd w:val="clear" w:color="auto" w:fill="1E1545" w:themeFill="text1"/>
            <w:vAlign w:val="center"/>
          </w:tcPr>
          <w:p w14:paraId="04084F94" w14:textId="77777777" w:rsidR="00D70A36" w:rsidRPr="00BB6BEA" w:rsidRDefault="00D70A36" w:rsidP="00BB6BEA">
            <w:pPr>
              <w:pStyle w:val="TableHeaderWhite"/>
            </w:pPr>
            <w:r w:rsidRPr="00BB6BEA">
              <w:t>Form Name</w:t>
            </w:r>
          </w:p>
        </w:tc>
        <w:tc>
          <w:tcPr>
            <w:tcW w:w="3118" w:type="dxa"/>
            <w:tcBorders>
              <w:left w:val="single" w:sz="4" w:space="0" w:color="FFFFFF"/>
              <w:right w:val="single" w:sz="4" w:space="0" w:color="FFFFFF"/>
            </w:tcBorders>
            <w:shd w:val="clear" w:color="auto" w:fill="1E1545" w:themeFill="text1"/>
            <w:vAlign w:val="center"/>
          </w:tcPr>
          <w:p w14:paraId="4DE19B36" w14:textId="77777777" w:rsidR="00D70A36" w:rsidRPr="00BB6BEA" w:rsidRDefault="00D70A36" w:rsidP="00BB6BEA">
            <w:pPr>
              <w:pStyle w:val="TableHeaderWhite"/>
            </w:pPr>
            <w:r w:rsidRPr="00BB6BEA">
              <w:t>Data Entry Level</w:t>
            </w:r>
          </w:p>
        </w:tc>
        <w:tc>
          <w:tcPr>
            <w:tcW w:w="2977" w:type="dxa"/>
            <w:tcBorders>
              <w:left w:val="single" w:sz="4" w:space="0" w:color="FFFFFF"/>
              <w:right w:val="single" w:sz="4" w:space="0" w:color="FFFFFF"/>
            </w:tcBorders>
            <w:shd w:val="clear" w:color="auto" w:fill="1E1545" w:themeFill="text1"/>
            <w:vAlign w:val="center"/>
          </w:tcPr>
          <w:p w14:paraId="630C342B" w14:textId="3477DF4A" w:rsidR="00D70A36" w:rsidRPr="00BB6BEA" w:rsidRDefault="00D70A36" w:rsidP="00BB6BEA">
            <w:pPr>
              <w:pStyle w:val="TableHeaderWhite"/>
            </w:pPr>
            <w:r w:rsidRPr="00BB6BEA">
              <w:t>Data Entry Format</w:t>
            </w:r>
          </w:p>
        </w:tc>
      </w:tr>
      <w:tr w:rsidR="00D70A36" w:rsidRPr="00D934A4" w14:paraId="23508A5C" w14:textId="77777777" w:rsidTr="007D7481">
        <w:trPr>
          <w:trHeight w:val="1329"/>
        </w:trPr>
        <w:tc>
          <w:tcPr>
            <w:tcW w:w="2689" w:type="dxa"/>
            <w:vAlign w:val="center"/>
          </w:tcPr>
          <w:p w14:paraId="575184A1" w14:textId="77777777" w:rsidR="00D70A36" w:rsidRPr="00D934A4" w:rsidRDefault="00D70A36" w:rsidP="00A44190">
            <w:pPr>
              <w:rPr>
                <w:rFonts w:cs="Arial"/>
                <w:sz w:val="20"/>
                <w:szCs w:val="20"/>
              </w:rPr>
            </w:pPr>
            <w:r w:rsidRPr="00D934A4">
              <w:rPr>
                <w:rFonts w:cs="Arial"/>
                <w:lang w:eastAsia="zh-CN" w:bidi="th-TH"/>
              </w:rPr>
              <w:t>Viability and Prudential Compliance Questions</w:t>
            </w:r>
          </w:p>
        </w:tc>
        <w:tc>
          <w:tcPr>
            <w:tcW w:w="3118" w:type="dxa"/>
            <w:vAlign w:val="center"/>
          </w:tcPr>
          <w:p w14:paraId="6D5A08B3" w14:textId="4A83FA96" w:rsidR="00D70A36" w:rsidRPr="00D934A4" w:rsidRDefault="00D70A36" w:rsidP="00A44190">
            <w:pPr>
              <w:rPr>
                <w:rFonts w:cs="Arial"/>
                <w:sz w:val="20"/>
                <w:szCs w:val="20"/>
              </w:rPr>
            </w:pPr>
            <w:r>
              <w:rPr>
                <w:rFonts w:cs="Arial"/>
                <w:lang w:bidi="th-TH"/>
              </w:rPr>
              <w:t>E</w:t>
            </w:r>
            <w:r w:rsidRPr="0055685A">
              <w:rPr>
                <w:rFonts w:cs="Arial"/>
                <w:lang w:bidi="th-TH"/>
              </w:rPr>
              <w:t>nter a</w:t>
            </w:r>
            <w:r>
              <w:rPr>
                <w:rFonts w:cs="Arial"/>
                <w:lang w:bidi="th-TH"/>
              </w:rPr>
              <w:t xml:space="preserve">nswers on </w:t>
            </w:r>
            <w:r w:rsidRPr="0055685A">
              <w:rPr>
                <w:rFonts w:cs="Arial"/>
                <w:lang w:bidi="th-TH"/>
              </w:rPr>
              <w:t>a financial year to date basis</w:t>
            </w:r>
          </w:p>
        </w:tc>
        <w:tc>
          <w:tcPr>
            <w:tcW w:w="2977" w:type="dxa"/>
            <w:vAlign w:val="center"/>
          </w:tcPr>
          <w:p w14:paraId="320CB0AA" w14:textId="77777777" w:rsidR="00D70A36" w:rsidRPr="00D934A4" w:rsidRDefault="00D70A36" w:rsidP="00A44190">
            <w:pPr>
              <w:rPr>
                <w:rFonts w:cs="Arial"/>
                <w:sz w:val="20"/>
                <w:szCs w:val="20"/>
              </w:rPr>
            </w:pPr>
          </w:p>
        </w:tc>
      </w:tr>
      <w:tr w:rsidR="00D70A36" w:rsidRPr="00D934A4" w14:paraId="11CA008D" w14:textId="77777777" w:rsidTr="007D7481">
        <w:tc>
          <w:tcPr>
            <w:tcW w:w="2689" w:type="dxa"/>
            <w:shd w:val="clear" w:color="auto" w:fill="F1F2F2" w:themeFill="background2"/>
            <w:vAlign w:val="center"/>
          </w:tcPr>
          <w:p w14:paraId="63D8A2F1" w14:textId="77777777" w:rsidR="00D70A36" w:rsidRPr="00D934A4" w:rsidRDefault="00D70A36" w:rsidP="00A44190">
            <w:pPr>
              <w:rPr>
                <w:rFonts w:cs="Arial"/>
                <w:sz w:val="20"/>
                <w:szCs w:val="20"/>
              </w:rPr>
            </w:pPr>
            <w:r w:rsidRPr="00D934A4">
              <w:rPr>
                <w:rFonts w:cs="Arial"/>
                <w:lang w:eastAsia="zh-CN" w:bidi="th-TH"/>
              </w:rPr>
              <w:t>YTD Financial Statements</w:t>
            </w:r>
          </w:p>
        </w:tc>
        <w:tc>
          <w:tcPr>
            <w:tcW w:w="3118" w:type="dxa"/>
            <w:shd w:val="clear" w:color="auto" w:fill="F1F2F2" w:themeFill="background2"/>
            <w:vAlign w:val="center"/>
          </w:tcPr>
          <w:p w14:paraId="08EFE83F" w14:textId="02AD51C7" w:rsidR="00D70A36" w:rsidRPr="00D934A4" w:rsidRDefault="00D70A36" w:rsidP="00A44190">
            <w:pPr>
              <w:rPr>
                <w:rFonts w:cs="Arial"/>
                <w:sz w:val="20"/>
                <w:szCs w:val="20"/>
              </w:rPr>
            </w:pPr>
            <w:r>
              <w:rPr>
                <w:rFonts w:cs="Arial"/>
                <w:lang w:bidi="th-TH"/>
              </w:rPr>
              <w:t>E</w:t>
            </w:r>
            <w:r w:rsidRPr="007D7481">
              <w:rPr>
                <w:rFonts w:cs="Arial"/>
                <w:lang w:bidi="th-TH"/>
              </w:rPr>
              <w:t>nter all data on a financial year to date basis</w:t>
            </w:r>
          </w:p>
        </w:tc>
        <w:tc>
          <w:tcPr>
            <w:tcW w:w="2977" w:type="dxa"/>
            <w:shd w:val="clear" w:color="auto" w:fill="F1F2F2" w:themeFill="background2"/>
            <w:vAlign w:val="center"/>
          </w:tcPr>
          <w:p w14:paraId="76AD738D" w14:textId="7A088487" w:rsidR="00D70A36" w:rsidRPr="00D934A4" w:rsidRDefault="00D828A5" w:rsidP="00A44190">
            <w:pPr>
              <w:rPr>
                <w:rFonts w:cs="Arial"/>
                <w:sz w:val="20"/>
                <w:szCs w:val="20"/>
              </w:rPr>
            </w:pPr>
            <w:r>
              <w:rPr>
                <w:rFonts w:cs="Arial"/>
                <w:lang w:bidi="th-TH"/>
              </w:rPr>
              <w:t>F</w:t>
            </w:r>
            <w:r w:rsidR="00D70A36" w:rsidRPr="007D7481">
              <w:rPr>
                <w:rFonts w:cs="Arial"/>
                <w:lang w:bidi="th-TH"/>
              </w:rPr>
              <w:t>inancial data should be</w:t>
            </w:r>
            <w:r w:rsidR="007649E9">
              <w:rPr>
                <w:rFonts w:cs="Arial"/>
                <w:lang w:bidi="th-TH"/>
              </w:rPr>
              <w:t xml:space="preserve"> GS</w:t>
            </w:r>
            <w:r w:rsidR="00D7690B">
              <w:rPr>
                <w:rFonts w:cs="Arial"/>
                <w:lang w:bidi="th-TH"/>
              </w:rPr>
              <w:t>T</w:t>
            </w:r>
            <w:r w:rsidR="007649E9">
              <w:rPr>
                <w:rFonts w:cs="Arial"/>
                <w:lang w:bidi="th-TH"/>
              </w:rPr>
              <w:t xml:space="preserve"> exclusive &amp; </w:t>
            </w:r>
            <w:r w:rsidR="00D70A36" w:rsidRPr="007D7481">
              <w:rPr>
                <w:rFonts w:cs="Arial"/>
                <w:lang w:bidi="th-TH"/>
              </w:rPr>
              <w:t>entered as whole dollars</w:t>
            </w:r>
          </w:p>
        </w:tc>
      </w:tr>
      <w:tr w:rsidR="00D70A36" w:rsidRPr="00D934A4" w14:paraId="6B68F9D5" w14:textId="77777777" w:rsidTr="007D7481">
        <w:tc>
          <w:tcPr>
            <w:tcW w:w="2689" w:type="dxa"/>
            <w:vAlign w:val="center"/>
          </w:tcPr>
          <w:p w14:paraId="0D83D4B4" w14:textId="77777777" w:rsidR="00D70A36" w:rsidRPr="00D934A4" w:rsidRDefault="00D70A36" w:rsidP="00A44190">
            <w:pPr>
              <w:rPr>
                <w:rFonts w:cs="Arial"/>
                <w:sz w:val="20"/>
                <w:szCs w:val="20"/>
              </w:rPr>
            </w:pPr>
            <w:r w:rsidRPr="00D934A4">
              <w:rPr>
                <w:rFonts w:cs="Arial"/>
                <w:lang w:bidi="th-TH"/>
              </w:rPr>
              <w:t>Residential Costs and Hours</w:t>
            </w:r>
          </w:p>
        </w:tc>
        <w:tc>
          <w:tcPr>
            <w:tcW w:w="3118" w:type="dxa"/>
            <w:vAlign w:val="center"/>
          </w:tcPr>
          <w:p w14:paraId="1583A8B4" w14:textId="434A8858" w:rsidR="00D70A36" w:rsidRPr="00D934A4" w:rsidRDefault="00D70A36" w:rsidP="00A44190">
            <w:pPr>
              <w:rPr>
                <w:rFonts w:cs="Arial"/>
                <w:sz w:val="20"/>
                <w:szCs w:val="20"/>
              </w:rPr>
            </w:pPr>
            <w:r>
              <w:rPr>
                <w:rFonts w:cs="Arial"/>
                <w:lang w:bidi="th-TH"/>
              </w:rPr>
              <w:t xml:space="preserve">Enter </w:t>
            </w:r>
            <w:r w:rsidRPr="0055685A">
              <w:rPr>
                <w:rFonts w:cs="Arial"/>
                <w:lang w:bidi="th-TH"/>
              </w:rPr>
              <w:t>data for the quarter only</w:t>
            </w:r>
            <w:r>
              <w:rPr>
                <w:rFonts w:cs="Arial"/>
                <w:lang w:bidi="th-TH"/>
              </w:rPr>
              <w:t xml:space="preserve">, </w:t>
            </w:r>
            <w:r w:rsidRPr="0055685A">
              <w:rPr>
                <w:rFonts w:cs="Arial"/>
                <w:lang w:bidi="th-TH"/>
              </w:rPr>
              <w:t>not on a financial year to date basis</w:t>
            </w:r>
          </w:p>
        </w:tc>
        <w:tc>
          <w:tcPr>
            <w:tcW w:w="2977" w:type="dxa"/>
            <w:vAlign w:val="center"/>
          </w:tcPr>
          <w:p w14:paraId="76EBB46A" w14:textId="08DD3AF8" w:rsidR="00D70A36" w:rsidRPr="00D934A4" w:rsidRDefault="007556FB" w:rsidP="00A44190">
            <w:pPr>
              <w:rPr>
                <w:rFonts w:cs="Arial"/>
                <w:sz w:val="20"/>
                <w:szCs w:val="20"/>
              </w:rPr>
            </w:pPr>
            <w:r>
              <w:rPr>
                <w:rFonts w:cs="Arial"/>
                <w:lang w:bidi="th-TH"/>
              </w:rPr>
              <w:t>F</w:t>
            </w:r>
            <w:r w:rsidRPr="0055685A">
              <w:rPr>
                <w:rFonts w:cs="Arial"/>
                <w:lang w:bidi="th-TH"/>
              </w:rPr>
              <w:t>inancial data should be</w:t>
            </w:r>
            <w:r>
              <w:rPr>
                <w:rFonts w:cs="Arial"/>
                <w:lang w:bidi="th-TH"/>
              </w:rPr>
              <w:t xml:space="preserve"> GST exclusive &amp; </w:t>
            </w:r>
            <w:r w:rsidRPr="0055685A">
              <w:rPr>
                <w:rFonts w:cs="Arial"/>
                <w:lang w:bidi="th-TH"/>
              </w:rPr>
              <w:t>entered as whole dollars</w:t>
            </w:r>
            <w:r>
              <w:rPr>
                <w:rFonts w:cs="Arial"/>
                <w:lang w:bidi="th-TH"/>
              </w:rPr>
              <w:t xml:space="preserve">, with hours </w:t>
            </w:r>
            <w:r w:rsidR="004B0CFA">
              <w:rPr>
                <w:rFonts w:cs="Arial"/>
                <w:lang w:bidi="th-TH"/>
              </w:rPr>
              <w:t xml:space="preserve">and rates of pay </w:t>
            </w:r>
            <w:r>
              <w:rPr>
                <w:rFonts w:cs="Arial"/>
                <w:lang w:bidi="th-TH"/>
              </w:rPr>
              <w:t>data entered to 2 decimal places</w:t>
            </w:r>
          </w:p>
        </w:tc>
      </w:tr>
      <w:tr w:rsidR="00D70A36" w:rsidRPr="00D934A4" w14:paraId="1951187D" w14:textId="77777777" w:rsidTr="007D7481">
        <w:tc>
          <w:tcPr>
            <w:tcW w:w="2689" w:type="dxa"/>
            <w:shd w:val="clear" w:color="auto" w:fill="F1F2F2" w:themeFill="background2"/>
            <w:vAlign w:val="center"/>
          </w:tcPr>
          <w:p w14:paraId="354552B8" w14:textId="77777777" w:rsidR="00D70A36" w:rsidRPr="00D934A4" w:rsidRDefault="00D70A36" w:rsidP="00A44190">
            <w:pPr>
              <w:rPr>
                <w:rFonts w:cs="Arial"/>
                <w:sz w:val="20"/>
                <w:szCs w:val="20"/>
              </w:rPr>
            </w:pPr>
            <w:r w:rsidRPr="00D934A4">
              <w:rPr>
                <w:rFonts w:cs="Arial"/>
                <w:lang w:eastAsia="zh-CN" w:bidi="th-TH"/>
              </w:rPr>
              <w:t xml:space="preserve">Support at Home </w:t>
            </w:r>
            <w:r>
              <w:rPr>
                <w:rFonts w:cs="Arial"/>
                <w:lang w:eastAsia="zh-CN" w:bidi="th-TH"/>
              </w:rPr>
              <w:t>Rates of Pay</w:t>
            </w:r>
          </w:p>
        </w:tc>
        <w:tc>
          <w:tcPr>
            <w:tcW w:w="3118" w:type="dxa"/>
            <w:shd w:val="clear" w:color="auto" w:fill="F1F2F2" w:themeFill="background2"/>
            <w:vAlign w:val="center"/>
          </w:tcPr>
          <w:p w14:paraId="3F833DE0" w14:textId="5A81E85B" w:rsidR="00D70A36" w:rsidRPr="00D934A4" w:rsidRDefault="00D70A36" w:rsidP="00A44190">
            <w:pPr>
              <w:rPr>
                <w:rFonts w:cs="Arial"/>
                <w:sz w:val="20"/>
                <w:szCs w:val="20"/>
              </w:rPr>
            </w:pPr>
            <w:r>
              <w:rPr>
                <w:rFonts w:cs="Arial"/>
                <w:lang w:bidi="th-TH"/>
              </w:rPr>
              <w:t xml:space="preserve">Enter </w:t>
            </w:r>
            <w:r w:rsidRPr="007D7481">
              <w:rPr>
                <w:rFonts w:cs="Arial"/>
                <w:lang w:bidi="th-TH"/>
              </w:rPr>
              <w:t>data for the quarter only</w:t>
            </w:r>
            <w:r>
              <w:rPr>
                <w:rFonts w:cs="Arial"/>
                <w:lang w:bidi="th-TH"/>
              </w:rPr>
              <w:t xml:space="preserve">, </w:t>
            </w:r>
            <w:r w:rsidRPr="007D7481">
              <w:rPr>
                <w:rFonts w:cs="Arial"/>
                <w:lang w:bidi="th-TH"/>
              </w:rPr>
              <w:t>not on a financial year to date basis</w:t>
            </w:r>
          </w:p>
        </w:tc>
        <w:tc>
          <w:tcPr>
            <w:tcW w:w="2977" w:type="dxa"/>
            <w:shd w:val="clear" w:color="auto" w:fill="F1F2F2" w:themeFill="background2"/>
            <w:vAlign w:val="center"/>
          </w:tcPr>
          <w:p w14:paraId="28E99CD5" w14:textId="3106F460" w:rsidR="00D70A36" w:rsidRPr="00D934A4" w:rsidRDefault="003304B8" w:rsidP="00A44190">
            <w:pPr>
              <w:rPr>
                <w:rFonts w:cs="Arial"/>
                <w:sz w:val="20"/>
                <w:szCs w:val="20"/>
              </w:rPr>
            </w:pPr>
            <w:r>
              <w:rPr>
                <w:rFonts w:cs="Arial"/>
                <w:lang w:bidi="th-TH"/>
              </w:rPr>
              <w:t>Rates of pay data</w:t>
            </w:r>
            <w:r w:rsidRPr="0055685A">
              <w:rPr>
                <w:rFonts w:cs="Arial"/>
                <w:lang w:bidi="th-TH"/>
              </w:rPr>
              <w:t xml:space="preserve"> should be</w:t>
            </w:r>
            <w:r>
              <w:rPr>
                <w:rFonts w:cs="Arial"/>
                <w:lang w:bidi="th-TH"/>
              </w:rPr>
              <w:t xml:space="preserve"> </w:t>
            </w:r>
            <w:r w:rsidRPr="0055685A">
              <w:rPr>
                <w:rFonts w:cs="Arial"/>
                <w:lang w:bidi="th-TH"/>
              </w:rPr>
              <w:t xml:space="preserve">entered </w:t>
            </w:r>
            <w:r w:rsidR="00716AA2">
              <w:rPr>
                <w:rFonts w:cs="Arial"/>
                <w:lang w:bidi="th-TH"/>
              </w:rPr>
              <w:t>to 2 decimal places</w:t>
            </w:r>
          </w:p>
        </w:tc>
      </w:tr>
      <w:tr w:rsidR="00D70A36" w:rsidRPr="00D934A4" w14:paraId="6C60FD13" w14:textId="77777777" w:rsidTr="007D7481">
        <w:tc>
          <w:tcPr>
            <w:tcW w:w="2689" w:type="dxa"/>
          </w:tcPr>
          <w:p w14:paraId="57251FFE" w14:textId="46731F34" w:rsidR="00D70A36" w:rsidRPr="00D934A4" w:rsidRDefault="00D70A36" w:rsidP="00A44190">
            <w:pPr>
              <w:rPr>
                <w:rFonts w:cs="Arial"/>
                <w:sz w:val="20"/>
                <w:szCs w:val="20"/>
              </w:rPr>
            </w:pPr>
            <w:r w:rsidRPr="00D934A4">
              <w:rPr>
                <w:rFonts w:cs="Arial"/>
                <w:lang w:eastAsia="zh-CN" w:bidi="th-TH"/>
              </w:rPr>
              <w:t>Food and Nutrition Costs</w:t>
            </w:r>
          </w:p>
        </w:tc>
        <w:tc>
          <w:tcPr>
            <w:tcW w:w="3118" w:type="dxa"/>
          </w:tcPr>
          <w:p w14:paraId="46493009" w14:textId="6A2141CE" w:rsidR="00D70A36" w:rsidRPr="00D934A4" w:rsidRDefault="00D70A36" w:rsidP="00A44190">
            <w:pPr>
              <w:rPr>
                <w:rFonts w:cs="Arial"/>
                <w:sz w:val="20"/>
                <w:szCs w:val="20"/>
              </w:rPr>
            </w:pPr>
            <w:r>
              <w:rPr>
                <w:rFonts w:cs="Arial"/>
                <w:lang w:bidi="th-TH"/>
              </w:rPr>
              <w:t xml:space="preserve">Enter </w:t>
            </w:r>
            <w:r w:rsidRPr="0055685A">
              <w:rPr>
                <w:rFonts w:cs="Arial"/>
                <w:lang w:bidi="th-TH"/>
              </w:rPr>
              <w:t>data for the quarter only</w:t>
            </w:r>
            <w:r>
              <w:rPr>
                <w:rFonts w:cs="Arial"/>
                <w:lang w:bidi="th-TH"/>
              </w:rPr>
              <w:t xml:space="preserve">, </w:t>
            </w:r>
            <w:r w:rsidRPr="0055685A">
              <w:rPr>
                <w:rFonts w:cs="Arial"/>
                <w:lang w:bidi="th-TH"/>
              </w:rPr>
              <w:t>not on a financial year to date basis</w:t>
            </w:r>
          </w:p>
        </w:tc>
        <w:tc>
          <w:tcPr>
            <w:tcW w:w="2977" w:type="dxa"/>
          </w:tcPr>
          <w:p w14:paraId="00C49E2B" w14:textId="2E355908" w:rsidR="00D70A36" w:rsidRPr="00D934A4" w:rsidRDefault="006060B6" w:rsidP="00A44190">
            <w:pPr>
              <w:rPr>
                <w:rFonts w:cs="Arial"/>
                <w:sz w:val="20"/>
                <w:szCs w:val="20"/>
              </w:rPr>
            </w:pPr>
            <w:r>
              <w:rPr>
                <w:rFonts w:cs="Arial"/>
                <w:lang w:bidi="th-TH"/>
              </w:rPr>
              <w:t>F</w:t>
            </w:r>
            <w:r w:rsidRPr="0055685A">
              <w:rPr>
                <w:rFonts w:cs="Arial"/>
                <w:lang w:bidi="th-TH"/>
              </w:rPr>
              <w:t>inancial data should be</w:t>
            </w:r>
            <w:r>
              <w:rPr>
                <w:rFonts w:cs="Arial"/>
                <w:lang w:bidi="th-TH"/>
              </w:rPr>
              <w:t xml:space="preserve"> GST exclusive &amp; </w:t>
            </w:r>
            <w:r w:rsidRPr="0055685A">
              <w:rPr>
                <w:rFonts w:cs="Arial"/>
                <w:lang w:bidi="th-TH"/>
              </w:rPr>
              <w:t>entered as whole dollars</w:t>
            </w:r>
            <w:r>
              <w:rPr>
                <w:rFonts w:cs="Arial"/>
                <w:lang w:bidi="th-TH"/>
              </w:rPr>
              <w:t>, with hours data entered to 2 decimal places</w:t>
            </w:r>
          </w:p>
        </w:tc>
      </w:tr>
    </w:tbl>
    <w:p w14:paraId="69BBB5AA" w14:textId="7F861F56" w:rsidR="00366EA7" w:rsidRPr="00D934A4" w:rsidRDefault="00E67EE2" w:rsidP="00AA4BF3">
      <w:pPr>
        <w:pStyle w:val="NewHeading2"/>
      </w:pPr>
      <w:r>
        <w:t>1.</w:t>
      </w:r>
      <w:r w:rsidR="00DB556E">
        <w:t>10</w:t>
      </w:r>
      <w:r>
        <w:t xml:space="preserve"> </w:t>
      </w:r>
      <w:r w:rsidR="001448F4" w:rsidRPr="00D934A4">
        <w:t>Financial Reporting Help Desks</w:t>
      </w:r>
    </w:p>
    <w:p w14:paraId="613525FA" w14:textId="0B6B79B7" w:rsidR="00366EA7" w:rsidRPr="00D934A4" w:rsidRDefault="00366EA7" w:rsidP="00BB6BEA">
      <w:pPr>
        <w:pStyle w:val="ListBullet"/>
      </w:pPr>
      <w:r w:rsidRPr="00D934A4">
        <w:t xml:space="preserve">If you have questions about completing the QFR &amp; ACFR, contact the </w:t>
      </w:r>
      <w:r w:rsidRPr="00D934A4">
        <w:rPr>
          <w:b/>
          <w:bCs/>
        </w:rPr>
        <w:t>Forms Administration Help Desk</w:t>
      </w:r>
      <w:r w:rsidRPr="00D934A4">
        <w:t xml:space="preserve"> on </w:t>
      </w:r>
      <w:r w:rsidRPr="00D934A4">
        <w:rPr>
          <w:b/>
          <w:bCs/>
        </w:rPr>
        <w:t>(02) 4403 0640</w:t>
      </w:r>
      <w:r w:rsidRPr="00D934A4">
        <w:t xml:space="preserve"> or at </w:t>
      </w:r>
      <w:hyperlink r:id="rId21" w:history="1">
        <w:r w:rsidR="00242EAE">
          <w:rPr>
            <w:rStyle w:val="Hyperlink"/>
          </w:rPr>
          <w:t>formsadministration@health.gov.au</w:t>
        </w:r>
      </w:hyperlink>
      <w:r w:rsidRPr="00D934A4">
        <w:t>. They can provide support with:</w:t>
      </w:r>
    </w:p>
    <w:p w14:paraId="4EFEE540" w14:textId="77777777" w:rsidR="00366EA7" w:rsidRPr="00BB6BEA" w:rsidRDefault="00366EA7" w:rsidP="00BB6BEA">
      <w:pPr>
        <w:pStyle w:val="ListBullet2"/>
      </w:pPr>
      <w:r w:rsidRPr="00BB6BEA">
        <w:t>Submission related questions</w:t>
      </w:r>
    </w:p>
    <w:p w14:paraId="23ADA4A3" w14:textId="77777777" w:rsidR="00366EA7" w:rsidRPr="00BB6BEA" w:rsidRDefault="00366EA7" w:rsidP="00BB6BEA">
      <w:pPr>
        <w:pStyle w:val="ListBullet2"/>
      </w:pPr>
      <w:r w:rsidRPr="00BB6BEA">
        <w:t>Re-opening the portal for resubmissions</w:t>
      </w:r>
    </w:p>
    <w:p w14:paraId="1156DC38" w14:textId="5B0A1FE4" w:rsidR="00366EA7" w:rsidRPr="00BB6BEA" w:rsidRDefault="00366EA7" w:rsidP="00BB6BEA">
      <w:pPr>
        <w:pStyle w:val="ListBullet2"/>
      </w:pPr>
      <w:r w:rsidRPr="00BB6BEA">
        <w:t>General reporting queries</w:t>
      </w:r>
    </w:p>
    <w:p w14:paraId="4C4B04F1" w14:textId="77777777" w:rsidR="00366EA7" w:rsidRPr="00D934A4" w:rsidRDefault="00366EA7" w:rsidP="00BB6BEA">
      <w:pPr>
        <w:pStyle w:val="ListBullet"/>
      </w:pPr>
      <w:r w:rsidRPr="00D934A4">
        <w:t xml:space="preserve">If you have questions about your specific financial reporting data, contact the </w:t>
      </w:r>
      <w:r w:rsidRPr="00D934A4">
        <w:rPr>
          <w:b/>
          <w:bCs/>
        </w:rPr>
        <w:t>Financial Reporting Operations Team Help Desk</w:t>
      </w:r>
      <w:r w:rsidRPr="00D934A4">
        <w:t xml:space="preserve"> at </w:t>
      </w:r>
      <w:hyperlink r:id="rId22" w:history="1">
        <w:r w:rsidRPr="00D934A4">
          <w:rPr>
            <w:rStyle w:val="Hyperlink"/>
          </w:rPr>
          <w:t>ACFRQFRQueries@Health.gov.au</w:t>
        </w:r>
      </w:hyperlink>
      <w:r w:rsidRPr="00D934A4">
        <w:t>. They can provide support with:</w:t>
      </w:r>
    </w:p>
    <w:p w14:paraId="75097F05" w14:textId="77777777" w:rsidR="00366EA7" w:rsidRPr="00BB6BEA" w:rsidRDefault="00366EA7" w:rsidP="00BB6BEA">
      <w:pPr>
        <w:pStyle w:val="ListBullet2"/>
      </w:pPr>
      <w:r w:rsidRPr="00BB6BEA">
        <w:t>Submission related questions</w:t>
      </w:r>
    </w:p>
    <w:p w14:paraId="085ACB1F" w14:textId="77777777" w:rsidR="00366EA7" w:rsidRPr="00BB6BEA" w:rsidRDefault="00366EA7" w:rsidP="00BB6BEA">
      <w:pPr>
        <w:pStyle w:val="ListBullet2"/>
      </w:pPr>
      <w:r w:rsidRPr="00BB6BEA">
        <w:t>Support at Home financial reporting questions</w:t>
      </w:r>
    </w:p>
    <w:p w14:paraId="0EC889AE" w14:textId="5772E1EE" w:rsidR="00366EA7" w:rsidRPr="00BB6BEA" w:rsidRDefault="00366EA7" w:rsidP="00BB6BEA">
      <w:pPr>
        <w:pStyle w:val="ListBullet2"/>
      </w:pPr>
      <w:r w:rsidRPr="00BB6BEA">
        <w:t>Changes to reporting from 1 November 2025 questions</w:t>
      </w:r>
    </w:p>
    <w:p w14:paraId="3E56A204" w14:textId="420D4F2F" w:rsidR="00366EA7" w:rsidRPr="00D934A4" w:rsidRDefault="00366EA7" w:rsidP="00BB6BEA">
      <w:pPr>
        <w:pStyle w:val="ListBullet"/>
      </w:pPr>
      <w:r w:rsidRPr="00D934A4">
        <w:t xml:space="preserve">If you have questions about residential direct care reporting and data quality checks, contact the </w:t>
      </w:r>
      <w:r w:rsidRPr="00D934A4">
        <w:rPr>
          <w:b/>
          <w:bCs/>
        </w:rPr>
        <w:t xml:space="preserve">Residential Care </w:t>
      </w:r>
      <w:r w:rsidR="00076E87">
        <w:rPr>
          <w:b/>
          <w:bCs/>
        </w:rPr>
        <w:t xml:space="preserve">QFR &amp; ACFR </w:t>
      </w:r>
      <w:r w:rsidRPr="00D934A4">
        <w:rPr>
          <w:b/>
          <w:bCs/>
        </w:rPr>
        <w:t>Help Desk</w:t>
      </w:r>
      <w:r w:rsidRPr="00D934A4">
        <w:t xml:space="preserve"> at </w:t>
      </w:r>
      <w:hyperlink r:id="rId23" w:history="1">
        <w:r w:rsidRPr="00D934A4">
          <w:rPr>
            <w:rStyle w:val="Hyperlink"/>
          </w:rPr>
          <w:t>QFRACFRHelp@health.gov.au</w:t>
        </w:r>
      </w:hyperlink>
      <w:r w:rsidRPr="00D934A4">
        <w:t>. They can provide support with:</w:t>
      </w:r>
    </w:p>
    <w:p w14:paraId="1C924A13" w14:textId="0C91284B" w:rsidR="00366EA7" w:rsidRPr="00BB6BEA" w:rsidRDefault="00366EA7" w:rsidP="00BB6BEA">
      <w:pPr>
        <w:pStyle w:val="ListBullet2"/>
      </w:pPr>
      <w:r w:rsidRPr="00BB6BEA">
        <w:t xml:space="preserve">Residential Labour Costs &amp; Hours </w:t>
      </w:r>
      <w:r w:rsidR="001B44FF" w:rsidRPr="00BB6BEA">
        <w:t>reporting questions</w:t>
      </w:r>
    </w:p>
    <w:p w14:paraId="33306D7B" w14:textId="77777777" w:rsidR="00366EA7" w:rsidRPr="00BB6BEA" w:rsidRDefault="00366EA7" w:rsidP="00BB6BEA">
      <w:pPr>
        <w:pStyle w:val="ListBullet2"/>
      </w:pPr>
      <w:r w:rsidRPr="00BB6BEA">
        <w:t>Care Minutes reporting questions</w:t>
      </w:r>
    </w:p>
    <w:p w14:paraId="4C65CE22" w14:textId="27BE945D" w:rsidR="0060798E" w:rsidRDefault="00366EA7" w:rsidP="00BB6BEA">
      <w:pPr>
        <w:pStyle w:val="ListBullet2"/>
      </w:pPr>
      <w:r w:rsidRPr="00BB6BEA">
        <w:t xml:space="preserve">Residential </w:t>
      </w:r>
      <w:r w:rsidR="00134DB3" w:rsidRPr="00BB6BEA">
        <w:t xml:space="preserve">Labour Costs and Hours </w:t>
      </w:r>
      <w:r w:rsidRPr="00BB6BEA">
        <w:t>dat</w:t>
      </w:r>
      <w:r w:rsidRPr="00D934A4">
        <w:t>a quality check</w:t>
      </w:r>
      <w:r w:rsidR="00134DB3">
        <w:t>s</w:t>
      </w:r>
      <w:r w:rsidRPr="00D934A4">
        <w:t xml:space="preserve"> </w:t>
      </w:r>
    </w:p>
    <w:p w14:paraId="6810356D" w14:textId="77777777" w:rsidR="0060798E" w:rsidRPr="00D934A4" w:rsidRDefault="0060798E" w:rsidP="00755877">
      <w:pPr>
        <w:pStyle w:val="ListBullet"/>
      </w:pPr>
      <w:r w:rsidRPr="00D934A4">
        <w:t xml:space="preserve">If you have technical questions about GPMS or the QFR application, contact the </w:t>
      </w:r>
      <w:r w:rsidRPr="00D934A4">
        <w:rPr>
          <w:b/>
          <w:bCs/>
        </w:rPr>
        <w:t>My Aged Care Service Provider Assessor Helpline</w:t>
      </w:r>
      <w:r w:rsidRPr="00D934A4">
        <w:t xml:space="preserve"> on </w:t>
      </w:r>
      <w:r w:rsidRPr="00D934A4">
        <w:rPr>
          <w:b/>
          <w:bCs/>
        </w:rPr>
        <w:t>1800 836 799</w:t>
      </w:r>
      <w:r w:rsidRPr="00D934A4">
        <w:t>. They can provide support with:</w:t>
      </w:r>
    </w:p>
    <w:p w14:paraId="50DE87D0" w14:textId="77777777" w:rsidR="0060798E" w:rsidRPr="00BB6BEA" w:rsidRDefault="0060798E" w:rsidP="00BB6BEA">
      <w:pPr>
        <w:pStyle w:val="ListBullet2"/>
      </w:pPr>
      <w:r w:rsidRPr="00BB6BEA">
        <w:t>Assigning user access</w:t>
      </w:r>
    </w:p>
    <w:p w14:paraId="040D2203" w14:textId="77777777" w:rsidR="0060798E" w:rsidRPr="00BB6BEA" w:rsidRDefault="0060798E" w:rsidP="00BB6BEA">
      <w:pPr>
        <w:pStyle w:val="ListBullet2"/>
      </w:pPr>
      <w:r w:rsidRPr="00BB6BEA">
        <w:t>Logging into GPMS</w:t>
      </w:r>
    </w:p>
    <w:p w14:paraId="06DE92B4" w14:textId="77777777" w:rsidR="0060798E" w:rsidRPr="00D934A4" w:rsidRDefault="0060798E" w:rsidP="00BB6BEA">
      <w:pPr>
        <w:pStyle w:val="ListBullet2"/>
      </w:pPr>
      <w:r w:rsidRPr="00BB6BEA">
        <w:t>Accessing the QFR a</w:t>
      </w:r>
      <w:r w:rsidRPr="00D934A4">
        <w:t>pplication on GPMS</w:t>
      </w:r>
    </w:p>
    <w:p w14:paraId="0ABA6911" w14:textId="7A7572D4" w:rsidR="00366EA7" w:rsidRPr="00D934A4" w:rsidRDefault="00E67EE2" w:rsidP="00E17575">
      <w:pPr>
        <w:pStyle w:val="NewHeading2"/>
      </w:pPr>
      <w:bookmarkStart w:id="1" w:name="_Toc209078248"/>
      <w:r>
        <w:t>1.1</w:t>
      </w:r>
      <w:r w:rsidR="00DB556E">
        <w:t>1</w:t>
      </w:r>
      <w:r>
        <w:t xml:space="preserve"> </w:t>
      </w:r>
      <w:r w:rsidR="00366EA7" w:rsidRPr="00D934A4">
        <w:t>Other resources</w:t>
      </w:r>
      <w:bookmarkEnd w:id="1"/>
    </w:p>
    <w:p w14:paraId="2C5D5A76" w14:textId="3ED770C7" w:rsidR="00366EA7" w:rsidRPr="00D934A4" w:rsidRDefault="00366EA7" w:rsidP="00366EA7">
      <w:pPr>
        <w:rPr>
          <w:rFonts w:cs="Arial"/>
        </w:rPr>
      </w:pPr>
      <w:r w:rsidRPr="00D934A4">
        <w:rPr>
          <w:rFonts w:cs="Arial"/>
        </w:rPr>
        <w:t xml:space="preserve">There are additional resources provided on the </w:t>
      </w:r>
      <w:hyperlink r:id="rId24" w:history="1">
        <w:r w:rsidRPr="006A19CB">
          <w:rPr>
            <w:rStyle w:val="Hyperlink"/>
            <w:color w:val="2AB1BB" w:themeColor="accent1"/>
          </w:rPr>
          <w:t>department’s website</w:t>
        </w:r>
      </w:hyperlink>
      <w:r w:rsidRPr="00D934A4">
        <w:rPr>
          <w:rFonts w:cs="Arial"/>
        </w:rPr>
        <w:t xml:space="preserve"> to assist providers completing the </w:t>
      </w:r>
      <w:r w:rsidR="0087367C" w:rsidRPr="00D934A4">
        <w:rPr>
          <w:rFonts w:cs="Arial"/>
        </w:rPr>
        <w:t>QFR</w:t>
      </w:r>
      <w:r w:rsidRPr="00D934A4">
        <w:rPr>
          <w:rFonts w:cs="Arial"/>
        </w:rPr>
        <w:t xml:space="preserve">. </w:t>
      </w:r>
    </w:p>
    <w:p w14:paraId="14643DEE" w14:textId="77777777" w:rsidR="00366EA7" w:rsidRPr="00D934A4" w:rsidRDefault="00366EA7" w:rsidP="00366EA7">
      <w:pPr>
        <w:rPr>
          <w:rFonts w:cs="Arial"/>
        </w:rPr>
      </w:pPr>
      <w:r w:rsidRPr="00D934A4">
        <w:rPr>
          <w:rFonts w:cs="Arial"/>
        </w:rPr>
        <w:t>These include:</w:t>
      </w:r>
    </w:p>
    <w:p w14:paraId="64A89DDD" w14:textId="52D66400" w:rsidR="00366EA7" w:rsidRPr="00755877" w:rsidRDefault="00355A2E" w:rsidP="00755877">
      <w:pPr>
        <w:pStyle w:val="ListBullet"/>
      </w:pPr>
      <w:r w:rsidRPr="00755877">
        <w:t>QFR</w:t>
      </w:r>
      <w:r w:rsidR="00366EA7" w:rsidRPr="00755877">
        <w:t xml:space="preserve"> non-uploadable template </w:t>
      </w:r>
    </w:p>
    <w:p w14:paraId="33BD0F49" w14:textId="0AB38FBF" w:rsidR="00366EA7" w:rsidRPr="00755877" w:rsidRDefault="00355A2E" w:rsidP="00755877">
      <w:pPr>
        <w:pStyle w:val="ListBullet"/>
      </w:pPr>
      <w:r w:rsidRPr="00755877">
        <w:t>QFR</w:t>
      </w:r>
      <w:r w:rsidR="00366EA7" w:rsidRPr="00755877">
        <w:t xml:space="preserve"> definitions</w:t>
      </w:r>
    </w:p>
    <w:p w14:paraId="5E7677B2" w14:textId="247509DF" w:rsidR="00366EA7" w:rsidRPr="00D934A4" w:rsidRDefault="00366EA7" w:rsidP="00755877">
      <w:pPr>
        <w:pStyle w:val="ListBullet"/>
      </w:pPr>
      <w:r w:rsidRPr="00755877">
        <w:t>Residential Labour C</w:t>
      </w:r>
      <w:r w:rsidRPr="00D934A4">
        <w:t xml:space="preserve">osts and Hours </w:t>
      </w:r>
      <w:r w:rsidR="0087367C" w:rsidRPr="00D934A4">
        <w:t>reporting guidance</w:t>
      </w:r>
    </w:p>
    <w:p w14:paraId="44041C20" w14:textId="74E75EAD" w:rsidR="006F4649" w:rsidRDefault="006F4649" w:rsidP="006F4649">
      <w:pPr>
        <w:rPr>
          <w:rFonts w:cs="Arial"/>
        </w:rPr>
      </w:pPr>
      <w:r>
        <w:rPr>
          <w:rFonts w:cs="Arial"/>
        </w:rPr>
        <w:t>T</w:t>
      </w:r>
      <w:r w:rsidRPr="006F4649">
        <w:rPr>
          <w:rFonts w:cs="Arial"/>
        </w:rPr>
        <w:t xml:space="preserve">he QFR </w:t>
      </w:r>
      <w:r w:rsidR="00362F81" w:rsidRPr="006F4649">
        <w:rPr>
          <w:rFonts w:cs="Arial"/>
        </w:rPr>
        <w:t xml:space="preserve">non-uploadable </w:t>
      </w:r>
      <w:r w:rsidRPr="006F4649">
        <w:rPr>
          <w:rFonts w:cs="Arial"/>
        </w:rPr>
        <w:t>template available on the Department’s website is provided for information only and cannot be used to upload data into the QFR application on GPMS.</w:t>
      </w:r>
    </w:p>
    <w:p w14:paraId="43A60617" w14:textId="2C3A8931" w:rsidR="00380C62" w:rsidRPr="00D934A4" w:rsidRDefault="00DC0DC9" w:rsidP="00BB6BEA">
      <w:pPr>
        <w:rPr>
          <w:rFonts w:cs="Arial"/>
        </w:rPr>
      </w:pPr>
      <w:r>
        <w:rPr>
          <w:rFonts w:cs="Arial"/>
        </w:rPr>
        <w:t xml:space="preserve">Refer to </w:t>
      </w:r>
      <w:r w:rsidR="00BA5887">
        <w:rPr>
          <w:rFonts w:cs="Arial"/>
        </w:rPr>
        <w:t>section</w:t>
      </w:r>
      <w:r>
        <w:rPr>
          <w:rFonts w:cs="Arial"/>
        </w:rPr>
        <w:t xml:space="preserve"> 3.1.9 </w:t>
      </w:r>
      <w:r w:rsidR="00BA5887">
        <w:rPr>
          <w:rFonts w:cs="Arial"/>
        </w:rPr>
        <w:t xml:space="preserve">page 19 </w:t>
      </w:r>
      <w:r>
        <w:rPr>
          <w:rFonts w:cs="Arial"/>
        </w:rPr>
        <w:t xml:space="preserve">regarding the QFR data upload function. </w:t>
      </w:r>
    </w:p>
    <w:p w14:paraId="072749C9" w14:textId="103A2219" w:rsidR="000953D0" w:rsidRPr="00BB6BEA" w:rsidRDefault="000953D0" w:rsidP="00BB6BEA">
      <w:r w:rsidRPr="00BB6BEA">
        <w:br w:type="page"/>
      </w:r>
    </w:p>
    <w:p w14:paraId="213AD6AD" w14:textId="77777777" w:rsidR="00380C62" w:rsidRPr="00D934A4" w:rsidRDefault="00380C62" w:rsidP="00E83FBE">
      <w:pPr>
        <w:rPr>
          <w:rFonts w:cs="Arial"/>
        </w:rPr>
      </w:pPr>
    </w:p>
    <w:p w14:paraId="46105789" w14:textId="6A7AB1CE" w:rsidR="00D0338A" w:rsidRPr="004D34EB" w:rsidRDefault="00D0338A" w:rsidP="004D34EB"/>
    <w:p w14:paraId="66017B90" w14:textId="185DE3DF" w:rsidR="00D0338A" w:rsidRPr="00D934A4" w:rsidRDefault="00842769" w:rsidP="00D0338A">
      <w:pPr>
        <w:pStyle w:val="SectionNumber"/>
        <w:rPr>
          <w:rFonts w:cs="Arial"/>
          <w:noProof w:val="0"/>
        </w:rPr>
      </w:pPr>
      <w:r>
        <w:rPr>
          <w:rFonts w:cs="Arial"/>
          <w:noProof w:val="0"/>
        </w:rPr>
        <w:t>2</w:t>
      </w:r>
    </w:p>
    <w:p w14:paraId="57559FEB" w14:textId="54A10927" w:rsidR="00D0338A" w:rsidRPr="00D934A4" w:rsidRDefault="00D0338A" w:rsidP="004D34EB">
      <w:pPr>
        <w:pStyle w:val="SectionTitle"/>
      </w:pPr>
      <w:r w:rsidRPr="00D934A4">
        <w:t xml:space="preserve">Changes to the QFR </w:t>
      </w:r>
      <w:r w:rsidRPr="00D934A4">
        <w:rPr>
          <w:noProof/>
        </w:rPr>
        <mc:AlternateContent>
          <mc:Choice Requires="wps">
            <w:drawing>
              <wp:anchor distT="0" distB="0" distL="114300" distR="114300" simplePos="0" relativeHeight="251658240" behindDoc="1" locked="0" layoutInCell="1" allowOverlap="1" wp14:anchorId="3914CA5D" wp14:editId="17B25288">
                <wp:simplePos x="0" y="0"/>
                <wp:positionH relativeFrom="page">
                  <wp:posOffset>0</wp:posOffset>
                </wp:positionH>
                <wp:positionV relativeFrom="margin">
                  <wp:posOffset>-1073463</wp:posOffset>
                </wp:positionV>
                <wp:extent cx="7560000" cy="10692000"/>
                <wp:effectExtent l="0" t="0" r="3175" b="0"/>
                <wp:wrapNone/>
                <wp:docPr id="350943660" name="Rectangle 3509436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308333C6">
              <v:rect id="Rectangle 350943660" style="position:absolute;margin-left:0;margin-top:-84.5pt;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alt="&quot;&quot;" o:spid="_x0000_s1026" fillcolor="#1e1545 [3213]" stroked="f" strokeweight="2pt" w14:anchorId="33F99F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">
                <w10:wrap anchorx="page" anchory="margin"/>
              </v:rect>
            </w:pict>
          </mc:Fallback>
        </mc:AlternateContent>
      </w:r>
    </w:p>
    <w:p w14:paraId="08C1E0E1" w14:textId="77777777" w:rsidR="00D0338A" w:rsidRPr="001C1AD4" w:rsidRDefault="00D0338A" w:rsidP="001C1AD4">
      <w:r w:rsidRPr="001C1AD4">
        <w:br w:type="page"/>
      </w:r>
    </w:p>
    <w:p w14:paraId="30D52887" w14:textId="1E5CA09B" w:rsidR="00D0338A" w:rsidRPr="00D934A4" w:rsidRDefault="00BE4D91" w:rsidP="00E17575">
      <w:pPr>
        <w:pStyle w:val="NewHeading1"/>
      </w:pPr>
      <w:bookmarkStart w:id="2" w:name="_Toc236740372"/>
      <w:r>
        <w:t xml:space="preserve">2. </w:t>
      </w:r>
      <w:r w:rsidR="00D0338A" w:rsidRPr="00E14FE7">
        <w:t>Changes to the QFR</w:t>
      </w:r>
      <w:bookmarkEnd w:id="2"/>
      <w:r w:rsidR="00D0338A" w:rsidRPr="00D934A4">
        <w:t xml:space="preserve"> </w:t>
      </w:r>
    </w:p>
    <w:p w14:paraId="689D8553" w14:textId="31AB0999" w:rsidR="00E02CC5" w:rsidRDefault="00E02CC5" w:rsidP="00E02CC5">
      <w:pPr>
        <w:pStyle w:val="NewHeading2"/>
      </w:pPr>
      <w:bookmarkStart w:id="3" w:name="_Toc207281685"/>
      <w:bookmarkStart w:id="4" w:name="_Toc209449331"/>
      <w:r w:rsidRPr="00D934A4">
        <w:t>2.</w:t>
      </w:r>
      <w:r>
        <w:t>1</w:t>
      </w:r>
      <w:r w:rsidRPr="00D934A4">
        <w:t xml:space="preserve"> </w:t>
      </w:r>
      <w:r>
        <w:t xml:space="preserve">Changes to the QFR Quarter </w:t>
      </w:r>
      <w:r w:rsidR="00791080">
        <w:t>1</w:t>
      </w:r>
      <w:r>
        <w:t xml:space="preserve"> 202</w:t>
      </w:r>
      <w:r w:rsidR="00791080">
        <w:t>6</w:t>
      </w:r>
      <w:r>
        <w:t>-2</w:t>
      </w:r>
      <w:r w:rsidR="00791080">
        <w:t>7</w:t>
      </w:r>
    </w:p>
    <w:p w14:paraId="5BD99A30" w14:textId="21D0B48A" w:rsidR="008E70F7" w:rsidRPr="00EB1182" w:rsidRDefault="008E70F7" w:rsidP="00EB1182">
      <w:pPr>
        <w:pStyle w:val="Heading3"/>
      </w:pPr>
      <w:r w:rsidRPr="00EB1182">
        <w:t xml:space="preserve">2.1.1 </w:t>
      </w:r>
      <w:r w:rsidR="0092623C" w:rsidRPr="00EB1182">
        <w:t xml:space="preserve">New and removed </w:t>
      </w:r>
      <w:r w:rsidRPr="00EB1182">
        <w:t>Residential Costs and Hours d</w:t>
      </w:r>
      <w:r w:rsidR="0092623C" w:rsidRPr="00EB1182">
        <w:t>ata items</w:t>
      </w:r>
    </w:p>
    <w:p w14:paraId="5D485731" w14:textId="17A5CC4F" w:rsidR="009E00F6" w:rsidRDefault="009E00F6" w:rsidP="009E00F6">
      <w:pPr>
        <w:rPr>
          <w:rFonts w:cs="Arial"/>
        </w:rPr>
      </w:pPr>
      <w:r>
        <w:rPr>
          <w:rFonts w:cs="Arial"/>
        </w:rPr>
        <w:t>The following changes have been made to the Residential Costs and Hours form:</w:t>
      </w:r>
    </w:p>
    <w:p w14:paraId="3766E442" w14:textId="0E3C039D" w:rsidR="007D3A8C" w:rsidRPr="006637AE" w:rsidRDefault="007D3A8C" w:rsidP="00BB6BEA">
      <w:pPr>
        <w:pStyle w:val="ListBullet"/>
      </w:pPr>
      <w:r w:rsidRPr="006637AE">
        <w:t xml:space="preserve">New data items for </w:t>
      </w:r>
      <w:r w:rsidR="00615C00">
        <w:t>“</w:t>
      </w:r>
      <w:r w:rsidRPr="006637AE">
        <w:t>Care Consumables</w:t>
      </w:r>
      <w:r w:rsidR="00615C00">
        <w:t>”</w:t>
      </w:r>
      <w:r w:rsidRPr="006637AE">
        <w:t xml:space="preserve"> and </w:t>
      </w:r>
      <w:r w:rsidR="00615C00">
        <w:t>“</w:t>
      </w:r>
      <w:r w:rsidRPr="006637AE">
        <w:t>Other Direct Care Expenses</w:t>
      </w:r>
      <w:r w:rsidR="00615C00">
        <w:t>”</w:t>
      </w:r>
      <w:r w:rsidRPr="006637AE">
        <w:t xml:space="preserve"> have been included under Care Expenses. These items match the reporting in the Aged Care Financial Report (ACFR), at a more summarised level.</w:t>
      </w:r>
    </w:p>
    <w:p w14:paraId="014F8E39" w14:textId="72FF791B" w:rsidR="007D3A8C" w:rsidRPr="006637AE" w:rsidRDefault="007D3A8C" w:rsidP="00BB6BEA">
      <w:pPr>
        <w:pStyle w:val="ListBullet"/>
      </w:pPr>
      <w:r w:rsidRPr="006637AE">
        <w:t xml:space="preserve">New subsections and data items have been included for </w:t>
      </w:r>
      <w:r w:rsidR="00992CB1">
        <w:t>“</w:t>
      </w:r>
      <w:r w:rsidRPr="006637AE">
        <w:t>Hotel Services Expenses</w:t>
      </w:r>
      <w:r w:rsidR="00992CB1">
        <w:t>”</w:t>
      </w:r>
      <w:r w:rsidRPr="006637AE">
        <w:t xml:space="preserve">, </w:t>
      </w:r>
      <w:r w:rsidR="00992CB1">
        <w:t>“</w:t>
      </w:r>
      <w:r w:rsidRPr="006637AE">
        <w:t>Accommodation Expenses</w:t>
      </w:r>
      <w:r w:rsidR="00992CB1">
        <w:t>”</w:t>
      </w:r>
      <w:r w:rsidRPr="006637AE">
        <w:t xml:space="preserve"> and </w:t>
      </w:r>
      <w:r w:rsidR="00992CB1">
        <w:t>“</w:t>
      </w:r>
      <w:r w:rsidRPr="006637AE">
        <w:t>Administration Expenses</w:t>
      </w:r>
      <w:r w:rsidR="00992CB1">
        <w:t>”</w:t>
      </w:r>
      <w:r w:rsidRPr="006637AE">
        <w:t>. These subsections match the reporting in the ACFR, at a more summarised level.</w:t>
      </w:r>
    </w:p>
    <w:p w14:paraId="640FD6CE" w14:textId="7FFC2072" w:rsidR="007D3A8C" w:rsidRPr="006637AE" w:rsidRDefault="007D3A8C" w:rsidP="00BB6BEA">
      <w:pPr>
        <w:pStyle w:val="ListBullet"/>
      </w:pPr>
      <w:r w:rsidRPr="006637AE">
        <w:t xml:space="preserve">Note that </w:t>
      </w:r>
      <w:r w:rsidR="00D94037">
        <w:t>“</w:t>
      </w:r>
      <w:r w:rsidRPr="006637AE">
        <w:t>Hotel</w:t>
      </w:r>
      <w:r w:rsidR="00D94037">
        <w:t>”</w:t>
      </w:r>
      <w:r w:rsidRPr="006637AE">
        <w:t xml:space="preserve"> Services is being renamed to </w:t>
      </w:r>
      <w:r w:rsidR="00D94037">
        <w:t>“</w:t>
      </w:r>
      <w:r w:rsidRPr="006637AE">
        <w:t>Everyday Living</w:t>
      </w:r>
      <w:r w:rsidR="00D94037">
        <w:t>”</w:t>
      </w:r>
      <w:r w:rsidRPr="006637AE">
        <w:t xml:space="preserve"> Services. Templates, guidance and the GPMS portal will be progressively updated to the new name. </w:t>
      </w:r>
    </w:p>
    <w:p w14:paraId="4EB07C38" w14:textId="661291C6" w:rsidR="007D3A8C" w:rsidRPr="006637AE" w:rsidRDefault="007D3A8C" w:rsidP="00BB6BEA">
      <w:pPr>
        <w:pStyle w:val="ListBullet"/>
      </w:pPr>
      <w:r w:rsidRPr="006637AE">
        <w:t xml:space="preserve">Separate reporting of Outbreak Management expense data items have been removed. Non-labour expenses related to outbreak management can now be reported in the new QFR data items </w:t>
      </w:r>
      <w:r w:rsidR="00F83D4E">
        <w:t>“</w:t>
      </w:r>
      <w:r w:rsidRPr="006637AE">
        <w:t>Care Consumables</w:t>
      </w:r>
      <w:r w:rsidR="00F83D4E">
        <w:t>”</w:t>
      </w:r>
      <w:r w:rsidRPr="006637AE">
        <w:t xml:space="preserve"> and </w:t>
      </w:r>
      <w:r w:rsidR="00F83D4E">
        <w:t>“</w:t>
      </w:r>
      <w:r w:rsidRPr="006637AE">
        <w:t>Other Direct Care Expenses</w:t>
      </w:r>
      <w:r w:rsidR="00F83D4E">
        <w:t>”</w:t>
      </w:r>
      <w:r w:rsidRPr="006637AE">
        <w:t>. </w:t>
      </w:r>
    </w:p>
    <w:p w14:paraId="639A5E69" w14:textId="77777777" w:rsidR="007D3A8C" w:rsidRPr="006637AE" w:rsidRDefault="007D3A8C" w:rsidP="00BB6BEA">
      <w:pPr>
        <w:pStyle w:val="ListBullet"/>
      </w:pPr>
      <w:r w:rsidRPr="006637AE">
        <w:t>Registered Nurse worked hours data items for employees and agency have been amended, with the shift information questions have been being removed. Registered Nurse worked hours for employees and agency should now be reported at the total level. </w:t>
      </w:r>
    </w:p>
    <w:p w14:paraId="3424DBD4" w14:textId="77777777" w:rsidR="007D3A8C" w:rsidRPr="006637AE" w:rsidRDefault="007D3A8C" w:rsidP="00BB6BEA">
      <w:pPr>
        <w:pStyle w:val="ListBullet"/>
      </w:pPr>
      <w:r w:rsidRPr="006637AE">
        <w:t>The definition for Personal Care Workers / Assistants in Nursing for employee labour costs and hours has been updated to include a person who is a member of a religious order, such as a nun. </w:t>
      </w:r>
    </w:p>
    <w:p w14:paraId="05122D42" w14:textId="56F453E7" w:rsidR="007D3A8C" w:rsidRPr="006637AE" w:rsidRDefault="007D3A8C" w:rsidP="00BB6BEA">
      <w:pPr>
        <w:pStyle w:val="ListBullet"/>
      </w:pPr>
      <w:r w:rsidRPr="006637AE">
        <w:t xml:space="preserve">Oral Health Living Expenses should now be reported under </w:t>
      </w:r>
      <w:r w:rsidR="00393FE4">
        <w:t>“</w:t>
      </w:r>
      <w:r w:rsidRPr="006637AE">
        <w:t>Other Hotel Services Expenses</w:t>
      </w:r>
      <w:r w:rsidR="00393FE4">
        <w:t>”</w:t>
      </w:r>
      <w:r w:rsidRPr="006637AE">
        <w:t xml:space="preserve"> rather than </w:t>
      </w:r>
      <w:r w:rsidR="00393FE4">
        <w:t>“</w:t>
      </w:r>
      <w:r w:rsidRPr="006637AE">
        <w:t>Care Consumables</w:t>
      </w:r>
      <w:r w:rsidR="00393FE4">
        <w:t>”</w:t>
      </w:r>
      <w:r w:rsidRPr="006637AE">
        <w:t>. Definitions have been updated accordingly.</w:t>
      </w:r>
    </w:p>
    <w:p w14:paraId="019F19D7" w14:textId="123E1AF8" w:rsidR="00173572" w:rsidRPr="00EB1182" w:rsidRDefault="00173572" w:rsidP="00EB1182">
      <w:pPr>
        <w:pStyle w:val="Heading3"/>
      </w:pPr>
      <w:r w:rsidRPr="00EB1182">
        <w:t xml:space="preserve">2.1.2 New Residential Costs </w:t>
      </w:r>
      <w:r w:rsidR="00E14FE7" w:rsidRPr="00EB1182">
        <w:t xml:space="preserve">Per Resident Per Day </w:t>
      </w:r>
      <w:r w:rsidRPr="00EB1182">
        <w:t>data items</w:t>
      </w:r>
    </w:p>
    <w:p w14:paraId="00CFCF16" w14:textId="24D74AF3" w:rsidR="00173572" w:rsidRPr="006637AE" w:rsidRDefault="00706492" w:rsidP="00A8236E">
      <w:r w:rsidRPr="006637AE">
        <w:t xml:space="preserve">New </w:t>
      </w:r>
      <w:r w:rsidR="003B72A5" w:rsidRPr="006637AE">
        <w:t xml:space="preserve">data items have been added for </w:t>
      </w:r>
      <w:r w:rsidR="00340975" w:rsidRPr="006637AE">
        <w:t>“</w:t>
      </w:r>
      <w:r w:rsidRPr="006637AE">
        <w:t>Care Consumables</w:t>
      </w:r>
      <w:r w:rsidR="00340975" w:rsidRPr="006637AE">
        <w:t>”</w:t>
      </w:r>
      <w:r w:rsidRPr="006637AE">
        <w:t xml:space="preserve"> and </w:t>
      </w:r>
      <w:r w:rsidR="00340975" w:rsidRPr="006637AE">
        <w:t>“</w:t>
      </w:r>
      <w:r w:rsidRPr="006637AE">
        <w:t>Other Direct Care Expenses per resident per day</w:t>
      </w:r>
      <w:r w:rsidR="001165D4">
        <w:t>”</w:t>
      </w:r>
      <w:r w:rsidR="003B72A5" w:rsidRPr="006637AE">
        <w:t xml:space="preserve">. </w:t>
      </w:r>
    </w:p>
    <w:p w14:paraId="19E741CD" w14:textId="6873384F" w:rsidR="00B72C7C" w:rsidRPr="00EB1182" w:rsidRDefault="00B72C7C" w:rsidP="00EB1182">
      <w:pPr>
        <w:pStyle w:val="Heading3"/>
      </w:pPr>
      <w:r w:rsidRPr="00EB1182">
        <w:t>2.1.3 Removal of Support at Home data items</w:t>
      </w:r>
    </w:p>
    <w:p w14:paraId="2D7B8BB2" w14:textId="54C849AB" w:rsidR="00C4372B" w:rsidRPr="006637AE" w:rsidRDefault="00C4372B" w:rsidP="006637AE">
      <w:pPr>
        <w:rPr>
          <w:rFonts w:cs="Arial"/>
        </w:rPr>
      </w:pPr>
      <w:r w:rsidRPr="006637AE">
        <w:rPr>
          <w:rFonts w:cs="Arial"/>
        </w:rPr>
        <w:t>There is no longer a requirement to report Support at Home Labour Cost data quarterly. Only rates of pay data is to be reported.  This is to reduce the administration burden of reporting for a period of time. Detailed Support at Home income and expense reporting is still required in the ACFR, which will be analysed to determine what data is to be reported quarterly in the future.</w:t>
      </w:r>
    </w:p>
    <w:p w14:paraId="6C498D11" w14:textId="66DC5632" w:rsidR="00020A78" w:rsidRPr="006637AE" w:rsidRDefault="00C4372B" w:rsidP="006637AE">
      <w:pPr>
        <w:rPr>
          <w:rFonts w:cs="Arial"/>
        </w:rPr>
      </w:pPr>
      <w:r w:rsidRPr="006637AE">
        <w:rPr>
          <w:rFonts w:cs="Arial"/>
        </w:rPr>
        <w:t>Note that the title of the form will be renamed to "Support at Home Rates of Pay</w:t>
      </w:r>
      <w:r w:rsidR="003565C0">
        <w:rPr>
          <w:rFonts w:cs="Arial"/>
        </w:rPr>
        <w:t>”</w:t>
      </w:r>
      <w:r w:rsidRPr="006637AE">
        <w:rPr>
          <w:rFonts w:cs="Arial"/>
        </w:rPr>
        <w:t xml:space="preserve"> in the GPMS portal in the future. </w:t>
      </w:r>
    </w:p>
    <w:p w14:paraId="13CCBC29" w14:textId="483D21E1" w:rsidR="00DC1E0D" w:rsidRPr="00EB1182" w:rsidRDefault="00DC1E0D" w:rsidP="00EB1182">
      <w:pPr>
        <w:pStyle w:val="Heading3"/>
      </w:pPr>
      <w:r w:rsidRPr="00EB1182">
        <w:t>2.1.4 Removal of Food and Nutrition data item</w:t>
      </w:r>
    </w:p>
    <w:p w14:paraId="4ADF1ED2" w14:textId="03AE86D7" w:rsidR="00695334" w:rsidRPr="00D934A4" w:rsidRDefault="008A04AB" w:rsidP="006637AE">
      <w:pPr>
        <w:rPr>
          <w:rFonts w:cs="Arial"/>
        </w:rPr>
      </w:pPr>
      <w:r w:rsidRPr="006637AE">
        <w:t xml:space="preserve">The </w:t>
      </w:r>
      <w:r w:rsidR="00340975" w:rsidRPr="006637AE">
        <w:t>“</w:t>
      </w:r>
      <w:r w:rsidRPr="006637AE">
        <w:t>Oral Health Living Expenses</w:t>
      </w:r>
      <w:r w:rsidR="003565C0">
        <w:t>”</w:t>
      </w:r>
      <w:r w:rsidRPr="006637AE">
        <w:t xml:space="preserve"> data item has been removed, as it no longer needs to be reported as part of food and nutrition reporting. Residential providers however should still report </w:t>
      </w:r>
      <w:r w:rsidR="000A188F">
        <w:t>“</w:t>
      </w:r>
      <w:r w:rsidRPr="006637AE">
        <w:t>Oral Health Living Expenses</w:t>
      </w:r>
      <w:r w:rsidR="000A188F">
        <w:t>”</w:t>
      </w:r>
      <w:r w:rsidRPr="006637AE">
        <w:t xml:space="preserve"> under the new </w:t>
      </w:r>
      <w:r w:rsidR="000A188F">
        <w:t>“</w:t>
      </w:r>
      <w:r w:rsidRPr="006637AE">
        <w:t>Other Hotel Services Expenses</w:t>
      </w:r>
      <w:r w:rsidR="000A188F">
        <w:t>”</w:t>
      </w:r>
      <w:r w:rsidRPr="006637AE">
        <w:t xml:space="preserve"> data items in their Residential Costs and Hours reporting.</w:t>
      </w:r>
      <w:r w:rsidRPr="004D34EB">
        <w:t xml:space="preserve"> </w:t>
      </w:r>
      <w:bookmarkEnd w:id="3"/>
      <w:bookmarkEnd w:id="4"/>
      <w:r w:rsidR="00AA723B" w:rsidRPr="00D934A4">
        <w:rPr>
          <w:rFonts w:cs="Arial"/>
        </w:rPr>
        <w:br w:type="page"/>
      </w:r>
    </w:p>
    <w:p w14:paraId="33E1FE22" w14:textId="1FF89E1A" w:rsidR="00566E8C" w:rsidRPr="004D34EB" w:rsidRDefault="00566E8C" w:rsidP="004D34EB"/>
    <w:p w14:paraId="53E85A3B" w14:textId="5C91242A" w:rsidR="00566E8C" w:rsidRPr="004D34EB" w:rsidRDefault="00566E8C" w:rsidP="004D34EB"/>
    <w:p w14:paraId="34862FCE" w14:textId="46BFD7E2" w:rsidR="00B96007" w:rsidRPr="00D934A4" w:rsidRDefault="00B96007" w:rsidP="00934368">
      <w:pPr>
        <w:rPr>
          <w:rFonts w:cs="Arial"/>
        </w:rPr>
      </w:pPr>
    </w:p>
    <w:p w14:paraId="3D953522" w14:textId="402A4F74" w:rsidR="00A86D0E" w:rsidRPr="00D934A4" w:rsidRDefault="00101599" w:rsidP="009B5601">
      <w:pPr>
        <w:pStyle w:val="SectionNumber"/>
        <w:rPr>
          <w:rFonts w:cs="Arial"/>
          <w:noProof w:val="0"/>
        </w:rPr>
      </w:pPr>
      <w:r w:rsidRPr="00D934A4">
        <w:rPr>
          <w:rFonts w:cs="Arial"/>
        </w:rPr>
        <mc:AlternateContent>
          <mc:Choice Requires="wps">
            <w:drawing>
              <wp:anchor distT="0" distB="0" distL="114300" distR="114300" simplePos="0" relativeHeight="251658241" behindDoc="1" locked="0" layoutInCell="1" allowOverlap="1" wp14:anchorId="60511531" wp14:editId="3F8BAE93">
                <wp:simplePos x="171450" y="400050"/>
                <wp:positionH relativeFrom="page">
                  <wp:align>left</wp:align>
                </wp:positionH>
                <wp:positionV relativeFrom="page">
                  <wp:align>top</wp:align>
                </wp:positionV>
                <wp:extent cx="7560000" cy="10692000"/>
                <wp:effectExtent l="0" t="0" r="3175" b="0"/>
                <wp:wrapNone/>
                <wp:docPr id="50" name="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7EC160DE">
              <v:rect id="Rectangle 50" style="position:absolute;margin-left:0;margin-top:0;width:595.3pt;height:841.9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33727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782C19">
        <w:rPr>
          <w:rFonts w:cs="Arial"/>
          <w:noProof w:val="0"/>
        </w:rPr>
        <w:t>3</w:t>
      </w:r>
    </w:p>
    <w:p w14:paraId="202423AF" w14:textId="25D9B039" w:rsidR="009432BF" w:rsidRPr="00D934A4" w:rsidRDefault="00E64982" w:rsidP="004D34EB">
      <w:pPr>
        <w:pStyle w:val="SectionTitle"/>
      </w:pPr>
      <w:r>
        <w:t>General guidance</w:t>
      </w:r>
    </w:p>
    <w:p w14:paraId="71653543" w14:textId="77777777" w:rsidR="009432BF" w:rsidRPr="00BB6BEA" w:rsidRDefault="009432BF" w:rsidP="00BB6BEA">
      <w:r w:rsidRPr="00BB6BEA">
        <w:br w:type="page"/>
      </w:r>
    </w:p>
    <w:p w14:paraId="17AE9B58" w14:textId="144653D1" w:rsidR="00F212B6" w:rsidRPr="00A47245" w:rsidRDefault="00C25805" w:rsidP="006A0A24">
      <w:pPr>
        <w:pStyle w:val="NewHeading1"/>
      </w:pPr>
      <w:bookmarkStart w:id="5" w:name="_Toc236740373"/>
      <w:r w:rsidRPr="00A47245">
        <w:t>3</w:t>
      </w:r>
      <w:r w:rsidR="00604CC5" w:rsidRPr="00A47245">
        <w:t xml:space="preserve">. </w:t>
      </w:r>
      <w:r w:rsidR="00EE2FD9">
        <w:t>General</w:t>
      </w:r>
      <w:r w:rsidR="00E64982">
        <w:t xml:space="preserve"> guidance</w:t>
      </w:r>
      <w:r w:rsidR="003A0A70">
        <w:t xml:space="preserve"> &amp; FAQs</w:t>
      </w:r>
      <w:bookmarkEnd w:id="5"/>
    </w:p>
    <w:p w14:paraId="639BBCC1" w14:textId="71DE2AA8" w:rsidR="009504DF" w:rsidRPr="00D934A4" w:rsidRDefault="00AE4F2C" w:rsidP="00AE4F2C">
      <w:pPr>
        <w:pStyle w:val="NewHeading2"/>
      </w:pPr>
      <w:r>
        <w:t xml:space="preserve">3.1 </w:t>
      </w:r>
      <w:r w:rsidR="00F212B6" w:rsidRPr="00D934A4">
        <w:t>General FAQs</w:t>
      </w:r>
      <w:r w:rsidR="009504DF" w:rsidRPr="00D934A4">
        <w:t xml:space="preserve"> </w:t>
      </w:r>
    </w:p>
    <w:p w14:paraId="6A583138" w14:textId="14DBF882" w:rsidR="009504DF" w:rsidRPr="00EB1182" w:rsidRDefault="009C2401" w:rsidP="00EB1182">
      <w:pPr>
        <w:pStyle w:val="Heading3"/>
      </w:pPr>
      <w:r w:rsidRPr="00EB1182">
        <w:t>3.</w:t>
      </w:r>
      <w:r w:rsidR="00D62656" w:rsidRPr="00EB1182">
        <w:t>1</w:t>
      </w:r>
      <w:r w:rsidR="00B64B5E" w:rsidRPr="00EB1182">
        <w:t>.1</w:t>
      </w:r>
      <w:r w:rsidRPr="00EB1182">
        <w:t xml:space="preserve"> </w:t>
      </w:r>
      <w:r w:rsidR="009504DF" w:rsidRPr="00EB1182">
        <w:t>Does the QFR replace the Aged Care Financial Report (ACFR)? </w:t>
      </w:r>
    </w:p>
    <w:p w14:paraId="546532EE" w14:textId="77777777" w:rsidR="009504DF" w:rsidRPr="00D934A4" w:rsidRDefault="009504DF" w:rsidP="009504DF">
      <w:pPr>
        <w:rPr>
          <w:rFonts w:cs="Arial"/>
        </w:rPr>
      </w:pPr>
      <w:r w:rsidRPr="00D934A4">
        <w:rPr>
          <w:rFonts w:cs="Arial"/>
        </w:rPr>
        <w:t>No. The QFR is in addition to the ACFR.  </w:t>
      </w:r>
    </w:p>
    <w:p w14:paraId="495FC71A" w14:textId="470FABFE" w:rsidR="009504DF" w:rsidRPr="00EB1182" w:rsidRDefault="009C2401" w:rsidP="00EB1182">
      <w:pPr>
        <w:pStyle w:val="Heading3"/>
      </w:pPr>
      <w:r w:rsidRPr="00EB1182">
        <w:t>3.</w:t>
      </w:r>
      <w:r w:rsidR="00A819A7" w:rsidRPr="00EB1182">
        <w:t>1.</w:t>
      </w:r>
      <w:r w:rsidR="00E80257" w:rsidRPr="00EB1182">
        <w:t>2</w:t>
      </w:r>
      <w:r w:rsidRPr="00EB1182">
        <w:t xml:space="preserve"> </w:t>
      </w:r>
      <w:r w:rsidR="009504DF" w:rsidRPr="00EB1182">
        <w:t>Is the reporting format of the QFR similar to the ACFR? </w:t>
      </w:r>
    </w:p>
    <w:p w14:paraId="7A6606D6" w14:textId="122DF97C" w:rsidR="009504DF" w:rsidRPr="00D934A4" w:rsidRDefault="009504DF" w:rsidP="009504DF">
      <w:pPr>
        <w:rPr>
          <w:rFonts w:cs="Arial"/>
        </w:rPr>
      </w:pPr>
      <w:r w:rsidRPr="00D934A4">
        <w:rPr>
          <w:rFonts w:cs="Arial"/>
        </w:rPr>
        <w:t xml:space="preserve">Not all sections of the QFR replicate the ACFR. For example, the </w:t>
      </w:r>
      <w:r w:rsidR="005C43EB" w:rsidRPr="00D934A4">
        <w:rPr>
          <w:rFonts w:cs="Arial"/>
        </w:rPr>
        <w:t>“</w:t>
      </w:r>
      <w:r w:rsidRPr="00D934A4">
        <w:rPr>
          <w:rFonts w:cs="Arial"/>
        </w:rPr>
        <w:t>YTD Financial Statement</w:t>
      </w:r>
      <w:r w:rsidR="003D0488" w:rsidRPr="00D934A4">
        <w:rPr>
          <w:rFonts w:cs="Arial"/>
        </w:rPr>
        <w:t>”</w:t>
      </w:r>
      <w:r w:rsidRPr="00D934A4">
        <w:rPr>
          <w:rFonts w:cs="Arial"/>
        </w:rPr>
        <w:t xml:space="preserve"> is collected at the registered provider level in the QFR but at the Ultimate Australian Parent Entity level in the ACFR. The </w:t>
      </w:r>
      <w:r w:rsidR="003D0488" w:rsidRPr="00D934A4">
        <w:rPr>
          <w:rFonts w:cs="Arial"/>
        </w:rPr>
        <w:t>“</w:t>
      </w:r>
      <w:r w:rsidRPr="00D934A4">
        <w:rPr>
          <w:rFonts w:cs="Arial"/>
        </w:rPr>
        <w:t>Viability and Prudential Compliance</w:t>
      </w:r>
      <w:r w:rsidR="003D0488" w:rsidRPr="00D934A4">
        <w:rPr>
          <w:rFonts w:cs="Arial"/>
        </w:rPr>
        <w:t>”</w:t>
      </w:r>
      <w:r w:rsidRPr="00D934A4">
        <w:rPr>
          <w:rFonts w:cs="Arial"/>
        </w:rPr>
        <w:t xml:space="preserve"> and the </w:t>
      </w:r>
      <w:r w:rsidR="003D0488" w:rsidRPr="00D934A4">
        <w:rPr>
          <w:rFonts w:cs="Arial"/>
        </w:rPr>
        <w:t>“</w:t>
      </w:r>
      <w:r w:rsidRPr="00D934A4">
        <w:rPr>
          <w:rFonts w:cs="Arial"/>
        </w:rPr>
        <w:t>Food and Nutrition</w:t>
      </w:r>
      <w:r w:rsidR="007A4F66">
        <w:rPr>
          <w:rFonts w:cs="Arial"/>
        </w:rPr>
        <w:t xml:space="preserve"> Costs</w:t>
      </w:r>
      <w:r w:rsidR="003D0488" w:rsidRPr="00D934A4">
        <w:rPr>
          <w:rFonts w:cs="Arial"/>
        </w:rPr>
        <w:t>”</w:t>
      </w:r>
      <w:r w:rsidRPr="00D934A4">
        <w:rPr>
          <w:rFonts w:cs="Arial"/>
        </w:rPr>
        <w:t xml:space="preserve"> </w:t>
      </w:r>
      <w:r w:rsidR="00C87C29" w:rsidRPr="00D934A4">
        <w:rPr>
          <w:rFonts w:cs="Arial"/>
        </w:rPr>
        <w:t>forms</w:t>
      </w:r>
      <w:r w:rsidRPr="00D934A4">
        <w:rPr>
          <w:rFonts w:cs="Arial"/>
        </w:rPr>
        <w:t xml:space="preserve"> are not collected in the ACFR. </w:t>
      </w:r>
    </w:p>
    <w:p w14:paraId="37212A24" w14:textId="10A52662" w:rsidR="009504DF" w:rsidRPr="00D934A4" w:rsidRDefault="009504DF" w:rsidP="009504DF">
      <w:pPr>
        <w:rPr>
          <w:rFonts w:cs="Arial"/>
        </w:rPr>
      </w:pPr>
      <w:r w:rsidRPr="00D934A4">
        <w:rPr>
          <w:rFonts w:cs="Arial"/>
        </w:rPr>
        <w:t xml:space="preserve">The </w:t>
      </w:r>
      <w:r w:rsidR="003D0488" w:rsidRPr="00D934A4">
        <w:rPr>
          <w:rFonts w:cs="Arial"/>
        </w:rPr>
        <w:t>“R</w:t>
      </w:r>
      <w:r w:rsidRPr="00D934A4">
        <w:rPr>
          <w:rFonts w:cs="Arial"/>
        </w:rPr>
        <w:t>esidential Costs and Hours</w:t>
      </w:r>
      <w:r w:rsidR="003D0488" w:rsidRPr="00D934A4">
        <w:rPr>
          <w:rFonts w:cs="Arial"/>
        </w:rPr>
        <w:t>”</w:t>
      </w:r>
      <w:r w:rsidRPr="00D934A4">
        <w:rPr>
          <w:rFonts w:cs="Arial"/>
        </w:rPr>
        <w:t xml:space="preserve"> </w:t>
      </w:r>
      <w:r w:rsidR="003D0488" w:rsidRPr="00D934A4">
        <w:rPr>
          <w:rFonts w:cs="Arial"/>
        </w:rPr>
        <w:t>form</w:t>
      </w:r>
      <w:r w:rsidR="00664579">
        <w:rPr>
          <w:rFonts w:cs="Arial"/>
        </w:rPr>
        <w:t xml:space="preserve"> in the QFR</w:t>
      </w:r>
      <w:r w:rsidRPr="00D934A4">
        <w:rPr>
          <w:rFonts w:cs="Arial"/>
        </w:rPr>
        <w:t xml:space="preserve"> is designed to resemble the ACFR</w:t>
      </w:r>
      <w:r w:rsidR="00403704">
        <w:rPr>
          <w:rFonts w:cs="Arial"/>
        </w:rPr>
        <w:t xml:space="preserve">, with differences </w:t>
      </w:r>
      <w:r w:rsidRPr="00D934A4">
        <w:rPr>
          <w:rFonts w:cs="Arial"/>
        </w:rPr>
        <w:t>includ</w:t>
      </w:r>
      <w:r w:rsidR="00403704">
        <w:rPr>
          <w:rFonts w:cs="Arial"/>
        </w:rPr>
        <w:t>ing</w:t>
      </w:r>
      <w:r w:rsidRPr="00D934A4">
        <w:rPr>
          <w:rFonts w:cs="Arial"/>
        </w:rPr>
        <w:t>: </w:t>
      </w:r>
    </w:p>
    <w:p w14:paraId="0E5A7E39" w14:textId="77777777" w:rsidR="009504DF" w:rsidRPr="00D934A4" w:rsidRDefault="009504DF" w:rsidP="00BB6BEA">
      <w:pPr>
        <w:pStyle w:val="ListBullet"/>
      </w:pPr>
      <w:r w:rsidRPr="00D934A4">
        <w:t>Allied health is broken up into specific professions in the QFR but not the ACFR. </w:t>
      </w:r>
    </w:p>
    <w:p w14:paraId="40A90DB3" w14:textId="2ABE3AD2" w:rsidR="009504DF" w:rsidRPr="00D934A4" w:rsidRDefault="00EE4418" w:rsidP="00BB6BEA">
      <w:pPr>
        <w:pStyle w:val="ListBullet"/>
      </w:pPr>
      <w:r>
        <w:t xml:space="preserve">‘Care consumables’ and </w:t>
      </w:r>
      <w:r w:rsidR="009504DF" w:rsidRPr="00D934A4">
        <w:t>‘Other direct care expenses’</w:t>
      </w:r>
      <w:r>
        <w:t xml:space="preserve"> are reported at a summarised level in the QFR</w:t>
      </w:r>
      <w:r w:rsidR="00947B0E">
        <w:t xml:space="preserve">, compared to </w:t>
      </w:r>
      <w:r w:rsidR="00403704">
        <w:t>a more</w:t>
      </w:r>
      <w:r>
        <w:t xml:space="preserve"> detailed level in the ACFR.</w:t>
      </w:r>
    </w:p>
    <w:p w14:paraId="307F6053" w14:textId="68D924E6" w:rsidR="009504DF" w:rsidRPr="00D934A4" w:rsidRDefault="009504DF" w:rsidP="00BB6BEA">
      <w:pPr>
        <w:pStyle w:val="ListBullet"/>
      </w:pPr>
      <w:r w:rsidRPr="00D934A4">
        <w:t>Providers are required to report on residential expenses relating to hotel</w:t>
      </w:r>
      <w:r w:rsidR="00EC29C5">
        <w:t>/everyday living</w:t>
      </w:r>
      <w:r w:rsidRPr="00D934A4">
        <w:t xml:space="preserve"> services, administration, </w:t>
      </w:r>
      <w:r w:rsidR="00EC29C5">
        <w:t xml:space="preserve">and </w:t>
      </w:r>
      <w:r w:rsidRPr="00D934A4">
        <w:t xml:space="preserve">accommodation </w:t>
      </w:r>
      <w:r w:rsidR="0091511A">
        <w:t xml:space="preserve">at a </w:t>
      </w:r>
      <w:r w:rsidR="00FF247D">
        <w:t>summarised level in the QFR</w:t>
      </w:r>
      <w:r w:rsidR="00F14161">
        <w:t xml:space="preserve">, compared to a </w:t>
      </w:r>
      <w:r w:rsidR="00403704">
        <w:t xml:space="preserve">more </w:t>
      </w:r>
      <w:r w:rsidR="00FF247D">
        <w:t>detailed level in th</w:t>
      </w:r>
      <w:r w:rsidR="0003465F">
        <w:t>e ACFR.</w:t>
      </w:r>
      <w:r w:rsidRPr="00D934A4">
        <w:t> </w:t>
      </w:r>
    </w:p>
    <w:p w14:paraId="6E57D244" w14:textId="6A36C27E" w:rsidR="009504DF" w:rsidRPr="00EB1182" w:rsidRDefault="009C2401" w:rsidP="00EB1182">
      <w:pPr>
        <w:pStyle w:val="Heading3"/>
      </w:pPr>
      <w:r w:rsidRPr="00EB1182">
        <w:t>3.</w:t>
      </w:r>
      <w:r w:rsidR="00A819A7" w:rsidRPr="00EB1182">
        <w:t>1.</w:t>
      </w:r>
      <w:r w:rsidR="00F85B99" w:rsidRPr="00EB1182">
        <w:t>3</w:t>
      </w:r>
      <w:r w:rsidRPr="00EB1182">
        <w:t xml:space="preserve"> </w:t>
      </w:r>
      <w:r w:rsidR="009504DF" w:rsidRPr="00EB1182">
        <w:t>Does the QFR need to match the ACFR? </w:t>
      </w:r>
    </w:p>
    <w:p w14:paraId="3A2A79EF" w14:textId="7931D90B" w:rsidR="009504DF" w:rsidRPr="00D934A4" w:rsidRDefault="009504DF" w:rsidP="009504DF">
      <w:pPr>
        <w:rPr>
          <w:rFonts w:cs="Arial"/>
        </w:rPr>
      </w:pPr>
      <w:r w:rsidRPr="00D934A4">
        <w:rPr>
          <w:rFonts w:cs="Arial"/>
        </w:rPr>
        <w:t xml:space="preserve">No. The four quarters of </w:t>
      </w:r>
      <w:r w:rsidR="00D92567" w:rsidRPr="00D934A4">
        <w:rPr>
          <w:rFonts w:cs="Arial"/>
        </w:rPr>
        <w:t xml:space="preserve">QFR </w:t>
      </w:r>
      <w:r w:rsidRPr="00D934A4">
        <w:rPr>
          <w:rFonts w:cs="Arial"/>
        </w:rPr>
        <w:t xml:space="preserve">data do not need to add up to </w:t>
      </w:r>
      <w:r w:rsidR="00555771" w:rsidRPr="00D934A4">
        <w:rPr>
          <w:rFonts w:cs="Arial"/>
        </w:rPr>
        <w:t>figures report</w:t>
      </w:r>
      <w:r w:rsidR="00D92567" w:rsidRPr="00D934A4">
        <w:rPr>
          <w:rFonts w:cs="Arial"/>
        </w:rPr>
        <w:t>ed</w:t>
      </w:r>
      <w:r w:rsidR="00555771" w:rsidRPr="00D934A4">
        <w:rPr>
          <w:rFonts w:cs="Arial"/>
        </w:rPr>
        <w:t xml:space="preserve"> in </w:t>
      </w:r>
      <w:r w:rsidRPr="00D934A4">
        <w:rPr>
          <w:rFonts w:cs="Arial"/>
        </w:rPr>
        <w:t xml:space="preserve">the ACFR. Data for the </w:t>
      </w:r>
      <w:r w:rsidR="00472C2A" w:rsidRPr="00D934A4">
        <w:rPr>
          <w:rFonts w:cs="Arial"/>
        </w:rPr>
        <w:t xml:space="preserve">“Residential </w:t>
      </w:r>
      <w:r w:rsidRPr="00D934A4">
        <w:rPr>
          <w:rFonts w:cs="Arial"/>
        </w:rPr>
        <w:t>Cost</w:t>
      </w:r>
      <w:r w:rsidR="00AF5C25">
        <w:rPr>
          <w:rFonts w:cs="Arial"/>
        </w:rPr>
        <w:t>s</w:t>
      </w:r>
      <w:r w:rsidRPr="00D934A4">
        <w:rPr>
          <w:rFonts w:cs="Arial"/>
        </w:rPr>
        <w:t xml:space="preserve"> and Hours</w:t>
      </w:r>
      <w:r w:rsidR="00472C2A" w:rsidRPr="00D934A4">
        <w:rPr>
          <w:rFonts w:cs="Arial"/>
        </w:rPr>
        <w:t>”</w:t>
      </w:r>
      <w:r w:rsidRPr="00D934A4">
        <w:rPr>
          <w:rFonts w:cs="Arial"/>
        </w:rPr>
        <w:t xml:space="preserve"> and </w:t>
      </w:r>
      <w:r w:rsidR="00472C2A" w:rsidRPr="00D934A4">
        <w:rPr>
          <w:rFonts w:cs="Arial"/>
        </w:rPr>
        <w:t>“</w:t>
      </w:r>
      <w:r w:rsidRPr="00D934A4">
        <w:rPr>
          <w:rFonts w:cs="Arial"/>
        </w:rPr>
        <w:t>Food and Nutrition</w:t>
      </w:r>
      <w:r w:rsidR="00472C2A" w:rsidRPr="00D934A4">
        <w:rPr>
          <w:rFonts w:cs="Arial"/>
        </w:rPr>
        <w:t>”</w:t>
      </w:r>
      <w:r w:rsidRPr="00D934A4">
        <w:rPr>
          <w:rFonts w:cs="Arial"/>
        </w:rPr>
        <w:t xml:space="preserve"> </w:t>
      </w:r>
      <w:r w:rsidR="000124DE" w:rsidRPr="00D934A4">
        <w:rPr>
          <w:rFonts w:cs="Arial"/>
        </w:rPr>
        <w:t>forms</w:t>
      </w:r>
      <w:r w:rsidRPr="00D934A4">
        <w:rPr>
          <w:rFonts w:cs="Arial"/>
        </w:rPr>
        <w:t xml:space="preserve"> need to only cover the three months of the reporting period and is not </w:t>
      </w:r>
      <w:r w:rsidR="00B75249" w:rsidRPr="00D934A4">
        <w:rPr>
          <w:rFonts w:cs="Arial"/>
        </w:rPr>
        <w:t xml:space="preserve">to include </w:t>
      </w:r>
      <w:r w:rsidRPr="00D934A4">
        <w:rPr>
          <w:rFonts w:cs="Arial"/>
        </w:rPr>
        <w:t>adjustments to correct errors from previous quarters</w:t>
      </w:r>
      <w:r w:rsidR="00CF097D" w:rsidRPr="00D934A4">
        <w:rPr>
          <w:rFonts w:cs="Arial"/>
        </w:rPr>
        <w:t>.</w:t>
      </w:r>
      <w:r w:rsidRPr="00D934A4">
        <w:rPr>
          <w:rFonts w:cs="Arial"/>
        </w:rPr>
        <w:t xml:space="preserve"> The year-to-date values reported in the </w:t>
      </w:r>
      <w:r w:rsidR="002F7BA5" w:rsidRPr="00D934A4">
        <w:rPr>
          <w:rFonts w:cs="Arial"/>
        </w:rPr>
        <w:t>QFR Q</w:t>
      </w:r>
      <w:r w:rsidRPr="00D934A4">
        <w:rPr>
          <w:rFonts w:cs="Arial"/>
        </w:rPr>
        <w:t>uarter 4 income statement can differ to the ACFR where providers have not had the opportunity to input end of year adjustment journals in their quarter 4 QFR. Although items need to be categorised correctly in the QFR, the department recognises that the QFR may not perfectly match data reported in the ACFR. </w:t>
      </w:r>
    </w:p>
    <w:p w14:paraId="0A9489CA" w14:textId="5F5E8424" w:rsidR="009504DF" w:rsidRPr="00EB1182" w:rsidRDefault="009C2401" w:rsidP="00EB1182">
      <w:pPr>
        <w:pStyle w:val="Heading3"/>
      </w:pPr>
      <w:r w:rsidRPr="00EB1182">
        <w:t>3.</w:t>
      </w:r>
      <w:r w:rsidR="00A819A7" w:rsidRPr="00EB1182">
        <w:t>1.</w:t>
      </w:r>
      <w:r w:rsidR="003B6F27" w:rsidRPr="00EB1182">
        <w:t>4</w:t>
      </w:r>
      <w:r w:rsidRPr="00EB1182">
        <w:t xml:space="preserve"> </w:t>
      </w:r>
      <w:r w:rsidR="009504DF" w:rsidRPr="00EB1182">
        <w:t>Is a QFR required for providers that have more than one location/company offering services (but not consolidated for tax)? </w:t>
      </w:r>
    </w:p>
    <w:p w14:paraId="7F76B430" w14:textId="36401263" w:rsidR="009504DF" w:rsidRPr="00D934A4" w:rsidRDefault="009504DF" w:rsidP="009504DF">
      <w:pPr>
        <w:rPr>
          <w:rFonts w:cs="Arial"/>
        </w:rPr>
      </w:pPr>
      <w:r w:rsidRPr="00D934A4">
        <w:rPr>
          <w:rFonts w:cs="Arial"/>
        </w:rPr>
        <w:t xml:space="preserve">The QFR is required to be submitted at the </w:t>
      </w:r>
      <w:r w:rsidR="00BE0302" w:rsidRPr="00D934A4">
        <w:rPr>
          <w:rFonts w:cs="Arial"/>
        </w:rPr>
        <w:t>R</w:t>
      </w:r>
      <w:r w:rsidRPr="00D934A4">
        <w:rPr>
          <w:rFonts w:cs="Arial"/>
        </w:rPr>
        <w:t xml:space="preserve">egistered </w:t>
      </w:r>
      <w:r w:rsidR="00BE0302" w:rsidRPr="00D934A4">
        <w:rPr>
          <w:rFonts w:cs="Arial"/>
        </w:rPr>
        <w:t>P</w:t>
      </w:r>
      <w:r w:rsidRPr="00D934A4">
        <w:rPr>
          <w:rFonts w:cs="Arial"/>
        </w:rPr>
        <w:t xml:space="preserve">rovider level for each </w:t>
      </w:r>
      <w:r w:rsidR="00645DB3">
        <w:rPr>
          <w:rFonts w:cs="Arial"/>
        </w:rPr>
        <w:t>R</w:t>
      </w:r>
      <w:r w:rsidRPr="00D934A4">
        <w:rPr>
          <w:rFonts w:cs="Arial"/>
        </w:rPr>
        <w:t xml:space="preserve">egistered </w:t>
      </w:r>
      <w:r w:rsidR="00645DB3">
        <w:rPr>
          <w:rFonts w:cs="Arial"/>
        </w:rPr>
        <w:t>P</w:t>
      </w:r>
      <w:r w:rsidRPr="00D934A4">
        <w:rPr>
          <w:rFonts w:cs="Arial"/>
        </w:rPr>
        <w:t>rovider ID. </w:t>
      </w:r>
    </w:p>
    <w:p w14:paraId="07EBA348" w14:textId="003630C5" w:rsidR="009504DF" w:rsidRPr="00EB1182" w:rsidRDefault="009C2401" w:rsidP="00EB1182">
      <w:pPr>
        <w:pStyle w:val="Heading3"/>
      </w:pPr>
      <w:r w:rsidRPr="00EB1182">
        <w:t>3.</w:t>
      </w:r>
      <w:r w:rsidR="00A819A7" w:rsidRPr="00EB1182">
        <w:t>1.</w:t>
      </w:r>
      <w:r w:rsidR="003B6F27" w:rsidRPr="00EB1182">
        <w:t>5</w:t>
      </w:r>
      <w:r w:rsidRPr="00EB1182">
        <w:t xml:space="preserve"> </w:t>
      </w:r>
      <w:r w:rsidR="009504DF" w:rsidRPr="00EB1182">
        <w:t>If a provider has exited or entered the market in the quarter do they need to report? </w:t>
      </w:r>
    </w:p>
    <w:p w14:paraId="75E3AEC9" w14:textId="77777777" w:rsidR="009504DF" w:rsidRPr="00D934A4" w:rsidRDefault="009504DF" w:rsidP="009504DF">
      <w:pPr>
        <w:rPr>
          <w:rFonts w:cs="Arial"/>
        </w:rPr>
      </w:pPr>
      <w:r w:rsidRPr="00D934A4">
        <w:rPr>
          <w:rFonts w:cs="Arial"/>
        </w:rPr>
        <w:t>Yes. If a provider has exited the market in the quarter, they must still report in the QFR for that quarter. If a new provider has entered the market in that quarter, they must report in the QFR for that quarter.  </w:t>
      </w:r>
    </w:p>
    <w:p w14:paraId="3AB5469D" w14:textId="4B5DDF0F" w:rsidR="009504DF" w:rsidRPr="00EB1182" w:rsidRDefault="009C2401" w:rsidP="00EB1182">
      <w:pPr>
        <w:pStyle w:val="Heading3"/>
      </w:pPr>
      <w:r w:rsidRPr="00EB1182">
        <w:t>3.</w:t>
      </w:r>
      <w:r w:rsidR="00A819A7" w:rsidRPr="00EB1182">
        <w:t>1.</w:t>
      </w:r>
      <w:r w:rsidR="000B08F5" w:rsidRPr="00EB1182">
        <w:t>6</w:t>
      </w:r>
      <w:r w:rsidRPr="00EB1182">
        <w:t xml:space="preserve"> </w:t>
      </w:r>
      <w:r w:rsidR="009504DF" w:rsidRPr="00EB1182">
        <w:t>If a provider has sold their business during the quarter to a new business, who is required to report in the QFR? </w:t>
      </w:r>
    </w:p>
    <w:p w14:paraId="5762B699" w14:textId="4E1E1D43" w:rsidR="009504DF" w:rsidRPr="00D934A4" w:rsidRDefault="009504DF" w:rsidP="009504DF">
      <w:pPr>
        <w:rPr>
          <w:rFonts w:cs="Arial"/>
        </w:rPr>
      </w:pPr>
      <w:r w:rsidRPr="00D934A4">
        <w:rPr>
          <w:rFonts w:cs="Arial"/>
        </w:rPr>
        <w:t xml:space="preserve">If a provider has sold or transferred their residential aged care home to another provider during the reporting period, both the selling and acquiring providers must report in the QFR for that period. For example, if the residential aged care home was sold on 15 </w:t>
      </w:r>
      <w:r w:rsidR="00BE7712">
        <w:rPr>
          <w:rFonts w:cs="Arial"/>
        </w:rPr>
        <w:t>August</w:t>
      </w:r>
      <w:r w:rsidRPr="00D934A4">
        <w:rPr>
          <w:rFonts w:cs="Arial"/>
        </w:rPr>
        <w:t>, they would be required to complete their QFR up until that period and the new owner would be required to complete a QFR for the remainder of the period.  </w:t>
      </w:r>
    </w:p>
    <w:p w14:paraId="0103E2F4" w14:textId="705A72DA" w:rsidR="009504DF" w:rsidRPr="00EB1182" w:rsidRDefault="009C2401" w:rsidP="00EB1182">
      <w:pPr>
        <w:pStyle w:val="Heading3"/>
      </w:pPr>
      <w:r w:rsidRPr="00EB1182">
        <w:t>3.</w:t>
      </w:r>
      <w:r w:rsidR="00A819A7" w:rsidRPr="00EB1182">
        <w:t>1.</w:t>
      </w:r>
      <w:r w:rsidR="000B08F5" w:rsidRPr="00EB1182">
        <w:t>7</w:t>
      </w:r>
      <w:r w:rsidRPr="00EB1182">
        <w:t xml:space="preserve"> </w:t>
      </w:r>
      <w:r w:rsidR="009504DF" w:rsidRPr="00EB1182">
        <w:t>Is the QFR a cumulative report? </w:t>
      </w:r>
    </w:p>
    <w:p w14:paraId="0D26562D" w14:textId="77777777" w:rsidR="009504DF" w:rsidRPr="00D934A4" w:rsidRDefault="009504DF" w:rsidP="009504DF">
      <w:pPr>
        <w:rPr>
          <w:rFonts w:cs="Arial"/>
        </w:rPr>
      </w:pPr>
      <w:r w:rsidRPr="00D934A4">
        <w:rPr>
          <w:rFonts w:cs="Arial"/>
        </w:rPr>
        <w:t>YTD Financial Statements are reported on a year-to-date basis.  </w:t>
      </w:r>
    </w:p>
    <w:p w14:paraId="12C4C448" w14:textId="682B3D5B" w:rsidR="009504DF" w:rsidRPr="00D934A4" w:rsidRDefault="009504DF" w:rsidP="009504DF">
      <w:pPr>
        <w:rPr>
          <w:rFonts w:cs="Arial"/>
        </w:rPr>
      </w:pPr>
      <w:r w:rsidRPr="00D934A4">
        <w:rPr>
          <w:rFonts w:cs="Arial"/>
        </w:rPr>
        <w:t xml:space="preserve">The ‘Viability and Prudential Compliance’ </w:t>
      </w:r>
      <w:r w:rsidR="00DC7040" w:rsidRPr="00D934A4">
        <w:rPr>
          <w:rFonts w:cs="Arial"/>
        </w:rPr>
        <w:t>form</w:t>
      </w:r>
      <w:r w:rsidRPr="00D934A4">
        <w:rPr>
          <w:rFonts w:cs="Arial"/>
        </w:rPr>
        <w:t xml:space="preserve"> is point in time, reflecting the viability situation at the time of reporting.  </w:t>
      </w:r>
    </w:p>
    <w:p w14:paraId="6CAA6AA0" w14:textId="77777777" w:rsidR="007D74F1" w:rsidRPr="00D934A4" w:rsidRDefault="009504DF" w:rsidP="009504DF">
      <w:pPr>
        <w:rPr>
          <w:rFonts w:cs="Arial"/>
        </w:rPr>
      </w:pPr>
      <w:r w:rsidRPr="00D934A4">
        <w:rPr>
          <w:rFonts w:cs="Arial"/>
        </w:rPr>
        <w:t>All other sections should be completed for that quarter only.</w:t>
      </w:r>
    </w:p>
    <w:p w14:paraId="304E88D8" w14:textId="3427BEFC" w:rsidR="009504DF" w:rsidRPr="00EB1182" w:rsidRDefault="009C2401" w:rsidP="00EB1182">
      <w:pPr>
        <w:pStyle w:val="Heading3"/>
      </w:pPr>
      <w:r w:rsidRPr="00EB1182">
        <w:t>3.</w:t>
      </w:r>
      <w:r w:rsidR="00A819A7" w:rsidRPr="00EB1182">
        <w:t>1.</w:t>
      </w:r>
      <w:r w:rsidR="000B08F5" w:rsidRPr="00EB1182">
        <w:t>8</w:t>
      </w:r>
      <w:r w:rsidRPr="00EB1182">
        <w:t xml:space="preserve"> </w:t>
      </w:r>
      <w:r w:rsidR="009504DF" w:rsidRPr="00EB1182">
        <w:t>Why do small operations have to report in the same way as large organisations? </w:t>
      </w:r>
    </w:p>
    <w:p w14:paraId="4FE4884B" w14:textId="77777777" w:rsidR="009504DF" w:rsidRPr="00D934A4" w:rsidRDefault="009504DF" w:rsidP="009504DF">
      <w:pPr>
        <w:rPr>
          <w:rFonts w:cs="Arial"/>
        </w:rPr>
      </w:pPr>
      <w:r w:rsidRPr="00D934A4">
        <w:rPr>
          <w:rFonts w:cs="Arial"/>
        </w:rPr>
        <w:t>Reporting requirements are consistent across all providers, irrespective of their size, to ensure accountability and transparency of how Government funding is being used. </w:t>
      </w:r>
    </w:p>
    <w:p w14:paraId="0D4D81D3" w14:textId="0777D40C" w:rsidR="009504DF" w:rsidRPr="00EB1182" w:rsidRDefault="009C2401" w:rsidP="00EB1182">
      <w:pPr>
        <w:pStyle w:val="Heading3"/>
      </w:pPr>
      <w:r w:rsidRPr="00EB1182">
        <w:t>3.</w:t>
      </w:r>
      <w:r w:rsidR="00A819A7" w:rsidRPr="00EB1182">
        <w:t>1.</w:t>
      </w:r>
      <w:r w:rsidR="000B08F5" w:rsidRPr="00EB1182">
        <w:t>9</w:t>
      </w:r>
      <w:r w:rsidRPr="00EB1182">
        <w:t xml:space="preserve"> </w:t>
      </w:r>
      <w:r w:rsidR="009504DF" w:rsidRPr="00EB1182">
        <w:t>Does the QFR application have a</w:t>
      </w:r>
      <w:r w:rsidR="00E65453" w:rsidRPr="00EB1182">
        <w:t xml:space="preserve"> data</w:t>
      </w:r>
      <w:r w:rsidR="009504DF" w:rsidRPr="00EB1182">
        <w:t xml:space="preserve"> upload function? </w:t>
      </w:r>
    </w:p>
    <w:p w14:paraId="717A2BE7" w14:textId="49F0AF10" w:rsidR="009504DF" w:rsidRPr="00D934A4" w:rsidRDefault="009504DF" w:rsidP="009504DF">
      <w:pPr>
        <w:rPr>
          <w:rFonts w:cs="Arial"/>
        </w:rPr>
      </w:pPr>
      <w:r w:rsidRPr="00D934A4">
        <w:rPr>
          <w:rFonts w:cs="Arial"/>
        </w:rPr>
        <w:t xml:space="preserve">Yes, </w:t>
      </w:r>
      <w:r w:rsidR="00E65453" w:rsidRPr="00D934A4">
        <w:rPr>
          <w:rFonts w:cs="Arial"/>
        </w:rPr>
        <w:t xml:space="preserve">the QFR </w:t>
      </w:r>
      <w:r w:rsidR="00A55A42" w:rsidRPr="00D934A4">
        <w:rPr>
          <w:rFonts w:cs="Arial"/>
        </w:rPr>
        <w:t>a</w:t>
      </w:r>
      <w:r w:rsidR="00E65453" w:rsidRPr="00D934A4">
        <w:rPr>
          <w:rFonts w:cs="Arial"/>
        </w:rPr>
        <w:t>pplication on</w:t>
      </w:r>
      <w:r w:rsidR="00A55A42" w:rsidRPr="00D934A4">
        <w:rPr>
          <w:rFonts w:cs="Arial"/>
        </w:rPr>
        <w:t xml:space="preserve"> GPMS in</w:t>
      </w:r>
      <w:r w:rsidR="00A02511" w:rsidRPr="00D934A4">
        <w:rPr>
          <w:rFonts w:cs="Arial"/>
        </w:rPr>
        <w:t>cludes the ability to bulk upload data</w:t>
      </w:r>
      <w:r w:rsidR="00A55A42" w:rsidRPr="00D934A4">
        <w:rPr>
          <w:rFonts w:cs="Arial"/>
        </w:rPr>
        <w:t xml:space="preserve"> </w:t>
      </w:r>
      <w:r w:rsidR="00A75A8A" w:rsidRPr="00D934A4">
        <w:rPr>
          <w:rFonts w:cs="Arial"/>
        </w:rPr>
        <w:t>for the</w:t>
      </w:r>
      <w:r w:rsidR="00327C95" w:rsidRPr="00D934A4">
        <w:rPr>
          <w:rFonts w:cs="Arial"/>
        </w:rPr>
        <w:t xml:space="preserve"> year</w:t>
      </w:r>
      <w:r w:rsidR="00BF1CC9" w:rsidRPr="00D934A4">
        <w:rPr>
          <w:rFonts w:cs="Arial"/>
        </w:rPr>
        <w:t>-</w:t>
      </w:r>
      <w:r w:rsidR="00327C95" w:rsidRPr="00D934A4">
        <w:rPr>
          <w:rFonts w:cs="Arial"/>
        </w:rPr>
        <w:t>to</w:t>
      </w:r>
      <w:r w:rsidR="00BF1CC9" w:rsidRPr="00D934A4">
        <w:rPr>
          <w:rFonts w:cs="Arial"/>
        </w:rPr>
        <w:t>-</w:t>
      </w:r>
      <w:r w:rsidR="00327C95" w:rsidRPr="00D934A4">
        <w:rPr>
          <w:rFonts w:cs="Arial"/>
        </w:rPr>
        <w:t xml:space="preserve">date financial </w:t>
      </w:r>
      <w:r w:rsidR="00327C95" w:rsidRPr="006F4649">
        <w:rPr>
          <w:rFonts w:cs="Arial"/>
        </w:rPr>
        <w:t xml:space="preserve">statements, </w:t>
      </w:r>
      <w:r w:rsidRPr="006F4649">
        <w:rPr>
          <w:rFonts w:cs="Arial"/>
        </w:rPr>
        <w:t>residential</w:t>
      </w:r>
      <w:r w:rsidR="00FE10A3" w:rsidRPr="006F4649">
        <w:rPr>
          <w:rFonts w:cs="Arial"/>
        </w:rPr>
        <w:t xml:space="preserve"> </w:t>
      </w:r>
      <w:r w:rsidR="00F53924" w:rsidRPr="006F4649">
        <w:rPr>
          <w:rFonts w:cs="Arial"/>
        </w:rPr>
        <w:t>costs an</w:t>
      </w:r>
      <w:r w:rsidR="00754CF2" w:rsidRPr="006F4649">
        <w:rPr>
          <w:rFonts w:cs="Arial"/>
        </w:rPr>
        <w:t xml:space="preserve">d hours, </w:t>
      </w:r>
      <w:r w:rsidR="00FE10A3" w:rsidRPr="006F4649">
        <w:rPr>
          <w:rFonts w:cs="Arial"/>
        </w:rPr>
        <w:t xml:space="preserve">support at home </w:t>
      </w:r>
      <w:r w:rsidR="00754CF2" w:rsidRPr="006F4649">
        <w:rPr>
          <w:rFonts w:cs="Arial"/>
        </w:rPr>
        <w:t>rates of pay</w:t>
      </w:r>
      <w:r w:rsidR="00B4515B" w:rsidRPr="006F4649">
        <w:rPr>
          <w:rFonts w:cs="Arial"/>
        </w:rPr>
        <w:t xml:space="preserve"> </w:t>
      </w:r>
      <w:r w:rsidR="00BF1CC9" w:rsidRPr="006F4649">
        <w:rPr>
          <w:rFonts w:cs="Arial"/>
        </w:rPr>
        <w:t xml:space="preserve">and food and nutrition </w:t>
      </w:r>
      <w:r w:rsidRPr="006F4649">
        <w:rPr>
          <w:rFonts w:cs="Arial"/>
        </w:rPr>
        <w:t>data.</w:t>
      </w:r>
    </w:p>
    <w:p w14:paraId="76F33C38" w14:textId="4FF939C6" w:rsidR="009504DF" w:rsidRDefault="00A62CC3" w:rsidP="009504DF">
      <w:pPr>
        <w:rPr>
          <w:rFonts w:cs="Arial"/>
        </w:rPr>
      </w:pPr>
      <w:r w:rsidRPr="00D934A4">
        <w:rPr>
          <w:rFonts w:cs="Arial"/>
        </w:rPr>
        <w:t xml:space="preserve">You can only use the </w:t>
      </w:r>
      <w:r w:rsidR="00A75A8A" w:rsidRPr="00D934A4">
        <w:rPr>
          <w:rFonts w:cs="Arial"/>
        </w:rPr>
        <w:t xml:space="preserve">bulk </w:t>
      </w:r>
      <w:r w:rsidR="009504DF" w:rsidRPr="00D934A4">
        <w:rPr>
          <w:rFonts w:cs="Arial"/>
        </w:rPr>
        <w:t xml:space="preserve">upload </w:t>
      </w:r>
      <w:r w:rsidR="00EA557B" w:rsidRPr="00D934A4">
        <w:rPr>
          <w:rFonts w:cs="Arial"/>
        </w:rPr>
        <w:t>E</w:t>
      </w:r>
      <w:r w:rsidR="00A75A8A" w:rsidRPr="00D934A4">
        <w:rPr>
          <w:rFonts w:cs="Arial"/>
        </w:rPr>
        <w:t xml:space="preserve">xcel </w:t>
      </w:r>
      <w:r w:rsidR="009504DF" w:rsidRPr="00D934A4">
        <w:rPr>
          <w:rFonts w:cs="Arial"/>
        </w:rPr>
        <w:t xml:space="preserve">files </w:t>
      </w:r>
      <w:r w:rsidR="001E044C" w:rsidRPr="00D934A4">
        <w:rPr>
          <w:rFonts w:cs="Arial"/>
        </w:rPr>
        <w:t xml:space="preserve">provided in the QFR application and these </w:t>
      </w:r>
      <w:r w:rsidR="009504DF" w:rsidRPr="00D934A4">
        <w:rPr>
          <w:rFonts w:cs="Arial"/>
        </w:rPr>
        <w:t>need to be downloaded and completed each quarter, as</w:t>
      </w:r>
      <w:r w:rsidR="00EA557B" w:rsidRPr="00D934A4">
        <w:rPr>
          <w:rFonts w:cs="Arial"/>
        </w:rPr>
        <w:t xml:space="preserve"> they are set up each quarter to match the </w:t>
      </w:r>
      <w:r w:rsidR="00987FDD" w:rsidRPr="00D934A4">
        <w:rPr>
          <w:rFonts w:cs="Arial"/>
        </w:rPr>
        <w:t>service details</w:t>
      </w:r>
      <w:r w:rsidR="004D7B12" w:rsidRPr="00D934A4">
        <w:rPr>
          <w:rFonts w:cs="Arial"/>
        </w:rPr>
        <w:t xml:space="preserve"> of the Registered Provider</w:t>
      </w:r>
      <w:r w:rsidR="009504DF" w:rsidRPr="00D934A4">
        <w:rPr>
          <w:rFonts w:cs="Arial"/>
        </w:rPr>
        <w:t xml:space="preserve">. There is a separate upload page for each section of the QFR for each provider. This means that there </w:t>
      </w:r>
      <w:r w:rsidR="001E044C" w:rsidRPr="00D934A4">
        <w:rPr>
          <w:rFonts w:cs="Arial"/>
        </w:rPr>
        <w:t xml:space="preserve">are up to </w:t>
      </w:r>
      <w:r w:rsidR="009504DF" w:rsidRPr="00D934A4">
        <w:rPr>
          <w:rFonts w:cs="Arial"/>
        </w:rPr>
        <w:t>four excel files which would need to be uploaded into the portal</w:t>
      </w:r>
      <w:r w:rsidRPr="00D934A4">
        <w:rPr>
          <w:rFonts w:cs="Arial"/>
        </w:rPr>
        <w:t xml:space="preserve">. </w:t>
      </w:r>
    </w:p>
    <w:p w14:paraId="0178784A" w14:textId="2A76628D" w:rsidR="00490AC4" w:rsidRPr="00D934A4" w:rsidRDefault="00490AC4" w:rsidP="009504DF">
      <w:pPr>
        <w:rPr>
          <w:rFonts w:cs="Arial"/>
        </w:rPr>
      </w:pPr>
      <w:r>
        <w:rPr>
          <w:rFonts w:cs="Arial"/>
        </w:rPr>
        <w:t xml:space="preserve">The non-uploadable </w:t>
      </w:r>
      <w:r w:rsidR="006101FC">
        <w:rPr>
          <w:rFonts w:cs="Arial"/>
        </w:rPr>
        <w:t xml:space="preserve">QFR </w:t>
      </w:r>
      <w:r>
        <w:rPr>
          <w:rFonts w:cs="Arial"/>
        </w:rPr>
        <w:t xml:space="preserve">template </w:t>
      </w:r>
      <w:r w:rsidR="006C1945">
        <w:rPr>
          <w:rFonts w:cs="Arial"/>
        </w:rPr>
        <w:t>available on the Department’s website</w:t>
      </w:r>
      <w:r w:rsidR="00D2447F">
        <w:rPr>
          <w:rFonts w:cs="Arial"/>
        </w:rPr>
        <w:t xml:space="preserve"> is provided for information only</w:t>
      </w:r>
      <w:r w:rsidR="006101FC">
        <w:rPr>
          <w:rFonts w:cs="Arial"/>
        </w:rPr>
        <w:t xml:space="preserve"> and cannot be used to upload data </w:t>
      </w:r>
      <w:r w:rsidR="000E4A84">
        <w:rPr>
          <w:rFonts w:cs="Arial"/>
        </w:rPr>
        <w:t>into the QFR application on GPMS.</w:t>
      </w:r>
      <w:r w:rsidR="00D2447F">
        <w:rPr>
          <w:rFonts w:cs="Arial"/>
        </w:rPr>
        <w:t xml:space="preserve"> </w:t>
      </w:r>
      <w:r w:rsidR="006C1945">
        <w:rPr>
          <w:rFonts w:cs="Arial"/>
        </w:rPr>
        <w:t xml:space="preserve"> </w:t>
      </w:r>
    </w:p>
    <w:p w14:paraId="6C5A218F" w14:textId="4294DD03" w:rsidR="009504DF" w:rsidRPr="00EB1182" w:rsidRDefault="00BE3C85" w:rsidP="00EB1182">
      <w:pPr>
        <w:pStyle w:val="Heading3"/>
      </w:pPr>
      <w:r w:rsidRPr="00EB1182">
        <w:t>3.</w:t>
      </w:r>
      <w:r w:rsidR="00082E37" w:rsidRPr="00EB1182">
        <w:t>1.</w:t>
      </w:r>
      <w:r w:rsidRPr="00EB1182">
        <w:t>1</w:t>
      </w:r>
      <w:r w:rsidR="000B08F5" w:rsidRPr="00EB1182">
        <w:t>0</w:t>
      </w:r>
      <w:r w:rsidRPr="00EB1182">
        <w:t xml:space="preserve"> </w:t>
      </w:r>
      <w:r w:rsidR="009504DF" w:rsidRPr="00EB1182">
        <w:t>If an error has been detected after report submission, should a correction be added to the following quarter? </w:t>
      </w:r>
    </w:p>
    <w:p w14:paraId="58C65678" w14:textId="3C894EA2" w:rsidR="009504DF" w:rsidRPr="00D934A4" w:rsidRDefault="009504DF" w:rsidP="009504DF">
      <w:pPr>
        <w:rPr>
          <w:rFonts w:cs="Arial"/>
        </w:rPr>
      </w:pPr>
      <w:r w:rsidRPr="00D934A4">
        <w:rPr>
          <w:rFonts w:cs="Arial"/>
        </w:rPr>
        <w:t>As the data in ‘YTD Financial Statements’ section is year to date, any error can be self-corrected in the next QFR. However, as data in the ‘</w:t>
      </w:r>
      <w:r w:rsidR="00F97965">
        <w:rPr>
          <w:rFonts w:cs="Arial"/>
        </w:rPr>
        <w:t xml:space="preserve">Residential </w:t>
      </w:r>
      <w:r w:rsidRPr="00D934A4">
        <w:rPr>
          <w:rFonts w:cs="Arial"/>
        </w:rPr>
        <w:t xml:space="preserve">Costs and Hours’ and ‘Food and Nutrition Costs’ </w:t>
      </w:r>
      <w:r w:rsidR="008A348F" w:rsidRPr="00D934A4">
        <w:rPr>
          <w:rFonts w:cs="Arial"/>
        </w:rPr>
        <w:t>forms</w:t>
      </w:r>
      <w:r w:rsidRPr="00D934A4">
        <w:rPr>
          <w:rFonts w:cs="Arial"/>
        </w:rPr>
        <w:t xml:space="preserve"> </w:t>
      </w:r>
      <w:r w:rsidR="008A348F" w:rsidRPr="00D934A4">
        <w:rPr>
          <w:rFonts w:cs="Arial"/>
        </w:rPr>
        <w:t>are</w:t>
      </w:r>
      <w:r w:rsidRPr="00D934A4">
        <w:rPr>
          <w:rFonts w:cs="Arial"/>
        </w:rPr>
        <w:t xml:space="preserve"> for the quarter only, providers should not post adjustment journals for an earlier quarter in the current quarter’s submission</w:t>
      </w:r>
      <w:r w:rsidR="00041F3A">
        <w:rPr>
          <w:rFonts w:cs="Arial"/>
        </w:rPr>
        <w:t xml:space="preserve"> as</w:t>
      </w:r>
      <w:r w:rsidRPr="00D934A4">
        <w:rPr>
          <w:rFonts w:cs="Arial"/>
        </w:rPr>
        <w:t xml:space="preserve"> </w:t>
      </w:r>
      <w:r w:rsidR="00041F3A">
        <w:rPr>
          <w:rFonts w:cs="Arial"/>
        </w:rPr>
        <w:t>t</w:t>
      </w:r>
      <w:r w:rsidRPr="00D934A4">
        <w:rPr>
          <w:rFonts w:cs="Arial"/>
        </w:rPr>
        <w:t>his will distort the actual expenditure and hours for the current period. </w:t>
      </w:r>
    </w:p>
    <w:p w14:paraId="1AE8BD4B" w14:textId="68234CDF" w:rsidR="009504DF" w:rsidRPr="00EB1182" w:rsidRDefault="00BE3C85" w:rsidP="00EB1182">
      <w:pPr>
        <w:pStyle w:val="Heading3"/>
      </w:pPr>
      <w:r w:rsidRPr="00EB1182">
        <w:t>3.</w:t>
      </w:r>
      <w:r w:rsidR="00082E37" w:rsidRPr="00EB1182">
        <w:t>1.</w:t>
      </w:r>
      <w:r w:rsidRPr="00EB1182">
        <w:t>1</w:t>
      </w:r>
      <w:r w:rsidR="000B08F5" w:rsidRPr="00EB1182">
        <w:t>1</w:t>
      </w:r>
      <w:r w:rsidRPr="00EB1182">
        <w:t xml:space="preserve"> </w:t>
      </w:r>
      <w:r w:rsidR="009504DF" w:rsidRPr="00EB1182">
        <w:t>Would the department be open to a condensed QFR for Q4? This would reduce provider workloads during a busy time of the year. Could we integrate the fourth quarter QFR into the ACFR? </w:t>
      </w:r>
    </w:p>
    <w:p w14:paraId="6DB298E5" w14:textId="5F6F4121" w:rsidR="009504DF" w:rsidRPr="00D934A4" w:rsidRDefault="009504DF" w:rsidP="009504DF">
      <w:pPr>
        <w:rPr>
          <w:rFonts w:cs="Arial"/>
        </w:rPr>
      </w:pPr>
      <w:r w:rsidRPr="00D934A4">
        <w:rPr>
          <w:rFonts w:cs="Arial"/>
        </w:rPr>
        <w:t xml:space="preserve">Data collected in the QFR provides important information to Government, and is used for </w:t>
      </w:r>
      <w:r w:rsidR="00062929">
        <w:rPr>
          <w:rFonts w:cs="Arial"/>
        </w:rPr>
        <w:t xml:space="preserve">Residential </w:t>
      </w:r>
      <w:r w:rsidRPr="00D934A4">
        <w:rPr>
          <w:rFonts w:cs="Arial"/>
        </w:rPr>
        <w:t>care minutes reporting, Star Ratings calculations, and provides valuable information regarding the viability and performance of individual providers and the broader aged care sector. Quarterly reports are also used to inform sector-wide publications, such as the publication of finance and operations information on My Aged Care and the Quarterly Financial Snapshot. </w:t>
      </w:r>
    </w:p>
    <w:p w14:paraId="10D48789" w14:textId="626D165D" w:rsidR="00206D5D" w:rsidRPr="00BB6BEA" w:rsidRDefault="009504DF" w:rsidP="00BB6BEA">
      <w:pPr>
        <w:rPr>
          <w:rFonts w:cs="Arial"/>
        </w:rPr>
      </w:pPr>
      <w:r w:rsidRPr="00D934A4">
        <w:rPr>
          <w:rFonts w:cs="Arial"/>
        </w:rPr>
        <w:t>Integrating the fourth quarter QFR into the ACFR would mean that this data is not submitted until 31 October, which would delay the data’s availability for these purposes.</w:t>
      </w:r>
      <w:r w:rsidR="00EE6CE6" w:rsidRPr="00BB6BEA">
        <w:br w:type="page"/>
      </w:r>
    </w:p>
    <w:p w14:paraId="4278A369" w14:textId="5E70E1DA" w:rsidR="00206D5D" w:rsidRPr="00D934A4" w:rsidRDefault="00206D5D" w:rsidP="00206D5D">
      <w:pPr>
        <w:pStyle w:val="SectionNumber"/>
        <w:rPr>
          <w:rFonts w:cs="Arial"/>
          <w:noProof w:val="0"/>
        </w:rPr>
      </w:pPr>
      <w:r w:rsidRPr="00D934A4">
        <w:rPr>
          <w:rFonts w:cs="Arial"/>
        </w:rPr>
        <mc:AlternateContent>
          <mc:Choice Requires="wps">
            <w:drawing>
              <wp:anchor distT="0" distB="0" distL="114300" distR="114300" simplePos="0" relativeHeight="251658246" behindDoc="1" locked="0" layoutInCell="1" allowOverlap="1" wp14:anchorId="0E99CA0D" wp14:editId="3CE91FBA">
                <wp:simplePos x="171450" y="400050"/>
                <wp:positionH relativeFrom="page">
                  <wp:align>left</wp:align>
                </wp:positionH>
                <wp:positionV relativeFrom="page">
                  <wp:align>top</wp:align>
                </wp:positionV>
                <wp:extent cx="7560000" cy="10692000"/>
                <wp:effectExtent l="0" t="0" r="3175" b="0"/>
                <wp:wrapNone/>
                <wp:docPr id="639093581" name="Rectangle 6390935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65590C6B">
              <v:rect id="Rectangle 639093581" style="position:absolute;margin-left:0;margin-top:0;width:595.3pt;height:841.9pt;z-index:-25165823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05A1E3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F349FF">
        <w:rPr>
          <w:rFonts w:cs="Arial"/>
          <w:noProof w:val="0"/>
        </w:rPr>
        <w:t>4</w:t>
      </w:r>
    </w:p>
    <w:p w14:paraId="2921BE99" w14:textId="1150E3CE" w:rsidR="00206D5D" w:rsidRPr="00D934A4" w:rsidRDefault="004875EE" w:rsidP="00206D5D">
      <w:pPr>
        <w:pStyle w:val="SectionTitle"/>
        <w:rPr>
          <w:rFonts w:cs="Arial"/>
        </w:rPr>
      </w:pPr>
      <w:r w:rsidRPr="00D934A4">
        <w:t>Viability and Prudential Compliance Questions</w:t>
      </w:r>
    </w:p>
    <w:p w14:paraId="3BB31939" w14:textId="1FBC52CC" w:rsidR="00206D5D" w:rsidRPr="004D34EB" w:rsidRDefault="00206D5D" w:rsidP="004D34EB"/>
    <w:p w14:paraId="5FE3D53E" w14:textId="77777777" w:rsidR="00206D5D" w:rsidRPr="004D34EB" w:rsidRDefault="00206D5D" w:rsidP="004D34EB"/>
    <w:p w14:paraId="6467AF32" w14:textId="60DB80AA" w:rsidR="00EE6CE6" w:rsidRPr="004D34EB" w:rsidRDefault="00206D5D" w:rsidP="004D34EB">
      <w:r w:rsidRPr="004D34EB">
        <w:rPr>
          <w:noProof/>
        </w:rPr>
        <mc:AlternateContent>
          <mc:Choice Requires="wps">
            <w:drawing>
              <wp:anchor distT="0" distB="0" distL="114300" distR="114300" simplePos="0" relativeHeight="251658245" behindDoc="1" locked="0" layoutInCell="1" allowOverlap="1" wp14:anchorId="111C7885" wp14:editId="7443C844">
                <wp:simplePos x="0" y="0"/>
                <wp:positionH relativeFrom="page">
                  <wp:posOffset>-52070</wp:posOffset>
                </wp:positionH>
                <wp:positionV relativeFrom="page">
                  <wp:align>bottom</wp:align>
                </wp:positionV>
                <wp:extent cx="7560000" cy="10692000"/>
                <wp:effectExtent l="0" t="0" r="3175" b="0"/>
                <wp:wrapNone/>
                <wp:docPr id="1199468647" name="Rectangle 11994686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08B01C78">
              <v:rect id="Rectangle 1199468647" style="position:absolute;margin-left:-4.1pt;margin-top:0;width:595.3pt;height:841.9pt;z-index:-251658235;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alt="&quot;&quot;" o:spid="_x0000_s1026" fillcolor="#1e1545 [3213]" stroked="f" strokeweight="2pt" w14:anchorId="4D56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">
                <w10:wrap anchorx="page" anchory="page"/>
              </v:rect>
            </w:pict>
          </mc:Fallback>
        </mc:AlternateContent>
      </w:r>
      <w:r w:rsidR="00EE6CE6" w:rsidRPr="004D34EB">
        <w:br w:type="page"/>
      </w:r>
    </w:p>
    <w:p w14:paraId="3F37D029" w14:textId="77B07131" w:rsidR="00520EED" w:rsidRPr="00D934A4" w:rsidRDefault="002A1C27" w:rsidP="00EE6CE6">
      <w:pPr>
        <w:pStyle w:val="NewHeading1"/>
      </w:pPr>
      <w:bookmarkStart w:id="6" w:name="_Toc205804585"/>
      <w:bookmarkStart w:id="7" w:name="_Toc236740374"/>
      <w:bookmarkStart w:id="8" w:name="_Hlk132793393"/>
      <w:r w:rsidRPr="00D934A4">
        <w:t xml:space="preserve">4. </w:t>
      </w:r>
      <w:r w:rsidR="00520EED" w:rsidRPr="00D934A4">
        <w:t>Viability and Prudential Compliance Questions</w:t>
      </w:r>
      <w:bookmarkEnd w:id="6"/>
      <w:bookmarkEnd w:id="7"/>
    </w:p>
    <w:p w14:paraId="5B397974" w14:textId="1C589D6C" w:rsidR="00520EED" w:rsidRPr="00D934A4" w:rsidRDefault="00520EED" w:rsidP="00520EED">
      <w:pPr>
        <w:rPr>
          <w:rFonts w:cs="Arial"/>
        </w:rPr>
      </w:pPr>
      <w:r w:rsidRPr="00D934A4">
        <w:rPr>
          <w:rFonts w:cs="Arial"/>
        </w:rPr>
        <w:t xml:space="preserve">The QFR includes viability and prudential compliance questions for residential and </w:t>
      </w:r>
      <w:r w:rsidR="00DD014E" w:rsidRPr="00D934A4">
        <w:rPr>
          <w:rFonts w:cs="Arial"/>
        </w:rPr>
        <w:t>Support at Home</w:t>
      </w:r>
      <w:r w:rsidRPr="00D934A4">
        <w:rPr>
          <w:rFonts w:cs="Arial"/>
        </w:rPr>
        <w:t xml:space="preserve"> providers. The department and the ACQSC use responses to these questions as forward-looking indicators to identify providers with viability and prudential concerns. Early identification of emerging financial viability issues allows the department and the ACQSC to proactively work with providers to support their compliance and help address financial risks.</w:t>
      </w:r>
    </w:p>
    <w:p w14:paraId="46F538B2" w14:textId="77777777" w:rsidR="00520EED" w:rsidRPr="00D934A4" w:rsidRDefault="00520EED" w:rsidP="00520EED">
      <w:pPr>
        <w:rPr>
          <w:rFonts w:cs="Arial"/>
        </w:rPr>
      </w:pPr>
      <w:r w:rsidRPr="00D934A4">
        <w:rPr>
          <w:rFonts w:cs="Arial"/>
        </w:rPr>
        <w:t>Providers’ engagement with the department assists:</w:t>
      </w:r>
    </w:p>
    <w:p w14:paraId="488CF189" w14:textId="77777777" w:rsidR="00520EED" w:rsidRPr="00D934A4" w:rsidRDefault="00520EED" w:rsidP="00BB6BEA">
      <w:pPr>
        <w:pStyle w:val="ListBullet"/>
      </w:pPr>
      <w:r w:rsidRPr="00D934A4">
        <w:t>the assessment of challenges and risks to providers’ viability</w:t>
      </w:r>
    </w:p>
    <w:p w14:paraId="621AEBAF" w14:textId="77777777" w:rsidR="00520EED" w:rsidRPr="00D934A4" w:rsidRDefault="00520EED" w:rsidP="00BB6BEA">
      <w:pPr>
        <w:pStyle w:val="ListBullet"/>
      </w:pPr>
      <w:r w:rsidRPr="00D934A4">
        <w:t>the identification of options or strategies available to providers that could reduce viability risks</w:t>
      </w:r>
    </w:p>
    <w:p w14:paraId="3DD08D63" w14:textId="77777777" w:rsidR="00520EED" w:rsidRPr="00D934A4" w:rsidRDefault="00520EED" w:rsidP="00BB6BEA">
      <w:pPr>
        <w:pStyle w:val="ListBullet"/>
      </w:pPr>
      <w:r w:rsidRPr="00D934A4">
        <w:t>the monitoring of progress, outcomes of government support and actions that providers may put into effect.</w:t>
      </w:r>
    </w:p>
    <w:p w14:paraId="04CCEFA0" w14:textId="67EEBC1F" w:rsidR="00520EED" w:rsidRPr="00D934A4" w:rsidRDefault="00520EED" w:rsidP="00520EED">
      <w:pPr>
        <w:rPr>
          <w:rFonts w:cs="Arial"/>
        </w:rPr>
      </w:pPr>
      <w:r w:rsidRPr="00D934A4">
        <w:rPr>
          <w:rFonts w:cs="Arial"/>
        </w:rPr>
        <w:t xml:space="preserve">If providers have both residential and </w:t>
      </w:r>
      <w:r w:rsidR="006618B7" w:rsidRPr="00D934A4">
        <w:rPr>
          <w:rFonts w:cs="Arial"/>
        </w:rPr>
        <w:t xml:space="preserve">Support at Home </w:t>
      </w:r>
      <w:r w:rsidRPr="00D934A4">
        <w:rPr>
          <w:rFonts w:cs="Arial"/>
        </w:rPr>
        <w:t xml:space="preserve">services, they need to complete both worksheets for residential aged care and </w:t>
      </w:r>
      <w:r w:rsidR="006618B7" w:rsidRPr="00D934A4">
        <w:rPr>
          <w:rFonts w:cs="Arial"/>
        </w:rPr>
        <w:t xml:space="preserve">Support at Home </w:t>
      </w:r>
      <w:r w:rsidRPr="00D934A4">
        <w:rPr>
          <w:rFonts w:cs="Arial"/>
        </w:rPr>
        <w:t xml:space="preserve">separately. The department and the ASQSC look at viability concerns at the segment level (residential and </w:t>
      </w:r>
      <w:r w:rsidR="00EE30AB" w:rsidRPr="00D934A4">
        <w:rPr>
          <w:rFonts w:cs="Arial"/>
        </w:rPr>
        <w:t xml:space="preserve">Support </w:t>
      </w:r>
      <w:r w:rsidR="0066467F" w:rsidRPr="00D934A4">
        <w:rPr>
          <w:rFonts w:cs="Arial"/>
        </w:rPr>
        <w:t xml:space="preserve">at Home </w:t>
      </w:r>
      <w:r w:rsidRPr="00D934A4">
        <w:rPr>
          <w:rFonts w:cs="Arial"/>
        </w:rPr>
        <w:t>separately) as well as at the provider/group level.</w:t>
      </w:r>
    </w:p>
    <w:p w14:paraId="6BBA539C" w14:textId="1D979086" w:rsidR="005D69DE" w:rsidRPr="005D69DE" w:rsidRDefault="005B1283" w:rsidP="00082E37">
      <w:pPr>
        <w:pStyle w:val="NewHeading2"/>
      </w:pPr>
      <w:r>
        <w:t>4</w:t>
      </w:r>
      <w:r w:rsidR="00082E37">
        <w:t xml:space="preserve">.1 </w:t>
      </w:r>
      <w:r w:rsidR="005D69DE" w:rsidRPr="005D69DE">
        <w:t>Government providers </w:t>
      </w:r>
    </w:p>
    <w:p w14:paraId="66266867" w14:textId="3ED43308" w:rsidR="005D69DE" w:rsidRPr="005D69DE" w:rsidRDefault="005D69DE" w:rsidP="005D69DE">
      <w:pPr>
        <w:rPr>
          <w:rFonts w:cs="Arial"/>
        </w:rPr>
      </w:pPr>
      <w:r w:rsidRPr="005D69DE">
        <w:rPr>
          <w:rFonts w:cs="Arial"/>
        </w:rPr>
        <w:t xml:space="preserve">If an organisation is a Registered Provider of residential aged care and/or the Support at Home program and is also a state or territory government, an authority of a state or territory or a local government authority then they are not required to complete the </w:t>
      </w:r>
      <w:r>
        <w:rPr>
          <w:rFonts w:cs="Arial"/>
        </w:rPr>
        <w:t>Viability and Prudential Compliance questions</w:t>
      </w:r>
      <w:r w:rsidRPr="005D69DE">
        <w:rPr>
          <w:rFonts w:cs="Arial"/>
        </w:rPr>
        <w:t>. </w:t>
      </w:r>
    </w:p>
    <w:p w14:paraId="45118CBD" w14:textId="6509E78E" w:rsidR="00520EED" w:rsidRPr="00BB6BEA" w:rsidRDefault="005B1283" w:rsidP="00BB6BEA">
      <w:pPr>
        <w:pStyle w:val="NewHeading2"/>
      </w:pPr>
      <w:bookmarkStart w:id="9" w:name="_Toc205804586"/>
      <w:bookmarkStart w:id="10" w:name="_Toc207281688"/>
      <w:r>
        <w:t>4</w:t>
      </w:r>
      <w:r w:rsidR="00082E37">
        <w:t xml:space="preserve">.2 </w:t>
      </w:r>
      <w:r w:rsidR="00520EED" w:rsidRPr="00D934A4">
        <w:t>FAQs</w:t>
      </w:r>
      <w:bookmarkEnd w:id="9"/>
      <w:bookmarkEnd w:id="10"/>
    </w:p>
    <w:p w14:paraId="4D5110AA" w14:textId="07528566" w:rsidR="00520EED" w:rsidRPr="00A47245" w:rsidRDefault="005B1283" w:rsidP="001C1AD4">
      <w:pPr>
        <w:pStyle w:val="Heading3"/>
        <w:rPr>
          <w:rFonts w:eastAsia="Calibri Light"/>
        </w:rPr>
      </w:pPr>
      <w:bookmarkStart w:id="11" w:name="_Toc183446579"/>
      <w:r>
        <w:rPr>
          <w:rFonts w:eastAsia="Calibri Light"/>
        </w:rPr>
        <w:t>4</w:t>
      </w:r>
      <w:r w:rsidR="00EC1AD1">
        <w:rPr>
          <w:rFonts w:eastAsia="Calibri Light"/>
        </w:rPr>
        <w:t>.2.1</w:t>
      </w:r>
      <w:r w:rsidR="003971E3" w:rsidRPr="00A47245">
        <w:rPr>
          <w:rFonts w:eastAsia="Calibri Light"/>
        </w:rPr>
        <w:t xml:space="preserve"> </w:t>
      </w:r>
      <w:r w:rsidR="00520EED" w:rsidRPr="00A47245">
        <w:rPr>
          <w:rFonts w:eastAsia="Calibri Light"/>
        </w:rPr>
        <w:t xml:space="preserve">If a residential or </w:t>
      </w:r>
      <w:r w:rsidR="007520B3" w:rsidRPr="00A47245">
        <w:rPr>
          <w:rFonts w:eastAsia="Calibri Light"/>
        </w:rPr>
        <w:t>S</w:t>
      </w:r>
      <w:r w:rsidR="004C32E9" w:rsidRPr="00A47245">
        <w:rPr>
          <w:rFonts w:eastAsia="Calibri Light"/>
        </w:rPr>
        <w:t xml:space="preserve">upport </w:t>
      </w:r>
      <w:r w:rsidR="007520B3" w:rsidRPr="00A47245">
        <w:rPr>
          <w:rFonts w:eastAsia="Calibri Light"/>
        </w:rPr>
        <w:t>a</w:t>
      </w:r>
      <w:r w:rsidR="004C32E9" w:rsidRPr="00A47245">
        <w:rPr>
          <w:rFonts w:eastAsia="Calibri Light"/>
        </w:rPr>
        <w:t xml:space="preserve">t </w:t>
      </w:r>
      <w:r w:rsidR="007520B3" w:rsidRPr="00A47245">
        <w:rPr>
          <w:rFonts w:eastAsia="Calibri Light"/>
        </w:rPr>
        <w:t>H</w:t>
      </w:r>
      <w:r w:rsidR="004C32E9" w:rsidRPr="00A47245">
        <w:rPr>
          <w:rFonts w:eastAsia="Calibri Light"/>
        </w:rPr>
        <w:t>ome</w:t>
      </w:r>
      <w:r w:rsidR="007520B3" w:rsidRPr="00A47245">
        <w:rPr>
          <w:rFonts w:eastAsia="Calibri Light"/>
        </w:rPr>
        <w:t xml:space="preserve"> </w:t>
      </w:r>
      <w:r w:rsidR="00520EED" w:rsidRPr="00A47245">
        <w:rPr>
          <w:rFonts w:eastAsia="Calibri Light"/>
        </w:rPr>
        <w:t>provider is facing financial stress but their parent entity is not, are they to confirm difficulty even though solvency is not an issue?</w:t>
      </w:r>
      <w:bookmarkEnd w:id="11"/>
    </w:p>
    <w:p w14:paraId="39F93A13" w14:textId="77777777" w:rsidR="00520EED" w:rsidRPr="00D934A4" w:rsidRDefault="00520EED" w:rsidP="00520EED">
      <w:pPr>
        <w:rPr>
          <w:rFonts w:cs="Arial"/>
        </w:rPr>
      </w:pPr>
      <w:r w:rsidRPr="00D934A4">
        <w:rPr>
          <w:rFonts w:cs="Arial"/>
        </w:rPr>
        <w:t>Financial stress is considered at the service and provider level. Additional comments could be added in the end column to indicate that solvency is not a concern at the provider level.</w:t>
      </w:r>
    </w:p>
    <w:p w14:paraId="7C63726A" w14:textId="03AF0092" w:rsidR="00520EED" w:rsidRPr="00D934A4" w:rsidRDefault="005B1283" w:rsidP="001C1AD4">
      <w:pPr>
        <w:pStyle w:val="Heading3"/>
        <w:rPr>
          <w:rFonts w:eastAsia="Calibri Light"/>
        </w:rPr>
      </w:pPr>
      <w:bookmarkStart w:id="12" w:name="_Toc183446580"/>
      <w:r>
        <w:rPr>
          <w:rFonts w:eastAsia="Calibri Light"/>
        </w:rPr>
        <w:t>4</w:t>
      </w:r>
      <w:r w:rsidR="00EC1AD1">
        <w:rPr>
          <w:rFonts w:eastAsia="Calibri Light"/>
        </w:rPr>
        <w:t>.2.2</w:t>
      </w:r>
      <w:r w:rsidR="00E410A3" w:rsidRPr="00D934A4">
        <w:rPr>
          <w:rFonts w:eastAsia="Calibri Light"/>
        </w:rPr>
        <w:t xml:space="preserve"> </w:t>
      </w:r>
      <w:bookmarkStart w:id="13" w:name="_Toc183446581"/>
      <w:bookmarkEnd w:id="12"/>
      <w:r w:rsidR="00520EED" w:rsidRPr="00D934A4">
        <w:rPr>
          <w:rFonts w:eastAsia="Calibri Light"/>
        </w:rPr>
        <w:t xml:space="preserve">Does "unable to refund </w:t>
      </w:r>
      <w:r w:rsidR="00DA12F5">
        <w:rPr>
          <w:rFonts w:eastAsia="Calibri Light"/>
        </w:rPr>
        <w:t>any Refundable Accommodation Deposits (</w:t>
      </w:r>
      <w:r w:rsidR="00520EED" w:rsidRPr="00D934A4">
        <w:rPr>
          <w:rFonts w:eastAsia="Calibri Light"/>
        </w:rPr>
        <w:t>RADs</w:t>
      </w:r>
      <w:r w:rsidR="00DA12F5">
        <w:rPr>
          <w:rFonts w:eastAsia="Calibri Light"/>
        </w:rPr>
        <w:t>)</w:t>
      </w:r>
      <w:r w:rsidR="00520EED" w:rsidRPr="00D934A4">
        <w:rPr>
          <w:rFonts w:eastAsia="Calibri Light"/>
        </w:rPr>
        <w:t xml:space="preserve"> in the statutory timeframe" include RADs not refunded due to clerical oversight/error, or just RADs not refunded due to liquidity issues?</w:t>
      </w:r>
      <w:bookmarkEnd w:id="13"/>
    </w:p>
    <w:p w14:paraId="0E29504F" w14:textId="77777777" w:rsidR="00520EED" w:rsidRDefault="00520EED" w:rsidP="00520EED">
      <w:pPr>
        <w:rPr>
          <w:rFonts w:cs="Arial"/>
        </w:rPr>
      </w:pPr>
      <w:r w:rsidRPr="00D934A4">
        <w:rPr>
          <w:rFonts w:cs="Arial"/>
        </w:rPr>
        <w:t>Include all instances of being unable to refund RADs in the statutory timeframe and include an explanation in the comments. Comments provide context to understand whether there are viability concerns, or if it was due to error.</w:t>
      </w:r>
    </w:p>
    <w:p w14:paraId="70EB3D30" w14:textId="2E6C09B4" w:rsidR="00A64112" w:rsidRPr="004D34EB" w:rsidRDefault="00A64112" w:rsidP="004D34EB">
      <w:r w:rsidRPr="004D34EB">
        <w:br w:type="page"/>
      </w:r>
    </w:p>
    <w:p w14:paraId="5913292D" w14:textId="1FE885C5" w:rsidR="00206D5D" w:rsidRPr="00D934A4" w:rsidRDefault="00206D5D" w:rsidP="00206D5D">
      <w:pPr>
        <w:pStyle w:val="SectionNumber"/>
        <w:rPr>
          <w:rFonts w:cs="Arial"/>
          <w:noProof w:val="0"/>
        </w:rPr>
      </w:pPr>
      <w:r w:rsidRPr="00D934A4">
        <w:rPr>
          <w:rFonts w:cs="Arial"/>
        </w:rPr>
        <mc:AlternateContent>
          <mc:Choice Requires="wps">
            <w:drawing>
              <wp:anchor distT="0" distB="0" distL="114300" distR="114300" simplePos="0" relativeHeight="251658248" behindDoc="1" locked="0" layoutInCell="1" allowOverlap="1" wp14:anchorId="0A177DD0" wp14:editId="42425C6B">
                <wp:simplePos x="171450" y="400050"/>
                <wp:positionH relativeFrom="page">
                  <wp:align>left</wp:align>
                </wp:positionH>
                <wp:positionV relativeFrom="page">
                  <wp:align>top</wp:align>
                </wp:positionV>
                <wp:extent cx="7560000" cy="10692000"/>
                <wp:effectExtent l="0" t="0" r="3175" b="0"/>
                <wp:wrapNone/>
                <wp:docPr id="831729293" name="Rectangle 8317292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10455BDC">
              <v:rect id="Rectangle 831729293" style="position:absolute;margin-left:0;margin-top:0;width:595.3pt;height:841.9pt;z-index:-25165823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5CC14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4875EE">
        <w:rPr>
          <w:rFonts w:cs="Arial"/>
          <w:noProof w:val="0"/>
        </w:rPr>
        <w:t>5</w:t>
      </w:r>
    </w:p>
    <w:p w14:paraId="2608AF33" w14:textId="6BEF64D8" w:rsidR="00206D5D" w:rsidRDefault="004875EE" w:rsidP="004875EE">
      <w:pPr>
        <w:pStyle w:val="SectionTitle"/>
        <w:rPr>
          <w:rFonts w:cs="Arial"/>
        </w:rPr>
      </w:pPr>
      <w:r>
        <w:rPr>
          <w:rFonts w:cs="Arial"/>
        </w:rPr>
        <w:t>Year to Date Financial Statements</w:t>
      </w:r>
      <w:r w:rsidR="00206D5D" w:rsidRPr="00D934A4">
        <w:rPr>
          <w:rFonts w:cs="Arial"/>
          <w:noProof/>
        </w:rPr>
        <mc:AlternateContent>
          <mc:Choice Requires="wps">
            <w:drawing>
              <wp:anchor distT="0" distB="0" distL="114300" distR="114300" simplePos="0" relativeHeight="251658247" behindDoc="1" locked="0" layoutInCell="1" allowOverlap="1" wp14:anchorId="0DBABDFA" wp14:editId="226CABE6">
                <wp:simplePos x="0" y="0"/>
                <wp:positionH relativeFrom="page">
                  <wp:posOffset>24130</wp:posOffset>
                </wp:positionH>
                <wp:positionV relativeFrom="page">
                  <wp:posOffset>-43815</wp:posOffset>
                </wp:positionV>
                <wp:extent cx="7560000" cy="10692000"/>
                <wp:effectExtent l="0" t="0" r="3175" b="0"/>
                <wp:wrapNone/>
                <wp:docPr id="484834154" name="Rectangle 484834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31693B65">
              <v:rect id="Rectangle 484834154" style="position:absolute;margin-left:1.9pt;margin-top:-3.45pt;width:595.3pt;height:841.9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fillcolor="#1e1545 [3213]" stroked="f" strokeweight="2pt" w14:anchorId="1311C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">
                <w10:wrap anchorx="page" anchory="page"/>
              </v:rect>
            </w:pict>
          </mc:Fallback>
        </mc:AlternateContent>
      </w:r>
      <w:r w:rsidR="00206D5D">
        <w:rPr>
          <w:rFonts w:cs="Arial"/>
        </w:rPr>
        <w:br w:type="page"/>
      </w:r>
    </w:p>
    <w:p w14:paraId="61FAADA8" w14:textId="657933B1" w:rsidR="00520EED" w:rsidRPr="00D934A4" w:rsidRDefault="00796F5E" w:rsidP="00EC1AD1">
      <w:pPr>
        <w:pStyle w:val="NewHeading1"/>
      </w:pPr>
      <w:bookmarkStart w:id="14" w:name="_Toc205804587"/>
      <w:bookmarkStart w:id="15" w:name="_Toc236740375"/>
      <w:bookmarkEnd w:id="8"/>
      <w:r w:rsidRPr="00D934A4">
        <w:t xml:space="preserve">5. </w:t>
      </w:r>
      <w:r w:rsidR="00520EED" w:rsidRPr="00D934A4">
        <w:t>Y</w:t>
      </w:r>
      <w:r w:rsidR="001959E8" w:rsidRPr="00D934A4">
        <w:t>ear to Date</w:t>
      </w:r>
      <w:r w:rsidR="00520EED" w:rsidRPr="00D934A4">
        <w:t xml:space="preserve"> Financial Statements</w:t>
      </w:r>
      <w:bookmarkEnd w:id="14"/>
      <w:bookmarkEnd w:id="15"/>
      <w:r w:rsidR="00520EED" w:rsidRPr="00D934A4">
        <w:t xml:space="preserve"> </w:t>
      </w:r>
    </w:p>
    <w:p w14:paraId="232C5E4B" w14:textId="235DA1E1" w:rsidR="003D01EB" w:rsidRPr="00D934A4" w:rsidRDefault="00520EED" w:rsidP="00520EED">
      <w:pPr>
        <w:rPr>
          <w:rFonts w:cs="Arial"/>
        </w:rPr>
      </w:pPr>
      <w:bookmarkStart w:id="16" w:name="_Hlk132634959"/>
      <w:r w:rsidRPr="00D934A4">
        <w:rPr>
          <w:rFonts w:cs="Arial"/>
        </w:rPr>
        <w:t>The Y</w:t>
      </w:r>
      <w:r w:rsidR="001959E8" w:rsidRPr="00D934A4">
        <w:rPr>
          <w:rFonts w:cs="Arial"/>
        </w:rPr>
        <w:t>ear to Date (Y</w:t>
      </w:r>
      <w:r w:rsidRPr="00D934A4">
        <w:rPr>
          <w:rFonts w:cs="Arial"/>
        </w:rPr>
        <w:t>TD</w:t>
      </w:r>
      <w:r w:rsidR="001959E8" w:rsidRPr="00D934A4">
        <w:rPr>
          <w:rFonts w:cs="Arial"/>
        </w:rPr>
        <w:t>)</w:t>
      </w:r>
      <w:r w:rsidRPr="00D934A4">
        <w:rPr>
          <w:rFonts w:cs="Arial"/>
        </w:rPr>
        <w:t xml:space="preserve"> Financial Statements includes a</w:t>
      </w:r>
      <w:r w:rsidR="006B68D1" w:rsidRPr="00D934A4">
        <w:rPr>
          <w:rFonts w:cs="Arial"/>
        </w:rPr>
        <w:t xml:space="preserve"> Balance Sheet and In</w:t>
      </w:r>
      <w:r w:rsidRPr="00D934A4">
        <w:rPr>
          <w:rFonts w:cs="Arial"/>
        </w:rPr>
        <w:t xml:space="preserve">come </w:t>
      </w:r>
      <w:r w:rsidR="006B68D1" w:rsidRPr="00D934A4">
        <w:rPr>
          <w:rFonts w:cs="Arial"/>
        </w:rPr>
        <w:t>and Expenditure S</w:t>
      </w:r>
      <w:r w:rsidRPr="00D934A4">
        <w:rPr>
          <w:rFonts w:cs="Arial"/>
        </w:rPr>
        <w:t>tatement</w:t>
      </w:r>
      <w:r w:rsidR="00B027C8" w:rsidRPr="00D934A4">
        <w:rPr>
          <w:rFonts w:cs="Arial"/>
        </w:rPr>
        <w:t>,</w:t>
      </w:r>
      <w:r w:rsidRPr="00D934A4">
        <w:rPr>
          <w:rFonts w:cs="Arial"/>
        </w:rPr>
        <w:t xml:space="preserve"> </w:t>
      </w:r>
      <w:r w:rsidR="006B68D1" w:rsidRPr="00D934A4">
        <w:rPr>
          <w:rFonts w:cs="Arial"/>
        </w:rPr>
        <w:t>reported at the R</w:t>
      </w:r>
      <w:r w:rsidR="00727BFD" w:rsidRPr="00D934A4">
        <w:rPr>
          <w:rFonts w:cs="Arial"/>
        </w:rPr>
        <w:t xml:space="preserve">egistered </w:t>
      </w:r>
      <w:r w:rsidR="006B68D1" w:rsidRPr="00D934A4">
        <w:rPr>
          <w:rFonts w:cs="Arial"/>
        </w:rPr>
        <w:t>P</w:t>
      </w:r>
      <w:r w:rsidRPr="00D934A4">
        <w:rPr>
          <w:rFonts w:cs="Arial"/>
        </w:rPr>
        <w:t>rovider level</w:t>
      </w:r>
      <w:r w:rsidR="00B027C8" w:rsidRPr="00D934A4">
        <w:rPr>
          <w:rFonts w:cs="Arial"/>
        </w:rPr>
        <w:t xml:space="preserve">, that are segmented by: </w:t>
      </w:r>
    </w:p>
    <w:p w14:paraId="3375F64D" w14:textId="77777777" w:rsidR="00FC17BF" w:rsidRPr="00D934A4" w:rsidRDefault="00FC17BF" w:rsidP="00BB6BEA">
      <w:pPr>
        <w:pStyle w:val="ListBullet"/>
      </w:pPr>
      <w:r w:rsidRPr="00D934A4">
        <w:t>Centrally held</w:t>
      </w:r>
    </w:p>
    <w:p w14:paraId="4F76AF61" w14:textId="77777777" w:rsidR="00FC17BF" w:rsidRPr="00D934A4" w:rsidRDefault="00FC17BF" w:rsidP="00BB6BEA">
      <w:pPr>
        <w:pStyle w:val="ListBullet"/>
      </w:pPr>
      <w:r w:rsidRPr="00D934A4">
        <w:t>Residential</w:t>
      </w:r>
    </w:p>
    <w:p w14:paraId="1732FA0D" w14:textId="77777777" w:rsidR="00FC17BF" w:rsidRPr="00D934A4" w:rsidRDefault="00FC17BF" w:rsidP="00BB6BEA">
      <w:pPr>
        <w:pStyle w:val="ListBullet"/>
      </w:pPr>
      <w:r w:rsidRPr="00D934A4">
        <w:t>Support at Home</w:t>
      </w:r>
    </w:p>
    <w:p w14:paraId="19AF8816" w14:textId="77777777" w:rsidR="00FC17BF" w:rsidRPr="00D934A4" w:rsidRDefault="00FC17BF" w:rsidP="00BB6BEA">
      <w:pPr>
        <w:pStyle w:val="ListBullet"/>
      </w:pPr>
      <w:r w:rsidRPr="00D934A4">
        <w:t>Community</w:t>
      </w:r>
    </w:p>
    <w:p w14:paraId="7E0472C7" w14:textId="77777777" w:rsidR="00FC17BF" w:rsidRPr="00D934A4" w:rsidRDefault="00FC17BF" w:rsidP="00BB6BEA">
      <w:pPr>
        <w:pStyle w:val="ListBullet"/>
      </w:pPr>
      <w:r w:rsidRPr="00D934A4">
        <w:t>Retirement</w:t>
      </w:r>
    </w:p>
    <w:p w14:paraId="0BB444BE" w14:textId="77777777" w:rsidR="00FC17BF" w:rsidRPr="00D934A4" w:rsidRDefault="00FC17BF" w:rsidP="00BB6BEA">
      <w:pPr>
        <w:pStyle w:val="ListBullet"/>
      </w:pPr>
      <w:r w:rsidRPr="00D934A4">
        <w:t>Other</w:t>
      </w:r>
    </w:p>
    <w:p w14:paraId="68E4E065" w14:textId="7C216611" w:rsidR="00520EED" w:rsidRPr="00D934A4" w:rsidRDefault="00520EED" w:rsidP="00520EED">
      <w:pPr>
        <w:rPr>
          <w:rFonts w:cs="Arial"/>
        </w:rPr>
      </w:pPr>
      <w:r w:rsidRPr="00D934A4">
        <w:rPr>
          <w:rFonts w:cs="Arial"/>
        </w:rPr>
        <w:t xml:space="preserve">Cash, financial assets and equity are only collected as a total and </w:t>
      </w:r>
      <w:r w:rsidR="003D01EB" w:rsidRPr="00D934A4">
        <w:rPr>
          <w:rFonts w:cs="Arial"/>
        </w:rPr>
        <w:t xml:space="preserve">are </w:t>
      </w:r>
      <w:r w:rsidRPr="00D934A4">
        <w:rPr>
          <w:rFonts w:cs="Arial"/>
        </w:rPr>
        <w:t>not required to be segmented.</w:t>
      </w:r>
    </w:p>
    <w:p w14:paraId="45859F08" w14:textId="77777777" w:rsidR="007A09C0" w:rsidRPr="001C1AD4" w:rsidRDefault="007A09C0" w:rsidP="001C1AD4">
      <w:r w:rsidRPr="001C1AD4">
        <w:t>The ‘Community’</w:t>
      </w:r>
      <w:r w:rsidRPr="001C1AD4" w:rsidDel="00B15F0A">
        <w:t xml:space="preserve"> </w:t>
      </w:r>
      <w:r w:rsidRPr="001C1AD4">
        <w:t>segment should include:</w:t>
      </w:r>
    </w:p>
    <w:p w14:paraId="3232D8BD" w14:textId="77777777" w:rsidR="007A09C0" w:rsidRPr="00D934A4" w:rsidRDefault="007A09C0" w:rsidP="00BB6BEA">
      <w:pPr>
        <w:pStyle w:val="ListBullet"/>
      </w:pPr>
      <w:r w:rsidRPr="00D934A4">
        <w:t xml:space="preserve">Commonwealth Home Support Programme (CHSP) </w:t>
      </w:r>
    </w:p>
    <w:p w14:paraId="63B1948A" w14:textId="77777777" w:rsidR="007A09C0" w:rsidRPr="00D934A4" w:rsidRDefault="007A09C0" w:rsidP="00BB6BEA">
      <w:pPr>
        <w:pStyle w:val="ListBullet"/>
      </w:pPr>
      <w:r w:rsidRPr="00D934A4">
        <w:t>National Aboriginal and Torres Strait Islander Flexible Aged Care Program (NATSIFACP)</w:t>
      </w:r>
    </w:p>
    <w:p w14:paraId="2E9C4FB8" w14:textId="77777777" w:rsidR="007A09C0" w:rsidRPr="00D934A4" w:rsidRDefault="007A09C0" w:rsidP="00BB6BEA">
      <w:pPr>
        <w:pStyle w:val="ListBullet"/>
      </w:pPr>
      <w:r w:rsidRPr="00D934A4">
        <w:t>Transition Care Program (TCP)</w:t>
      </w:r>
    </w:p>
    <w:p w14:paraId="3DAB1AAA" w14:textId="7A228FD3" w:rsidR="007A09C0" w:rsidRPr="00D934A4" w:rsidRDefault="002B5C6D" w:rsidP="00BB6BEA">
      <w:pPr>
        <w:pStyle w:val="ListBullet"/>
      </w:pPr>
      <w:r w:rsidRPr="00D934A4">
        <w:t>Multi-Purpose</w:t>
      </w:r>
      <w:r w:rsidR="007A09C0" w:rsidRPr="00D934A4">
        <w:t xml:space="preserve"> Services Program (MPSP)</w:t>
      </w:r>
    </w:p>
    <w:p w14:paraId="682AB6E9" w14:textId="77777777" w:rsidR="007A09C0" w:rsidRPr="00D934A4" w:rsidRDefault="007A09C0" w:rsidP="00BB6BEA">
      <w:pPr>
        <w:pStyle w:val="ListBullet"/>
      </w:pPr>
      <w:r w:rsidRPr="00D934A4">
        <w:t>Department of Veterans’ Affairs (DVA) program</w:t>
      </w:r>
    </w:p>
    <w:p w14:paraId="49B7E99A" w14:textId="77777777" w:rsidR="007A09C0" w:rsidRPr="00D934A4" w:rsidRDefault="007A09C0" w:rsidP="00BB6BEA">
      <w:pPr>
        <w:pStyle w:val="ListBullet"/>
      </w:pPr>
      <w:r w:rsidRPr="00D934A4">
        <w:t>other non-aged care community services including National Disability Insurance Scheme (NDIS), children services and other community services.</w:t>
      </w:r>
    </w:p>
    <w:p w14:paraId="2F89946F" w14:textId="7CD32B9B" w:rsidR="007A09C0" w:rsidRDefault="007A09C0" w:rsidP="007A09C0">
      <w:pPr>
        <w:rPr>
          <w:rFonts w:cs="Arial"/>
        </w:rPr>
      </w:pPr>
      <w:r w:rsidRPr="00D934A4">
        <w:rPr>
          <w:rFonts w:cs="Arial"/>
        </w:rPr>
        <w:t>The ‘Retirement’ segment should include assets, liabilities, income and expenses for retirement villages and Independent Living Units (ILUs).</w:t>
      </w:r>
    </w:p>
    <w:p w14:paraId="1E496599" w14:textId="4C3E958E" w:rsidR="00266F4E" w:rsidRDefault="00266F4E" w:rsidP="00266F4E">
      <w:pPr>
        <w:pStyle w:val="NewHeading2"/>
      </w:pPr>
      <w:r>
        <w:t>5.1 Government providers</w:t>
      </w:r>
    </w:p>
    <w:p w14:paraId="56FF69B0" w14:textId="4DD62E31" w:rsidR="00F76256" w:rsidRPr="00D934A4" w:rsidRDefault="00FB7AD0" w:rsidP="00520EED">
      <w:pPr>
        <w:rPr>
          <w:rFonts w:cs="Arial"/>
        </w:rPr>
      </w:pPr>
      <w:r w:rsidRPr="00D934A4">
        <w:t>If an organisation is a Registered Provider of residential aged care and/or the Support at Home program and is also a state or territory government, an authority of a state or territory or a local government authority then they are not required to complete the YTD Financial Statements.</w:t>
      </w:r>
      <w:r w:rsidR="00026A35">
        <w:t xml:space="preserve"> </w:t>
      </w:r>
    </w:p>
    <w:p w14:paraId="2F815EC8" w14:textId="5ACD08EC" w:rsidR="00520EED" w:rsidRPr="00D934A4" w:rsidRDefault="00C952DA" w:rsidP="00C952DA">
      <w:pPr>
        <w:pStyle w:val="NewHeading2"/>
      </w:pPr>
      <w:bookmarkStart w:id="17" w:name="_Toc205804588"/>
      <w:bookmarkStart w:id="18" w:name="_Toc207281690"/>
      <w:bookmarkEnd w:id="16"/>
      <w:r>
        <w:t xml:space="preserve">5.2 </w:t>
      </w:r>
      <w:r w:rsidR="00520EED" w:rsidRPr="00D934A4">
        <w:t>FAQs</w:t>
      </w:r>
      <w:bookmarkEnd w:id="17"/>
      <w:bookmarkEnd w:id="18"/>
    </w:p>
    <w:p w14:paraId="111DDB34" w14:textId="0869D036" w:rsidR="00520EED" w:rsidRPr="00D934A4" w:rsidRDefault="006F2568" w:rsidP="004D34EB">
      <w:pPr>
        <w:pStyle w:val="Heading3"/>
        <w:rPr>
          <w:rFonts w:eastAsia="Calibri Light"/>
        </w:rPr>
      </w:pPr>
      <w:bookmarkStart w:id="19" w:name="_Toc183446582"/>
      <w:r w:rsidRPr="00D934A4">
        <w:rPr>
          <w:rFonts w:eastAsia="Calibri Light"/>
        </w:rPr>
        <w:t>5.</w:t>
      </w:r>
      <w:r w:rsidR="00BD4115">
        <w:rPr>
          <w:rFonts w:eastAsia="Calibri Light"/>
        </w:rPr>
        <w:t>2</w:t>
      </w:r>
      <w:r w:rsidRPr="00D934A4">
        <w:rPr>
          <w:rFonts w:eastAsia="Calibri Light"/>
        </w:rPr>
        <w:t xml:space="preserve">.1 </w:t>
      </w:r>
      <w:r w:rsidR="00520EED" w:rsidRPr="00D934A4">
        <w:rPr>
          <w:rFonts w:eastAsia="Calibri Light"/>
        </w:rPr>
        <w:t xml:space="preserve">Is the layout of the </w:t>
      </w:r>
      <w:r w:rsidR="00EE3DD6" w:rsidRPr="00D934A4">
        <w:rPr>
          <w:rFonts w:eastAsia="Calibri Light"/>
        </w:rPr>
        <w:t>“</w:t>
      </w:r>
      <w:r w:rsidR="00520EED" w:rsidRPr="00D934A4">
        <w:rPr>
          <w:rFonts w:eastAsia="Calibri Light"/>
        </w:rPr>
        <w:t>YTD Financial Statements</w:t>
      </w:r>
      <w:r w:rsidR="00EE3DD6" w:rsidRPr="00D934A4">
        <w:rPr>
          <w:rFonts w:eastAsia="Calibri Light"/>
        </w:rPr>
        <w:t xml:space="preserve">” </w:t>
      </w:r>
      <w:r w:rsidR="00520EED" w:rsidRPr="00D934A4">
        <w:rPr>
          <w:rFonts w:eastAsia="Calibri Light"/>
        </w:rPr>
        <w:t>in the QFR the same as the ACFR?</w:t>
      </w:r>
      <w:bookmarkEnd w:id="19"/>
    </w:p>
    <w:p w14:paraId="416F0460" w14:textId="342741B3" w:rsidR="00520EED" w:rsidRPr="00D934A4" w:rsidRDefault="00520EED" w:rsidP="00520EED">
      <w:pPr>
        <w:rPr>
          <w:rFonts w:cs="Arial"/>
        </w:rPr>
      </w:pPr>
      <w:r w:rsidRPr="00D934A4">
        <w:rPr>
          <w:rFonts w:cs="Arial"/>
        </w:rPr>
        <w:t xml:space="preserve">Yes. </w:t>
      </w:r>
      <w:r w:rsidR="00EE3DD6" w:rsidRPr="00D934A4">
        <w:rPr>
          <w:rFonts w:cs="Arial"/>
        </w:rPr>
        <w:t xml:space="preserve">The “YTD Financial Statements” in the QFR is the same format as the “Consolidated Segment Report” in the ACFR. </w:t>
      </w:r>
      <w:r w:rsidRPr="00D934A4">
        <w:rPr>
          <w:rFonts w:cs="Arial"/>
        </w:rPr>
        <w:t xml:space="preserve">However, the QFR needs to be completed at the </w:t>
      </w:r>
      <w:r w:rsidR="00727BFD" w:rsidRPr="00D934A4">
        <w:rPr>
          <w:rFonts w:cs="Arial"/>
        </w:rPr>
        <w:t xml:space="preserve">registered </w:t>
      </w:r>
      <w:r w:rsidRPr="00D934A4">
        <w:rPr>
          <w:rFonts w:cs="Arial"/>
        </w:rPr>
        <w:t xml:space="preserve">provider level, unlike the ACFR which is at the ultimate </w:t>
      </w:r>
      <w:r w:rsidR="005576A4">
        <w:rPr>
          <w:rFonts w:cs="Arial"/>
        </w:rPr>
        <w:t xml:space="preserve">Australian </w:t>
      </w:r>
      <w:r w:rsidRPr="00D934A4">
        <w:rPr>
          <w:rFonts w:cs="Arial"/>
        </w:rPr>
        <w:t>parent entity level.</w:t>
      </w:r>
    </w:p>
    <w:p w14:paraId="5B07B057" w14:textId="066E512F" w:rsidR="00520EED" w:rsidRPr="00D934A4" w:rsidRDefault="006F2568" w:rsidP="004D34EB">
      <w:pPr>
        <w:pStyle w:val="Heading3"/>
        <w:rPr>
          <w:rFonts w:eastAsia="Calibri Light"/>
        </w:rPr>
      </w:pPr>
      <w:r w:rsidRPr="00D934A4">
        <w:rPr>
          <w:rFonts w:eastAsia="Calibri Light"/>
        </w:rPr>
        <w:t>5.</w:t>
      </w:r>
      <w:r w:rsidR="00BD4115">
        <w:rPr>
          <w:rFonts w:eastAsia="Calibri Light"/>
        </w:rPr>
        <w:t>2</w:t>
      </w:r>
      <w:r w:rsidRPr="00D934A4">
        <w:rPr>
          <w:rFonts w:eastAsia="Calibri Light"/>
        </w:rPr>
        <w:t xml:space="preserve">.2 </w:t>
      </w:r>
      <w:r w:rsidR="00520EED" w:rsidRPr="00D934A4">
        <w:rPr>
          <w:rFonts w:eastAsia="Calibri Light"/>
        </w:rPr>
        <w:t xml:space="preserve">How are corporate recharges treated when reporting at the </w:t>
      </w:r>
      <w:r w:rsidR="00C83451" w:rsidRPr="00D934A4">
        <w:rPr>
          <w:rFonts w:eastAsia="Calibri Light"/>
        </w:rPr>
        <w:t>registered</w:t>
      </w:r>
      <w:r w:rsidR="00520EED" w:rsidRPr="00D934A4">
        <w:rPr>
          <w:rFonts w:eastAsia="Calibri Light"/>
        </w:rPr>
        <w:t xml:space="preserve"> provider level?</w:t>
      </w:r>
    </w:p>
    <w:p w14:paraId="40FD4ADD" w14:textId="76A38FA0" w:rsidR="00B96D19" w:rsidRPr="00D934A4" w:rsidRDefault="00520EED" w:rsidP="00BB6BEA">
      <w:pPr>
        <w:rPr>
          <w:rFonts w:cs="Arial"/>
        </w:rPr>
      </w:pPr>
      <w:r w:rsidRPr="00D934A4">
        <w:rPr>
          <w:rFonts w:cs="Arial"/>
        </w:rPr>
        <w:t xml:space="preserve">In the </w:t>
      </w:r>
      <w:r w:rsidR="008C5D85" w:rsidRPr="00D934A4">
        <w:rPr>
          <w:rFonts w:cs="Arial"/>
        </w:rPr>
        <w:t>“</w:t>
      </w:r>
      <w:r w:rsidRPr="00D934A4">
        <w:rPr>
          <w:rFonts w:cs="Arial"/>
        </w:rPr>
        <w:t>YTD Financial Statement</w:t>
      </w:r>
      <w:r w:rsidR="008C5D85" w:rsidRPr="00D934A4">
        <w:rPr>
          <w:rFonts w:cs="Arial"/>
        </w:rPr>
        <w:t>s”</w:t>
      </w:r>
      <w:r w:rsidRPr="00D934A4">
        <w:rPr>
          <w:rFonts w:cs="Arial"/>
        </w:rPr>
        <w:t xml:space="preserve">, </w:t>
      </w:r>
      <w:r w:rsidR="004064CC">
        <w:rPr>
          <w:rFonts w:cs="Arial"/>
        </w:rPr>
        <w:t>the “</w:t>
      </w:r>
      <w:r w:rsidRPr="00D934A4">
        <w:rPr>
          <w:rFonts w:cs="Arial"/>
        </w:rPr>
        <w:t>management fees</w:t>
      </w:r>
      <w:r w:rsidR="004064CC">
        <w:rPr>
          <w:rFonts w:cs="Arial"/>
        </w:rPr>
        <w:t>” data item</w:t>
      </w:r>
      <w:r w:rsidRPr="00D934A4">
        <w:rPr>
          <w:rFonts w:cs="Arial"/>
        </w:rPr>
        <w:t xml:space="preserve"> should include corporate recharges (the apportionment of administration costs from the organisation’s shared administration services and/or corporate head office).</w:t>
      </w:r>
    </w:p>
    <w:p w14:paraId="407E561B" w14:textId="06954A14" w:rsidR="00520EED" w:rsidRPr="00755877" w:rsidRDefault="00520EED" w:rsidP="00755877">
      <w:pPr>
        <w:pStyle w:val="NewHeading3"/>
      </w:pPr>
      <w:r w:rsidRPr="00755877">
        <w:t xml:space="preserve">Allocation </w:t>
      </w:r>
      <w:r w:rsidR="00C75C36" w:rsidRPr="00755877">
        <w:t>a</w:t>
      </w:r>
      <w:r w:rsidRPr="00755877">
        <w:t xml:space="preserve">cross the </w:t>
      </w:r>
      <w:r w:rsidR="00C75C36" w:rsidRPr="00755877">
        <w:t>v</w:t>
      </w:r>
      <w:r w:rsidRPr="00755877">
        <w:t xml:space="preserve">arious </w:t>
      </w:r>
      <w:r w:rsidR="00C75C36" w:rsidRPr="00755877">
        <w:t>s</w:t>
      </w:r>
      <w:r w:rsidRPr="00755877">
        <w:t>egments</w:t>
      </w:r>
    </w:p>
    <w:p w14:paraId="49BA1629" w14:textId="5C9A6F34" w:rsidR="00520EED" w:rsidRPr="00D934A4" w:rsidRDefault="00171644" w:rsidP="004D34EB">
      <w:pPr>
        <w:pStyle w:val="Heading3"/>
        <w:rPr>
          <w:rFonts w:eastAsia="Calibri Light"/>
        </w:rPr>
      </w:pPr>
      <w:bookmarkStart w:id="20" w:name="_Toc183446586"/>
      <w:r w:rsidRPr="00D934A4">
        <w:rPr>
          <w:rFonts w:eastAsia="Calibri Light"/>
        </w:rPr>
        <w:t>5.</w:t>
      </w:r>
      <w:r w:rsidR="00F83797">
        <w:rPr>
          <w:rFonts w:eastAsia="Calibri Light"/>
        </w:rPr>
        <w:t>2.</w:t>
      </w:r>
      <w:r w:rsidRPr="00D934A4">
        <w:rPr>
          <w:rFonts w:eastAsia="Calibri Light"/>
        </w:rPr>
        <w:t xml:space="preserve">3 </w:t>
      </w:r>
      <w:r w:rsidR="00520EED" w:rsidRPr="00D934A4">
        <w:rPr>
          <w:rFonts w:eastAsia="Calibri Light"/>
        </w:rPr>
        <w:t>What is the purpose of doing an allocation between the various business segments at the balance sheet level?</w:t>
      </w:r>
      <w:bookmarkEnd w:id="20"/>
    </w:p>
    <w:p w14:paraId="02F10042" w14:textId="198AE052" w:rsidR="00520EED" w:rsidRPr="00D934A4" w:rsidRDefault="00520EED" w:rsidP="00520EED">
      <w:pPr>
        <w:rPr>
          <w:rFonts w:cs="Arial"/>
        </w:rPr>
      </w:pPr>
      <w:r w:rsidRPr="00D934A4">
        <w:rPr>
          <w:rFonts w:cs="Arial"/>
        </w:rPr>
        <w:t xml:space="preserve">Both residential aged care and </w:t>
      </w:r>
      <w:r w:rsidR="00627046" w:rsidRPr="00D934A4">
        <w:rPr>
          <w:rFonts w:cs="Arial"/>
        </w:rPr>
        <w:t>Support at Home</w:t>
      </w:r>
      <w:r w:rsidR="003F6352" w:rsidRPr="00D934A4">
        <w:rPr>
          <w:rFonts w:cs="Arial"/>
        </w:rPr>
        <w:t xml:space="preserve"> program</w:t>
      </w:r>
      <w:r w:rsidR="00627046" w:rsidRPr="00D934A4">
        <w:rPr>
          <w:rFonts w:cs="Arial"/>
        </w:rPr>
        <w:t xml:space="preserve"> </w:t>
      </w:r>
      <w:r w:rsidRPr="00D934A4">
        <w:rPr>
          <w:rFonts w:cs="Arial"/>
        </w:rPr>
        <w:t xml:space="preserve">providers are required to segment their income statement and balance sheet to complete the </w:t>
      </w:r>
      <w:r w:rsidR="003F6352" w:rsidRPr="00D934A4">
        <w:rPr>
          <w:rFonts w:cs="Arial"/>
        </w:rPr>
        <w:t>“</w:t>
      </w:r>
      <w:r w:rsidRPr="00D934A4">
        <w:rPr>
          <w:rFonts w:cs="Arial"/>
        </w:rPr>
        <w:t>YTD Financial Statement</w:t>
      </w:r>
      <w:r w:rsidR="003F6352" w:rsidRPr="00D934A4">
        <w:rPr>
          <w:rFonts w:cs="Arial"/>
        </w:rPr>
        <w:t>s”</w:t>
      </w:r>
      <w:r w:rsidRPr="00D934A4">
        <w:rPr>
          <w:rFonts w:cs="Arial"/>
        </w:rPr>
        <w:t xml:space="preserve">. The department acknowledges that providers may need to make reasonable estimations for some data items. This requirement is similar to what providers </w:t>
      </w:r>
      <w:r w:rsidR="003F6352" w:rsidRPr="00D934A4">
        <w:rPr>
          <w:rFonts w:cs="Arial"/>
        </w:rPr>
        <w:t>have to complete</w:t>
      </w:r>
      <w:r w:rsidRPr="00D934A4">
        <w:rPr>
          <w:rFonts w:cs="Arial"/>
        </w:rPr>
        <w:t xml:space="preserve"> in the </w:t>
      </w:r>
      <w:r w:rsidR="003F6352" w:rsidRPr="00D934A4">
        <w:rPr>
          <w:rFonts w:cs="Arial"/>
        </w:rPr>
        <w:t>“</w:t>
      </w:r>
      <w:r w:rsidRPr="00D934A4">
        <w:rPr>
          <w:rFonts w:cs="Arial"/>
        </w:rPr>
        <w:t xml:space="preserve">Consolidated Segment </w:t>
      </w:r>
      <w:r w:rsidR="003F6352" w:rsidRPr="00D934A4">
        <w:rPr>
          <w:rFonts w:cs="Arial"/>
        </w:rPr>
        <w:t xml:space="preserve">Report” </w:t>
      </w:r>
      <w:r w:rsidRPr="00D934A4">
        <w:rPr>
          <w:rFonts w:cs="Arial"/>
        </w:rPr>
        <w:t xml:space="preserve">in the ACFR, however, at the </w:t>
      </w:r>
      <w:r w:rsidR="00BD2F65">
        <w:rPr>
          <w:rFonts w:cs="Arial"/>
        </w:rPr>
        <w:t>R</w:t>
      </w:r>
      <w:r w:rsidR="00C83451" w:rsidRPr="00D934A4">
        <w:rPr>
          <w:rFonts w:cs="Arial"/>
        </w:rPr>
        <w:t xml:space="preserve">egistered </w:t>
      </w:r>
      <w:r w:rsidR="00BD2F65">
        <w:rPr>
          <w:rFonts w:cs="Arial"/>
        </w:rPr>
        <w:t>P</w:t>
      </w:r>
      <w:r w:rsidRPr="00D934A4">
        <w:rPr>
          <w:rFonts w:cs="Arial"/>
        </w:rPr>
        <w:t>rovider level.</w:t>
      </w:r>
    </w:p>
    <w:p w14:paraId="644BDBE1" w14:textId="6744B768" w:rsidR="00520EED" w:rsidRPr="00D934A4" w:rsidRDefault="003752A1" w:rsidP="004D34EB">
      <w:pPr>
        <w:pStyle w:val="Heading3"/>
        <w:rPr>
          <w:rFonts w:eastAsia="Calibri Light"/>
        </w:rPr>
      </w:pPr>
      <w:bookmarkStart w:id="21" w:name="_Toc183446584"/>
      <w:r w:rsidRPr="00D934A4">
        <w:rPr>
          <w:rFonts w:eastAsia="Calibri Light"/>
        </w:rPr>
        <w:t>5.</w:t>
      </w:r>
      <w:r w:rsidR="00F83797">
        <w:rPr>
          <w:rFonts w:eastAsia="Calibri Light"/>
        </w:rPr>
        <w:t>2.</w:t>
      </w:r>
      <w:r w:rsidR="00BD2F65">
        <w:rPr>
          <w:rFonts w:eastAsia="Calibri Light"/>
        </w:rPr>
        <w:t>4</w:t>
      </w:r>
      <w:r w:rsidRPr="00D934A4">
        <w:rPr>
          <w:rFonts w:eastAsia="Calibri Light"/>
        </w:rPr>
        <w:t xml:space="preserve"> </w:t>
      </w:r>
      <w:r w:rsidR="00520EED" w:rsidRPr="00D934A4">
        <w:rPr>
          <w:rFonts w:eastAsia="Calibri Light"/>
        </w:rPr>
        <w:t xml:space="preserve">What is intended to be reported in the column titled </w:t>
      </w:r>
      <w:r w:rsidR="00C7771A" w:rsidRPr="00D934A4">
        <w:rPr>
          <w:rFonts w:eastAsia="Calibri Light"/>
        </w:rPr>
        <w:t>“</w:t>
      </w:r>
      <w:r w:rsidR="00520EED" w:rsidRPr="00D934A4">
        <w:rPr>
          <w:rFonts w:eastAsia="Calibri Light"/>
        </w:rPr>
        <w:t>Other</w:t>
      </w:r>
      <w:r w:rsidR="00C7771A" w:rsidRPr="00D934A4">
        <w:rPr>
          <w:rFonts w:eastAsia="Calibri Light"/>
        </w:rPr>
        <w:t>”</w:t>
      </w:r>
      <w:r w:rsidR="005B23BB" w:rsidRPr="00D934A4">
        <w:rPr>
          <w:rFonts w:eastAsia="Calibri Light"/>
        </w:rPr>
        <w:t xml:space="preserve"> in the “YTD Financial Statements”</w:t>
      </w:r>
      <w:r w:rsidR="00520EED" w:rsidRPr="00D934A4">
        <w:rPr>
          <w:rFonts w:eastAsia="Calibri Light"/>
        </w:rPr>
        <w:t>?</w:t>
      </w:r>
      <w:bookmarkEnd w:id="21"/>
    </w:p>
    <w:p w14:paraId="4D3F2AB1" w14:textId="77777777" w:rsidR="00520EED" w:rsidRPr="00D934A4" w:rsidRDefault="00520EED" w:rsidP="00520EED">
      <w:pPr>
        <w:rPr>
          <w:rFonts w:cs="Arial"/>
        </w:rPr>
      </w:pPr>
      <w:r w:rsidRPr="00D934A4">
        <w:rPr>
          <w:rFonts w:cs="Arial"/>
        </w:rPr>
        <w:t>If the existing segmentation/columns are not adequate to cover all care related services the provider offers, the ‘Other’ column is to be used to report unclassified items. For example, if the provider operates a hospital, or a shopfront, it would be included in “Other”.</w:t>
      </w:r>
    </w:p>
    <w:p w14:paraId="0B55ADFB" w14:textId="5F322489" w:rsidR="00520EED" w:rsidRPr="00D934A4" w:rsidRDefault="003752A1" w:rsidP="004D34EB">
      <w:pPr>
        <w:pStyle w:val="Heading3"/>
        <w:rPr>
          <w:rFonts w:eastAsia="Calibri Light"/>
        </w:rPr>
      </w:pPr>
      <w:r w:rsidRPr="00D934A4">
        <w:rPr>
          <w:rFonts w:eastAsia="Calibri Light"/>
        </w:rPr>
        <w:t>5.</w:t>
      </w:r>
      <w:r w:rsidR="00663BD3">
        <w:rPr>
          <w:rFonts w:eastAsia="Calibri Light"/>
        </w:rPr>
        <w:t>2.</w:t>
      </w:r>
      <w:r w:rsidR="00BD2F65">
        <w:rPr>
          <w:rFonts w:eastAsia="Calibri Light"/>
        </w:rPr>
        <w:t>5</w:t>
      </w:r>
      <w:r w:rsidRPr="00D934A4">
        <w:rPr>
          <w:rFonts w:eastAsia="Calibri Light"/>
        </w:rPr>
        <w:t xml:space="preserve"> </w:t>
      </w:r>
      <w:r w:rsidR="00520EED" w:rsidRPr="00D934A4">
        <w:rPr>
          <w:rFonts w:eastAsia="Calibri Light"/>
        </w:rPr>
        <w:t xml:space="preserve">Does the Veteran’s Supplement need to be included in the </w:t>
      </w:r>
      <w:r w:rsidR="00C7771A" w:rsidRPr="00D934A4">
        <w:rPr>
          <w:rFonts w:eastAsia="Calibri Light"/>
        </w:rPr>
        <w:t>“</w:t>
      </w:r>
      <w:r w:rsidR="00520EED" w:rsidRPr="00D934A4">
        <w:rPr>
          <w:rFonts w:eastAsia="Calibri Light"/>
        </w:rPr>
        <w:t>Community</w:t>
      </w:r>
      <w:r w:rsidR="00C7771A" w:rsidRPr="00D934A4">
        <w:rPr>
          <w:rFonts w:eastAsia="Calibri Light"/>
        </w:rPr>
        <w:t>”</w:t>
      </w:r>
      <w:r w:rsidR="00520EED" w:rsidRPr="00D934A4">
        <w:rPr>
          <w:rFonts w:eastAsia="Calibri Light"/>
        </w:rPr>
        <w:t xml:space="preserve"> column?</w:t>
      </w:r>
    </w:p>
    <w:p w14:paraId="71003C50" w14:textId="4AE897B3" w:rsidR="00520EED" w:rsidRPr="00D934A4" w:rsidRDefault="00520EED" w:rsidP="00520EED">
      <w:pPr>
        <w:rPr>
          <w:rFonts w:cs="Arial"/>
        </w:rPr>
      </w:pPr>
      <w:r w:rsidRPr="00D934A4">
        <w:rPr>
          <w:rFonts w:cs="Arial"/>
        </w:rPr>
        <w:t xml:space="preserve">If the Veteran's Supplement is provided in residential </w:t>
      </w:r>
      <w:r w:rsidR="00C7771A" w:rsidRPr="00D934A4">
        <w:rPr>
          <w:rFonts w:cs="Arial"/>
        </w:rPr>
        <w:t xml:space="preserve">aged </w:t>
      </w:r>
      <w:r w:rsidRPr="00D934A4">
        <w:rPr>
          <w:rFonts w:cs="Arial"/>
        </w:rPr>
        <w:t xml:space="preserve">care settings, then it should be reported in the </w:t>
      </w:r>
      <w:r w:rsidR="00C7771A" w:rsidRPr="00D934A4">
        <w:rPr>
          <w:rFonts w:cs="Arial"/>
        </w:rPr>
        <w:t>“</w:t>
      </w:r>
      <w:r w:rsidRPr="00D934A4">
        <w:rPr>
          <w:rFonts w:cs="Arial"/>
        </w:rPr>
        <w:t>Residential</w:t>
      </w:r>
      <w:r w:rsidR="00C7771A" w:rsidRPr="00D934A4">
        <w:rPr>
          <w:rFonts w:cs="Arial"/>
        </w:rPr>
        <w:t>”</w:t>
      </w:r>
      <w:r w:rsidRPr="00D934A4">
        <w:rPr>
          <w:rFonts w:cs="Arial"/>
        </w:rPr>
        <w:t xml:space="preserve"> column. If support for Veterans is through other DVA support programs outside residential </w:t>
      </w:r>
      <w:r w:rsidR="00A22972" w:rsidRPr="00D934A4">
        <w:rPr>
          <w:rFonts w:cs="Arial"/>
        </w:rPr>
        <w:t xml:space="preserve">aged </w:t>
      </w:r>
      <w:r w:rsidRPr="00D934A4">
        <w:rPr>
          <w:rFonts w:cs="Arial"/>
        </w:rPr>
        <w:t xml:space="preserve">care, it should be reported in </w:t>
      </w:r>
      <w:r w:rsidR="00A22972" w:rsidRPr="00D934A4">
        <w:rPr>
          <w:rFonts w:cs="Arial"/>
        </w:rPr>
        <w:t>“</w:t>
      </w:r>
      <w:r w:rsidRPr="00D934A4">
        <w:rPr>
          <w:rFonts w:cs="Arial"/>
        </w:rPr>
        <w:t>Community</w:t>
      </w:r>
      <w:r w:rsidR="00A22972" w:rsidRPr="00D934A4">
        <w:rPr>
          <w:rFonts w:cs="Arial"/>
        </w:rPr>
        <w:t>”</w:t>
      </w:r>
      <w:r w:rsidRPr="00D934A4">
        <w:rPr>
          <w:rFonts w:cs="Arial"/>
        </w:rPr>
        <w:t>.</w:t>
      </w:r>
    </w:p>
    <w:p w14:paraId="3116C9DE" w14:textId="712E6932" w:rsidR="00520EED" w:rsidRPr="00D934A4" w:rsidRDefault="003752A1" w:rsidP="004D34EB">
      <w:pPr>
        <w:pStyle w:val="Heading3"/>
        <w:rPr>
          <w:rFonts w:eastAsia="Calibri Light"/>
        </w:rPr>
      </w:pPr>
      <w:r w:rsidRPr="00D934A4">
        <w:rPr>
          <w:rFonts w:eastAsia="Calibri Light"/>
        </w:rPr>
        <w:t>5.</w:t>
      </w:r>
      <w:r w:rsidR="00663BD3">
        <w:rPr>
          <w:rFonts w:eastAsia="Calibri Light"/>
        </w:rPr>
        <w:t>2.</w:t>
      </w:r>
      <w:r w:rsidRPr="00D934A4">
        <w:rPr>
          <w:rFonts w:eastAsia="Calibri Light"/>
        </w:rPr>
        <w:t xml:space="preserve">6 </w:t>
      </w:r>
      <w:r w:rsidR="00520EED" w:rsidRPr="00D934A4">
        <w:rPr>
          <w:rFonts w:eastAsia="Calibri Light"/>
        </w:rPr>
        <w:t xml:space="preserve">Where should providers report financial information relating to mental health services? </w:t>
      </w:r>
    </w:p>
    <w:p w14:paraId="524B066A" w14:textId="5547DB7D" w:rsidR="00520EED" w:rsidRPr="00D934A4" w:rsidRDefault="00520EED" w:rsidP="00520EED">
      <w:pPr>
        <w:rPr>
          <w:rFonts w:cs="Arial"/>
        </w:rPr>
      </w:pPr>
      <w:r w:rsidRPr="00D934A4">
        <w:rPr>
          <w:rFonts w:cs="Arial"/>
        </w:rPr>
        <w:t xml:space="preserve">Mental health services provided under the umbrella of residential aged care should be reported in the </w:t>
      </w:r>
      <w:r w:rsidR="00A22972" w:rsidRPr="00D934A4">
        <w:rPr>
          <w:rFonts w:cs="Arial"/>
        </w:rPr>
        <w:t>“</w:t>
      </w:r>
      <w:r w:rsidRPr="00D934A4">
        <w:rPr>
          <w:rFonts w:cs="Arial"/>
        </w:rPr>
        <w:t>Residential</w:t>
      </w:r>
      <w:r w:rsidR="00A22972" w:rsidRPr="00D934A4">
        <w:rPr>
          <w:rFonts w:cs="Arial"/>
        </w:rPr>
        <w:t>”</w:t>
      </w:r>
      <w:r w:rsidRPr="00D934A4">
        <w:rPr>
          <w:rFonts w:cs="Arial"/>
        </w:rPr>
        <w:t xml:space="preserve"> column. However, if the services are provided in isolation outside residential or </w:t>
      </w:r>
      <w:r w:rsidR="007801A9" w:rsidRPr="00D934A4">
        <w:rPr>
          <w:rFonts w:cs="Arial"/>
        </w:rPr>
        <w:t>Support at Home</w:t>
      </w:r>
      <w:r w:rsidRPr="00D934A4">
        <w:rPr>
          <w:rFonts w:cs="Arial"/>
        </w:rPr>
        <w:t xml:space="preserve">, they should be reported in the </w:t>
      </w:r>
      <w:r w:rsidR="00A22972" w:rsidRPr="00D934A4">
        <w:rPr>
          <w:rFonts w:cs="Arial"/>
        </w:rPr>
        <w:t>“</w:t>
      </w:r>
      <w:r w:rsidRPr="00D934A4">
        <w:rPr>
          <w:rFonts w:cs="Arial"/>
        </w:rPr>
        <w:t>Community</w:t>
      </w:r>
      <w:r w:rsidR="00A22972" w:rsidRPr="00D934A4">
        <w:rPr>
          <w:rFonts w:cs="Arial"/>
        </w:rPr>
        <w:t>”</w:t>
      </w:r>
      <w:r w:rsidRPr="00D934A4">
        <w:rPr>
          <w:rFonts w:cs="Arial"/>
        </w:rPr>
        <w:t xml:space="preserve"> column.</w:t>
      </w:r>
    </w:p>
    <w:p w14:paraId="2341F643" w14:textId="7F715253" w:rsidR="00520EED" w:rsidRPr="00D934A4" w:rsidRDefault="003752A1" w:rsidP="004D34EB">
      <w:pPr>
        <w:pStyle w:val="Heading3"/>
        <w:rPr>
          <w:rFonts w:eastAsia="Calibri Light"/>
        </w:rPr>
      </w:pPr>
      <w:r w:rsidRPr="00D934A4">
        <w:rPr>
          <w:rFonts w:eastAsia="Calibri Light"/>
        </w:rPr>
        <w:t>5.</w:t>
      </w:r>
      <w:r w:rsidR="00663BD3">
        <w:rPr>
          <w:rFonts w:eastAsia="Calibri Light"/>
        </w:rPr>
        <w:t>2.</w:t>
      </w:r>
      <w:r w:rsidRPr="00D934A4">
        <w:rPr>
          <w:rFonts w:eastAsia="Calibri Light"/>
        </w:rPr>
        <w:t xml:space="preserve">7 </w:t>
      </w:r>
      <w:r w:rsidR="00520EED" w:rsidRPr="00D934A4">
        <w:rPr>
          <w:rFonts w:eastAsia="Calibri Light"/>
        </w:rPr>
        <w:t xml:space="preserve">If NDIS services are provided by an aged care provider through the same legal entity, do they need to be reported in the </w:t>
      </w:r>
      <w:r w:rsidR="0022180B" w:rsidRPr="00D934A4">
        <w:rPr>
          <w:rFonts w:eastAsia="Calibri Light"/>
        </w:rPr>
        <w:t>“</w:t>
      </w:r>
      <w:r w:rsidR="00520EED" w:rsidRPr="00D934A4">
        <w:rPr>
          <w:rFonts w:eastAsia="Calibri Light"/>
        </w:rPr>
        <w:t>Community</w:t>
      </w:r>
      <w:r w:rsidR="0022180B" w:rsidRPr="00D934A4">
        <w:rPr>
          <w:rFonts w:eastAsia="Calibri Light"/>
        </w:rPr>
        <w:t>”</w:t>
      </w:r>
      <w:r w:rsidR="00520EED" w:rsidRPr="00D934A4">
        <w:rPr>
          <w:rFonts w:eastAsia="Calibri Light"/>
        </w:rPr>
        <w:t xml:space="preserve"> column?</w:t>
      </w:r>
    </w:p>
    <w:p w14:paraId="34913571" w14:textId="2D1E8C78" w:rsidR="00520EED" w:rsidRPr="00D934A4" w:rsidRDefault="00520EED" w:rsidP="00520EED">
      <w:pPr>
        <w:rPr>
          <w:rFonts w:cs="Arial"/>
        </w:rPr>
      </w:pPr>
      <w:r w:rsidRPr="00D934A4">
        <w:rPr>
          <w:rFonts w:cs="Arial"/>
        </w:rPr>
        <w:t xml:space="preserve">Yes, NDIS services need to be reported in the </w:t>
      </w:r>
      <w:r w:rsidR="0022180B" w:rsidRPr="00D934A4">
        <w:rPr>
          <w:rFonts w:cs="Arial"/>
        </w:rPr>
        <w:t>“</w:t>
      </w:r>
      <w:r w:rsidRPr="00D934A4">
        <w:rPr>
          <w:rFonts w:cs="Arial"/>
        </w:rPr>
        <w:t>Community</w:t>
      </w:r>
      <w:r w:rsidR="0022180B" w:rsidRPr="00D934A4">
        <w:rPr>
          <w:rFonts w:cs="Arial"/>
        </w:rPr>
        <w:t>”</w:t>
      </w:r>
      <w:r w:rsidRPr="00D934A4">
        <w:rPr>
          <w:rFonts w:cs="Arial"/>
        </w:rPr>
        <w:t xml:space="preserve"> column.</w:t>
      </w:r>
    </w:p>
    <w:p w14:paraId="41BC065E" w14:textId="7362789D" w:rsidR="00520EED" w:rsidRPr="00D934A4" w:rsidRDefault="0057235A" w:rsidP="004D34EB">
      <w:pPr>
        <w:pStyle w:val="Heading3"/>
        <w:rPr>
          <w:rFonts w:eastAsia="Calibri Light"/>
        </w:rPr>
      </w:pPr>
      <w:bookmarkStart w:id="22" w:name="_Toc183446587"/>
      <w:r w:rsidRPr="00D934A4">
        <w:rPr>
          <w:rFonts w:eastAsia="Calibri Light"/>
        </w:rPr>
        <w:t>5.</w:t>
      </w:r>
      <w:r w:rsidR="00663BD3">
        <w:rPr>
          <w:rFonts w:eastAsia="Calibri Light"/>
        </w:rPr>
        <w:t>2.</w:t>
      </w:r>
      <w:r w:rsidRPr="00D934A4">
        <w:rPr>
          <w:rFonts w:eastAsia="Calibri Light"/>
        </w:rPr>
        <w:t xml:space="preserve">8 </w:t>
      </w:r>
      <w:r w:rsidR="00520EED" w:rsidRPr="00D934A4">
        <w:rPr>
          <w:rFonts w:eastAsia="Calibri Light"/>
        </w:rPr>
        <w:t>Where do providers allocate retirement village assets/liabilities and profit and loss?</w:t>
      </w:r>
      <w:bookmarkEnd w:id="22"/>
    </w:p>
    <w:p w14:paraId="654D2794" w14:textId="3849F0E0" w:rsidR="00520EED" w:rsidRPr="00D934A4" w:rsidRDefault="00520EED" w:rsidP="00520EED">
      <w:pPr>
        <w:rPr>
          <w:rFonts w:cs="Arial"/>
        </w:rPr>
      </w:pPr>
      <w:r w:rsidRPr="00D934A4">
        <w:rPr>
          <w:rFonts w:cs="Arial"/>
        </w:rPr>
        <w:t xml:space="preserve">Under the </w:t>
      </w:r>
      <w:r w:rsidR="0022180B" w:rsidRPr="00D934A4">
        <w:rPr>
          <w:rFonts w:cs="Arial"/>
        </w:rPr>
        <w:t>“</w:t>
      </w:r>
      <w:r w:rsidRPr="00D934A4">
        <w:rPr>
          <w:rFonts w:cs="Arial"/>
        </w:rPr>
        <w:t>Retirement</w:t>
      </w:r>
      <w:r w:rsidR="0022180B" w:rsidRPr="00D934A4">
        <w:rPr>
          <w:rFonts w:cs="Arial"/>
        </w:rPr>
        <w:t>”</w:t>
      </w:r>
      <w:r w:rsidRPr="00D934A4">
        <w:rPr>
          <w:rFonts w:cs="Arial"/>
        </w:rPr>
        <w:t xml:space="preserve"> category in the </w:t>
      </w:r>
      <w:r w:rsidR="0022180B" w:rsidRPr="00D934A4">
        <w:rPr>
          <w:rFonts w:cs="Arial"/>
        </w:rPr>
        <w:t>“</w:t>
      </w:r>
      <w:r w:rsidRPr="00D934A4">
        <w:rPr>
          <w:rFonts w:cs="Arial"/>
        </w:rPr>
        <w:t>YTD Financial Statement</w:t>
      </w:r>
      <w:r w:rsidR="0022180B" w:rsidRPr="00D934A4">
        <w:rPr>
          <w:rFonts w:cs="Arial"/>
        </w:rPr>
        <w:t>s”</w:t>
      </w:r>
      <w:r w:rsidRPr="00D934A4">
        <w:rPr>
          <w:rFonts w:cs="Arial"/>
        </w:rPr>
        <w:t>.</w:t>
      </w:r>
    </w:p>
    <w:p w14:paraId="5BF43407" w14:textId="1E1234F0" w:rsidR="00520EED" w:rsidRPr="00D934A4" w:rsidRDefault="0001341E" w:rsidP="004D34EB">
      <w:pPr>
        <w:pStyle w:val="Heading3"/>
        <w:rPr>
          <w:rFonts w:eastAsia="Calibri Light"/>
        </w:rPr>
      </w:pPr>
      <w:r w:rsidRPr="00D934A4">
        <w:rPr>
          <w:rFonts w:eastAsia="Calibri Light"/>
        </w:rPr>
        <w:t>5.</w:t>
      </w:r>
      <w:r w:rsidR="00663BD3">
        <w:rPr>
          <w:rFonts w:eastAsia="Calibri Light"/>
        </w:rPr>
        <w:t>2.</w:t>
      </w:r>
      <w:r w:rsidRPr="00D934A4">
        <w:rPr>
          <w:rFonts w:eastAsia="Calibri Light"/>
        </w:rPr>
        <w:t xml:space="preserve">9 </w:t>
      </w:r>
      <w:r w:rsidR="00520EED" w:rsidRPr="00D934A4">
        <w:rPr>
          <w:rFonts w:eastAsia="Calibri Light"/>
        </w:rPr>
        <w:t xml:space="preserve">Does the QFR require information on income and expenditure on services brokered to other providers as well as self-funded (private) care recipients? Is this information reported under the </w:t>
      </w:r>
      <w:r w:rsidR="00FB4D9F" w:rsidRPr="00D934A4">
        <w:rPr>
          <w:rFonts w:eastAsia="Calibri Light"/>
        </w:rPr>
        <w:t xml:space="preserve">Support at Home </w:t>
      </w:r>
      <w:r w:rsidR="00520EED" w:rsidRPr="00D934A4">
        <w:rPr>
          <w:rFonts w:eastAsia="Calibri Light"/>
        </w:rPr>
        <w:t>segment?</w:t>
      </w:r>
    </w:p>
    <w:p w14:paraId="427CD386" w14:textId="7FC299AF" w:rsidR="00520EED" w:rsidRPr="00D934A4" w:rsidRDefault="00611EA9" w:rsidP="00520EED">
      <w:pPr>
        <w:rPr>
          <w:rFonts w:eastAsia="Calibri" w:cs="Arial"/>
        </w:rPr>
      </w:pPr>
      <w:r w:rsidRPr="00D934A4">
        <w:rPr>
          <w:rFonts w:eastAsia="Calibri" w:cs="Arial"/>
        </w:rPr>
        <w:t>Support at Home</w:t>
      </w:r>
      <w:r w:rsidR="00520EED" w:rsidRPr="00D934A4">
        <w:rPr>
          <w:rFonts w:eastAsia="Calibri" w:cs="Arial"/>
        </w:rPr>
        <w:t xml:space="preserve"> income and</w:t>
      </w:r>
      <w:r w:rsidR="00520EED" w:rsidRPr="00D934A4">
        <w:rPr>
          <w:rFonts w:eastAsia="Calibri" w:cs="Arial"/>
          <w:spacing w:val="-4"/>
        </w:rPr>
        <w:t xml:space="preserve"> </w:t>
      </w:r>
      <w:r w:rsidR="00520EED" w:rsidRPr="00D934A4">
        <w:rPr>
          <w:rFonts w:eastAsia="Calibri" w:cs="Arial"/>
        </w:rPr>
        <w:t xml:space="preserve">expenditure should cover </w:t>
      </w:r>
      <w:r w:rsidR="00243EC8" w:rsidRPr="00D934A4">
        <w:rPr>
          <w:rFonts w:eastAsia="Calibri" w:cs="Arial"/>
        </w:rPr>
        <w:t>S</w:t>
      </w:r>
      <w:r w:rsidR="002065D6" w:rsidRPr="00D934A4">
        <w:rPr>
          <w:rFonts w:eastAsia="Calibri" w:cs="Arial"/>
        </w:rPr>
        <w:t xml:space="preserve">upport </w:t>
      </w:r>
      <w:r w:rsidR="00243EC8" w:rsidRPr="00D934A4">
        <w:rPr>
          <w:rFonts w:eastAsia="Calibri" w:cs="Arial"/>
        </w:rPr>
        <w:t>a</w:t>
      </w:r>
      <w:r w:rsidR="002065D6" w:rsidRPr="00D934A4">
        <w:rPr>
          <w:rFonts w:eastAsia="Calibri" w:cs="Arial"/>
        </w:rPr>
        <w:t xml:space="preserve">t </w:t>
      </w:r>
      <w:r w:rsidR="00243EC8" w:rsidRPr="00D934A4">
        <w:rPr>
          <w:rFonts w:eastAsia="Calibri" w:cs="Arial"/>
        </w:rPr>
        <w:t>H</w:t>
      </w:r>
      <w:r w:rsidR="002065D6" w:rsidRPr="00D934A4">
        <w:rPr>
          <w:rFonts w:eastAsia="Calibri" w:cs="Arial"/>
        </w:rPr>
        <w:t>ome</w:t>
      </w:r>
      <w:r w:rsidR="00243EC8" w:rsidRPr="00D934A4">
        <w:rPr>
          <w:rFonts w:eastAsia="Calibri" w:cs="Arial"/>
        </w:rPr>
        <w:t xml:space="preserve"> </w:t>
      </w:r>
      <w:r w:rsidR="00520EED" w:rsidRPr="00D934A4">
        <w:rPr>
          <w:rFonts w:eastAsia="Calibri" w:cs="Arial"/>
        </w:rPr>
        <w:t xml:space="preserve">care recipients, private care recipients that meet the age requirements for </w:t>
      </w:r>
      <w:r w:rsidR="00CD6C04">
        <w:rPr>
          <w:rFonts w:eastAsia="Calibri" w:cs="Arial"/>
        </w:rPr>
        <w:t>Support at H</w:t>
      </w:r>
      <w:r w:rsidR="00520EED" w:rsidRPr="00D934A4">
        <w:rPr>
          <w:rFonts w:eastAsia="Calibri" w:cs="Arial"/>
        </w:rPr>
        <w:t xml:space="preserve">ome care </w:t>
      </w:r>
      <w:r w:rsidR="000D1954">
        <w:rPr>
          <w:rFonts w:eastAsia="Calibri" w:cs="Arial"/>
        </w:rPr>
        <w:t>(</w:t>
      </w:r>
      <w:r w:rsidR="00520EED" w:rsidRPr="00D934A4">
        <w:rPr>
          <w:rFonts w:eastAsia="Calibri" w:cs="Arial"/>
        </w:rPr>
        <w:t xml:space="preserve">persons 65 years of age or older </w:t>
      </w:r>
      <w:r w:rsidR="00763D31">
        <w:rPr>
          <w:rFonts w:eastAsia="Calibri" w:cs="Arial"/>
        </w:rPr>
        <w:t xml:space="preserve">or </w:t>
      </w:r>
      <w:r w:rsidR="00520EED" w:rsidRPr="00D934A4">
        <w:rPr>
          <w:rFonts w:eastAsia="Calibri" w:cs="Arial"/>
        </w:rPr>
        <w:t xml:space="preserve">50 years or older for those who identify as an Aboriginal or Torres Strait Islander person), brokered services for </w:t>
      </w:r>
      <w:r w:rsidR="002065D6" w:rsidRPr="00D934A4">
        <w:rPr>
          <w:rFonts w:eastAsia="Calibri" w:cs="Arial"/>
        </w:rPr>
        <w:t>Support at Home</w:t>
      </w:r>
      <w:r w:rsidR="0087508D" w:rsidRPr="00D934A4">
        <w:rPr>
          <w:rFonts w:eastAsia="Calibri" w:cs="Arial"/>
        </w:rPr>
        <w:t xml:space="preserve"> </w:t>
      </w:r>
      <w:r w:rsidR="00520EED" w:rsidRPr="00D934A4">
        <w:rPr>
          <w:rFonts w:eastAsia="Calibri" w:cs="Arial"/>
        </w:rPr>
        <w:t xml:space="preserve">care recipients and age eligible private care recipients with other providers. </w:t>
      </w:r>
    </w:p>
    <w:p w14:paraId="49CB937F" w14:textId="7C287B77" w:rsidR="00520EED" w:rsidRPr="00D934A4" w:rsidRDefault="00520EED" w:rsidP="00520EED">
      <w:pPr>
        <w:rPr>
          <w:rFonts w:eastAsia="Calibri Light" w:cs="Arial"/>
        </w:rPr>
      </w:pPr>
      <w:r w:rsidRPr="00D934A4">
        <w:rPr>
          <w:rFonts w:eastAsia="Calibri" w:cs="Arial"/>
        </w:rPr>
        <w:t xml:space="preserve">This information should be reported under the </w:t>
      </w:r>
      <w:r w:rsidR="002065D6" w:rsidRPr="00D934A4">
        <w:rPr>
          <w:rFonts w:eastAsia="Calibri" w:cs="Arial"/>
        </w:rPr>
        <w:t xml:space="preserve">Support at Home </w:t>
      </w:r>
      <w:r w:rsidRPr="00D934A4">
        <w:rPr>
          <w:rFonts w:eastAsia="Calibri" w:cs="Arial"/>
        </w:rPr>
        <w:t>segment. Income and expenditure</w:t>
      </w:r>
      <w:r w:rsidRPr="00D934A4">
        <w:rPr>
          <w:rFonts w:cs="Arial"/>
        </w:rPr>
        <w:t xml:space="preserve"> </w:t>
      </w:r>
      <w:r w:rsidRPr="00D934A4">
        <w:rPr>
          <w:rFonts w:eastAsia="Calibri" w:cs="Arial"/>
        </w:rPr>
        <w:t xml:space="preserve">relating to services provided to care recipients on other government programs such as the NDIS/CHSP should be </w:t>
      </w:r>
      <w:r w:rsidR="005322FD" w:rsidRPr="00D934A4">
        <w:rPr>
          <w:rFonts w:eastAsia="Calibri" w:cs="Arial"/>
        </w:rPr>
        <w:t>reported under the “Community” column</w:t>
      </w:r>
      <w:r w:rsidRPr="00D934A4">
        <w:rPr>
          <w:rFonts w:eastAsia="Calibri" w:cs="Arial"/>
        </w:rPr>
        <w:t>.</w:t>
      </w:r>
      <w:r w:rsidRPr="00D934A4">
        <w:rPr>
          <w:rFonts w:eastAsia="Calibri Light" w:cs="Arial"/>
        </w:rPr>
        <w:t xml:space="preserve"> </w:t>
      </w:r>
    </w:p>
    <w:p w14:paraId="21E6447B" w14:textId="2AE51A69" w:rsidR="00520EED" w:rsidRPr="00D934A4" w:rsidRDefault="00EB3633" w:rsidP="004D34EB">
      <w:pPr>
        <w:pStyle w:val="Heading3"/>
        <w:rPr>
          <w:rFonts w:eastAsia="Calibri Light"/>
        </w:rPr>
      </w:pPr>
      <w:r w:rsidRPr="00D934A4">
        <w:rPr>
          <w:rFonts w:eastAsia="Calibri Light"/>
        </w:rPr>
        <w:t>5.</w:t>
      </w:r>
      <w:r w:rsidR="00663BD3">
        <w:rPr>
          <w:rFonts w:eastAsia="Calibri Light"/>
        </w:rPr>
        <w:t>2.</w:t>
      </w:r>
      <w:r w:rsidRPr="00D934A4">
        <w:rPr>
          <w:rFonts w:eastAsia="Calibri Light"/>
        </w:rPr>
        <w:t xml:space="preserve">10 </w:t>
      </w:r>
      <w:r w:rsidR="00520EED" w:rsidRPr="00D934A4">
        <w:rPr>
          <w:rFonts w:eastAsia="Calibri Light"/>
        </w:rPr>
        <w:t xml:space="preserve">If </w:t>
      </w:r>
      <w:r w:rsidR="00EC12BE" w:rsidRPr="00D934A4">
        <w:rPr>
          <w:rFonts w:eastAsia="Calibri Light"/>
        </w:rPr>
        <w:t>S</w:t>
      </w:r>
      <w:r w:rsidR="002065D6" w:rsidRPr="00D934A4">
        <w:rPr>
          <w:rFonts w:eastAsia="Calibri Light"/>
        </w:rPr>
        <w:t xml:space="preserve">upport </w:t>
      </w:r>
      <w:r w:rsidR="00EC12BE" w:rsidRPr="00D934A4">
        <w:rPr>
          <w:rFonts w:eastAsia="Calibri Light"/>
        </w:rPr>
        <w:t>a</w:t>
      </w:r>
      <w:r w:rsidR="002065D6" w:rsidRPr="00D934A4">
        <w:rPr>
          <w:rFonts w:eastAsia="Calibri Light"/>
        </w:rPr>
        <w:t xml:space="preserve">t </w:t>
      </w:r>
      <w:r w:rsidR="00EC12BE" w:rsidRPr="00D934A4">
        <w:rPr>
          <w:rFonts w:eastAsia="Calibri Light"/>
        </w:rPr>
        <w:t>H</w:t>
      </w:r>
      <w:r w:rsidR="002065D6" w:rsidRPr="00D934A4">
        <w:rPr>
          <w:rFonts w:eastAsia="Calibri Light"/>
        </w:rPr>
        <w:t>ome</w:t>
      </w:r>
      <w:r w:rsidR="00EC12BE" w:rsidRPr="00D934A4">
        <w:rPr>
          <w:rFonts w:eastAsia="Calibri Light"/>
        </w:rPr>
        <w:t xml:space="preserve"> </w:t>
      </w:r>
      <w:r w:rsidR="00AF4E11" w:rsidRPr="00D934A4">
        <w:t>is</w:t>
      </w:r>
      <w:r w:rsidR="00520EED" w:rsidRPr="00D934A4">
        <w:rPr>
          <w:rFonts w:eastAsia="Calibri Light"/>
        </w:rPr>
        <w:t xml:space="preserve"> a component of the business and do</w:t>
      </w:r>
      <w:r w:rsidR="005A184A">
        <w:rPr>
          <w:rFonts w:eastAsia="Calibri Light"/>
        </w:rPr>
        <w:t>es</w:t>
      </w:r>
      <w:r w:rsidR="00520EED" w:rsidRPr="00D934A4">
        <w:rPr>
          <w:rFonts w:eastAsia="Calibri Light"/>
        </w:rPr>
        <w:t xml:space="preserve">n’t have a separate balance sheet, do providers report on the organisation's balance as a whole or estimate the components which are </w:t>
      </w:r>
      <w:r w:rsidR="00D86C05" w:rsidRPr="00D934A4">
        <w:rPr>
          <w:rFonts w:eastAsia="Calibri Light"/>
        </w:rPr>
        <w:t>Support at Home</w:t>
      </w:r>
      <w:r w:rsidR="00520EED" w:rsidRPr="00D934A4">
        <w:rPr>
          <w:rFonts w:eastAsia="Calibri Light"/>
        </w:rPr>
        <w:t xml:space="preserve"> related only?</w:t>
      </w:r>
    </w:p>
    <w:p w14:paraId="04C119BD" w14:textId="7BC9D98B" w:rsidR="00BD2F65" w:rsidRPr="00D934A4" w:rsidRDefault="00520EED" w:rsidP="00BB6BEA">
      <w:pPr>
        <w:rPr>
          <w:rFonts w:cs="Arial"/>
        </w:rPr>
      </w:pPr>
      <w:r w:rsidRPr="00D934A4">
        <w:rPr>
          <w:rFonts w:cs="Arial"/>
        </w:rPr>
        <w:t xml:space="preserve">Both residential aged care and </w:t>
      </w:r>
      <w:r w:rsidR="00CD521E" w:rsidRPr="00D934A4">
        <w:rPr>
          <w:rFonts w:cs="Arial"/>
        </w:rPr>
        <w:t xml:space="preserve">Support at Home </w:t>
      </w:r>
      <w:r w:rsidRPr="00D934A4">
        <w:rPr>
          <w:rFonts w:cs="Arial"/>
        </w:rPr>
        <w:t xml:space="preserve">providers are required to segment their income statement and balance sheet to complete the </w:t>
      </w:r>
      <w:r w:rsidR="00D86C05" w:rsidRPr="00D934A4">
        <w:rPr>
          <w:rFonts w:cs="Arial"/>
        </w:rPr>
        <w:t>“</w:t>
      </w:r>
      <w:r w:rsidRPr="00D934A4">
        <w:rPr>
          <w:rFonts w:cs="Arial"/>
        </w:rPr>
        <w:t>YTD Financial Statement</w:t>
      </w:r>
      <w:r w:rsidR="00D86C05" w:rsidRPr="00D934A4">
        <w:rPr>
          <w:rFonts w:cs="Arial"/>
        </w:rPr>
        <w:t>s”</w:t>
      </w:r>
      <w:r w:rsidRPr="00D934A4">
        <w:rPr>
          <w:rFonts w:cs="Arial"/>
        </w:rPr>
        <w:t>. The department acknowledges that some providers may need to make reasonable estimations for some data items.</w:t>
      </w:r>
    </w:p>
    <w:p w14:paraId="236774B0" w14:textId="3626B19A" w:rsidR="00520EED" w:rsidRPr="00755877" w:rsidRDefault="00520EED" w:rsidP="00755877">
      <w:pPr>
        <w:pStyle w:val="NewHeading3"/>
        <w:rPr>
          <w:rFonts w:eastAsia="Calibri Light"/>
        </w:rPr>
      </w:pPr>
      <w:r w:rsidRPr="00755877">
        <w:t>Unspent Funds – Home Care</w:t>
      </w:r>
      <w:r w:rsidR="00C169EC" w:rsidRPr="00755877">
        <w:t xml:space="preserve"> Packages</w:t>
      </w:r>
    </w:p>
    <w:p w14:paraId="52F450D0" w14:textId="28FA56E4" w:rsidR="00520EED" w:rsidRPr="0036657A" w:rsidRDefault="00F6665A" w:rsidP="004D34EB">
      <w:pPr>
        <w:pStyle w:val="Heading3"/>
        <w:rPr>
          <w:rFonts w:eastAsia="Calibri Light"/>
        </w:rPr>
      </w:pPr>
      <w:bookmarkStart w:id="23" w:name="_Toc183446593"/>
      <w:r w:rsidRPr="0036657A">
        <w:rPr>
          <w:rFonts w:eastAsia="Calibri Light"/>
        </w:rPr>
        <w:t>5.</w:t>
      </w:r>
      <w:r w:rsidR="00663BD3">
        <w:rPr>
          <w:rFonts w:eastAsia="Calibri Light"/>
        </w:rPr>
        <w:t>2.</w:t>
      </w:r>
      <w:r w:rsidRPr="0036657A">
        <w:rPr>
          <w:rFonts w:eastAsia="Calibri Light"/>
        </w:rPr>
        <w:t xml:space="preserve">11 </w:t>
      </w:r>
      <w:r w:rsidR="00520EED" w:rsidRPr="0036657A">
        <w:rPr>
          <w:rFonts w:eastAsia="Calibri Light"/>
        </w:rPr>
        <w:t>Do</w:t>
      </w:r>
      <w:r w:rsidR="008965E4" w:rsidRPr="0036657A">
        <w:rPr>
          <w:rFonts w:eastAsia="Calibri Light"/>
        </w:rPr>
        <w:t xml:space="preserve"> </w:t>
      </w:r>
      <w:r w:rsidR="00520EED" w:rsidRPr="0036657A">
        <w:rPr>
          <w:rFonts w:eastAsia="Calibri Light"/>
        </w:rPr>
        <w:t xml:space="preserve">providers insert the balance of total </w:t>
      </w:r>
      <w:r w:rsidR="00685FD0" w:rsidRPr="0036657A">
        <w:rPr>
          <w:rFonts w:eastAsia="Calibri Light"/>
        </w:rPr>
        <w:t xml:space="preserve">home care </w:t>
      </w:r>
      <w:r w:rsidR="00520EED" w:rsidRPr="0036657A">
        <w:rPr>
          <w:rFonts w:eastAsia="Calibri Light"/>
        </w:rPr>
        <w:t>unspent funds?</w:t>
      </w:r>
      <w:bookmarkEnd w:id="23"/>
      <w:r w:rsidR="00520EED" w:rsidRPr="0036657A">
        <w:rPr>
          <w:rFonts w:eastAsia="Calibri Light"/>
        </w:rPr>
        <w:t xml:space="preserve"> </w:t>
      </w:r>
    </w:p>
    <w:p w14:paraId="01CD2358" w14:textId="62810B97" w:rsidR="00520EED" w:rsidRPr="00D934A4" w:rsidRDefault="00520EED" w:rsidP="00520EED">
      <w:pPr>
        <w:rPr>
          <w:rFonts w:eastAsia="Calibri Light" w:cs="Arial"/>
        </w:rPr>
      </w:pPr>
      <w:r w:rsidRPr="00D934A4">
        <w:rPr>
          <w:rFonts w:cs="Arial"/>
        </w:rPr>
        <w:t xml:space="preserve">Yes. The balance of </w:t>
      </w:r>
      <w:r w:rsidR="00C169EC" w:rsidRPr="00D934A4">
        <w:rPr>
          <w:rFonts w:cs="Arial"/>
        </w:rPr>
        <w:t>Home Care Packages</w:t>
      </w:r>
      <w:r w:rsidR="00446899" w:rsidRPr="00D934A4">
        <w:rPr>
          <w:rFonts w:cs="Arial"/>
        </w:rPr>
        <w:t xml:space="preserve"> </w:t>
      </w:r>
      <w:r w:rsidRPr="00D934A4">
        <w:rPr>
          <w:rFonts w:cs="Arial"/>
        </w:rPr>
        <w:t>unspent funds held by the provider should be entered into the</w:t>
      </w:r>
      <w:r w:rsidR="00563228" w:rsidRPr="00D934A4">
        <w:rPr>
          <w:rFonts w:cs="Arial"/>
        </w:rPr>
        <w:t xml:space="preserve"> Liabilities section of the</w:t>
      </w:r>
      <w:r w:rsidRPr="00D934A4">
        <w:rPr>
          <w:rFonts w:cs="Arial"/>
        </w:rPr>
        <w:t xml:space="preserve"> </w:t>
      </w:r>
      <w:r w:rsidR="00563228" w:rsidRPr="00D934A4">
        <w:rPr>
          <w:rFonts w:cs="Arial"/>
        </w:rPr>
        <w:t>“</w:t>
      </w:r>
      <w:r w:rsidRPr="00D934A4">
        <w:rPr>
          <w:rFonts w:cs="Arial"/>
        </w:rPr>
        <w:t>YTD Financial Statement</w:t>
      </w:r>
      <w:r w:rsidR="00563228" w:rsidRPr="00D934A4">
        <w:rPr>
          <w:rFonts w:cs="Arial"/>
        </w:rPr>
        <w:t>s”</w:t>
      </w:r>
      <w:r w:rsidRPr="00D934A4">
        <w:rPr>
          <w:rFonts w:cs="Arial"/>
        </w:rPr>
        <w:t>. Home Care</w:t>
      </w:r>
      <w:r w:rsidR="00563228" w:rsidRPr="00D934A4">
        <w:rPr>
          <w:rFonts w:cs="Arial"/>
        </w:rPr>
        <w:t xml:space="preserve"> Packages</w:t>
      </w:r>
      <w:r w:rsidR="000A3773" w:rsidRPr="00D934A4">
        <w:rPr>
          <w:rFonts w:cs="Arial"/>
        </w:rPr>
        <w:t>/</w:t>
      </w:r>
      <w:r w:rsidR="00393D88" w:rsidRPr="00D934A4">
        <w:rPr>
          <w:rFonts w:cs="Arial"/>
        </w:rPr>
        <w:t>Support at Home</w:t>
      </w:r>
      <w:r w:rsidR="00563228" w:rsidRPr="00D934A4">
        <w:rPr>
          <w:rFonts w:cs="Arial"/>
        </w:rPr>
        <w:t xml:space="preserve"> program</w:t>
      </w:r>
      <w:r w:rsidRPr="00D934A4">
        <w:rPr>
          <w:rFonts w:cs="Arial"/>
        </w:rPr>
        <w:t xml:space="preserve"> </w:t>
      </w:r>
      <w:r w:rsidR="00563228" w:rsidRPr="00D934A4">
        <w:rPr>
          <w:rFonts w:cs="Arial"/>
        </w:rPr>
        <w:t>a</w:t>
      </w:r>
      <w:r w:rsidRPr="00D934A4">
        <w:rPr>
          <w:rFonts w:cs="Arial"/>
        </w:rPr>
        <w:t>ccount funds held by Services Australia are not to be reported in the QFR.</w:t>
      </w:r>
      <w:r w:rsidRPr="00D934A4">
        <w:rPr>
          <w:rFonts w:eastAsia="Calibri Light" w:cs="Arial"/>
        </w:rPr>
        <w:t xml:space="preserve"> </w:t>
      </w:r>
    </w:p>
    <w:p w14:paraId="2F728474" w14:textId="77777777" w:rsidR="00206D5D" w:rsidRPr="00BB6BEA" w:rsidRDefault="00657A14" w:rsidP="00BB6BEA">
      <w:r w:rsidRPr="00BB6BEA">
        <w:br w:type="page"/>
      </w:r>
    </w:p>
    <w:p w14:paraId="743EF1E4" w14:textId="4CF23295" w:rsidR="00206D5D" w:rsidRPr="00D934A4" w:rsidRDefault="00206D5D" w:rsidP="00206D5D">
      <w:pPr>
        <w:pStyle w:val="SectionNumber"/>
        <w:rPr>
          <w:rFonts w:cs="Arial"/>
          <w:noProof w:val="0"/>
        </w:rPr>
      </w:pPr>
      <w:r w:rsidRPr="00D934A4">
        <w:rPr>
          <w:rFonts w:cs="Arial"/>
        </w:rPr>
        <mc:AlternateContent>
          <mc:Choice Requires="wps">
            <w:drawing>
              <wp:anchor distT="0" distB="0" distL="114300" distR="114300" simplePos="0" relativeHeight="251658250" behindDoc="1" locked="0" layoutInCell="1" allowOverlap="1" wp14:anchorId="056139E2" wp14:editId="7DF657BC">
                <wp:simplePos x="171450" y="400050"/>
                <wp:positionH relativeFrom="page">
                  <wp:align>left</wp:align>
                </wp:positionH>
                <wp:positionV relativeFrom="page">
                  <wp:align>top</wp:align>
                </wp:positionV>
                <wp:extent cx="7560000" cy="10692000"/>
                <wp:effectExtent l="0" t="0" r="3175" b="0"/>
                <wp:wrapNone/>
                <wp:docPr id="1413534457" name="Rectangle 14135344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57B647FF">
              <v:rect id="Rectangle 1413534457" style="position:absolute;margin-left:0;margin-top:0;width:595.3pt;height:841.9pt;z-index:-25165823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1DD5B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4875EE">
        <w:rPr>
          <w:rFonts w:cs="Arial"/>
          <w:noProof w:val="0"/>
        </w:rPr>
        <w:t>6</w:t>
      </w:r>
    </w:p>
    <w:p w14:paraId="2DD2A719" w14:textId="5085F91F" w:rsidR="00206D5D" w:rsidRPr="00D934A4" w:rsidRDefault="009C558A" w:rsidP="00206D5D">
      <w:pPr>
        <w:pStyle w:val="SectionTitle"/>
        <w:rPr>
          <w:rFonts w:cs="Arial"/>
        </w:rPr>
      </w:pPr>
      <w:r>
        <w:rPr>
          <w:rFonts w:cs="Arial"/>
        </w:rPr>
        <w:t>Residential Costs and Hours</w:t>
      </w:r>
    </w:p>
    <w:p w14:paraId="37D7FE2E" w14:textId="77777777" w:rsidR="00206D5D" w:rsidRPr="00BB6BEA" w:rsidRDefault="00206D5D" w:rsidP="00BB6BEA"/>
    <w:p w14:paraId="62876CA2" w14:textId="57501F92" w:rsidR="00657A14" w:rsidRPr="001C1AD4" w:rsidRDefault="00206D5D" w:rsidP="001C1AD4">
      <w:r w:rsidRPr="001C1AD4">
        <w:rPr>
          <w:noProof/>
        </w:rPr>
        <mc:AlternateContent>
          <mc:Choice Requires="wps">
            <w:drawing>
              <wp:anchor distT="0" distB="0" distL="114300" distR="114300" simplePos="0" relativeHeight="251658249" behindDoc="1" locked="0" layoutInCell="1" allowOverlap="1" wp14:anchorId="1DADA8C5" wp14:editId="160FDEA9">
                <wp:simplePos x="0" y="0"/>
                <wp:positionH relativeFrom="page">
                  <wp:align>left</wp:align>
                </wp:positionH>
                <wp:positionV relativeFrom="page">
                  <wp:align>bottom</wp:align>
                </wp:positionV>
                <wp:extent cx="7560000" cy="10692000"/>
                <wp:effectExtent l="0" t="0" r="3175" b="0"/>
                <wp:wrapNone/>
                <wp:docPr id="1312477197" name="Rectangle 1312477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4DE95092">
              <v:rect id="Rectangle 1312477197" style="position:absolute;margin-left:0;margin-top:0;width:595.3pt;height:841.9pt;z-index:-251658231;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1e1545 [3213]" stroked="f" strokeweight="2pt" w14:anchorId="222E7E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657A14" w:rsidRPr="001C1AD4">
        <w:br w:type="page"/>
      </w:r>
    </w:p>
    <w:p w14:paraId="753E7B54" w14:textId="7163F893" w:rsidR="00520EED" w:rsidRPr="00D934A4" w:rsidRDefault="002A4A95" w:rsidP="00657A14">
      <w:pPr>
        <w:pStyle w:val="NewHeading1"/>
      </w:pPr>
      <w:bookmarkStart w:id="24" w:name="_Residential_Labour_Costs"/>
      <w:bookmarkStart w:id="25" w:name="_6._Residential_Labour"/>
      <w:bookmarkStart w:id="26" w:name="_Toc205804589"/>
      <w:bookmarkStart w:id="27" w:name="_Toc236740376"/>
      <w:bookmarkStart w:id="28" w:name="_Toc129167523"/>
      <w:bookmarkStart w:id="29" w:name="_Toc129186755"/>
      <w:bookmarkEnd w:id="24"/>
      <w:bookmarkEnd w:id="25"/>
      <w:r w:rsidRPr="00D934A4">
        <w:t xml:space="preserve">6. </w:t>
      </w:r>
      <w:r w:rsidR="00520EED" w:rsidRPr="00D934A4">
        <w:t>Residential Costs and Hours</w:t>
      </w:r>
      <w:bookmarkEnd w:id="26"/>
      <w:bookmarkEnd w:id="27"/>
    </w:p>
    <w:p w14:paraId="790E2BB7" w14:textId="3CD4BACF" w:rsidR="00520EED" w:rsidRPr="00D934A4" w:rsidRDefault="00520EED" w:rsidP="00520EED">
      <w:pPr>
        <w:rPr>
          <w:rFonts w:cs="Arial"/>
        </w:rPr>
      </w:pPr>
      <w:r w:rsidRPr="00D934A4">
        <w:rPr>
          <w:rFonts w:cs="Arial"/>
        </w:rPr>
        <w:t>The ‘Residential Cost</w:t>
      </w:r>
      <w:r w:rsidR="00F64680">
        <w:rPr>
          <w:rFonts w:cs="Arial"/>
        </w:rPr>
        <w:t>s</w:t>
      </w:r>
      <w:r w:rsidRPr="00D934A4">
        <w:rPr>
          <w:rFonts w:cs="Arial"/>
        </w:rPr>
        <w:t xml:space="preserve"> and Hours’ reporting in the QFR captures </w:t>
      </w:r>
      <w:r w:rsidR="00190377">
        <w:rPr>
          <w:rFonts w:cs="Arial"/>
        </w:rPr>
        <w:t xml:space="preserve">approved residential care home </w:t>
      </w:r>
      <w:r w:rsidRPr="00D934A4">
        <w:rPr>
          <w:rFonts w:cs="Arial"/>
        </w:rPr>
        <w:t>level direct care related labour expenses and hours</w:t>
      </w:r>
      <w:r w:rsidR="008B261A">
        <w:rPr>
          <w:rFonts w:cs="Arial"/>
        </w:rPr>
        <w:t xml:space="preserve"> as well as </w:t>
      </w:r>
      <w:r w:rsidR="0034127E">
        <w:rPr>
          <w:rFonts w:cs="Arial"/>
        </w:rPr>
        <w:t>non-labour care</w:t>
      </w:r>
      <w:r w:rsidR="00DA3B6A">
        <w:rPr>
          <w:rFonts w:cs="Arial"/>
        </w:rPr>
        <w:t xml:space="preserve">, </w:t>
      </w:r>
      <w:r w:rsidR="008B261A">
        <w:rPr>
          <w:rFonts w:cs="Arial"/>
        </w:rPr>
        <w:t>hotel/everyday living, accommodation and administration expenses</w:t>
      </w:r>
      <w:r w:rsidRPr="00D934A4">
        <w:rPr>
          <w:rFonts w:cs="Arial"/>
        </w:rPr>
        <w:t xml:space="preserve">. </w:t>
      </w:r>
      <w:r w:rsidR="00DA3B6A">
        <w:rPr>
          <w:rFonts w:cs="Arial"/>
        </w:rPr>
        <w:t>Care l</w:t>
      </w:r>
      <w:r w:rsidR="008F1187">
        <w:rPr>
          <w:rFonts w:cs="Arial"/>
        </w:rPr>
        <w:t xml:space="preserve">abour expenses and hours are </w:t>
      </w:r>
      <w:r w:rsidRPr="00D934A4">
        <w:rPr>
          <w:rFonts w:cs="Arial"/>
        </w:rPr>
        <w:t>broken down into care types including registered nurses, enrolled nurses, and personal care workers. Assistants in nursing are considered personal care workers for the purposes of direct care reporting.</w:t>
      </w:r>
    </w:p>
    <w:p w14:paraId="2FB00265" w14:textId="77777777" w:rsidR="00520EED" w:rsidRPr="00D934A4" w:rsidRDefault="00520EED" w:rsidP="00520EED">
      <w:pPr>
        <w:rPr>
          <w:rFonts w:cs="Arial"/>
        </w:rPr>
      </w:pPr>
      <w:r w:rsidRPr="00D934A4">
        <w:rPr>
          <w:rFonts w:cs="Arial"/>
        </w:rPr>
        <w:t>The department uses this information to inform costing studies for the Australian National Aged Care Classification (AN-ACC) funding model, which aims to better match funding to resident needs.</w:t>
      </w:r>
    </w:p>
    <w:p w14:paraId="20F898EF" w14:textId="04B28B02" w:rsidR="00520EED" w:rsidRPr="00D934A4" w:rsidRDefault="00264F14" w:rsidP="00371C3A">
      <w:pPr>
        <w:rPr>
          <w:rFonts w:cs="Arial"/>
        </w:rPr>
      </w:pPr>
      <w:r>
        <w:rPr>
          <w:rFonts w:cs="Arial"/>
        </w:rPr>
        <w:t>Direct c</w:t>
      </w:r>
      <w:r w:rsidR="00520EED" w:rsidRPr="00D934A4">
        <w:rPr>
          <w:rFonts w:cs="Arial"/>
        </w:rPr>
        <w:t xml:space="preserve">are hours, in conjunction with other qualitative information, are also used to inform Star Ratings for individual </w:t>
      </w:r>
      <w:r w:rsidR="00C13F57">
        <w:rPr>
          <w:rFonts w:cs="Arial"/>
        </w:rPr>
        <w:t xml:space="preserve">approved residential </w:t>
      </w:r>
      <w:r w:rsidR="00AB1095">
        <w:rPr>
          <w:rFonts w:cs="Arial"/>
        </w:rPr>
        <w:t xml:space="preserve">care </w:t>
      </w:r>
      <w:r w:rsidR="00C13F57">
        <w:rPr>
          <w:rFonts w:cs="Arial"/>
        </w:rPr>
        <w:t>homes</w:t>
      </w:r>
      <w:r w:rsidR="00520EED" w:rsidRPr="00D934A4">
        <w:rPr>
          <w:rFonts w:cs="Arial"/>
        </w:rPr>
        <w:t xml:space="preserve">. Star Ratings are published on </w:t>
      </w:r>
      <w:r w:rsidR="007A2735">
        <w:rPr>
          <w:rFonts w:cs="Arial"/>
        </w:rPr>
        <w:t>My Aged Care, providing simple ‘at a glance’</w:t>
      </w:r>
      <w:r w:rsidR="00520EED" w:rsidRPr="00D934A4">
        <w:rPr>
          <w:rFonts w:cs="Arial"/>
        </w:rPr>
        <w:t xml:space="preserve"> information on residential aged care </w:t>
      </w:r>
      <w:r w:rsidR="009A0011">
        <w:rPr>
          <w:rFonts w:cs="Arial"/>
        </w:rPr>
        <w:t>homes</w:t>
      </w:r>
      <w:r w:rsidR="00520EED" w:rsidRPr="00D934A4">
        <w:rPr>
          <w:rFonts w:cs="Arial"/>
        </w:rPr>
        <w:t xml:space="preserve">. </w:t>
      </w:r>
      <w:r w:rsidR="002B70EA">
        <w:rPr>
          <w:rFonts w:cs="Arial"/>
        </w:rPr>
        <w:t xml:space="preserve">Failure to submit a QFR, or to submit by the due date, is likely to result in the system applying a ‘no’ rating and will display </w:t>
      </w:r>
      <w:r w:rsidR="00CF2879">
        <w:rPr>
          <w:rFonts w:cs="Arial"/>
        </w:rPr>
        <w:t xml:space="preserve">‘No rating available’. </w:t>
      </w:r>
      <w:r w:rsidR="00F94AEE">
        <w:rPr>
          <w:rFonts w:cs="Arial"/>
        </w:rPr>
        <w:t xml:space="preserve">This </w:t>
      </w:r>
      <w:r w:rsidR="00E564FA">
        <w:rPr>
          <w:rFonts w:cs="Arial"/>
        </w:rPr>
        <w:t>could also result in the approved residential care home having no overall Star Rating.</w:t>
      </w:r>
    </w:p>
    <w:p w14:paraId="5ABAAB0B" w14:textId="17C2C460" w:rsidR="00900190" w:rsidRPr="00A61985" w:rsidRDefault="00444CBF" w:rsidP="00A61985">
      <w:pPr>
        <w:pStyle w:val="Boxtype"/>
      </w:pPr>
      <w:r w:rsidRPr="00A61985">
        <w:t xml:space="preserve">There is separate reporting guidance </w:t>
      </w:r>
      <w:r w:rsidR="00534DD2" w:rsidRPr="00A61985">
        <w:t xml:space="preserve">specifically </w:t>
      </w:r>
      <w:r w:rsidRPr="00A61985">
        <w:t>for Residential</w:t>
      </w:r>
      <w:r w:rsidR="00900190" w:rsidRPr="00A61985">
        <w:t xml:space="preserve"> </w:t>
      </w:r>
      <w:r w:rsidRPr="00A61985">
        <w:t xml:space="preserve">Labour Costs and Hours available on the </w:t>
      </w:r>
      <w:hyperlink r:id="rId25" w:history="1">
        <w:r w:rsidRPr="00A61985">
          <w:rPr>
            <w:rStyle w:val="Hyperlink"/>
            <w:color w:val="1E1545" w:themeColor="text1"/>
            <w:u w:val="none"/>
          </w:rPr>
          <w:t>QFR Resources</w:t>
        </w:r>
      </w:hyperlink>
      <w:r w:rsidRPr="00A61985">
        <w:t xml:space="preserve"> webpage</w:t>
      </w:r>
      <w:r w:rsidR="00520EED" w:rsidRPr="00A61985">
        <w:t>.</w:t>
      </w:r>
      <w:r w:rsidR="00900190" w:rsidRPr="00A61985">
        <w:t xml:space="preserve"> </w:t>
      </w:r>
      <w:r w:rsidR="00534DD2" w:rsidRPr="00A61985">
        <w:t>This includes a guidance video, data validation guide, checkli</w:t>
      </w:r>
      <w:r w:rsidR="00900190" w:rsidRPr="00A61985">
        <w:t>s</w:t>
      </w:r>
      <w:r w:rsidR="00534DD2" w:rsidRPr="00A61985">
        <w:t>t and frequently asked questions.</w:t>
      </w:r>
    </w:p>
    <w:p w14:paraId="73E899C6" w14:textId="5CADF80F" w:rsidR="0004487B" w:rsidRPr="0079516D" w:rsidRDefault="0004487B" w:rsidP="0079516D">
      <w:pPr>
        <w:pStyle w:val="NewHeading2"/>
        <w:rPr>
          <w:rFonts w:eastAsia="Calibri Light"/>
        </w:rPr>
      </w:pPr>
      <w:r w:rsidRPr="0079516D">
        <w:rPr>
          <w:rFonts w:eastAsia="Calibri Light"/>
        </w:rPr>
        <w:t>6.</w:t>
      </w:r>
      <w:r w:rsidR="00534DD2">
        <w:rPr>
          <w:rFonts w:eastAsia="Calibri Light"/>
        </w:rPr>
        <w:t>1</w:t>
      </w:r>
      <w:r w:rsidRPr="0079516D">
        <w:rPr>
          <w:rFonts w:eastAsia="Calibri Light"/>
        </w:rPr>
        <w:t xml:space="preserve"> </w:t>
      </w:r>
      <w:r w:rsidR="00BE7B77">
        <w:rPr>
          <w:rFonts w:eastAsia="Calibri Light"/>
        </w:rPr>
        <w:t>General g</w:t>
      </w:r>
      <w:r w:rsidR="00E4682B">
        <w:rPr>
          <w:rFonts w:eastAsia="Calibri Light"/>
        </w:rPr>
        <w:t xml:space="preserve">uidance and </w:t>
      </w:r>
      <w:r w:rsidRPr="0079516D">
        <w:rPr>
          <w:rFonts w:eastAsia="Calibri Light"/>
        </w:rPr>
        <w:t>FAQs</w:t>
      </w:r>
    </w:p>
    <w:p w14:paraId="50B35B51" w14:textId="108CB09B" w:rsidR="00A877AF" w:rsidRPr="00755877" w:rsidRDefault="00A92C3F" w:rsidP="00755877">
      <w:pPr>
        <w:pStyle w:val="NewHeading3"/>
      </w:pPr>
      <w:r w:rsidRPr="00755877">
        <w:t xml:space="preserve">Training </w:t>
      </w:r>
      <w:r w:rsidR="00576151" w:rsidRPr="00755877">
        <w:t>expenses and hours</w:t>
      </w:r>
    </w:p>
    <w:p w14:paraId="3718D675" w14:textId="50B0B07C" w:rsidR="000A7E5B" w:rsidRPr="00EB1182" w:rsidRDefault="00DD1699" w:rsidP="00EB1182">
      <w:pPr>
        <w:pStyle w:val="Heading3"/>
      </w:pPr>
      <w:r w:rsidRPr="00EB1182">
        <w:t>6.</w:t>
      </w:r>
      <w:r w:rsidR="009E79D7" w:rsidRPr="00EB1182">
        <w:t>1</w:t>
      </w:r>
      <w:r w:rsidR="000067C0" w:rsidRPr="00EB1182">
        <w:t>.</w:t>
      </w:r>
      <w:r w:rsidRPr="00EB1182">
        <w:t xml:space="preserve">1 </w:t>
      </w:r>
      <w:r w:rsidR="000A7E5B" w:rsidRPr="00EB1182">
        <w:t xml:space="preserve">How are </w:t>
      </w:r>
      <w:r w:rsidR="00A877AF" w:rsidRPr="00EB1182">
        <w:t xml:space="preserve">training expenses </w:t>
      </w:r>
      <w:r w:rsidR="000A7E5B" w:rsidRPr="00EB1182">
        <w:t>and hours repo</w:t>
      </w:r>
      <w:r w:rsidR="00A877AF" w:rsidRPr="00EB1182">
        <w:t>rted</w:t>
      </w:r>
      <w:r w:rsidR="003853A1" w:rsidRPr="00EB1182">
        <w:t xml:space="preserve"> for residential aged care staff</w:t>
      </w:r>
      <w:r w:rsidR="00A877AF" w:rsidRPr="00EB1182">
        <w:t xml:space="preserve">? </w:t>
      </w:r>
    </w:p>
    <w:p w14:paraId="69DB0F38" w14:textId="450779F2" w:rsidR="007562EE" w:rsidRPr="007562EE" w:rsidRDefault="007562EE" w:rsidP="007562EE">
      <w:pPr>
        <w:rPr>
          <w:rFonts w:eastAsia="Calibri" w:cs="Arial"/>
        </w:rPr>
      </w:pPr>
      <w:r w:rsidRPr="007562EE">
        <w:rPr>
          <w:rFonts w:eastAsia="Calibri" w:cs="Arial"/>
        </w:rPr>
        <w:t xml:space="preserve">The labour cost of the time </w:t>
      </w:r>
      <w:r w:rsidR="00004077">
        <w:rPr>
          <w:rFonts w:eastAsia="Calibri" w:cs="Arial"/>
        </w:rPr>
        <w:t xml:space="preserve">direct care </w:t>
      </w:r>
      <w:r w:rsidRPr="007562EE">
        <w:rPr>
          <w:rFonts w:eastAsia="Calibri" w:cs="Arial"/>
        </w:rPr>
        <w:t xml:space="preserve">staff spend attending training can be included in </w:t>
      </w:r>
      <w:r w:rsidR="008121BF">
        <w:rPr>
          <w:rFonts w:eastAsia="Calibri" w:cs="Arial"/>
        </w:rPr>
        <w:t xml:space="preserve">direct care </w:t>
      </w:r>
      <w:r w:rsidRPr="007562EE">
        <w:rPr>
          <w:rFonts w:eastAsia="Calibri" w:cs="Arial"/>
        </w:rPr>
        <w:t>labour cost reporting. </w:t>
      </w:r>
    </w:p>
    <w:p w14:paraId="5762385B" w14:textId="77777777" w:rsidR="001A7177" w:rsidRDefault="007562EE" w:rsidP="007562EE">
      <w:pPr>
        <w:rPr>
          <w:rFonts w:eastAsia="Calibri" w:cs="Arial"/>
        </w:rPr>
      </w:pPr>
      <w:r w:rsidRPr="007562EE">
        <w:rPr>
          <w:rFonts w:eastAsia="Calibri" w:cs="Arial"/>
        </w:rPr>
        <w:t xml:space="preserve">The labour hours of the time </w:t>
      </w:r>
      <w:r w:rsidR="008121BF">
        <w:rPr>
          <w:rFonts w:eastAsia="Calibri" w:cs="Arial"/>
        </w:rPr>
        <w:t xml:space="preserve">direct care </w:t>
      </w:r>
      <w:r w:rsidRPr="007562EE">
        <w:rPr>
          <w:rFonts w:eastAsia="Calibri" w:cs="Arial"/>
        </w:rPr>
        <w:t xml:space="preserve">staff spend attending training should not be included in </w:t>
      </w:r>
      <w:r w:rsidR="009E3847">
        <w:rPr>
          <w:rFonts w:eastAsia="Calibri" w:cs="Arial"/>
        </w:rPr>
        <w:t xml:space="preserve">direct care hours reporting. </w:t>
      </w:r>
      <w:r w:rsidR="00511576">
        <w:rPr>
          <w:rFonts w:eastAsia="Calibri" w:cs="Arial"/>
        </w:rPr>
        <w:t xml:space="preserve">These training hours should be </w:t>
      </w:r>
      <w:r w:rsidR="001A7177">
        <w:rPr>
          <w:rFonts w:eastAsia="Calibri" w:cs="Arial"/>
        </w:rPr>
        <w:t>reported in non-worked hours.</w:t>
      </w:r>
    </w:p>
    <w:p w14:paraId="66D79363" w14:textId="2062F123" w:rsidR="000953D0" w:rsidRPr="007562EE" w:rsidRDefault="007562EE" w:rsidP="001C1AD4">
      <w:pPr>
        <w:rPr>
          <w:rFonts w:eastAsia="Calibri" w:cs="Arial"/>
        </w:rPr>
      </w:pPr>
      <w:r w:rsidRPr="007562EE">
        <w:rPr>
          <w:rFonts w:eastAsia="Calibri" w:cs="Arial"/>
        </w:rPr>
        <w:t>Training expenses such as training course fees, speaker fees, room and equipment hire</w:t>
      </w:r>
      <w:r w:rsidR="00441A4D">
        <w:rPr>
          <w:rFonts w:eastAsia="Calibri" w:cs="Arial"/>
        </w:rPr>
        <w:t xml:space="preserve"> </w:t>
      </w:r>
      <w:r w:rsidR="00E663B7">
        <w:rPr>
          <w:rFonts w:eastAsia="Calibri" w:cs="Arial"/>
        </w:rPr>
        <w:t xml:space="preserve">should be </w:t>
      </w:r>
      <w:r w:rsidR="00441A4D">
        <w:rPr>
          <w:rFonts w:eastAsia="Calibri" w:cs="Arial"/>
        </w:rPr>
        <w:t xml:space="preserve">reported in </w:t>
      </w:r>
      <w:r w:rsidR="006E7EF9">
        <w:rPr>
          <w:rFonts w:eastAsia="Calibri" w:cs="Arial"/>
        </w:rPr>
        <w:t>“</w:t>
      </w:r>
      <w:r w:rsidR="00621FD5">
        <w:rPr>
          <w:rFonts w:eastAsia="Calibri" w:cs="Arial"/>
        </w:rPr>
        <w:t>All other administration expenses</w:t>
      </w:r>
      <w:r w:rsidR="006E7EF9">
        <w:rPr>
          <w:rFonts w:eastAsia="Calibri" w:cs="Arial"/>
        </w:rPr>
        <w:t>” in the QFR</w:t>
      </w:r>
      <w:r w:rsidR="00621FD5">
        <w:rPr>
          <w:rFonts w:eastAsia="Calibri" w:cs="Arial"/>
        </w:rPr>
        <w:t xml:space="preserve">. </w:t>
      </w:r>
    </w:p>
    <w:p w14:paraId="11CC7DDA" w14:textId="2016E69D" w:rsidR="00F06DF2" w:rsidRPr="00755877" w:rsidRDefault="00F06DF2" w:rsidP="00755877">
      <w:pPr>
        <w:pStyle w:val="NewHeading3"/>
      </w:pPr>
      <w:r w:rsidRPr="00755877">
        <w:t>Non-worked hours</w:t>
      </w:r>
    </w:p>
    <w:p w14:paraId="6D04CC50" w14:textId="5E4E2A87" w:rsidR="00F06DF2" w:rsidRPr="00EB1182" w:rsidRDefault="00F06DF2" w:rsidP="00EB1182">
      <w:pPr>
        <w:pStyle w:val="Heading3"/>
      </w:pPr>
      <w:r w:rsidRPr="00EB1182">
        <w:t>6.1.</w:t>
      </w:r>
      <w:r w:rsidR="00643ADE" w:rsidRPr="00EB1182">
        <w:t>2</w:t>
      </w:r>
      <w:r w:rsidRPr="00EB1182">
        <w:t xml:space="preserve"> Why do </w:t>
      </w:r>
      <w:r w:rsidR="00176AF2" w:rsidRPr="00EB1182">
        <w:t>non-worked hours have to be reported?</w:t>
      </w:r>
      <w:r w:rsidRPr="00EB1182">
        <w:t xml:space="preserve"> </w:t>
      </w:r>
    </w:p>
    <w:p w14:paraId="3D55C887" w14:textId="67B04827" w:rsidR="00FF389B" w:rsidRPr="00FF389B" w:rsidRDefault="006E44E7" w:rsidP="00FF389B">
      <w:pPr>
        <w:rPr>
          <w:rFonts w:eastAsia="Calibri" w:cs="Arial"/>
        </w:rPr>
      </w:pPr>
      <w:r>
        <w:rPr>
          <w:rFonts w:eastAsia="Calibri" w:cs="Arial"/>
        </w:rPr>
        <w:t xml:space="preserve">Non-worked hours data is used to </w:t>
      </w:r>
      <w:r w:rsidR="00FF389B" w:rsidRPr="00FF389B">
        <w:rPr>
          <w:rFonts w:eastAsia="Calibri" w:cs="Arial"/>
        </w:rPr>
        <w:t>validat</w:t>
      </w:r>
      <w:r>
        <w:rPr>
          <w:rFonts w:eastAsia="Calibri" w:cs="Arial"/>
        </w:rPr>
        <w:t>e</w:t>
      </w:r>
      <w:r w:rsidR="009B56DD">
        <w:rPr>
          <w:rFonts w:eastAsia="Calibri" w:cs="Arial"/>
        </w:rPr>
        <w:t xml:space="preserve"> </w:t>
      </w:r>
      <w:r w:rsidR="00FF389B" w:rsidRPr="00FF389B">
        <w:rPr>
          <w:rFonts w:eastAsia="Calibri" w:cs="Arial"/>
        </w:rPr>
        <w:t>and understand the data.</w:t>
      </w:r>
    </w:p>
    <w:p w14:paraId="068BDB8C" w14:textId="060F9F67" w:rsidR="00520EED" w:rsidRDefault="00FF389B" w:rsidP="001C1AD4">
      <w:pPr>
        <w:rPr>
          <w:rFonts w:eastAsia="Calibri" w:cs="Arial"/>
        </w:rPr>
      </w:pPr>
      <w:r w:rsidRPr="00FF389B">
        <w:rPr>
          <w:rFonts w:eastAsia="Calibri" w:cs="Arial"/>
        </w:rPr>
        <w:t>Capturing this information helps explain situations where worked hours may be lower but costs remain higher, as staff are still paid while on leave or training. Over a full year, this would typically be around four weeks of annual leave but may be higher where non</w:t>
      </w:r>
      <w:r w:rsidRPr="00FF389B">
        <w:rPr>
          <w:rFonts w:eastAsia="Calibri" w:cs="Arial"/>
        </w:rPr>
        <w:noBreakHyphen/>
        <w:t>worked hours relate to long service leave or other reasons.</w:t>
      </w:r>
    </w:p>
    <w:p w14:paraId="0EE9649D" w14:textId="7BA25167" w:rsidR="0070520B" w:rsidRPr="00755877" w:rsidRDefault="0070520B" w:rsidP="00755877">
      <w:pPr>
        <w:pStyle w:val="NewHeading3"/>
      </w:pPr>
      <w:r>
        <w:rPr>
          <w:rFonts w:eastAsia="Calibri Light"/>
        </w:rPr>
        <w:t>Bed Days</w:t>
      </w:r>
    </w:p>
    <w:p w14:paraId="11105C73" w14:textId="67AE3080" w:rsidR="00C57533" w:rsidRPr="00EB1182" w:rsidRDefault="00C57533" w:rsidP="00EB1182">
      <w:pPr>
        <w:pStyle w:val="Heading3"/>
      </w:pPr>
      <w:r w:rsidRPr="00EB1182">
        <w:t>‎</w:t>
      </w:r>
      <w:r w:rsidR="00DD1699" w:rsidRPr="00EB1182">
        <w:t>6.</w:t>
      </w:r>
      <w:r w:rsidR="009E79D7" w:rsidRPr="00EB1182">
        <w:t>1</w:t>
      </w:r>
      <w:r w:rsidR="000067C0" w:rsidRPr="00EB1182">
        <w:t>.</w:t>
      </w:r>
      <w:r w:rsidR="00643ADE" w:rsidRPr="00EB1182">
        <w:t>3</w:t>
      </w:r>
      <w:r w:rsidR="00DD1699" w:rsidRPr="00EB1182">
        <w:t xml:space="preserve"> </w:t>
      </w:r>
      <w:r w:rsidRPr="00EB1182">
        <w:t xml:space="preserve">How should </w:t>
      </w:r>
      <w:r w:rsidR="009E79F0" w:rsidRPr="00EB1182">
        <w:t>“</w:t>
      </w:r>
      <w:r w:rsidRPr="00EB1182">
        <w:t>Operational Bed Days</w:t>
      </w:r>
      <w:r w:rsidR="009E79F0" w:rsidRPr="00EB1182">
        <w:t>”</w:t>
      </w:r>
      <w:r w:rsidRPr="00EB1182">
        <w:t xml:space="preserve"> be calculated in the report?  </w:t>
      </w:r>
    </w:p>
    <w:p w14:paraId="3BB767B1" w14:textId="77777777" w:rsidR="00C57533" w:rsidRPr="00C57533" w:rsidRDefault="00C57533" w:rsidP="00C57533">
      <w:pPr>
        <w:rPr>
          <w:rFonts w:eastAsia="Calibri" w:cs="Arial"/>
        </w:rPr>
      </w:pPr>
      <w:r w:rsidRPr="00C57533">
        <w:rPr>
          <w:rFonts w:eastAsia="Calibri" w:cs="Arial"/>
        </w:rPr>
        <w:t>Operational bed days represents the number of days beds were physically available to be occupied. It is not the number of beds.  </w:t>
      </w:r>
    </w:p>
    <w:p w14:paraId="0611C8D2" w14:textId="4181DA2C" w:rsidR="00C57533" w:rsidRPr="00C57533" w:rsidRDefault="00C57533" w:rsidP="00C57533">
      <w:pPr>
        <w:rPr>
          <w:rFonts w:eastAsia="Calibri" w:cs="Arial"/>
        </w:rPr>
      </w:pPr>
      <w:r w:rsidRPr="00C57533">
        <w:rPr>
          <w:rFonts w:eastAsia="Calibri" w:cs="Arial"/>
        </w:rPr>
        <w:t xml:space="preserve">For example, if there were 100 beds physically available for </w:t>
      </w:r>
      <w:r w:rsidR="00CB2F59">
        <w:rPr>
          <w:rFonts w:eastAsia="Calibri" w:cs="Arial"/>
        </w:rPr>
        <w:t>two</w:t>
      </w:r>
      <w:r w:rsidRPr="00C57533">
        <w:rPr>
          <w:rFonts w:eastAsia="Calibri" w:cs="Arial"/>
        </w:rPr>
        <w:t xml:space="preserve"> months (</w:t>
      </w:r>
      <w:r w:rsidR="004D078C">
        <w:rPr>
          <w:rFonts w:eastAsia="Calibri" w:cs="Arial"/>
        </w:rPr>
        <w:t>61</w:t>
      </w:r>
      <w:r w:rsidRPr="00C57533">
        <w:rPr>
          <w:rFonts w:eastAsia="Calibri" w:cs="Arial"/>
        </w:rPr>
        <w:t xml:space="preserve"> days), and only 90 beds available in the </w:t>
      </w:r>
      <w:r w:rsidR="00CB2F59">
        <w:rPr>
          <w:rFonts w:eastAsia="Calibri" w:cs="Arial"/>
        </w:rPr>
        <w:t>third</w:t>
      </w:r>
      <w:r w:rsidRPr="00C57533">
        <w:rPr>
          <w:rFonts w:eastAsia="Calibri" w:cs="Arial"/>
        </w:rPr>
        <w:t xml:space="preserve"> month (31 days), the calculation would be = 100 beds * </w:t>
      </w:r>
      <w:r w:rsidR="007412C3">
        <w:rPr>
          <w:rFonts w:eastAsia="Calibri" w:cs="Arial"/>
        </w:rPr>
        <w:t>61</w:t>
      </w:r>
      <w:r w:rsidRPr="00C57533">
        <w:rPr>
          <w:rFonts w:eastAsia="Calibri" w:cs="Arial"/>
        </w:rPr>
        <w:t xml:space="preserve"> days + 90 beds * 31 days = </w:t>
      </w:r>
      <w:r w:rsidR="00943D02">
        <w:rPr>
          <w:rFonts w:eastAsia="Calibri" w:cs="Arial"/>
        </w:rPr>
        <w:t>8,890</w:t>
      </w:r>
      <w:r w:rsidRPr="00C57533">
        <w:rPr>
          <w:rFonts w:eastAsia="Calibri" w:cs="Arial"/>
        </w:rPr>
        <w:t xml:space="preserve"> </w:t>
      </w:r>
      <w:r w:rsidR="00921F19">
        <w:rPr>
          <w:rFonts w:eastAsia="Calibri" w:cs="Arial"/>
        </w:rPr>
        <w:t>operational</w:t>
      </w:r>
      <w:r w:rsidRPr="00C57533">
        <w:rPr>
          <w:rFonts w:eastAsia="Calibri" w:cs="Arial"/>
        </w:rPr>
        <w:t xml:space="preserve"> bed days. </w:t>
      </w:r>
    </w:p>
    <w:p w14:paraId="7351D9C2" w14:textId="2087872D" w:rsidR="00C57533" w:rsidRPr="00EB1182" w:rsidRDefault="00C57533" w:rsidP="00EB1182">
      <w:pPr>
        <w:pStyle w:val="Heading3"/>
      </w:pPr>
      <w:r w:rsidRPr="00EB1182">
        <w:t>‎</w:t>
      </w:r>
      <w:r w:rsidR="00DD1699" w:rsidRPr="00EB1182">
        <w:t>6.</w:t>
      </w:r>
      <w:r w:rsidR="009E79D7" w:rsidRPr="00EB1182">
        <w:t>1</w:t>
      </w:r>
      <w:r w:rsidR="000067C0" w:rsidRPr="00EB1182">
        <w:t>.</w:t>
      </w:r>
      <w:r w:rsidR="00643ADE" w:rsidRPr="00EB1182">
        <w:t>4</w:t>
      </w:r>
      <w:r w:rsidR="00DD1699" w:rsidRPr="00EB1182">
        <w:t xml:space="preserve"> </w:t>
      </w:r>
      <w:r w:rsidRPr="00EB1182">
        <w:t>If a resident departs at 10am on a certain day, is the bed considered an occupied bed day? </w:t>
      </w:r>
    </w:p>
    <w:p w14:paraId="261BCD88" w14:textId="5745246A" w:rsidR="00C57533" w:rsidRPr="00C57533" w:rsidRDefault="00C57533" w:rsidP="00C57533">
      <w:pPr>
        <w:rPr>
          <w:rFonts w:eastAsia="Calibri" w:cs="Arial"/>
        </w:rPr>
      </w:pPr>
      <w:r w:rsidRPr="00C57533">
        <w:rPr>
          <w:rFonts w:eastAsia="Calibri" w:cs="Arial"/>
        </w:rPr>
        <w:t xml:space="preserve">Each monthly payment statement lists the number of total full bed days that subsidies have been paid to the </w:t>
      </w:r>
      <w:r w:rsidR="00CB02A2">
        <w:rPr>
          <w:rFonts w:eastAsia="Calibri" w:cs="Arial"/>
        </w:rPr>
        <w:t>approved residential care home</w:t>
      </w:r>
      <w:r w:rsidR="006144B0">
        <w:rPr>
          <w:rFonts w:eastAsia="Calibri" w:cs="Arial"/>
        </w:rPr>
        <w:t>. P</w:t>
      </w:r>
      <w:r w:rsidRPr="00C57533">
        <w:rPr>
          <w:rFonts w:eastAsia="Calibri" w:cs="Arial"/>
        </w:rPr>
        <w:t>lease use these total full bed day numbers to tally up the number of occupied bed days for the </w:t>
      </w:r>
      <w:r w:rsidR="00111796">
        <w:rPr>
          <w:rFonts w:eastAsia="Calibri" w:cs="Arial"/>
        </w:rPr>
        <w:t>quarter</w:t>
      </w:r>
      <w:r w:rsidRPr="00C57533">
        <w:rPr>
          <w:rFonts w:eastAsia="Calibri" w:cs="Arial"/>
        </w:rPr>
        <w:t>. </w:t>
      </w:r>
    </w:p>
    <w:p w14:paraId="13A89D2C" w14:textId="07DB90A8" w:rsidR="00C57533" w:rsidRPr="00EB1182" w:rsidRDefault="00C57533" w:rsidP="00EB1182">
      <w:pPr>
        <w:pStyle w:val="Heading3"/>
      </w:pPr>
      <w:r w:rsidRPr="00EB1182">
        <w:t>‎</w:t>
      </w:r>
      <w:r w:rsidR="00DD1699" w:rsidRPr="00EB1182">
        <w:t>6.</w:t>
      </w:r>
      <w:r w:rsidR="009E79D7" w:rsidRPr="00EB1182">
        <w:t>1</w:t>
      </w:r>
      <w:r w:rsidR="000067C0" w:rsidRPr="00EB1182">
        <w:t>.</w:t>
      </w:r>
      <w:r w:rsidR="007616E7" w:rsidRPr="00EB1182">
        <w:t>5</w:t>
      </w:r>
      <w:r w:rsidR="00DD1699" w:rsidRPr="00EB1182">
        <w:t xml:space="preserve"> </w:t>
      </w:r>
      <w:r w:rsidRPr="00EB1182">
        <w:t xml:space="preserve">Is social leave over </w:t>
      </w:r>
      <w:r w:rsidR="00F131DB" w:rsidRPr="00EB1182">
        <w:t>52</w:t>
      </w:r>
      <w:r w:rsidRPr="00EB1182">
        <w:t xml:space="preserve"> days in a year included in the occupancy for the </w:t>
      </w:r>
      <w:r w:rsidR="00A57E52" w:rsidRPr="00EB1182">
        <w:t>QFR</w:t>
      </w:r>
      <w:r w:rsidRPr="00EB1182">
        <w:t>? </w:t>
      </w:r>
    </w:p>
    <w:p w14:paraId="6325437B" w14:textId="6C6D0564" w:rsidR="006A54F7" w:rsidRPr="001C1AD4" w:rsidRDefault="00D731D8" w:rsidP="001C1AD4">
      <w:pPr>
        <w:rPr>
          <w:rFonts w:eastAsia="Calibri" w:cs="Arial"/>
        </w:rPr>
      </w:pPr>
      <w:r w:rsidRPr="00D731D8">
        <w:rPr>
          <w:rFonts w:eastAsia="Calibri" w:cs="Arial"/>
        </w:rPr>
        <w:t>Residents are entitled to 52 days of social leave in a financial year, and this is included in the occupied bed days. Residents can also take extra social leave. However, the Government will not pay the subsidy. The extra social leave over 52 days should not be included in occupied bed days in the QFR.</w:t>
      </w:r>
      <w:r w:rsidRPr="00C57533">
        <w:rPr>
          <w:rFonts w:eastAsia="Calibri" w:cs="Arial"/>
        </w:rPr>
        <w:t> </w:t>
      </w:r>
    </w:p>
    <w:p w14:paraId="221DFC69" w14:textId="22B8011D" w:rsidR="00520EED" w:rsidRPr="00D934A4" w:rsidRDefault="00520EED" w:rsidP="00755877">
      <w:pPr>
        <w:pStyle w:val="NewHeading3"/>
        <w:rPr>
          <w:rFonts w:eastAsia="Calibri Light"/>
        </w:rPr>
      </w:pPr>
      <w:bookmarkStart w:id="30" w:name="_Toc205804590"/>
      <w:bookmarkStart w:id="31" w:name="_Toc207281692"/>
      <w:bookmarkStart w:id="32" w:name="_Toc209449338"/>
      <w:bookmarkStart w:id="33" w:name="_Hlk221606365"/>
      <w:r w:rsidRPr="00D934A4">
        <w:rPr>
          <w:rFonts w:eastAsia="Calibri Light"/>
        </w:rPr>
        <w:t>Hourly Rates of Pay</w:t>
      </w:r>
      <w:bookmarkEnd w:id="30"/>
      <w:bookmarkEnd w:id="31"/>
      <w:bookmarkEnd w:id="32"/>
    </w:p>
    <w:bookmarkEnd w:id="33"/>
    <w:p w14:paraId="73690210" w14:textId="29AE49C3" w:rsidR="00520EED" w:rsidRPr="00D934A4" w:rsidRDefault="005C0FF4" w:rsidP="00520EED">
      <w:pPr>
        <w:rPr>
          <w:rFonts w:cs="Arial"/>
        </w:rPr>
      </w:pPr>
      <w:r w:rsidRPr="00D934A4">
        <w:rPr>
          <w:rFonts w:cs="Arial"/>
        </w:rPr>
        <w:t>Providers are required to report hourly rates of pay for workers</w:t>
      </w:r>
      <w:r>
        <w:rPr>
          <w:rFonts w:cs="Arial"/>
        </w:rPr>
        <w:t xml:space="preserve"> directly employed by the organisation</w:t>
      </w:r>
      <w:r w:rsidRPr="00D934A4">
        <w:rPr>
          <w:rFonts w:cs="Arial"/>
        </w:rPr>
        <w:t>.</w:t>
      </w:r>
      <w:r w:rsidR="001A0735">
        <w:rPr>
          <w:rFonts w:cs="Arial"/>
        </w:rPr>
        <w:t xml:space="preserve"> </w:t>
      </w:r>
      <w:r w:rsidR="00520EED" w:rsidRPr="00D934A4">
        <w:rPr>
          <w:rFonts w:cs="Arial"/>
        </w:rPr>
        <w:t xml:space="preserve">The department collects </w:t>
      </w:r>
      <w:r w:rsidR="001A0735">
        <w:rPr>
          <w:rFonts w:cs="Arial"/>
        </w:rPr>
        <w:t>this information</w:t>
      </w:r>
      <w:r w:rsidR="00520EED" w:rsidRPr="00D934A4">
        <w:rPr>
          <w:rFonts w:cs="Arial"/>
        </w:rPr>
        <w:t xml:space="preserve"> to monitor wages in the sector and understand how these rates compare to minimum award rates, measure the impact of Fair Work Commission decisions, and identify compliance issues.</w:t>
      </w:r>
    </w:p>
    <w:p w14:paraId="1E810950" w14:textId="5726A15F" w:rsidR="00520EED" w:rsidRPr="00D934A4" w:rsidRDefault="003B1DD7" w:rsidP="00520EED">
      <w:pPr>
        <w:rPr>
          <w:rFonts w:cs="Arial"/>
        </w:rPr>
      </w:pPr>
      <w:r>
        <w:rPr>
          <w:rFonts w:cs="Arial"/>
        </w:rPr>
        <w:t>Reporting</w:t>
      </w:r>
      <w:r w:rsidR="00520EED" w:rsidRPr="00D934A4">
        <w:rPr>
          <w:rFonts w:cs="Arial"/>
        </w:rPr>
        <w:t xml:space="preserve"> includes the </w:t>
      </w:r>
      <w:r w:rsidR="00D55E1C">
        <w:rPr>
          <w:rFonts w:cs="Arial"/>
        </w:rPr>
        <w:t>“</w:t>
      </w:r>
      <w:r w:rsidR="00520EED" w:rsidRPr="00D934A4">
        <w:rPr>
          <w:rFonts w:cs="Arial"/>
        </w:rPr>
        <w:t>lowest</w:t>
      </w:r>
      <w:r w:rsidR="003C3151">
        <w:rPr>
          <w:rFonts w:cs="Arial"/>
        </w:rPr>
        <w:t>”</w:t>
      </w:r>
      <w:r w:rsidR="00520EED" w:rsidRPr="00D934A4">
        <w:rPr>
          <w:rFonts w:cs="Arial"/>
        </w:rPr>
        <w:t xml:space="preserve">, </w:t>
      </w:r>
      <w:r w:rsidR="003C3151">
        <w:rPr>
          <w:rFonts w:cs="Arial"/>
        </w:rPr>
        <w:t>“</w:t>
      </w:r>
      <w:r w:rsidR="00520EED" w:rsidRPr="00D934A4">
        <w:rPr>
          <w:rFonts w:cs="Arial"/>
        </w:rPr>
        <w:t>average</w:t>
      </w:r>
      <w:r w:rsidR="003C3151">
        <w:rPr>
          <w:rFonts w:cs="Arial"/>
        </w:rPr>
        <w:t>”</w:t>
      </w:r>
      <w:r w:rsidR="00520EED" w:rsidRPr="00D934A4">
        <w:rPr>
          <w:rFonts w:cs="Arial"/>
        </w:rPr>
        <w:t xml:space="preserve">, and </w:t>
      </w:r>
      <w:r w:rsidR="003C3151">
        <w:rPr>
          <w:rFonts w:cs="Arial"/>
        </w:rPr>
        <w:t>“</w:t>
      </w:r>
      <w:r w:rsidR="00520EED" w:rsidRPr="00D934A4">
        <w:rPr>
          <w:rFonts w:cs="Arial"/>
        </w:rPr>
        <w:t>highest</w:t>
      </w:r>
      <w:r w:rsidR="003C3151">
        <w:rPr>
          <w:rFonts w:cs="Arial"/>
        </w:rPr>
        <w:t>”</w:t>
      </w:r>
      <w:r w:rsidR="00520EED" w:rsidRPr="00D934A4">
        <w:rPr>
          <w:rFonts w:cs="Arial"/>
        </w:rPr>
        <w:t xml:space="preserve"> hourly rates of pay for registered nurses, enrolled nurses, personal care workers/assistants in nursing, and other direct care (</w:t>
      </w:r>
      <w:r w:rsidR="00AF14A5" w:rsidRPr="00D934A4">
        <w:rPr>
          <w:rFonts w:cs="Arial"/>
        </w:rPr>
        <w:t>S</w:t>
      </w:r>
      <w:r w:rsidR="00365343" w:rsidRPr="00D934A4">
        <w:rPr>
          <w:rFonts w:cs="Arial"/>
        </w:rPr>
        <w:t xml:space="preserve">upport </w:t>
      </w:r>
      <w:r w:rsidR="00AF14A5" w:rsidRPr="00D934A4">
        <w:rPr>
          <w:rFonts w:cs="Arial"/>
        </w:rPr>
        <w:t>a</w:t>
      </w:r>
      <w:r w:rsidR="00365343" w:rsidRPr="00D934A4">
        <w:rPr>
          <w:rFonts w:cs="Arial"/>
        </w:rPr>
        <w:t xml:space="preserve">t </w:t>
      </w:r>
      <w:r w:rsidR="00AF14A5" w:rsidRPr="00D934A4">
        <w:rPr>
          <w:rFonts w:cs="Arial"/>
        </w:rPr>
        <w:t>H</w:t>
      </w:r>
      <w:r w:rsidR="00365343" w:rsidRPr="00D934A4">
        <w:rPr>
          <w:rFonts w:cs="Arial"/>
        </w:rPr>
        <w:t>ome</w:t>
      </w:r>
      <w:r w:rsidR="00520EED" w:rsidRPr="00D934A4">
        <w:rPr>
          <w:rFonts w:cs="Arial"/>
        </w:rPr>
        <w:t xml:space="preserve"> providers only).</w:t>
      </w:r>
    </w:p>
    <w:p w14:paraId="38E27766" w14:textId="2AB5D365" w:rsidR="00124F20" w:rsidRDefault="00124F20" w:rsidP="00124F20">
      <w:pPr>
        <w:rPr>
          <w:rFonts w:cs="Arial"/>
        </w:rPr>
      </w:pPr>
      <w:r w:rsidRPr="00D934A4">
        <w:rPr>
          <w:rFonts w:cs="Arial"/>
        </w:rPr>
        <w:t xml:space="preserve">Providers must not include agency </w:t>
      </w:r>
      <w:r w:rsidR="00302AF5">
        <w:rPr>
          <w:rFonts w:cs="Arial"/>
        </w:rPr>
        <w:t>workers</w:t>
      </w:r>
      <w:r w:rsidR="00B6464E">
        <w:rPr>
          <w:rFonts w:cs="Arial"/>
        </w:rPr>
        <w:t xml:space="preserve"> </w:t>
      </w:r>
      <w:r w:rsidR="008D142A">
        <w:rPr>
          <w:rFonts w:cs="Arial"/>
        </w:rPr>
        <w:t>(and workers broker</w:t>
      </w:r>
      <w:r w:rsidR="00E717EC">
        <w:rPr>
          <w:rFonts w:cs="Arial"/>
        </w:rPr>
        <w:t xml:space="preserve">ed in from another </w:t>
      </w:r>
      <w:r w:rsidR="00A80030">
        <w:rPr>
          <w:rFonts w:cs="Arial"/>
        </w:rPr>
        <w:t>organisation</w:t>
      </w:r>
      <w:r w:rsidR="00AD0A7B">
        <w:rPr>
          <w:rFonts w:cs="Arial"/>
        </w:rPr>
        <w:t xml:space="preserve"> </w:t>
      </w:r>
      <w:r w:rsidR="005837C0">
        <w:rPr>
          <w:rFonts w:cs="Arial"/>
        </w:rPr>
        <w:t xml:space="preserve">for Support at Home providers) </w:t>
      </w:r>
      <w:r w:rsidRPr="00D934A4">
        <w:rPr>
          <w:rFonts w:cs="Arial"/>
        </w:rPr>
        <w:t xml:space="preserve">in the hourly rates. If the organisation only engages agency </w:t>
      </w:r>
      <w:r w:rsidR="005837C0">
        <w:rPr>
          <w:rFonts w:cs="Arial"/>
        </w:rPr>
        <w:t>(</w:t>
      </w:r>
      <w:r w:rsidR="00302AF5">
        <w:rPr>
          <w:rFonts w:cs="Arial"/>
        </w:rPr>
        <w:t>or brokered workers</w:t>
      </w:r>
      <w:r w:rsidR="005837C0">
        <w:rPr>
          <w:rFonts w:cs="Arial"/>
        </w:rPr>
        <w:t>)</w:t>
      </w:r>
      <w:r w:rsidRPr="00D934A4">
        <w:rPr>
          <w:rFonts w:cs="Arial"/>
        </w:rPr>
        <w:t xml:space="preserve"> for an occupation, they should report the QFR data as zero.</w:t>
      </w:r>
    </w:p>
    <w:p w14:paraId="565E009D" w14:textId="77777777" w:rsidR="00C479EB" w:rsidRPr="00D934A4" w:rsidRDefault="00C479EB" w:rsidP="00C479EB">
      <w:pPr>
        <w:rPr>
          <w:rFonts w:cs="Arial"/>
        </w:rPr>
      </w:pPr>
      <w:r w:rsidRPr="00D934A4">
        <w:rPr>
          <w:rFonts w:cs="Arial"/>
        </w:rPr>
        <w:t>Providers reporting may include part-time staff if they directly employ them as permanent part-time staff.</w:t>
      </w:r>
    </w:p>
    <w:p w14:paraId="574F124F" w14:textId="77777777" w:rsidR="00520EED" w:rsidRPr="00D934A4" w:rsidRDefault="00520EED" w:rsidP="00EB1182">
      <w:pPr>
        <w:pStyle w:val="Heading4"/>
      </w:pPr>
      <w:r w:rsidRPr="00D934A4">
        <w:t>Lowest and Highest Hourly Rates</w:t>
      </w:r>
    </w:p>
    <w:p w14:paraId="0F7E4F26" w14:textId="77777777" w:rsidR="00520EED" w:rsidRPr="00D934A4" w:rsidRDefault="00520EED" w:rsidP="00520EED">
      <w:pPr>
        <w:rPr>
          <w:rFonts w:cs="Arial"/>
        </w:rPr>
      </w:pPr>
      <w:r w:rsidRPr="00D934A4">
        <w:rPr>
          <w:rFonts w:cs="Arial"/>
        </w:rPr>
        <w:t xml:space="preserve">For lowest hourly rates, providers should report the lowest standard/base gross hourly rate for a full-time and part-time adult worker (or equivalent) that is directly employed by the organisation. </w:t>
      </w:r>
    </w:p>
    <w:p w14:paraId="7BAF0E3D" w14:textId="77777777" w:rsidR="00520EED" w:rsidRPr="00D934A4" w:rsidRDefault="00520EED" w:rsidP="00520EED">
      <w:pPr>
        <w:rPr>
          <w:rFonts w:cs="Arial"/>
        </w:rPr>
      </w:pPr>
      <w:r w:rsidRPr="00D934A4">
        <w:rPr>
          <w:rFonts w:cs="Arial"/>
        </w:rPr>
        <w:t xml:space="preserve">For highest hourly rates, providers should report the highest standard/base gross hourly rate for a full-time and part-time adult worker (or equivalent) that is directly employed by the organisation.  </w:t>
      </w:r>
    </w:p>
    <w:p w14:paraId="05C22529" w14:textId="1C023F20" w:rsidR="00520EED" w:rsidRPr="00D934A4" w:rsidRDefault="00520EED" w:rsidP="00520EED">
      <w:pPr>
        <w:rPr>
          <w:rFonts w:cs="Arial"/>
        </w:rPr>
      </w:pPr>
      <w:r w:rsidRPr="00D934A4">
        <w:rPr>
          <w:rFonts w:cs="Arial"/>
        </w:rPr>
        <w:t>The rates should be the standard</w:t>
      </w:r>
      <w:r w:rsidR="00DA759D">
        <w:rPr>
          <w:rFonts w:cs="Arial"/>
        </w:rPr>
        <w:t>/base gross</w:t>
      </w:r>
      <w:r w:rsidRPr="00D934A4">
        <w:rPr>
          <w:rFonts w:cs="Arial"/>
        </w:rPr>
        <w:t xml:space="preserve"> hourly rate only and do not include any on-costs, penalty rates, casual loadings, superannuation contributions, service pricing, tax deductions or other additional costs that may be associated with the worker. </w:t>
      </w:r>
    </w:p>
    <w:p w14:paraId="7967FE15" w14:textId="7902647E" w:rsidR="00170599" w:rsidRPr="00D934A4" w:rsidRDefault="00170599" w:rsidP="00520EED">
      <w:pPr>
        <w:rPr>
          <w:rFonts w:cs="Arial"/>
        </w:rPr>
      </w:pPr>
      <w:r w:rsidRPr="00D934A4">
        <w:rPr>
          <w:rFonts w:cs="Arial"/>
        </w:rPr>
        <w:t>Should a worker be paid on mixed rates (not including casual), then the lowest of the mixed rates should be considered for the lowest hourly rates. Conversely, if applicable, the higher of the mixed rates should be considered for the highest hourly rates.</w:t>
      </w:r>
    </w:p>
    <w:p w14:paraId="34F6F9D6" w14:textId="77777777" w:rsidR="00520EED" w:rsidRPr="00D934A4" w:rsidRDefault="00520EED" w:rsidP="00EB1182">
      <w:pPr>
        <w:pStyle w:val="Heading4"/>
      </w:pPr>
      <w:r w:rsidRPr="00D934A4">
        <w:t>Average Hourly Rates</w:t>
      </w:r>
    </w:p>
    <w:p w14:paraId="01DB5E0A" w14:textId="77777777" w:rsidR="00520EED" w:rsidRPr="00D934A4" w:rsidRDefault="00520EED" w:rsidP="00520EED">
      <w:pPr>
        <w:rPr>
          <w:rFonts w:cs="Arial"/>
        </w:rPr>
      </w:pPr>
      <w:r w:rsidRPr="00D934A4">
        <w:rPr>
          <w:rFonts w:cs="Arial"/>
        </w:rPr>
        <w:t xml:space="preserve">Providers should report the average hourly rate based on the standard/base gross hourly rates of pay, by occupation, for workers directly employed by the organisation. Providers should use a simple formula to calculate the average without weighting for hours worked. </w:t>
      </w:r>
    </w:p>
    <w:p w14:paraId="57B34A32" w14:textId="77777777" w:rsidR="00520EED" w:rsidRPr="00D934A4" w:rsidRDefault="00520EED" w:rsidP="00520EED">
      <w:pPr>
        <w:rPr>
          <w:rFonts w:cs="Arial"/>
        </w:rPr>
      </w:pPr>
      <w:r w:rsidRPr="00D934A4">
        <w:rPr>
          <w:rFonts w:cs="Arial"/>
        </w:rPr>
        <w:t xml:space="preserve">For example, for a provider employing three registered nurses at hourly rates of $50/hour, $50/hour and $65/hour, the average will be ($50 + $50 + $65)/3 = $55/hour. </w:t>
      </w:r>
    </w:p>
    <w:p w14:paraId="6996F69E" w14:textId="1D94FA4A" w:rsidR="00520EED" w:rsidRPr="00D934A4" w:rsidRDefault="00520EED" w:rsidP="00520EED">
      <w:pPr>
        <w:rPr>
          <w:rFonts w:cs="Arial"/>
        </w:rPr>
      </w:pPr>
      <w:r w:rsidRPr="00D934A4">
        <w:rPr>
          <w:rFonts w:cs="Arial"/>
        </w:rPr>
        <w:t>The total number of hours worked by each employee will not impact this calculation. This average should not include any on-costs, penalty rates, casual loadings, service pricing or other additional costs such as agency fees.</w:t>
      </w:r>
    </w:p>
    <w:p w14:paraId="1DE42FCC" w14:textId="364D679D" w:rsidR="00520EED" w:rsidRPr="00EB1182" w:rsidRDefault="00FF3166" w:rsidP="00EB1182">
      <w:pPr>
        <w:pStyle w:val="Heading3"/>
      </w:pPr>
      <w:bookmarkStart w:id="34" w:name="_6.1_What_are"/>
      <w:bookmarkStart w:id="35" w:name="_Toc183446596"/>
      <w:bookmarkEnd w:id="34"/>
      <w:r w:rsidRPr="00EB1182">
        <w:t>6.</w:t>
      </w:r>
      <w:r w:rsidR="00F13430" w:rsidRPr="00EB1182">
        <w:t>1.</w:t>
      </w:r>
      <w:r w:rsidR="007616E7" w:rsidRPr="00EB1182">
        <w:t>6</w:t>
      </w:r>
      <w:r w:rsidRPr="00EB1182">
        <w:t xml:space="preserve"> </w:t>
      </w:r>
      <w:r w:rsidR="00520EED" w:rsidRPr="00EB1182">
        <w:t>What are common errors identified in the hourly rates of pay data?</w:t>
      </w:r>
      <w:bookmarkEnd w:id="35"/>
    </w:p>
    <w:p w14:paraId="560A6386" w14:textId="77777777" w:rsidR="00520EED" w:rsidRPr="00D934A4" w:rsidRDefault="00520EED" w:rsidP="00520EED">
      <w:pPr>
        <w:rPr>
          <w:rFonts w:cs="Arial"/>
        </w:rPr>
      </w:pPr>
      <w:r w:rsidRPr="00D934A4">
        <w:rPr>
          <w:rFonts w:cs="Arial"/>
        </w:rPr>
        <w:t>The department has identified a range of reporting errors made in the hourly rates of pay data. These include, but are not limited to:</w:t>
      </w:r>
    </w:p>
    <w:p w14:paraId="6798F148" w14:textId="77777777" w:rsidR="00520EED" w:rsidRPr="00D934A4" w:rsidRDefault="00520EED" w:rsidP="00BB6BEA">
      <w:pPr>
        <w:pStyle w:val="ListBullet"/>
      </w:pPr>
      <w:r w:rsidRPr="00D934A4">
        <w:t>Data entry errors, for example, workers being paid $4/hour or $500/hour</w:t>
      </w:r>
    </w:p>
    <w:p w14:paraId="716D3CAE" w14:textId="77777777" w:rsidR="00520EED" w:rsidRPr="00D934A4" w:rsidRDefault="00520EED" w:rsidP="00BB6BEA">
      <w:pPr>
        <w:pStyle w:val="ListBullet"/>
      </w:pPr>
      <w:r w:rsidRPr="00D934A4">
        <w:t xml:space="preserve">Reporting below minimum award rates </w:t>
      </w:r>
    </w:p>
    <w:p w14:paraId="06BDE423" w14:textId="77777777" w:rsidR="00520EED" w:rsidRPr="00D934A4" w:rsidRDefault="00520EED" w:rsidP="00BB6BEA">
      <w:pPr>
        <w:pStyle w:val="ListBullet"/>
      </w:pPr>
      <w:r w:rsidRPr="00D934A4">
        <w:t>Reporting inclusive of on-costs, penalty rates, and casual loadings</w:t>
      </w:r>
    </w:p>
    <w:p w14:paraId="3DE5CF2F" w14:textId="77777777" w:rsidR="00520EED" w:rsidRPr="00D934A4" w:rsidRDefault="00520EED" w:rsidP="00BB6BEA">
      <w:pPr>
        <w:pStyle w:val="ListBullet"/>
      </w:pPr>
      <w:r w:rsidRPr="00D934A4">
        <w:t>Reporting of agency fees</w:t>
      </w:r>
    </w:p>
    <w:p w14:paraId="344A07F4" w14:textId="7F2862A1" w:rsidR="00520EED" w:rsidRPr="00EB1182" w:rsidRDefault="00FF3166" w:rsidP="00EB1182">
      <w:pPr>
        <w:pStyle w:val="Heading3"/>
      </w:pPr>
      <w:bookmarkStart w:id="36" w:name="_Toc183446597"/>
      <w:r w:rsidRPr="00EB1182">
        <w:t>6.</w:t>
      </w:r>
      <w:r w:rsidR="00271CEC" w:rsidRPr="00EB1182">
        <w:t>1</w:t>
      </w:r>
      <w:r w:rsidR="005328A4" w:rsidRPr="00EB1182">
        <w:t>.</w:t>
      </w:r>
      <w:r w:rsidR="007616E7" w:rsidRPr="00EB1182">
        <w:t>7</w:t>
      </w:r>
      <w:r w:rsidRPr="00EB1182">
        <w:t xml:space="preserve"> </w:t>
      </w:r>
      <w:r w:rsidR="00BA5A71" w:rsidRPr="00EB1182">
        <w:t>What date</w:t>
      </w:r>
      <w:r w:rsidR="00D53F29" w:rsidRPr="00EB1182">
        <w:t xml:space="preserve"> in the quarter</w:t>
      </w:r>
      <w:r w:rsidR="00BA5A71" w:rsidRPr="00EB1182">
        <w:t xml:space="preserve"> are the </w:t>
      </w:r>
      <w:r w:rsidR="00520EED" w:rsidRPr="00EB1182">
        <w:t>wage rates based on?</w:t>
      </w:r>
      <w:bookmarkEnd w:id="36"/>
    </w:p>
    <w:p w14:paraId="171FF93B" w14:textId="77777777" w:rsidR="00520EED" w:rsidRPr="00D934A4" w:rsidRDefault="00520EED" w:rsidP="00520EED">
      <w:pPr>
        <w:rPr>
          <w:rFonts w:cs="Arial"/>
        </w:rPr>
      </w:pPr>
      <w:r w:rsidRPr="00D934A4">
        <w:rPr>
          <w:rFonts w:cs="Arial"/>
        </w:rPr>
        <w:t xml:space="preserve">The lowest, average and highest wage rates are based on the last pay period of the quarter. </w:t>
      </w:r>
    </w:p>
    <w:p w14:paraId="40A8FAE4" w14:textId="5AE73293" w:rsidR="00520EED" w:rsidRPr="00EB1182" w:rsidRDefault="00FF3166" w:rsidP="00EB1182">
      <w:pPr>
        <w:pStyle w:val="Heading3"/>
      </w:pPr>
      <w:bookmarkStart w:id="37" w:name="_Toc183446598"/>
      <w:r w:rsidRPr="00EB1182">
        <w:t>6.</w:t>
      </w:r>
      <w:r w:rsidR="00256084" w:rsidRPr="00EB1182">
        <w:t>1.</w:t>
      </w:r>
      <w:r w:rsidR="007616E7" w:rsidRPr="00EB1182">
        <w:t>8</w:t>
      </w:r>
      <w:r w:rsidRPr="00EB1182">
        <w:t xml:space="preserve"> </w:t>
      </w:r>
      <w:r w:rsidR="00520EED" w:rsidRPr="00EB1182">
        <w:t xml:space="preserve">Should a provider include wage rates for casual employees who are directly </w:t>
      </w:r>
      <w:bookmarkEnd w:id="37"/>
      <w:r w:rsidR="00520EED" w:rsidRPr="00EB1182">
        <w:t>employed?</w:t>
      </w:r>
    </w:p>
    <w:p w14:paraId="2DADC7FC" w14:textId="5E091855" w:rsidR="00520EED" w:rsidRPr="00D934A4" w:rsidRDefault="00520EED" w:rsidP="00520EED">
      <w:pPr>
        <w:rPr>
          <w:rFonts w:cs="Arial"/>
        </w:rPr>
      </w:pPr>
      <w:r w:rsidRPr="00D934A4">
        <w:rPr>
          <w:rFonts w:cs="Arial"/>
        </w:rPr>
        <w:t xml:space="preserve">No. All wage rates </w:t>
      </w:r>
      <w:r w:rsidR="00856E6E">
        <w:rPr>
          <w:rFonts w:cs="Arial"/>
        </w:rPr>
        <w:t>reported</w:t>
      </w:r>
      <w:r w:rsidRPr="00D934A4">
        <w:rPr>
          <w:rFonts w:cs="Arial"/>
        </w:rPr>
        <w:t xml:space="preserve"> (lowest, average, and highest) </w:t>
      </w:r>
      <w:r w:rsidR="00856E6E">
        <w:rPr>
          <w:rFonts w:cs="Arial"/>
        </w:rPr>
        <w:t>should only be</w:t>
      </w:r>
      <w:r w:rsidRPr="00D934A4">
        <w:rPr>
          <w:rFonts w:cs="Arial"/>
        </w:rPr>
        <w:t xml:space="preserve"> base wage rates. The base wage rates do not include on-costs, penalty rates, casual loadings, superannuation contributions, service pricing, tax deductions or other additional costs that may be associated with the worker. The exclusion of data for casual employees in the QFR is to simplify reporting and enable comparison of base wage rates.</w:t>
      </w:r>
    </w:p>
    <w:p w14:paraId="7EDDC923" w14:textId="1808C779" w:rsidR="00520EED" w:rsidRPr="00EB1182" w:rsidRDefault="00FF3166" w:rsidP="00EB1182">
      <w:pPr>
        <w:pStyle w:val="Heading3"/>
      </w:pPr>
      <w:bookmarkStart w:id="38" w:name="_Toc183446599"/>
      <w:r w:rsidRPr="00EB1182">
        <w:t>6.</w:t>
      </w:r>
      <w:r w:rsidR="00256084" w:rsidRPr="00EB1182">
        <w:t>1.</w:t>
      </w:r>
      <w:r w:rsidR="007616E7" w:rsidRPr="00EB1182">
        <w:t>9</w:t>
      </w:r>
      <w:r w:rsidRPr="00EB1182">
        <w:t xml:space="preserve"> </w:t>
      </w:r>
      <w:r w:rsidR="00520EED" w:rsidRPr="00EB1182">
        <w:t xml:space="preserve">Should agency workers </w:t>
      </w:r>
      <w:r w:rsidR="004D7662" w:rsidRPr="00EB1182">
        <w:t>(</w:t>
      </w:r>
      <w:r w:rsidR="00520EED" w:rsidRPr="00EB1182">
        <w:t xml:space="preserve">and </w:t>
      </w:r>
      <w:r w:rsidR="004D7662" w:rsidRPr="00EB1182">
        <w:t>workers</w:t>
      </w:r>
      <w:r w:rsidR="00520EED" w:rsidRPr="00EB1182">
        <w:t xml:space="preserve"> brokered in from other </w:t>
      </w:r>
      <w:r w:rsidR="004D7662" w:rsidRPr="00EB1182">
        <w:t>organisations for Support at Home)</w:t>
      </w:r>
      <w:r w:rsidR="00520EED" w:rsidRPr="00EB1182">
        <w:t xml:space="preserve"> be included in wage rate reporting?</w:t>
      </w:r>
      <w:bookmarkEnd w:id="38"/>
    </w:p>
    <w:p w14:paraId="1D7A4591" w14:textId="16DB3D30" w:rsidR="00520EED" w:rsidRPr="00D934A4" w:rsidRDefault="00520EED" w:rsidP="00520EED">
      <w:pPr>
        <w:rPr>
          <w:rFonts w:cs="Arial"/>
        </w:rPr>
      </w:pPr>
      <w:r w:rsidRPr="00D934A4">
        <w:rPr>
          <w:rFonts w:cs="Arial"/>
        </w:rPr>
        <w:t xml:space="preserve">No. Reporting is confined to </w:t>
      </w:r>
      <w:r w:rsidR="00017F66" w:rsidRPr="00D934A4">
        <w:rPr>
          <w:rFonts w:cs="Arial"/>
        </w:rPr>
        <w:t>workers</w:t>
      </w:r>
      <w:r w:rsidR="00017F66">
        <w:rPr>
          <w:rFonts w:cs="Arial"/>
        </w:rPr>
        <w:t xml:space="preserve"> directly employed by</w:t>
      </w:r>
      <w:r w:rsidRPr="00D934A4">
        <w:rPr>
          <w:rFonts w:cs="Arial"/>
        </w:rPr>
        <w:t xml:space="preserve"> the </w:t>
      </w:r>
      <w:r w:rsidR="00017F66">
        <w:rPr>
          <w:rFonts w:cs="Arial"/>
        </w:rPr>
        <w:t>organisation</w:t>
      </w:r>
      <w:r w:rsidR="00017F66" w:rsidRPr="00D934A4">
        <w:rPr>
          <w:rFonts w:cs="Arial"/>
        </w:rPr>
        <w:t>.</w:t>
      </w:r>
      <w:r w:rsidRPr="00D934A4">
        <w:rPr>
          <w:rFonts w:cs="Arial"/>
        </w:rPr>
        <w:t xml:space="preserve"> </w:t>
      </w:r>
      <w:r w:rsidR="0005516A">
        <w:rPr>
          <w:rFonts w:cs="Arial"/>
        </w:rPr>
        <w:t>P</w:t>
      </w:r>
      <w:r w:rsidRPr="00D934A4">
        <w:rPr>
          <w:rFonts w:cs="Arial"/>
        </w:rPr>
        <w:t xml:space="preserve">roviders are to exclude agency </w:t>
      </w:r>
      <w:r w:rsidR="00065617">
        <w:rPr>
          <w:rFonts w:cs="Arial"/>
        </w:rPr>
        <w:t xml:space="preserve">workers </w:t>
      </w:r>
      <w:r w:rsidRPr="00D934A4">
        <w:rPr>
          <w:rFonts w:cs="Arial"/>
        </w:rPr>
        <w:t xml:space="preserve">or </w:t>
      </w:r>
      <w:r w:rsidR="00065617">
        <w:rPr>
          <w:rFonts w:cs="Arial"/>
        </w:rPr>
        <w:t>workers</w:t>
      </w:r>
      <w:r w:rsidRPr="00D934A4">
        <w:rPr>
          <w:rFonts w:cs="Arial"/>
        </w:rPr>
        <w:t xml:space="preserve"> brokered in from other </w:t>
      </w:r>
      <w:r w:rsidR="00065617">
        <w:rPr>
          <w:rFonts w:cs="Arial"/>
        </w:rPr>
        <w:t>organisations</w:t>
      </w:r>
      <w:r w:rsidRPr="00D934A4">
        <w:rPr>
          <w:rFonts w:cs="Arial"/>
        </w:rPr>
        <w:t xml:space="preserve"> in this reporting.</w:t>
      </w:r>
    </w:p>
    <w:p w14:paraId="76CB9D45" w14:textId="26F56D96" w:rsidR="00520EED" w:rsidRPr="00D934A4" w:rsidRDefault="00520EED" w:rsidP="00520EED">
      <w:pPr>
        <w:rPr>
          <w:rFonts w:cs="Arial"/>
        </w:rPr>
      </w:pPr>
      <w:r w:rsidRPr="00D934A4">
        <w:rPr>
          <w:rFonts w:cs="Arial"/>
        </w:rPr>
        <w:t xml:space="preserve">Providers typically engage these workers by paying an agency fee, which includes other costs over and above the hourly rates of pay earned by the worker. </w:t>
      </w:r>
    </w:p>
    <w:p w14:paraId="030A768D" w14:textId="561A87AB" w:rsidR="008C1455" w:rsidRPr="008C1455" w:rsidRDefault="008C1455" w:rsidP="00C30E23">
      <w:pPr>
        <w:rPr>
          <w:rFonts w:eastAsia="Calibri Light" w:cs="Arial"/>
        </w:rPr>
      </w:pPr>
      <w:r w:rsidRPr="008C1455">
        <w:rPr>
          <w:rFonts w:cs="Arial"/>
        </w:rPr>
        <w:t xml:space="preserve">If the </w:t>
      </w:r>
      <w:r w:rsidR="00460344">
        <w:rPr>
          <w:rFonts w:cs="Arial"/>
        </w:rPr>
        <w:t>provider</w:t>
      </w:r>
      <w:r w:rsidR="00460344" w:rsidRPr="008C1455">
        <w:rPr>
          <w:rFonts w:cs="Arial"/>
        </w:rPr>
        <w:t xml:space="preserve"> </w:t>
      </w:r>
      <w:r w:rsidRPr="008C1455">
        <w:rPr>
          <w:rFonts w:cs="Arial"/>
        </w:rPr>
        <w:t>only engages agency (or brokered workers) for an occupation, they should report the QFR data as zero.</w:t>
      </w:r>
    </w:p>
    <w:p w14:paraId="0594E0C0" w14:textId="69813702" w:rsidR="00520EED" w:rsidRPr="00EB1182" w:rsidRDefault="00E64A62" w:rsidP="00EB1182">
      <w:pPr>
        <w:pStyle w:val="Heading3"/>
      </w:pPr>
      <w:bookmarkStart w:id="39" w:name="_Toc183446600"/>
      <w:r w:rsidRPr="00EB1182">
        <w:t>6.</w:t>
      </w:r>
      <w:r w:rsidR="00256084" w:rsidRPr="00EB1182">
        <w:t>1.</w:t>
      </w:r>
      <w:r w:rsidR="007616E7" w:rsidRPr="00EB1182">
        <w:t>10</w:t>
      </w:r>
      <w:r w:rsidRPr="00EB1182">
        <w:t xml:space="preserve"> </w:t>
      </w:r>
      <w:r w:rsidR="00520EED" w:rsidRPr="00EB1182">
        <w:t>How does the hourly wage rate data differ to the Direct Care Labour Cost?</w:t>
      </w:r>
      <w:bookmarkEnd w:id="39"/>
    </w:p>
    <w:p w14:paraId="3B7ECA8A" w14:textId="08BBE82F" w:rsidR="00520EED" w:rsidRPr="00D934A4" w:rsidRDefault="00520EED" w:rsidP="00520EED">
      <w:pPr>
        <w:rPr>
          <w:rFonts w:cs="Arial"/>
        </w:rPr>
      </w:pPr>
      <w:r w:rsidRPr="00D934A4">
        <w:rPr>
          <w:rFonts w:cs="Arial"/>
        </w:rPr>
        <w:t>The hourly rates are the standard/base gross hourly rates of pay and do not include on-costs (such as superannuation, leave, allowances, etc.), whereas ‘Direct Labour Costs’ include all on-costs for engaging staff.</w:t>
      </w:r>
    </w:p>
    <w:p w14:paraId="55BD61FD" w14:textId="316BD2FF" w:rsidR="00520EED" w:rsidRPr="00EB1182" w:rsidRDefault="00E64A62" w:rsidP="00EB1182">
      <w:pPr>
        <w:pStyle w:val="Heading3"/>
      </w:pPr>
      <w:r w:rsidRPr="00EB1182">
        <w:t>6.</w:t>
      </w:r>
      <w:r w:rsidR="00E351F2" w:rsidRPr="00EB1182">
        <w:t>1.</w:t>
      </w:r>
      <w:r w:rsidR="00DD1699" w:rsidRPr="00EB1182">
        <w:t>1</w:t>
      </w:r>
      <w:r w:rsidR="002946F6" w:rsidRPr="00EB1182">
        <w:t>1</w:t>
      </w:r>
      <w:bookmarkStart w:id="40" w:name="_Toc183446602"/>
      <w:r w:rsidRPr="00EB1182">
        <w:t xml:space="preserve"> </w:t>
      </w:r>
      <w:r w:rsidR="00520EED" w:rsidRPr="00EB1182">
        <w:t>How will the department improve hourly wage rates data collection?</w:t>
      </w:r>
      <w:bookmarkEnd w:id="40"/>
    </w:p>
    <w:p w14:paraId="5D6518BA" w14:textId="77777777" w:rsidR="00520EED" w:rsidRPr="00D934A4" w:rsidRDefault="00520EED" w:rsidP="00520EED">
      <w:pPr>
        <w:rPr>
          <w:rFonts w:cs="Arial"/>
        </w:rPr>
      </w:pPr>
      <w:r w:rsidRPr="00D934A4">
        <w:rPr>
          <w:rFonts w:cs="Arial"/>
        </w:rPr>
        <w:t>The department encourages all providers to familiarise themselves with this guidance document and the data definitions to ensure accuracy and quality. Providers must submit correct information as part of the QFR data collection, particularly given that this information will be published on My Aged Care.</w:t>
      </w:r>
    </w:p>
    <w:p w14:paraId="220CA48D" w14:textId="16BC40CA" w:rsidR="00520EED" w:rsidRPr="00D934A4" w:rsidRDefault="00520EED" w:rsidP="00520EED">
      <w:pPr>
        <w:rPr>
          <w:rFonts w:cs="Arial"/>
        </w:rPr>
      </w:pPr>
      <w:r w:rsidRPr="00D934A4">
        <w:rPr>
          <w:rFonts w:cs="Arial"/>
        </w:rPr>
        <w:t xml:space="preserve">The department may contact providers with outlier data to confirm whether their hourly rate of pay information is correct. The lower threshold is based on the national minimum award rates, and the higher threshold is set well above the highest rates for national awards. </w:t>
      </w:r>
    </w:p>
    <w:p w14:paraId="377A4597" w14:textId="7FB8A425" w:rsidR="005F55A6" w:rsidRPr="00BB6BEA" w:rsidRDefault="005F55A6" w:rsidP="00BB6BEA">
      <w:r w:rsidRPr="00BB6BEA">
        <w:br w:type="page"/>
      </w:r>
    </w:p>
    <w:p w14:paraId="7B3B8C01" w14:textId="77777777" w:rsidR="00206D5D" w:rsidRPr="00BB6BEA" w:rsidRDefault="00206D5D" w:rsidP="00BB6BEA"/>
    <w:p w14:paraId="36770A0F" w14:textId="258CAEF5" w:rsidR="00206D5D" w:rsidRPr="00D934A4" w:rsidRDefault="00206D5D" w:rsidP="00206D5D">
      <w:pPr>
        <w:pStyle w:val="SectionNumber"/>
        <w:rPr>
          <w:rFonts w:cs="Arial"/>
          <w:noProof w:val="0"/>
        </w:rPr>
      </w:pPr>
      <w:r w:rsidRPr="00D934A4">
        <w:rPr>
          <w:rFonts w:cs="Arial"/>
        </w:rPr>
        <mc:AlternateContent>
          <mc:Choice Requires="wps">
            <w:drawing>
              <wp:anchor distT="0" distB="0" distL="114300" distR="114300" simplePos="0" relativeHeight="251658252" behindDoc="1" locked="0" layoutInCell="1" allowOverlap="1" wp14:anchorId="48DDDAA9" wp14:editId="021A4E9B">
                <wp:simplePos x="171450" y="400050"/>
                <wp:positionH relativeFrom="page">
                  <wp:align>left</wp:align>
                </wp:positionH>
                <wp:positionV relativeFrom="page">
                  <wp:align>top</wp:align>
                </wp:positionV>
                <wp:extent cx="7560000" cy="10692000"/>
                <wp:effectExtent l="0" t="0" r="3175" b="0"/>
                <wp:wrapNone/>
                <wp:docPr id="2037429534" name="Rectangle 20374295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24F24BEE">
              <v:rect id="Rectangle 2037429534" style="position:absolute;margin-left:0;margin-top:0;width:595.3pt;height:841.9pt;z-index:-2516582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07223D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AB4914">
        <w:rPr>
          <w:rFonts w:cs="Arial"/>
          <w:noProof w:val="0"/>
        </w:rPr>
        <w:t>7</w:t>
      </w:r>
    </w:p>
    <w:p w14:paraId="0FC9B97E" w14:textId="6B5D8991" w:rsidR="00206D5D" w:rsidRPr="00D934A4" w:rsidRDefault="009C558A" w:rsidP="00206D5D">
      <w:pPr>
        <w:pStyle w:val="SectionTitle"/>
        <w:rPr>
          <w:rFonts w:cs="Arial"/>
        </w:rPr>
      </w:pPr>
      <w:r>
        <w:rPr>
          <w:rFonts w:cs="Arial"/>
        </w:rPr>
        <w:t xml:space="preserve">Support at Home </w:t>
      </w:r>
      <w:r w:rsidR="00D11AFC">
        <w:rPr>
          <w:rFonts w:cs="Arial"/>
        </w:rPr>
        <w:t>Rates of Pay</w:t>
      </w:r>
    </w:p>
    <w:p w14:paraId="444B41AC" w14:textId="1A885542" w:rsidR="00206D5D" w:rsidRPr="001C1AD4" w:rsidRDefault="00206D5D" w:rsidP="001C1AD4">
      <w:r w:rsidRPr="001C1AD4">
        <w:rPr>
          <w:noProof/>
        </w:rPr>
        <mc:AlternateContent>
          <mc:Choice Requires="wps">
            <w:drawing>
              <wp:anchor distT="0" distB="0" distL="114300" distR="114300" simplePos="0" relativeHeight="251658251" behindDoc="1" locked="0" layoutInCell="1" allowOverlap="1" wp14:anchorId="48CFDE2A" wp14:editId="2D785AC8">
                <wp:simplePos x="0" y="0"/>
                <wp:positionH relativeFrom="page">
                  <wp:align>left</wp:align>
                </wp:positionH>
                <wp:positionV relativeFrom="page">
                  <wp:align>bottom</wp:align>
                </wp:positionV>
                <wp:extent cx="7560000" cy="10692000"/>
                <wp:effectExtent l="0" t="0" r="3175" b="0"/>
                <wp:wrapNone/>
                <wp:docPr id="637736227" name="Rectangle 6377362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161E8424">
              <v:rect id="Rectangle 637736227" style="position:absolute;margin-left:0;margin-top:0;width:595.3pt;height:841.9pt;z-index:-25165822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1e1545 [3213]" stroked="f" strokeweight="2pt" w14:anchorId="22FD1A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Pr="001C1AD4">
        <w:br w:type="page"/>
      </w:r>
    </w:p>
    <w:p w14:paraId="1C64E3B4" w14:textId="79794553" w:rsidR="00520EED" w:rsidRPr="00D934A4" w:rsidRDefault="00591686" w:rsidP="005F55A6">
      <w:pPr>
        <w:pStyle w:val="NewHeading1"/>
      </w:pPr>
      <w:bookmarkStart w:id="41" w:name="_Toc205804594"/>
      <w:bookmarkStart w:id="42" w:name="_Toc236740377"/>
      <w:r w:rsidRPr="00D934A4">
        <w:t>7.</w:t>
      </w:r>
      <w:r w:rsidR="00643E05" w:rsidRPr="00D934A4" w:rsidDel="00740F8E">
        <w:t xml:space="preserve"> </w:t>
      </w:r>
      <w:r w:rsidR="00CA0E2D" w:rsidRPr="00D934A4">
        <w:t>Support at Home</w:t>
      </w:r>
      <w:r w:rsidR="00520EED" w:rsidRPr="00D934A4">
        <w:t xml:space="preserve"> </w:t>
      </w:r>
      <w:bookmarkEnd w:id="41"/>
      <w:r w:rsidR="00F76088">
        <w:t>Rates of Pay</w:t>
      </w:r>
      <w:bookmarkEnd w:id="42"/>
    </w:p>
    <w:p w14:paraId="13D3765E" w14:textId="1DA48BDC" w:rsidR="009D5237" w:rsidRDefault="00B37398" w:rsidP="009D5237">
      <w:pPr>
        <w:rPr>
          <w:rFonts w:cs="Arial"/>
        </w:rPr>
      </w:pPr>
      <w:r w:rsidRPr="00D934A4">
        <w:rPr>
          <w:rFonts w:cs="Arial"/>
        </w:rPr>
        <w:t xml:space="preserve">The </w:t>
      </w:r>
      <w:r>
        <w:rPr>
          <w:rFonts w:cs="Arial"/>
        </w:rPr>
        <w:t>Support at Home</w:t>
      </w:r>
      <w:r w:rsidR="004A6550">
        <w:rPr>
          <w:rFonts w:cs="Arial"/>
        </w:rPr>
        <w:t xml:space="preserve"> </w:t>
      </w:r>
      <w:r w:rsidR="00F76088">
        <w:rPr>
          <w:rFonts w:cs="Arial"/>
        </w:rPr>
        <w:t>Rates of Pay</w:t>
      </w:r>
      <w:r w:rsidRPr="00D934A4">
        <w:rPr>
          <w:rFonts w:cs="Arial"/>
        </w:rPr>
        <w:t xml:space="preserve"> reporting in the QFR captures </w:t>
      </w:r>
      <w:r w:rsidR="00491436">
        <w:rPr>
          <w:rFonts w:cs="Arial"/>
        </w:rPr>
        <w:t xml:space="preserve">data on </w:t>
      </w:r>
      <w:r w:rsidR="009D5237" w:rsidRPr="00D934A4">
        <w:rPr>
          <w:rFonts w:cs="Arial"/>
        </w:rPr>
        <w:t xml:space="preserve">hourly rates of pay for the Support at Home program. </w:t>
      </w:r>
    </w:p>
    <w:p w14:paraId="1687E15B" w14:textId="100732D9" w:rsidR="004A6550" w:rsidRDefault="00D26DE1" w:rsidP="00BB6BEA">
      <w:pPr>
        <w:rPr>
          <w:rFonts w:cs="Arial"/>
        </w:rPr>
      </w:pPr>
      <w:r w:rsidRPr="00D934A4">
        <w:rPr>
          <w:rFonts w:cs="Arial"/>
        </w:rPr>
        <w:t xml:space="preserve">Please refer to the </w:t>
      </w:r>
      <w:r w:rsidRPr="00256D6E">
        <w:rPr>
          <w:rFonts w:cs="Arial"/>
        </w:rPr>
        <w:t>“hourly rates of pay” section</w:t>
      </w:r>
      <w:r w:rsidRPr="00D934A4">
        <w:rPr>
          <w:rFonts w:cs="Arial"/>
        </w:rPr>
        <w:t xml:space="preserve"> on page </w:t>
      </w:r>
      <w:r w:rsidR="0082411D">
        <w:rPr>
          <w:rFonts w:cs="Arial"/>
        </w:rPr>
        <w:t>3</w:t>
      </w:r>
      <w:r w:rsidR="000953D0">
        <w:rPr>
          <w:rFonts w:cs="Arial"/>
        </w:rPr>
        <w:t>0</w:t>
      </w:r>
      <w:r w:rsidRPr="00D934A4">
        <w:rPr>
          <w:rFonts w:cs="Arial"/>
        </w:rPr>
        <w:t xml:space="preserve"> for guidance on how to complete hourly rates of pay for the Support at Home program.</w:t>
      </w:r>
    </w:p>
    <w:p w14:paraId="13A5B1F4" w14:textId="0589BC3D" w:rsidR="00C71CC8" w:rsidRPr="008A0509" w:rsidRDefault="00D740CF" w:rsidP="00BB6BEA">
      <w:pPr>
        <w:rPr>
          <w:rFonts w:cs="Arial"/>
        </w:rPr>
      </w:pPr>
      <w:r>
        <w:rPr>
          <w:rFonts w:cs="Arial"/>
        </w:rPr>
        <w:t>Note that t</w:t>
      </w:r>
      <w:r w:rsidR="00695F8A" w:rsidRPr="00695F8A">
        <w:rPr>
          <w:rFonts w:cs="Arial"/>
        </w:rPr>
        <w:t xml:space="preserve">he title of the form </w:t>
      </w:r>
      <w:r w:rsidR="002F6F10">
        <w:rPr>
          <w:rFonts w:cs="Arial"/>
        </w:rPr>
        <w:t xml:space="preserve">in the GPMS portal </w:t>
      </w:r>
      <w:r w:rsidR="00695F8A" w:rsidRPr="00695F8A">
        <w:rPr>
          <w:rFonts w:cs="Arial"/>
        </w:rPr>
        <w:t>will be renamed to "Support at Home Rates of Pay" in the future.</w:t>
      </w:r>
      <w:bookmarkEnd w:id="28"/>
      <w:bookmarkEnd w:id="29"/>
    </w:p>
    <w:p w14:paraId="39DD811D" w14:textId="3C90DF93" w:rsidR="008A0509" w:rsidRPr="00BB6BEA" w:rsidRDefault="00EB1FC1" w:rsidP="00BB6BEA">
      <w:r w:rsidRPr="00BB6BEA">
        <w:br w:type="page"/>
      </w:r>
    </w:p>
    <w:p w14:paraId="62C96F81" w14:textId="77777777" w:rsidR="00206D5D" w:rsidRPr="004D34EB" w:rsidRDefault="00206D5D" w:rsidP="004D34EB"/>
    <w:p w14:paraId="592E755E" w14:textId="77777777" w:rsidR="00206D5D" w:rsidRPr="004D34EB" w:rsidRDefault="00206D5D" w:rsidP="004D34EB"/>
    <w:p w14:paraId="66596C57" w14:textId="42EA14C9" w:rsidR="00206D5D" w:rsidRPr="00D934A4" w:rsidRDefault="00206D5D" w:rsidP="00206D5D">
      <w:pPr>
        <w:pStyle w:val="SectionNumber"/>
        <w:rPr>
          <w:rFonts w:cs="Arial"/>
          <w:noProof w:val="0"/>
        </w:rPr>
      </w:pPr>
      <w:r w:rsidRPr="00D934A4">
        <w:rPr>
          <w:rFonts w:cs="Arial"/>
        </w:rPr>
        <mc:AlternateContent>
          <mc:Choice Requires="wps">
            <w:drawing>
              <wp:anchor distT="0" distB="0" distL="114300" distR="114300" simplePos="0" relativeHeight="251658254" behindDoc="1" locked="0" layoutInCell="1" allowOverlap="1" wp14:anchorId="432E674C" wp14:editId="663DABF8">
                <wp:simplePos x="171450" y="400050"/>
                <wp:positionH relativeFrom="page">
                  <wp:align>left</wp:align>
                </wp:positionH>
                <wp:positionV relativeFrom="page">
                  <wp:align>top</wp:align>
                </wp:positionV>
                <wp:extent cx="7560000" cy="10692000"/>
                <wp:effectExtent l="0" t="0" r="3175" b="0"/>
                <wp:wrapNone/>
                <wp:docPr id="1500109685" name="Rectangle 15001096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3DF42D79">
              <v:rect id="Rectangle 1500109685" style="position:absolute;margin-left:0;margin-top:0;width:595.3pt;height:841.9pt;z-index:-25165822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26DE6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009C558A">
        <w:rPr>
          <w:rFonts w:cs="Arial"/>
          <w:noProof w:val="0"/>
        </w:rPr>
        <w:t>8</w:t>
      </w:r>
    </w:p>
    <w:p w14:paraId="0F9E339A" w14:textId="19AC01D8" w:rsidR="00206D5D" w:rsidRPr="00D934A4" w:rsidRDefault="00452928" w:rsidP="00206D5D">
      <w:pPr>
        <w:pStyle w:val="SectionTitle"/>
        <w:rPr>
          <w:rFonts w:cs="Arial"/>
        </w:rPr>
      </w:pPr>
      <w:r>
        <w:rPr>
          <w:rFonts w:cs="Arial"/>
        </w:rPr>
        <w:t>Food and Nutrition Costs</w:t>
      </w:r>
    </w:p>
    <w:p w14:paraId="5DA4E710" w14:textId="64C79F13" w:rsidR="00206D5D" w:rsidRPr="004D34EB" w:rsidRDefault="00206D5D" w:rsidP="004D34EB">
      <w:r w:rsidRPr="004D34EB">
        <w:rPr>
          <w:noProof/>
        </w:rPr>
        <mc:AlternateContent>
          <mc:Choice Requires="wps">
            <w:drawing>
              <wp:anchor distT="0" distB="0" distL="114300" distR="114300" simplePos="0" relativeHeight="251658253" behindDoc="1" locked="0" layoutInCell="1" allowOverlap="1" wp14:anchorId="526F6425" wp14:editId="5F401E47">
                <wp:simplePos x="0" y="0"/>
                <wp:positionH relativeFrom="page">
                  <wp:align>left</wp:align>
                </wp:positionH>
                <wp:positionV relativeFrom="page">
                  <wp:align>top</wp:align>
                </wp:positionV>
                <wp:extent cx="7560000" cy="10692000"/>
                <wp:effectExtent l="0" t="0" r="3175" b="0"/>
                <wp:wrapNone/>
                <wp:docPr id="2018579457" name="Rectangle 20185794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556EA1FC">
              <v:rect id="Rectangle 2018579457" style="position:absolute;margin-left:0;margin-top:0;width:595.3pt;height:841.9pt;z-index:-251658227;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e1545 [3213]" stroked="f" strokeweight="2pt" w14:anchorId="0BCE52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">
                <w10:wrap anchorx="page" anchory="page"/>
              </v:rect>
            </w:pict>
          </mc:Fallback>
        </mc:AlternateContent>
      </w:r>
      <w:r w:rsidRPr="004D34EB">
        <w:br w:type="page"/>
      </w:r>
    </w:p>
    <w:p w14:paraId="1B6CDA40" w14:textId="3F6FB9EE" w:rsidR="00520EED" w:rsidRPr="00D934A4" w:rsidRDefault="00DB7882" w:rsidP="00666383">
      <w:pPr>
        <w:pStyle w:val="NewHeading1"/>
      </w:pPr>
      <w:bookmarkStart w:id="43" w:name="_Toc205804596"/>
      <w:bookmarkStart w:id="44" w:name="_Toc236740378"/>
      <w:r w:rsidRPr="00D934A4">
        <w:t>8</w:t>
      </w:r>
      <w:r w:rsidR="00B47E8A" w:rsidRPr="00D934A4">
        <w:t xml:space="preserve">. </w:t>
      </w:r>
      <w:r w:rsidR="00520EED" w:rsidRPr="00D934A4">
        <w:t>Food and Nutrition Costs</w:t>
      </w:r>
      <w:bookmarkEnd w:id="43"/>
      <w:bookmarkEnd w:id="44"/>
    </w:p>
    <w:p w14:paraId="6547D657" w14:textId="1026208D" w:rsidR="008F6CC7" w:rsidRPr="00D934A4" w:rsidRDefault="00520EED" w:rsidP="008F6CC7">
      <w:pPr>
        <w:rPr>
          <w:rFonts w:cs="Arial"/>
        </w:rPr>
      </w:pPr>
      <w:r w:rsidRPr="00D934A4">
        <w:rPr>
          <w:rFonts w:cs="Arial"/>
        </w:rPr>
        <w:t xml:space="preserve">The Australian Government introduced reporting on food and nutrition in July 2021 as a requirement to receive the 2021 Basic Daily Fee (BDF) supplement. </w:t>
      </w:r>
      <w:r w:rsidRPr="00D934A4">
        <w:rPr>
          <w:rFonts w:cs="Arial"/>
        </w:rPr>
        <w:br/>
        <w:t xml:space="preserve">In October 2022, the BDF supplement was rolled into the AN-ACC funding model. </w:t>
      </w:r>
      <w:r w:rsidR="008F6CC7" w:rsidRPr="00D934A4">
        <w:rPr>
          <w:rFonts w:cs="Arial"/>
        </w:rPr>
        <w:t xml:space="preserve">Food and nutrition reporting was </w:t>
      </w:r>
      <w:r w:rsidR="004D516C">
        <w:rPr>
          <w:rFonts w:cs="Arial"/>
        </w:rPr>
        <w:t>subsequently</w:t>
      </w:r>
      <w:r w:rsidR="008F6CC7" w:rsidRPr="00D934A4">
        <w:rPr>
          <w:rFonts w:cs="Arial"/>
        </w:rPr>
        <w:t xml:space="preserve"> </w:t>
      </w:r>
      <w:r w:rsidR="002B525E" w:rsidRPr="00D934A4">
        <w:rPr>
          <w:rFonts w:cs="Arial"/>
        </w:rPr>
        <w:t>included in</w:t>
      </w:r>
      <w:r w:rsidR="008F6CC7" w:rsidRPr="00D934A4">
        <w:rPr>
          <w:rFonts w:cs="Arial"/>
        </w:rPr>
        <w:t xml:space="preserve"> the QFR</w:t>
      </w:r>
      <w:r w:rsidR="00C524E1">
        <w:rPr>
          <w:rFonts w:cs="Arial"/>
        </w:rPr>
        <w:t xml:space="preserve"> for </w:t>
      </w:r>
      <w:r w:rsidR="004B7718">
        <w:rPr>
          <w:rFonts w:cs="Arial"/>
        </w:rPr>
        <w:t xml:space="preserve">providers of </w:t>
      </w:r>
      <w:r w:rsidR="003F2438">
        <w:rPr>
          <w:rFonts w:cs="Arial"/>
        </w:rPr>
        <w:t>Residential Aged Care, MPS and NATSIFAC.</w:t>
      </w:r>
    </w:p>
    <w:p w14:paraId="0FF6C736" w14:textId="4CC10F36" w:rsidR="00416732" w:rsidRPr="00D934A4" w:rsidRDefault="0072337A" w:rsidP="0072337A">
      <w:pPr>
        <w:pStyle w:val="NewHeading2"/>
      </w:pPr>
      <w:bookmarkStart w:id="45" w:name="_Toc205804597"/>
      <w:bookmarkStart w:id="46" w:name="_Toc207281699"/>
      <w:bookmarkStart w:id="47" w:name="_Hlk207274777"/>
      <w:bookmarkStart w:id="48" w:name="_Toc183446622"/>
      <w:r>
        <w:t xml:space="preserve">8.1 </w:t>
      </w:r>
      <w:r w:rsidR="00416732" w:rsidRPr="00D934A4">
        <w:t>FAQs</w:t>
      </w:r>
      <w:bookmarkEnd w:id="45"/>
      <w:bookmarkEnd w:id="46"/>
    </w:p>
    <w:bookmarkEnd w:id="47"/>
    <w:bookmarkEnd w:id="48"/>
    <w:p w14:paraId="094522E9" w14:textId="5D599F8C" w:rsidR="008F6CC7" w:rsidRPr="00EB1182" w:rsidRDefault="00DB7882" w:rsidP="00EB1182">
      <w:pPr>
        <w:pStyle w:val="Heading3"/>
      </w:pPr>
      <w:r w:rsidRPr="00EB1182">
        <w:t>8.</w:t>
      </w:r>
      <w:r w:rsidR="000C2413" w:rsidRPr="00EB1182">
        <w:t>1.</w:t>
      </w:r>
      <w:r w:rsidRPr="00EB1182">
        <w:t>1</w:t>
      </w:r>
      <w:r w:rsidR="008F6CC7" w:rsidRPr="00EB1182">
        <w:t xml:space="preserve"> </w:t>
      </w:r>
      <w:r w:rsidR="0070485D" w:rsidRPr="00EB1182">
        <w:t>Why are</w:t>
      </w:r>
      <w:r w:rsidR="008F6CC7" w:rsidRPr="00EB1182">
        <w:t xml:space="preserve"> allied health labour costs and hours </w:t>
      </w:r>
      <w:r w:rsidR="00CF5C52" w:rsidRPr="00EB1182">
        <w:t xml:space="preserve">reported in both the Food and Nutrition </w:t>
      </w:r>
      <w:r w:rsidR="00683E2A" w:rsidRPr="00EB1182">
        <w:t xml:space="preserve">Costs </w:t>
      </w:r>
      <w:r w:rsidR="00CF5C52" w:rsidRPr="00EB1182">
        <w:t xml:space="preserve">reporting and the Residential </w:t>
      </w:r>
      <w:r w:rsidR="00BB22BD" w:rsidRPr="00EB1182">
        <w:t xml:space="preserve">Costs and Hours reporting? </w:t>
      </w:r>
    </w:p>
    <w:p w14:paraId="3C58F247" w14:textId="4F39EDDE" w:rsidR="008F6CC7" w:rsidRPr="006E445D" w:rsidRDefault="008F6CC7" w:rsidP="008F6CC7">
      <w:pPr>
        <w:rPr>
          <w:rFonts w:cs="Arial"/>
        </w:rPr>
      </w:pPr>
      <w:r w:rsidRPr="006E445D">
        <w:rPr>
          <w:rFonts w:cs="Arial"/>
        </w:rPr>
        <w:t xml:space="preserve">Speech pathologist and dietetic care </w:t>
      </w:r>
      <w:r w:rsidR="005C497A" w:rsidRPr="006E445D">
        <w:rPr>
          <w:rFonts w:cs="Arial"/>
        </w:rPr>
        <w:t>labour costs and hours are</w:t>
      </w:r>
      <w:r w:rsidRPr="006E445D">
        <w:rPr>
          <w:rFonts w:cs="Arial"/>
        </w:rPr>
        <w:t xml:space="preserve"> collected in both the ‘Residential Cost</w:t>
      </w:r>
      <w:r w:rsidR="00551A49">
        <w:rPr>
          <w:rFonts w:cs="Arial"/>
        </w:rPr>
        <w:t>s</w:t>
      </w:r>
      <w:r w:rsidRPr="006E445D">
        <w:rPr>
          <w:rFonts w:cs="Arial"/>
        </w:rPr>
        <w:t xml:space="preserve"> and Hours’ and the ‘Food and Nutrition</w:t>
      </w:r>
      <w:r w:rsidR="00683E2A">
        <w:rPr>
          <w:rFonts w:cs="Arial"/>
        </w:rPr>
        <w:t xml:space="preserve"> Costs</w:t>
      </w:r>
      <w:r w:rsidRPr="006E445D">
        <w:rPr>
          <w:rFonts w:cs="Arial"/>
        </w:rPr>
        <w:t xml:space="preserve">’ </w:t>
      </w:r>
      <w:r w:rsidR="005C497A" w:rsidRPr="006E445D">
        <w:rPr>
          <w:rFonts w:cs="Arial"/>
        </w:rPr>
        <w:t>reporting</w:t>
      </w:r>
      <w:r w:rsidRPr="006E445D">
        <w:rPr>
          <w:rFonts w:cs="Arial"/>
        </w:rPr>
        <w:t>. In the ‘Residential Cost</w:t>
      </w:r>
      <w:r w:rsidR="003E3AD7">
        <w:rPr>
          <w:rFonts w:cs="Arial"/>
        </w:rPr>
        <w:t>s</w:t>
      </w:r>
      <w:r w:rsidRPr="006E445D">
        <w:rPr>
          <w:rFonts w:cs="Arial"/>
        </w:rPr>
        <w:t xml:space="preserve"> and Hours’ </w:t>
      </w:r>
      <w:r w:rsidR="005C497A" w:rsidRPr="006E445D">
        <w:rPr>
          <w:rFonts w:cs="Arial"/>
        </w:rPr>
        <w:t>form</w:t>
      </w:r>
      <w:r w:rsidRPr="006E445D">
        <w:rPr>
          <w:rFonts w:cs="Arial"/>
        </w:rPr>
        <w:t xml:space="preserve">, </w:t>
      </w:r>
      <w:r w:rsidR="00227CA6" w:rsidRPr="006E445D">
        <w:rPr>
          <w:rFonts w:cs="Arial"/>
        </w:rPr>
        <w:t>reporting for</w:t>
      </w:r>
      <w:r w:rsidRPr="006E445D">
        <w:rPr>
          <w:rFonts w:cs="Arial"/>
        </w:rPr>
        <w:t xml:space="preserve"> speech </w:t>
      </w:r>
      <w:r w:rsidR="00831792" w:rsidRPr="006E445D">
        <w:rPr>
          <w:rFonts w:cs="Arial"/>
        </w:rPr>
        <w:t>pathologists</w:t>
      </w:r>
      <w:r w:rsidRPr="006E445D">
        <w:rPr>
          <w:rFonts w:cs="Arial"/>
        </w:rPr>
        <w:t xml:space="preserve"> </w:t>
      </w:r>
      <w:r w:rsidR="00227CA6" w:rsidRPr="006E445D">
        <w:rPr>
          <w:rFonts w:cs="Arial"/>
        </w:rPr>
        <w:t>may</w:t>
      </w:r>
      <w:r w:rsidRPr="006E445D">
        <w:rPr>
          <w:rFonts w:cs="Arial"/>
        </w:rPr>
        <w:t xml:space="preserve"> incorporate many different types of services. </w:t>
      </w:r>
      <w:r w:rsidRPr="006E445D" w:rsidDel="003C032E">
        <w:rPr>
          <w:rFonts w:cs="Arial"/>
        </w:rPr>
        <w:t>However</w:t>
      </w:r>
      <w:r w:rsidRPr="006E445D">
        <w:rPr>
          <w:rFonts w:cs="Arial"/>
        </w:rPr>
        <w:t>, in the ‘Food and Nutrition</w:t>
      </w:r>
      <w:r w:rsidR="002D2598">
        <w:rPr>
          <w:rFonts w:cs="Arial"/>
        </w:rPr>
        <w:t xml:space="preserve"> Costs</w:t>
      </w:r>
      <w:r w:rsidRPr="006E445D">
        <w:rPr>
          <w:rFonts w:cs="Arial"/>
        </w:rPr>
        <w:t xml:space="preserve">’ </w:t>
      </w:r>
      <w:r w:rsidR="00227CA6" w:rsidRPr="006E445D">
        <w:rPr>
          <w:rFonts w:cs="Arial"/>
        </w:rPr>
        <w:t>form</w:t>
      </w:r>
      <w:r w:rsidRPr="006E445D">
        <w:rPr>
          <w:rFonts w:cs="Arial"/>
        </w:rPr>
        <w:t xml:space="preserve">, </w:t>
      </w:r>
      <w:r w:rsidR="00FB0FDE" w:rsidRPr="006E445D">
        <w:rPr>
          <w:rFonts w:cs="Arial"/>
        </w:rPr>
        <w:t>reporting for</w:t>
      </w:r>
      <w:r w:rsidRPr="006E445D">
        <w:rPr>
          <w:rFonts w:cs="Arial"/>
        </w:rPr>
        <w:t xml:space="preserve"> speech pathologist</w:t>
      </w:r>
      <w:r w:rsidR="00FB0FDE" w:rsidRPr="006E445D">
        <w:rPr>
          <w:rFonts w:cs="Arial"/>
        </w:rPr>
        <w:t>’s</w:t>
      </w:r>
      <w:r w:rsidRPr="006E445D">
        <w:rPr>
          <w:rFonts w:cs="Arial"/>
        </w:rPr>
        <w:t xml:space="preserve"> only cover costs and hours relating to food, nutrition and the dining experience, therefore final figures will differ between these two sections. </w:t>
      </w:r>
    </w:p>
    <w:p w14:paraId="3B535906" w14:textId="253D023B" w:rsidR="008F6CC7" w:rsidRPr="00D934A4" w:rsidRDefault="008F6CC7" w:rsidP="008F6CC7">
      <w:pPr>
        <w:rPr>
          <w:rFonts w:cs="Arial"/>
        </w:rPr>
      </w:pPr>
      <w:r w:rsidRPr="006E445D">
        <w:rPr>
          <w:rFonts w:cs="Arial"/>
        </w:rPr>
        <w:t>Labour costs and hours entered for dietetic care in the ‘Food and Nutrition</w:t>
      </w:r>
      <w:r w:rsidR="002D2598">
        <w:rPr>
          <w:rFonts w:cs="Arial"/>
        </w:rPr>
        <w:t xml:space="preserve"> costs</w:t>
      </w:r>
      <w:r w:rsidRPr="006E445D">
        <w:rPr>
          <w:rFonts w:cs="Arial"/>
        </w:rPr>
        <w:t xml:space="preserve">’ </w:t>
      </w:r>
      <w:r w:rsidR="00FB0FDE" w:rsidRPr="006E445D">
        <w:rPr>
          <w:rFonts w:cs="Arial"/>
        </w:rPr>
        <w:t>form</w:t>
      </w:r>
      <w:r w:rsidRPr="006E445D">
        <w:rPr>
          <w:rFonts w:cs="Arial"/>
        </w:rPr>
        <w:t xml:space="preserve"> will prefill the ‘</w:t>
      </w:r>
      <w:r w:rsidR="00BB137C" w:rsidRPr="006E445D">
        <w:rPr>
          <w:rFonts w:cs="Arial"/>
        </w:rPr>
        <w:t>dietic care’ line items in the</w:t>
      </w:r>
      <w:r w:rsidRPr="006E445D">
        <w:rPr>
          <w:rFonts w:cs="Arial"/>
        </w:rPr>
        <w:t xml:space="preserve"> ‘Residential Cost</w:t>
      </w:r>
      <w:r w:rsidR="00FE4854">
        <w:rPr>
          <w:rFonts w:cs="Arial"/>
        </w:rPr>
        <w:t>s</w:t>
      </w:r>
      <w:r w:rsidRPr="006E445D">
        <w:rPr>
          <w:rFonts w:cs="Arial"/>
        </w:rPr>
        <w:t xml:space="preserve"> and Hours’ </w:t>
      </w:r>
      <w:r w:rsidR="00751527" w:rsidRPr="006E445D">
        <w:rPr>
          <w:rFonts w:cs="Arial"/>
        </w:rPr>
        <w:t>form</w:t>
      </w:r>
      <w:r w:rsidRPr="006E445D">
        <w:rPr>
          <w:rFonts w:cs="Arial"/>
        </w:rPr>
        <w:t>.</w:t>
      </w:r>
    </w:p>
    <w:p w14:paraId="078AFCBF" w14:textId="340E3F14" w:rsidR="008F6CC7" w:rsidRPr="00EB1182" w:rsidRDefault="00DB7882" w:rsidP="00EB1182">
      <w:pPr>
        <w:pStyle w:val="Heading3"/>
      </w:pPr>
      <w:bookmarkStart w:id="49" w:name="_Toc183446623"/>
      <w:r w:rsidRPr="00EB1182">
        <w:t>8</w:t>
      </w:r>
      <w:r w:rsidR="008F6CC7" w:rsidRPr="00EB1182">
        <w:t>.</w:t>
      </w:r>
      <w:r w:rsidR="000C2413" w:rsidRPr="00EB1182">
        <w:t>1</w:t>
      </w:r>
      <w:r w:rsidR="008F6CC7" w:rsidRPr="00EB1182">
        <w:t>.2 What is the difference between internal delivery costs and external supplier delivery costs?</w:t>
      </w:r>
      <w:bookmarkEnd w:id="49"/>
    </w:p>
    <w:p w14:paraId="7A0EDC63" w14:textId="33EEC56F" w:rsidR="008F6CC7" w:rsidRPr="009219EB" w:rsidRDefault="008F6CC7" w:rsidP="008F6CC7">
      <w:pPr>
        <w:rPr>
          <w:rFonts w:cs="Arial"/>
        </w:rPr>
      </w:pPr>
      <w:r w:rsidRPr="00D934A4">
        <w:rPr>
          <w:rFonts w:cs="Arial"/>
        </w:rPr>
        <w:t xml:space="preserve">Internal delivery costs relate to internal catering, such as the cost of delivery for food and ingredients to the </w:t>
      </w:r>
      <w:r w:rsidR="006B7423">
        <w:rPr>
          <w:rFonts w:cs="Arial"/>
        </w:rPr>
        <w:t>approved residential care home</w:t>
      </w:r>
      <w:r w:rsidRPr="00D934A4">
        <w:rPr>
          <w:rFonts w:cs="Arial"/>
        </w:rPr>
        <w:t xml:space="preserve"> to be used for internal catering. It is anticipated that external supplier delivery charges i.e. delivery charges </w:t>
      </w:r>
      <w:r w:rsidRPr="009219EB">
        <w:rPr>
          <w:rFonts w:cs="Arial"/>
        </w:rPr>
        <w:t>associated with external contracts, will be included within the external contract cost and they will be unable to be separated.</w:t>
      </w:r>
    </w:p>
    <w:p w14:paraId="2729BA3A" w14:textId="30356424" w:rsidR="008F6CC7" w:rsidRPr="00EB1182" w:rsidRDefault="00DB7882" w:rsidP="00EB1182">
      <w:pPr>
        <w:pStyle w:val="Heading3"/>
      </w:pPr>
      <w:bookmarkStart w:id="50" w:name="_Toc183446624"/>
      <w:r w:rsidRPr="00EB1182">
        <w:t>8</w:t>
      </w:r>
      <w:r w:rsidR="008F6CC7" w:rsidRPr="00EB1182">
        <w:t>.</w:t>
      </w:r>
      <w:r w:rsidR="000C2413" w:rsidRPr="00EB1182">
        <w:t>1</w:t>
      </w:r>
      <w:r w:rsidR="008F6CC7" w:rsidRPr="00EB1182">
        <w:t xml:space="preserve">.3 Are Regional Hospitality Managers hours included in Food and Nutrition </w:t>
      </w:r>
      <w:r w:rsidR="00E84C46" w:rsidRPr="00EB1182">
        <w:t>reporting</w:t>
      </w:r>
      <w:r w:rsidR="008F6CC7" w:rsidRPr="00EB1182">
        <w:t>?</w:t>
      </w:r>
      <w:bookmarkEnd w:id="50"/>
    </w:p>
    <w:p w14:paraId="06DA0B15" w14:textId="6E96B646" w:rsidR="008F6CC7" w:rsidRPr="009219EB" w:rsidRDefault="001265BC" w:rsidP="009219EB">
      <w:pPr>
        <w:rPr>
          <w:rFonts w:cs="Arial"/>
        </w:rPr>
      </w:pPr>
      <w:r w:rsidRPr="009219EB">
        <w:rPr>
          <w:rFonts w:cs="Arial"/>
        </w:rPr>
        <w:t>Any</w:t>
      </w:r>
      <w:r w:rsidR="008F6CC7" w:rsidRPr="009219EB">
        <w:rPr>
          <w:rFonts w:cs="Arial"/>
        </w:rPr>
        <w:t xml:space="preserve"> hours </w:t>
      </w:r>
      <w:r w:rsidRPr="009219EB">
        <w:rPr>
          <w:rFonts w:cs="Arial"/>
        </w:rPr>
        <w:t>worked by</w:t>
      </w:r>
      <w:r w:rsidR="008F6CC7" w:rsidRPr="009219EB">
        <w:rPr>
          <w:rFonts w:cs="Arial"/>
        </w:rPr>
        <w:t xml:space="preserve"> the Regional Hospitality Manager </w:t>
      </w:r>
      <w:r w:rsidRPr="009219EB">
        <w:rPr>
          <w:rFonts w:cs="Arial"/>
        </w:rPr>
        <w:t xml:space="preserve">that </w:t>
      </w:r>
      <w:r w:rsidR="008F6CC7" w:rsidRPr="009219EB">
        <w:rPr>
          <w:rFonts w:cs="Arial"/>
        </w:rPr>
        <w:t>relate to food, nutrition and/or dining should be recorded in the QFR. If they relate to multiple</w:t>
      </w:r>
      <w:r w:rsidR="004B5DC3" w:rsidRPr="009219EB">
        <w:rPr>
          <w:rFonts w:cs="Arial"/>
        </w:rPr>
        <w:t xml:space="preserve"> approved residential care </w:t>
      </w:r>
      <w:r w:rsidR="0029494C" w:rsidRPr="009219EB">
        <w:rPr>
          <w:rFonts w:cs="Arial"/>
        </w:rPr>
        <w:t>homes</w:t>
      </w:r>
      <w:r w:rsidR="008F6CC7" w:rsidRPr="009219EB">
        <w:rPr>
          <w:rFonts w:cs="Arial"/>
        </w:rPr>
        <w:t xml:space="preserve">, then the hours should be split accordingly across the </w:t>
      </w:r>
      <w:r w:rsidR="0029494C" w:rsidRPr="009219EB">
        <w:rPr>
          <w:rFonts w:cs="Arial"/>
        </w:rPr>
        <w:t>homes</w:t>
      </w:r>
      <w:r w:rsidR="008F6CC7" w:rsidRPr="009219EB">
        <w:rPr>
          <w:rFonts w:cs="Arial"/>
        </w:rPr>
        <w:t>.</w:t>
      </w:r>
    </w:p>
    <w:p w14:paraId="75E7C718" w14:textId="0E7F8EAA" w:rsidR="008F6CC7" w:rsidRPr="00EB1182" w:rsidRDefault="00DB7882" w:rsidP="00EB1182">
      <w:pPr>
        <w:pStyle w:val="Heading3"/>
      </w:pPr>
      <w:bookmarkStart w:id="51" w:name="_Toc183446625"/>
      <w:r w:rsidRPr="00EB1182">
        <w:t>8</w:t>
      </w:r>
      <w:r w:rsidR="008F6CC7" w:rsidRPr="00EB1182">
        <w:t>.</w:t>
      </w:r>
      <w:r w:rsidR="000C2413" w:rsidRPr="00EB1182">
        <w:t>1</w:t>
      </w:r>
      <w:r w:rsidR="008F6CC7" w:rsidRPr="00EB1182">
        <w:t>.4 Does ‘Food and cooking ingredients – other’ exclude non-edible catering costs?</w:t>
      </w:r>
      <w:bookmarkEnd w:id="51"/>
    </w:p>
    <w:p w14:paraId="57CDD2D6" w14:textId="77777777" w:rsidR="008F6CC7" w:rsidRPr="00D934A4" w:rsidRDefault="008F6CC7" w:rsidP="001C1AD4">
      <w:pPr>
        <w:rPr>
          <w:rFonts w:cs="Arial"/>
        </w:rPr>
      </w:pPr>
      <w:r w:rsidRPr="00D934A4">
        <w:rPr>
          <w:rFonts w:cs="Arial"/>
        </w:rPr>
        <w:t xml:space="preserve">Non-edible catering costs, such as cutlery, are not reported through food and nutrition reporting in the QFR. ‘Food and cooking ingredients – other’ refers to edible cooking ingredients which are generally pre-prepared or processed. The differentiation for ‘fresh’ and ‘other’ is made using the GST classification. For more information, please see the Food and Nutrition reporting ‘Explanatory Notes’ available on the </w:t>
      </w:r>
      <w:hyperlink r:id="rId26">
        <w:r w:rsidRPr="00D934A4">
          <w:rPr>
            <w:rStyle w:val="Hyperlink"/>
            <w:rFonts w:cs="Arial"/>
          </w:rPr>
          <w:t>department’s website.</w:t>
        </w:r>
      </w:hyperlink>
    </w:p>
    <w:p w14:paraId="0E1E43F9" w14:textId="1F980ACB" w:rsidR="008F6CC7" w:rsidRPr="00EB1182" w:rsidRDefault="007A1BD7" w:rsidP="00EB1182">
      <w:pPr>
        <w:pStyle w:val="Heading3"/>
      </w:pPr>
      <w:bookmarkStart w:id="52" w:name="_Toc183446626"/>
      <w:r w:rsidRPr="00EB1182">
        <w:t>8</w:t>
      </w:r>
      <w:r w:rsidR="008F6CC7" w:rsidRPr="00EB1182">
        <w:t>.</w:t>
      </w:r>
      <w:r w:rsidR="00B01E17" w:rsidRPr="00EB1182">
        <w:t>1</w:t>
      </w:r>
      <w:r w:rsidR="008F6CC7" w:rsidRPr="00EB1182">
        <w:t>.5 Where does the cost for ‘thickeners’ go? (These are additives so that people can eat and drink without choking).</w:t>
      </w:r>
      <w:bookmarkEnd w:id="52"/>
    </w:p>
    <w:p w14:paraId="290CAB52" w14:textId="5709F03B" w:rsidR="000B0275" w:rsidRPr="001C1AD4" w:rsidRDefault="008F6CC7" w:rsidP="001C1AD4">
      <w:r w:rsidRPr="001C1AD4">
        <w:t xml:space="preserve">The cost for ‘thickeners’ goes under ‘Oral Nutrition Supplements’. ‘Thickeners’ are commercial products which assist residents on texture modified diets to </w:t>
      </w:r>
      <w:bookmarkStart w:id="53" w:name="_FAQs_Index"/>
      <w:bookmarkEnd w:id="53"/>
      <w:r w:rsidRPr="001C1AD4">
        <w:t>drink fluids safely.</w:t>
      </w:r>
    </w:p>
    <w:sectPr w:rsidR="000B0275" w:rsidRPr="001C1AD4" w:rsidSect="00755877">
      <w:pgSz w:w="11906" w:h="16838"/>
      <w:pgMar w:top="1276"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035D" w14:textId="77777777" w:rsidR="00F02BA4" w:rsidRPr="00D934A4" w:rsidRDefault="00F02BA4" w:rsidP="00934368">
      <w:r w:rsidRPr="00D934A4">
        <w:separator/>
      </w:r>
    </w:p>
    <w:p w14:paraId="3765D529" w14:textId="77777777" w:rsidR="00F02BA4" w:rsidRPr="00D934A4" w:rsidRDefault="00F02BA4" w:rsidP="00934368"/>
  </w:endnote>
  <w:endnote w:type="continuationSeparator" w:id="0">
    <w:p w14:paraId="5AF2C13A" w14:textId="77777777" w:rsidR="00F02BA4" w:rsidRPr="00D934A4" w:rsidRDefault="00F02BA4" w:rsidP="00934368">
      <w:r w:rsidRPr="00D934A4">
        <w:continuationSeparator/>
      </w:r>
    </w:p>
    <w:p w14:paraId="2DEBAFB4" w14:textId="77777777" w:rsidR="00F02BA4" w:rsidRPr="00D934A4" w:rsidRDefault="00F02BA4" w:rsidP="00934368"/>
  </w:endnote>
  <w:endnote w:type="continuationNotice" w:id="1">
    <w:p w14:paraId="7F446C71" w14:textId="77777777" w:rsidR="00F02BA4" w:rsidRPr="00D934A4" w:rsidRDefault="00F02BA4" w:rsidP="00934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1731" w14:textId="6058B385" w:rsidR="00627385" w:rsidRPr="00D934A4" w:rsidRDefault="000B134E" w:rsidP="00386805">
    <w:pPr>
      <w:pStyle w:val="Footer"/>
      <w:jc w:val="left"/>
    </w:pPr>
    <w:r w:rsidRPr="00D934A4">
      <w:rPr>
        <w:b/>
        <w:bCs/>
        <w:noProof/>
        <w:sz w:val="21"/>
        <w:szCs w:val="21"/>
      </w:rPr>
      <mc:AlternateContent>
        <mc:Choice Requires="wps">
          <w:drawing>
            <wp:anchor distT="0" distB="0" distL="0" distR="0" simplePos="0" relativeHeight="251658247" behindDoc="0" locked="0" layoutInCell="1" allowOverlap="1" wp14:anchorId="1E78480E" wp14:editId="07710CB1">
              <wp:simplePos x="635" y="635"/>
              <wp:positionH relativeFrom="page">
                <wp:align>center</wp:align>
              </wp:positionH>
              <wp:positionV relativeFrom="page">
                <wp:align>bottom</wp:align>
              </wp:positionV>
              <wp:extent cx="609600" cy="485775"/>
              <wp:effectExtent l="0" t="0" r="0" b="0"/>
              <wp:wrapNone/>
              <wp:docPr id="191520977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E1412BC" w14:textId="331F63B4"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78480E" id="_x0000_t202" coordsize="21600,21600" o:spt="202" path="m,l,21600r21600,l21600,xe">
              <v:stroke joinstyle="miter"/>
              <v:path gradientshapeok="t" o:connecttype="rect"/>
            </v:shapetype>
            <v:shape id="Text Box 9" o:spid="_x0000_s1027" type="#_x0000_t202" alt="OFFICIAL" style="position:absolute;margin-left:0;margin-top:0;width:48pt;height:38.2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a3Hu/QwCAAAcBAAA&#10;DgAAAAAAAAAAAAAAAAAuAgAAZHJzL2Uyb0RvYy54bWxQSwECLQAUAAYACAAAACEAgBRPAtoAAAAD&#10;AQAADwAAAAAAAAAAAAAAAABmBAAAZHJzL2Rvd25yZXYueG1sUEsFBgAAAAAEAAQA8wAAAG0FAAAA&#10;AA==&#10;" filled="f" stroked="f">
              <v:textbox style="mso-fit-shape-to-text:t" inset="0,0,0,15pt">
                <w:txbxContent>
                  <w:p w14:paraId="0E1412BC" w14:textId="331F63B4"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v:textbox>
              <w10:wrap anchorx="page" anchory="page"/>
            </v:shape>
          </w:pict>
        </mc:Fallback>
      </mc:AlternateContent>
    </w:r>
    <w:r w:rsidR="00386805" w:rsidRPr="00D934A4">
      <w:rPr>
        <w:b/>
        <w:bCs/>
        <w:sz w:val="21"/>
        <w:szCs w:val="21"/>
      </w:rPr>
      <w:fldChar w:fldCharType="begin"/>
    </w:r>
    <w:r w:rsidR="00386805" w:rsidRPr="00D934A4">
      <w:rPr>
        <w:b/>
        <w:bCs/>
        <w:sz w:val="21"/>
        <w:szCs w:val="21"/>
      </w:rPr>
      <w:instrText xml:space="preserve"> PAGE   \* MERGEFORMAT </w:instrText>
    </w:r>
    <w:r w:rsidR="00386805" w:rsidRPr="00D934A4">
      <w:rPr>
        <w:b/>
        <w:bCs/>
        <w:sz w:val="21"/>
        <w:szCs w:val="21"/>
      </w:rPr>
      <w:fldChar w:fldCharType="separate"/>
    </w:r>
    <w:r w:rsidR="00386805" w:rsidRPr="00D934A4">
      <w:rPr>
        <w:b/>
        <w:bCs/>
        <w:sz w:val="21"/>
        <w:szCs w:val="21"/>
      </w:rPr>
      <w:t>2</w:t>
    </w:r>
    <w:r w:rsidR="00386805" w:rsidRPr="00D934A4">
      <w:rPr>
        <w:b/>
        <w:bCs/>
        <w:sz w:val="21"/>
        <w:szCs w:val="21"/>
      </w:rPr>
      <w:fldChar w:fldCharType="end"/>
    </w:r>
    <w:r w:rsidR="00386805" w:rsidRPr="00D934A4">
      <w:rPr>
        <w:b/>
        <w:bCs/>
        <w:sz w:val="21"/>
        <w:szCs w:val="21"/>
      </w:rPr>
      <w:t xml:space="preserve"> </w:t>
    </w:r>
    <w:r w:rsidR="00386805" w:rsidRPr="00D934A4">
      <w:rPr>
        <w:color w:val="1E1545" w:themeColor="text1"/>
        <w:sz w:val="21"/>
        <w:szCs w:val="21"/>
      </w:rPr>
      <w:t xml:space="preserve">| </w:t>
    </w:r>
    <w:r w:rsidR="00411185" w:rsidRPr="00D934A4">
      <w:rPr>
        <w:sz w:val="21"/>
        <w:szCs w:val="21"/>
      </w:rPr>
      <w:t xml:space="preserve">QFR </w:t>
    </w:r>
    <w:r w:rsidR="00357938" w:rsidRPr="00D934A4">
      <w:rPr>
        <w:sz w:val="21"/>
        <w:szCs w:val="21"/>
      </w:rPr>
      <w:t>Guidance</w:t>
    </w:r>
    <w:r w:rsidR="00411185" w:rsidRPr="00D934A4">
      <w:rPr>
        <w:sz w:val="21"/>
        <w:szCs w:val="21"/>
      </w:rPr>
      <w:t xml:space="preserve"> and Frequently Asked Questions</w:t>
    </w:r>
    <w:r w:rsidR="00411185" w:rsidRPr="00D934A4" w:rsidDel="00411185">
      <w:rPr>
        <w:color w:val="1E1545" w:themeColor="text1"/>
        <w:sz w:val="21"/>
        <w:szCs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063311"/>
      <w:docPartObj>
        <w:docPartGallery w:val="Page Numbers (Bottom of Page)"/>
        <w:docPartUnique/>
      </w:docPartObj>
    </w:sdtPr>
    <w:sdtEndPr>
      <w:rPr>
        <w:noProof/>
      </w:rPr>
    </w:sdtEndPr>
    <w:sdtContent>
      <w:p w14:paraId="20EF5BE9" w14:textId="5109C915" w:rsidR="00D32798" w:rsidRPr="00D934A4" w:rsidRDefault="00D137ED" w:rsidP="00A6198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E6D5" w14:textId="55608B76" w:rsidR="00627385" w:rsidRPr="00D934A4" w:rsidRDefault="00627385" w:rsidP="00627385">
    <w:pPr>
      <w:tabs>
        <w:tab w:val="right" w:pos="9072"/>
      </w:tabs>
    </w:pPr>
    <w:r w:rsidRPr="00D934A4">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966"/>
    </w:tblGrid>
    <w:tr w:rsidR="00D0690C" w:rsidRPr="00D934A4" w14:paraId="4B05AEA9" w14:textId="77777777" w:rsidTr="005D4A3F">
      <w:tc>
        <w:tcPr>
          <w:tcW w:w="704" w:type="dxa"/>
          <w:tcMar>
            <w:top w:w="113" w:type="dxa"/>
            <w:bottom w:w="113" w:type="dxa"/>
          </w:tcMar>
          <w:vAlign w:val="center"/>
        </w:tcPr>
        <w:p w14:paraId="4CF203B8" w14:textId="2D87C600" w:rsidR="00D0690C" w:rsidRPr="00D934A4" w:rsidRDefault="000B134E" w:rsidP="00D0690C">
          <w:pPr>
            <w:spacing w:before="0" w:after="0" w:line="240" w:lineRule="auto"/>
          </w:pPr>
          <w:r w:rsidRPr="00D934A4">
            <w:rPr>
              <w:noProof/>
            </w:rPr>
            <mc:AlternateContent>
              <mc:Choice Requires="wps">
                <w:drawing>
                  <wp:anchor distT="0" distB="0" distL="0" distR="0" simplePos="0" relativeHeight="251658248" behindDoc="0" locked="0" layoutInCell="1" allowOverlap="1" wp14:anchorId="4CC3BCE6" wp14:editId="0C32A7AA">
                    <wp:simplePos x="635" y="635"/>
                    <wp:positionH relativeFrom="page">
                      <wp:align>center</wp:align>
                    </wp:positionH>
                    <wp:positionV relativeFrom="page">
                      <wp:align>bottom</wp:align>
                    </wp:positionV>
                    <wp:extent cx="609600" cy="485775"/>
                    <wp:effectExtent l="0" t="0" r="0" b="0"/>
                    <wp:wrapNone/>
                    <wp:docPr id="1144661798"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2CF5D32" w14:textId="5837225A"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C3BCE6" id="_x0000_t202" coordsize="21600,21600" o:spt="202" path="m,l,21600r21600,l21600,xe">
                    <v:stroke joinstyle="miter"/>
                    <v:path gradientshapeok="t" o:connecttype="rect"/>
                  </v:shapetype>
                  <v:shape id="Text Box 13" o:spid="_x0000_s1029" type="#_x0000_t202" alt="OFFICIAL" style="position:absolute;margin-left:0;margin-top:0;width:48pt;height:38.2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" filled="f" stroked="f">
                    <v:textbox style="mso-fit-shape-to-text:t" inset="0,0,0,15pt">
                      <w:txbxContent>
                        <w:p w14:paraId="32CF5D32" w14:textId="5837225A"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v:textbox>
                    <w10:wrap anchorx="page" anchory="page"/>
                  </v:shape>
                </w:pict>
              </mc:Fallback>
            </mc:AlternateContent>
          </w:r>
          <w:r w:rsidR="00D0690C" w:rsidRPr="00D934A4">
            <w:rPr>
              <w:noProof/>
            </w:rPr>
            <w:drawing>
              <wp:inline distT="0" distB="0" distL="0" distR="0" wp14:anchorId="1E1D1C46" wp14:editId="5DD2752E">
                <wp:extent cx="279400" cy="279400"/>
                <wp:effectExtent l="0" t="0" r="0" b="0"/>
                <wp:docPr id="708363248" name="Picture 70836324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hone icon"/>
                        <pic:cNvPicPr/>
                      </pic:nvPicPr>
                      <pic:blipFill>
                        <a:blip r:embed="rId1">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7B857C7D" w14:textId="1F18C403" w:rsidR="00D0690C" w:rsidRPr="00D934A4" w:rsidRDefault="00D0690C" w:rsidP="00D0690C">
          <w:r w:rsidRPr="00D934A4">
            <w:t xml:space="preserve">Phone </w:t>
          </w:r>
          <w:r w:rsidRPr="00D934A4">
            <w:rPr>
              <w:b/>
              <w:bCs/>
            </w:rPr>
            <w:t xml:space="preserve">1800 200 422 </w:t>
          </w:r>
          <w:r w:rsidRPr="00D934A4">
            <w:rPr>
              <w:b/>
              <w:bCs/>
            </w:rPr>
            <w:br/>
          </w:r>
          <w:r w:rsidRPr="00D934A4">
            <w:t xml:space="preserve">(My Aged Care’s </w:t>
          </w:r>
          <w:r w:rsidR="00440CC1" w:rsidRPr="00D934A4">
            <w:t>free call</w:t>
          </w:r>
          <w:r w:rsidRPr="00D934A4">
            <w:t xml:space="preserve"> phone line)</w:t>
          </w:r>
        </w:p>
      </w:tc>
    </w:tr>
    <w:tr w:rsidR="00D0690C" w:rsidRPr="00D934A4" w14:paraId="45EC49ED" w14:textId="77777777" w:rsidTr="005D4A3F">
      <w:tc>
        <w:tcPr>
          <w:tcW w:w="704" w:type="dxa"/>
          <w:tcMar>
            <w:top w:w="113" w:type="dxa"/>
            <w:bottom w:w="113" w:type="dxa"/>
          </w:tcMar>
          <w:vAlign w:val="center"/>
        </w:tcPr>
        <w:p w14:paraId="340A6EEC" w14:textId="77777777" w:rsidR="00D0690C" w:rsidRPr="00D934A4" w:rsidRDefault="00D0690C" w:rsidP="00D0690C">
          <w:pPr>
            <w:spacing w:before="0" w:after="0" w:line="240" w:lineRule="auto"/>
          </w:pPr>
          <w:r w:rsidRPr="00D934A4">
            <w:rPr>
              <w:noProof/>
            </w:rPr>
            <w:drawing>
              <wp:inline distT="0" distB="0" distL="0" distR="0" wp14:anchorId="6DE6580D" wp14:editId="38CCCB9B">
                <wp:extent cx="279400" cy="279400"/>
                <wp:effectExtent l="0" t="0" r="0" b="0"/>
                <wp:docPr id="534314787" name="Picture 53431478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ebsite icon"/>
                        <pic:cNvPicPr/>
                      </pic:nvPicPr>
                      <pic:blipFill>
                        <a:blip r:embed="rId2">
                          <a:extLst>
                            <a:ext uri="{28A0092B-C50C-407E-A947-70E740481C1C}">
                              <a14:useLocalDpi xmlns:a14="http://schemas.microsoft.com/office/drawing/2010/main" val="0"/>
                            </a:ext>
                          </a:extLst>
                        </a:blip>
                        <a:stretch>
                          <a:fillRect/>
                        </a:stretch>
                      </pic:blipFill>
                      <pic:spPr>
                        <a:xfrm>
                          <a:off x="0" y="0"/>
                          <a:ext cx="279400" cy="279400"/>
                        </a:xfrm>
                        <a:prstGeom prst="rect">
                          <a:avLst/>
                        </a:prstGeom>
                      </pic:spPr>
                    </pic:pic>
                  </a:graphicData>
                </a:graphic>
              </wp:inline>
            </w:drawing>
          </w:r>
        </w:p>
      </w:tc>
      <w:tc>
        <w:tcPr>
          <w:tcW w:w="4966" w:type="dxa"/>
          <w:tcMar>
            <w:top w:w="113" w:type="dxa"/>
            <w:bottom w:w="113" w:type="dxa"/>
          </w:tcMar>
          <w:vAlign w:val="center"/>
        </w:tcPr>
        <w:p w14:paraId="0F4E324C" w14:textId="77777777" w:rsidR="00D0690C" w:rsidRPr="00D934A4" w:rsidRDefault="00D0690C" w:rsidP="00D0690C">
          <w:pPr>
            <w:spacing w:before="0" w:after="0" w:line="240" w:lineRule="auto"/>
          </w:pPr>
          <w:r w:rsidRPr="00D934A4">
            <w:t xml:space="preserve">Visit </w:t>
          </w:r>
          <w:r w:rsidRPr="00D934A4">
            <w:rPr>
              <w:b/>
              <w:bCs/>
            </w:rPr>
            <w:t>agedcareengagement.health.gov.au</w:t>
          </w:r>
        </w:p>
      </w:tc>
    </w:tr>
  </w:tbl>
  <w:p w14:paraId="14DCEB68" w14:textId="77777777" w:rsidR="005D4A3F" w:rsidRPr="00D934A4" w:rsidRDefault="005D4A3F" w:rsidP="005D4A3F">
    <w:r w:rsidRPr="00D934A4">
      <w:t xml:space="preserve">For translating and interpreting services, call </w:t>
    </w:r>
    <w:r w:rsidRPr="00D934A4">
      <w:rPr>
        <w:b/>
        <w:bCs/>
      </w:rPr>
      <w:t>131 450</w:t>
    </w:r>
    <w:r w:rsidRPr="00D934A4">
      <w:t xml:space="preserve"> and </w:t>
    </w:r>
    <w:r w:rsidRPr="00D934A4">
      <w:br/>
      <w:t xml:space="preserve">ask for My Aged Care on </w:t>
    </w:r>
    <w:r w:rsidRPr="00D934A4">
      <w:rPr>
        <w:b/>
        <w:bCs/>
      </w:rPr>
      <w:t>1800 200 422</w:t>
    </w:r>
    <w:r w:rsidRPr="00D934A4">
      <w:t>.</w:t>
    </w:r>
  </w:p>
  <w:p w14:paraId="7A3FB43E" w14:textId="77777777" w:rsidR="00D0690C" w:rsidRPr="00D934A4" w:rsidRDefault="005D4A3F" w:rsidP="005D4A3F">
    <w:r w:rsidRPr="00D934A4">
      <w:t xml:space="preserve">To use the National Relay Service, visit </w:t>
    </w:r>
    <w:r w:rsidRPr="00D934A4">
      <w:rPr>
        <w:b/>
        <w:bCs/>
      </w:rPr>
      <w:t>nrschat.nrscall.gov.au/nrs</w:t>
    </w:r>
    <w:r w:rsidRPr="00D934A4">
      <w:t xml:space="preserve"> </w:t>
    </w:r>
    <w:r w:rsidRPr="00D934A4">
      <w:br/>
      <w:t xml:space="preserve">or call </w:t>
    </w:r>
    <w:r w:rsidRPr="00D934A4">
      <w:rPr>
        <w:b/>
        <w:bCs/>
      </w:rPr>
      <w:t>1800 555 660</w:t>
    </w:r>
    <w:r w:rsidRPr="00D934A4">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EDEA" w14:textId="77777777" w:rsidR="00F02BA4" w:rsidRPr="00D934A4" w:rsidRDefault="00F02BA4" w:rsidP="00934368">
      <w:r w:rsidRPr="00D934A4">
        <w:separator/>
      </w:r>
    </w:p>
    <w:p w14:paraId="1A4C0892" w14:textId="77777777" w:rsidR="00F02BA4" w:rsidRPr="00D934A4" w:rsidRDefault="00F02BA4" w:rsidP="00934368"/>
  </w:footnote>
  <w:footnote w:type="continuationSeparator" w:id="0">
    <w:p w14:paraId="5995D65D" w14:textId="77777777" w:rsidR="00F02BA4" w:rsidRPr="00D934A4" w:rsidRDefault="00F02BA4" w:rsidP="00934368">
      <w:r w:rsidRPr="00D934A4">
        <w:continuationSeparator/>
      </w:r>
    </w:p>
    <w:p w14:paraId="644D939C" w14:textId="77777777" w:rsidR="00F02BA4" w:rsidRPr="00D934A4" w:rsidRDefault="00F02BA4" w:rsidP="00934368"/>
  </w:footnote>
  <w:footnote w:type="continuationNotice" w:id="1">
    <w:p w14:paraId="10375802" w14:textId="77777777" w:rsidR="00F02BA4" w:rsidRPr="00D934A4" w:rsidRDefault="00F02BA4" w:rsidP="009343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85FF3" w14:textId="14068DCC" w:rsidR="00D32798" w:rsidRPr="00D934A4" w:rsidRDefault="000B134E">
    <w:pPr>
      <w:pStyle w:val="Header"/>
    </w:pPr>
    <w:r w:rsidRPr="00D934A4">
      <w:rPr>
        <w:noProof/>
      </w:rPr>
      <mc:AlternateContent>
        <mc:Choice Requires="wps">
          <w:drawing>
            <wp:anchor distT="0" distB="0" distL="0" distR="0" simplePos="0" relativeHeight="251658245" behindDoc="0" locked="0" layoutInCell="1" allowOverlap="1" wp14:anchorId="5A7A7824" wp14:editId="6352D3EB">
              <wp:simplePos x="635" y="635"/>
              <wp:positionH relativeFrom="page">
                <wp:align>center</wp:align>
              </wp:positionH>
              <wp:positionV relativeFrom="page">
                <wp:align>top</wp:align>
              </wp:positionV>
              <wp:extent cx="609600" cy="485775"/>
              <wp:effectExtent l="0" t="0" r="0" b="9525"/>
              <wp:wrapNone/>
              <wp:docPr id="2547131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F75F318" w14:textId="3AFBA76D"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7A7824"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0F75F318" w14:textId="3AFBA76D"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D827D" w14:textId="4C12DA2E" w:rsidR="003B1273" w:rsidRPr="00D934A4" w:rsidRDefault="001044B1" w:rsidP="006249DC">
    <w:pPr>
      <w:pStyle w:val="Header"/>
      <w:ind w:firstLine="720"/>
      <w:rPr>
        <w:lang w:eastAsia="en-AU"/>
      </w:rPr>
    </w:pPr>
    <w:r w:rsidRPr="00D934A4">
      <w:rPr>
        <w:noProof/>
        <w:lang w:eastAsia="en-AU"/>
      </w:rPr>
      <w:drawing>
        <wp:anchor distT="0" distB="0" distL="114300" distR="114300" simplePos="0" relativeHeight="251658242" behindDoc="1" locked="0" layoutInCell="1" allowOverlap="1" wp14:anchorId="4AFCF526" wp14:editId="0A48E7CA">
          <wp:simplePos x="0" y="0"/>
          <wp:positionH relativeFrom="page">
            <wp:align>left</wp:align>
          </wp:positionH>
          <wp:positionV relativeFrom="page">
            <wp:align>top</wp:align>
          </wp:positionV>
          <wp:extent cx="7570612" cy="107208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0612" cy="10720800"/>
                  </a:xfrm>
                  <a:prstGeom prst="rect">
                    <a:avLst/>
                  </a:prstGeom>
                </pic:spPr>
              </pic:pic>
            </a:graphicData>
          </a:graphic>
          <wp14:sizeRelH relativeFrom="margin">
            <wp14:pctWidth>0</wp14:pctWidth>
          </wp14:sizeRelH>
          <wp14:sizeRelV relativeFrom="margin">
            <wp14:pctHeight>0</wp14:pctHeight>
          </wp14:sizeRelV>
        </wp:anchor>
      </w:drawing>
    </w:r>
  </w:p>
  <w:p w14:paraId="7F33BFBC" w14:textId="77777777" w:rsidR="00751A23" w:rsidRPr="00D934A4" w:rsidRDefault="00627385" w:rsidP="00934368">
    <w:pPr>
      <w:pStyle w:val="Header"/>
    </w:pPr>
    <w:r w:rsidRPr="00D934A4">
      <w:rPr>
        <w:noProof/>
      </w:rPr>
      <mc:AlternateContent>
        <mc:Choice Requires="wps">
          <w:drawing>
            <wp:anchor distT="0" distB="0" distL="114300" distR="114300" simplePos="0" relativeHeight="251658240" behindDoc="1" locked="0" layoutInCell="1" allowOverlap="1" wp14:anchorId="1D800D6F" wp14:editId="54902E58">
              <wp:simplePos x="0" y="0"/>
              <wp:positionH relativeFrom="column">
                <wp:posOffset>-881380</wp:posOffset>
              </wp:positionH>
              <wp:positionV relativeFrom="paragraph">
                <wp:posOffset>3995420</wp:posOffset>
              </wp:positionV>
              <wp:extent cx="7610475" cy="6238875"/>
              <wp:effectExtent l="0" t="0" r="9525" b="9525"/>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10475" cy="62388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arto="http://schemas.microsoft.com/office/word/2006/arto" xmlns:a14="http://schemas.microsoft.com/office/drawing/2010/main" xmlns:pic="http://schemas.openxmlformats.org/drawingml/2006/picture" xmlns:adec="http://schemas.microsoft.com/office/drawing/2017/decorative" xmlns:aclsh="http://schemas.microsoft.com/office/drawing/2020/classificationShape" xmlns:a="http://schemas.openxmlformats.org/drawingml/2006/main">
          <w:pict w14:anchorId="7AA0AFD5">
            <v:rect id="Rectangle 23" style="position:absolute;margin-left:-69.4pt;margin-top:314.6pt;width:599.25pt;height:49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f1f2f2 [3214]" stroked="f" strokeweight="2pt" w14:anchorId="19E88C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"/>
          </w:pict>
        </mc:Fallback>
      </mc:AlternateContent>
    </w:r>
    <w:r w:rsidRPr="00D934A4">
      <w:rPr>
        <w:noProof/>
      </w:rPr>
      <w:drawing>
        <wp:anchor distT="0" distB="0" distL="114300" distR="114300" simplePos="0" relativeHeight="251658241" behindDoc="1" locked="0" layoutInCell="1" allowOverlap="1" wp14:anchorId="3A4EC9B3" wp14:editId="7B9CA8CC">
          <wp:simplePos x="904875" y="704850"/>
          <wp:positionH relativeFrom="page">
            <wp:align>center</wp:align>
          </wp:positionH>
          <wp:positionV relativeFrom="page">
            <wp:align>top</wp:align>
          </wp:positionV>
          <wp:extent cx="7560000" cy="5043600"/>
          <wp:effectExtent l="0" t="0" r="3175" b="508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504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58E1" w14:textId="44F6B852" w:rsidR="00D0690C" w:rsidRPr="00D934A4" w:rsidRDefault="000B134E">
    <w:pPr>
      <w:pStyle w:val="Header"/>
    </w:pPr>
    <w:r w:rsidRPr="00D934A4">
      <w:rPr>
        <w:noProof/>
      </w:rPr>
      <mc:AlternateContent>
        <mc:Choice Requires="wps">
          <w:drawing>
            <wp:anchor distT="0" distB="0" distL="0" distR="0" simplePos="0" relativeHeight="251658246" behindDoc="0" locked="0" layoutInCell="1" allowOverlap="1" wp14:anchorId="5AF53970" wp14:editId="64ABF500">
              <wp:simplePos x="635" y="635"/>
              <wp:positionH relativeFrom="page">
                <wp:align>center</wp:align>
              </wp:positionH>
              <wp:positionV relativeFrom="page">
                <wp:align>top</wp:align>
              </wp:positionV>
              <wp:extent cx="609600" cy="485775"/>
              <wp:effectExtent l="0" t="0" r="0" b="9525"/>
              <wp:wrapNone/>
              <wp:docPr id="184063855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36F0D040" w14:textId="4F72080F"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F53970" id="_x0000_t202" coordsize="21600,21600" o:spt="202" path="m,l,21600r21600,l21600,xe">
              <v:stroke joinstyle="miter"/>
              <v:path gradientshapeok="t" o:connecttype="rect"/>
            </v:shapetype>
            <v:shape id="Text Box 7" o:spid="_x0000_s1028" type="#_x0000_t202" alt="OFFICIAL" style="position:absolute;margin-left:0;margin-top:0;width:48pt;height:38.2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gPDQ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" filled="f" stroked="f">
              <v:textbox style="mso-fit-shape-to-text:t" inset="0,15pt,0,0">
                <w:txbxContent>
                  <w:p w14:paraId="36F0D040" w14:textId="4F72080F" w:rsidR="000B134E" w:rsidRPr="00D934A4" w:rsidRDefault="000B134E" w:rsidP="00E61D43">
                    <w:pPr>
                      <w:spacing w:after="0"/>
                      <w:rPr>
                        <w:rFonts w:ascii="Aptos" w:eastAsia="Aptos" w:hAnsi="Aptos" w:cs="Aptos"/>
                        <w:color w:val="FF0000"/>
                      </w:rPr>
                    </w:pPr>
                    <w:r w:rsidRPr="00D934A4">
                      <w:rPr>
                        <w:rFonts w:ascii="Aptos" w:eastAsia="Aptos" w:hAnsi="Aptos" w:cs="Aptos"/>
                        <w:color w:val="FF0000"/>
                      </w:rPr>
                      <w:t>OFFICIAL</w:t>
                    </w:r>
                  </w:p>
                </w:txbxContent>
              </v:textbox>
              <w10:wrap anchorx="page" anchory="page"/>
            </v:shape>
          </w:pict>
        </mc:Fallback>
      </mc:AlternateContent>
    </w:r>
    <w:r w:rsidR="00312749" w:rsidRPr="00D934A4">
      <w:rPr>
        <w:noProof/>
      </w:rPr>
      <mc:AlternateContent>
        <mc:Choice Requires="wps">
          <w:drawing>
            <wp:anchor distT="0" distB="0" distL="114300" distR="114300" simplePos="0" relativeHeight="251658243" behindDoc="1" locked="0" layoutInCell="1" allowOverlap="1" wp14:anchorId="440492F8" wp14:editId="7E870D7B">
              <wp:simplePos x="0" y="0"/>
              <wp:positionH relativeFrom="page">
                <wp:align>center</wp:align>
              </wp:positionH>
              <wp:positionV relativeFrom="page">
                <wp:align>top</wp:align>
              </wp:positionV>
              <wp:extent cx="7560000" cy="10692000"/>
              <wp:effectExtent l="0" t="0" r="0" b="190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dec="http://schemas.microsoft.com/office/drawing/2017/decorative" xmlns:aclsh="http://schemas.microsoft.com/office/drawing/2020/classificationShape" xmlns:a="http://schemas.openxmlformats.org/drawingml/2006/main">
          <w:pict w14:anchorId="1F32D972">
            <v:rect id="Rectangle 5" style="position:absolute;margin-left:0;margin-top:0;width:595.3pt;height:841.9pt;z-index:-251658237;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alt="&quot;&quot;" o:spid="_x0000_s1026" fillcolor="#f1f2f2 [3212]" stroked="f" strokeweight="2pt" w14:anchorId="0BBACD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BC7D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64F30"/>
    <w:multiLevelType w:val="hybridMultilevel"/>
    <w:tmpl w:val="4878B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311526"/>
    <w:multiLevelType w:val="hybridMultilevel"/>
    <w:tmpl w:val="9BE888A2"/>
    <w:lvl w:ilvl="0" w:tplc="708C0DDE">
      <w:start w:val="1"/>
      <w:numFmt w:val="decimal"/>
      <w:pStyle w:val="Tablelistnumber"/>
      <w:lvlText w:val="%1."/>
      <w:lvlJc w:val="left"/>
      <w:pPr>
        <w:ind w:left="360" w:hanging="360"/>
      </w:pPr>
      <w:rPr>
        <w:rFonts w:hint="default"/>
      </w:rPr>
    </w:lvl>
    <w:lvl w:ilvl="1" w:tplc="5B4A8BB4" w:tentative="1">
      <w:start w:val="1"/>
      <w:numFmt w:val="lowerLetter"/>
      <w:lvlText w:val="%2."/>
      <w:lvlJc w:val="left"/>
      <w:pPr>
        <w:ind w:left="1440" w:hanging="360"/>
      </w:pPr>
    </w:lvl>
    <w:lvl w:ilvl="2" w:tplc="06E0084A" w:tentative="1">
      <w:start w:val="1"/>
      <w:numFmt w:val="lowerRoman"/>
      <w:lvlText w:val="%3."/>
      <w:lvlJc w:val="right"/>
      <w:pPr>
        <w:ind w:left="2160" w:hanging="180"/>
      </w:pPr>
    </w:lvl>
    <w:lvl w:ilvl="3" w:tplc="65480416" w:tentative="1">
      <w:start w:val="1"/>
      <w:numFmt w:val="decimal"/>
      <w:lvlText w:val="%4."/>
      <w:lvlJc w:val="left"/>
      <w:pPr>
        <w:ind w:left="2880" w:hanging="360"/>
      </w:pPr>
    </w:lvl>
    <w:lvl w:ilvl="4" w:tplc="F7BEBC76" w:tentative="1">
      <w:start w:val="1"/>
      <w:numFmt w:val="lowerLetter"/>
      <w:lvlText w:val="%5."/>
      <w:lvlJc w:val="left"/>
      <w:pPr>
        <w:ind w:left="3600" w:hanging="360"/>
      </w:pPr>
    </w:lvl>
    <w:lvl w:ilvl="5" w:tplc="B36EF2D8" w:tentative="1">
      <w:start w:val="1"/>
      <w:numFmt w:val="lowerRoman"/>
      <w:lvlText w:val="%6."/>
      <w:lvlJc w:val="right"/>
      <w:pPr>
        <w:ind w:left="4320" w:hanging="180"/>
      </w:pPr>
    </w:lvl>
    <w:lvl w:ilvl="6" w:tplc="EB48EBB6" w:tentative="1">
      <w:start w:val="1"/>
      <w:numFmt w:val="decimal"/>
      <w:lvlText w:val="%7."/>
      <w:lvlJc w:val="left"/>
      <w:pPr>
        <w:ind w:left="5040" w:hanging="360"/>
      </w:pPr>
    </w:lvl>
    <w:lvl w:ilvl="7" w:tplc="4CA841AE" w:tentative="1">
      <w:start w:val="1"/>
      <w:numFmt w:val="lowerLetter"/>
      <w:lvlText w:val="%8."/>
      <w:lvlJc w:val="left"/>
      <w:pPr>
        <w:ind w:left="5760" w:hanging="360"/>
      </w:pPr>
    </w:lvl>
    <w:lvl w:ilvl="8" w:tplc="2C7034E0" w:tentative="1">
      <w:start w:val="1"/>
      <w:numFmt w:val="lowerRoman"/>
      <w:lvlText w:val="%9."/>
      <w:lvlJc w:val="right"/>
      <w:pPr>
        <w:ind w:left="6480" w:hanging="180"/>
      </w:pPr>
    </w:lvl>
  </w:abstractNum>
  <w:abstractNum w:abstractNumId="3" w15:restartNumberingAfterBreak="0">
    <w:nsid w:val="08E4410C"/>
    <w:multiLevelType w:val="multilevel"/>
    <w:tmpl w:val="13586ED8"/>
    <w:styleLink w:val="Style2"/>
    <w:lvl w:ilvl="0">
      <w:start w:val="1"/>
      <w:numFmt w:val="bullet"/>
      <w:lvlText w:val="l"/>
      <w:lvlJc w:val="left"/>
      <w:pPr>
        <w:ind w:left="644" w:hanging="284"/>
      </w:pPr>
      <w:rPr>
        <w:rFonts w:ascii="Wingdings" w:hAnsi="Wingdings" w:hint="default"/>
        <w:color w:val="auto"/>
      </w:rPr>
    </w:lvl>
    <w:lvl w:ilvl="1">
      <w:start w:val="1"/>
      <w:numFmt w:val="bullet"/>
      <w:lvlText w:val="n"/>
      <w:lvlJc w:val="left"/>
      <w:pPr>
        <w:ind w:left="1080" w:hanging="360"/>
      </w:pPr>
      <w:rPr>
        <w:rFonts w:ascii="Wingdings" w:hAnsi="Wingdings" w:hint="default"/>
        <w:color w:val="auto"/>
        <w:sz w:val="16"/>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A854263"/>
    <w:multiLevelType w:val="multilevel"/>
    <w:tmpl w:val="13668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E52A4"/>
    <w:multiLevelType w:val="hybridMultilevel"/>
    <w:tmpl w:val="6630BC3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2D9505C"/>
    <w:multiLevelType w:val="hybridMultilevel"/>
    <w:tmpl w:val="71CAEB5E"/>
    <w:lvl w:ilvl="0" w:tplc="533CA56A">
      <w:numFmt w:val="bullet"/>
      <w:lvlText w:val=""/>
      <w:lvlJc w:val="left"/>
      <w:pPr>
        <w:ind w:left="720" w:hanging="360"/>
      </w:pPr>
      <w:rPr>
        <w:rFonts w:ascii="Symbol" w:eastAsia="Calibri" w:hAnsi="Symbol" w:cstheme="minorBidi" w:hint="default"/>
      </w:rPr>
    </w:lvl>
    <w:lvl w:ilvl="1" w:tplc="03CCF800">
      <w:start w:val="1"/>
      <w:numFmt w:val="bullet"/>
      <w:pStyle w:val="ListBullet2"/>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1C19DB"/>
    <w:multiLevelType w:val="hybridMultilevel"/>
    <w:tmpl w:val="53AC6EA2"/>
    <w:lvl w:ilvl="0" w:tplc="2A64A0D6">
      <w:start w:val="7"/>
      <w:numFmt w:val="bullet"/>
      <w:lvlText w:val=""/>
      <w:lvlJc w:val="left"/>
      <w:pPr>
        <w:ind w:left="1287" w:hanging="360"/>
      </w:pPr>
      <w:rPr>
        <w:rFonts w:ascii="Symbol" w:eastAsia="Times New Roman" w:hAnsi="Symbo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1474500E"/>
    <w:multiLevelType w:val="hybridMultilevel"/>
    <w:tmpl w:val="D0FC01B4"/>
    <w:lvl w:ilvl="0" w:tplc="C2188532">
      <w:start w:val="1"/>
      <w:numFmt w:val="bullet"/>
      <w:lvlText w:val=""/>
      <w:lvlJc w:val="left"/>
      <w:pPr>
        <w:ind w:left="1440" w:hanging="360"/>
      </w:pPr>
      <w:rPr>
        <w:rFonts w:ascii="Symbol" w:hAnsi="Symbol"/>
      </w:rPr>
    </w:lvl>
    <w:lvl w:ilvl="1" w:tplc="3170FF58">
      <w:start w:val="1"/>
      <w:numFmt w:val="bullet"/>
      <w:lvlText w:val=""/>
      <w:lvlJc w:val="left"/>
      <w:pPr>
        <w:ind w:left="1440" w:hanging="360"/>
      </w:pPr>
      <w:rPr>
        <w:rFonts w:ascii="Symbol" w:hAnsi="Symbol"/>
      </w:rPr>
    </w:lvl>
    <w:lvl w:ilvl="2" w:tplc="899A8260">
      <w:start w:val="1"/>
      <w:numFmt w:val="bullet"/>
      <w:lvlText w:val=""/>
      <w:lvlJc w:val="left"/>
      <w:pPr>
        <w:ind w:left="1440" w:hanging="360"/>
      </w:pPr>
      <w:rPr>
        <w:rFonts w:ascii="Symbol" w:hAnsi="Symbol"/>
      </w:rPr>
    </w:lvl>
    <w:lvl w:ilvl="3" w:tplc="08341116">
      <w:start w:val="1"/>
      <w:numFmt w:val="bullet"/>
      <w:lvlText w:val=""/>
      <w:lvlJc w:val="left"/>
      <w:pPr>
        <w:ind w:left="1440" w:hanging="360"/>
      </w:pPr>
      <w:rPr>
        <w:rFonts w:ascii="Symbol" w:hAnsi="Symbol"/>
      </w:rPr>
    </w:lvl>
    <w:lvl w:ilvl="4" w:tplc="CC3A5B5A">
      <w:start w:val="1"/>
      <w:numFmt w:val="bullet"/>
      <w:lvlText w:val=""/>
      <w:lvlJc w:val="left"/>
      <w:pPr>
        <w:ind w:left="1440" w:hanging="360"/>
      </w:pPr>
      <w:rPr>
        <w:rFonts w:ascii="Symbol" w:hAnsi="Symbol"/>
      </w:rPr>
    </w:lvl>
    <w:lvl w:ilvl="5" w:tplc="0FDE0492">
      <w:start w:val="1"/>
      <w:numFmt w:val="bullet"/>
      <w:lvlText w:val=""/>
      <w:lvlJc w:val="left"/>
      <w:pPr>
        <w:ind w:left="1440" w:hanging="360"/>
      </w:pPr>
      <w:rPr>
        <w:rFonts w:ascii="Symbol" w:hAnsi="Symbol"/>
      </w:rPr>
    </w:lvl>
    <w:lvl w:ilvl="6" w:tplc="B96ABC0A">
      <w:start w:val="1"/>
      <w:numFmt w:val="bullet"/>
      <w:lvlText w:val=""/>
      <w:lvlJc w:val="left"/>
      <w:pPr>
        <w:ind w:left="1440" w:hanging="360"/>
      </w:pPr>
      <w:rPr>
        <w:rFonts w:ascii="Symbol" w:hAnsi="Symbol"/>
      </w:rPr>
    </w:lvl>
    <w:lvl w:ilvl="7" w:tplc="5C84B436">
      <w:start w:val="1"/>
      <w:numFmt w:val="bullet"/>
      <w:lvlText w:val=""/>
      <w:lvlJc w:val="left"/>
      <w:pPr>
        <w:ind w:left="1440" w:hanging="360"/>
      </w:pPr>
      <w:rPr>
        <w:rFonts w:ascii="Symbol" w:hAnsi="Symbol"/>
      </w:rPr>
    </w:lvl>
    <w:lvl w:ilvl="8" w:tplc="1B84DD30">
      <w:start w:val="1"/>
      <w:numFmt w:val="bullet"/>
      <w:lvlText w:val=""/>
      <w:lvlJc w:val="left"/>
      <w:pPr>
        <w:ind w:left="1440" w:hanging="360"/>
      </w:pPr>
      <w:rPr>
        <w:rFonts w:ascii="Symbol" w:hAnsi="Symbol"/>
      </w:rPr>
    </w:lvl>
  </w:abstractNum>
  <w:abstractNum w:abstractNumId="9" w15:restartNumberingAfterBreak="0">
    <w:nsid w:val="14983D24"/>
    <w:multiLevelType w:val="hybridMultilevel"/>
    <w:tmpl w:val="AB92B4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5E814D8"/>
    <w:multiLevelType w:val="hybridMultilevel"/>
    <w:tmpl w:val="CFC41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8145FC"/>
    <w:multiLevelType w:val="hybridMultilevel"/>
    <w:tmpl w:val="3906F808"/>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2" w15:restartNumberingAfterBreak="0">
    <w:nsid w:val="1A6C637C"/>
    <w:multiLevelType w:val="hybridMultilevel"/>
    <w:tmpl w:val="CFB6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400E98"/>
    <w:multiLevelType w:val="hybridMultilevel"/>
    <w:tmpl w:val="967ECD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885765"/>
    <w:multiLevelType w:val="hybridMultilevel"/>
    <w:tmpl w:val="F91642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FC86CB0"/>
    <w:multiLevelType w:val="hybridMultilevel"/>
    <w:tmpl w:val="A9F49F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2AB443B"/>
    <w:multiLevelType w:val="hybridMultilevel"/>
    <w:tmpl w:val="1DC806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3F22772"/>
    <w:multiLevelType w:val="hybridMultilevel"/>
    <w:tmpl w:val="D1C299B4"/>
    <w:lvl w:ilvl="0" w:tplc="3AD43128">
      <w:start w:val="1"/>
      <w:numFmt w:val="bullet"/>
      <w:lvlText w:val=""/>
      <w:lvlJc w:val="left"/>
      <w:pPr>
        <w:ind w:left="1440" w:hanging="360"/>
      </w:pPr>
      <w:rPr>
        <w:rFonts w:ascii="Symbol" w:hAnsi="Symbol"/>
      </w:rPr>
    </w:lvl>
    <w:lvl w:ilvl="1" w:tplc="59EE9450">
      <w:start w:val="1"/>
      <w:numFmt w:val="bullet"/>
      <w:lvlText w:val=""/>
      <w:lvlJc w:val="left"/>
      <w:pPr>
        <w:ind w:left="1440" w:hanging="360"/>
      </w:pPr>
      <w:rPr>
        <w:rFonts w:ascii="Symbol" w:hAnsi="Symbol"/>
      </w:rPr>
    </w:lvl>
    <w:lvl w:ilvl="2" w:tplc="465C873A">
      <w:start w:val="1"/>
      <w:numFmt w:val="bullet"/>
      <w:lvlText w:val=""/>
      <w:lvlJc w:val="left"/>
      <w:pPr>
        <w:ind w:left="1440" w:hanging="360"/>
      </w:pPr>
      <w:rPr>
        <w:rFonts w:ascii="Symbol" w:hAnsi="Symbol"/>
      </w:rPr>
    </w:lvl>
    <w:lvl w:ilvl="3" w:tplc="4818590A">
      <w:start w:val="1"/>
      <w:numFmt w:val="bullet"/>
      <w:lvlText w:val=""/>
      <w:lvlJc w:val="left"/>
      <w:pPr>
        <w:ind w:left="1440" w:hanging="360"/>
      </w:pPr>
      <w:rPr>
        <w:rFonts w:ascii="Symbol" w:hAnsi="Symbol"/>
      </w:rPr>
    </w:lvl>
    <w:lvl w:ilvl="4" w:tplc="637AD77C">
      <w:start w:val="1"/>
      <w:numFmt w:val="bullet"/>
      <w:lvlText w:val=""/>
      <w:lvlJc w:val="left"/>
      <w:pPr>
        <w:ind w:left="1440" w:hanging="360"/>
      </w:pPr>
      <w:rPr>
        <w:rFonts w:ascii="Symbol" w:hAnsi="Symbol"/>
      </w:rPr>
    </w:lvl>
    <w:lvl w:ilvl="5" w:tplc="723ABC12">
      <w:start w:val="1"/>
      <w:numFmt w:val="bullet"/>
      <w:lvlText w:val=""/>
      <w:lvlJc w:val="left"/>
      <w:pPr>
        <w:ind w:left="1440" w:hanging="360"/>
      </w:pPr>
      <w:rPr>
        <w:rFonts w:ascii="Symbol" w:hAnsi="Symbol"/>
      </w:rPr>
    </w:lvl>
    <w:lvl w:ilvl="6" w:tplc="76CCD2C0">
      <w:start w:val="1"/>
      <w:numFmt w:val="bullet"/>
      <w:lvlText w:val=""/>
      <w:lvlJc w:val="left"/>
      <w:pPr>
        <w:ind w:left="1440" w:hanging="360"/>
      </w:pPr>
      <w:rPr>
        <w:rFonts w:ascii="Symbol" w:hAnsi="Symbol"/>
      </w:rPr>
    </w:lvl>
    <w:lvl w:ilvl="7" w:tplc="CCAC9984">
      <w:start w:val="1"/>
      <w:numFmt w:val="bullet"/>
      <w:lvlText w:val=""/>
      <w:lvlJc w:val="left"/>
      <w:pPr>
        <w:ind w:left="1440" w:hanging="360"/>
      </w:pPr>
      <w:rPr>
        <w:rFonts w:ascii="Symbol" w:hAnsi="Symbol"/>
      </w:rPr>
    </w:lvl>
    <w:lvl w:ilvl="8" w:tplc="D334338A">
      <w:start w:val="1"/>
      <w:numFmt w:val="bullet"/>
      <w:lvlText w:val=""/>
      <w:lvlJc w:val="left"/>
      <w:pPr>
        <w:ind w:left="1440" w:hanging="360"/>
      </w:pPr>
      <w:rPr>
        <w:rFonts w:ascii="Symbol" w:hAnsi="Symbol"/>
      </w:rPr>
    </w:lvl>
  </w:abstractNum>
  <w:abstractNum w:abstractNumId="18" w15:restartNumberingAfterBreak="0">
    <w:nsid w:val="27FE020C"/>
    <w:multiLevelType w:val="hybridMultilevel"/>
    <w:tmpl w:val="A1BC11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F051306"/>
    <w:multiLevelType w:val="hybridMultilevel"/>
    <w:tmpl w:val="181687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F406190"/>
    <w:multiLevelType w:val="hybridMultilevel"/>
    <w:tmpl w:val="2A32490A"/>
    <w:lvl w:ilvl="0" w:tplc="8CF079EC">
      <w:start w:val="1"/>
      <w:numFmt w:val="bullet"/>
      <w:lvlText w:val=""/>
      <w:lvlJc w:val="left"/>
      <w:pPr>
        <w:ind w:left="1440" w:hanging="360"/>
      </w:pPr>
      <w:rPr>
        <w:rFonts w:ascii="Symbol" w:hAnsi="Symbol"/>
      </w:rPr>
    </w:lvl>
    <w:lvl w:ilvl="1" w:tplc="CE5C5BBA">
      <w:start w:val="1"/>
      <w:numFmt w:val="bullet"/>
      <w:lvlText w:val=""/>
      <w:lvlJc w:val="left"/>
      <w:pPr>
        <w:ind w:left="1440" w:hanging="360"/>
      </w:pPr>
      <w:rPr>
        <w:rFonts w:ascii="Symbol" w:hAnsi="Symbol"/>
      </w:rPr>
    </w:lvl>
    <w:lvl w:ilvl="2" w:tplc="48149A42">
      <w:start w:val="1"/>
      <w:numFmt w:val="bullet"/>
      <w:lvlText w:val=""/>
      <w:lvlJc w:val="left"/>
      <w:pPr>
        <w:ind w:left="1440" w:hanging="360"/>
      </w:pPr>
      <w:rPr>
        <w:rFonts w:ascii="Symbol" w:hAnsi="Symbol"/>
      </w:rPr>
    </w:lvl>
    <w:lvl w:ilvl="3" w:tplc="6E728410">
      <w:start w:val="1"/>
      <w:numFmt w:val="bullet"/>
      <w:lvlText w:val=""/>
      <w:lvlJc w:val="left"/>
      <w:pPr>
        <w:ind w:left="1440" w:hanging="360"/>
      </w:pPr>
      <w:rPr>
        <w:rFonts w:ascii="Symbol" w:hAnsi="Symbol"/>
      </w:rPr>
    </w:lvl>
    <w:lvl w:ilvl="4" w:tplc="E4F897A4">
      <w:start w:val="1"/>
      <w:numFmt w:val="bullet"/>
      <w:lvlText w:val=""/>
      <w:lvlJc w:val="left"/>
      <w:pPr>
        <w:ind w:left="1440" w:hanging="360"/>
      </w:pPr>
      <w:rPr>
        <w:rFonts w:ascii="Symbol" w:hAnsi="Symbol"/>
      </w:rPr>
    </w:lvl>
    <w:lvl w:ilvl="5" w:tplc="01DE0D3C">
      <w:start w:val="1"/>
      <w:numFmt w:val="bullet"/>
      <w:lvlText w:val=""/>
      <w:lvlJc w:val="left"/>
      <w:pPr>
        <w:ind w:left="1440" w:hanging="360"/>
      </w:pPr>
      <w:rPr>
        <w:rFonts w:ascii="Symbol" w:hAnsi="Symbol"/>
      </w:rPr>
    </w:lvl>
    <w:lvl w:ilvl="6" w:tplc="FF1EB14C">
      <w:start w:val="1"/>
      <w:numFmt w:val="bullet"/>
      <w:lvlText w:val=""/>
      <w:lvlJc w:val="left"/>
      <w:pPr>
        <w:ind w:left="1440" w:hanging="360"/>
      </w:pPr>
      <w:rPr>
        <w:rFonts w:ascii="Symbol" w:hAnsi="Symbol"/>
      </w:rPr>
    </w:lvl>
    <w:lvl w:ilvl="7" w:tplc="2A0EDC50">
      <w:start w:val="1"/>
      <w:numFmt w:val="bullet"/>
      <w:lvlText w:val=""/>
      <w:lvlJc w:val="left"/>
      <w:pPr>
        <w:ind w:left="1440" w:hanging="360"/>
      </w:pPr>
      <w:rPr>
        <w:rFonts w:ascii="Symbol" w:hAnsi="Symbol"/>
      </w:rPr>
    </w:lvl>
    <w:lvl w:ilvl="8" w:tplc="73065102">
      <w:start w:val="1"/>
      <w:numFmt w:val="bullet"/>
      <w:lvlText w:val=""/>
      <w:lvlJc w:val="left"/>
      <w:pPr>
        <w:ind w:left="1440" w:hanging="360"/>
      </w:pPr>
      <w:rPr>
        <w:rFonts w:ascii="Symbol" w:hAnsi="Symbol"/>
      </w:rPr>
    </w:lvl>
  </w:abstractNum>
  <w:abstractNum w:abstractNumId="21" w15:restartNumberingAfterBreak="0">
    <w:nsid w:val="334052AA"/>
    <w:multiLevelType w:val="multilevel"/>
    <w:tmpl w:val="13586ED8"/>
    <w:styleLink w:val="CurrentList1"/>
    <w:lvl w:ilvl="0">
      <w:start w:val="1"/>
      <w:numFmt w:val="bullet"/>
      <w:lvlText w:val=""/>
      <w:lvlJc w:val="left"/>
      <w:pPr>
        <w:ind w:left="644" w:hanging="284"/>
      </w:pPr>
      <w:rPr>
        <w:rFonts w:ascii="Symbol" w:hAnsi="Symbol" w:hint="default"/>
        <w:color w:val="auto"/>
      </w:rPr>
    </w:lvl>
    <w:lvl w:ilvl="1">
      <w:start w:val="1"/>
      <w:numFmt w:val="bullet"/>
      <w:lvlText w:val="■"/>
      <w:lvlJc w:val="left"/>
      <w:pPr>
        <w:ind w:left="1080" w:hanging="360"/>
      </w:pPr>
      <w:rPr>
        <w:rFonts w:ascii="Arial" w:hAnsi="Arial" w:hint="default"/>
        <w:color w:val="auto"/>
      </w:rPr>
    </w:lvl>
    <w:lvl w:ilvl="2">
      <w:start w:val="1"/>
      <w:numFmt w:val="bullet"/>
      <w:lvlText w:val="▬"/>
      <w:lvlJc w:val="left"/>
      <w:pPr>
        <w:ind w:left="1440" w:hanging="360"/>
      </w:pPr>
      <w:rPr>
        <w:rFonts w:ascii="Arial" w:hAnsi="Aria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4486764"/>
    <w:multiLevelType w:val="hybridMultilevel"/>
    <w:tmpl w:val="CDCCB696"/>
    <w:lvl w:ilvl="0" w:tplc="20E659C2">
      <w:start w:val="7"/>
      <w:numFmt w:val="bullet"/>
      <w:pStyle w:val="List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951C9"/>
    <w:multiLevelType w:val="hybridMultilevel"/>
    <w:tmpl w:val="BB08CDAC"/>
    <w:lvl w:ilvl="0" w:tplc="E2602238">
      <w:start w:val="1"/>
      <w:numFmt w:val="bullet"/>
      <w:lvlText w:val=""/>
      <w:lvlJc w:val="left"/>
      <w:pPr>
        <w:ind w:left="1440" w:hanging="360"/>
      </w:pPr>
      <w:rPr>
        <w:rFonts w:ascii="Symbol" w:hAnsi="Symbol"/>
      </w:rPr>
    </w:lvl>
    <w:lvl w:ilvl="1" w:tplc="2E06283E">
      <w:start w:val="1"/>
      <w:numFmt w:val="bullet"/>
      <w:lvlText w:val=""/>
      <w:lvlJc w:val="left"/>
      <w:pPr>
        <w:ind w:left="1440" w:hanging="360"/>
      </w:pPr>
      <w:rPr>
        <w:rFonts w:ascii="Symbol" w:hAnsi="Symbol"/>
      </w:rPr>
    </w:lvl>
    <w:lvl w:ilvl="2" w:tplc="49580A2E">
      <w:start w:val="1"/>
      <w:numFmt w:val="bullet"/>
      <w:lvlText w:val=""/>
      <w:lvlJc w:val="left"/>
      <w:pPr>
        <w:ind w:left="1440" w:hanging="360"/>
      </w:pPr>
      <w:rPr>
        <w:rFonts w:ascii="Symbol" w:hAnsi="Symbol"/>
      </w:rPr>
    </w:lvl>
    <w:lvl w:ilvl="3" w:tplc="D15A0850">
      <w:start w:val="1"/>
      <w:numFmt w:val="bullet"/>
      <w:lvlText w:val=""/>
      <w:lvlJc w:val="left"/>
      <w:pPr>
        <w:ind w:left="1440" w:hanging="360"/>
      </w:pPr>
      <w:rPr>
        <w:rFonts w:ascii="Symbol" w:hAnsi="Symbol"/>
      </w:rPr>
    </w:lvl>
    <w:lvl w:ilvl="4" w:tplc="5DE8F306">
      <w:start w:val="1"/>
      <w:numFmt w:val="bullet"/>
      <w:lvlText w:val=""/>
      <w:lvlJc w:val="left"/>
      <w:pPr>
        <w:ind w:left="1440" w:hanging="360"/>
      </w:pPr>
      <w:rPr>
        <w:rFonts w:ascii="Symbol" w:hAnsi="Symbol"/>
      </w:rPr>
    </w:lvl>
    <w:lvl w:ilvl="5" w:tplc="CBD8DB0E">
      <w:start w:val="1"/>
      <w:numFmt w:val="bullet"/>
      <w:lvlText w:val=""/>
      <w:lvlJc w:val="left"/>
      <w:pPr>
        <w:ind w:left="1440" w:hanging="360"/>
      </w:pPr>
      <w:rPr>
        <w:rFonts w:ascii="Symbol" w:hAnsi="Symbol"/>
      </w:rPr>
    </w:lvl>
    <w:lvl w:ilvl="6" w:tplc="58786ED6">
      <w:start w:val="1"/>
      <w:numFmt w:val="bullet"/>
      <w:lvlText w:val=""/>
      <w:lvlJc w:val="left"/>
      <w:pPr>
        <w:ind w:left="1440" w:hanging="360"/>
      </w:pPr>
      <w:rPr>
        <w:rFonts w:ascii="Symbol" w:hAnsi="Symbol"/>
      </w:rPr>
    </w:lvl>
    <w:lvl w:ilvl="7" w:tplc="6FFE06C8">
      <w:start w:val="1"/>
      <w:numFmt w:val="bullet"/>
      <w:lvlText w:val=""/>
      <w:lvlJc w:val="left"/>
      <w:pPr>
        <w:ind w:left="1440" w:hanging="360"/>
      </w:pPr>
      <w:rPr>
        <w:rFonts w:ascii="Symbol" w:hAnsi="Symbol"/>
      </w:rPr>
    </w:lvl>
    <w:lvl w:ilvl="8" w:tplc="8BC23820">
      <w:start w:val="1"/>
      <w:numFmt w:val="bullet"/>
      <w:lvlText w:val=""/>
      <w:lvlJc w:val="left"/>
      <w:pPr>
        <w:ind w:left="1440" w:hanging="360"/>
      </w:pPr>
      <w:rPr>
        <w:rFonts w:ascii="Symbol" w:hAnsi="Symbol"/>
      </w:rPr>
    </w:lvl>
  </w:abstractNum>
  <w:abstractNum w:abstractNumId="24" w15:restartNumberingAfterBreak="0">
    <w:nsid w:val="34CD50FD"/>
    <w:multiLevelType w:val="hybridMultilevel"/>
    <w:tmpl w:val="2EC6E5F4"/>
    <w:lvl w:ilvl="0" w:tplc="0C090001">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386665CF"/>
    <w:multiLevelType w:val="hybridMultilevel"/>
    <w:tmpl w:val="105266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8F42A9A"/>
    <w:multiLevelType w:val="hybridMultilevel"/>
    <w:tmpl w:val="3D4A9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9EC5CD7"/>
    <w:multiLevelType w:val="hybridMultilevel"/>
    <w:tmpl w:val="DEE824BE"/>
    <w:lvl w:ilvl="0" w:tplc="D0E099E6">
      <w:start w:val="1"/>
      <w:numFmt w:val="bullet"/>
      <w:lvlText w:val=""/>
      <w:lvlJc w:val="left"/>
      <w:pPr>
        <w:ind w:left="1440" w:hanging="360"/>
      </w:pPr>
      <w:rPr>
        <w:rFonts w:ascii="Symbol" w:hAnsi="Symbol"/>
      </w:rPr>
    </w:lvl>
    <w:lvl w:ilvl="1" w:tplc="8528C546">
      <w:start w:val="1"/>
      <w:numFmt w:val="bullet"/>
      <w:lvlText w:val=""/>
      <w:lvlJc w:val="left"/>
      <w:pPr>
        <w:ind w:left="1440" w:hanging="360"/>
      </w:pPr>
      <w:rPr>
        <w:rFonts w:ascii="Symbol" w:hAnsi="Symbol"/>
      </w:rPr>
    </w:lvl>
    <w:lvl w:ilvl="2" w:tplc="CB786358">
      <w:start w:val="1"/>
      <w:numFmt w:val="bullet"/>
      <w:lvlText w:val=""/>
      <w:lvlJc w:val="left"/>
      <w:pPr>
        <w:ind w:left="1440" w:hanging="360"/>
      </w:pPr>
      <w:rPr>
        <w:rFonts w:ascii="Symbol" w:hAnsi="Symbol"/>
      </w:rPr>
    </w:lvl>
    <w:lvl w:ilvl="3" w:tplc="8E5E3A4A">
      <w:start w:val="1"/>
      <w:numFmt w:val="bullet"/>
      <w:lvlText w:val=""/>
      <w:lvlJc w:val="left"/>
      <w:pPr>
        <w:ind w:left="1440" w:hanging="360"/>
      </w:pPr>
      <w:rPr>
        <w:rFonts w:ascii="Symbol" w:hAnsi="Symbol"/>
      </w:rPr>
    </w:lvl>
    <w:lvl w:ilvl="4" w:tplc="79FAF952">
      <w:start w:val="1"/>
      <w:numFmt w:val="bullet"/>
      <w:lvlText w:val=""/>
      <w:lvlJc w:val="left"/>
      <w:pPr>
        <w:ind w:left="1440" w:hanging="360"/>
      </w:pPr>
      <w:rPr>
        <w:rFonts w:ascii="Symbol" w:hAnsi="Symbol"/>
      </w:rPr>
    </w:lvl>
    <w:lvl w:ilvl="5" w:tplc="818083F8">
      <w:start w:val="1"/>
      <w:numFmt w:val="bullet"/>
      <w:lvlText w:val=""/>
      <w:lvlJc w:val="left"/>
      <w:pPr>
        <w:ind w:left="1440" w:hanging="360"/>
      </w:pPr>
      <w:rPr>
        <w:rFonts w:ascii="Symbol" w:hAnsi="Symbol"/>
      </w:rPr>
    </w:lvl>
    <w:lvl w:ilvl="6" w:tplc="3CBC5252">
      <w:start w:val="1"/>
      <w:numFmt w:val="bullet"/>
      <w:lvlText w:val=""/>
      <w:lvlJc w:val="left"/>
      <w:pPr>
        <w:ind w:left="1440" w:hanging="360"/>
      </w:pPr>
      <w:rPr>
        <w:rFonts w:ascii="Symbol" w:hAnsi="Symbol"/>
      </w:rPr>
    </w:lvl>
    <w:lvl w:ilvl="7" w:tplc="9DECF0EA">
      <w:start w:val="1"/>
      <w:numFmt w:val="bullet"/>
      <w:lvlText w:val=""/>
      <w:lvlJc w:val="left"/>
      <w:pPr>
        <w:ind w:left="1440" w:hanging="360"/>
      </w:pPr>
      <w:rPr>
        <w:rFonts w:ascii="Symbol" w:hAnsi="Symbol"/>
      </w:rPr>
    </w:lvl>
    <w:lvl w:ilvl="8" w:tplc="C6F4FA2C">
      <w:start w:val="1"/>
      <w:numFmt w:val="bullet"/>
      <w:lvlText w:val=""/>
      <w:lvlJc w:val="left"/>
      <w:pPr>
        <w:ind w:left="1440" w:hanging="360"/>
      </w:pPr>
      <w:rPr>
        <w:rFonts w:ascii="Symbol" w:hAnsi="Symbol"/>
      </w:rPr>
    </w:lvl>
  </w:abstractNum>
  <w:abstractNum w:abstractNumId="28" w15:restartNumberingAfterBreak="0">
    <w:nsid w:val="3B9221F5"/>
    <w:multiLevelType w:val="hybridMultilevel"/>
    <w:tmpl w:val="DE8E8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E5219CD"/>
    <w:multiLevelType w:val="multilevel"/>
    <w:tmpl w:val="7056369A"/>
    <w:lvl w:ilvl="0">
      <w:start w:val="1"/>
      <w:numFmt w:val="bullet"/>
      <w:pStyle w:val="Tablelistbullet"/>
      <w:lvlText w:val="∙"/>
      <w:lvlJc w:val="left"/>
      <w:pPr>
        <w:tabs>
          <w:tab w:val="num" w:pos="360"/>
        </w:tabs>
        <w:ind w:left="360" w:hanging="360"/>
      </w:pPr>
      <w:rPr>
        <w:rFonts w:ascii="Calibri" w:hAnsi="Calibri" w:hint="default"/>
      </w:rPr>
    </w:lvl>
    <w:lvl w:ilvl="1">
      <w:start w:val="1"/>
      <w:numFmt w:val="lowerLetter"/>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40036655"/>
    <w:multiLevelType w:val="hybridMultilevel"/>
    <w:tmpl w:val="38F8D0B0"/>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40FA74AD"/>
    <w:multiLevelType w:val="hybridMultilevel"/>
    <w:tmpl w:val="B448A0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5307B8A"/>
    <w:multiLevelType w:val="hybridMultilevel"/>
    <w:tmpl w:val="53A09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BF6CEB"/>
    <w:multiLevelType w:val="hybridMultilevel"/>
    <w:tmpl w:val="55B46CC6"/>
    <w:lvl w:ilvl="0" w:tplc="6556FF00">
      <w:start w:val="1"/>
      <w:numFmt w:val="decimal"/>
      <w:pStyle w:val="TABLENumber"/>
      <w:suff w:val="space"/>
      <w:lvlText w:val="%1. "/>
      <w:lvlJc w:val="left"/>
      <w:pPr>
        <w:ind w:left="170" w:hanging="170"/>
      </w:pPr>
      <w:rPr>
        <w:rFonts w:ascii="Arial" w:hAnsi="Arial" w:cs="Times New Roman" w:hint="default"/>
      </w:rPr>
    </w:lvl>
    <w:lvl w:ilvl="1" w:tplc="B770D50E" w:tentative="1">
      <w:start w:val="1"/>
      <w:numFmt w:val="lowerLetter"/>
      <w:lvlText w:val="%2."/>
      <w:lvlJc w:val="left"/>
      <w:pPr>
        <w:ind w:left="1080" w:hanging="360"/>
      </w:pPr>
      <w:rPr>
        <w:rFonts w:cs="Times New Roman"/>
      </w:rPr>
    </w:lvl>
    <w:lvl w:ilvl="2" w:tplc="D1AC3FE6" w:tentative="1">
      <w:start w:val="1"/>
      <w:numFmt w:val="lowerRoman"/>
      <w:lvlText w:val="%3."/>
      <w:lvlJc w:val="right"/>
      <w:pPr>
        <w:ind w:left="1800" w:hanging="180"/>
      </w:pPr>
      <w:rPr>
        <w:rFonts w:cs="Times New Roman"/>
      </w:rPr>
    </w:lvl>
    <w:lvl w:ilvl="3" w:tplc="2E722BD4" w:tentative="1">
      <w:start w:val="1"/>
      <w:numFmt w:val="decimal"/>
      <w:lvlText w:val="%4."/>
      <w:lvlJc w:val="left"/>
      <w:pPr>
        <w:ind w:left="2520" w:hanging="360"/>
      </w:pPr>
      <w:rPr>
        <w:rFonts w:cs="Times New Roman"/>
      </w:rPr>
    </w:lvl>
    <w:lvl w:ilvl="4" w:tplc="CDB2B8BC" w:tentative="1">
      <w:start w:val="1"/>
      <w:numFmt w:val="lowerLetter"/>
      <w:lvlText w:val="%5."/>
      <w:lvlJc w:val="left"/>
      <w:pPr>
        <w:ind w:left="3240" w:hanging="360"/>
      </w:pPr>
      <w:rPr>
        <w:rFonts w:cs="Times New Roman"/>
      </w:rPr>
    </w:lvl>
    <w:lvl w:ilvl="5" w:tplc="7D8CFA76" w:tentative="1">
      <w:start w:val="1"/>
      <w:numFmt w:val="lowerRoman"/>
      <w:lvlText w:val="%6."/>
      <w:lvlJc w:val="right"/>
      <w:pPr>
        <w:ind w:left="3960" w:hanging="180"/>
      </w:pPr>
      <w:rPr>
        <w:rFonts w:cs="Times New Roman"/>
      </w:rPr>
    </w:lvl>
    <w:lvl w:ilvl="6" w:tplc="349224D0" w:tentative="1">
      <w:start w:val="1"/>
      <w:numFmt w:val="decimal"/>
      <w:lvlText w:val="%7."/>
      <w:lvlJc w:val="left"/>
      <w:pPr>
        <w:ind w:left="4680" w:hanging="360"/>
      </w:pPr>
      <w:rPr>
        <w:rFonts w:cs="Times New Roman"/>
      </w:rPr>
    </w:lvl>
    <w:lvl w:ilvl="7" w:tplc="AD2E393C" w:tentative="1">
      <w:start w:val="1"/>
      <w:numFmt w:val="lowerLetter"/>
      <w:lvlText w:val="%8."/>
      <w:lvlJc w:val="left"/>
      <w:pPr>
        <w:ind w:left="5400" w:hanging="360"/>
      </w:pPr>
      <w:rPr>
        <w:rFonts w:cs="Times New Roman"/>
      </w:rPr>
    </w:lvl>
    <w:lvl w:ilvl="8" w:tplc="22B27F60" w:tentative="1">
      <w:start w:val="1"/>
      <w:numFmt w:val="lowerRoman"/>
      <w:lvlText w:val="%9."/>
      <w:lvlJc w:val="right"/>
      <w:pPr>
        <w:ind w:left="6120" w:hanging="180"/>
      </w:pPr>
      <w:rPr>
        <w:rFonts w:cs="Times New Roman"/>
      </w:rPr>
    </w:lvl>
  </w:abstractNum>
  <w:abstractNum w:abstractNumId="34" w15:restartNumberingAfterBreak="0">
    <w:nsid w:val="49FD28D2"/>
    <w:multiLevelType w:val="hybridMultilevel"/>
    <w:tmpl w:val="88047AD2"/>
    <w:lvl w:ilvl="0" w:tplc="8B34F5E8">
      <w:start w:val="1"/>
      <w:numFmt w:val="decimal"/>
      <w:lvlText w:val="%1."/>
      <w:lvlJc w:val="left"/>
      <w:pPr>
        <w:ind w:left="360" w:hanging="360"/>
      </w:pPr>
      <w:rPr>
        <w:rFonts w:ascii="Aptos" w:eastAsia="Times New Roman" w:hAnsi="Aptos" w:cs="Times New Roman" w:hint="default"/>
        <w:b/>
        <w:color w:val="1E1545" w:themeColor="text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4EAB4B34"/>
    <w:multiLevelType w:val="multilevel"/>
    <w:tmpl w:val="AB66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E0409D"/>
    <w:multiLevelType w:val="hybridMultilevel"/>
    <w:tmpl w:val="B9020172"/>
    <w:lvl w:ilvl="0" w:tplc="0C090001">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74078E7"/>
    <w:multiLevelType w:val="hybridMultilevel"/>
    <w:tmpl w:val="05CE0766"/>
    <w:lvl w:ilvl="0" w:tplc="C4020892">
      <w:start w:val="1"/>
      <w:numFmt w:val="bullet"/>
      <w:pStyle w:val="TABLEbulletpoint"/>
      <w:lvlText w:val=""/>
      <w:lvlJc w:val="left"/>
      <w:pPr>
        <w:ind w:left="170" w:hanging="17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5B4C3D9C"/>
    <w:multiLevelType w:val="hybridMultilevel"/>
    <w:tmpl w:val="B5761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8A7BFB"/>
    <w:multiLevelType w:val="hybridMultilevel"/>
    <w:tmpl w:val="5D002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D541D49"/>
    <w:multiLevelType w:val="hybridMultilevel"/>
    <w:tmpl w:val="6916E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9B4725"/>
    <w:multiLevelType w:val="multilevel"/>
    <w:tmpl w:val="116E1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2447D5"/>
    <w:multiLevelType w:val="hybridMultilevel"/>
    <w:tmpl w:val="E46C8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E7322B8"/>
    <w:multiLevelType w:val="hybridMultilevel"/>
    <w:tmpl w:val="AB72D95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0A4872"/>
    <w:multiLevelType w:val="hybridMultilevel"/>
    <w:tmpl w:val="01440D72"/>
    <w:lvl w:ilvl="0" w:tplc="1B42FBD2">
      <w:start w:val="1"/>
      <w:numFmt w:val="bullet"/>
      <w:lvlText w:val=""/>
      <w:lvlJc w:val="left"/>
      <w:pPr>
        <w:ind w:left="1440" w:hanging="360"/>
      </w:pPr>
      <w:rPr>
        <w:rFonts w:ascii="Symbol" w:hAnsi="Symbol"/>
      </w:rPr>
    </w:lvl>
    <w:lvl w:ilvl="1" w:tplc="4602402A">
      <w:start w:val="1"/>
      <w:numFmt w:val="bullet"/>
      <w:lvlText w:val=""/>
      <w:lvlJc w:val="left"/>
      <w:pPr>
        <w:ind w:left="1440" w:hanging="360"/>
      </w:pPr>
      <w:rPr>
        <w:rFonts w:ascii="Symbol" w:hAnsi="Symbol"/>
      </w:rPr>
    </w:lvl>
    <w:lvl w:ilvl="2" w:tplc="DB446C86">
      <w:start w:val="1"/>
      <w:numFmt w:val="bullet"/>
      <w:lvlText w:val=""/>
      <w:lvlJc w:val="left"/>
      <w:pPr>
        <w:ind w:left="1440" w:hanging="360"/>
      </w:pPr>
      <w:rPr>
        <w:rFonts w:ascii="Symbol" w:hAnsi="Symbol"/>
      </w:rPr>
    </w:lvl>
    <w:lvl w:ilvl="3" w:tplc="E048B68E">
      <w:start w:val="1"/>
      <w:numFmt w:val="bullet"/>
      <w:lvlText w:val=""/>
      <w:lvlJc w:val="left"/>
      <w:pPr>
        <w:ind w:left="1440" w:hanging="360"/>
      </w:pPr>
      <w:rPr>
        <w:rFonts w:ascii="Symbol" w:hAnsi="Symbol"/>
      </w:rPr>
    </w:lvl>
    <w:lvl w:ilvl="4" w:tplc="E23245BE">
      <w:start w:val="1"/>
      <w:numFmt w:val="bullet"/>
      <w:lvlText w:val=""/>
      <w:lvlJc w:val="left"/>
      <w:pPr>
        <w:ind w:left="1440" w:hanging="360"/>
      </w:pPr>
      <w:rPr>
        <w:rFonts w:ascii="Symbol" w:hAnsi="Symbol"/>
      </w:rPr>
    </w:lvl>
    <w:lvl w:ilvl="5" w:tplc="FED49BC0">
      <w:start w:val="1"/>
      <w:numFmt w:val="bullet"/>
      <w:lvlText w:val=""/>
      <w:lvlJc w:val="left"/>
      <w:pPr>
        <w:ind w:left="1440" w:hanging="360"/>
      </w:pPr>
      <w:rPr>
        <w:rFonts w:ascii="Symbol" w:hAnsi="Symbol"/>
      </w:rPr>
    </w:lvl>
    <w:lvl w:ilvl="6" w:tplc="A9A24856">
      <w:start w:val="1"/>
      <w:numFmt w:val="bullet"/>
      <w:lvlText w:val=""/>
      <w:lvlJc w:val="left"/>
      <w:pPr>
        <w:ind w:left="1440" w:hanging="360"/>
      </w:pPr>
      <w:rPr>
        <w:rFonts w:ascii="Symbol" w:hAnsi="Symbol"/>
      </w:rPr>
    </w:lvl>
    <w:lvl w:ilvl="7" w:tplc="6A58400E">
      <w:start w:val="1"/>
      <w:numFmt w:val="bullet"/>
      <w:lvlText w:val=""/>
      <w:lvlJc w:val="left"/>
      <w:pPr>
        <w:ind w:left="1440" w:hanging="360"/>
      </w:pPr>
      <w:rPr>
        <w:rFonts w:ascii="Symbol" w:hAnsi="Symbol"/>
      </w:rPr>
    </w:lvl>
    <w:lvl w:ilvl="8" w:tplc="AAD08044">
      <w:start w:val="1"/>
      <w:numFmt w:val="bullet"/>
      <w:lvlText w:val=""/>
      <w:lvlJc w:val="left"/>
      <w:pPr>
        <w:ind w:left="1440" w:hanging="360"/>
      </w:pPr>
      <w:rPr>
        <w:rFonts w:ascii="Symbol" w:hAnsi="Symbol"/>
      </w:rPr>
    </w:lvl>
  </w:abstractNum>
  <w:abstractNum w:abstractNumId="45" w15:restartNumberingAfterBreak="0">
    <w:nsid w:val="668A05F1"/>
    <w:multiLevelType w:val="hybridMultilevel"/>
    <w:tmpl w:val="21E6C6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BAC6E6E"/>
    <w:multiLevelType w:val="hybridMultilevel"/>
    <w:tmpl w:val="978EA12E"/>
    <w:lvl w:ilvl="0" w:tplc="CCB60490">
      <w:start w:val="1"/>
      <w:numFmt w:val="bullet"/>
      <w:lvlText w:val=""/>
      <w:lvlJc w:val="left"/>
      <w:pPr>
        <w:ind w:left="1440" w:hanging="360"/>
      </w:pPr>
      <w:rPr>
        <w:rFonts w:ascii="Symbol" w:hAnsi="Symbol"/>
      </w:rPr>
    </w:lvl>
    <w:lvl w:ilvl="1" w:tplc="6B644AD0">
      <w:start w:val="1"/>
      <w:numFmt w:val="bullet"/>
      <w:lvlText w:val=""/>
      <w:lvlJc w:val="left"/>
      <w:pPr>
        <w:ind w:left="1440" w:hanging="360"/>
      </w:pPr>
      <w:rPr>
        <w:rFonts w:ascii="Symbol" w:hAnsi="Symbol"/>
      </w:rPr>
    </w:lvl>
    <w:lvl w:ilvl="2" w:tplc="74E87752">
      <w:start w:val="1"/>
      <w:numFmt w:val="bullet"/>
      <w:lvlText w:val=""/>
      <w:lvlJc w:val="left"/>
      <w:pPr>
        <w:ind w:left="1440" w:hanging="360"/>
      </w:pPr>
      <w:rPr>
        <w:rFonts w:ascii="Symbol" w:hAnsi="Symbol"/>
      </w:rPr>
    </w:lvl>
    <w:lvl w:ilvl="3" w:tplc="00FC077C">
      <w:start w:val="1"/>
      <w:numFmt w:val="bullet"/>
      <w:lvlText w:val=""/>
      <w:lvlJc w:val="left"/>
      <w:pPr>
        <w:ind w:left="1440" w:hanging="360"/>
      </w:pPr>
      <w:rPr>
        <w:rFonts w:ascii="Symbol" w:hAnsi="Symbol"/>
      </w:rPr>
    </w:lvl>
    <w:lvl w:ilvl="4" w:tplc="89AADBC0">
      <w:start w:val="1"/>
      <w:numFmt w:val="bullet"/>
      <w:lvlText w:val=""/>
      <w:lvlJc w:val="left"/>
      <w:pPr>
        <w:ind w:left="1440" w:hanging="360"/>
      </w:pPr>
      <w:rPr>
        <w:rFonts w:ascii="Symbol" w:hAnsi="Symbol"/>
      </w:rPr>
    </w:lvl>
    <w:lvl w:ilvl="5" w:tplc="CE5C34F0">
      <w:start w:val="1"/>
      <w:numFmt w:val="bullet"/>
      <w:lvlText w:val=""/>
      <w:lvlJc w:val="left"/>
      <w:pPr>
        <w:ind w:left="1440" w:hanging="360"/>
      </w:pPr>
      <w:rPr>
        <w:rFonts w:ascii="Symbol" w:hAnsi="Symbol"/>
      </w:rPr>
    </w:lvl>
    <w:lvl w:ilvl="6" w:tplc="55A87D36">
      <w:start w:val="1"/>
      <w:numFmt w:val="bullet"/>
      <w:lvlText w:val=""/>
      <w:lvlJc w:val="left"/>
      <w:pPr>
        <w:ind w:left="1440" w:hanging="360"/>
      </w:pPr>
      <w:rPr>
        <w:rFonts w:ascii="Symbol" w:hAnsi="Symbol"/>
      </w:rPr>
    </w:lvl>
    <w:lvl w:ilvl="7" w:tplc="04E073B2">
      <w:start w:val="1"/>
      <w:numFmt w:val="bullet"/>
      <w:lvlText w:val=""/>
      <w:lvlJc w:val="left"/>
      <w:pPr>
        <w:ind w:left="1440" w:hanging="360"/>
      </w:pPr>
      <w:rPr>
        <w:rFonts w:ascii="Symbol" w:hAnsi="Symbol"/>
      </w:rPr>
    </w:lvl>
    <w:lvl w:ilvl="8" w:tplc="FF609618">
      <w:start w:val="1"/>
      <w:numFmt w:val="bullet"/>
      <w:lvlText w:val=""/>
      <w:lvlJc w:val="left"/>
      <w:pPr>
        <w:ind w:left="1440" w:hanging="360"/>
      </w:pPr>
      <w:rPr>
        <w:rFonts w:ascii="Symbol" w:hAnsi="Symbol"/>
      </w:rPr>
    </w:lvl>
  </w:abstractNum>
  <w:abstractNum w:abstractNumId="47" w15:restartNumberingAfterBreak="0">
    <w:nsid w:val="6CF07009"/>
    <w:multiLevelType w:val="hybridMultilevel"/>
    <w:tmpl w:val="9ACAB8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6CF8287E"/>
    <w:multiLevelType w:val="hybridMultilevel"/>
    <w:tmpl w:val="FE2A36DA"/>
    <w:lvl w:ilvl="0" w:tplc="0C09000F">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9" w15:restartNumberingAfterBreak="0">
    <w:nsid w:val="742627CF"/>
    <w:multiLevelType w:val="hybridMultilevel"/>
    <w:tmpl w:val="C27A7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904C56"/>
    <w:multiLevelType w:val="hybridMultilevel"/>
    <w:tmpl w:val="80C6C456"/>
    <w:lvl w:ilvl="0" w:tplc="D33656B6">
      <w:start w:val="1"/>
      <w:numFmt w:val="bullet"/>
      <w:lvlText w:val=""/>
      <w:lvlJc w:val="left"/>
      <w:pPr>
        <w:ind w:left="1440" w:hanging="360"/>
      </w:pPr>
      <w:rPr>
        <w:rFonts w:ascii="Symbol" w:hAnsi="Symbol"/>
      </w:rPr>
    </w:lvl>
    <w:lvl w:ilvl="1" w:tplc="DEF03360">
      <w:start w:val="1"/>
      <w:numFmt w:val="bullet"/>
      <w:lvlText w:val=""/>
      <w:lvlJc w:val="left"/>
      <w:pPr>
        <w:ind w:left="1440" w:hanging="360"/>
      </w:pPr>
      <w:rPr>
        <w:rFonts w:ascii="Symbol" w:hAnsi="Symbol"/>
      </w:rPr>
    </w:lvl>
    <w:lvl w:ilvl="2" w:tplc="6E7AD0E6">
      <w:start w:val="1"/>
      <w:numFmt w:val="bullet"/>
      <w:lvlText w:val=""/>
      <w:lvlJc w:val="left"/>
      <w:pPr>
        <w:ind w:left="1440" w:hanging="360"/>
      </w:pPr>
      <w:rPr>
        <w:rFonts w:ascii="Symbol" w:hAnsi="Symbol"/>
      </w:rPr>
    </w:lvl>
    <w:lvl w:ilvl="3" w:tplc="9C2247A0">
      <w:start w:val="1"/>
      <w:numFmt w:val="bullet"/>
      <w:lvlText w:val=""/>
      <w:lvlJc w:val="left"/>
      <w:pPr>
        <w:ind w:left="1440" w:hanging="360"/>
      </w:pPr>
      <w:rPr>
        <w:rFonts w:ascii="Symbol" w:hAnsi="Symbol"/>
      </w:rPr>
    </w:lvl>
    <w:lvl w:ilvl="4" w:tplc="2E46B300">
      <w:start w:val="1"/>
      <w:numFmt w:val="bullet"/>
      <w:lvlText w:val=""/>
      <w:lvlJc w:val="left"/>
      <w:pPr>
        <w:ind w:left="1440" w:hanging="360"/>
      </w:pPr>
      <w:rPr>
        <w:rFonts w:ascii="Symbol" w:hAnsi="Symbol"/>
      </w:rPr>
    </w:lvl>
    <w:lvl w:ilvl="5" w:tplc="A1581A86">
      <w:start w:val="1"/>
      <w:numFmt w:val="bullet"/>
      <w:lvlText w:val=""/>
      <w:lvlJc w:val="left"/>
      <w:pPr>
        <w:ind w:left="1440" w:hanging="360"/>
      </w:pPr>
      <w:rPr>
        <w:rFonts w:ascii="Symbol" w:hAnsi="Symbol"/>
      </w:rPr>
    </w:lvl>
    <w:lvl w:ilvl="6" w:tplc="FF7A8ABA">
      <w:start w:val="1"/>
      <w:numFmt w:val="bullet"/>
      <w:lvlText w:val=""/>
      <w:lvlJc w:val="left"/>
      <w:pPr>
        <w:ind w:left="1440" w:hanging="360"/>
      </w:pPr>
      <w:rPr>
        <w:rFonts w:ascii="Symbol" w:hAnsi="Symbol"/>
      </w:rPr>
    </w:lvl>
    <w:lvl w:ilvl="7" w:tplc="7E64682C">
      <w:start w:val="1"/>
      <w:numFmt w:val="bullet"/>
      <w:lvlText w:val=""/>
      <w:lvlJc w:val="left"/>
      <w:pPr>
        <w:ind w:left="1440" w:hanging="360"/>
      </w:pPr>
      <w:rPr>
        <w:rFonts w:ascii="Symbol" w:hAnsi="Symbol"/>
      </w:rPr>
    </w:lvl>
    <w:lvl w:ilvl="8" w:tplc="00AE9092">
      <w:start w:val="1"/>
      <w:numFmt w:val="bullet"/>
      <w:lvlText w:val=""/>
      <w:lvlJc w:val="left"/>
      <w:pPr>
        <w:ind w:left="1440" w:hanging="360"/>
      </w:pPr>
      <w:rPr>
        <w:rFonts w:ascii="Symbol" w:hAnsi="Symbol"/>
      </w:rPr>
    </w:lvl>
  </w:abstractNum>
  <w:abstractNum w:abstractNumId="51" w15:restartNumberingAfterBreak="0">
    <w:nsid w:val="7DC1316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E391716"/>
    <w:multiLevelType w:val="hybridMultilevel"/>
    <w:tmpl w:val="DDBC3032"/>
    <w:lvl w:ilvl="0" w:tplc="0C09000F">
      <w:start w:val="1"/>
      <w:numFmt w:val="bullet"/>
      <w:lvlText w:val="o"/>
      <w:lvlJc w:val="left"/>
      <w:pPr>
        <w:ind w:left="1004" w:hanging="360"/>
      </w:pPr>
      <w:rPr>
        <w:rFonts w:ascii="Courier New" w:hAnsi="Courier New" w:cs="Courier New" w:hint="default"/>
      </w:rPr>
    </w:lvl>
    <w:lvl w:ilvl="1" w:tplc="0C090019" w:tentative="1">
      <w:start w:val="1"/>
      <w:numFmt w:val="bullet"/>
      <w:lvlText w:val="o"/>
      <w:lvlJc w:val="left"/>
      <w:pPr>
        <w:ind w:left="1724" w:hanging="360"/>
      </w:pPr>
      <w:rPr>
        <w:rFonts w:ascii="Courier New" w:hAnsi="Courier New" w:cs="Courier New" w:hint="default"/>
      </w:rPr>
    </w:lvl>
    <w:lvl w:ilvl="2" w:tplc="0C09001B" w:tentative="1">
      <w:start w:val="1"/>
      <w:numFmt w:val="bullet"/>
      <w:lvlText w:val=""/>
      <w:lvlJc w:val="left"/>
      <w:pPr>
        <w:ind w:left="2444" w:hanging="360"/>
      </w:pPr>
      <w:rPr>
        <w:rFonts w:ascii="Wingdings" w:hAnsi="Wingdings" w:hint="default"/>
      </w:rPr>
    </w:lvl>
    <w:lvl w:ilvl="3" w:tplc="0C09000F" w:tentative="1">
      <w:start w:val="1"/>
      <w:numFmt w:val="bullet"/>
      <w:lvlText w:val=""/>
      <w:lvlJc w:val="left"/>
      <w:pPr>
        <w:ind w:left="3164" w:hanging="360"/>
      </w:pPr>
      <w:rPr>
        <w:rFonts w:ascii="Symbol" w:hAnsi="Symbol" w:hint="default"/>
      </w:rPr>
    </w:lvl>
    <w:lvl w:ilvl="4" w:tplc="0C090019" w:tentative="1">
      <w:start w:val="1"/>
      <w:numFmt w:val="bullet"/>
      <w:lvlText w:val="o"/>
      <w:lvlJc w:val="left"/>
      <w:pPr>
        <w:ind w:left="3884" w:hanging="360"/>
      </w:pPr>
      <w:rPr>
        <w:rFonts w:ascii="Courier New" w:hAnsi="Courier New" w:cs="Courier New" w:hint="default"/>
      </w:rPr>
    </w:lvl>
    <w:lvl w:ilvl="5" w:tplc="0C09001B" w:tentative="1">
      <w:start w:val="1"/>
      <w:numFmt w:val="bullet"/>
      <w:lvlText w:val=""/>
      <w:lvlJc w:val="left"/>
      <w:pPr>
        <w:ind w:left="4604" w:hanging="360"/>
      </w:pPr>
      <w:rPr>
        <w:rFonts w:ascii="Wingdings" w:hAnsi="Wingdings" w:hint="default"/>
      </w:rPr>
    </w:lvl>
    <w:lvl w:ilvl="6" w:tplc="0C09000F" w:tentative="1">
      <w:start w:val="1"/>
      <w:numFmt w:val="bullet"/>
      <w:lvlText w:val=""/>
      <w:lvlJc w:val="left"/>
      <w:pPr>
        <w:ind w:left="5324" w:hanging="360"/>
      </w:pPr>
      <w:rPr>
        <w:rFonts w:ascii="Symbol" w:hAnsi="Symbol" w:hint="default"/>
      </w:rPr>
    </w:lvl>
    <w:lvl w:ilvl="7" w:tplc="0C090019" w:tentative="1">
      <w:start w:val="1"/>
      <w:numFmt w:val="bullet"/>
      <w:lvlText w:val="o"/>
      <w:lvlJc w:val="left"/>
      <w:pPr>
        <w:ind w:left="6044" w:hanging="360"/>
      </w:pPr>
      <w:rPr>
        <w:rFonts w:ascii="Courier New" w:hAnsi="Courier New" w:cs="Courier New" w:hint="default"/>
      </w:rPr>
    </w:lvl>
    <w:lvl w:ilvl="8" w:tplc="0C09001B" w:tentative="1">
      <w:start w:val="1"/>
      <w:numFmt w:val="bullet"/>
      <w:lvlText w:val=""/>
      <w:lvlJc w:val="left"/>
      <w:pPr>
        <w:ind w:left="6764" w:hanging="360"/>
      </w:pPr>
      <w:rPr>
        <w:rFonts w:ascii="Wingdings" w:hAnsi="Wingdings" w:hint="default"/>
      </w:rPr>
    </w:lvl>
  </w:abstractNum>
  <w:abstractNum w:abstractNumId="53" w15:restartNumberingAfterBreak="0">
    <w:nsid w:val="7F8848B5"/>
    <w:multiLevelType w:val="hybridMultilevel"/>
    <w:tmpl w:val="EF10D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28571613">
    <w:abstractNumId w:val="24"/>
  </w:num>
  <w:num w:numId="2" w16cid:durableId="1110583271">
    <w:abstractNumId w:val="52"/>
  </w:num>
  <w:num w:numId="3" w16cid:durableId="1955208067">
    <w:abstractNumId w:val="36"/>
  </w:num>
  <w:num w:numId="4" w16cid:durableId="1245342364">
    <w:abstractNumId w:val="48"/>
  </w:num>
  <w:num w:numId="5" w16cid:durableId="1191726581">
    <w:abstractNumId w:val="2"/>
  </w:num>
  <w:num w:numId="6" w16cid:durableId="69696735">
    <w:abstractNumId w:val="33"/>
  </w:num>
  <w:num w:numId="7" w16cid:durableId="500856995">
    <w:abstractNumId w:val="37"/>
  </w:num>
  <w:num w:numId="8" w16cid:durableId="81340307">
    <w:abstractNumId w:val="3"/>
  </w:num>
  <w:num w:numId="9" w16cid:durableId="172378174">
    <w:abstractNumId w:val="21"/>
  </w:num>
  <w:num w:numId="10" w16cid:durableId="662330">
    <w:abstractNumId w:val="29"/>
  </w:num>
  <w:num w:numId="11" w16cid:durableId="2110806585">
    <w:abstractNumId w:val="10"/>
  </w:num>
  <w:num w:numId="12" w16cid:durableId="1983079332">
    <w:abstractNumId w:val="40"/>
  </w:num>
  <w:num w:numId="13" w16cid:durableId="1324969667">
    <w:abstractNumId w:val="41"/>
  </w:num>
  <w:num w:numId="14" w16cid:durableId="1122652730">
    <w:abstractNumId w:val="35"/>
  </w:num>
  <w:num w:numId="15" w16cid:durableId="214241784">
    <w:abstractNumId w:val="4"/>
  </w:num>
  <w:num w:numId="16" w16cid:durableId="1353725165">
    <w:abstractNumId w:val="6"/>
  </w:num>
  <w:num w:numId="17" w16cid:durableId="220487679">
    <w:abstractNumId w:val="0"/>
  </w:num>
  <w:num w:numId="18" w16cid:durableId="852374309">
    <w:abstractNumId w:val="18"/>
  </w:num>
  <w:num w:numId="19" w16cid:durableId="547568275">
    <w:abstractNumId w:val="38"/>
  </w:num>
  <w:num w:numId="20" w16cid:durableId="739985436">
    <w:abstractNumId w:val="16"/>
  </w:num>
  <w:num w:numId="21" w16cid:durableId="384262094">
    <w:abstractNumId w:val="14"/>
  </w:num>
  <w:num w:numId="22" w16cid:durableId="1476409464">
    <w:abstractNumId w:val="9"/>
  </w:num>
  <w:num w:numId="23" w16cid:durableId="301814049">
    <w:abstractNumId w:val="15"/>
  </w:num>
  <w:num w:numId="24" w16cid:durableId="1026491189">
    <w:abstractNumId w:val="46"/>
  </w:num>
  <w:num w:numId="25" w16cid:durableId="1688748422">
    <w:abstractNumId w:val="50"/>
  </w:num>
  <w:num w:numId="26" w16cid:durableId="707998049">
    <w:abstractNumId w:val="20"/>
  </w:num>
  <w:num w:numId="27" w16cid:durableId="2321931">
    <w:abstractNumId w:val="27"/>
  </w:num>
  <w:num w:numId="28" w16cid:durableId="22903149">
    <w:abstractNumId w:val="8"/>
  </w:num>
  <w:num w:numId="29" w16cid:durableId="1350718293">
    <w:abstractNumId w:val="17"/>
  </w:num>
  <w:num w:numId="30" w16cid:durableId="1134759075">
    <w:abstractNumId w:val="53"/>
  </w:num>
  <w:num w:numId="31" w16cid:durableId="1311399892">
    <w:abstractNumId w:val="23"/>
  </w:num>
  <w:num w:numId="32" w16cid:durableId="374431924">
    <w:abstractNumId w:val="44"/>
  </w:num>
  <w:num w:numId="33" w16cid:durableId="2142913571">
    <w:abstractNumId w:val="34"/>
  </w:num>
  <w:num w:numId="34" w16cid:durableId="1710915303">
    <w:abstractNumId w:val="5"/>
  </w:num>
  <w:num w:numId="35" w16cid:durableId="1335496363">
    <w:abstractNumId w:val="47"/>
  </w:num>
  <w:num w:numId="36" w16cid:durableId="1641690821">
    <w:abstractNumId w:val="39"/>
  </w:num>
  <w:num w:numId="37" w16cid:durableId="804390119">
    <w:abstractNumId w:val="30"/>
  </w:num>
  <w:num w:numId="38" w16cid:durableId="1310864673">
    <w:abstractNumId w:val="45"/>
  </w:num>
  <w:num w:numId="39" w16cid:durableId="966350050">
    <w:abstractNumId w:val="28"/>
  </w:num>
  <w:num w:numId="40" w16cid:durableId="745228917">
    <w:abstractNumId w:val="25"/>
  </w:num>
  <w:num w:numId="41" w16cid:durableId="923612728">
    <w:abstractNumId w:val="31"/>
  </w:num>
  <w:num w:numId="42" w16cid:durableId="832841217">
    <w:abstractNumId w:val="19"/>
  </w:num>
  <w:num w:numId="43" w16cid:durableId="34743517">
    <w:abstractNumId w:val="51"/>
  </w:num>
  <w:num w:numId="44" w16cid:durableId="1855531873">
    <w:abstractNumId w:val="42"/>
  </w:num>
  <w:num w:numId="45" w16cid:durableId="1110201953">
    <w:abstractNumId w:val="11"/>
  </w:num>
  <w:num w:numId="46" w16cid:durableId="950094175">
    <w:abstractNumId w:val="1"/>
  </w:num>
  <w:num w:numId="47" w16cid:durableId="163204001">
    <w:abstractNumId w:val="22"/>
  </w:num>
  <w:num w:numId="48" w16cid:durableId="2131625330">
    <w:abstractNumId w:val="7"/>
  </w:num>
  <w:num w:numId="49" w16cid:durableId="1619800442">
    <w:abstractNumId w:val="43"/>
  </w:num>
  <w:num w:numId="50" w16cid:durableId="583759118">
    <w:abstractNumId w:val="26"/>
  </w:num>
  <w:num w:numId="51" w16cid:durableId="1218202392">
    <w:abstractNumId w:val="12"/>
  </w:num>
  <w:num w:numId="52" w16cid:durableId="885533999">
    <w:abstractNumId w:val="13"/>
  </w:num>
  <w:num w:numId="53" w16cid:durableId="364864301">
    <w:abstractNumId w:val="49"/>
  </w:num>
  <w:num w:numId="54" w16cid:durableId="28652191">
    <w:abstractNumId w:val="32"/>
  </w:num>
  <w:num w:numId="55" w16cid:durableId="315183190">
    <w:abstractNumId w:val="29"/>
  </w:num>
  <w:num w:numId="56" w16cid:durableId="2047362734">
    <w:abstractNumId w:val="29"/>
  </w:num>
  <w:num w:numId="57" w16cid:durableId="728649405">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A08" w:allStyles="0" w:customStyles="0" w:latentStyles="0" w:stylesInUse="1" w:headingStyles="0" w:numberingStyles="0" w:tableStyles="0" w:directFormattingOnRuns="0" w:directFormattingOnParagraphs="1" w:directFormattingOnNumbering="0" w:directFormattingOnTables="1" w:clearFormatting="1" w:top3HeadingStyles="0" w:visibleStyles="0" w:alternateStyleNames="0"/>
  <w:stylePaneSortMethod w:val="0000"/>
  <w:documentProtection w:formatting="1" w:enforcement="0"/>
  <w:defaultTabStop w:val="272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B1"/>
    <w:rsid w:val="00000638"/>
    <w:rsid w:val="00001A89"/>
    <w:rsid w:val="00001F41"/>
    <w:rsid w:val="00003534"/>
    <w:rsid w:val="00003743"/>
    <w:rsid w:val="00004077"/>
    <w:rsid w:val="000041D2"/>
    <w:rsid w:val="000047B4"/>
    <w:rsid w:val="00005712"/>
    <w:rsid w:val="000065A7"/>
    <w:rsid w:val="00006676"/>
    <w:rsid w:val="000067C0"/>
    <w:rsid w:val="000068A3"/>
    <w:rsid w:val="00007BBE"/>
    <w:rsid w:val="00007F53"/>
    <w:rsid w:val="00007FD8"/>
    <w:rsid w:val="00010BFC"/>
    <w:rsid w:val="00010CAF"/>
    <w:rsid w:val="000117F8"/>
    <w:rsid w:val="00011B0F"/>
    <w:rsid w:val="000124DE"/>
    <w:rsid w:val="0001341E"/>
    <w:rsid w:val="0001347D"/>
    <w:rsid w:val="000137B8"/>
    <w:rsid w:val="00013901"/>
    <w:rsid w:val="00015F12"/>
    <w:rsid w:val="000168DE"/>
    <w:rsid w:val="00017EC5"/>
    <w:rsid w:val="00017F66"/>
    <w:rsid w:val="00020998"/>
    <w:rsid w:val="00020A78"/>
    <w:rsid w:val="00020B26"/>
    <w:rsid w:val="00020F2C"/>
    <w:rsid w:val="00021A2B"/>
    <w:rsid w:val="000224B5"/>
    <w:rsid w:val="000234AD"/>
    <w:rsid w:val="00026139"/>
    <w:rsid w:val="0002651A"/>
    <w:rsid w:val="000267A5"/>
    <w:rsid w:val="00026964"/>
    <w:rsid w:val="00026A35"/>
    <w:rsid w:val="00026BF5"/>
    <w:rsid w:val="00027071"/>
    <w:rsid w:val="00027601"/>
    <w:rsid w:val="00033321"/>
    <w:rsid w:val="000338E5"/>
    <w:rsid w:val="00033ECC"/>
    <w:rsid w:val="000340AC"/>
    <w:rsid w:val="0003422F"/>
    <w:rsid w:val="0003430E"/>
    <w:rsid w:val="0003465F"/>
    <w:rsid w:val="00034FF5"/>
    <w:rsid w:val="00035506"/>
    <w:rsid w:val="00035864"/>
    <w:rsid w:val="000359D9"/>
    <w:rsid w:val="000361A2"/>
    <w:rsid w:val="0003774A"/>
    <w:rsid w:val="00040019"/>
    <w:rsid w:val="00040B94"/>
    <w:rsid w:val="00041F3A"/>
    <w:rsid w:val="00041F92"/>
    <w:rsid w:val="0004272D"/>
    <w:rsid w:val="000442A4"/>
    <w:rsid w:val="0004487B"/>
    <w:rsid w:val="00044A26"/>
    <w:rsid w:val="00046FF0"/>
    <w:rsid w:val="00047B45"/>
    <w:rsid w:val="00050176"/>
    <w:rsid w:val="00053311"/>
    <w:rsid w:val="00053FCB"/>
    <w:rsid w:val="0005516A"/>
    <w:rsid w:val="000555B7"/>
    <w:rsid w:val="0005797C"/>
    <w:rsid w:val="00057D4A"/>
    <w:rsid w:val="00061227"/>
    <w:rsid w:val="00062929"/>
    <w:rsid w:val="00062AED"/>
    <w:rsid w:val="00062B65"/>
    <w:rsid w:val="00063163"/>
    <w:rsid w:val="0006333D"/>
    <w:rsid w:val="000649DD"/>
    <w:rsid w:val="000651C0"/>
    <w:rsid w:val="00065617"/>
    <w:rsid w:val="00066565"/>
    <w:rsid w:val="0006727A"/>
    <w:rsid w:val="000673DA"/>
    <w:rsid w:val="00067456"/>
    <w:rsid w:val="0006779F"/>
    <w:rsid w:val="00070316"/>
    <w:rsid w:val="00071506"/>
    <w:rsid w:val="0007154F"/>
    <w:rsid w:val="000731C4"/>
    <w:rsid w:val="0007398E"/>
    <w:rsid w:val="00073AC5"/>
    <w:rsid w:val="00073C50"/>
    <w:rsid w:val="000750F2"/>
    <w:rsid w:val="0007527B"/>
    <w:rsid w:val="000753A2"/>
    <w:rsid w:val="000753EE"/>
    <w:rsid w:val="000757EA"/>
    <w:rsid w:val="000763C2"/>
    <w:rsid w:val="00076E87"/>
    <w:rsid w:val="00077A3C"/>
    <w:rsid w:val="00077E75"/>
    <w:rsid w:val="0008034F"/>
    <w:rsid w:val="0008035C"/>
    <w:rsid w:val="00080B95"/>
    <w:rsid w:val="00081AB1"/>
    <w:rsid w:val="00081D0F"/>
    <w:rsid w:val="000821BF"/>
    <w:rsid w:val="00082961"/>
    <w:rsid w:val="00082DC8"/>
    <w:rsid w:val="00082E37"/>
    <w:rsid w:val="0008426C"/>
    <w:rsid w:val="00084620"/>
    <w:rsid w:val="00085432"/>
    <w:rsid w:val="0008548E"/>
    <w:rsid w:val="0008556B"/>
    <w:rsid w:val="000859C9"/>
    <w:rsid w:val="00085AEF"/>
    <w:rsid w:val="00085BA7"/>
    <w:rsid w:val="00085C63"/>
    <w:rsid w:val="00090316"/>
    <w:rsid w:val="0009069B"/>
    <w:rsid w:val="000923A8"/>
    <w:rsid w:val="000924DE"/>
    <w:rsid w:val="00093981"/>
    <w:rsid w:val="00093CD9"/>
    <w:rsid w:val="00093D79"/>
    <w:rsid w:val="000953D0"/>
    <w:rsid w:val="0009572B"/>
    <w:rsid w:val="00095A58"/>
    <w:rsid w:val="00095DA6"/>
    <w:rsid w:val="000960CC"/>
    <w:rsid w:val="00096BE5"/>
    <w:rsid w:val="00096D96"/>
    <w:rsid w:val="000A05AD"/>
    <w:rsid w:val="000A08D4"/>
    <w:rsid w:val="000A0CDE"/>
    <w:rsid w:val="000A188F"/>
    <w:rsid w:val="000A1A26"/>
    <w:rsid w:val="000A1F7E"/>
    <w:rsid w:val="000A3773"/>
    <w:rsid w:val="000A42A6"/>
    <w:rsid w:val="000A4B5E"/>
    <w:rsid w:val="000A4E77"/>
    <w:rsid w:val="000A5F9A"/>
    <w:rsid w:val="000A745C"/>
    <w:rsid w:val="000A7E5B"/>
    <w:rsid w:val="000B0275"/>
    <w:rsid w:val="000B067A"/>
    <w:rsid w:val="000B08F5"/>
    <w:rsid w:val="000B134E"/>
    <w:rsid w:val="000B1540"/>
    <w:rsid w:val="000B1DF8"/>
    <w:rsid w:val="000B2BEF"/>
    <w:rsid w:val="000B33FD"/>
    <w:rsid w:val="000B346A"/>
    <w:rsid w:val="000B37ED"/>
    <w:rsid w:val="000B4099"/>
    <w:rsid w:val="000B446C"/>
    <w:rsid w:val="000B4604"/>
    <w:rsid w:val="000B4ABA"/>
    <w:rsid w:val="000B4F36"/>
    <w:rsid w:val="000C01F9"/>
    <w:rsid w:val="000C1237"/>
    <w:rsid w:val="000C1502"/>
    <w:rsid w:val="000C1554"/>
    <w:rsid w:val="000C19D3"/>
    <w:rsid w:val="000C2413"/>
    <w:rsid w:val="000C337A"/>
    <w:rsid w:val="000C4B16"/>
    <w:rsid w:val="000C50C3"/>
    <w:rsid w:val="000C5652"/>
    <w:rsid w:val="000C5ACD"/>
    <w:rsid w:val="000C7D03"/>
    <w:rsid w:val="000D04D9"/>
    <w:rsid w:val="000D0B66"/>
    <w:rsid w:val="000D13A1"/>
    <w:rsid w:val="000D160E"/>
    <w:rsid w:val="000D1954"/>
    <w:rsid w:val="000D1BC1"/>
    <w:rsid w:val="000D21F6"/>
    <w:rsid w:val="000D2DF7"/>
    <w:rsid w:val="000D3A82"/>
    <w:rsid w:val="000D42C3"/>
    <w:rsid w:val="000D4500"/>
    <w:rsid w:val="000D480A"/>
    <w:rsid w:val="000D49D2"/>
    <w:rsid w:val="000D52C3"/>
    <w:rsid w:val="000D5717"/>
    <w:rsid w:val="000D7405"/>
    <w:rsid w:val="000D7607"/>
    <w:rsid w:val="000D76D1"/>
    <w:rsid w:val="000D7AEA"/>
    <w:rsid w:val="000D7D6D"/>
    <w:rsid w:val="000E01A9"/>
    <w:rsid w:val="000E0DB4"/>
    <w:rsid w:val="000E14E3"/>
    <w:rsid w:val="000E2178"/>
    <w:rsid w:val="000E2837"/>
    <w:rsid w:val="000E2A24"/>
    <w:rsid w:val="000E2B3D"/>
    <w:rsid w:val="000E2C66"/>
    <w:rsid w:val="000E2F84"/>
    <w:rsid w:val="000E4A84"/>
    <w:rsid w:val="000E4F1A"/>
    <w:rsid w:val="000E61AC"/>
    <w:rsid w:val="000E6E7D"/>
    <w:rsid w:val="000F123C"/>
    <w:rsid w:val="000F16CA"/>
    <w:rsid w:val="000F1859"/>
    <w:rsid w:val="000F2133"/>
    <w:rsid w:val="000F2DAA"/>
    <w:rsid w:val="000F2FED"/>
    <w:rsid w:val="000F3472"/>
    <w:rsid w:val="000F4EAF"/>
    <w:rsid w:val="000F5384"/>
    <w:rsid w:val="000F55BB"/>
    <w:rsid w:val="000F65FA"/>
    <w:rsid w:val="000F6C20"/>
    <w:rsid w:val="0010097F"/>
    <w:rsid w:val="0010107D"/>
    <w:rsid w:val="00101599"/>
    <w:rsid w:val="001017EC"/>
    <w:rsid w:val="00101B83"/>
    <w:rsid w:val="00102F93"/>
    <w:rsid w:val="00103410"/>
    <w:rsid w:val="00103B85"/>
    <w:rsid w:val="001044B1"/>
    <w:rsid w:val="0010616D"/>
    <w:rsid w:val="00107BB2"/>
    <w:rsid w:val="00110478"/>
    <w:rsid w:val="00111796"/>
    <w:rsid w:val="00111AAB"/>
    <w:rsid w:val="00111DA9"/>
    <w:rsid w:val="001128F0"/>
    <w:rsid w:val="00113261"/>
    <w:rsid w:val="001145B8"/>
    <w:rsid w:val="00114961"/>
    <w:rsid w:val="00114ABF"/>
    <w:rsid w:val="00115628"/>
    <w:rsid w:val="00115A7B"/>
    <w:rsid w:val="001165D4"/>
    <w:rsid w:val="00116982"/>
    <w:rsid w:val="00116ED1"/>
    <w:rsid w:val="0011711B"/>
    <w:rsid w:val="00117ADF"/>
    <w:rsid w:val="00117D1F"/>
    <w:rsid w:val="00117E5C"/>
    <w:rsid w:val="00117F8A"/>
    <w:rsid w:val="00120448"/>
    <w:rsid w:val="001204F4"/>
    <w:rsid w:val="00120ACD"/>
    <w:rsid w:val="001212CC"/>
    <w:rsid w:val="00121B9B"/>
    <w:rsid w:val="00121EBF"/>
    <w:rsid w:val="0012212C"/>
    <w:rsid w:val="00122235"/>
    <w:rsid w:val="00122287"/>
    <w:rsid w:val="00122ADC"/>
    <w:rsid w:val="00124707"/>
    <w:rsid w:val="00124F04"/>
    <w:rsid w:val="00124F20"/>
    <w:rsid w:val="001256B2"/>
    <w:rsid w:val="001265BC"/>
    <w:rsid w:val="00126F46"/>
    <w:rsid w:val="001306E2"/>
    <w:rsid w:val="00130F59"/>
    <w:rsid w:val="001325FF"/>
    <w:rsid w:val="00132664"/>
    <w:rsid w:val="00133EC0"/>
    <w:rsid w:val="00134DB3"/>
    <w:rsid w:val="00135561"/>
    <w:rsid w:val="00135603"/>
    <w:rsid w:val="00137206"/>
    <w:rsid w:val="00137EC2"/>
    <w:rsid w:val="001408EE"/>
    <w:rsid w:val="00141935"/>
    <w:rsid w:val="00141CE5"/>
    <w:rsid w:val="0014310E"/>
    <w:rsid w:val="00143DD3"/>
    <w:rsid w:val="001448F4"/>
    <w:rsid w:val="00144908"/>
    <w:rsid w:val="00144A5F"/>
    <w:rsid w:val="00144C84"/>
    <w:rsid w:val="0014559C"/>
    <w:rsid w:val="00150F52"/>
    <w:rsid w:val="00151153"/>
    <w:rsid w:val="00151ADC"/>
    <w:rsid w:val="00151E1E"/>
    <w:rsid w:val="0015256A"/>
    <w:rsid w:val="00153544"/>
    <w:rsid w:val="00154400"/>
    <w:rsid w:val="00154953"/>
    <w:rsid w:val="00155232"/>
    <w:rsid w:val="00156359"/>
    <w:rsid w:val="00156FEB"/>
    <w:rsid w:val="001571C7"/>
    <w:rsid w:val="00157BD4"/>
    <w:rsid w:val="00161094"/>
    <w:rsid w:val="00161BC0"/>
    <w:rsid w:val="00163A17"/>
    <w:rsid w:val="00163F7B"/>
    <w:rsid w:val="0016495C"/>
    <w:rsid w:val="0016592B"/>
    <w:rsid w:val="0016678D"/>
    <w:rsid w:val="001701F1"/>
    <w:rsid w:val="001704FD"/>
    <w:rsid w:val="00170599"/>
    <w:rsid w:val="0017136E"/>
    <w:rsid w:val="00171644"/>
    <w:rsid w:val="00172A55"/>
    <w:rsid w:val="00173572"/>
    <w:rsid w:val="00174811"/>
    <w:rsid w:val="00175590"/>
    <w:rsid w:val="001758CD"/>
    <w:rsid w:val="00175F42"/>
    <w:rsid w:val="00176539"/>
    <w:rsid w:val="0017665C"/>
    <w:rsid w:val="0017687E"/>
    <w:rsid w:val="00176AF2"/>
    <w:rsid w:val="00177AD2"/>
    <w:rsid w:val="001815A8"/>
    <w:rsid w:val="00181CE7"/>
    <w:rsid w:val="00182DA9"/>
    <w:rsid w:val="0018357E"/>
    <w:rsid w:val="001840FA"/>
    <w:rsid w:val="001850A7"/>
    <w:rsid w:val="001858DC"/>
    <w:rsid w:val="00186A8B"/>
    <w:rsid w:val="00186F8D"/>
    <w:rsid w:val="0018710F"/>
    <w:rsid w:val="00190079"/>
    <w:rsid w:val="00190377"/>
    <w:rsid w:val="0019066F"/>
    <w:rsid w:val="00190A6C"/>
    <w:rsid w:val="00192D3D"/>
    <w:rsid w:val="00192EFF"/>
    <w:rsid w:val="001936E8"/>
    <w:rsid w:val="00194859"/>
    <w:rsid w:val="001959E8"/>
    <w:rsid w:val="0019622E"/>
    <w:rsid w:val="00196639"/>
    <w:rsid w:val="001966A7"/>
    <w:rsid w:val="001968BB"/>
    <w:rsid w:val="00196A8A"/>
    <w:rsid w:val="00197AB5"/>
    <w:rsid w:val="00197E12"/>
    <w:rsid w:val="001A0735"/>
    <w:rsid w:val="001A0A86"/>
    <w:rsid w:val="001A16A3"/>
    <w:rsid w:val="001A1A06"/>
    <w:rsid w:val="001A20AF"/>
    <w:rsid w:val="001A3E82"/>
    <w:rsid w:val="001A411A"/>
    <w:rsid w:val="001A4627"/>
    <w:rsid w:val="001A4979"/>
    <w:rsid w:val="001A57DE"/>
    <w:rsid w:val="001A7177"/>
    <w:rsid w:val="001A7183"/>
    <w:rsid w:val="001A72FA"/>
    <w:rsid w:val="001A7627"/>
    <w:rsid w:val="001B15D3"/>
    <w:rsid w:val="001B1CF1"/>
    <w:rsid w:val="001B2C6D"/>
    <w:rsid w:val="001B3443"/>
    <w:rsid w:val="001B3A43"/>
    <w:rsid w:val="001B3F83"/>
    <w:rsid w:val="001B44FF"/>
    <w:rsid w:val="001B45EA"/>
    <w:rsid w:val="001B5041"/>
    <w:rsid w:val="001B5673"/>
    <w:rsid w:val="001B6AE0"/>
    <w:rsid w:val="001B6EB9"/>
    <w:rsid w:val="001B7DD1"/>
    <w:rsid w:val="001C0286"/>
    <w:rsid w:val="001C0326"/>
    <w:rsid w:val="001C1103"/>
    <w:rsid w:val="001C192F"/>
    <w:rsid w:val="001C1AD4"/>
    <w:rsid w:val="001C1EE0"/>
    <w:rsid w:val="001C232D"/>
    <w:rsid w:val="001C2827"/>
    <w:rsid w:val="001C3511"/>
    <w:rsid w:val="001C352B"/>
    <w:rsid w:val="001C367A"/>
    <w:rsid w:val="001C3C42"/>
    <w:rsid w:val="001C3FB2"/>
    <w:rsid w:val="001C5441"/>
    <w:rsid w:val="001C665B"/>
    <w:rsid w:val="001C678C"/>
    <w:rsid w:val="001C7DB8"/>
    <w:rsid w:val="001D1737"/>
    <w:rsid w:val="001D1B4C"/>
    <w:rsid w:val="001D2C84"/>
    <w:rsid w:val="001D306E"/>
    <w:rsid w:val="001D387D"/>
    <w:rsid w:val="001D48EB"/>
    <w:rsid w:val="001D51C8"/>
    <w:rsid w:val="001D5681"/>
    <w:rsid w:val="001D5F5F"/>
    <w:rsid w:val="001D6341"/>
    <w:rsid w:val="001D694F"/>
    <w:rsid w:val="001D781E"/>
    <w:rsid w:val="001D7869"/>
    <w:rsid w:val="001E044C"/>
    <w:rsid w:val="001E1132"/>
    <w:rsid w:val="001E28BB"/>
    <w:rsid w:val="001E3A63"/>
    <w:rsid w:val="001E4273"/>
    <w:rsid w:val="001E592E"/>
    <w:rsid w:val="001E64B9"/>
    <w:rsid w:val="001E6F19"/>
    <w:rsid w:val="001E7272"/>
    <w:rsid w:val="001E7489"/>
    <w:rsid w:val="001E78DE"/>
    <w:rsid w:val="001E7D1C"/>
    <w:rsid w:val="001F1C05"/>
    <w:rsid w:val="001F2F78"/>
    <w:rsid w:val="001F3392"/>
    <w:rsid w:val="001F3B30"/>
    <w:rsid w:val="001F3E67"/>
    <w:rsid w:val="001F3E6B"/>
    <w:rsid w:val="001F3EF9"/>
    <w:rsid w:val="001F57A8"/>
    <w:rsid w:val="001F6ABE"/>
    <w:rsid w:val="001F6C03"/>
    <w:rsid w:val="001F70C9"/>
    <w:rsid w:val="001F7E79"/>
    <w:rsid w:val="002001B5"/>
    <w:rsid w:val="0020036E"/>
    <w:rsid w:val="00200BEA"/>
    <w:rsid w:val="00200F88"/>
    <w:rsid w:val="0020144A"/>
    <w:rsid w:val="00201EDE"/>
    <w:rsid w:val="00201F2B"/>
    <w:rsid w:val="002026CD"/>
    <w:rsid w:val="00202B0C"/>
    <w:rsid w:val="00202FDD"/>
    <w:rsid w:val="002033FC"/>
    <w:rsid w:val="00203529"/>
    <w:rsid w:val="0020393F"/>
    <w:rsid w:val="0020446F"/>
    <w:rsid w:val="002044BB"/>
    <w:rsid w:val="00204B0A"/>
    <w:rsid w:val="00204D54"/>
    <w:rsid w:val="002059AE"/>
    <w:rsid w:val="002065D6"/>
    <w:rsid w:val="00206D5D"/>
    <w:rsid w:val="00207B86"/>
    <w:rsid w:val="00210B09"/>
    <w:rsid w:val="00210C9E"/>
    <w:rsid w:val="00211222"/>
    <w:rsid w:val="002116E9"/>
    <w:rsid w:val="00211840"/>
    <w:rsid w:val="00211847"/>
    <w:rsid w:val="002127EE"/>
    <w:rsid w:val="00212F6F"/>
    <w:rsid w:val="00213A83"/>
    <w:rsid w:val="00213D02"/>
    <w:rsid w:val="00215DDB"/>
    <w:rsid w:val="00216AE6"/>
    <w:rsid w:val="00216C26"/>
    <w:rsid w:val="00216F8A"/>
    <w:rsid w:val="002205E6"/>
    <w:rsid w:val="00220645"/>
    <w:rsid w:val="00220E5F"/>
    <w:rsid w:val="002212B5"/>
    <w:rsid w:val="0022180B"/>
    <w:rsid w:val="00222B54"/>
    <w:rsid w:val="00224944"/>
    <w:rsid w:val="002255CB"/>
    <w:rsid w:val="00225F45"/>
    <w:rsid w:val="002265DB"/>
    <w:rsid w:val="00226668"/>
    <w:rsid w:val="00227188"/>
    <w:rsid w:val="002277E0"/>
    <w:rsid w:val="00227CA6"/>
    <w:rsid w:val="00230305"/>
    <w:rsid w:val="002324ED"/>
    <w:rsid w:val="002336E2"/>
    <w:rsid w:val="00233809"/>
    <w:rsid w:val="00233FC8"/>
    <w:rsid w:val="00237028"/>
    <w:rsid w:val="00237356"/>
    <w:rsid w:val="00237706"/>
    <w:rsid w:val="00237DF6"/>
    <w:rsid w:val="00240046"/>
    <w:rsid w:val="00240648"/>
    <w:rsid w:val="00242C4E"/>
    <w:rsid w:val="00242EAE"/>
    <w:rsid w:val="002437F2"/>
    <w:rsid w:val="00243EC2"/>
    <w:rsid w:val="00243EC8"/>
    <w:rsid w:val="002442E2"/>
    <w:rsid w:val="002451F0"/>
    <w:rsid w:val="002458AB"/>
    <w:rsid w:val="0024604B"/>
    <w:rsid w:val="0024797F"/>
    <w:rsid w:val="00247E57"/>
    <w:rsid w:val="00250A05"/>
    <w:rsid w:val="00250BAD"/>
    <w:rsid w:val="00250F3C"/>
    <w:rsid w:val="002510C8"/>
    <w:rsid w:val="0025119E"/>
    <w:rsid w:val="00251269"/>
    <w:rsid w:val="00251442"/>
    <w:rsid w:val="00251D32"/>
    <w:rsid w:val="002528C2"/>
    <w:rsid w:val="00252E55"/>
    <w:rsid w:val="00252EF0"/>
    <w:rsid w:val="002535C0"/>
    <w:rsid w:val="00254D82"/>
    <w:rsid w:val="00255131"/>
    <w:rsid w:val="00256084"/>
    <w:rsid w:val="0025628E"/>
    <w:rsid w:val="00256D6E"/>
    <w:rsid w:val="002579FE"/>
    <w:rsid w:val="002601CF"/>
    <w:rsid w:val="00261F8E"/>
    <w:rsid w:val="00262900"/>
    <w:rsid w:val="0026311C"/>
    <w:rsid w:val="00264472"/>
    <w:rsid w:val="0026459C"/>
    <w:rsid w:val="00264F14"/>
    <w:rsid w:val="002652D3"/>
    <w:rsid w:val="00265F8F"/>
    <w:rsid w:val="0026668C"/>
    <w:rsid w:val="002667CC"/>
    <w:rsid w:val="00266993"/>
    <w:rsid w:val="00266AC1"/>
    <w:rsid w:val="00266F4E"/>
    <w:rsid w:val="0027178C"/>
    <w:rsid w:val="002719FA"/>
    <w:rsid w:val="00271CEC"/>
    <w:rsid w:val="00272668"/>
    <w:rsid w:val="00272A6A"/>
    <w:rsid w:val="00272BDE"/>
    <w:rsid w:val="00272EC4"/>
    <w:rsid w:val="0027330B"/>
    <w:rsid w:val="00273BE8"/>
    <w:rsid w:val="00273C99"/>
    <w:rsid w:val="00274E7B"/>
    <w:rsid w:val="002751E6"/>
    <w:rsid w:val="00277C8D"/>
    <w:rsid w:val="002803AD"/>
    <w:rsid w:val="0028126A"/>
    <w:rsid w:val="00282052"/>
    <w:rsid w:val="00282310"/>
    <w:rsid w:val="00282C90"/>
    <w:rsid w:val="002836C3"/>
    <w:rsid w:val="0028519E"/>
    <w:rsid w:val="002851BA"/>
    <w:rsid w:val="002856A5"/>
    <w:rsid w:val="00286319"/>
    <w:rsid w:val="002872ED"/>
    <w:rsid w:val="00287324"/>
    <w:rsid w:val="00287B75"/>
    <w:rsid w:val="00290210"/>
    <w:rsid w:val="002905C2"/>
    <w:rsid w:val="00290CA5"/>
    <w:rsid w:val="00291194"/>
    <w:rsid w:val="002916EE"/>
    <w:rsid w:val="00291964"/>
    <w:rsid w:val="002928BE"/>
    <w:rsid w:val="00292E78"/>
    <w:rsid w:val="0029383A"/>
    <w:rsid w:val="0029435D"/>
    <w:rsid w:val="002946F6"/>
    <w:rsid w:val="0029481A"/>
    <w:rsid w:val="0029494C"/>
    <w:rsid w:val="00295AF2"/>
    <w:rsid w:val="00295C91"/>
    <w:rsid w:val="0029622B"/>
    <w:rsid w:val="00297151"/>
    <w:rsid w:val="0029727B"/>
    <w:rsid w:val="00297465"/>
    <w:rsid w:val="00297DC7"/>
    <w:rsid w:val="002A0165"/>
    <w:rsid w:val="002A03CB"/>
    <w:rsid w:val="002A0910"/>
    <w:rsid w:val="002A1084"/>
    <w:rsid w:val="002A1C27"/>
    <w:rsid w:val="002A2B3F"/>
    <w:rsid w:val="002A2F08"/>
    <w:rsid w:val="002A3699"/>
    <w:rsid w:val="002A3FFD"/>
    <w:rsid w:val="002A4A95"/>
    <w:rsid w:val="002A4A9B"/>
    <w:rsid w:val="002A599E"/>
    <w:rsid w:val="002A6214"/>
    <w:rsid w:val="002B1D8B"/>
    <w:rsid w:val="002B20E6"/>
    <w:rsid w:val="002B292D"/>
    <w:rsid w:val="002B42A3"/>
    <w:rsid w:val="002B525E"/>
    <w:rsid w:val="002B58A9"/>
    <w:rsid w:val="002B5C6D"/>
    <w:rsid w:val="002B70EA"/>
    <w:rsid w:val="002B7944"/>
    <w:rsid w:val="002B7E99"/>
    <w:rsid w:val="002C0161"/>
    <w:rsid w:val="002C0288"/>
    <w:rsid w:val="002C0CDD"/>
    <w:rsid w:val="002C5A06"/>
    <w:rsid w:val="002C5E4B"/>
    <w:rsid w:val="002C60F4"/>
    <w:rsid w:val="002C612F"/>
    <w:rsid w:val="002C7186"/>
    <w:rsid w:val="002D143A"/>
    <w:rsid w:val="002D1985"/>
    <w:rsid w:val="002D1C54"/>
    <w:rsid w:val="002D2598"/>
    <w:rsid w:val="002D3202"/>
    <w:rsid w:val="002D37EF"/>
    <w:rsid w:val="002D39BC"/>
    <w:rsid w:val="002D4752"/>
    <w:rsid w:val="002D4954"/>
    <w:rsid w:val="002D57CD"/>
    <w:rsid w:val="002D5BD5"/>
    <w:rsid w:val="002D6958"/>
    <w:rsid w:val="002D6CBC"/>
    <w:rsid w:val="002D7446"/>
    <w:rsid w:val="002D7959"/>
    <w:rsid w:val="002E00BF"/>
    <w:rsid w:val="002E0B4A"/>
    <w:rsid w:val="002E1978"/>
    <w:rsid w:val="002E1A1D"/>
    <w:rsid w:val="002E3237"/>
    <w:rsid w:val="002E4081"/>
    <w:rsid w:val="002E44B0"/>
    <w:rsid w:val="002E4D47"/>
    <w:rsid w:val="002E5B78"/>
    <w:rsid w:val="002E5D67"/>
    <w:rsid w:val="002E68A7"/>
    <w:rsid w:val="002F0CA0"/>
    <w:rsid w:val="002F3AE3"/>
    <w:rsid w:val="002F41AA"/>
    <w:rsid w:val="002F5B16"/>
    <w:rsid w:val="002F666A"/>
    <w:rsid w:val="002F6F10"/>
    <w:rsid w:val="002F7BA5"/>
    <w:rsid w:val="00300193"/>
    <w:rsid w:val="00300A6A"/>
    <w:rsid w:val="00300C99"/>
    <w:rsid w:val="00301136"/>
    <w:rsid w:val="003025CE"/>
    <w:rsid w:val="00302AF5"/>
    <w:rsid w:val="0030349A"/>
    <w:rsid w:val="00303D0E"/>
    <w:rsid w:val="003042EB"/>
    <w:rsid w:val="0030464B"/>
    <w:rsid w:val="003057CD"/>
    <w:rsid w:val="003059E7"/>
    <w:rsid w:val="0030786C"/>
    <w:rsid w:val="00307F1C"/>
    <w:rsid w:val="00310168"/>
    <w:rsid w:val="0031137F"/>
    <w:rsid w:val="00312749"/>
    <w:rsid w:val="00317103"/>
    <w:rsid w:val="003174AC"/>
    <w:rsid w:val="003209A1"/>
    <w:rsid w:val="00320B19"/>
    <w:rsid w:val="003210DF"/>
    <w:rsid w:val="00321ACB"/>
    <w:rsid w:val="00322B43"/>
    <w:rsid w:val="003233DE"/>
    <w:rsid w:val="00323997"/>
    <w:rsid w:val="0032466B"/>
    <w:rsid w:val="00326017"/>
    <w:rsid w:val="00326682"/>
    <w:rsid w:val="0032671D"/>
    <w:rsid w:val="00327B44"/>
    <w:rsid w:val="00327C95"/>
    <w:rsid w:val="003304B8"/>
    <w:rsid w:val="003308EF"/>
    <w:rsid w:val="0033168C"/>
    <w:rsid w:val="003330EB"/>
    <w:rsid w:val="003339CE"/>
    <w:rsid w:val="003346B0"/>
    <w:rsid w:val="00335196"/>
    <w:rsid w:val="00335330"/>
    <w:rsid w:val="00335543"/>
    <w:rsid w:val="00336232"/>
    <w:rsid w:val="00336605"/>
    <w:rsid w:val="00336E64"/>
    <w:rsid w:val="00340975"/>
    <w:rsid w:val="0034127E"/>
    <w:rsid w:val="003415FD"/>
    <w:rsid w:val="003428FB"/>
    <w:rsid w:val="0034292B"/>
    <w:rsid w:val="003429F0"/>
    <w:rsid w:val="00343A0D"/>
    <w:rsid w:val="00343A99"/>
    <w:rsid w:val="00343AB3"/>
    <w:rsid w:val="0034476D"/>
    <w:rsid w:val="00345939"/>
    <w:rsid w:val="00346C4E"/>
    <w:rsid w:val="00346F8F"/>
    <w:rsid w:val="003470BE"/>
    <w:rsid w:val="0034762C"/>
    <w:rsid w:val="0035097A"/>
    <w:rsid w:val="0035198F"/>
    <w:rsid w:val="0035220F"/>
    <w:rsid w:val="00352374"/>
    <w:rsid w:val="00352D58"/>
    <w:rsid w:val="003540A4"/>
    <w:rsid w:val="0035461A"/>
    <w:rsid w:val="00355831"/>
    <w:rsid w:val="00355A2E"/>
    <w:rsid w:val="0035652F"/>
    <w:rsid w:val="003565C0"/>
    <w:rsid w:val="00357938"/>
    <w:rsid w:val="003603B5"/>
    <w:rsid w:val="003607A3"/>
    <w:rsid w:val="00360E4E"/>
    <w:rsid w:val="00361065"/>
    <w:rsid w:val="00362F81"/>
    <w:rsid w:val="003631FA"/>
    <w:rsid w:val="00363439"/>
    <w:rsid w:val="00364758"/>
    <w:rsid w:val="00364848"/>
    <w:rsid w:val="00365343"/>
    <w:rsid w:val="0036657A"/>
    <w:rsid w:val="00366EA7"/>
    <w:rsid w:val="0036797F"/>
    <w:rsid w:val="00367DB5"/>
    <w:rsid w:val="0037021C"/>
    <w:rsid w:val="00370AAA"/>
    <w:rsid w:val="00371384"/>
    <w:rsid w:val="00371C3A"/>
    <w:rsid w:val="00371F67"/>
    <w:rsid w:val="00372969"/>
    <w:rsid w:val="00373C92"/>
    <w:rsid w:val="003747BA"/>
    <w:rsid w:val="0037512C"/>
    <w:rsid w:val="003752A1"/>
    <w:rsid w:val="00375D9D"/>
    <w:rsid w:val="00375F77"/>
    <w:rsid w:val="0037685B"/>
    <w:rsid w:val="00377A78"/>
    <w:rsid w:val="00377E1A"/>
    <w:rsid w:val="00380C62"/>
    <w:rsid w:val="00381BBE"/>
    <w:rsid w:val="00381D43"/>
    <w:rsid w:val="00382903"/>
    <w:rsid w:val="00382E11"/>
    <w:rsid w:val="0038340D"/>
    <w:rsid w:val="00384400"/>
    <w:rsid w:val="0038447C"/>
    <w:rsid w:val="003846FF"/>
    <w:rsid w:val="00384A07"/>
    <w:rsid w:val="00384C03"/>
    <w:rsid w:val="00384C84"/>
    <w:rsid w:val="003853A1"/>
    <w:rsid w:val="00385794"/>
    <w:rsid w:val="00385AD4"/>
    <w:rsid w:val="00386805"/>
    <w:rsid w:val="0038781D"/>
    <w:rsid w:val="003878A4"/>
    <w:rsid w:val="00387924"/>
    <w:rsid w:val="00387A12"/>
    <w:rsid w:val="00387AB6"/>
    <w:rsid w:val="00387BCD"/>
    <w:rsid w:val="00387EC5"/>
    <w:rsid w:val="003906C7"/>
    <w:rsid w:val="00392614"/>
    <w:rsid w:val="00392EF3"/>
    <w:rsid w:val="00392F68"/>
    <w:rsid w:val="00393578"/>
    <w:rsid w:val="0039384D"/>
    <w:rsid w:val="00393D82"/>
    <w:rsid w:val="00393D88"/>
    <w:rsid w:val="00393FE4"/>
    <w:rsid w:val="0039478B"/>
    <w:rsid w:val="0039534C"/>
    <w:rsid w:val="00395C23"/>
    <w:rsid w:val="00395F6B"/>
    <w:rsid w:val="003971E3"/>
    <w:rsid w:val="003978F8"/>
    <w:rsid w:val="003A0395"/>
    <w:rsid w:val="003A0A70"/>
    <w:rsid w:val="003A126C"/>
    <w:rsid w:val="003A1CBA"/>
    <w:rsid w:val="003A2686"/>
    <w:rsid w:val="003A2795"/>
    <w:rsid w:val="003A2E4F"/>
    <w:rsid w:val="003A361D"/>
    <w:rsid w:val="003A4438"/>
    <w:rsid w:val="003A4C46"/>
    <w:rsid w:val="003A4D2E"/>
    <w:rsid w:val="003A5013"/>
    <w:rsid w:val="003A5078"/>
    <w:rsid w:val="003A5318"/>
    <w:rsid w:val="003A61E5"/>
    <w:rsid w:val="003A62DD"/>
    <w:rsid w:val="003A67B7"/>
    <w:rsid w:val="003A6B36"/>
    <w:rsid w:val="003A775A"/>
    <w:rsid w:val="003B063C"/>
    <w:rsid w:val="003B0BD9"/>
    <w:rsid w:val="003B0DAB"/>
    <w:rsid w:val="003B1273"/>
    <w:rsid w:val="003B1452"/>
    <w:rsid w:val="003B16EB"/>
    <w:rsid w:val="003B1C78"/>
    <w:rsid w:val="003B1DD7"/>
    <w:rsid w:val="003B213A"/>
    <w:rsid w:val="003B31CC"/>
    <w:rsid w:val="003B43AD"/>
    <w:rsid w:val="003B47B2"/>
    <w:rsid w:val="003B5867"/>
    <w:rsid w:val="003B5A84"/>
    <w:rsid w:val="003B68E7"/>
    <w:rsid w:val="003B6F27"/>
    <w:rsid w:val="003B6FB7"/>
    <w:rsid w:val="003B72A5"/>
    <w:rsid w:val="003B7365"/>
    <w:rsid w:val="003C0FEC"/>
    <w:rsid w:val="003C159A"/>
    <w:rsid w:val="003C15B8"/>
    <w:rsid w:val="003C15CF"/>
    <w:rsid w:val="003C2AC8"/>
    <w:rsid w:val="003C2E5C"/>
    <w:rsid w:val="003C3151"/>
    <w:rsid w:val="003C36BD"/>
    <w:rsid w:val="003C405B"/>
    <w:rsid w:val="003C46A6"/>
    <w:rsid w:val="003C6583"/>
    <w:rsid w:val="003D01EB"/>
    <w:rsid w:val="003D0394"/>
    <w:rsid w:val="003D0488"/>
    <w:rsid w:val="003D17F9"/>
    <w:rsid w:val="003D1A89"/>
    <w:rsid w:val="003D1FB4"/>
    <w:rsid w:val="003D2D88"/>
    <w:rsid w:val="003D2F3B"/>
    <w:rsid w:val="003D41EA"/>
    <w:rsid w:val="003D4850"/>
    <w:rsid w:val="003D535A"/>
    <w:rsid w:val="003D5B98"/>
    <w:rsid w:val="003D6C9C"/>
    <w:rsid w:val="003D75EC"/>
    <w:rsid w:val="003E07C7"/>
    <w:rsid w:val="003E0DE6"/>
    <w:rsid w:val="003E19D8"/>
    <w:rsid w:val="003E3AD7"/>
    <w:rsid w:val="003E3C07"/>
    <w:rsid w:val="003E4B27"/>
    <w:rsid w:val="003E5265"/>
    <w:rsid w:val="003E572A"/>
    <w:rsid w:val="003E5B6C"/>
    <w:rsid w:val="003E5D25"/>
    <w:rsid w:val="003E6B9E"/>
    <w:rsid w:val="003E70A5"/>
    <w:rsid w:val="003E7336"/>
    <w:rsid w:val="003F00EC"/>
    <w:rsid w:val="003F057A"/>
    <w:rsid w:val="003F0955"/>
    <w:rsid w:val="003F1367"/>
    <w:rsid w:val="003F19CD"/>
    <w:rsid w:val="003F1C81"/>
    <w:rsid w:val="003F1EE5"/>
    <w:rsid w:val="003F2438"/>
    <w:rsid w:val="003F25C1"/>
    <w:rsid w:val="003F3380"/>
    <w:rsid w:val="003F3E10"/>
    <w:rsid w:val="003F5589"/>
    <w:rsid w:val="003F55E3"/>
    <w:rsid w:val="003F5B38"/>
    <w:rsid w:val="003F609B"/>
    <w:rsid w:val="003F6352"/>
    <w:rsid w:val="003F6718"/>
    <w:rsid w:val="003F695F"/>
    <w:rsid w:val="003F6BBF"/>
    <w:rsid w:val="003F6D1B"/>
    <w:rsid w:val="003F6FE1"/>
    <w:rsid w:val="003F75D1"/>
    <w:rsid w:val="003F7B86"/>
    <w:rsid w:val="0040017E"/>
    <w:rsid w:val="00400CA6"/>
    <w:rsid w:val="00400F00"/>
    <w:rsid w:val="00402744"/>
    <w:rsid w:val="00402AC1"/>
    <w:rsid w:val="00403112"/>
    <w:rsid w:val="00403704"/>
    <w:rsid w:val="00404276"/>
    <w:rsid w:val="00404F8B"/>
    <w:rsid w:val="00405256"/>
    <w:rsid w:val="0040607D"/>
    <w:rsid w:val="0040626F"/>
    <w:rsid w:val="004064CC"/>
    <w:rsid w:val="00406A93"/>
    <w:rsid w:val="00410031"/>
    <w:rsid w:val="00411185"/>
    <w:rsid w:val="00411380"/>
    <w:rsid w:val="004115A2"/>
    <w:rsid w:val="004154B9"/>
    <w:rsid w:val="00415747"/>
    <w:rsid w:val="00415792"/>
    <w:rsid w:val="00415C81"/>
    <w:rsid w:val="00416172"/>
    <w:rsid w:val="0041663B"/>
    <w:rsid w:val="00416731"/>
    <w:rsid w:val="00416732"/>
    <w:rsid w:val="00416DFA"/>
    <w:rsid w:val="00416E55"/>
    <w:rsid w:val="00420E0C"/>
    <w:rsid w:val="0042224A"/>
    <w:rsid w:val="004222CB"/>
    <w:rsid w:val="00425FF0"/>
    <w:rsid w:val="00427C87"/>
    <w:rsid w:val="00430C22"/>
    <w:rsid w:val="00431656"/>
    <w:rsid w:val="004318B2"/>
    <w:rsid w:val="00432190"/>
    <w:rsid w:val="00432378"/>
    <w:rsid w:val="0043312C"/>
    <w:rsid w:val="00433BF0"/>
    <w:rsid w:val="00434BC8"/>
    <w:rsid w:val="00435056"/>
    <w:rsid w:val="00435ACB"/>
    <w:rsid w:val="00440591"/>
    <w:rsid w:val="00440CC1"/>
    <w:rsid w:val="00440D65"/>
    <w:rsid w:val="00440E24"/>
    <w:rsid w:val="00441A4D"/>
    <w:rsid w:val="00441DE6"/>
    <w:rsid w:val="004435E6"/>
    <w:rsid w:val="00444CBF"/>
    <w:rsid w:val="00445859"/>
    <w:rsid w:val="00445BF4"/>
    <w:rsid w:val="00445CD9"/>
    <w:rsid w:val="00446272"/>
    <w:rsid w:val="00446899"/>
    <w:rsid w:val="004477D8"/>
    <w:rsid w:val="00447E31"/>
    <w:rsid w:val="004501A5"/>
    <w:rsid w:val="004502A7"/>
    <w:rsid w:val="00450B89"/>
    <w:rsid w:val="00451023"/>
    <w:rsid w:val="00451FD9"/>
    <w:rsid w:val="004522E5"/>
    <w:rsid w:val="00452928"/>
    <w:rsid w:val="00453923"/>
    <w:rsid w:val="0045430A"/>
    <w:rsid w:val="00454B9B"/>
    <w:rsid w:val="004550C1"/>
    <w:rsid w:val="0045585C"/>
    <w:rsid w:val="00456C40"/>
    <w:rsid w:val="00457381"/>
    <w:rsid w:val="00457858"/>
    <w:rsid w:val="00460178"/>
    <w:rsid w:val="00460344"/>
    <w:rsid w:val="00460385"/>
    <w:rsid w:val="00460B0B"/>
    <w:rsid w:val="00461023"/>
    <w:rsid w:val="004614F6"/>
    <w:rsid w:val="00461759"/>
    <w:rsid w:val="00461AF5"/>
    <w:rsid w:val="00462FAC"/>
    <w:rsid w:val="00464351"/>
    <w:rsid w:val="00464631"/>
    <w:rsid w:val="00464B79"/>
    <w:rsid w:val="004653EC"/>
    <w:rsid w:val="004669ED"/>
    <w:rsid w:val="0046752C"/>
    <w:rsid w:val="00467BBF"/>
    <w:rsid w:val="00470754"/>
    <w:rsid w:val="00471B43"/>
    <w:rsid w:val="00472362"/>
    <w:rsid w:val="00472BD1"/>
    <w:rsid w:val="00472C2A"/>
    <w:rsid w:val="004743B4"/>
    <w:rsid w:val="00474AA8"/>
    <w:rsid w:val="00474BDD"/>
    <w:rsid w:val="00475C60"/>
    <w:rsid w:val="00475F53"/>
    <w:rsid w:val="00475F9A"/>
    <w:rsid w:val="004778F6"/>
    <w:rsid w:val="0048489A"/>
    <w:rsid w:val="00485180"/>
    <w:rsid w:val="004867E2"/>
    <w:rsid w:val="00487122"/>
    <w:rsid w:val="00487373"/>
    <w:rsid w:val="004875EE"/>
    <w:rsid w:val="00490A16"/>
    <w:rsid w:val="00490AC4"/>
    <w:rsid w:val="00490D6C"/>
    <w:rsid w:val="00491436"/>
    <w:rsid w:val="00491B36"/>
    <w:rsid w:val="00491E83"/>
    <w:rsid w:val="004929A9"/>
    <w:rsid w:val="004934BB"/>
    <w:rsid w:val="00493F19"/>
    <w:rsid w:val="004955C1"/>
    <w:rsid w:val="00495FCF"/>
    <w:rsid w:val="00496A76"/>
    <w:rsid w:val="004970FE"/>
    <w:rsid w:val="0049723B"/>
    <w:rsid w:val="0049738E"/>
    <w:rsid w:val="004976D6"/>
    <w:rsid w:val="004A04E8"/>
    <w:rsid w:val="004A057C"/>
    <w:rsid w:val="004A3053"/>
    <w:rsid w:val="004A5293"/>
    <w:rsid w:val="004A5DE8"/>
    <w:rsid w:val="004A6550"/>
    <w:rsid w:val="004A6DF9"/>
    <w:rsid w:val="004A7EE3"/>
    <w:rsid w:val="004B0273"/>
    <w:rsid w:val="004B0A63"/>
    <w:rsid w:val="004B0CFA"/>
    <w:rsid w:val="004B1C3A"/>
    <w:rsid w:val="004B1CDF"/>
    <w:rsid w:val="004B2E87"/>
    <w:rsid w:val="004B500B"/>
    <w:rsid w:val="004B5471"/>
    <w:rsid w:val="004B57C6"/>
    <w:rsid w:val="004B5DC3"/>
    <w:rsid w:val="004B6A93"/>
    <w:rsid w:val="004B7718"/>
    <w:rsid w:val="004B7E75"/>
    <w:rsid w:val="004C03C9"/>
    <w:rsid w:val="004C15FB"/>
    <w:rsid w:val="004C2DA8"/>
    <w:rsid w:val="004C2FEC"/>
    <w:rsid w:val="004C32E9"/>
    <w:rsid w:val="004C3CB4"/>
    <w:rsid w:val="004C48B3"/>
    <w:rsid w:val="004C53F5"/>
    <w:rsid w:val="004C5C0C"/>
    <w:rsid w:val="004C6BCF"/>
    <w:rsid w:val="004C6F06"/>
    <w:rsid w:val="004C7ED0"/>
    <w:rsid w:val="004D028A"/>
    <w:rsid w:val="004D0544"/>
    <w:rsid w:val="004D078C"/>
    <w:rsid w:val="004D22AB"/>
    <w:rsid w:val="004D34EB"/>
    <w:rsid w:val="004D3646"/>
    <w:rsid w:val="004D3B1A"/>
    <w:rsid w:val="004D3F65"/>
    <w:rsid w:val="004D516C"/>
    <w:rsid w:val="004D58BF"/>
    <w:rsid w:val="004D5DBB"/>
    <w:rsid w:val="004D7662"/>
    <w:rsid w:val="004D7B12"/>
    <w:rsid w:val="004D7F71"/>
    <w:rsid w:val="004E10C6"/>
    <w:rsid w:val="004E19A3"/>
    <w:rsid w:val="004E2790"/>
    <w:rsid w:val="004E2921"/>
    <w:rsid w:val="004E2FC6"/>
    <w:rsid w:val="004E2FEF"/>
    <w:rsid w:val="004E3893"/>
    <w:rsid w:val="004E4335"/>
    <w:rsid w:val="004E5ACF"/>
    <w:rsid w:val="004E6011"/>
    <w:rsid w:val="004E67AE"/>
    <w:rsid w:val="004E736C"/>
    <w:rsid w:val="004E7BF4"/>
    <w:rsid w:val="004F075D"/>
    <w:rsid w:val="004F07B5"/>
    <w:rsid w:val="004F0B66"/>
    <w:rsid w:val="004F13EE"/>
    <w:rsid w:val="004F1405"/>
    <w:rsid w:val="004F2022"/>
    <w:rsid w:val="004F2DA2"/>
    <w:rsid w:val="004F30C0"/>
    <w:rsid w:val="004F3265"/>
    <w:rsid w:val="004F3EA1"/>
    <w:rsid w:val="004F520C"/>
    <w:rsid w:val="004F5D57"/>
    <w:rsid w:val="004F6257"/>
    <w:rsid w:val="004F638A"/>
    <w:rsid w:val="004F6454"/>
    <w:rsid w:val="004F7BEC"/>
    <w:rsid w:val="004F7C05"/>
    <w:rsid w:val="00500128"/>
    <w:rsid w:val="00501C94"/>
    <w:rsid w:val="00502D02"/>
    <w:rsid w:val="00502F57"/>
    <w:rsid w:val="005047B7"/>
    <w:rsid w:val="00504C0C"/>
    <w:rsid w:val="00505259"/>
    <w:rsid w:val="00506432"/>
    <w:rsid w:val="00506D27"/>
    <w:rsid w:val="005078FC"/>
    <w:rsid w:val="00510513"/>
    <w:rsid w:val="00510F6A"/>
    <w:rsid w:val="00511576"/>
    <w:rsid w:val="0051242B"/>
    <w:rsid w:val="0051423C"/>
    <w:rsid w:val="00514CBD"/>
    <w:rsid w:val="00514F11"/>
    <w:rsid w:val="00517CA7"/>
    <w:rsid w:val="00517D64"/>
    <w:rsid w:val="005203F1"/>
    <w:rsid w:val="0052051D"/>
    <w:rsid w:val="00520EED"/>
    <w:rsid w:val="00521086"/>
    <w:rsid w:val="00521B7D"/>
    <w:rsid w:val="005220A9"/>
    <w:rsid w:val="005235D8"/>
    <w:rsid w:val="005236DB"/>
    <w:rsid w:val="00524569"/>
    <w:rsid w:val="0052530A"/>
    <w:rsid w:val="00525A52"/>
    <w:rsid w:val="005265D7"/>
    <w:rsid w:val="0052684A"/>
    <w:rsid w:val="0052708D"/>
    <w:rsid w:val="0053038C"/>
    <w:rsid w:val="00531CCA"/>
    <w:rsid w:val="005322FD"/>
    <w:rsid w:val="0053279E"/>
    <w:rsid w:val="005328A4"/>
    <w:rsid w:val="00532DF9"/>
    <w:rsid w:val="00533C87"/>
    <w:rsid w:val="00534D0C"/>
    <w:rsid w:val="00534DD2"/>
    <w:rsid w:val="005357E1"/>
    <w:rsid w:val="00535B54"/>
    <w:rsid w:val="00536172"/>
    <w:rsid w:val="005361E1"/>
    <w:rsid w:val="00536216"/>
    <w:rsid w:val="005364A2"/>
    <w:rsid w:val="0053716E"/>
    <w:rsid w:val="005378D4"/>
    <w:rsid w:val="00541629"/>
    <w:rsid w:val="00541633"/>
    <w:rsid w:val="00541A1C"/>
    <w:rsid w:val="00541AEF"/>
    <w:rsid w:val="005426CC"/>
    <w:rsid w:val="00543199"/>
    <w:rsid w:val="00543A78"/>
    <w:rsid w:val="00543D19"/>
    <w:rsid w:val="00544016"/>
    <w:rsid w:val="0054426F"/>
    <w:rsid w:val="00544627"/>
    <w:rsid w:val="00545AC3"/>
    <w:rsid w:val="00545EE6"/>
    <w:rsid w:val="00546DB9"/>
    <w:rsid w:val="005476EA"/>
    <w:rsid w:val="005478FE"/>
    <w:rsid w:val="00547E60"/>
    <w:rsid w:val="00551A49"/>
    <w:rsid w:val="00552759"/>
    <w:rsid w:val="00554120"/>
    <w:rsid w:val="005542A1"/>
    <w:rsid w:val="00554665"/>
    <w:rsid w:val="00554F84"/>
    <w:rsid w:val="005550E7"/>
    <w:rsid w:val="0055553F"/>
    <w:rsid w:val="00555771"/>
    <w:rsid w:val="005564FB"/>
    <w:rsid w:val="005572C7"/>
    <w:rsid w:val="005576A4"/>
    <w:rsid w:val="00561209"/>
    <w:rsid w:val="00562107"/>
    <w:rsid w:val="00562906"/>
    <w:rsid w:val="00562C08"/>
    <w:rsid w:val="00562E8A"/>
    <w:rsid w:val="00563228"/>
    <w:rsid w:val="00564540"/>
    <w:rsid w:val="005650ED"/>
    <w:rsid w:val="0056596F"/>
    <w:rsid w:val="005660FB"/>
    <w:rsid w:val="00566469"/>
    <w:rsid w:val="00566E8C"/>
    <w:rsid w:val="00566ECB"/>
    <w:rsid w:val="00567EF1"/>
    <w:rsid w:val="0057075F"/>
    <w:rsid w:val="00570DB2"/>
    <w:rsid w:val="0057235A"/>
    <w:rsid w:val="00572C9F"/>
    <w:rsid w:val="00575754"/>
    <w:rsid w:val="00575F35"/>
    <w:rsid w:val="00576151"/>
    <w:rsid w:val="00576B79"/>
    <w:rsid w:val="00577082"/>
    <w:rsid w:val="00577251"/>
    <w:rsid w:val="00577BE2"/>
    <w:rsid w:val="00577EA3"/>
    <w:rsid w:val="005825CC"/>
    <w:rsid w:val="005827DE"/>
    <w:rsid w:val="005828B5"/>
    <w:rsid w:val="00582BA2"/>
    <w:rsid w:val="005830A3"/>
    <w:rsid w:val="005830FE"/>
    <w:rsid w:val="005837C0"/>
    <w:rsid w:val="00583E9F"/>
    <w:rsid w:val="005858C1"/>
    <w:rsid w:val="00585DE5"/>
    <w:rsid w:val="00586688"/>
    <w:rsid w:val="00586B5E"/>
    <w:rsid w:val="00587191"/>
    <w:rsid w:val="0058737B"/>
    <w:rsid w:val="00587F27"/>
    <w:rsid w:val="005909FA"/>
    <w:rsid w:val="005911C1"/>
    <w:rsid w:val="00591663"/>
    <w:rsid w:val="00591686"/>
    <w:rsid w:val="00591E20"/>
    <w:rsid w:val="0059210F"/>
    <w:rsid w:val="00592766"/>
    <w:rsid w:val="005929A3"/>
    <w:rsid w:val="00592E81"/>
    <w:rsid w:val="005933D4"/>
    <w:rsid w:val="00594433"/>
    <w:rsid w:val="00594C3E"/>
    <w:rsid w:val="00594F1C"/>
    <w:rsid w:val="00595408"/>
    <w:rsid w:val="00595459"/>
    <w:rsid w:val="00595E84"/>
    <w:rsid w:val="005965E0"/>
    <w:rsid w:val="00596B7D"/>
    <w:rsid w:val="00597564"/>
    <w:rsid w:val="005975E5"/>
    <w:rsid w:val="005975EA"/>
    <w:rsid w:val="00597B48"/>
    <w:rsid w:val="00597C05"/>
    <w:rsid w:val="00597D79"/>
    <w:rsid w:val="005A0564"/>
    <w:rsid w:val="005A05AD"/>
    <w:rsid w:val="005A0888"/>
    <w:rsid w:val="005A0C59"/>
    <w:rsid w:val="005A0E6A"/>
    <w:rsid w:val="005A184A"/>
    <w:rsid w:val="005A1D3D"/>
    <w:rsid w:val="005A21AE"/>
    <w:rsid w:val="005A48EB"/>
    <w:rsid w:val="005A507B"/>
    <w:rsid w:val="005A585F"/>
    <w:rsid w:val="005A5BE7"/>
    <w:rsid w:val="005A5E2B"/>
    <w:rsid w:val="005A6CFB"/>
    <w:rsid w:val="005A6F80"/>
    <w:rsid w:val="005B0FE0"/>
    <w:rsid w:val="005B1115"/>
    <w:rsid w:val="005B1283"/>
    <w:rsid w:val="005B23BB"/>
    <w:rsid w:val="005B2A8E"/>
    <w:rsid w:val="005B2B2F"/>
    <w:rsid w:val="005B41B4"/>
    <w:rsid w:val="005B450C"/>
    <w:rsid w:val="005B4716"/>
    <w:rsid w:val="005B546B"/>
    <w:rsid w:val="005B6B93"/>
    <w:rsid w:val="005C0A6F"/>
    <w:rsid w:val="005C0EDE"/>
    <w:rsid w:val="005C0FF4"/>
    <w:rsid w:val="005C3421"/>
    <w:rsid w:val="005C43EB"/>
    <w:rsid w:val="005C497A"/>
    <w:rsid w:val="005C5AEB"/>
    <w:rsid w:val="005C5B52"/>
    <w:rsid w:val="005C6BF5"/>
    <w:rsid w:val="005C7ABB"/>
    <w:rsid w:val="005C7C67"/>
    <w:rsid w:val="005C7EC3"/>
    <w:rsid w:val="005D0725"/>
    <w:rsid w:val="005D08BB"/>
    <w:rsid w:val="005D0CDF"/>
    <w:rsid w:val="005D1A80"/>
    <w:rsid w:val="005D2310"/>
    <w:rsid w:val="005D25D1"/>
    <w:rsid w:val="005D346E"/>
    <w:rsid w:val="005D418D"/>
    <w:rsid w:val="005D45A1"/>
    <w:rsid w:val="005D4A3F"/>
    <w:rsid w:val="005D4BF2"/>
    <w:rsid w:val="005D54C8"/>
    <w:rsid w:val="005D61F7"/>
    <w:rsid w:val="005D69DE"/>
    <w:rsid w:val="005E01B0"/>
    <w:rsid w:val="005E03D8"/>
    <w:rsid w:val="005E0A3F"/>
    <w:rsid w:val="005E0B98"/>
    <w:rsid w:val="005E1F02"/>
    <w:rsid w:val="005E24DE"/>
    <w:rsid w:val="005E3AC5"/>
    <w:rsid w:val="005E3E91"/>
    <w:rsid w:val="005E5023"/>
    <w:rsid w:val="005E5EDC"/>
    <w:rsid w:val="005E6883"/>
    <w:rsid w:val="005E6E3B"/>
    <w:rsid w:val="005E75B2"/>
    <w:rsid w:val="005E772F"/>
    <w:rsid w:val="005E7CEC"/>
    <w:rsid w:val="005F087F"/>
    <w:rsid w:val="005F0999"/>
    <w:rsid w:val="005F210B"/>
    <w:rsid w:val="005F2413"/>
    <w:rsid w:val="005F28C9"/>
    <w:rsid w:val="005F399A"/>
    <w:rsid w:val="005F4A1E"/>
    <w:rsid w:val="005F4ECA"/>
    <w:rsid w:val="005F555D"/>
    <w:rsid w:val="005F55A6"/>
    <w:rsid w:val="005F58F6"/>
    <w:rsid w:val="005F665B"/>
    <w:rsid w:val="005F6DF6"/>
    <w:rsid w:val="005F7EB0"/>
    <w:rsid w:val="005F7F28"/>
    <w:rsid w:val="00600481"/>
    <w:rsid w:val="0060108C"/>
    <w:rsid w:val="006017DD"/>
    <w:rsid w:val="00602653"/>
    <w:rsid w:val="00603586"/>
    <w:rsid w:val="00603A98"/>
    <w:rsid w:val="006041BE"/>
    <w:rsid w:val="006043C7"/>
    <w:rsid w:val="006044E1"/>
    <w:rsid w:val="00604CC5"/>
    <w:rsid w:val="006059E9"/>
    <w:rsid w:val="006060B6"/>
    <w:rsid w:val="00606156"/>
    <w:rsid w:val="006070D1"/>
    <w:rsid w:val="00607182"/>
    <w:rsid w:val="0060798E"/>
    <w:rsid w:val="00607A16"/>
    <w:rsid w:val="00607D9B"/>
    <w:rsid w:val="006101FC"/>
    <w:rsid w:val="00611B17"/>
    <w:rsid w:val="00611EA9"/>
    <w:rsid w:val="0061212E"/>
    <w:rsid w:val="0061243D"/>
    <w:rsid w:val="006130AD"/>
    <w:rsid w:val="00614154"/>
    <w:rsid w:val="0061419E"/>
    <w:rsid w:val="006144B0"/>
    <w:rsid w:val="00614BD4"/>
    <w:rsid w:val="00614FA7"/>
    <w:rsid w:val="00615C00"/>
    <w:rsid w:val="00616821"/>
    <w:rsid w:val="00616A52"/>
    <w:rsid w:val="00617B86"/>
    <w:rsid w:val="00617D5B"/>
    <w:rsid w:val="00617E4F"/>
    <w:rsid w:val="006201C2"/>
    <w:rsid w:val="00621FD5"/>
    <w:rsid w:val="00624300"/>
    <w:rsid w:val="006249DC"/>
    <w:rsid w:val="00624B52"/>
    <w:rsid w:val="006269F2"/>
    <w:rsid w:val="00627046"/>
    <w:rsid w:val="00627385"/>
    <w:rsid w:val="006308B1"/>
    <w:rsid w:val="00631DF4"/>
    <w:rsid w:val="00634175"/>
    <w:rsid w:val="006350E3"/>
    <w:rsid w:val="006408AC"/>
    <w:rsid w:val="00640EAD"/>
    <w:rsid w:val="00641609"/>
    <w:rsid w:val="00642E00"/>
    <w:rsid w:val="00643ADE"/>
    <w:rsid w:val="00643E05"/>
    <w:rsid w:val="006456A2"/>
    <w:rsid w:val="006456FF"/>
    <w:rsid w:val="00645DB3"/>
    <w:rsid w:val="00647B1C"/>
    <w:rsid w:val="00647CC7"/>
    <w:rsid w:val="00650ECD"/>
    <w:rsid w:val="006511B6"/>
    <w:rsid w:val="00651208"/>
    <w:rsid w:val="006521A6"/>
    <w:rsid w:val="0065249F"/>
    <w:rsid w:val="00652742"/>
    <w:rsid w:val="00652F47"/>
    <w:rsid w:val="0065399F"/>
    <w:rsid w:val="00654106"/>
    <w:rsid w:val="00654D08"/>
    <w:rsid w:val="00655207"/>
    <w:rsid w:val="00655F38"/>
    <w:rsid w:val="006565B9"/>
    <w:rsid w:val="00656D47"/>
    <w:rsid w:val="00657A14"/>
    <w:rsid w:val="00657F6E"/>
    <w:rsid w:val="00657FF8"/>
    <w:rsid w:val="006618B7"/>
    <w:rsid w:val="00661D43"/>
    <w:rsid w:val="00661DA3"/>
    <w:rsid w:val="00662627"/>
    <w:rsid w:val="00663137"/>
    <w:rsid w:val="00663419"/>
    <w:rsid w:val="006637AE"/>
    <w:rsid w:val="00663B4C"/>
    <w:rsid w:val="00663BD3"/>
    <w:rsid w:val="00664579"/>
    <w:rsid w:val="0066467F"/>
    <w:rsid w:val="006650F3"/>
    <w:rsid w:val="00665FDF"/>
    <w:rsid w:val="00666255"/>
    <w:rsid w:val="00666314"/>
    <w:rsid w:val="00666383"/>
    <w:rsid w:val="00666E9D"/>
    <w:rsid w:val="006672E0"/>
    <w:rsid w:val="00667D68"/>
    <w:rsid w:val="00670D64"/>
    <w:rsid w:val="00670D99"/>
    <w:rsid w:val="00670E2B"/>
    <w:rsid w:val="00671623"/>
    <w:rsid w:val="006717FD"/>
    <w:rsid w:val="0067184F"/>
    <w:rsid w:val="00671B64"/>
    <w:rsid w:val="00672743"/>
    <w:rsid w:val="006734BB"/>
    <w:rsid w:val="00674605"/>
    <w:rsid w:val="00674871"/>
    <w:rsid w:val="00675261"/>
    <w:rsid w:val="006754DB"/>
    <w:rsid w:val="0067652B"/>
    <w:rsid w:val="00677158"/>
    <w:rsid w:val="00677877"/>
    <w:rsid w:val="00680C54"/>
    <w:rsid w:val="00681A34"/>
    <w:rsid w:val="006821EB"/>
    <w:rsid w:val="00682263"/>
    <w:rsid w:val="00682492"/>
    <w:rsid w:val="0068282B"/>
    <w:rsid w:val="0068363F"/>
    <w:rsid w:val="00683E2A"/>
    <w:rsid w:val="006842DC"/>
    <w:rsid w:val="006852C7"/>
    <w:rsid w:val="00685F6E"/>
    <w:rsid w:val="00685FD0"/>
    <w:rsid w:val="006865F6"/>
    <w:rsid w:val="0068721C"/>
    <w:rsid w:val="006879C8"/>
    <w:rsid w:val="0069134B"/>
    <w:rsid w:val="00692694"/>
    <w:rsid w:val="0069331C"/>
    <w:rsid w:val="00693ABF"/>
    <w:rsid w:val="0069414E"/>
    <w:rsid w:val="00694153"/>
    <w:rsid w:val="00694653"/>
    <w:rsid w:val="0069498E"/>
    <w:rsid w:val="00694C36"/>
    <w:rsid w:val="0069505F"/>
    <w:rsid w:val="00695334"/>
    <w:rsid w:val="00695B45"/>
    <w:rsid w:val="00695F8A"/>
    <w:rsid w:val="006A006D"/>
    <w:rsid w:val="006A014B"/>
    <w:rsid w:val="006A031F"/>
    <w:rsid w:val="006A07D8"/>
    <w:rsid w:val="006A0A24"/>
    <w:rsid w:val="006A12D8"/>
    <w:rsid w:val="006A1915"/>
    <w:rsid w:val="006A19CB"/>
    <w:rsid w:val="006A21F2"/>
    <w:rsid w:val="006A2B36"/>
    <w:rsid w:val="006A3174"/>
    <w:rsid w:val="006A3780"/>
    <w:rsid w:val="006A3C45"/>
    <w:rsid w:val="006A54F7"/>
    <w:rsid w:val="006A5AA2"/>
    <w:rsid w:val="006B05DF"/>
    <w:rsid w:val="006B07EE"/>
    <w:rsid w:val="006B0DCF"/>
    <w:rsid w:val="006B14E5"/>
    <w:rsid w:val="006B179D"/>
    <w:rsid w:val="006B2286"/>
    <w:rsid w:val="006B2376"/>
    <w:rsid w:val="006B3FED"/>
    <w:rsid w:val="006B495E"/>
    <w:rsid w:val="006B4C08"/>
    <w:rsid w:val="006B4E10"/>
    <w:rsid w:val="006B56BB"/>
    <w:rsid w:val="006B59DB"/>
    <w:rsid w:val="006B68D1"/>
    <w:rsid w:val="006B7423"/>
    <w:rsid w:val="006B7617"/>
    <w:rsid w:val="006B7837"/>
    <w:rsid w:val="006C09F0"/>
    <w:rsid w:val="006C0B6E"/>
    <w:rsid w:val="006C0DB5"/>
    <w:rsid w:val="006C0DE5"/>
    <w:rsid w:val="006C12A1"/>
    <w:rsid w:val="006C145A"/>
    <w:rsid w:val="006C1945"/>
    <w:rsid w:val="006C1AA3"/>
    <w:rsid w:val="006C1D23"/>
    <w:rsid w:val="006C1F45"/>
    <w:rsid w:val="006C3F86"/>
    <w:rsid w:val="006C4E9C"/>
    <w:rsid w:val="006C5189"/>
    <w:rsid w:val="006C5AF6"/>
    <w:rsid w:val="006C75A3"/>
    <w:rsid w:val="006C75F0"/>
    <w:rsid w:val="006C77A8"/>
    <w:rsid w:val="006D0CF7"/>
    <w:rsid w:val="006D1195"/>
    <w:rsid w:val="006D12ED"/>
    <w:rsid w:val="006D14EA"/>
    <w:rsid w:val="006D1826"/>
    <w:rsid w:val="006D23B8"/>
    <w:rsid w:val="006D31F1"/>
    <w:rsid w:val="006D3230"/>
    <w:rsid w:val="006D3493"/>
    <w:rsid w:val="006D4098"/>
    <w:rsid w:val="006D5350"/>
    <w:rsid w:val="006D5720"/>
    <w:rsid w:val="006D5B10"/>
    <w:rsid w:val="006D614E"/>
    <w:rsid w:val="006D622F"/>
    <w:rsid w:val="006D7681"/>
    <w:rsid w:val="006D779C"/>
    <w:rsid w:val="006D7B2E"/>
    <w:rsid w:val="006E02EA"/>
    <w:rsid w:val="006E0968"/>
    <w:rsid w:val="006E0C5E"/>
    <w:rsid w:val="006E1B78"/>
    <w:rsid w:val="006E2AF6"/>
    <w:rsid w:val="006E2B79"/>
    <w:rsid w:val="006E445D"/>
    <w:rsid w:val="006E44E7"/>
    <w:rsid w:val="006E5746"/>
    <w:rsid w:val="006E5BA3"/>
    <w:rsid w:val="006E6DFD"/>
    <w:rsid w:val="006E7EF9"/>
    <w:rsid w:val="006F00CB"/>
    <w:rsid w:val="006F0355"/>
    <w:rsid w:val="006F09CC"/>
    <w:rsid w:val="006F2177"/>
    <w:rsid w:val="006F24BB"/>
    <w:rsid w:val="006F2568"/>
    <w:rsid w:val="006F40BD"/>
    <w:rsid w:val="006F422A"/>
    <w:rsid w:val="006F4649"/>
    <w:rsid w:val="006F56FD"/>
    <w:rsid w:val="006F5944"/>
    <w:rsid w:val="006F7162"/>
    <w:rsid w:val="0070119B"/>
    <w:rsid w:val="00701275"/>
    <w:rsid w:val="007026A7"/>
    <w:rsid w:val="00703C99"/>
    <w:rsid w:val="0070485D"/>
    <w:rsid w:val="0070520B"/>
    <w:rsid w:val="00705933"/>
    <w:rsid w:val="00705DF0"/>
    <w:rsid w:val="00706492"/>
    <w:rsid w:val="00706CC6"/>
    <w:rsid w:val="00706EDC"/>
    <w:rsid w:val="00707F56"/>
    <w:rsid w:val="00710D45"/>
    <w:rsid w:val="007115C4"/>
    <w:rsid w:val="00711F96"/>
    <w:rsid w:val="00712E00"/>
    <w:rsid w:val="00713147"/>
    <w:rsid w:val="00713558"/>
    <w:rsid w:val="007145F4"/>
    <w:rsid w:val="00714C06"/>
    <w:rsid w:val="00714F91"/>
    <w:rsid w:val="007151DA"/>
    <w:rsid w:val="0071526A"/>
    <w:rsid w:val="00715B3D"/>
    <w:rsid w:val="00716397"/>
    <w:rsid w:val="00716562"/>
    <w:rsid w:val="00716AA2"/>
    <w:rsid w:val="007209B1"/>
    <w:rsid w:val="00720D08"/>
    <w:rsid w:val="00720D89"/>
    <w:rsid w:val="00720FEE"/>
    <w:rsid w:val="00721C18"/>
    <w:rsid w:val="00722466"/>
    <w:rsid w:val="00722C79"/>
    <w:rsid w:val="0072337A"/>
    <w:rsid w:val="00723445"/>
    <w:rsid w:val="0072420F"/>
    <w:rsid w:val="007244DC"/>
    <w:rsid w:val="0072553C"/>
    <w:rsid w:val="007263B9"/>
    <w:rsid w:val="00727BFD"/>
    <w:rsid w:val="00727C24"/>
    <w:rsid w:val="0073113D"/>
    <w:rsid w:val="00731448"/>
    <w:rsid w:val="007323FB"/>
    <w:rsid w:val="0073279A"/>
    <w:rsid w:val="007334F8"/>
    <w:rsid w:val="007339CD"/>
    <w:rsid w:val="0073557F"/>
    <w:rsid w:val="007359BA"/>
    <w:rsid w:val="007359D8"/>
    <w:rsid w:val="007362D4"/>
    <w:rsid w:val="0073643E"/>
    <w:rsid w:val="00736A70"/>
    <w:rsid w:val="007371DC"/>
    <w:rsid w:val="00737993"/>
    <w:rsid w:val="00737C6A"/>
    <w:rsid w:val="00737E9F"/>
    <w:rsid w:val="00740A46"/>
    <w:rsid w:val="00740F8E"/>
    <w:rsid w:val="007412C3"/>
    <w:rsid w:val="00741BA0"/>
    <w:rsid w:val="00741D49"/>
    <w:rsid w:val="00741DD6"/>
    <w:rsid w:val="00742970"/>
    <w:rsid w:val="0074390C"/>
    <w:rsid w:val="00744966"/>
    <w:rsid w:val="007450B0"/>
    <w:rsid w:val="0074682D"/>
    <w:rsid w:val="007469C4"/>
    <w:rsid w:val="007479F7"/>
    <w:rsid w:val="00750624"/>
    <w:rsid w:val="00750A5C"/>
    <w:rsid w:val="00751527"/>
    <w:rsid w:val="00751A23"/>
    <w:rsid w:val="00751E85"/>
    <w:rsid w:val="007520B3"/>
    <w:rsid w:val="00752A92"/>
    <w:rsid w:val="00752AD8"/>
    <w:rsid w:val="00752ADA"/>
    <w:rsid w:val="00752ECA"/>
    <w:rsid w:val="007533B6"/>
    <w:rsid w:val="00754CF2"/>
    <w:rsid w:val="00754EB3"/>
    <w:rsid w:val="00755320"/>
    <w:rsid w:val="007556FB"/>
    <w:rsid w:val="00755877"/>
    <w:rsid w:val="007562EE"/>
    <w:rsid w:val="00756E82"/>
    <w:rsid w:val="00756F7F"/>
    <w:rsid w:val="00757F52"/>
    <w:rsid w:val="007601F7"/>
    <w:rsid w:val="00760C0F"/>
    <w:rsid w:val="00760C2D"/>
    <w:rsid w:val="00761588"/>
    <w:rsid w:val="007616E7"/>
    <w:rsid w:val="0076261D"/>
    <w:rsid w:val="0076279B"/>
    <w:rsid w:val="00763D31"/>
    <w:rsid w:val="0076463A"/>
    <w:rsid w:val="007649E9"/>
    <w:rsid w:val="007664E4"/>
    <w:rsid w:val="0076672A"/>
    <w:rsid w:val="00770048"/>
    <w:rsid w:val="00770E26"/>
    <w:rsid w:val="007710B4"/>
    <w:rsid w:val="00771320"/>
    <w:rsid w:val="0077206F"/>
    <w:rsid w:val="0077313A"/>
    <w:rsid w:val="00773E18"/>
    <w:rsid w:val="007744CB"/>
    <w:rsid w:val="00775086"/>
    <w:rsid w:val="007755A5"/>
    <w:rsid w:val="00775D85"/>
    <w:rsid w:val="00775E45"/>
    <w:rsid w:val="00775EF7"/>
    <w:rsid w:val="007769FE"/>
    <w:rsid w:val="00776E74"/>
    <w:rsid w:val="00777DE6"/>
    <w:rsid w:val="007801A9"/>
    <w:rsid w:val="007820A5"/>
    <w:rsid w:val="00782C19"/>
    <w:rsid w:val="00783D13"/>
    <w:rsid w:val="007844F2"/>
    <w:rsid w:val="00785169"/>
    <w:rsid w:val="00785461"/>
    <w:rsid w:val="00787BE7"/>
    <w:rsid w:val="00791080"/>
    <w:rsid w:val="0079157A"/>
    <w:rsid w:val="00791C22"/>
    <w:rsid w:val="007922FE"/>
    <w:rsid w:val="007938C9"/>
    <w:rsid w:val="00793C11"/>
    <w:rsid w:val="00793E29"/>
    <w:rsid w:val="0079516D"/>
    <w:rsid w:val="007954AB"/>
    <w:rsid w:val="00795FAB"/>
    <w:rsid w:val="00796121"/>
    <w:rsid w:val="00796F5E"/>
    <w:rsid w:val="007A0404"/>
    <w:rsid w:val="007A09C0"/>
    <w:rsid w:val="007A0F90"/>
    <w:rsid w:val="007A14C5"/>
    <w:rsid w:val="007A1A4E"/>
    <w:rsid w:val="007A1BD7"/>
    <w:rsid w:val="007A2735"/>
    <w:rsid w:val="007A2C09"/>
    <w:rsid w:val="007A31F7"/>
    <w:rsid w:val="007A3E38"/>
    <w:rsid w:val="007A4A10"/>
    <w:rsid w:val="007A4F66"/>
    <w:rsid w:val="007A6171"/>
    <w:rsid w:val="007A67A9"/>
    <w:rsid w:val="007B078A"/>
    <w:rsid w:val="007B0E4A"/>
    <w:rsid w:val="007B1760"/>
    <w:rsid w:val="007B2162"/>
    <w:rsid w:val="007B2E52"/>
    <w:rsid w:val="007B32D8"/>
    <w:rsid w:val="007B35D0"/>
    <w:rsid w:val="007B360B"/>
    <w:rsid w:val="007B3D03"/>
    <w:rsid w:val="007B4971"/>
    <w:rsid w:val="007B5160"/>
    <w:rsid w:val="007B7CCB"/>
    <w:rsid w:val="007C02E6"/>
    <w:rsid w:val="007C1101"/>
    <w:rsid w:val="007C15F6"/>
    <w:rsid w:val="007C1A18"/>
    <w:rsid w:val="007C1C78"/>
    <w:rsid w:val="007C1FDE"/>
    <w:rsid w:val="007C20AB"/>
    <w:rsid w:val="007C340C"/>
    <w:rsid w:val="007C42A7"/>
    <w:rsid w:val="007C4790"/>
    <w:rsid w:val="007C4FB8"/>
    <w:rsid w:val="007C5AAF"/>
    <w:rsid w:val="007C6004"/>
    <w:rsid w:val="007C6D9C"/>
    <w:rsid w:val="007C7171"/>
    <w:rsid w:val="007C748E"/>
    <w:rsid w:val="007C75E0"/>
    <w:rsid w:val="007C7DDB"/>
    <w:rsid w:val="007D02AF"/>
    <w:rsid w:val="007D2CC7"/>
    <w:rsid w:val="007D3A8C"/>
    <w:rsid w:val="007D47B7"/>
    <w:rsid w:val="007D4C8E"/>
    <w:rsid w:val="007D551B"/>
    <w:rsid w:val="007D63F6"/>
    <w:rsid w:val="007D6697"/>
    <w:rsid w:val="007D673D"/>
    <w:rsid w:val="007D6ABF"/>
    <w:rsid w:val="007D7025"/>
    <w:rsid w:val="007D70E9"/>
    <w:rsid w:val="007D7481"/>
    <w:rsid w:val="007D74F1"/>
    <w:rsid w:val="007D7D76"/>
    <w:rsid w:val="007E0D12"/>
    <w:rsid w:val="007E18CF"/>
    <w:rsid w:val="007E3226"/>
    <w:rsid w:val="007E3287"/>
    <w:rsid w:val="007E3EDD"/>
    <w:rsid w:val="007E4D60"/>
    <w:rsid w:val="007E4DC0"/>
    <w:rsid w:val="007E5419"/>
    <w:rsid w:val="007E7ADC"/>
    <w:rsid w:val="007F0A5B"/>
    <w:rsid w:val="007F0A90"/>
    <w:rsid w:val="007F2220"/>
    <w:rsid w:val="007F2D1D"/>
    <w:rsid w:val="007F425D"/>
    <w:rsid w:val="007F4747"/>
    <w:rsid w:val="007F4B3E"/>
    <w:rsid w:val="007F50E5"/>
    <w:rsid w:val="007F588A"/>
    <w:rsid w:val="007F5924"/>
    <w:rsid w:val="007F701A"/>
    <w:rsid w:val="007F7247"/>
    <w:rsid w:val="007F7D4C"/>
    <w:rsid w:val="00800081"/>
    <w:rsid w:val="00800593"/>
    <w:rsid w:val="008005D6"/>
    <w:rsid w:val="00801748"/>
    <w:rsid w:val="0080181C"/>
    <w:rsid w:val="00802391"/>
    <w:rsid w:val="00803D71"/>
    <w:rsid w:val="008043CF"/>
    <w:rsid w:val="008064C5"/>
    <w:rsid w:val="00806B08"/>
    <w:rsid w:val="00807B44"/>
    <w:rsid w:val="008102D2"/>
    <w:rsid w:val="00810537"/>
    <w:rsid w:val="0081190E"/>
    <w:rsid w:val="008121BF"/>
    <w:rsid w:val="0081266E"/>
    <w:rsid w:val="008127AF"/>
    <w:rsid w:val="008129FE"/>
    <w:rsid w:val="00812B46"/>
    <w:rsid w:val="008131FD"/>
    <w:rsid w:val="00813510"/>
    <w:rsid w:val="00814712"/>
    <w:rsid w:val="008151BE"/>
    <w:rsid w:val="00815700"/>
    <w:rsid w:val="00815847"/>
    <w:rsid w:val="00815DB5"/>
    <w:rsid w:val="0081692A"/>
    <w:rsid w:val="00816F9B"/>
    <w:rsid w:val="008178B5"/>
    <w:rsid w:val="00817A31"/>
    <w:rsid w:val="00817B70"/>
    <w:rsid w:val="00817B96"/>
    <w:rsid w:val="008203DF"/>
    <w:rsid w:val="00821BA4"/>
    <w:rsid w:val="00822D49"/>
    <w:rsid w:val="0082411D"/>
    <w:rsid w:val="00824987"/>
    <w:rsid w:val="008264EB"/>
    <w:rsid w:val="00826B8F"/>
    <w:rsid w:val="00826D41"/>
    <w:rsid w:val="008276DA"/>
    <w:rsid w:val="00831792"/>
    <w:rsid w:val="00831E8A"/>
    <w:rsid w:val="00831ECA"/>
    <w:rsid w:val="0083377B"/>
    <w:rsid w:val="00835C5F"/>
    <w:rsid w:val="00835C76"/>
    <w:rsid w:val="00836246"/>
    <w:rsid w:val="008362EC"/>
    <w:rsid w:val="008364B4"/>
    <w:rsid w:val="00836795"/>
    <w:rsid w:val="00837187"/>
    <w:rsid w:val="0083732F"/>
    <w:rsid w:val="008412A7"/>
    <w:rsid w:val="00841E8C"/>
    <w:rsid w:val="00842315"/>
    <w:rsid w:val="00842769"/>
    <w:rsid w:val="00842938"/>
    <w:rsid w:val="008429E7"/>
    <w:rsid w:val="00843049"/>
    <w:rsid w:val="00844766"/>
    <w:rsid w:val="008449AF"/>
    <w:rsid w:val="0084548B"/>
    <w:rsid w:val="008459A9"/>
    <w:rsid w:val="00850C45"/>
    <w:rsid w:val="0085209B"/>
    <w:rsid w:val="0085456E"/>
    <w:rsid w:val="00854D41"/>
    <w:rsid w:val="00856B66"/>
    <w:rsid w:val="00856E6E"/>
    <w:rsid w:val="00857281"/>
    <w:rsid w:val="0086014E"/>
    <w:rsid w:val="008602DF"/>
    <w:rsid w:val="008615A3"/>
    <w:rsid w:val="00861A5F"/>
    <w:rsid w:val="00861A97"/>
    <w:rsid w:val="00861EE8"/>
    <w:rsid w:val="008622A4"/>
    <w:rsid w:val="0086264C"/>
    <w:rsid w:val="008632F2"/>
    <w:rsid w:val="00863C59"/>
    <w:rsid w:val="00863D3C"/>
    <w:rsid w:val="00863FD8"/>
    <w:rsid w:val="008644AD"/>
    <w:rsid w:val="00864A3D"/>
    <w:rsid w:val="00864C89"/>
    <w:rsid w:val="00865735"/>
    <w:rsid w:val="00865A6F"/>
    <w:rsid w:val="00865DDB"/>
    <w:rsid w:val="00866831"/>
    <w:rsid w:val="00866B3A"/>
    <w:rsid w:val="008670F3"/>
    <w:rsid w:val="00867538"/>
    <w:rsid w:val="008709F7"/>
    <w:rsid w:val="008715A9"/>
    <w:rsid w:val="00871939"/>
    <w:rsid w:val="00872091"/>
    <w:rsid w:val="0087252F"/>
    <w:rsid w:val="00872D84"/>
    <w:rsid w:val="00873578"/>
    <w:rsid w:val="0087367C"/>
    <w:rsid w:val="00873D90"/>
    <w:rsid w:val="00873F2A"/>
    <w:rsid w:val="00873FC8"/>
    <w:rsid w:val="00874BA8"/>
    <w:rsid w:val="0087508D"/>
    <w:rsid w:val="00875CBE"/>
    <w:rsid w:val="008808EA"/>
    <w:rsid w:val="0088162F"/>
    <w:rsid w:val="00881AFF"/>
    <w:rsid w:val="0088274E"/>
    <w:rsid w:val="00882C85"/>
    <w:rsid w:val="0088303B"/>
    <w:rsid w:val="00883D14"/>
    <w:rsid w:val="0088469C"/>
    <w:rsid w:val="00884C63"/>
    <w:rsid w:val="00885908"/>
    <w:rsid w:val="00886338"/>
    <w:rsid w:val="00886388"/>
    <w:rsid w:val="008864B7"/>
    <w:rsid w:val="008867EF"/>
    <w:rsid w:val="00886A83"/>
    <w:rsid w:val="008878F8"/>
    <w:rsid w:val="00891B5B"/>
    <w:rsid w:val="00891CAC"/>
    <w:rsid w:val="0089233A"/>
    <w:rsid w:val="00894CFE"/>
    <w:rsid w:val="008951DD"/>
    <w:rsid w:val="008959B0"/>
    <w:rsid w:val="00895A4D"/>
    <w:rsid w:val="008965E4"/>
    <w:rsid w:val="0089677E"/>
    <w:rsid w:val="00896788"/>
    <w:rsid w:val="00896E8C"/>
    <w:rsid w:val="0089745C"/>
    <w:rsid w:val="008A04AB"/>
    <w:rsid w:val="008A0509"/>
    <w:rsid w:val="008A125F"/>
    <w:rsid w:val="008A23AE"/>
    <w:rsid w:val="008A2A2E"/>
    <w:rsid w:val="008A348F"/>
    <w:rsid w:val="008A4060"/>
    <w:rsid w:val="008A4253"/>
    <w:rsid w:val="008A47A7"/>
    <w:rsid w:val="008A5E33"/>
    <w:rsid w:val="008A69E7"/>
    <w:rsid w:val="008A6A8B"/>
    <w:rsid w:val="008A7438"/>
    <w:rsid w:val="008B1334"/>
    <w:rsid w:val="008B261A"/>
    <w:rsid w:val="008B3900"/>
    <w:rsid w:val="008B459B"/>
    <w:rsid w:val="008B4DCB"/>
    <w:rsid w:val="008B51C0"/>
    <w:rsid w:val="008B5201"/>
    <w:rsid w:val="008B5315"/>
    <w:rsid w:val="008B5433"/>
    <w:rsid w:val="008B557A"/>
    <w:rsid w:val="008B7CE4"/>
    <w:rsid w:val="008C00DD"/>
    <w:rsid w:val="008C0278"/>
    <w:rsid w:val="008C1455"/>
    <w:rsid w:val="008C24E9"/>
    <w:rsid w:val="008C2EB8"/>
    <w:rsid w:val="008C3542"/>
    <w:rsid w:val="008C44EA"/>
    <w:rsid w:val="008C4CF6"/>
    <w:rsid w:val="008C4F70"/>
    <w:rsid w:val="008C5D85"/>
    <w:rsid w:val="008C6BAD"/>
    <w:rsid w:val="008C728B"/>
    <w:rsid w:val="008C7625"/>
    <w:rsid w:val="008D0120"/>
    <w:rsid w:val="008D0533"/>
    <w:rsid w:val="008D0BFE"/>
    <w:rsid w:val="008D1337"/>
    <w:rsid w:val="008D142A"/>
    <w:rsid w:val="008D153E"/>
    <w:rsid w:val="008D1993"/>
    <w:rsid w:val="008D1AF4"/>
    <w:rsid w:val="008D20FC"/>
    <w:rsid w:val="008D247A"/>
    <w:rsid w:val="008D24E2"/>
    <w:rsid w:val="008D303E"/>
    <w:rsid w:val="008D42CB"/>
    <w:rsid w:val="008D48C9"/>
    <w:rsid w:val="008D5AFE"/>
    <w:rsid w:val="008D5B79"/>
    <w:rsid w:val="008D6062"/>
    <w:rsid w:val="008D6381"/>
    <w:rsid w:val="008D7939"/>
    <w:rsid w:val="008E0C77"/>
    <w:rsid w:val="008E0D10"/>
    <w:rsid w:val="008E18B0"/>
    <w:rsid w:val="008E37B3"/>
    <w:rsid w:val="008E3AC4"/>
    <w:rsid w:val="008E41CD"/>
    <w:rsid w:val="008E4B49"/>
    <w:rsid w:val="008E4D48"/>
    <w:rsid w:val="008E5719"/>
    <w:rsid w:val="008E625F"/>
    <w:rsid w:val="008E6354"/>
    <w:rsid w:val="008E63A4"/>
    <w:rsid w:val="008E70F7"/>
    <w:rsid w:val="008E73C8"/>
    <w:rsid w:val="008E7ADE"/>
    <w:rsid w:val="008F02F8"/>
    <w:rsid w:val="008F0B9D"/>
    <w:rsid w:val="008F1118"/>
    <w:rsid w:val="008F1187"/>
    <w:rsid w:val="008F264D"/>
    <w:rsid w:val="008F40EA"/>
    <w:rsid w:val="008F43FF"/>
    <w:rsid w:val="008F481F"/>
    <w:rsid w:val="008F5640"/>
    <w:rsid w:val="008F6BE6"/>
    <w:rsid w:val="008F6CC7"/>
    <w:rsid w:val="00900190"/>
    <w:rsid w:val="00900C64"/>
    <w:rsid w:val="0090139D"/>
    <w:rsid w:val="009016C3"/>
    <w:rsid w:val="00901A48"/>
    <w:rsid w:val="00901F38"/>
    <w:rsid w:val="00902068"/>
    <w:rsid w:val="009027ED"/>
    <w:rsid w:val="00903522"/>
    <w:rsid w:val="009044E7"/>
    <w:rsid w:val="00904576"/>
    <w:rsid w:val="00906175"/>
    <w:rsid w:val="009065E2"/>
    <w:rsid w:val="0090727B"/>
    <w:rsid w:val="009074E1"/>
    <w:rsid w:val="009112F7"/>
    <w:rsid w:val="00911880"/>
    <w:rsid w:val="00911DE2"/>
    <w:rsid w:val="009122AF"/>
    <w:rsid w:val="009127BC"/>
    <w:rsid w:val="00912925"/>
    <w:rsid w:val="00912D54"/>
    <w:rsid w:val="0091389F"/>
    <w:rsid w:val="00913ABA"/>
    <w:rsid w:val="00914006"/>
    <w:rsid w:val="00914835"/>
    <w:rsid w:val="0091511A"/>
    <w:rsid w:val="0091549F"/>
    <w:rsid w:val="0091573B"/>
    <w:rsid w:val="0091710F"/>
    <w:rsid w:val="009172F4"/>
    <w:rsid w:val="009175DB"/>
    <w:rsid w:val="00917670"/>
    <w:rsid w:val="00917F46"/>
    <w:rsid w:val="00920315"/>
    <w:rsid w:val="009205D2"/>
    <w:rsid w:val="0092075D"/>
    <w:rsid w:val="009208F7"/>
    <w:rsid w:val="00921551"/>
    <w:rsid w:val="009219EB"/>
    <w:rsid w:val="00921F19"/>
    <w:rsid w:val="0092206D"/>
    <w:rsid w:val="00922517"/>
    <w:rsid w:val="00922722"/>
    <w:rsid w:val="00922CC1"/>
    <w:rsid w:val="00924B1C"/>
    <w:rsid w:val="00925A09"/>
    <w:rsid w:val="009261E6"/>
    <w:rsid w:val="0092623C"/>
    <w:rsid w:val="009266DA"/>
    <w:rsid w:val="009268E1"/>
    <w:rsid w:val="00926D1A"/>
    <w:rsid w:val="00930577"/>
    <w:rsid w:val="009327FE"/>
    <w:rsid w:val="00932FD4"/>
    <w:rsid w:val="00934368"/>
    <w:rsid w:val="00934405"/>
    <w:rsid w:val="0093572D"/>
    <w:rsid w:val="00936B55"/>
    <w:rsid w:val="00941451"/>
    <w:rsid w:val="009432BF"/>
    <w:rsid w:val="00943B90"/>
    <w:rsid w:val="00943D02"/>
    <w:rsid w:val="009442D6"/>
    <w:rsid w:val="00945927"/>
    <w:rsid w:val="00945E7F"/>
    <w:rsid w:val="0094657D"/>
    <w:rsid w:val="009478C4"/>
    <w:rsid w:val="00947B0E"/>
    <w:rsid w:val="00950009"/>
    <w:rsid w:val="00950076"/>
    <w:rsid w:val="009501AD"/>
    <w:rsid w:val="009504DF"/>
    <w:rsid w:val="0095201E"/>
    <w:rsid w:val="009521BF"/>
    <w:rsid w:val="009543B1"/>
    <w:rsid w:val="00954930"/>
    <w:rsid w:val="00954CCE"/>
    <w:rsid w:val="009557C1"/>
    <w:rsid w:val="00955DCF"/>
    <w:rsid w:val="00956522"/>
    <w:rsid w:val="009607F9"/>
    <w:rsid w:val="00960D6E"/>
    <w:rsid w:val="00961E2C"/>
    <w:rsid w:val="00962651"/>
    <w:rsid w:val="0096332B"/>
    <w:rsid w:val="0096560A"/>
    <w:rsid w:val="00965A49"/>
    <w:rsid w:val="00965C19"/>
    <w:rsid w:val="00966052"/>
    <w:rsid w:val="009669C3"/>
    <w:rsid w:val="00967BC2"/>
    <w:rsid w:val="00967C02"/>
    <w:rsid w:val="00970CDD"/>
    <w:rsid w:val="00971BBD"/>
    <w:rsid w:val="00971DB2"/>
    <w:rsid w:val="0097219D"/>
    <w:rsid w:val="00972627"/>
    <w:rsid w:val="00972694"/>
    <w:rsid w:val="00972751"/>
    <w:rsid w:val="00972BC1"/>
    <w:rsid w:val="00974B59"/>
    <w:rsid w:val="00974BF3"/>
    <w:rsid w:val="00974D4D"/>
    <w:rsid w:val="0097526C"/>
    <w:rsid w:val="009772D9"/>
    <w:rsid w:val="00977C58"/>
    <w:rsid w:val="00977EF0"/>
    <w:rsid w:val="00980486"/>
    <w:rsid w:val="009804C3"/>
    <w:rsid w:val="009804FA"/>
    <w:rsid w:val="00980D0F"/>
    <w:rsid w:val="00982EA2"/>
    <w:rsid w:val="0098340B"/>
    <w:rsid w:val="00983E7C"/>
    <w:rsid w:val="00985664"/>
    <w:rsid w:val="00986597"/>
    <w:rsid w:val="009867EC"/>
    <w:rsid w:val="00986830"/>
    <w:rsid w:val="00986C38"/>
    <w:rsid w:val="009870D0"/>
    <w:rsid w:val="00987FDD"/>
    <w:rsid w:val="009917B7"/>
    <w:rsid w:val="00992285"/>
    <w:rsid w:val="009924C3"/>
    <w:rsid w:val="00992880"/>
    <w:rsid w:val="00992CB1"/>
    <w:rsid w:val="00993102"/>
    <w:rsid w:val="0099357F"/>
    <w:rsid w:val="00994FA2"/>
    <w:rsid w:val="00995997"/>
    <w:rsid w:val="00995C05"/>
    <w:rsid w:val="00995F64"/>
    <w:rsid w:val="00997386"/>
    <w:rsid w:val="009974B9"/>
    <w:rsid w:val="009978D0"/>
    <w:rsid w:val="009A0011"/>
    <w:rsid w:val="009A0957"/>
    <w:rsid w:val="009A13D8"/>
    <w:rsid w:val="009A1AA5"/>
    <w:rsid w:val="009A204B"/>
    <w:rsid w:val="009A27A5"/>
    <w:rsid w:val="009A3380"/>
    <w:rsid w:val="009A3451"/>
    <w:rsid w:val="009A3CFD"/>
    <w:rsid w:val="009A44A6"/>
    <w:rsid w:val="009A50AD"/>
    <w:rsid w:val="009A557D"/>
    <w:rsid w:val="009A7020"/>
    <w:rsid w:val="009B0486"/>
    <w:rsid w:val="009B34F7"/>
    <w:rsid w:val="009B4321"/>
    <w:rsid w:val="009B5426"/>
    <w:rsid w:val="009B5601"/>
    <w:rsid w:val="009B5669"/>
    <w:rsid w:val="009B56DD"/>
    <w:rsid w:val="009B5E11"/>
    <w:rsid w:val="009B64D4"/>
    <w:rsid w:val="009B7C98"/>
    <w:rsid w:val="009B7DFD"/>
    <w:rsid w:val="009C057C"/>
    <w:rsid w:val="009C0DB4"/>
    <w:rsid w:val="009C13CF"/>
    <w:rsid w:val="009C219D"/>
    <w:rsid w:val="009C2401"/>
    <w:rsid w:val="009C2D0D"/>
    <w:rsid w:val="009C30CC"/>
    <w:rsid w:val="009C36DC"/>
    <w:rsid w:val="009C4A39"/>
    <w:rsid w:val="009C4BAD"/>
    <w:rsid w:val="009C4CFA"/>
    <w:rsid w:val="009C558A"/>
    <w:rsid w:val="009C68BE"/>
    <w:rsid w:val="009C6B29"/>
    <w:rsid w:val="009C6EDE"/>
    <w:rsid w:val="009C6F10"/>
    <w:rsid w:val="009C7986"/>
    <w:rsid w:val="009C7EB8"/>
    <w:rsid w:val="009D0697"/>
    <w:rsid w:val="009D0B59"/>
    <w:rsid w:val="009D0DFB"/>
    <w:rsid w:val="009D0EF5"/>
    <w:rsid w:val="009D122A"/>
    <w:rsid w:val="009D148F"/>
    <w:rsid w:val="009D1BFB"/>
    <w:rsid w:val="009D1F16"/>
    <w:rsid w:val="009D2A3D"/>
    <w:rsid w:val="009D392C"/>
    <w:rsid w:val="009D3D70"/>
    <w:rsid w:val="009D3DA8"/>
    <w:rsid w:val="009D49BC"/>
    <w:rsid w:val="009D4B81"/>
    <w:rsid w:val="009D5184"/>
    <w:rsid w:val="009D5237"/>
    <w:rsid w:val="009D71F2"/>
    <w:rsid w:val="009D7B39"/>
    <w:rsid w:val="009D7EAB"/>
    <w:rsid w:val="009E00F6"/>
    <w:rsid w:val="009E0C0A"/>
    <w:rsid w:val="009E0DFF"/>
    <w:rsid w:val="009E17B7"/>
    <w:rsid w:val="009E26CB"/>
    <w:rsid w:val="009E2D24"/>
    <w:rsid w:val="009E2DC0"/>
    <w:rsid w:val="009E3847"/>
    <w:rsid w:val="009E3C05"/>
    <w:rsid w:val="009E5BF3"/>
    <w:rsid w:val="009E5D9D"/>
    <w:rsid w:val="009E5F58"/>
    <w:rsid w:val="009E6F7E"/>
    <w:rsid w:val="009E6FBF"/>
    <w:rsid w:val="009E79D7"/>
    <w:rsid w:val="009E79F0"/>
    <w:rsid w:val="009E7A57"/>
    <w:rsid w:val="009F0DA7"/>
    <w:rsid w:val="009F0E49"/>
    <w:rsid w:val="009F1F2F"/>
    <w:rsid w:val="009F20A3"/>
    <w:rsid w:val="009F21CA"/>
    <w:rsid w:val="009F3CB8"/>
    <w:rsid w:val="009F3FCE"/>
    <w:rsid w:val="009F4057"/>
    <w:rsid w:val="009F4F6A"/>
    <w:rsid w:val="009F5492"/>
    <w:rsid w:val="009F54D5"/>
    <w:rsid w:val="009F5CC2"/>
    <w:rsid w:val="009F70F5"/>
    <w:rsid w:val="009F7AA4"/>
    <w:rsid w:val="00A012C4"/>
    <w:rsid w:val="00A019D7"/>
    <w:rsid w:val="00A02511"/>
    <w:rsid w:val="00A029CA"/>
    <w:rsid w:val="00A04084"/>
    <w:rsid w:val="00A042CF"/>
    <w:rsid w:val="00A04850"/>
    <w:rsid w:val="00A05D6A"/>
    <w:rsid w:val="00A0694C"/>
    <w:rsid w:val="00A073FE"/>
    <w:rsid w:val="00A1011E"/>
    <w:rsid w:val="00A1015B"/>
    <w:rsid w:val="00A1090C"/>
    <w:rsid w:val="00A10D83"/>
    <w:rsid w:val="00A112AD"/>
    <w:rsid w:val="00A116D2"/>
    <w:rsid w:val="00A117DC"/>
    <w:rsid w:val="00A12A5F"/>
    <w:rsid w:val="00A12D49"/>
    <w:rsid w:val="00A12F1F"/>
    <w:rsid w:val="00A1397A"/>
    <w:rsid w:val="00A16E36"/>
    <w:rsid w:val="00A176C7"/>
    <w:rsid w:val="00A210C9"/>
    <w:rsid w:val="00A21237"/>
    <w:rsid w:val="00A22972"/>
    <w:rsid w:val="00A22D96"/>
    <w:rsid w:val="00A2316F"/>
    <w:rsid w:val="00A23570"/>
    <w:rsid w:val="00A23590"/>
    <w:rsid w:val="00A24961"/>
    <w:rsid w:val="00A24B10"/>
    <w:rsid w:val="00A25291"/>
    <w:rsid w:val="00A25F69"/>
    <w:rsid w:val="00A30E9B"/>
    <w:rsid w:val="00A31032"/>
    <w:rsid w:val="00A31EB2"/>
    <w:rsid w:val="00A335B2"/>
    <w:rsid w:val="00A335BE"/>
    <w:rsid w:val="00A33CC7"/>
    <w:rsid w:val="00A33D3D"/>
    <w:rsid w:val="00A33DCC"/>
    <w:rsid w:val="00A351D7"/>
    <w:rsid w:val="00A35762"/>
    <w:rsid w:val="00A406C0"/>
    <w:rsid w:val="00A4076C"/>
    <w:rsid w:val="00A43803"/>
    <w:rsid w:val="00A44190"/>
    <w:rsid w:val="00A4451D"/>
    <w:rsid w:val="00A445D6"/>
    <w:rsid w:val="00A44E44"/>
    <w:rsid w:val="00A4512D"/>
    <w:rsid w:val="00A4643F"/>
    <w:rsid w:val="00A46B57"/>
    <w:rsid w:val="00A46ECF"/>
    <w:rsid w:val="00A47245"/>
    <w:rsid w:val="00A47AD3"/>
    <w:rsid w:val="00A50244"/>
    <w:rsid w:val="00A50686"/>
    <w:rsid w:val="00A507CA"/>
    <w:rsid w:val="00A526E3"/>
    <w:rsid w:val="00A53468"/>
    <w:rsid w:val="00A53774"/>
    <w:rsid w:val="00A537AC"/>
    <w:rsid w:val="00A5409C"/>
    <w:rsid w:val="00A55A42"/>
    <w:rsid w:val="00A56F17"/>
    <w:rsid w:val="00A57A64"/>
    <w:rsid w:val="00A57DB3"/>
    <w:rsid w:val="00A57E52"/>
    <w:rsid w:val="00A601DF"/>
    <w:rsid w:val="00A60977"/>
    <w:rsid w:val="00A609F5"/>
    <w:rsid w:val="00A61985"/>
    <w:rsid w:val="00A61C53"/>
    <w:rsid w:val="00A621BD"/>
    <w:rsid w:val="00A627D7"/>
    <w:rsid w:val="00A62CC3"/>
    <w:rsid w:val="00A63906"/>
    <w:rsid w:val="00A64112"/>
    <w:rsid w:val="00A64F26"/>
    <w:rsid w:val="00A656C7"/>
    <w:rsid w:val="00A65895"/>
    <w:rsid w:val="00A67938"/>
    <w:rsid w:val="00A705AF"/>
    <w:rsid w:val="00A71A02"/>
    <w:rsid w:val="00A71B5B"/>
    <w:rsid w:val="00A72454"/>
    <w:rsid w:val="00A72D0C"/>
    <w:rsid w:val="00A72D1A"/>
    <w:rsid w:val="00A73713"/>
    <w:rsid w:val="00A738C5"/>
    <w:rsid w:val="00A74345"/>
    <w:rsid w:val="00A74CB6"/>
    <w:rsid w:val="00A75A8A"/>
    <w:rsid w:val="00A760EC"/>
    <w:rsid w:val="00A76320"/>
    <w:rsid w:val="00A76460"/>
    <w:rsid w:val="00A76D71"/>
    <w:rsid w:val="00A77696"/>
    <w:rsid w:val="00A80030"/>
    <w:rsid w:val="00A80289"/>
    <w:rsid w:val="00A80557"/>
    <w:rsid w:val="00A819A7"/>
    <w:rsid w:val="00A81D33"/>
    <w:rsid w:val="00A8236E"/>
    <w:rsid w:val="00A82FD5"/>
    <w:rsid w:val="00A8340B"/>
    <w:rsid w:val="00A838CF"/>
    <w:rsid w:val="00A84469"/>
    <w:rsid w:val="00A860F2"/>
    <w:rsid w:val="00A8652A"/>
    <w:rsid w:val="00A86D0E"/>
    <w:rsid w:val="00A86E33"/>
    <w:rsid w:val="00A877AF"/>
    <w:rsid w:val="00A9025A"/>
    <w:rsid w:val="00A90A82"/>
    <w:rsid w:val="00A91E5E"/>
    <w:rsid w:val="00A91EE1"/>
    <w:rsid w:val="00A920EB"/>
    <w:rsid w:val="00A92861"/>
    <w:rsid w:val="00A92A10"/>
    <w:rsid w:val="00A92C3F"/>
    <w:rsid w:val="00A92E49"/>
    <w:rsid w:val="00A93083"/>
    <w:rsid w:val="00A930AE"/>
    <w:rsid w:val="00A933A7"/>
    <w:rsid w:val="00A93BBE"/>
    <w:rsid w:val="00A93D1E"/>
    <w:rsid w:val="00A966B6"/>
    <w:rsid w:val="00AA01F1"/>
    <w:rsid w:val="00AA05FB"/>
    <w:rsid w:val="00AA09F6"/>
    <w:rsid w:val="00AA1917"/>
    <w:rsid w:val="00AA1A95"/>
    <w:rsid w:val="00AA260F"/>
    <w:rsid w:val="00AA37B1"/>
    <w:rsid w:val="00AA3A87"/>
    <w:rsid w:val="00AA4BF3"/>
    <w:rsid w:val="00AA501B"/>
    <w:rsid w:val="00AA6600"/>
    <w:rsid w:val="00AA6D4D"/>
    <w:rsid w:val="00AA6F54"/>
    <w:rsid w:val="00AA723B"/>
    <w:rsid w:val="00AB087D"/>
    <w:rsid w:val="00AB0CCA"/>
    <w:rsid w:val="00AB0F99"/>
    <w:rsid w:val="00AB1095"/>
    <w:rsid w:val="00AB1EE7"/>
    <w:rsid w:val="00AB2193"/>
    <w:rsid w:val="00AB2DE0"/>
    <w:rsid w:val="00AB4172"/>
    <w:rsid w:val="00AB4914"/>
    <w:rsid w:val="00AB4B37"/>
    <w:rsid w:val="00AB4CB8"/>
    <w:rsid w:val="00AB5762"/>
    <w:rsid w:val="00AB5D3F"/>
    <w:rsid w:val="00AC0F15"/>
    <w:rsid w:val="00AC2679"/>
    <w:rsid w:val="00AC29B7"/>
    <w:rsid w:val="00AC3609"/>
    <w:rsid w:val="00AC4393"/>
    <w:rsid w:val="00AC4BE4"/>
    <w:rsid w:val="00AC4CEA"/>
    <w:rsid w:val="00AC4F9D"/>
    <w:rsid w:val="00AC55D6"/>
    <w:rsid w:val="00AC6BF9"/>
    <w:rsid w:val="00AC79DA"/>
    <w:rsid w:val="00AD05E6"/>
    <w:rsid w:val="00AD0A7B"/>
    <w:rsid w:val="00AD0D3F"/>
    <w:rsid w:val="00AD10FC"/>
    <w:rsid w:val="00AD16D9"/>
    <w:rsid w:val="00AD1C5A"/>
    <w:rsid w:val="00AD26CF"/>
    <w:rsid w:val="00AD317B"/>
    <w:rsid w:val="00AD3CF2"/>
    <w:rsid w:val="00AD4043"/>
    <w:rsid w:val="00AD5B88"/>
    <w:rsid w:val="00AD5BF7"/>
    <w:rsid w:val="00AD61C0"/>
    <w:rsid w:val="00AD6697"/>
    <w:rsid w:val="00AD7FAA"/>
    <w:rsid w:val="00AE0022"/>
    <w:rsid w:val="00AE099F"/>
    <w:rsid w:val="00AE11CE"/>
    <w:rsid w:val="00AE1D7D"/>
    <w:rsid w:val="00AE20F3"/>
    <w:rsid w:val="00AE250E"/>
    <w:rsid w:val="00AE2A8B"/>
    <w:rsid w:val="00AE2D5F"/>
    <w:rsid w:val="00AE2D81"/>
    <w:rsid w:val="00AE361A"/>
    <w:rsid w:val="00AE3E8C"/>
    <w:rsid w:val="00AE3F64"/>
    <w:rsid w:val="00AE4530"/>
    <w:rsid w:val="00AE4900"/>
    <w:rsid w:val="00AE4C2E"/>
    <w:rsid w:val="00AE4F2C"/>
    <w:rsid w:val="00AE4F98"/>
    <w:rsid w:val="00AE505D"/>
    <w:rsid w:val="00AE5330"/>
    <w:rsid w:val="00AE53EF"/>
    <w:rsid w:val="00AE686E"/>
    <w:rsid w:val="00AE7FE0"/>
    <w:rsid w:val="00AF0424"/>
    <w:rsid w:val="00AF14A5"/>
    <w:rsid w:val="00AF1EEA"/>
    <w:rsid w:val="00AF1EF3"/>
    <w:rsid w:val="00AF201C"/>
    <w:rsid w:val="00AF2900"/>
    <w:rsid w:val="00AF2A7B"/>
    <w:rsid w:val="00AF468E"/>
    <w:rsid w:val="00AF4E11"/>
    <w:rsid w:val="00AF5C25"/>
    <w:rsid w:val="00AF5ED9"/>
    <w:rsid w:val="00AF6DD4"/>
    <w:rsid w:val="00AF7386"/>
    <w:rsid w:val="00AF7934"/>
    <w:rsid w:val="00B00B81"/>
    <w:rsid w:val="00B00CC4"/>
    <w:rsid w:val="00B00D02"/>
    <w:rsid w:val="00B014B8"/>
    <w:rsid w:val="00B01BB1"/>
    <w:rsid w:val="00B01E17"/>
    <w:rsid w:val="00B01E45"/>
    <w:rsid w:val="00B0234F"/>
    <w:rsid w:val="00B023D1"/>
    <w:rsid w:val="00B027C8"/>
    <w:rsid w:val="00B030ED"/>
    <w:rsid w:val="00B04101"/>
    <w:rsid w:val="00B04580"/>
    <w:rsid w:val="00B04B09"/>
    <w:rsid w:val="00B0696C"/>
    <w:rsid w:val="00B06B98"/>
    <w:rsid w:val="00B06FE1"/>
    <w:rsid w:val="00B100E8"/>
    <w:rsid w:val="00B11DD6"/>
    <w:rsid w:val="00B12511"/>
    <w:rsid w:val="00B14929"/>
    <w:rsid w:val="00B1566D"/>
    <w:rsid w:val="00B15B57"/>
    <w:rsid w:val="00B15D4A"/>
    <w:rsid w:val="00B165E9"/>
    <w:rsid w:val="00B16A4E"/>
    <w:rsid w:val="00B16A51"/>
    <w:rsid w:val="00B174BD"/>
    <w:rsid w:val="00B17B68"/>
    <w:rsid w:val="00B2114A"/>
    <w:rsid w:val="00B21D10"/>
    <w:rsid w:val="00B22C01"/>
    <w:rsid w:val="00B22FA4"/>
    <w:rsid w:val="00B238EC"/>
    <w:rsid w:val="00B248B8"/>
    <w:rsid w:val="00B25440"/>
    <w:rsid w:val="00B258D4"/>
    <w:rsid w:val="00B27D68"/>
    <w:rsid w:val="00B31656"/>
    <w:rsid w:val="00B32222"/>
    <w:rsid w:val="00B330A1"/>
    <w:rsid w:val="00B33A38"/>
    <w:rsid w:val="00B34030"/>
    <w:rsid w:val="00B34AD4"/>
    <w:rsid w:val="00B35A72"/>
    <w:rsid w:val="00B35DB8"/>
    <w:rsid w:val="00B3618D"/>
    <w:rsid w:val="00B36233"/>
    <w:rsid w:val="00B365E3"/>
    <w:rsid w:val="00B36612"/>
    <w:rsid w:val="00B36E80"/>
    <w:rsid w:val="00B37398"/>
    <w:rsid w:val="00B37B8D"/>
    <w:rsid w:val="00B40A6E"/>
    <w:rsid w:val="00B40C85"/>
    <w:rsid w:val="00B411F2"/>
    <w:rsid w:val="00B4195B"/>
    <w:rsid w:val="00B42194"/>
    <w:rsid w:val="00B42333"/>
    <w:rsid w:val="00B424E6"/>
    <w:rsid w:val="00B4284E"/>
    <w:rsid w:val="00B42851"/>
    <w:rsid w:val="00B42BD6"/>
    <w:rsid w:val="00B44B53"/>
    <w:rsid w:val="00B4515B"/>
    <w:rsid w:val="00B45AC7"/>
    <w:rsid w:val="00B47E8A"/>
    <w:rsid w:val="00B502EA"/>
    <w:rsid w:val="00B50AFC"/>
    <w:rsid w:val="00B510AF"/>
    <w:rsid w:val="00B5214D"/>
    <w:rsid w:val="00B52630"/>
    <w:rsid w:val="00B527D4"/>
    <w:rsid w:val="00B5372F"/>
    <w:rsid w:val="00B54B78"/>
    <w:rsid w:val="00B55660"/>
    <w:rsid w:val="00B560A9"/>
    <w:rsid w:val="00B61129"/>
    <w:rsid w:val="00B61DF5"/>
    <w:rsid w:val="00B63439"/>
    <w:rsid w:val="00B6464E"/>
    <w:rsid w:val="00B64693"/>
    <w:rsid w:val="00B647F2"/>
    <w:rsid w:val="00B64B5E"/>
    <w:rsid w:val="00B64B9A"/>
    <w:rsid w:val="00B64C22"/>
    <w:rsid w:val="00B64CFA"/>
    <w:rsid w:val="00B64F11"/>
    <w:rsid w:val="00B66207"/>
    <w:rsid w:val="00B66BEA"/>
    <w:rsid w:val="00B67E7F"/>
    <w:rsid w:val="00B70EED"/>
    <w:rsid w:val="00B7249A"/>
    <w:rsid w:val="00B72A80"/>
    <w:rsid w:val="00B72C7C"/>
    <w:rsid w:val="00B7341C"/>
    <w:rsid w:val="00B73F3D"/>
    <w:rsid w:val="00B74386"/>
    <w:rsid w:val="00B74B69"/>
    <w:rsid w:val="00B75249"/>
    <w:rsid w:val="00B75A04"/>
    <w:rsid w:val="00B7702B"/>
    <w:rsid w:val="00B81AAB"/>
    <w:rsid w:val="00B82DCE"/>
    <w:rsid w:val="00B83584"/>
    <w:rsid w:val="00B839B2"/>
    <w:rsid w:val="00B8418E"/>
    <w:rsid w:val="00B84193"/>
    <w:rsid w:val="00B84376"/>
    <w:rsid w:val="00B85528"/>
    <w:rsid w:val="00B8635A"/>
    <w:rsid w:val="00B866D8"/>
    <w:rsid w:val="00B87517"/>
    <w:rsid w:val="00B87646"/>
    <w:rsid w:val="00B87988"/>
    <w:rsid w:val="00B87A93"/>
    <w:rsid w:val="00B9014E"/>
    <w:rsid w:val="00B91CC0"/>
    <w:rsid w:val="00B93595"/>
    <w:rsid w:val="00B940C2"/>
    <w:rsid w:val="00B94252"/>
    <w:rsid w:val="00B9531A"/>
    <w:rsid w:val="00B96007"/>
    <w:rsid w:val="00B96D19"/>
    <w:rsid w:val="00B9715A"/>
    <w:rsid w:val="00BA0ADC"/>
    <w:rsid w:val="00BA0D97"/>
    <w:rsid w:val="00BA140E"/>
    <w:rsid w:val="00BA14BE"/>
    <w:rsid w:val="00BA1A0A"/>
    <w:rsid w:val="00BA2732"/>
    <w:rsid w:val="00BA275B"/>
    <w:rsid w:val="00BA293D"/>
    <w:rsid w:val="00BA2E34"/>
    <w:rsid w:val="00BA421F"/>
    <w:rsid w:val="00BA4423"/>
    <w:rsid w:val="00BA49BC"/>
    <w:rsid w:val="00BA4A6A"/>
    <w:rsid w:val="00BA5283"/>
    <w:rsid w:val="00BA56B7"/>
    <w:rsid w:val="00BA5887"/>
    <w:rsid w:val="00BA5A71"/>
    <w:rsid w:val="00BA602B"/>
    <w:rsid w:val="00BA640D"/>
    <w:rsid w:val="00BA66CA"/>
    <w:rsid w:val="00BA7A1E"/>
    <w:rsid w:val="00BA7AE8"/>
    <w:rsid w:val="00BA7BDE"/>
    <w:rsid w:val="00BA7CA9"/>
    <w:rsid w:val="00BB0804"/>
    <w:rsid w:val="00BB0D06"/>
    <w:rsid w:val="00BB137C"/>
    <w:rsid w:val="00BB1924"/>
    <w:rsid w:val="00BB1A9D"/>
    <w:rsid w:val="00BB1CB8"/>
    <w:rsid w:val="00BB22BD"/>
    <w:rsid w:val="00BB2F6C"/>
    <w:rsid w:val="00BB32EC"/>
    <w:rsid w:val="00BB3875"/>
    <w:rsid w:val="00BB43EA"/>
    <w:rsid w:val="00BB4476"/>
    <w:rsid w:val="00BB4D11"/>
    <w:rsid w:val="00BB5860"/>
    <w:rsid w:val="00BB5B65"/>
    <w:rsid w:val="00BB6AAD"/>
    <w:rsid w:val="00BB6BEA"/>
    <w:rsid w:val="00BB6DE9"/>
    <w:rsid w:val="00BB6F2E"/>
    <w:rsid w:val="00BB72BA"/>
    <w:rsid w:val="00BB7975"/>
    <w:rsid w:val="00BC0DF2"/>
    <w:rsid w:val="00BC1C5F"/>
    <w:rsid w:val="00BC33F9"/>
    <w:rsid w:val="00BC37EE"/>
    <w:rsid w:val="00BC478A"/>
    <w:rsid w:val="00BC4A19"/>
    <w:rsid w:val="00BC4E6D"/>
    <w:rsid w:val="00BC5B54"/>
    <w:rsid w:val="00BC6334"/>
    <w:rsid w:val="00BC69C2"/>
    <w:rsid w:val="00BD0617"/>
    <w:rsid w:val="00BD1E17"/>
    <w:rsid w:val="00BD2E9B"/>
    <w:rsid w:val="00BD2F65"/>
    <w:rsid w:val="00BD4115"/>
    <w:rsid w:val="00BD4312"/>
    <w:rsid w:val="00BD59B8"/>
    <w:rsid w:val="00BD5DDB"/>
    <w:rsid w:val="00BD64ED"/>
    <w:rsid w:val="00BD674F"/>
    <w:rsid w:val="00BD6F4C"/>
    <w:rsid w:val="00BD7249"/>
    <w:rsid w:val="00BD7F78"/>
    <w:rsid w:val="00BE0302"/>
    <w:rsid w:val="00BE123D"/>
    <w:rsid w:val="00BE1400"/>
    <w:rsid w:val="00BE28FB"/>
    <w:rsid w:val="00BE2B67"/>
    <w:rsid w:val="00BE3716"/>
    <w:rsid w:val="00BE3C85"/>
    <w:rsid w:val="00BE4D91"/>
    <w:rsid w:val="00BE5F82"/>
    <w:rsid w:val="00BE759D"/>
    <w:rsid w:val="00BE7712"/>
    <w:rsid w:val="00BE7ACC"/>
    <w:rsid w:val="00BE7B77"/>
    <w:rsid w:val="00BE7F14"/>
    <w:rsid w:val="00BF1CC9"/>
    <w:rsid w:val="00BF21EB"/>
    <w:rsid w:val="00BF262A"/>
    <w:rsid w:val="00BF640F"/>
    <w:rsid w:val="00BF686E"/>
    <w:rsid w:val="00BF75EC"/>
    <w:rsid w:val="00BF7AD7"/>
    <w:rsid w:val="00BF7ED1"/>
    <w:rsid w:val="00C00554"/>
    <w:rsid w:val="00C00930"/>
    <w:rsid w:val="00C03A93"/>
    <w:rsid w:val="00C049A3"/>
    <w:rsid w:val="00C060AD"/>
    <w:rsid w:val="00C0639A"/>
    <w:rsid w:val="00C064C7"/>
    <w:rsid w:val="00C0670D"/>
    <w:rsid w:val="00C074AA"/>
    <w:rsid w:val="00C077C5"/>
    <w:rsid w:val="00C104EB"/>
    <w:rsid w:val="00C113BF"/>
    <w:rsid w:val="00C11449"/>
    <w:rsid w:val="00C11DF6"/>
    <w:rsid w:val="00C126A6"/>
    <w:rsid w:val="00C12837"/>
    <w:rsid w:val="00C12FFE"/>
    <w:rsid w:val="00C13F57"/>
    <w:rsid w:val="00C146D3"/>
    <w:rsid w:val="00C14AC8"/>
    <w:rsid w:val="00C14ADA"/>
    <w:rsid w:val="00C14C5C"/>
    <w:rsid w:val="00C16621"/>
    <w:rsid w:val="00C16834"/>
    <w:rsid w:val="00C169EC"/>
    <w:rsid w:val="00C17288"/>
    <w:rsid w:val="00C17518"/>
    <w:rsid w:val="00C179AC"/>
    <w:rsid w:val="00C17FE3"/>
    <w:rsid w:val="00C2176E"/>
    <w:rsid w:val="00C21ECD"/>
    <w:rsid w:val="00C23430"/>
    <w:rsid w:val="00C2345E"/>
    <w:rsid w:val="00C23622"/>
    <w:rsid w:val="00C23D1E"/>
    <w:rsid w:val="00C256B2"/>
    <w:rsid w:val="00C25805"/>
    <w:rsid w:val="00C25EED"/>
    <w:rsid w:val="00C273DA"/>
    <w:rsid w:val="00C27A68"/>
    <w:rsid w:val="00C27D67"/>
    <w:rsid w:val="00C3079E"/>
    <w:rsid w:val="00C30E23"/>
    <w:rsid w:val="00C31591"/>
    <w:rsid w:val="00C3401A"/>
    <w:rsid w:val="00C36E88"/>
    <w:rsid w:val="00C41655"/>
    <w:rsid w:val="00C42B36"/>
    <w:rsid w:val="00C42C6E"/>
    <w:rsid w:val="00C4372B"/>
    <w:rsid w:val="00C44BD4"/>
    <w:rsid w:val="00C44C77"/>
    <w:rsid w:val="00C4554E"/>
    <w:rsid w:val="00C4631F"/>
    <w:rsid w:val="00C479EB"/>
    <w:rsid w:val="00C50E16"/>
    <w:rsid w:val="00C514E8"/>
    <w:rsid w:val="00C51C87"/>
    <w:rsid w:val="00C524E1"/>
    <w:rsid w:val="00C54AC5"/>
    <w:rsid w:val="00C55258"/>
    <w:rsid w:val="00C56B3A"/>
    <w:rsid w:val="00C56D74"/>
    <w:rsid w:val="00C57533"/>
    <w:rsid w:val="00C610BD"/>
    <w:rsid w:val="00C61D8C"/>
    <w:rsid w:val="00C6285C"/>
    <w:rsid w:val="00C63D7D"/>
    <w:rsid w:val="00C63EAE"/>
    <w:rsid w:val="00C652F1"/>
    <w:rsid w:val="00C65DFB"/>
    <w:rsid w:val="00C65E3C"/>
    <w:rsid w:val="00C66660"/>
    <w:rsid w:val="00C673F0"/>
    <w:rsid w:val="00C67871"/>
    <w:rsid w:val="00C67FE1"/>
    <w:rsid w:val="00C7105D"/>
    <w:rsid w:val="00C712D8"/>
    <w:rsid w:val="00C718EF"/>
    <w:rsid w:val="00C71CC8"/>
    <w:rsid w:val="00C723B7"/>
    <w:rsid w:val="00C72486"/>
    <w:rsid w:val="00C73261"/>
    <w:rsid w:val="00C733C1"/>
    <w:rsid w:val="00C733DD"/>
    <w:rsid w:val="00C74E6C"/>
    <w:rsid w:val="00C75C36"/>
    <w:rsid w:val="00C76353"/>
    <w:rsid w:val="00C76EA7"/>
    <w:rsid w:val="00C7771A"/>
    <w:rsid w:val="00C7774D"/>
    <w:rsid w:val="00C77DBD"/>
    <w:rsid w:val="00C80860"/>
    <w:rsid w:val="00C81C61"/>
    <w:rsid w:val="00C82EEB"/>
    <w:rsid w:val="00C82FD6"/>
    <w:rsid w:val="00C83451"/>
    <w:rsid w:val="00C8385E"/>
    <w:rsid w:val="00C84612"/>
    <w:rsid w:val="00C8490E"/>
    <w:rsid w:val="00C84E79"/>
    <w:rsid w:val="00C8520E"/>
    <w:rsid w:val="00C864CA"/>
    <w:rsid w:val="00C87C29"/>
    <w:rsid w:val="00C900B0"/>
    <w:rsid w:val="00C90203"/>
    <w:rsid w:val="00C90931"/>
    <w:rsid w:val="00C9108B"/>
    <w:rsid w:val="00C91B49"/>
    <w:rsid w:val="00C92327"/>
    <w:rsid w:val="00C92BE1"/>
    <w:rsid w:val="00C93396"/>
    <w:rsid w:val="00C9511A"/>
    <w:rsid w:val="00C952DA"/>
    <w:rsid w:val="00C9582E"/>
    <w:rsid w:val="00C971DC"/>
    <w:rsid w:val="00CA0475"/>
    <w:rsid w:val="00CA0B0D"/>
    <w:rsid w:val="00CA0E2D"/>
    <w:rsid w:val="00CA16B7"/>
    <w:rsid w:val="00CA2376"/>
    <w:rsid w:val="00CA361E"/>
    <w:rsid w:val="00CA389E"/>
    <w:rsid w:val="00CA4BE3"/>
    <w:rsid w:val="00CA5451"/>
    <w:rsid w:val="00CA563E"/>
    <w:rsid w:val="00CA5689"/>
    <w:rsid w:val="00CA62AE"/>
    <w:rsid w:val="00CA6F4B"/>
    <w:rsid w:val="00CB02A2"/>
    <w:rsid w:val="00CB1D0D"/>
    <w:rsid w:val="00CB1D35"/>
    <w:rsid w:val="00CB2F59"/>
    <w:rsid w:val="00CB3A9E"/>
    <w:rsid w:val="00CB4933"/>
    <w:rsid w:val="00CB5765"/>
    <w:rsid w:val="00CB5B1A"/>
    <w:rsid w:val="00CB66F5"/>
    <w:rsid w:val="00CB7C12"/>
    <w:rsid w:val="00CB7CFD"/>
    <w:rsid w:val="00CC09BC"/>
    <w:rsid w:val="00CC1BCB"/>
    <w:rsid w:val="00CC1DF2"/>
    <w:rsid w:val="00CC21E4"/>
    <w:rsid w:val="00CC220B"/>
    <w:rsid w:val="00CC391C"/>
    <w:rsid w:val="00CC440A"/>
    <w:rsid w:val="00CC5615"/>
    <w:rsid w:val="00CC5C43"/>
    <w:rsid w:val="00CD02AE"/>
    <w:rsid w:val="00CD202E"/>
    <w:rsid w:val="00CD20DC"/>
    <w:rsid w:val="00CD2A4F"/>
    <w:rsid w:val="00CD2AEC"/>
    <w:rsid w:val="00CD521E"/>
    <w:rsid w:val="00CD5300"/>
    <w:rsid w:val="00CD5967"/>
    <w:rsid w:val="00CD6C04"/>
    <w:rsid w:val="00CE0124"/>
    <w:rsid w:val="00CE03CA"/>
    <w:rsid w:val="00CE13D4"/>
    <w:rsid w:val="00CE1D22"/>
    <w:rsid w:val="00CE1F8F"/>
    <w:rsid w:val="00CE22F1"/>
    <w:rsid w:val="00CE32F1"/>
    <w:rsid w:val="00CE4905"/>
    <w:rsid w:val="00CE50F2"/>
    <w:rsid w:val="00CE5A04"/>
    <w:rsid w:val="00CE6502"/>
    <w:rsid w:val="00CE6BE8"/>
    <w:rsid w:val="00CE7208"/>
    <w:rsid w:val="00CF02A8"/>
    <w:rsid w:val="00CF097D"/>
    <w:rsid w:val="00CF0E2E"/>
    <w:rsid w:val="00CF14B1"/>
    <w:rsid w:val="00CF163C"/>
    <w:rsid w:val="00CF2879"/>
    <w:rsid w:val="00CF34C9"/>
    <w:rsid w:val="00CF34D9"/>
    <w:rsid w:val="00CF41EA"/>
    <w:rsid w:val="00CF4E40"/>
    <w:rsid w:val="00CF5C52"/>
    <w:rsid w:val="00CF5C86"/>
    <w:rsid w:val="00CF7D3C"/>
    <w:rsid w:val="00D0318B"/>
    <w:rsid w:val="00D0338A"/>
    <w:rsid w:val="00D03933"/>
    <w:rsid w:val="00D03CB0"/>
    <w:rsid w:val="00D045DC"/>
    <w:rsid w:val="00D04B7F"/>
    <w:rsid w:val="00D05500"/>
    <w:rsid w:val="00D0581B"/>
    <w:rsid w:val="00D05944"/>
    <w:rsid w:val="00D05B69"/>
    <w:rsid w:val="00D0636D"/>
    <w:rsid w:val="00D0690C"/>
    <w:rsid w:val="00D0751F"/>
    <w:rsid w:val="00D07542"/>
    <w:rsid w:val="00D10CA0"/>
    <w:rsid w:val="00D117E0"/>
    <w:rsid w:val="00D11AFC"/>
    <w:rsid w:val="00D12015"/>
    <w:rsid w:val="00D127D1"/>
    <w:rsid w:val="00D128CF"/>
    <w:rsid w:val="00D13614"/>
    <w:rsid w:val="00D137ED"/>
    <w:rsid w:val="00D14104"/>
    <w:rsid w:val="00D14310"/>
    <w:rsid w:val="00D147EB"/>
    <w:rsid w:val="00D159C3"/>
    <w:rsid w:val="00D15A9E"/>
    <w:rsid w:val="00D15C03"/>
    <w:rsid w:val="00D15EA8"/>
    <w:rsid w:val="00D16419"/>
    <w:rsid w:val="00D21A8C"/>
    <w:rsid w:val="00D223A3"/>
    <w:rsid w:val="00D22FB3"/>
    <w:rsid w:val="00D22FCF"/>
    <w:rsid w:val="00D2447F"/>
    <w:rsid w:val="00D25108"/>
    <w:rsid w:val="00D25207"/>
    <w:rsid w:val="00D2589C"/>
    <w:rsid w:val="00D2646A"/>
    <w:rsid w:val="00D26DE1"/>
    <w:rsid w:val="00D2717C"/>
    <w:rsid w:val="00D275A0"/>
    <w:rsid w:val="00D27EC0"/>
    <w:rsid w:val="00D31020"/>
    <w:rsid w:val="00D3120E"/>
    <w:rsid w:val="00D3157A"/>
    <w:rsid w:val="00D31763"/>
    <w:rsid w:val="00D31BFA"/>
    <w:rsid w:val="00D31C93"/>
    <w:rsid w:val="00D32059"/>
    <w:rsid w:val="00D32770"/>
    <w:rsid w:val="00D32798"/>
    <w:rsid w:val="00D329AF"/>
    <w:rsid w:val="00D32D4C"/>
    <w:rsid w:val="00D3371B"/>
    <w:rsid w:val="00D33FBB"/>
    <w:rsid w:val="00D34667"/>
    <w:rsid w:val="00D34CAA"/>
    <w:rsid w:val="00D34F06"/>
    <w:rsid w:val="00D36724"/>
    <w:rsid w:val="00D374AC"/>
    <w:rsid w:val="00D379FE"/>
    <w:rsid w:val="00D401E1"/>
    <w:rsid w:val="00D408B4"/>
    <w:rsid w:val="00D41642"/>
    <w:rsid w:val="00D423B1"/>
    <w:rsid w:val="00D42D0B"/>
    <w:rsid w:val="00D43E34"/>
    <w:rsid w:val="00D43F2E"/>
    <w:rsid w:val="00D45D94"/>
    <w:rsid w:val="00D47473"/>
    <w:rsid w:val="00D47FC0"/>
    <w:rsid w:val="00D510E0"/>
    <w:rsid w:val="00D511CD"/>
    <w:rsid w:val="00D51FCD"/>
    <w:rsid w:val="00D524C8"/>
    <w:rsid w:val="00D5255F"/>
    <w:rsid w:val="00D525BE"/>
    <w:rsid w:val="00D528B9"/>
    <w:rsid w:val="00D531FC"/>
    <w:rsid w:val="00D53F29"/>
    <w:rsid w:val="00D5423C"/>
    <w:rsid w:val="00D542CE"/>
    <w:rsid w:val="00D54560"/>
    <w:rsid w:val="00D54805"/>
    <w:rsid w:val="00D55D72"/>
    <w:rsid w:val="00D55E1C"/>
    <w:rsid w:val="00D56235"/>
    <w:rsid w:val="00D568ED"/>
    <w:rsid w:val="00D56BB0"/>
    <w:rsid w:val="00D57050"/>
    <w:rsid w:val="00D5767C"/>
    <w:rsid w:val="00D57984"/>
    <w:rsid w:val="00D57D6E"/>
    <w:rsid w:val="00D60450"/>
    <w:rsid w:val="00D60E25"/>
    <w:rsid w:val="00D625B9"/>
    <w:rsid w:val="00D62656"/>
    <w:rsid w:val="00D63B94"/>
    <w:rsid w:val="00D63D39"/>
    <w:rsid w:val="00D64BC6"/>
    <w:rsid w:val="00D64D36"/>
    <w:rsid w:val="00D65194"/>
    <w:rsid w:val="00D65209"/>
    <w:rsid w:val="00D66A03"/>
    <w:rsid w:val="00D6750E"/>
    <w:rsid w:val="00D70A36"/>
    <w:rsid w:val="00D70D3B"/>
    <w:rsid w:val="00D70E24"/>
    <w:rsid w:val="00D71661"/>
    <w:rsid w:val="00D7189F"/>
    <w:rsid w:val="00D71D51"/>
    <w:rsid w:val="00D7270F"/>
    <w:rsid w:val="00D72823"/>
    <w:rsid w:val="00D72827"/>
    <w:rsid w:val="00D7288A"/>
    <w:rsid w:val="00D728F0"/>
    <w:rsid w:val="00D72B61"/>
    <w:rsid w:val="00D72C41"/>
    <w:rsid w:val="00D731D8"/>
    <w:rsid w:val="00D740CF"/>
    <w:rsid w:val="00D743E4"/>
    <w:rsid w:val="00D75495"/>
    <w:rsid w:val="00D755AA"/>
    <w:rsid w:val="00D758B4"/>
    <w:rsid w:val="00D75ED5"/>
    <w:rsid w:val="00D76233"/>
    <w:rsid w:val="00D7641E"/>
    <w:rsid w:val="00D7690B"/>
    <w:rsid w:val="00D773E6"/>
    <w:rsid w:val="00D77AA6"/>
    <w:rsid w:val="00D804E0"/>
    <w:rsid w:val="00D81AE9"/>
    <w:rsid w:val="00D828A5"/>
    <w:rsid w:val="00D83064"/>
    <w:rsid w:val="00D83DF2"/>
    <w:rsid w:val="00D83E2F"/>
    <w:rsid w:val="00D8454D"/>
    <w:rsid w:val="00D848F7"/>
    <w:rsid w:val="00D84F49"/>
    <w:rsid w:val="00D85555"/>
    <w:rsid w:val="00D86C05"/>
    <w:rsid w:val="00D90ABD"/>
    <w:rsid w:val="00D90D28"/>
    <w:rsid w:val="00D91B1E"/>
    <w:rsid w:val="00D92567"/>
    <w:rsid w:val="00D9280A"/>
    <w:rsid w:val="00D934A4"/>
    <w:rsid w:val="00D94037"/>
    <w:rsid w:val="00D94275"/>
    <w:rsid w:val="00D9429C"/>
    <w:rsid w:val="00D964AF"/>
    <w:rsid w:val="00D966D0"/>
    <w:rsid w:val="00DA04A7"/>
    <w:rsid w:val="00DA114B"/>
    <w:rsid w:val="00DA12F5"/>
    <w:rsid w:val="00DA208F"/>
    <w:rsid w:val="00DA2175"/>
    <w:rsid w:val="00DA2C19"/>
    <w:rsid w:val="00DA2C9F"/>
    <w:rsid w:val="00DA30A8"/>
    <w:rsid w:val="00DA3233"/>
    <w:rsid w:val="00DA3B6A"/>
    <w:rsid w:val="00DA3D1D"/>
    <w:rsid w:val="00DA3F1F"/>
    <w:rsid w:val="00DA4721"/>
    <w:rsid w:val="00DA5CE5"/>
    <w:rsid w:val="00DA6E41"/>
    <w:rsid w:val="00DA6ECE"/>
    <w:rsid w:val="00DA759D"/>
    <w:rsid w:val="00DA79AD"/>
    <w:rsid w:val="00DB0138"/>
    <w:rsid w:val="00DB0B8D"/>
    <w:rsid w:val="00DB0F99"/>
    <w:rsid w:val="00DB3622"/>
    <w:rsid w:val="00DB4C3E"/>
    <w:rsid w:val="00DB556E"/>
    <w:rsid w:val="00DB5612"/>
    <w:rsid w:val="00DB6286"/>
    <w:rsid w:val="00DB645F"/>
    <w:rsid w:val="00DB7613"/>
    <w:rsid w:val="00DB762E"/>
    <w:rsid w:val="00DB76E9"/>
    <w:rsid w:val="00DB7882"/>
    <w:rsid w:val="00DB7D70"/>
    <w:rsid w:val="00DC0A67"/>
    <w:rsid w:val="00DC0DC9"/>
    <w:rsid w:val="00DC1309"/>
    <w:rsid w:val="00DC14B8"/>
    <w:rsid w:val="00DC1A31"/>
    <w:rsid w:val="00DC1D5E"/>
    <w:rsid w:val="00DC1E0D"/>
    <w:rsid w:val="00DC1F64"/>
    <w:rsid w:val="00DC20F9"/>
    <w:rsid w:val="00DC2313"/>
    <w:rsid w:val="00DC40D1"/>
    <w:rsid w:val="00DC4CA0"/>
    <w:rsid w:val="00DC5220"/>
    <w:rsid w:val="00DC7040"/>
    <w:rsid w:val="00DC7394"/>
    <w:rsid w:val="00DC7910"/>
    <w:rsid w:val="00DC7CF6"/>
    <w:rsid w:val="00DC7F86"/>
    <w:rsid w:val="00DD014E"/>
    <w:rsid w:val="00DD0CA5"/>
    <w:rsid w:val="00DD1699"/>
    <w:rsid w:val="00DD170A"/>
    <w:rsid w:val="00DD1D23"/>
    <w:rsid w:val="00DD2061"/>
    <w:rsid w:val="00DD315A"/>
    <w:rsid w:val="00DD45D4"/>
    <w:rsid w:val="00DD46C5"/>
    <w:rsid w:val="00DD50B3"/>
    <w:rsid w:val="00DD6906"/>
    <w:rsid w:val="00DD694E"/>
    <w:rsid w:val="00DD6DD6"/>
    <w:rsid w:val="00DD7DAB"/>
    <w:rsid w:val="00DE17CC"/>
    <w:rsid w:val="00DE17E7"/>
    <w:rsid w:val="00DE3355"/>
    <w:rsid w:val="00DE39D6"/>
    <w:rsid w:val="00DE3E8D"/>
    <w:rsid w:val="00DE4360"/>
    <w:rsid w:val="00DE49BC"/>
    <w:rsid w:val="00DE6CC8"/>
    <w:rsid w:val="00DE6F57"/>
    <w:rsid w:val="00DE71D1"/>
    <w:rsid w:val="00DE78BE"/>
    <w:rsid w:val="00DE78E5"/>
    <w:rsid w:val="00DF0433"/>
    <w:rsid w:val="00DF0659"/>
    <w:rsid w:val="00DF0B7C"/>
    <w:rsid w:val="00DF2E3A"/>
    <w:rsid w:val="00DF4731"/>
    <w:rsid w:val="00DF486F"/>
    <w:rsid w:val="00DF4C0F"/>
    <w:rsid w:val="00DF5B5B"/>
    <w:rsid w:val="00DF647C"/>
    <w:rsid w:val="00DF6902"/>
    <w:rsid w:val="00DF7619"/>
    <w:rsid w:val="00DF772A"/>
    <w:rsid w:val="00E00AE0"/>
    <w:rsid w:val="00E021CE"/>
    <w:rsid w:val="00E02B60"/>
    <w:rsid w:val="00E02CC5"/>
    <w:rsid w:val="00E0312E"/>
    <w:rsid w:val="00E039DE"/>
    <w:rsid w:val="00E042D8"/>
    <w:rsid w:val="00E04B9A"/>
    <w:rsid w:val="00E04FB4"/>
    <w:rsid w:val="00E05278"/>
    <w:rsid w:val="00E06844"/>
    <w:rsid w:val="00E06F94"/>
    <w:rsid w:val="00E07273"/>
    <w:rsid w:val="00E07602"/>
    <w:rsid w:val="00E07B83"/>
    <w:rsid w:val="00E07EE7"/>
    <w:rsid w:val="00E10209"/>
    <w:rsid w:val="00E10B1C"/>
    <w:rsid w:val="00E10F7E"/>
    <w:rsid w:val="00E1103B"/>
    <w:rsid w:val="00E1196F"/>
    <w:rsid w:val="00E11E4A"/>
    <w:rsid w:val="00E11E5D"/>
    <w:rsid w:val="00E1312A"/>
    <w:rsid w:val="00E134E4"/>
    <w:rsid w:val="00E136F1"/>
    <w:rsid w:val="00E1371C"/>
    <w:rsid w:val="00E144BF"/>
    <w:rsid w:val="00E1457F"/>
    <w:rsid w:val="00E14952"/>
    <w:rsid w:val="00E14FE7"/>
    <w:rsid w:val="00E1503B"/>
    <w:rsid w:val="00E16201"/>
    <w:rsid w:val="00E169D8"/>
    <w:rsid w:val="00E17575"/>
    <w:rsid w:val="00E17B44"/>
    <w:rsid w:val="00E20FBC"/>
    <w:rsid w:val="00E20FCF"/>
    <w:rsid w:val="00E2179F"/>
    <w:rsid w:val="00E219B9"/>
    <w:rsid w:val="00E2270A"/>
    <w:rsid w:val="00E22ABB"/>
    <w:rsid w:val="00E22C3E"/>
    <w:rsid w:val="00E22EF7"/>
    <w:rsid w:val="00E23A7C"/>
    <w:rsid w:val="00E23D11"/>
    <w:rsid w:val="00E240E5"/>
    <w:rsid w:val="00E24404"/>
    <w:rsid w:val="00E253C5"/>
    <w:rsid w:val="00E25882"/>
    <w:rsid w:val="00E261C8"/>
    <w:rsid w:val="00E2686B"/>
    <w:rsid w:val="00E274A9"/>
    <w:rsid w:val="00E2796E"/>
    <w:rsid w:val="00E27D61"/>
    <w:rsid w:val="00E27FEA"/>
    <w:rsid w:val="00E31F4A"/>
    <w:rsid w:val="00E33885"/>
    <w:rsid w:val="00E33EBA"/>
    <w:rsid w:val="00E34D59"/>
    <w:rsid w:val="00E34E30"/>
    <w:rsid w:val="00E34E83"/>
    <w:rsid w:val="00E351F2"/>
    <w:rsid w:val="00E35627"/>
    <w:rsid w:val="00E35F39"/>
    <w:rsid w:val="00E3701F"/>
    <w:rsid w:val="00E37152"/>
    <w:rsid w:val="00E37590"/>
    <w:rsid w:val="00E37860"/>
    <w:rsid w:val="00E4086F"/>
    <w:rsid w:val="00E410A3"/>
    <w:rsid w:val="00E42029"/>
    <w:rsid w:val="00E42C23"/>
    <w:rsid w:val="00E43778"/>
    <w:rsid w:val="00E43AEB"/>
    <w:rsid w:val="00E43B3C"/>
    <w:rsid w:val="00E43BBD"/>
    <w:rsid w:val="00E45E9C"/>
    <w:rsid w:val="00E4682B"/>
    <w:rsid w:val="00E50188"/>
    <w:rsid w:val="00E50857"/>
    <w:rsid w:val="00E50F2E"/>
    <w:rsid w:val="00E515CB"/>
    <w:rsid w:val="00E5222B"/>
    <w:rsid w:val="00E52260"/>
    <w:rsid w:val="00E52756"/>
    <w:rsid w:val="00E52F95"/>
    <w:rsid w:val="00E55257"/>
    <w:rsid w:val="00E55761"/>
    <w:rsid w:val="00E563D7"/>
    <w:rsid w:val="00E56458"/>
    <w:rsid w:val="00E564FA"/>
    <w:rsid w:val="00E57CF4"/>
    <w:rsid w:val="00E57E92"/>
    <w:rsid w:val="00E600AB"/>
    <w:rsid w:val="00E60595"/>
    <w:rsid w:val="00E61D43"/>
    <w:rsid w:val="00E61F8D"/>
    <w:rsid w:val="00E639B6"/>
    <w:rsid w:val="00E6434B"/>
    <w:rsid w:val="00E6463D"/>
    <w:rsid w:val="00E64910"/>
    <w:rsid w:val="00E64982"/>
    <w:rsid w:val="00E64A62"/>
    <w:rsid w:val="00E64DF8"/>
    <w:rsid w:val="00E65453"/>
    <w:rsid w:val="00E663B7"/>
    <w:rsid w:val="00E6743A"/>
    <w:rsid w:val="00E67EE2"/>
    <w:rsid w:val="00E67F7B"/>
    <w:rsid w:val="00E717EC"/>
    <w:rsid w:val="00E72E9B"/>
    <w:rsid w:val="00E7333C"/>
    <w:rsid w:val="00E73773"/>
    <w:rsid w:val="00E73D96"/>
    <w:rsid w:val="00E752F8"/>
    <w:rsid w:val="00E75C60"/>
    <w:rsid w:val="00E75CD2"/>
    <w:rsid w:val="00E76B36"/>
    <w:rsid w:val="00E77932"/>
    <w:rsid w:val="00E80257"/>
    <w:rsid w:val="00E80461"/>
    <w:rsid w:val="00E809AF"/>
    <w:rsid w:val="00E8363D"/>
    <w:rsid w:val="00E83FBE"/>
    <w:rsid w:val="00E849DA"/>
    <w:rsid w:val="00E84C46"/>
    <w:rsid w:val="00E87172"/>
    <w:rsid w:val="00E877E1"/>
    <w:rsid w:val="00E900DE"/>
    <w:rsid w:val="00E942C0"/>
    <w:rsid w:val="00E9462E"/>
    <w:rsid w:val="00E96C95"/>
    <w:rsid w:val="00E9754C"/>
    <w:rsid w:val="00EA02E5"/>
    <w:rsid w:val="00EA0687"/>
    <w:rsid w:val="00EA24AB"/>
    <w:rsid w:val="00EA470E"/>
    <w:rsid w:val="00EA47A7"/>
    <w:rsid w:val="00EA4FD8"/>
    <w:rsid w:val="00EA557B"/>
    <w:rsid w:val="00EA55E2"/>
    <w:rsid w:val="00EA57EB"/>
    <w:rsid w:val="00EA7041"/>
    <w:rsid w:val="00EB1182"/>
    <w:rsid w:val="00EB135B"/>
    <w:rsid w:val="00EB1FC1"/>
    <w:rsid w:val="00EB241E"/>
    <w:rsid w:val="00EB300D"/>
    <w:rsid w:val="00EB3226"/>
    <w:rsid w:val="00EB33F5"/>
    <w:rsid w:val="00EB3513"/>
    <w:rsid w:val="00EB3633"/>
    <w:rsid w:val="00EB36CA"/>
    <w:rsid w:val="00EB3D55"/>
    <w:rsid w:val="00EB49E7"/>
    <w:rsid w:val="00EB6AB2"/>
    <w:rsid w:val="00EB6CB0"/>
    <w:rsid w:val="00EB6D08"/>
    <w:rsid w:val="00EB7125"/>
    <w:rsid w:val="00EC12BE"/>
    <w:rsid w:val="00EC1AD1"/>
    <w:rsid w:val="00EC213A"/>
    <w:rsid w:val="00EC29C5"/>
    <w:rsid w:val="00EC38E7"/>
    <w:rsid w:val="00EC41EA"/>
    <w:rsid w:val="00EC4DFD"/>
    <w:rsid w:val="00EC553B"/>
    <w:rsid w:val="00EC5942"/>
    <w:rsid w:val="00EC6220"/>
    <w:rsid w:val="00EC6603"/>
    <w:rsid w:val="00EC6A4E"/>
    <w:rsid w:val="00EC712F"/>
    <w:rsid w:val="00EC7744"/>
    <w:rsid w:val="00ED0DAD"/>
    <w:rsid w:val="00ED0F46"/>
    <w:rsid w:val="00ED1934"/>
    <w:rsid w:val="00ED2373"/>
    <w:rsid w:val="00ED306A"/>
    <w:rsid w:val="00ED4ABC"/>
    <w:rsid w:val="00ED66A7"/>
    <w:rsid w:val="00ED66FE"/>
    <w:rsid w:val="00EE03FF"/>
    <w:rsid w:val="00EE0A68"/>
    <w:rsid w:val="00EE119D"/>
    <w:rsid w:val="00EE2FD9"/>
    <w:rsid w:val="00EE30AB"/>
    <w:rsid w:val="00EE3712"/>
    <w:rsid w:val="00EE38C1"/>
    <w:rsid w:val="00EE3DD6"/>
    <w:rsid w:val="00EE3E8A"/>
    <w:rsid w:val="00EE3F3C"/>
    <w:rsid w:val="00EE4418"/>
    <w:rsid w:val="00EE4497"/>
    <w:rsid w:val="00EE46DD"/>
    <w:rsid w:val="00EE4F90"/>
    <w:rsid w:val="00EE5294"/>
    <w:rsid w:val="00EE5631"/>
    <w:rsid w:val="00EE6295"/>
    <w:rsid w:val="00EE69FB"/>
    <w:rsid w:val="00EE6CE6"/>
    <w:rsid w:val="00EE7445"/>
    <w:rsid w:val="00EE7AEB"/>
    <w:rsid w:val="00EF057A"/>
    <w:rsid w:val="00EF0B35"/>
    <w:rsid w:val="00EF16D2"/>
    <w:rsid w:val="00EF29B4"/>
    <w:rsid w:val="00EF313A"/>
    <w:rsid w:val="00EF32A2"/>
    <w:rsid w:val="00EF3A20"/>
    <w:rsid w:val="00EF3DEB"/>
    <w:rsid w:val="00EF5936"/>
    <w:rsid w:val="00EF61D8"/>
    <w:rsid w:val="00EF6443"/>
    <w:rsid w:val="00EF6ECA"/>
    <w:rsid w:val="00EF747B"/>
    <w:rsid w:val="00EF77B9"/>
    <w:rsid w:val="00EF7E69"/>
    <w:rsid w:val="00F0041A"/>
    <w:rsid w:val="00F01CE5"/>
    <w:rsid w:val="00F024E1"/>
    <w:rsid w:val="00F026B5"/>
    <w:rsid w:val="00F02BA4"/>
    <w:rsid w:val="00F03691"/>
    <w:rsid w:val="00F049F6"/>
    <w:rsid w:val="00F05104"/>
    <w:rsid w:val="00F05505"/>
    <w:rsid w:val="00F068FE"/>
    <w:rsid w:val="00F06C10"/>
    <w:rsid w:val="00F06DF2"/>
    <w:rsid w:val="00F071B1"/>
    <w:rsid w:val="00F071F3"/>
    <w:rsid w:val="00F0730B"/>
    <w:rsid w:val="00F07351"/>
    <w:rsid w:val="00F0761B"/>
    <w:rsid w:val="00F07C55"/>
    <w:rsid w:val="00F07EFB"/>
    <w:rsid w:val="00F07FBD"/>
    <w:rsid w:val="00F102A2"/>
    <w:rsid w:val="00F1049E"/>
    <w:rsid w:val="00F1096F"/>
    <w:rsid w:val="00F11953"/>
    <w:rsid w:val="00F1217B"/>
    <w:rsid w:val="00F12589"/>
    <w:rsid w:val="00F12595"/>
    <w:rsid w:val="00F131DB"/>
    <w:rsid w:val="00F13430"/>
    <w:rsid w:val="00F134D9"/>
    <w:rsid w:val="00F1403D"/>
    <w:rsid w:val="00F14161"/>
    <w:rsid w:val="00F1463F"/>
    <w:rsid w:val="00F150E1"/>
    <w:rsid w:val="00F15134"/>
    <w:rsid w:val="00F1559D"/>
    <w:rsid w:val="00F155E7"/>
    <w:rsid w:val="00F16067"/>
    <w:rsid w:val="00F168EA"/>
    <w:rsid w:val="00F169CD"/>
    <w:rsid w:val="00F16D8D"/>
    <w:rsid w:val="00F201D7"/>
    <w:rsid w:val="00F20A23"/>
    <w:rsid w:val="00F212B6"/>
    <w:rsid w:val="00F21302"/>
    <w:rsid w:val="00F21B1B"/>
    <w:rsid w:val="00F2377C"/>
    <w:rsid w:val="00F23C41"/>
    <w:rsid w:val="00F24292"/>
    <w:rsid w:val="00F30985"/>
    <w:rsid w:val="00F3146B"/>
    <w:rsid w:val="00F321DE"/>
    <w:rsid w:val="00F3247A"/>
    <w:rsid w:val="00F32D09"/>
    <w:rsid w:val="00F33777"/>
    <w:rsid w:val="00F34028"/>
    <w:rsid w:val="00F34466"/>
    <w:rsid w:val="00F3473E"/>
    <w:rsid w:val="00F349FF"/>
    <w:rsid w:val="00F35D41"/>
    <w:rsid w:val="00F4024B"/>
    <w:rsid w:val="00F40648"/>
    <w:rsid w:val="00F40745"/>
    <w:rsid w:val="00F427D0"/>
    <w:rsid w:val="00F42A80"/>
    <w:rsid w:val="00F42E04"/>
    <w:rsid w:val="00F43AFE"/>
    <w:rsid w:val="00F44F1B"/>
    <w:rsid w:val="00F45ED1"/>
    <w:rsid w:val="00F460A3"/>
    <w:rsid w:val="00F4629F"/>
    <w:rsid w:val="00F47987"/>
    <w:rsid w:val="00F47A4A"/>
    <w:rsid w:val="00F47DA2"/>
    <w:rsid w:val="00F50B2A"/>
    <w:rsid w:val="00F512D8"/>
    <w:rsid w:val="00F5184A"/>
    <w:rsid w:val="00F519FC"/>
    <w:rsid w:val="00F53330"/>
    <w:rsid w:val="00F53924"/>
    <w:rsid w:val="00F54007"/>
    <w:rsid w:val="00F543E0"/>
    <w:rsid w:val="00F5489B"/>
    <w:rsid w:val="00F54FF5"/>
    <w:rsid w:val="00F5506A"/>
    <w:rsid w:val="00F55320"/>
    <w:rsid w:val="00F56385"/>
    <w:rsid w:val="00F564C0"/>
    <w:rsid w:val="00F60041"/>
    <w:rsid w:val="00F60336"/>
    <w:rsid w:val="00F61513"/>
    <w:rsid w:val="00F618C1"/>
    <w:rsid w:val="00F6239D"/>
    <w:rsid w:val="00F64680"/>
    <w:rsid w:val="00F6665A"/>
    <w:rsid w:val="00F7095D"/>
    <w:rsid w:val="00F71334"/>
    <w:rsid w:val="00F715D2"/>
    <w:rsid w:val="00F716E2"/>
    <w:rsid w:val="00F71C18"/>
    <w:rsid w:val="00F71D85"/>
    <w:rsid w:val="00F7274F"/>
    <w:rsid w:val="00F73179"/>
    <w:rsid w:val="00F76088"/>
    <w:rsid w:val="00F76256"/>
    <w:rsid w:val="00F76D04"/>
    <w:rsid w:val="00F76FA8"/>
    <w:rsid w:val="00F77C2F"/>
    <w:rsid w:val="00F8015D"/>
    <w:rsid w:val="00F81482"/>
    <w:rsid w:val="00F81DB6"/>
    <w:rsid w:val="00F83797"/>
    <w:rsid w:val="00F83D4E"/>
    <w:rsid w:val="00F84410"/>
    <w:rsid w:val="00F85B99"/>
    <w:rsid w:val="00F86192"/>
    <w:rsid w:val="00F869AE"/>
    <w:rsid w:val="00F86C3A"/>
    <w:rsid w:val="00F873D0"/>
    <w:rsid w:val="00F87E2F"/>
    <w:rsid w:val="00F87EB1"/>
    <w:rsid w:val="00F90124"/>
    <w:rsid w:val="00F904B3"/>
    <w:rsid w:val="00F9091F"/>
    <w:rsid w:val="00F90B31"/>
    <w:rsid w:val="00F90E62"/>
    <w:rsid w:val="00F912F3"/>
    <w:rsid w:val="00F92BD7"/>
    <w:rsid w:val="00F92EFB"/>
    <w:rsid w:val="00F92FC6"/>
    <w:rsid w:val="00F934FE"/>
    <w:rsid w:val="00F935F4"/>
    <w:rsid w:val="00F939D2"/>
    <w:rsid w:val="00F93F08"/>
    <w:rsid w:val="00F94AEE"/>
    <w:rsid w:val="00F94CED"/>
    <w:rsid w:val="00F9514F"/>
    <w:rsid w:val="00F960C0"/>
    <w:rsid w:val="00F9783B"/>
    <w:rsid w:val="00F97965"/>
    <w:rsid w:val="00F97B5A"/>
    <w:rsid w:val="00FA199E"/>
    <w:rsid w:val="00FA2163"/>
    <w:rsid w:val="00FA2AF0"/>
    <w:rsid w:val="00FA2CEE"/>
    <w:rsid w:val="00FA318C"/>
    <w:rsid w:val="00FA49DC"/>
    <w:rsid w:val="00FA5466"/>
    <w:rsid w:val="00FA6109"/>
    <w:rsid w:val="00FA61B8"/>
    <w:rsid w:val="00FA62E4"/>
    <w:rsid w:val="00FA75F4"/>
    <w:rsid w:val="00FA7A7F"/>
    <w:rsid w:val="00FB0BBC"/>
    <w:rsid w:val="00FB0DC0"/>
    <w:rsid w:val="00FB0FDE"/>
    <w:rsid w:val="00FB2E57"/>
    <w:rsid w:val="00FB33F9"/>
    <w:rsid w:val="00FB377B"/>
    <w:rsid w:val="00FB3B0C"/>
    <w:rsid w:val="00FB3E5D"/>
    <w:rsid w:val="00FB44E7"/>
    <w:rsid w:val="00FB493C"/>
    <w:rsid w:val="00FB4B64"/>
    <w:rsid w:val="00FB4D9F"/>
    <w:rsid w:val="00FB552D"/>
    <w:rsid w:val="00FB5B2B"/>
    <w:rsid w:val="00FB6F92"/>
    <w:rsid w:val="00FB71DC"/>
    <w:rsid w:val="00FB735F"/>
    <w:rsid w:val="00FB7AD0"/>
    <w:rsid w:val="00FC026E"/>
    <w:rsid w:val="00FC11BD"/>
    <w:rsid w:val="00FC17BF"/>
    <w:rsid w:val="00FC1812"/>
    <w:rsid w:val="00FC3FC5"/>
    <w:rsid w:val="00FC4499"/>
    <w:rsid w:val="00FC480D"/>
    <w:rsid w:val="00FC4DCC"/>
    <w:rsid w:val="00FC5124"/>
    <w:rsid w:val="00FC5A0F"/>
    <w:rsid w:val="00FC69A8"/>
    <w:rsid w:val="00FC6D0F"/>
    <w:rsid w:val="00FC71D1"/>
    <w:rsid w:val="00FC7BE5"/>
    <w:rsid w:val="00FD00FF"/>
    <w:rsid w:val="00FD058B"/>
    <w:rsid w:val="00FD1079"/>
    <w:rsid w:val="00FD1615"/>
    <w:rsid w:val="00FD1E77"/>
    <w:rsid w:val="00FD1EE5"/>
    <w:rsid w:val="00FD3EF3"/>
    <w:rsid w:val="00FD3FF4"/>
    <w:rsid w:val="00FD4731"/>
    <w:rsid w:val="00FD602C"/>
    <w:rsid w:val="00FD65AA"/>
    <w:rsid w:val="00FD66C7"/>
    <w:rsid w:val="00FD7932"/>
    <w:rsid w:val="00FE10A3"/>
    <w:rsid w:val="00FE22FB"/>
    <w:rsid w:val="00FE2987"/>
    <w:rsid w:val="00FE3A8A"/>
    <w:rsid w:val="00FE4403"/>
    <w:rsid w:val="00FE4854"/>
    <w:rsid w:val="00FE7DFB"/>
    <w:rsid w:val="00FF046F"/>
    <w:rsid w:val="00FF0AB0"/>
    <w:rsid w:val="00FF107B"/>
    <w:rsid w:val="00FF151A"/>
    <w:rsid w:val="00FF1AB2"/>
    <w:rsid w:val="00FF247D"/>
    <w:rsid w:val="00FF2781"/>
    <w:rsid w:val="00FF28AC"/>
    <w:rsid w:val="00FF2EEA"/>
    <w:rsid w:val="00FF3166"/>
    <w:rsid w:val="00FF33C2"/>
    <w:rsid w:val="00FF389B"/>
    <w:rsid w:val="00FF4067"/>
    <w:rsid w:val="00FF4A0D"/>
    <w:rsid w:val="00FF4A32"/>
    <w:rsid w:val="00FF4E3F"/>
    <w:rsid w:val="00FF604B"/>
    <w:rsid w:val="00FF6052"/>
    <w:rsid w:val="00FF6750"/>
    <w:rsid w:val="00FF6A7C"/>
    <w:rsid w:val="00FF7197"/>
    <w:rsid w:val="00FF7F62"/>
    <w:rsid w:val="02A94C60"/>
    <w:rsid w:val="0CECE9C0"/>
    <w:rsid w:val="14200DB7"/>
    <w:rsid w:val="1554EBA3"/>
    <w:rsid w:val="15CAA997"/>
    <w:rsid w:val="1B5428CA"/>
    <w:rsid w:val="1C742DED"/>
    <w:rsid w:val="2EA231C6"/>
    <w:rsid w:val="2F5AD521"/>
    <w:rsid w:val="3595A123"/>
    <w:rsid w:val="3796D72D"/>
    <w:rsid w:val="3B229D3E"/>
    <w:rsid w:val="3C2E4A90"/>
    <w:rsid w:val="401193ED"/>
    <w:rsid w:val="40688932"/>
    <w:rsid w:val="47F6A284"/>
    <w:rsid w:val="49BB6C4D"/>
    <w:rsid w:val="4C90DEA7"/>
    <w:rsid w:val="4D063EB5"/>
    <w:rsid w:val="4F995515"/>
    <w:rsid w:val="53A7A4EF"/>
    <w:rsid w:val="5AA51721"/>
    <w:rsid w:val="5DD42C3D"/>
    <w:rsid w:val="5E029CF4"/>
    <w:rsid w:val="61CD98A4"/>
    <w:rsid w:val="65B3DFBE"/>
    <w:rsid w:val="6F10BCA2"/>
    <w:rsid w:val="770F1F36"/>
    <w:rsid w:val="7942BDBD"/>
    <w:rsid w:val="79B0024F"/>
    <w:rsid w:val="7A01BE9D"/>
    <w:rsid w:val="7A8B505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B96F5D"/>
  <w15:docId w15:val="{E7D47FED-93F7-4F1F-B549-3D58A26B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D34EB"/>
    <w:pPr>
      <w:spacing w:before="120" w:after="120" w:line="276" w:lineRule="auto"/>
    </w:pPr>
    <w:rPr>
      <w:rFonts w:ascii="Arial" w:hAnsi="Arial"/>
      <w:color w:val="1E1545" w:themeColor="text1"/>
      <w:sz w:val="24"/>
      <w:szCs w:val="24"/>
      <w:lang w:eastAsia="en-US"/>
    </w:rPr>
  </w:style>
  <w:style w:type="paragraph" w:styleId="Heading1">
    <w:name w:val="heading 1"/>
    <w:next w:val="Normal"/>
    <w:link w:val="Heading1Char"/>
    <w:qFormat/>
    <w:rsid w:val="00A47245"/>
    <w:pPr>
      <w:keepNext/>
      <w:spacing w:before="600" w:after="240"/>
      <w:outlineLvl w:val="0"/>
    </w:pPr>
    <w:rPr>
      <w:rFonts w:ascii="Arial" w:hAnsi="Arial" w:cs="Arial"/>
      <w:b/>
      <w:bCs/>
      <w:color w:val="1E1545" w:themeColor="text1"/>
      <w:kern w:val="28"/>
      <w:sz w:val="36"/>
      <w:szCs w:val="36"/>
      <w:lang w:eastAsia="en-US"/>
    </w:rPr>
  </w:style>
  <w:style w:type="paragraph" w:styleId="Heading2">
    <w:name w:val="heading 2"/>
    <w:next w:val="Normal"/>
    <w:link w:val="Heading2Char"/>
    <w:qFormat/>
    <w:rsid w:val="00B96007"/>
    <w:pPr>
      <w:keepNext/>
      <w:spacing w:before="360" w:after="240"/>
      <w:outlineLvl w:val="1"/>
    </w:pPr>
    <w:rPr>
      <w:rFonts w:ascii="Arial" w:hAnsi="Arial" w:cs="Arial"/>
      <w:b/>
      <w:bCs/>
      <w:iCs/>
      <w:color w:val="1E1545" w:themeColor="text1"/>
      <w:sz w:val="36"/>
      <w:szCs w:val="28"/>
      <w:lang w:eastAsia="en-US"/>
    </w:rPr>
  </w:style>
  <w:style w:type="paragraph" w:styleId="Heading3">
    <w:name w:val="heading 3"/>
    <w:next w:val="Normal"/>
    <w:link w:val="Heading3Char"/>
    <w:qFormat/>
    <w:rsid w:val="00A47245"/>
    <w:pPr>
      <w:keepNext/>
      <w:spacing w:before="240" w:after="120"/>
      <w:outlineLvl w:val="2"/>
    </w:pPr>
    <w:rPr>
      <w:rFonts w:ascii="Arial" w:hAnsi="Arial" w:cs="Arial"/>
      <w:b/>
      <w:bCs/>
      <w:color w:val="2AB1BB" w:themeColor="accent1"/>
      <w:sz w:val="24"/>
      <w:szCs w:val="22"/>
      <w:lang w:eastAsia="en-US"/>
    </w:rPr>
  </w:style>
  <w:style w:type="paragraph" w:styleId="Heading4">
    <w:name w:val="heading 4"/>
    <w:next w:val="Normal"/>
    <w:link w:val="Heading4Char"/>
    <w:qFormat/>
    <w:rsid w:val="004D34EB"/>
    <w:pPr>
      <w:keepNext/>
      <w:spacing w:before="240" w:after="60"/>
      <w:outlineLvl w:val="3"/>
    </w:pPr>
    <w:rPr>
      <w:rFonts w:ascii="Arial" w:hAnsi="Arial"/>
      <w:b/>
      <w:bCs/>
      <w:iCs/>
      <w:color w:val="2AB1BB" w:themeColor="accent1"/>
      <w:sz w:val="24"/>
      <w:szCs w:val="24"/>
      <w:lang w:eastAsia="en-US"/>
    </w:rPr>
  </w:style>
  <w:style w:type="paragraph" w:styleId="Heading5">
    <w:name w:val="heading 5"/>
    <w:next w:val="Normal"/>
    <w:rsid w:val="00AA723B"/>
    <w:pPr>
      <w:keepNext/>
      <w:spacing w:before="120" w:line="276" w:lineRule="auto"/>
      <w:outlineLvl w:val="4"/>
    </w:pPr>
    <w:rPr>
      <w:rFonts w:ascii="Arial" w:hAnsi="Arial"/>
      <w:bCs/>
      <w:iCs/>
      <w:color w:val="1E1545" w:themeColor="text1"/>
      <w:sz w:val="24"/>
      <w:szCs w:val="26"/>
      <w:lang w:eastAsia="en-US"/>
    </w:rPr>
  </w:style>
  <w:style w:type="paragraph" w:styleId="Heading6">
    <w:name w:val="heading 6"/>
    <w:next w:val="Normal"/>
    <w:rsid w:val="00BF7AD7"/>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BF7AD7"/>
    <w:pPr>
      <w:keepNext/>
      <w:keepLines/>
      <w:spacing w:before="40"/>
      <w:outlineLvl w:val="6"/>
    </w:pPr>
    <w:rPr>
      <w:rFonts w:ascii="Arial" w:eastAsiaTheme="majorEastAsia" w:hAnsi="Arial" w:cstheme="majorBidi"/>
      <w:b/>
      <w:i/>
      <w:iCs/>
      <w:color w:val="15575D"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BF7AD7"/>
    <w:rPr>
      <w:i/>
      <w:iCs/>
    </w:rPr>
  </w:style>
  <w:style w:type="character" w:styleId="Strong">
    <w:name w:val="Strong"/>
    <w:basedOn w:val="DefaultParagraphFont"/>
    <w:rsid w:val="00BF7AD7"/>
    <w:rPr>
      <w:b/>
      <w:bCs/>
    </w:rPr>
  </w:style>
  <w:style w:type="paragraph" w:styleId="Subtitle">
    <w:name w:val="Subtitle"/>
    <w:next w:val="Normal"/>
    <w:link w:val="SubtitleChar"/>
    <w:qFormat/>
    <w:rsid w:val="006249DC"/>
    <w:pPr>
      <w:numPr>
        <w:ilvl w:val="1"/>
      </w:numPr>
      <w:spacing w:before="120" w:after="60"/>
    </w:pPr>
    <w:rPr>
      <w:rFonts w:ascii="Arial" w:eastAsiaTheme="majorEastAsia" w:hAnsi="Arial" w:cstheme="majorBidi"/>
      <w:iCs/>
      <w:color w:val="3F4A75"/>
      <w:spacing w:val="15"/>
      <w:sz w:val="56"/>
      <w:szCs w:val="56"/>
      <w:lang w:eastAsia="en-US"/>
    </w:rPr>
  </w:style>
  <w:style w:type="character" w:customStyle="1" w:styleId="SubtitleChar">
    <w:name w:val="Subtitle Char"/>
    <w:basedOn w:val="DefaultParagraphFont"/>
    <w:link w:val="Subtitle"/>
    <w:rsid w:val="006249DC"/>
    <w:rPr>
      <w:rFonts w:ascii="Arial" w:eastAsiaTheme="majorEastAsia" w:hAnsi="Arial" w:cstheme="majorBidi"/>
      <w:iCs/>
      <w:color w:val="3F4A75"/>
      <w:spacing w:val="15"/>
      <w:sz w:val="56"/>
      <w:szCs w:val="56"/>
      <w:lang w:eastAsia="en-US"/>
    </w:rPr>
  </w:style>
  <w:style w:type="paragraph" w:styleId="Title">
    <w:name w:val="Title"/>
    <w:next w:val="Normal"/>
    <w:link w:val="TitleChar"/>
    <w:qFormat/>
    <w:rsid w:val="005D4A3F"/>
    <w:pPr>
      <w:spacing w:before="1560" w:after="120"/>
      <w:contextualSpacing/>
    </w:pPr>
    <w:rPr>
      <w:rFonts w:ascii="Arial" w:eastAsiaTheme="majorEastAsia" w:hAnsi="Arial" w:cstheme="majorBidi"/>
      <w:b/>
      <w:color w:val="3F4A75"/>
      <w:kern w:val="28"/>
      <w:sz w:val="80"/>
      <w:szCs w:val="80"/>
      <w:lang w:eastAsia="en-US"/>
    </w:rPr>
  </w:style>
  <w:style w:type="character" w:customStyle="1" w:styleId="TitleChar">
    <w:name w:val="Title Char"/>
    <w:basedOn w:val="DefaultParagraphFont"/>
    <w:link w:val="Title"/>
    <w:rsid w:val="005D4A3F"/>
    <w:rPr>
      <w:rFonts w:ascii="Arial" w:eastAsiaTheme="majorEastAsia" w:hAnsi="Arial" w:cstheme="majorBidi"/>
      <w:b/>
      <w:color w:val="3F4A75"/>
      <w:kern w:val="28"/>
      <w:sz w:val="80"/>
      <w:szCs w:val="80"/>
      <w:lang w:eastAsia="en-US"/>
    </w:rPr>
  </w:style>
  <w:style w:type="paragraph" w:styleId="NoSpacing">
    <w:name w:val="No Spacing"/>
    <w:uiPriority w:val="1"/>
    <w:rsid w:val="00BF7AD7"/>
    <w:rPr>
      <w:sz w:val="24"/>
      <w:szCs w:val="24"/>
      <w:lang w:eastAsia="en-US"/>
    </w:rPr>
  </w:style>
  <w:style w:type="character" w:styleId="SubtleEmphasis">
    <w:name w:val="Subtle Emphasis"/>
    <w:basedOn w:val="DefaultParagraphFont"/>
    <w:uiPriority w:val="19"/>
    <w:rsid w:val="00BF7AD7"/>
    <w:rPr>
      <w:i/>
      <w:iCs/>
      <w:color w:val="735ECE" w:themeColor="text1" w:themeTint="7F"/>
    </w:rPr>
  </w:style>
  <w:style w:type="character" w:styleId="IntenseEmphasis">
    <w:name w:val="Intense Emphasis"/>
    <w:basedOn w:val="DefaultParagraphFont"/>
    <w:uiPriority w:val="21"/>
    <w:rsid w:val="00BF7AD7"/>
    <w:rPr>
      <w:b/>
      <w:bCs/>
      <w:i/>
      <w:iCs/>
      <w:color w:val="2AB1BB" w:themeColor="accent1"/>
    </w:rPr>
  </w:style>
  <w:style w:type="paragraph" w:styleId="Quote">
    <w:name w:val="Quote"/>
    <w:next w:val="Normal"/>
    <w:link w:val="QuoteChar"/>
    <w:uiPriority w:val="29"/>
    <w:qFormat/>
    <w:rsid w:val="00BF7AD7"/>
    <w:pPr>
      <w:ind w:left="720"/>
    </w:pPr>
    <w:rPr>
      <w:rFonts w:ascii="Arial" w:hAnsi="Arial"/>
      <w:i/>
      <w:iCs/>
      <w:color w:val="1E1545" w:themeColor="text1"/>
      <w:sz w:val="22"/>
      <w:szCs w:val="24"/>
      <w:lang w:eastAsia="en-US"/>
    </w:rPr>
  </w:style>
  <w:style w:type="character" w:customStyle="1" w:styleId="QuoteChar">
    <w:name w:val="Quote Char"/>
    <w:basedOn w:val="DefaultParagraphFont"/>
    <w:link w:val="Quote"/>
    <w:uiPriority w:val="29"/>
    <w:rsid w:val="00BF7AD7"/>
    <w:rPr>
      <w:rFonts w:ascii="Arial" w:hAnsi="Arial"/>
      <w:i/>
      <w:iCs/>
      <w:color w:val="1E1545" w:themeColor="text1"/>
      <w:sz w:val="22"/>
      <w:szCs w:val="24"/>
      <w:lang w:eastAsia="en-US"/>
    </w:rPr>
  </w:style>
  <w:style w:type="paragraph" w:styleId="IntenseQuote">
    <w:name w:val="Intense Quote"/>
    <w:next w:val="Normal"/>
    <w:link w:val="IntenseQuoteChar"/>
    <w:uiPriority w:val="30"/>
    <w:rsid w:val="00BF7AD7"/>
    <w:pPr>
      <w:pBdr>
        <w:bottom w:val="single" w:sz="4" w:space="4" w:color="2AB1BB" w:themeColor="accent1"/>
      </w:pBdr>
      <w:spacing w:before="200" w:after="280"/>
      <w:ind w:left="936" w:right="936"/>
    </w:pPr>
    <w:rPr>
      <w:rFonts w:ascii="Arial" w:hAnsi="Arial"/>
      <w:b/>
      <w:bCs/>
      <w:i/>
      <w:iCs/>
      <w:color w:val="2AB1BB" w:themeColor="accent1"/>
      <w:sz w:val="22"/>
      <w:szCs w:val="24"/>
      <w:lang w:eastAsia="en-US"/>
    </w:rPr>
  </w:style>
  <w:style w:type="character" w:customStyle="1" w:styleId="IntenseQuoteChar">
    <w:name w:val="Intense Quote Char"/>
    <w:basedOn w:val="DefaultParagraphFont"/>
    <w:link w:val="IntenseQuote"/>
    <w:uiPriority w:val="30"/>
    <w:rsid w:val="00BF7AD7"/>
    <w:rPr>
      <w:rFonts w:ascii="Arial" w:hAnsi="Arial"/>
      <w:b/>
      <w:bCs/>
      <w:i/>
      <w:iCs/>
      <w:color w:val="2AB1BB" w:themeColor="accent1"/>
      <w:sz w:val="22"/>
      <w:szCs w:val="24"/>
      <w:lang w:eastAsia="en-US"/>
    </w:rPr>
  </w:style>
  <w:style w:type="character" w:styleId="SubtleReference">
    <w:name w:val="Subtle Reference"/>
    <w:basedOn w:val="DefaultParagraphFont"/>
    <w:uiPriority w:val="31"/>
    <w:rsid w:val="00BF7AD7"/>
    <w:rPr>
      <w:smallCaps/>
      <w:color w:val="78BE43" w:themeColor="accent2"/>
      <w:u w:val="single"/>
    </w:rPr>
  </w:style>
  <w:style w:type="character" w:styleId="IntenseReference">
    <w:name w:val="Intense Reference"/>
    <w:basedOn w:val="DefaultParagraphFont"/>
    <w:uiPriority w:val="32"/>
    <w:rsid w:val="00BF7AD7"/>
    <w:rPr>
      <w:b/>
      <w:bCs/>
      <w:i/>
      <w:smallCaps/>
      <w:color w:val="78BE43" w:themeColor="accent2"/>
      <w:spacing w:val="5"/>
      <w:u w:val="none"/>
    </w:rPr>
  </w:style>
  <w:style w:type="paragraph" w:styleId="ListBullet2">
    <w:name w:val="List Bullet 2"/>
    <w:basedOn w:val="Normal"/>
    <w:rsid w:val="00BB6BEA"/>
    <w:pPr>
      <w:numPr>
        <w:ilvl w:val="1"/>
        <w:numId w:val="16"/>
      </w:numPr>
      <w:spacing w:line="240" w:lineRule="auto"/>
      <w:contextualSpacing/>
    </w:pPr>
  </w:style>
  <w:style w:type="paragraph" w:styleId="ListNumber2">
    <w:name w:val="List Number 2"/>
    <w:basedOn w:val="Normal"/>
    <w:qFormat/>
    <w:rsid w:val="00B87988"/>
    <w:pPr>
      <w:numPr>
        <w:numId w:val="1"/>
      </w:numPr>
      <w:tabs>
        <w:tab w:val="left" w:pos="340"/>
        <w:tab w:val="left" w:pos="680"/>
      </w:tabs>
      <w:spacing w:before="60" w:after="60"/>
    </w:pPr>
  </w:style>
  <w:style w:type="paragraph" w:styleId="NormalIndent">
    <w:name w:val="Normal Indent"/>
    <w:basedOn w:val="Normal"/>
    <w:unhideWhenUsed/>
    <w:rsid w:val="00A61985"/>
    <w:pPr>
      <w:ind w:left="720"/>
    </w:pPr>
  </w:style>
  <w:style w:type="paragraph" w:styleId="ListNumber3">
    <w:name w:val="List Number 3"/>
    <w:aliases w:val="List Third Level"/>
    <w:basedOn w:val="ListNumber2"/>
    <w:rsid w:val="00BF7AD7"/>
    <w:pPr>
      <w:numPr>
        <w:numId w:val="3"/>
      </w:numPr>
      <w:tabs>
        <w:tab w:val="num" w:pos="1440"/>
      </w:tabs>
    </w:pPr>
    <w:rPr>
      <w:rFonts w:eastAsia="Cambria"/>
      <w:color w:val="auto"/>
      <w:szCs w:val="22"/>
      <w:lang w:val="en-US"/>
    </w:rPr>
  </w:style>
  <w:style w:type="paragraph" w:customStyle="1" w:styleId="ImageTitle">
    <w:name w:val="Image Title"/>
    <w:locked/>
    <w:rsid w:val="00BF7AD7"/>
    <w:pPr>
      <w:tabs>
        <w:tab w:val="num" w:pos="1080"/>
      </w:tabs>
      <w:spacing w:before="120" w:line="240" w:lineRule="exact"/>
    </w:pPr>
    <w:rPr>
      <w:rFonts w:ascii="Arial" w:hAnsi="Arial"/>
      <w:color w:val="1E1545" w:themeColor="text1"/>
      <w:sz w:val="22"/>
      <w:szCs w:val="24"/>
      <w:lang w:eastAsia="en-US"/>
    </w:rPr>
  </w:style>
  <w:style w:type="paragraph" w:styleId="BalloonText">
    <w:name w:val="Balloon Text"/>
    <w:basedOn w:val="Normal"/>
    <w:link w:val="BalloonTextChar"/>
    <w:rsid w:val="00BF7AD7"/>
    <w:rPr>
      <w:rFonts w:ascii="Tahoma" w:hAnsi="Tahoma" w:cs="Tahoma"/>
      <w:sz w:val="16"/>
      <w:szCs w:val="16"/>
    </w:rPr>
  </w:style>
  <w:style w:type="character" w:customStyle="1" w:styleId="BalloonTextChar">
    <w:name w:val="Balloon Text Char"/>
    <w:basedOn w:val="DefaultParagraphFont"/>
    <w:link w:val="BalloonText"/>
    <w:rsid w:val="00BF7AD7"/>
    <w:rPr>
      <w:rFonts w:ascii="Tahoma" w:hAnsi="Tahoma" w:cs="Tahoma"/>
      <w:color w:val="1E1545" w:themeColor="text1"/>
      <w:sz w:val="16"/>
      <w:szCs w:val="16"/>
      <w:lang w:eastAsia="en-US"/>
    </w:rPr>
  </w:style>
  <w:style w:type="table" w:styleId="TableGrid">
    <w:name w:val="Table Grid"/>
    <w:basedOn w:val="TableNormal"/>
    <w:locked/>
    <w:rsid w:val="00BF7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BF7AD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basedOn w:val="Normal"/>
    <w:autoRedefine/>
    <w:qFormat/>
    <w:locked/>
    <w:rsid w:val="00006676"/>
    <w:rPr>
      <w:sz w:val="20"/>
      <w:szCs w:val="20"/>
    </w:rPr>
  </w:style>
  <w:style w:type="table" w:styleId="TableColumns2">
    <w:name w:val="Table Columns 2"/>
    <w:basedOn w:val="TableNormal"/>
    <w:locked/>
    <w:rsid w:val="00BF7AD7"/>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BF7AD7"/>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BF7AD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BF7AD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BF7AD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basedOn w:val="Normal"/>
    <w:link w:val="TableTitleChar"/>
    <w:qFormat/>
    <w:locked/>
    <w:rsid w:val="00E37590"/>
    <w:rPr>
      <w:b/>
      <w:bCs/>
    </w:rPr>
  </w:style>
  <w:style w:type="paragraph" w:styleId="Header">
    <w:name w:val="header"/>
    <w:link w:val="HeaderChar"/>
    <w:qFormat/>
    <w:rsid w:val="00BF7AD7"/>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BF7AD7"/>
    <w:rPr>
      <w:rFonts w:ascii="Arial" w:hAnsi="Arial"/>
      <w:sz w:val="22"/>
      <w:szCs w:val="24"/>
      <w:lang w:eastAsia="en-US"/>
    </w:rPr>
  </w:style>
  <w:style w:type="paragraph" w:styleId="Footer">
    <w:name w:val="footer"/>
    <w:link w:val="FooterChar"/>
    <w:uiPriority w:val="99"/>
    <w:qFormat/>
    <w:rsid w:val="00BF7AD7"/>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BF7AD7"/>
    <w:rPr>
      <w:rFonts w:ascii="Arial" w:hAnsi="Arial"/>
      <w:szCs w:val="24"/>
      <w:lang w:eastAsia="en-US"/>
    </w:rPr>
  </w:style>
  <w:style w:type="paragraph" w:customStyle="1" w:styleId="TableHeaderWhite">
    <w:name w:val="Table Header White"/>
    <w:basedOn w:val="Normal"/>
    <w:next w:val="Tabletext"/>
    <w:qFormat/>
    <w:rsid w:val="00A61985"/>
    <w:pPr>
      <w:spacing w:before="80" w:after="80"/>
      <w:jc w:val="center"/>
    </w:pPr>
    <w:rPr>
      <w:rFonts w:eastAsia="Cambria"/>
      <w:b/>
      <w:color w:val="F1F2F2" w:themeColor="background1"/>
      <w:szCs w:val="22"/>
      <w:lang w:val="en-US"/>
    </w:rPr>
  </w:style>
  <w:style w:type="table" w:styleId="TableGrid7">
    <w:name w:val="Table Grid 7"/>
    <w:basedOn w:val="TableNormal"/>
    <w:locked/>
    <w:rsid w:val="00BF7AD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A3380"/>
    <w:rPr>
      <w:b/>
      <w:bCs/>
      <w:color w:val="F1F2F2" w:themeColor="background1"/>
      <w:sz w:val="20"/>
      <w:szCs w:val="20"/>
    </w:rPr>
  </w:style>
  <w:style w:type="paragraph" w:customStyle="1" w:styleId="FigureTitle">
    <w:name w:val="Figure Title"/>
    <w:basedOn w:val="Tablehead"/>
    <w:next w:val="Normal"/>
    <w:qFormat/>
    <w:rsid w:val="00E37590"/>
    <w:rPr>
      <w:color w:val="1E1545" w:themeColor="text1"/>
      <w:sz w:val="24"/>
      <w:szCs w:val="24"/>
    </w:rPr>
  </w:style>
  <w:style w:type="paragraph" w:styleId="NormalWeb">
    <w:name w:val="Normal (Web)"/>
    <w:basedOn w:val="Normal"/>
    <w:uiPriority w:val="99"/>
    <w:unhideWhenUsed/>
    <w:rsid w:val="00BF7AD7"/>
    <w:pPr>
      <w:spacing w:before="100" w:beforeAutospacing="1" w:after="100" w:afterAutospacing="1"/>
    </w:pPr>
    <w:rPr>
      <w:rFonts w:ascii="Times New Roman" w:hAnsi="Times New Roman"/>
      <w:lang w:eastAsia="en-AU"/>
    </w:rPr>
  </w:style>
  <w:style w:type="paragraph" w:customStyle="1" w:styleId="Headertext">
    <w:name w:val="Header text"/>
    <w:rsid w:val="00BF7AD7"/>
    <w:pPr>
      <w:jc w:val="right"/>
    </w:pPr>
    <w:rPr>
      <w:rFonts w:ascii="Arial" w:hAnsi="Arial"/>
      <w:szCs w:val="24"/>
      <w:lang w:eastAsia="en-US"/>
    </w:rPr>
  </w:style>
  <w:style w:type="character" w:styleId="Hyperlink">
    <w:name w:val="Hyperlink"/>
    <w:basedOn w:val="DefaultParagraphFont"/>
    <w:uiPriority w:val="99"/>
    <w:qFormat/>
    <w:rsid w:val="00BF7AD7"/>
    <w:rPr>
      <w:color w:val="2AB1BB" w:themeColor="hyperlink"/>
      <w:u w:val="single"/>
    </w:rPr>
  </w:style>
  <w:style w:type="table" w:customStyle="1" w:styleId="PHNGreyTable">
    <w:name w:val="PHN Grey Table"/>
    <w:basedOn w:val="TableNormal"/>
    <w:uiPriority w:val="99"/>
    <w:rsid w:val="00BF7AD7"/>
    <w:pPr>
      <w:spacing w:before="120" w:after="120"/>
    </w:pPr>
    <w:rPr>
      <w:rFonts w:ascii="Arial" w:hAnsi="Arial"/>
      <w:sz w:val="22"/>
    </w:rPr>
    <w:tblPr>
      <w:tblBorders>
        <w:top w:val="single" w:sz="4" w:space="0" w:color="1E1545" w:themeColor="text1"/>
        <w:left w:val="single" w:sz="4" w:space="0" w:color="1E1545" w:themeColor="text1"/>
        <w:bottom w:val="single" w:sz="4" w:space="0" w:color="1E1545" w:themeColor="text1"/>
        <w:right w:val="single" w:sz="4" w:space="0" w:color="1E1545" w:themeColor="text1"/>
        <w:insideH w:val="single" w:sz="4" w:space="0" w:color="1E1545" w:themeColor="text1"/>
        <w:insideV w:val="single" w:sz="4" w:space="0" w:color="1E1545" w:themeColor="text1"/>
      </w:tblBorders>
    </w:tblPr>
    <w:tblStylePr w:type="firstRow">
      <w:rPr>
        <w:rFonts w:ascii="Arial" w:hAnsi="Arial"/>
        <w:b/>
        <w:color w:val="F1F2F2" w:themeColor="background1"/>
        <w:sz w:val="22"/>
      </w:rPr>
      <w:tblPr/>
      <w:tcPr>
        <w:shd w:val="clear" w:color="auto" w:fill="32373A"/>
      </w:tcPr>
    </w:tblStylePr>
  </w:style>
  <w:style w:type="paragraph" w:customStyle="1" w:styleId="Tablelistbullet">
    <w:name w:val="Table list bullet"/>
    <w:basedOn w:val="Normal"/>
    <w:qFormat/>
    <w:rsid w:val="00A61985"/>
    <w:pPr>
      <w:numPr>
        <w:numId w:val="10"/>
      </w:numPr>
      <w:spacing w:after="60" w:line="259" w:lineRule="auto"/>
    </w:pPr>
    <w:rPr>
      <w:rFonts w:cs="Arial"/>
      <w:sz w:val="22"/>
      <w:szCs w:val="22"/>
    </w:rPr>
  </w:style>
  <w:style w:type="paragraph" w:customStyle="1" w:styleId="Tablelistnumber">
    <w:name w:val="Table list number"/>
    <w:basedOn w:val="Tabletext"/>
    <w:qFormat/>
    <w:rsid w:val="00BF7AD7"/>
    <w:pPr>
      <w:numPr>
        <w:numId w:val="5"/>
      </w:numPr>
    </w:pPr>
    <w:rPr>
      <w:bCs/>
      <w14:numSpacing w14:val="proportional"/>
    </w:rPr>
  </w:style>
  <w:style w:type="paragraph" w:customStyle="1" w:styleId="TableHeader">
    <w:name w:val="Table Header"/>
    <w:basedOn w:val="Normal"/>
    <w:next w:val="Tabletext"/>
    <w:qFormat/>
    <w:rsid w:val="00BF7AD7"/>
    <w:pPr>
      <w:spacing w:before="80" w:after="80"/>
    </w:pPr>
    <w:rPr>
      <w:rFonts w:eastAsia="Cambria"/>
      <w:b/>
      <w:color w:val="F1F2F2" w:themeColor="background1"/>
      <w:szCs w:val="22"/>
      <w:lang w:val="en-US"/>
    </w:rPr>
  </w:style>
  <w:style w:type="paragraph" w:customStyle="1" w:styleId="SectionNumber">
    <w:name w:val="Section Number"/>
    <w:basedOn w:val="Normal"/>
    <w:next w:val="Normal"/>
    <w:rsid w:val="009B5601"/>
    <w:pPr>
      <w:pBdr>
        <w:bottom w:val="single" w:sz="24" w:space="6" w:color="2AB1BB" w:themeColor="accent1"/>
      </w:pBdr>
      <w:shd w:val="clear" w:color="auto" w:fill="1E1545" w:themeFill="text1"/>
      <w:spacing w:before="320" w:after="0" w:line="240" w:lineRule="auto"/>
    </w:pPr>
    <w:rPr>
      <w:noProof/>
      <w:color w:val="F1F2F2" w:themeColor="background1"/>
      <w:sz w:val="36"/>
      <w:szCs w:val="36"/>
    </w:rPr>
  </w:style>
  <w:style w:type="paragraph" w:styleId="FootnoteText">
    <w:name w:val="footnote text"/>
    <w:link w:val="FootnoteTextChar"/>
    <w:rsid w:val="00BB6BEA"/>
    <w:rPr>
      <w:rFonts w:ascii="Arial" w:hAnsi="Arial"/>
      <w:color w:val="1E1545" w:themeColor="text2"/>
      <w:lang w:eastAsia="en-US"/>
    </w:rPr>
  </w:style>
  <w:style w:type="character" w:customStyle="1" w:styleId="FootnoteTextChar">
    <w:name w:val="Footnote Text Char"/>
    <w:basedOn w:val="DefaultParagraphFont"/>
    <w:link w:val="FootnoteText"/>
    <w:rsid w:val="00BB6BEA"/>
    <w:rPr>
      <w:rFonts w:ascii="Arial" w:hAnsi="Arial"/>
      <w:color w:val="1E1545" w:themeColor="text2"/>
      <w:lang w:eastAsia="en-US"/>
    </w:rPr>
  </w:style>
  <w:style w:type="paragraph" w:styleId="Caption">
    <w:name w:val="caption"/>
    <w:basedOn w:val="Normal"/>
    <w:next w:val="Normal"/>
    <w:unhideWhenUsed/>
    <w:rsid w:val="00BF7AD7"/>
    <w:pPr>
      <w:spacing w:after="200"/>
    </w:pPr>
    <w:rPr>
      <w:b/>
      <w:bCs/>
      <w:color w:val="2AB1BB" w:themeColor="accent1"/>
      <w:sz w:val="18"/>
      <w:szCs w:val="18"/>
    </w:rPr>
  </w:style>
  <w:style w:type="paragraph" w:customStyle="1" w:styleId="PullOut">
    <w:name w:val="Pull Out"/>
    <w:basedOn w:val="Normal"/>
    <w:qFormat/>
    <w:rsid w:val="00E169D8"/>
    <w:pPr>
      <w:pBdr>
        <w:top w:val="single" w:sz="4" w:space="15" w:color="358189"/>
        <w:bottom w:val="single" w:sz="4" w:space="10" w:color="358189"/>
      </w:pBdr>
      <w:spacing w:before="240" w:after="240" w:line="340" w:lineRule="exact"/>
    </w:pPr>
    <w:rPr>
      <w:rFonts w:eastAsiaTheme="minorHAnsi"/>
      <w:b/>
      <w:sz w:val="32"/>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A723B"/>
    <w:pPr>
      <w:pBdr>
        <w:top w:val="single" w:sz="4" w:space="20" w:color="E4E6E6" w:themeColor="background1" w:themeShade="F2"/>
        <w:left w:val="single" w:sz="4" w:space="10" w:color="E4E6E6" w:themeColor="background1" w:themeShade="F2"/>
        <w:bottom w:val="single" w:sz="4" w:space="10" w:color="E4E6E6" w:themeColor="background1" w:themeShade="F2"/>
        <w:right w:val="single" w:sz="4" w:space="10" w:color="E4E6E6" w:themeColor="background1" w:themeShade="F2"/>
      </w:pBdr>
      <w:shd w:val="clear" w:color="auto" w:fill="E4E6E6" w:themeFill="background1" w:themeFillShade="F2"/>
      <w:spacing w:line="259" w:lineRule="auto"/>
      <w:ind w:left="227" w:right="227"/>
    </w:pPr>
  </w:style>
  <w:style w:type="table" w:customStyle="1" w:styleId="DepartmentofHealthtable">
    <w:name w:val="Department of Health table"/>
    <w:basedOn w:val="TableNormal"/>
    <w:uiPriority w:val="99"/>
    <w:rsid w:val="00141935"/>
    <w:rPr>
      <w:rFonts w:ascii="Arial" w:hAnsi="Arial"/>
      <w:color w:val="1E1545" w:themeColor="text1"/>
      <w:sz w:val="21"/>
    </w:rPr>
    <w:tblPr>
      <w:tblBorders>
        <w:top w:val="single" w:sz="4" w:space="0" w:color="1E1545" w:themeColor="text1"/>
        <w:bottom w:val="single" w:sz="4" w:space="0" w:color="1E1545" w:themeColor="text1"/>
        <w:insideH w:val="single" w:sz="4" w:space="0" w:color="1E1545" w:themeColor="text1"/>
      </w:tblBorders>
    </w:tblPr>
    <w:tcPr>
      <w:shd w:val="clear" w:color="auto" w:fill="auto"/>
      <w:vAlign w:val="center"/>
    </w:tcPr>
    <w:tblStylePr w:type="firstRow">
      <w:rPr>
        <w:rFonts w:ascii="Arial" w:hAnsi="Arial"/>
        <w:b/>
        <w:color w:val="F1F2F2" w:themeColor="background1"/>
        <w:sz w:val="24"/>
      </w:rPr>
      <w:tblPr/>
      <w:tcPr>
        <w:shd w:val="clear" w:color="auto" w:fill="1E1545" w:themeFill="text1"/>
      </w:tcPr>
    </w:tblStylePr>
    <w:tblStylePr w:type="lastRow">
      <w:rPr>
        <w:rFonts w:ascii="Arial" w:hAnsi="Arial"/>
        <w:color w:val="1E1545" w:themeColor="text1"/>
      </w:rPr>
    </w:tblStylePr>
  </w:style>
  <w:style w:type="character" w:customStyle="1" w:styleId="TableTitleChar">
    <w:name w:val="Table Title Char"/>
    <w:basedOn w:val="DefaultParagraphFont"/>
    <w:link w:val="TableTitle"/>
    <w:rsid w:val="00E37590"/>
    <w:rPr>
      <w:rFonts w:ascii="Arial" w:hAnsi="Arial"/>
      <w:b/>
      <w:bCs/>
      <w:color w:val="1E1545" w:themeColor="text1"/>
      <w:sz w:val="24"/>
      <w:szCs w:val="24"/>
      <w:lang w:eastAsia="en-US"/>
    </w:rPr>
  </w:style>
  <w:style w:type="paragraph" w:customStyle="1" w:styleId="IntroPara">
    <w:name w:val="Intro Para"/>
    <w:basedOn w:val="Normal"/>
    <w:next w:val="Normal"/>
    <w:qFormat/>
    <w:rsid w:val="004F075D"/>
    <w:pPr>
      <w:spacing w:before="480" w:after="240" w:line="400" w:lineRule="exact"/>
    </w:pPr>
    <w:rPr>
      <w:sz w:val="32"/>
      <w:szCs w:val="28"/>
    </w:rPr>
  </w:style>
  <w:style w:type="paragraph" w:customStyle="1" w:styleId="TableTextright">
    <w:name w:val="Table Text right"/>
    <w:basedOn w:val="Tabletext"/>
    <w:rsid w:val="00BF7AD7"/>
    <w:pPr>
      <w:jc w:val="right"/>
    </w:pPr>
  </w:style>
  <w:style w:type="paragraph" w:customStyle="1" w:styleId="Tabletextright0">
    <w:name w:val="Table text right"/>
    <w:basedOn w:val="Tabletext"/>
    <w:rsid w:val="00BF7AD7"/>
    <w:pPr>
      <w:jc w:val="right"/>
    </w:pPr>
  </w:style>
  <w:style w:type="paragraph" w:customStyle="1" w:styleId="Tabletextcentre">
    <w:name w:val="Table text centre"/>
    <w:basedOn w:val="Tabletext"/>
    <w:rsid w:val="00BF7AD7"/>
    <w:pPr>
      <w:jc w:val="center"/>
    </w:pPr>
  </w:style>
  <w:style w:type="paragraph" w:customStyle="1" w:styleId="Boxheading">
    <w:name w:val="Box heading"/>
    <w:basedOn w:val="Boxtype"/>
    <w:qFormat/>
    <w:rsid w:val="00BF7AD7"/>
    <w:pPr>
      <w:spacing w:before="240"/>
    </w:pPr>
    <w:rPr>
      <w:rFonts w:cs="Times New Roman"/>
      <w:b w:val="0"/>
      <w:bCs/>
      <w:caps/>
      <w:color w:val="358189"/>
      <w:szCs w:val="20"/>
    </w:rPr>
  </w:style>
  <w:style w:type="paragraph" w:customStyle="1" w:styleId="Boxtype">
    <w:name w:val="Box type"/>
    <w:basedOn w:val="Normal"/>
    <w:next w:val="Normal"/>
    <w:qFormat/>
    <w:rsid w:val="00A61985"/>
    <w:pPr>
      <w:pBdr>
        <w:top w:val="single" w:sz="4" w:space="12" w:color="E4E6E6" w:themeColor="background1" w:themeShade="F2"/>
        <w:left w:val="single" w:sz="4" w:space="10" w:color="E4E6E6" w:themeColor="background1" w:themeShade="F2"/>
        <w:bottom w:val="single" w:sz="4" w:space="5" w:color="E4E6E6" w:themeColor="background1" w:themeShade="F2"/>
        <w:right w:val="single" w:sz="4" w:space="10" w:color="E4E6E6" w:themeColor="background1" w:themeShade="F2"/>
      </w:pBdr>
      <w:shd w:val="clear" w:color="auto" w:fill="E4E6E6" w:themeFill="background1" w:themeFillShade="F2"/>
      <w:spacing w:before="0" w:after="0" w:line="259" w:lineRule="auto"/>
      <w:ind w:right="227"/>
      <w:contextualSpacing/>
    </w:pPr>
    <w:rPr>
      <w:rFonts w:cs="Arial"/>
      <w:b/>
      <w:sz w:val="28"/>
      <w:szCs w:val="28"/>
    </w:rPr>
  </w:style>
  <w:style w:type="paragraph" w:styleId="BodyText">
    <w:name w:val="Body Text"/>
    <w:basedOn w:val="Normal"/>
    <w:link w:val="BodyTextChar"/>
    <w:semiHidden/>
    <w:unhideWhenUsed/>
    <w:rsid w:val="00BF7AD7"/>
  </w:style>
  <w:style w:type="character" w:customStyle="1" w:styleId="BodyTextChar">
    <w:name w:val="Body Text Char"/>
    <w:basedOn w:val="DefaultParagraphFont"/>
    <w:link w:val="BodyText"/>
    <w:semiHidden/>
    <w:rsid w:val="00BF7AD7"/>
    <w:rPr>
      <w:rFonts w:ascii="Arial" w:hAnsi="Arial"/>
      <w:color w:val="1E1545" w:themeColor="text1"/>
      <w:sz w:val="22"/>
      <w:szCs w:val="24"/>
      <w:lang w:eastAsia="en-US"/>
    </w:rPr>
  </w:style>
  <w:style w:type="paragraph" w:customStyle="1" w:styleId="Footerrightpage">
    <w:name w:val="Footer right page"/>
    <w:basedOn w:val="Footer"/>
    <w:rsid w:val="00BF7AD7"/>
  </w:style>
  <w:style w:type="character" w:customStyle="1" w:styleId="Heading7Char">
    <w:name w:val="Heading 7 Char"/>
    <w:basedOn w:val="DefaultParagraphFont"/>
    <w:link w:val="Heading7"/>
    <w:semiHidden/>
    <w:rsid w:val="00BF7AD7"/>
    <w:rPr>
      <w:rFonts w:ascii="Arial" w:eastAsiaTheme="majorEastAsia" w:hAnsi="Arial" w:cstheme="majorBidi"/>
      <w:b/>
      <w:i/>
      <w:iCs/>
      <w:color w:val="15575D" w:themeColor="accent1" w:themeShade="7F"/>
      <w:sz w:val="22"/>
      <w:szCs w:val="24"/>
      <w:lang w:eastAsia="en-US"/>
    </w:rPr>
  </w:style>
  <w:style w:type="paragraph" w:customStyle="1" w:styleId="URL">
    <w:name w:val="URL"/>
    <w:basedOn w:val="Normal"/>
    <w:rsid w:val="00BF7AD7"/>
    <w:pPr>
      <w:spacing w:before="3120"/>
      <w:jc w:val="center"/>
    </w:pPr>
    <w:rPr>
      <w:b/>
      <w:bCs/>
      <w:szCs w:val="20"/>
    </w:rPr>
  </w:style>
  <w:style w:type="table" w:customStyle="1" w:styleId="PlainTable21">
    <w:name w:val="Plain Table 21"/>
    <w:basedOn w:val="TableNormal"/>
    <w:next w:val="PlainTable2"/>
    <w:uiPriority w:val="42"/>
    <w:rsid w:val="00AA723B"/>
    <w:pPr>
      <w:spacing w:before="120" w:after="120" w:line="276" w:lineRule="auto"/>
      <w:ind w:left="2160"/>
    </w:pPr>
    <w:rPr>
      <w:rFonts w:ascii="Arial" w:eastAsiaTheme="minorEastAsia" w:hAnsi="Arial"/>
      <w:color w:val="1E1545" w:themeColor="text1"/>
      <w:lang w:eastAsia="en-US"/>
    </w:rPr>
    <w:tblPr>
      <w:tblStyleRowBandSize w:val="1"/>
      <w:tblStyleColBandSize w:val="1"/>
      <w:tblBorders>
        <w:top w:val="single" w:sz="4" w:space="0" w:color="auto"/>
        <w:bottom w:val="single" w:sz="4" w:space="0" w:color="auto"/>
      </w:tblBorders>
    </w:tblPr>
    <w:tblStylePr w:type="firstRow">
      <w:rPr>
        <w:rFonts w:ascii="Arial" w:hAnsi="Arial" w:cs="Times New Roman"/>
        <w:b/>
        <w:bCs/>
        <w:color w:val="1E1545" w:themeColor="text1"/>
        <w:sz w:val="24"/>
      </w:rPr>
      <w:tblPr/>
      <w:tcPr>
        <w:tcBorders>
          <w:bottom w:val="single" w:sz="4" w:space="0" w:color="715DCD"/>
        </w:tcBorders>
      </w:tcPr>
    </w:tblStylePr>
    <w:tblStylePr w:type="lastRow">
      <w:rPr>
        <w:rFonts w:cs="Times New Roman"/>
        <w:b/>
        <w:bCs/>
      </w:rPr>
      <w:tblPr/>
      <w:tcPr>
        <w:tcBorders>
          <w:top w:val="single" w:sz="4" w:space="0" w:color="715DC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15DCD"/>
          <w:right w:val="single" w:sz="4" w:space="0" w:color="715DCD"/>
        </w:tcBorders>
      </w:tcPr>
    </w:tblStylePr>
    <w:tblStylePr w:type="band2Vert">
      <w:rPr>
        <w:rFonts w:cs="Times New Roman"/>
      </w:rPr>
      <w:tblPr/>
      <w:tcPr>
        <w:tcBorders>
          <w:left w:val="single" w:sz="4" w:space="0" w:color="715DCD"/>
          <w:right w:val="single" w:sz="4" w:space="0" w:color="715DCD"/>
        </w:tcBorders>
      </w:tcPr>
    </w:tblStylePr>
    <w:tblStylePr w:type="band1Horz">
      <w:rPr>
        <w:rFonts w:cs="Times New Roman"/>
      </w:rPr>
      <w:tblPr/>
      <w:tcPr>
        <w:tcBorders>
          <w:top w:val="single" w:sz="4" w:space="0" w:color="715DCD"/>
          <w:bottom w:val="single" w:sz="4" w:space="0" w:color="715DCD"/>
        </w:tcBorders>
      </w:tcPr>
    </w:tblStylePr>
  </w:style>
  <w:style w:type="paragraph" w:customStyle="1" w:styleId="TABLENumber">
    <w:name w:val="TABLE Number"/>
    <w:basedOn w:val="Normal"/>
    <w:link w:val="TABLENumberChar"/>
    <w:qFormat/>
    <w:rsid w:val="00BB6BEA"/>
    <w:pPr>
      <w:numPr>
        <w:numId w:val="6"/>
      </w:numPr>
      <w:contextualSpacing/>
    </w:pPr>
    <w:rPr>
      <w:noProof/>
      <w:color w:val="1E1545"/>
      <w:sz w:val="20"/>
      <w:szCs w:val="20"/>
      <w:shd w:val="clear" w:color="auto" w:fill="FFFFFF"/>
      <w:lang w:val="en-US" w:eastAsia="en-GB"/>
    </w:rPr>
  </w:style>
  <w:style w:type="paragraph" w:customStyle="1" w:styleId="TABLEbulletpoint">
    <w:name w:val="TABLE bullet point"/>
    <w:basedOn w:val="Normal"/>
    <w:link w:val="TABLEbulletpointChar"/>
    <w:qFormat/>
    <w:rsid w:val="00BB6BEA"/>
    <w:pPr>
      <w:numPr>
        <w:numId w:val="7"/>
      </w:numPr>
      <w:contextualSpacing/>
    </w:pPr>
    <w:rPr>
      <w:noProof/>
      <w:color w:val="1E1545"/>
      <w:sz w:val="20"/>
      <w:szCs w:val="20"/>
      <w:shd w:val="clear" w:color="auto" w:fill="FFFFFF"/>
      <w:lang w:val="en-US" w:eastAsia="en-GB"/>
    </w:rPr>
  </w:style>
  <w:style w:type="character" w:customStyle="1" w:styleId="TABLENumberChar">
    <w:name w:val="TABLE Number Char"/>
    <w:basedOn w:val="DefaultParagraphFont"/>
    <w:link w:val="TABLENumber"/>
    <w:locked/>
    <w:rsid w:val="00E169D8"/>
    <w:rPr>
      <w:rFonts w:ascii="Arial" w:hAnsi="Arial"/>
      <w:noProof/>
      <w:color w:val="1E1545"/>
      <w:lang w:val="en-US" w:eastAsia="en-GB"/>
    </w:rPr>
  </w:style>
  <w:style w:type="character" w:customStyle="1" w:styleId="TABLEbulletpointChar">
    <w:name w:val="TABLE bullet point Char"/>
    <w:basedOn w:val="DefaultParagraphFont"/>
    <w:link w:val="TABLEbulletpoint"/>
    <w:locked/>
    <w:rsid w:val="00E169D8"/>
    <w:rPr>
      <w:rFonts w:ascii="Arial" w:hAnsi="Arial"/>
      <w:noProof/>
      <w:color w:val="1E1545"/>
      <w:lang w:val="en-US" w:eastAsia="en-GB"/>
    </w:rPr>
  </w:style>
  <w:style w:type="table" w:styleId="PlainTable2">
    <w:name w:val="Plain Table 2"/>
    <w:basedOn w:val="TableNormal"/>
    <w:uiPriority w:val="42"/>
    <w:rsid w:val="00E169D8"/>
    <w:tblPr>
      <w:tblStyleRowBandSize w:val="1"/>
      <w:tblStyleColBandSize w:val="1"/>
      <w:tblBorders>
        <w:top w:val="single" w:sz="4" w:space="0" w:color="715DCD" w:themeColor="text1" w:themeTint="80"/>
        <w:bottom w:val="single" w:sz="4" w:space="0" w:color="715DCD" w:themeColor="text1" w:themeTint="80"/>
      </w:tblBorders>
    </w:tbl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rsid w:val="00AA723B"/>
    <w:pPr>
      <w:contextualSpacing/>
    </w:pPr>
  </w:style>
  <w:style w:type="paragraph" w:customStyle="1" w:styleId="SectionTitle">
    <w:name w:val="Section Title"/>
    <w:basedOn w:val="Normal"/>
    <w:link w:val="SectionTitleChar"/>
    <w:rsid w:val="009B5601"/>
    <w:pPr>
      <w:shd w:val="clear" w:color="auto" w:fill="1E1545" w:themeFill="text1"/>
      <w:spacing w:before="840"/>
    </w:pPr>
    <w:rPr>
      <w:b/>
      <w:bCs/>
      <w:color w:val="F1F2F2" w:themeColor="background1"/>
      <w:sz w:val="80"/>
      <w:szCs w:val="80"/>
    </w:rPr>
  </w:style>
  <w:style w:type="numbering" w:customStyle="1" w:styleId="Style2">
    <w:name w:val="Style2"/>
    <w:uiPriority w:val="99"/>
    <w:rsid w:val="0029727B"/>
    <w:pPr>
      <w:numPr>
        <w:numId w:val="8"/>
      </w:numPr>
    </w:pPr>
  </w:style>
  <w:style w:type="numbering" w:customStyle="1" w:styleId="CurrentList1">
    <w:name w:val="Current List1"/>
    <w:uiPriority w:val="99"/>
    <w:rsid w:val="008E6354"/>
    <w:pPr>
      <w:numPr>
        <w:numId w:val="9"/>
      </w:numPr>
    </w:pPr>
  </w:style>
  <w:style w:type="paragraph" w:styleId="TOCHeading">
    <w:name w:val="TOC Heading"/>
    <w:basedOn w:val="Heading1"/>
    <w:next w:val="Normal"/>
    <w:uiPriority w:val="39"/>
    <w:unhideWhenUsed/>
    <w:qFormat/>
    <w:rsid w:val="00715B3D"/>
    <w:pPr>
      <w:keepLines/>
      <w:spacing w:before="240" w:after="0" w:line="259" w:lineRule="auto"/>
      <w:outlineLvl w:val="9"/>
    </w:pPr>
    <w:rPr>
      <w:rFonts w:asciiTheme="majorHAnsi" w:eastAsiaTheme="majorEastAsia" w:hAnsiTheme="majorHAnsi" w:cstheme="majorBidi"/>
      <w:b w:val="0"/>
      <w:bCs w:val="0"/>
      <w:color w:val="1F848B" w:themeColor="accent1" w:themeShade="BF"/>
      <w:kern w:val="0"/>
      <w:sz w:val="32"/>
      <w:szCs w:val="32"/>
      <w:lang w:val="en-US"/>
    </w:rPr>
  </w:style>
  <w:style w:type="paragraph" w:styleId="TOC1">
    <w:name w:val="toc 1"/>
    <w:basedOn w:val="Normal"/>
    <w:next w:val="Normal"/>
    <w:autoRedefine/>
    <w:uiPriority w:val="39"/>
    <w:unhideWhenUsed/>
    <w:rsid w:val="008B5433"/>
    <w:pPr>
      <w:pBdr>
        <w:top w:val="single" w:sz="6" w:space="1" w:color="2AB1BB" w:themeColor="accent1"/>
        <w:bottom w:val="single" w:sz="6" w:space="1" w:color="2AB1BB" w:themeColor="accent1"/>
        <w:between w:val="single" w:sz="6" w:space="1" w:color="2AB1BB" w:themeColor="accent1"/>
      </w:pBdr>
      <w:tabs>
        <w:tab w:val="right" w:pos="9061"/>
      </w:tabs>
    </w:pPr>
    <w:rPr>
      <w:b/>
      <w:bCs/>
      <w:szCs w:val="20"/>
    </w:rPr>
  </w:style>
  <w:style w:type="paragraph" w:styleId="TOC2">
    <w:name w:val="toc 2"/>
    <w:basedOn w:val="Normal"/>
    <w:next w:val="Normal"/>
    <w:uiPriority w:val="39"/>
    <w:unhideWhenUsed/>
    <w:rsid w:val="00DD6906"/>
    <w:pPr>
      <w:pBdr>
        <w:top w:val="single" w:sz="6" w:space="1" w:color="2AB1BB" w:themeColor="accent1"/>
        <w:bottom w:val="single" w:sz="6" w:space="1" w:color="2AB1BB" w:themeColor="accent1"/>
        <w:between w:val="single" w:sz="6" w:space="1" w:color="2AB1BB" w:themeColor="accent1"/>
      </w:pBdr>
      <w:tabs>
        <w:tab w:val="right" w:pos="9060"/>
      </w:tabs>
    </w:pPr>
    <w:rPr>
      <w:rFonts w:cstheme="minorHAnsi"/>
      <w:noProof/>
      <w:szCs w:val="20"/>
    </w:rPr>
  </w:style>
  <w:style w:type="paragraph" w:styleId="TOC3">
    <w:name w:val="toc 3"/>
    <w:basedOn w:val="Normal"/>
    <w:next w:val="Normal"/>
    <w:autoRedefine/>
    <w:uiPriority w:val="39"/>
    <w:unhideWhenUsed/>
    <w:rsid w:val="00DD6906"/>
    <w:pPr>
      <w:tabs>
        <w:tab w:val="right" w:pos="9061"/>
      </w:tabs>
      <w:spacing w:before="0" w:after="0"/>
    </w:pPr>
    <w:rPr>
      <w:rFonts w:cstheme="minorHAnsi"/>
      <w:noProof/>
      <w:szCs w:val="20"/>
    </w:rPr>
  </w:style>
  <w:style w:type="paragraph" w:styleId="TOC4">
    <w:name w:val="toc 4"/>
    <w:basedOn w:val="Normal"/>
    <w:next w:val="Normal"/>
    <w:autoRedefine/>
    <w:unhideWhenUsed/>
    <w:rsid w:val="00DD6906"/>
    <w:pPr>
      <w:spacing w:before="0" w:after="0"/>
      <w:ind w:left="480"/>
    </w:pPr>
    <w:rPr>
      <w:rFonts w:asciiTheme="minorHAnsi" w:hAnsiTheme="minorHAnsi" w:cstheme="minorHAnsi"/>
      <w:sz w:val="20"/>
      <w:szCs w:val="20"/>
    </w:rPr>
  </w:style>
  <w:style w:type="paragraph" w:styleId="TOC5">
    <w:name w:val="toc 5"/>
    <w:basedOn w:val="Normal"/>
    <w:next w:val="Normal"/>
    <w:autoRedefine/>
    <w:unhideWhenUsed/>
    <w:rsid w:val="00DD6906"/>
    <w:pPr>
      <w:spacing w:before="0" w:after="0"/>
      <w:ind w:left="720"/>
    </w:pPr>
    <w:rPr>
      <w:rFonts w:asciiTheme="minorHAnsi" w:hAnsiTheme="minorHAnsi" w:cstheme="minorHAnsi"/>
      <w:sz w:val="20"/>
      <w:szCs w:val="20"/>
    </w:rPr>
  </w:style>
  <w:style w:type="paragraph" w:styleId="TOC6">
    <w:name w:val="toc 6"/>
    <w:basedOn w:val="Normal"/>
    <w:next w:val="Normal"/>
    <w:autoRedefine/>
    <w:unhideWhenUsed/>
    <w:rsid w:val="00DD6906"/>
    <w:pPr>
      <w:spacing w:before="0" w:after="0"/>
      <w:ind w:left="960"/>
    </w:pPr>
    <w:rPr>
      <w:rFonts w:asciiTheme="minorHAnsi" w:hAnsiTheme="minorHAnsi" w:cstheme="minorHAnsi"/>
      <w:sz w:val="20"/>
      <w:szCs w:val="20"/>
    </w:rPr>
  </w:style>
  <w:style w:type="paragraph" w:styleId="TOC7">
    <w:name w:val="toc 7"/>
    <w:basedOn w:val="Normal"/>
    <w:next w:val="Normal"/>
    <w:autoRedefine/>
    <w:unhideWhenUsed/>
    <w:rsid w:val="00DD6906"/>
    <w:pPr>
      <w:spacing w:before="0" w:after="0"/>
      <w:ind w:left="1200"/>
    </w:pPr>
    <w:rPr>
      <w:rFonts w:asciiTheme="minorHAnsi" w:hAnsiTheme="minorHAnsi" w:cstheme="minorHAnsi"/>
      <w:sz w:val="20"/>
      <w:szCs w:val="20"/>
    </w:rPr>
  </w:style>
  <w:style w:type="paragraph" w:styleId="TOC8">
    <w:name w:val="toc 8"/>
    <w:basedOn w:val="Normal"/>
    <w:next w:val="Normal"/>
    <w:autoRedefine/>
    <w:unhideWhenUsed/>
    <w:rsid w:val="00DD6906"/>
    <w:pPr>
      <w:spacing w:before="0" w:after="0"/>
      <w:ind w:left="1440"/>
    </w:pPr>
    <w:rPr>
      <w:rFonts w:asciiTheme="minorHAnsi" w:hAnsiTheme="minorHAnsi" w:cstheme="minorHAnsi"/>
      <w:sz w:val="20"/>
      <w:szCs w:val="20"/>
    </w:rPr>
  </w:style>
  <w:style w:type="paragraph" w:styleId="TOC9">
    <w:name w:val="toc 9"/>
    <w:basedOn w:val="Normal"/>
    <w:next w:val="Normal"/>
    <w:autoRedefine/>
    <w:unhideWhenUsed/>
    <w:rsid w:val="00DD6906"/>
    <w:pPr>
      <w:spacing w:before="0" w:after="0"/>
      <w:ind w:left="1680"/>
    </w:pPr>
    <w:rPr>
      <w:rFonts w:asciiTheme="minorHAnsi" w:hAnsiTheme="minorHAnsi" w:cstheme="minorHAnsi"/>
      <w:sz w:val="20"/>
      <w:szCs w:val="20"/>
    </w:rPr>
  </w:style>
  <w:style w:type="paragraph" w:customStyle="1" w:styleId="TOC21">
    <w:name w:val="TOC 21"/>
    <w:basedOn w:val="Normal"/>
    <w:rsid w:val="008B5433"/>
    <w:pPr>
      <w:pBdr>
        <w:top w:val="single" w:sz="6" w:space="1" w:color="2AB1BB" w:themeColor="accent1"/>
        <w:bottom w:val="single" w:sz="6" w:space="1" w:color="2AB1BB" w:themeColor="accent1"/>
        <w:between w:val="single" w:sz="6" w:space="1" w:color="2AB1BB" w:themeColor="accent1"/>
      </w:pBdr>
      <w:tabs>
        <w:tab w:val="right" w:pos="9061"/>
      </w:tabs>
    </w:pPr>
    <w:rPr>
      <w:szCs w:val="20"/>
    </w:rPr>
  </w:style>
  <w:style w:type="character" w:styleId="UnresolvedMention">
    <w:name w:val="Unresolved Mention"/>
    <w:basedOn w:val="DefaultParagraphFont"/>
    <w:uiPriority w:val="99"/>
    <w:semiHidden/>
    <w:unhideWhenUsed/>
    <w:rsid w:val="00566E8C"/>
    <w:rPr>
      <w:color w:val="605E5C"/>
      <w:shd w:val="clear" w:color="auto" w:fill="E1DFDD"/>
    </w:rPr>
  </w:style>
  <w:style w:type="character" w:customStyle="1" w:styleId="Heading4Char">
    <w:name w:val="Heading 4 Char"/>
    <w:basedOn w:val="DefaultParagraphFont"/>
    <w:link w:val="Heading4"/>
    <w:rsid w:val="004D34EB"/>
    <w:rPr>
      <w:rFonts w:ascii="Arial" w:hAnsi="Arial"/>
      <w:b/>
      <w:bCs/>
      <w:iCs/>
      <w:color w:val="2AB1BB" w:themeColor="accent1"/>
      <w:sz w:val="24"/>
      <w:szCs w:val="24"/>
      <w:lang w:eastAsia="en-US"/>
    </w:rPr>
  </w:style>
  <w:style w:type="character" w:styleId="CommentReference">
    <w:name w:val="annotation reference"/>
    <w:basedOn w:val="DefaultParagraphFont"/>
    <w:uiPriority w:val="99"/>
    <w:unhideWhenUsed/>
    <w:rsid w:val="009432BF"/>
    <w:rPr>
      <w:sz w:val="16"/>
      <w:szCs w:val="16"/>
    </w:rPr>
  </w:style>
  <w:style w:type="paragraph" w:styleId="CommentText">
    <w:name w:val="annotation text"/>
    <w:basedOn w:val="Normal"/>
    <w:link w:val="CommentTextChar"/>
    <w:uiPriority w:val="99"/>
    <w:unhideWhenUsed/>
    <w:rsid w:val="009432BF"/>
    <w:pPr>
      <w:spacing w:line="240" w:lineRule="auto"/>
    </w:pPr>
    <w:rPr>
      <w:sz w:val="20"/>
      <w:szCs w:val="20"/>
    </w:rPr>
  </w:style>
  <w:style w:type="character" w:customStyle="1" w:styleId="CommentTextChar">
    <w:name w:val="Comment Text Char"/>
    <w:basedOn w:val="DefaultParagraphFont"/>
    <w:link w:val="CommentText"/>
    <w:uiPriority w:val="99"/>
    <w:rsid w:val="009432BF"/>
    <w:rPr>
      <w:rFonts w:ascii="Arial" w:hAnsi="Arial"/>
      <w:color w:val="1E1545" w:themeColor="text1"/>
      <w:lang w:eastAsia="en-US"/>
    </w:rPr>
  </w:style>
  <w:style w:type="paragraph" w:styleId="CommentSubject">
    <w:name w:val="annotation subject"/>
    <w:basedOn w:val="CommentText"/>
    <w:next w:val="CommentText"/>
    <w:link w:val="CommentSubjectChar"/>
    <w:semiHidden/>
    <w:unhideWhenUsed/>
    <w:rsid w:val="009432BF"/>
    <w:rPr>
      <w:b/>
      <w:bCs/>
    </w:rPr>
  </w:style>
  <w:style w:type="character" w:customStyle="1" w:styleId="CommentSubjectChar">
    <w:name w:val="Comment Subject Char"/>
    <w:basedOn w:val="CommentTextChar"/>
    <w:link w:val="CommentSubject"/>
    <w:semiHidden/>
    <w:rsid w:val="009432BF"/>
    <w:rPr>
      <w:rFonts w:ascii="Arial" w:hAnsi="Arial"/>
      <w:b/>
      <w:bCs/>
      <w:color w:val="1E1545" w:themeColor="text1"/>
      <w:lang w:eastAsia="en-US"/>
    </w:rPr>
  </w:style>
  <w:style w:type="paragraph" w:styleId="Revision">
    <w:name w:val="Revision"/>
    <w:hidden/>
    <w:uiPriority w:val="99"/>
    <w:semiHidden/>
    <w:rsid w:val="009D7EAB"/>
    <w:rPr>
      <w:rFonts w:ascii="Arial" w:hAnsi="Arial"/>
      <w:color w:val="1E1545" w:themeColor="text1"/>
      <w:sz w:val="24"/>
      <w:szCs w:val="24"/>
      <w:lang w:eastAsia="en-US"/>
    </w:rPr>
  </w:style>
  <w:style w:type="paragraph" w:styleId="ListBullet">
    <w:name w:val="List Bullet"/>
    <w:basedOn w:val="Normal"/>
    <w:unhideWhenUsed/>
    <w:qFormat/>
    <w:rsid w:val="00EB135B"/>
    <w:pPr>
      <w:numPr>
        <w:numId w:val="47"/>
      </w:numPr>
      <w:spacing w:before="60" w:after="60"/>
      <w:ind w:left="584" w:hanging="357"/>
    </w:pPr>
    <w:rPr>
      <w:rFonts w:eastAsiaTheme="minorHAnsi" w:cs="Arial"/>
    </w:rPr>
  </w:style>
  <w:style w:type="character" w:styleId="FollowedHyperlink">
    <w:name w:val="FollowedHyperlink"/>
    <w:basedOn w:val="DefaultParagraphFont"/>
    <w:semiHidden/>
    <w:unhideWhenUsed/>
    <w:rsid w:val="005F28C9"/>
    <w:rPr>
      <w:color w:val="000000" w:themeColor="followedHyperlink"/>
      <w:u w:val="single"/>
    </w:rPr>
  </w:style>
  <w:style w:type="paragraph" w:customStyle="1" w:styleId="Header3">
    <w:name w:val="Header 3"/>
    <w:basedOn w:val="Normal"/>
    <w:qFormat/>
    <w:rsid w:val="00D72C41"/>
    <w:pPr>
      <w:spacing w:before="360"/>
    </w:pPr>
    <w:rPr>
      <w:rFonts w:cstheme="minorBidi"/>
      <w:b/>
      <w:bCs/>
      <w:noProof/>
      <w:color w:val="1E1644"/>
      <w:shd w:val="clear" w:color="auto" w:fill="FFFFFF"/>
      <w:lang w:eastAsia="en-GB"/>
    </w:rPr>
  </w:style>
  <w:style w:type="paragraph" w:customStyle="1" w:styleId="Tabletextleft">
    <w:name w:val="Table text left"/>
    <w:qFormat/>
    <w:locked/>
    <w:rsid w:val="009A44A6"/>
    <w:pPr>
      <w:spacing w:before="60" w:after="60"/>
    </w:pPr>
    <w:rPr>
      <w:rFonts w:ascii="Arial" w:hAnsi="Arial"/>
      <w:color w:val="1E1544"/>
      <w:sz w:val="22"/>
      <w:szCs w:val="24"/>
      <w:lang w:eastAsia="en-US"/>
    </w:rPr>
  </w:style>
  <w:style w:type="paragraph" w:customStyle="1" w:styleId="NormalCentrestrong">
    <w:name w:val="Normal Centre (strong)"/>
    <w:basedOn w:val="Header"/>
    <w:link w:val="NormalCentrestrongChar"/>
    <w:qFormat/>
    <w:rsid w:val="00A61985"/>
    <w:pPr>
      <w:jc w:val="center"/>
    </w:pPr>
    <w:rPr>
      <w:b/>
      <w:color w:val="1E1545" w:themeColor="text1"/>
      <w:lang w:eastAsia="zh-CN" w:bidi="th-TH"/>
    </w:rPr>
  </w:style>
  <w:style w:type="paragraph" w:customStyle="1" w:styleId="Titleforpagesbetweensections">
    <w:name w:val="Title for pages between sections"/>
    <w:basedOn w:val="SectionTitle"/>
    <w:link w:val="TitleforpagesbetweensectionsChar"/>
    <w:qFormat/>
    <w:rsid w:val="009E5D9D"/>
    <w:rPr>
      <w:rFonts w:cs="Arial"/>
    </w:rPr>
  </w:style>
  <w:style w:type="character" w:customStyle="1" w:styleId="SectionTitleChar">
    <w:name w:val="Section Title Char"/>
    <w:basedOn w:val="DefaultParagraphFont"/>
    <w:link w:val="SectionTitle"/>
    <w:rsid w:val="009E5D9D"/>
    <w:rPr>
      <w:rFonts w:ascii="Arial" w:hAnsi="Arial"/>
      <w:b/>
      <w:bCs/>
      <w:color w:val="F1F2F2" w:themeColor="background1"/>
      <w:sz w:val="80"/>
      <w:szCs w:val="80"/>
      <w:shd w:val="clear" w:color="auto" w:fill="1E1545" w:themeFill="text1"/>
      <w:lang w:eastAsia="en-US"/>
    </w:rPr>
  </w:style>
  <w:style w:type="character" w:customStyle="1" w:styleId="TitleforpagesbetweensectionsChar">
    <w:name w:val="Title for pages between sections Char"/>
    <w:basedOn w:val="SectionTitleChar"/>
    <w:link w:val="Titleforpagesbetweensections"/>
    <w:rsid w:val="009E5D9D"/>
    <w:rPr>
      <w:rFonts w:ascii="Arial" w:hAnsi="Arial" w:cs="Arial"/>
      <w:b/>
      <w:bCs/>
      <w:color w:val="F1F2F2" w:themeColor="background1"/>
      <w:sz w:val="80"/>
      <w:szCs w:val="80"/>
      <w:shd w:val="clear" w:color="auto" w:fill="1E1545" w:themeFill="text1"/>
      <w:lang w:eastAsia="en-US"/>
    </w:rPr>
  </w:style>
  <w:style w:type="paragraph" w:customStyle="1" w:styleId="SubjectHeading">
    <w:name w:val="Subject Heading"/>
    <w:basedOn w:val="Normal"/>
    <w:link w:val="SubjectHeadingChar"/>
    <w:qFormat/>
    <w:rsid w:val="009917B7"/>
    <w:pPr>
      <w:pBdr>
        <w:top w:val="single" w:sz="6" w:space="1" w:color="2AB1BB" w:themeColor="accent1"/>
        <w:bottom w:val="single" w:sz="6" w:space="1" w:color="2AB1BB" w:themeColor="accent1"/>
        <w:between w:val="single" w:sz="6" w:space="1" w:color="2AB1BB" w:themeColor="accent1"/>
      </w:pBdr>
      <w:tabs>
        <w:tab w:val="left" w:pos="480"/>
        <w:tab w:val="right" w:pos="9061"/>
      </w:tabs>
    </w:pPr>
    <w:rPr>
      <w:rFonts w:cs="Arial"/>
      <w:b/>
    </w:rPr>
  </w:style>
  <w:style w:type="character" w:customStyle="1" w:styleId="SubjectHeadingChar">
    <w:name w:val="Subject Heading Char"/>
    <w:basedOn w:val="DefaultParagraphFont"/>
    <w:link w:val="SubjectHeading"/>
    <w:rsid w:val="009917B7"/>
    <w:rPr>
      <w:rFonts w:ascii="Arial" w:hAnsi="Arial" w:cs="Arial"/>
      <w:b/>
      <w:color w:val="1E1545" w:themeColor="text1"/>
      <w:sz w:val="24"/>
      <w:szCs w:val="24"/>
      <w:lang w:eastAsia="en-US"/>
    </w:rPr>
  </w:style>
  <w:style w:type="character" w:customStyle="1" w:styleId="Heading3Char">
    <w:name w:val="Heading 3 Char"/>
    <w:basedOn w:val="DefaultParagraphFont"/>
    <w:link w:val="Heading3"/>
    <w:rsid w:val="00A47245"/>
    <w:rPr>
      <w:rFonts w:ascii="Arial" w:hAnsi="Arial" w:cs="Arial"/>
      <w:b/>
      <w:bCs/>
      <w:color w:val="2AB1BB" w:themeColor="accent1"/>
      <w:sz w:val="24"/>
      <w:szCs w:val="22"/>
      <w:lang w:eastAsia="en-US"/>
    </w:rPr>
  </w:style>
  <w:style w:type="paragraph" w:customStyle="1" w:styleId="Sub-headingforsections">
    <w:name w:val="Sub-heading for sections"/>
    <w:basedOn w:val="Heading3"/>
    <w:link w:val="Sub-headingforsectionsChar"/>
    <w:qFormat/>
    <w:rsid w:val="0067652B"/>
  </w:style>
  <w:style w:type="character" w:customStyle="1" w:styleId="Sub-headingforsectionsChar">
    <w:name w:val="Sub-heading for sections Char"/>
    <w:basedOn w:val="Heading3Char"/>
    <w:link w:val="Sub-headingforsections"/>
    <w:rsid w:val="0067652B"/>
    <w:rPr>
      <w:rFonts w:ascii="Arial" w:hAnsi="Arial" w:cs="Arial"/>
      <w:b/>
      <w:bCs/>
      <w:color w:val="2AB1BB" w:themeColor="accent1"/>
      <w:sz w:val="24"/>
      <w:szCs w:val="22"/>
      <w:lang w:eastAsia="en-US"/>
    </w:rPr>
  </w:style>
  <w:style w:type="character" w:customStyle="1" w:styleId="normaltextrun">
    <w:name w:val="normaltextrun"/>
    <w:basedOn w:val="DefaultParagraphFont"/>
    <w:rsid w:val="00EB6AB2"/>
  </w:style>
  <w:style w:type="character" w:customStyle="1" w:styleId="eop">
    <w:name w:val="eop"/>
    <w:basedOn w:val="DefaultParagraphFont"/>
    <w:rsid w:val="00EB6AB2"/>
  </w:style>
  <w:style w:type="paragraph" w:customStyle="1" w:styleId="NewHeading1">
    <w:name w:val="New Heading 1"/>
    <w:basedOn w:val="Heading1"/>
    <w:link w:val="NewHeading1Char"/>
    <w:qFormat/>
    <w:rsid w:val="0043312C"/>
    <w:rPr>
      <w:sz w:val="60"/>
    </w:rPr>
  </w:style>
  <w:style w:type="character" w:customStyle="1" w:styleId="Heading1Char">
    <w:name w:val="Heading 1 Char"/>
    <w:basedOn w:val="DefaultParagraphFont"/>
    <w:link w:val="Heading1"/>
    <w:rsid w:val="0043312C"/>
    <w:rPr>
      <w:rFonts w:ascii="Arial" w:hAnsi="Arial" w:cs="Arial"/>
      <w:b/>
      <w:bCs/>
      <w:color w:val="1E1545" w:themeColor="text1"/>
      <w:kern w:val="28"/>
      <w:sz w:val="36"/>
      <w:szCs w:val="36"/>
      <w:lang w:eastAsia="en-US"/>
    </w:rPr>
  </w:style>
  <w:style w:type="character" w:customStyle="1" w:styleId="NewHeading1Char">
    <w:name w:val="New Heading 1 Char"/>
    <w:basedOn w:val="Heading1Char"/>
    <w:link w:val="NewHeading1"/>
    <w:rsid w:val="0043312C"/>
    <w:rPr>
      <w:rFonts w:ascii="Arial" w:hAnsi="Arial" w:cs="Arial"/>
      <w:b/>
      <w:bCs/>
      <w:color w:val="1E1545" w:themeColor="text1"/>
      <w:kern w:val="28"/>
      <w:sz w:val="60"/>
      <w:szCs w:val="36"/>
      <w:lang w:eastAsia="en-US"/>
    </w:rPr>
  </w:style>
  <w:style w:type="paragraph" w:customStyle="1" w:styleId="NewHeading2">
    <w:name w:val="New Heading 2"/>
    <w:basedOn w:val="Heading2"/>
    <w:link w:val="NewHeading2Char"/>
    <w:qFormat/>
    <w:rsid w:val="001E7272"/>
    <w:rPr>
      <w:sz w:val="32"/>
      <w:szCs w:val="24"/>
    </w:rPr>
  </w:style>
  <w:style w:type="character" w:customStyle="1" w:styleId="Heading2Char">
    <w:name w:val="Heading 2 Char"/>
    <w:basedOn w:val="DefaultParagraphFont"/>
    <w:link w:val="Heading2"/>
    <w:rsid w:val="001E7272"/>
    <w:rPr>
      <w:rFonts w:ascii="Arial" w:hAnsi="Arial" w:cs="Arial"/>
      <w:b/>
      <w:bCs/>
      <w:iCs/>
      <w:color w:val="1E1545" w:themeColor="text1"/>
      <w:sz w:val="36"/>
      <w:szCs w:val="28"/>
      <w:lang w:eastAsia="en-US"/>
    </w:rPr>
  </w:style>
  <w:style w:type="character" w:customStyle="1" w:styleId="NewHeading2Char">
    <w:name w:val="New Heading 2 Char"/>
    <w:basedOn w:val="Heading2Char"/>
    <w:link w:val="NewHeading2"/>
    <w:rsid w:val="001E7272"/>
    <w:rPr>
      <w:rFonts w:ascii="Arial" w:hAnsi="Arial" w:cs="Arial"/>
      <w:b/>
      <w:bCs/>
      <w:iCs/>
      <w:color w:val="1E1545" w:themeColor="text1"/>
      <w:sz w:val="32"/>
      <w:szCs w:val="24"/>
      <w:lang w:eastAsia="en-US"/>
    </w:rPr>
  </w:style>
  <w:style w:type="paragraph" w:customStyle="1" w:styleId="NewHeading3">
    <w:name w:val="New Heading 3"/>
    <w:basedOn w:val="Normal"/>
    <w:link w:val="NewHeading3Char"/>
    <w:qFormat/>
    <w:rsid w:val="004D34EB"/>
    <w:pPr>
      <w:pBdr>
        <w:top w:val="single" w:sz="6" w:space="1" w:color="2AB1BB" w:themeColor="accent1"/>
        <w:bottom w:val="single" w:sz="6" w:space="1" w:color="2AB1BB" w:themeColor="accent1"/>
        <w:between w:val="single" w:sz="6" w:space="1" w:color="2AB1BB" w:themeColor="accent1"/>
      </w:pBdr>
      <w:tabs>
        <w:tab w:val="left" w:pos="480"/>
        <w:tab w:val="right" w:pos="9061"/>
      </w:tabs>
      <w:outlineLvl w:val="2"/>
    </w:pPr>
    <w:rPr>
      <w:rFonts w:cs="Arial"/>
      <w:b/>
      <w:szCs w:val="20"/>
    </w:rPr>
  </w:style>
  <w:style w:type="character" w:customStyle="1" w:styleId="NewHeading3Char">
    <w:name w:val="New Heading 3 Char"/>
    <w:basedOn w:val="Heading3Char"/>
    <w:link w:val="NewHeading3"/>
    <w:rsid w:val="004D34EB"/>
    <w:rPr>
      <w:rFonts w:ascii="Arial" w:hAnsi="Arial" w:cs="Arial"/>
      <w:b/>
      <w:bCs w:val="0"/>
      <w:color w:val="1E1545" w:themeColor="text1"/>
      <w:sz w:val="24"/>
      <w:szCs w:val="22"/>
      <w:lang w:eastAsia="en-US"/>
    </w:rPr>
  </w:style>
  <w:style w:type="character" w:styleId="Mention">
    <w:name w:val="Mention"/>
    <w:basedOn w:val="DefaultParagraphFont"/>
    <w:uiPriority w:val="99"/>
    <w:unhideWhenUsed/>
    <w:rsid w:val="006D1195"/>
    <w:rPr>
      <w:color w:val="2B579A"/>
      <w:shd w:val="clear" w:color="auto" w:fill="E1DFDD"/>
    </w:rPr>
  </w:style>
  <w:style w:type="character" w:customStyle="1" w:styleId="NormalCentrestrongChar">
    <w:name w:val="Normal Centre (strong) Char"/>
    <w:basedOn w:val="HeaderChar"/>
    <w:link w:val="NormalCentrestrong"/>
    <w:rsid w:val="00A61985"/>
    <w:rPr>
      <w:rFonts w:ascii="Arial" w:hAnsi="Arial"/>
      <w:b/>
      <w:color w:val="1E1545" w:themeColor="text1"/>
      <w:sz w:val="22"/>
      <w:szCs w:val="24"/>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53583014">
      <w:bodyDiv w:val="1"/>
      <w:marLeft w:val="0"/>
      <w:marRight w:val="0"/>
      <w:marTop w:val="0"/>
      <w:marBottom w:val="0"/>
      <w:divBdr>
        <w:top w:val="none" w:sz="0" w:space="0" w:color="auto"/>
        <w:left w:val="none" w:sz="0" w:space="0" w:color="auto"/>
        <w:bottom w:val="none" w:sz="0" w:space="0" w:color="auto"/>
        <w:right w:val="none" w:sz="0" w:space="0" w:color="auto"/>
      </w:divBdr>
    </w:div>
    <w:div w:id="608661081">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10573050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03866613">
      <w:bodyDiv w:val="1"/>
      <w:marLeft w:val="0"/>
      <w:marRight w:val="0"/>
      <w:marTop w:val="0"/>
      <w:marBottom w:val="0"/>
      <w:divBdr>
        <w:top w:val="none" w:sz="0" w:space="0" w:color="auto"/>
        <w:left w:val="none" w:sz="0" w:space="0" w:color="auto"/>
        <w:bottom w:val="none" w:sz="0" w:space="0" w:color="auto"/>
        <w:right w:val="none" w:sz="0" w:space="0" w:color="auto"/>
      </w:divBdr>
      <w:divsChild>
        <w:div w:id="20981361">
          <w:marLeft w:val="0"/>
          <w:marRight w:val="0"/>
          <w:marTop w:val="0"/>
          <w:marBottom w:val="0"/>
          <w:divBdr>
            <w:top w:val="none" w:sz="0" w:space="0" w:color="auto"/>
            <w:left w:val="none" w:sz="0" w:space="0" w:color="auto"/>
            <w:bottom w:val="none" w:sz="0" w:space="0" w:color="auto"/>
            <w:right w:val="none" w:sz="0" w:space="0" w:color="auto"/>
          </w:divBdr>
        </w:div>
        <w:div w:id="125048799">
          <w:marLeft w:val="0"/>
          <w:marRight w:val="0"/>
          <w:marTop w:val="0"/>
          <w:marBottom w:val="0"/>
          <w:divBdr>
            <w:top w:val="none" w:sz="0" w:space="0" w:color="auto"/>
            <w:left w:val="none" w:sz="0" w:space="0" w:color="auto"/>
            <w:bottom w:val="none" w:sz="0" w:space="0" w:color="auto"/>
            <w:right w:val="none" w:sz="0" w:space="0" w:color="auto"/>
          </w:divBdr>
        </w:div>
        <w:div w:id="650838469">
          <w:marLeft w:val="0"/>
          <w:marRight w:val="0"/>
          <w:marTop w:val="0"/>
          <w:marBottom w:val="0"/>
          <w:divBdr>
            <w:top w:val="none" w:sz="0" w:space="0" w:color="auto"/>
            <w:left w:val="none" w:sz="0" w:space="0" w:color="auto"/>
            <w:bottom w:val="none" w:sz="0" w:space="0" w:color="auto"/>
            <w:right w:val="none" w:sz="0" w:space="0" w:color="auto"/>
          </w:divBdr>
        </w:div>
        <w:div w:id="830945733">
          <w:marLeft w:val="0"/>
          <w:marRight w:val="0"/>
          <w:marTop w:val="0"/>
          <w:marBottom w:val="0"/>
          <w:divBdr>
            <w:top w:val="none" w:sz="0" w:space="0" w:color="auto"/>
            <w:left w:val="none" w:sz="0" w:space="0" w:color="auto"/>
            <w:bottom w:val="none" w:sz="0" w:space="0" w:color="auto"/>
            <w:right w:val="none" w:sz="0" w:space="0" w:color="auto"/>
          </w:divBdr>
        </w:div>
        <w:div w:id="881163778">
          <w:marLeft w:val="0"/>
          <w:marRight w:val="0"/>
          <w:marTop w:val="0"/>
          <w:marBottom w:val="0"/>
          <w:divBdr>
            <w:top w:val="none" w:sz="0" w:space="0" w:color="auto"/>
            <w:left w:val="none" w:sz="0" w:space="0" w:color="auto"/>
            <w:bottom w:val="none" w:sz="0" w:space="0" w:color="auto"/>
            <w:right w:val="none" w:sz="0" w:space="0" w:color="auto"/>
          </w:divBdr>
        </w:div>
        <w:div w:id="918251974">
          <w:marLeft w:val="0"/>
          <w:marRight w:val="0"/>
          <w:marTop w:val="0"/>
          <w:marBottom w:val="0"/>
          <w:divBdr>
            <w:top w:val="none" w:sz="0" w:space="0" w:color="auto"/>
            <w:left w:val="none" w:sz="0" w:space="0" w:color="auto"/>
            <w:bottom w:val="none" w:sz="0" w:space="0" w:color="auto"/>
            <w:right w:val="none" w:sz="0" w:space="0" w:color="auto"/>
          </w:divBdr>
        </w:div>
        <w:div w:id="1014185408">
          <w:marLeft w:val="0"/>
          <w:marRight w:val="0"/>
          <w:marTop w:val="0"/>
          <w:marBottom w:val="0"/>
          <w:divBdr>
            <w:top w:val="none" w:sz="0" w:space="0" w:color="auto"/>
            <w:left w:val="none" w:sz="0" w:space="0" w:color="auto"/>
            <w:bottom w:val="none" w:sz="0" w:space="0" w:color="auto"/>
            <w:right w:val="none" w:sz="0" w:space="0" w:color="auto"/>
          </w:divBdr>
        </w:div>
        <w:div w:id="1131362035">
          <w:marLeft w:val="0"/>
          <w:marRight w:val="0"/>
          <w:marTop w:val="0"/>
          <w:marBottom w:val="0"/>
          <w:divBdr>
            <w:top w:val="none" w:sz="0" w:space="0" w:color="auto"/>
            <w:left w:val="none" w:sz="0" w:space="0" w:color="auto"/>
            <w:bottom w:val="none" w:sz="0" w:space="0" w:color="auto"/>
            <w:right w:val="none" w:sz="0" w:space="0" w:color="auto"/>
          </w:divBdr>
          <w:divsChild>
            <w:div w:id="141511775">
              <w:marLeft w:val="0"/>
              <w:marRight w:val="0"/>
              <w:marTop w:val="0"/>
              <w:marBottom w:val="0"/>
              <w:divBdr>
                <w:top w:val="none" w:sz="0" w:space="0" w:color="auto"/>
                <w:left w:val="none" w:sz="0" w:space="0" w:color="auto"/>
                <w:bottom w:val="none" w:sz="0" w:space="0" w:color="auto"/>
                <w:right w:val="none" w:sz="0" w:space="0" w:color="auto"/>
              </w:divBdr>
            </w:div>
            <w:div w:id="480120029">
              <w:marLeft w:val="0"/>
              <w:marRight w:val="0"/>
              <w:marTop w:val="0"/>
              <w:marBottom w:val="0"/>
              <w:divBdr>
                <w:top w:val="none" w:sz="0" w:space="0" w:color="auto"/>
                <w:left w:val="none" w:sz="0" w:space="0" w:color="auto"/>
                <w:bottom w:val="none" w:sz="0" w:space="0" w:color="auto"/>
                <w:right w:val="none" w:sz="0" w:space="0" w:color="auto"/>
              </w:divBdr>
            </w:div>
            <w:div w:id="611857967">
              <w:marLeft w:val="0"/>
              <w:marRight w:val="0"/>
              <w:marTop w:val="0"/>
              <w:marBottom w:val="0"/>
              <w:divBdr>
                <w:top w:val="none" w:sz="0" w:space="0" w:color="auto"/>
                <w:left w:val="none" w:sz="0" w:space="0" w:color="auto"/>
                <w:bottom w:val="none" w:sz="0" w:space="0" w:color="auto"/>
                <w:right w:val="none" w:sz="0" w:space="0" w:color="auto"/>
              </w:divBdr>
            </w:div>
            <w:div w:id="757023154">
              <w:marLeft w:val="0"/>
              <w:marRight w:val="0"/>
              <w:marTop w:val="0"/>
              <w:marBottom w:val="0"/>
              <w:divBdr>
                <w:top w:val="none" w:sz="0" w:space="0" w:color="auto"/>
                <w:left w:val="none" w:sz="0" w:space="0" w:color="auto"/>
                <w:bottom w:val="none" w:sz="0" w:space="0" w:color="auto"/>
                <w:right w:val="none" w:sz="0" w:space="0" w:color="auto"/>
              </w:divBdr>
            </w:div>
            <w:div w:id="834027631">
              <w:marLeft w:val="0"/>
              <w:marRight w:val="0"/>
              <w:marTop w:val="0"/>
              <w:marBottom w:val="0"/>
              <w:divBdr>
                <w:top w:val="none" w:sz="0" w:space="0" w:color="auto"/>
                <w:left w:val="none" w:sz="0" w:space="0" w:color="auto"/>
                <w:bottom w:val="none" w:sz="0" w:space="0" w:color="auto"/>
                <w:right w:val="none" w:sz="0" w:space="0" w:color="auto"/>
              </w:divBdr>
            </w:div>
            <w:div w:id="883061266">
              <w:marLeft w:val="0"/>
              <w:marRight w:val="0"/>
              <w:marTop w:val="0"/>
              <w:marBottom w:val="0"/>
              <w:divBdr>
                <w:top w:val="none" w:sz="0" w:space="0" w:color="auto"/>
                <w:left w:val="none" w:sz="0" w:space="0" w:color="auto"/>
                <w:bottom w:val="none" w:sz="0" w:space="0" w:color="auto"/>
                <w:right w:val="none" w:sz="0" w:space="0" w:color="auto"/>
              </w:divBdr>
            </w:div>
            <w:div w:id="1021278700">
              <w:marLeft w:val="0"/>
              <w:marRight w:val="0"/>
              <w:marTop w:val="0"/>
              <w:marBottom w:val="0"/>
              <w:divBdr>
                <w:top w:val="none" w:sz="0" w:space="0" w:color="auto"/>
                <w:left w:val="none" w:sz="0" w:space="0" w:color="auto"/>
                <w:bottom w:val="none" w:sz="0" w:space="0" w:color="auto"/>
                <w:right w:val="none" w:sz="0" w:space="0" w:color="auto"/>
              </w:divBdr>
            </w:div>
            <w:div w:id="1057823901">
              <w:marLeft w:val="0"/>
              <w:marRight w:val="0"/>
              <w:marTop w:val="0"/>
              <w:marBottom w:val="0"/>
              <w:divBdr>
                <w:top w:val="none" w:sz="0" w:space="0" w:color="auto"/>
                <w:left w:val="none" w:sz="0" w:space="0" w:color="auto"/>
                <w:bottom w:val="none" w:sz="0" w:space="0" w:color="auto"/>
                <w:right w:val="none" w:sz="0" w:space="0" w:color="auto"/>
              </w:divBdr>
            </w:div>
            <w:div w:id="1139567551">
              <w:marLeft w:val="0"/>
              <w:marRight w:val="0"/>
              <w:marTop w:val="0"/>
              <w:marBottom w:val="0"/>
              <w:divBdr>
                <w:top w:val="none" w:sz="0" w:space="0" w:color="auto"/>
                <w:left w:val="none" w:sz="0" w:space="0" w:color="auto"/>
                <w:bottom w:val="none" w:sz="0" w:space="0" w:color="auto"/>
                <w:right w:val="none" w:sz="0" w:space="0" w:color="auto"/>
              </w:divBdr>
            </w:div>
            <w:div w:id="1267543663">
              <w:marLeft w:val="0"/>
              <w:marRight w:val="0"/>
              <w:marTop w:val="0"/>
              <w:marBottom w:val="0"/>
              <w:divBdr>
                <w:top w:val="none" w:sz="0" w:space="0" w:color="auto"/>
                <w:left w:val="none" w:sz="0" w:space="0" w:color="auto"/>
                <w:bottom w:val="none" w:sz="0" w:space="0" w:color="auto"/>
                <w:right w:val="none" w:sz="0" w:space="0" w:color="auto"/>
              </w:divBdr>
            </w:div>
            <w:div w:id="1327784944">
              <w:marLeft w:val="0"/>
              <w:marRight w:val="0"/>
              <w:marTop w:val="0"/>
              <w:marBottom w:val="0"/>
              <w:divBdr>
                <w:top w:val="none" w:sz="0" w:space="0" w:color="auto"/>
                <w:left w:val="none" w:sz="0" w:space="0" w:color="auto"/>
                <w:bottom w:val="none" w:sz="0" w:space="0" w:color="auto"/>
                <w:right w:val="none" w:sz="0" w:space="0" w:color="auto"/>
              </w:divBdr>
            </w:div>
            <w:div w:id="1345277697">
              <w:marLeft w:val="0"/>
              <w:marRight w:val="0"/>
              <w:marTop w:val="0"/>
              <w:marBottom w:val="0"/>
              <w:divBdr>
                <w:top w:val="none" w:sz="0" w:space="0" w:color="auto"/>
                <w:left w:val="none" w:sz="0" w:space="0" w:color="auto"/>
                <w:bottom w:val="none" w:sz="0" w:space="0" w:color="auto"/>
                <w:right w:val="none" w:sz="0" w:space="0" w:color="auto"/>
              </w:divBdr>
            </w:div>
            <w:div w:id="1519393690">
              <w:marLeft w:val="0"/>
              <w:marRight w:val="0"/>
              <w:marTop w:val="0"/>
              <w:marBottom w:val="0"/>
              <w:divBdr>
                <w:top w:val="none" w:sz="0" w:space="0" w:color="auto"/>
                <w:left w:val="none" w:sz="0" w:space="0" w:color="auto"/>
                <w:bottom w:val="none" w:sz="0" w:space="0" w:color="auto"/>
                <w:right w:val="none" w:sz="0" w:space="0" w:color="auto"/>
              </w:divBdr>
            </w:div>
            <w:div w:id="1734618988">
              <w:marLeft w:val="0"/>
              <w:marRight w:val="0"/>
              <w:marTop w:val="0"/>
              <w:marBottom w:val="0"/>
              <w:divBdr>
                <w:top w:val="none" w:sz="0" w:space="0" w:color="auto"/>
                <w:left w:val="none" w:sz="0" w:space="0" w:color="auto"/>
                <w:bottom w:val="none" w:sz="0" w:space="0" w:color="auto"/>
                <w:right w:val="none" w:sz="0" w:space="0" w:color="auto"/>
              </w:divBdr>
            </w:div>
            <w:div w:id="1774089322">
              <w:marLeft w:val="0"/>
              <w:marRight w:val="0"/>
              <w:marTop w:val="0"/>
              <w:marBottom w:val="0"/>
              <w:divBdr>
                <w:top w:val="none" w:sz="0" w:space="0" w:color="auto"/>
                <w:left w:val="none" w:sz="0" w:space="0" w:color="auto"/>
                <w:bottom w:val="none" w:sz="0" w:space="0" w:color="auto"/>
                <w:right w:val="none" w:sz="0" w:space="0" w:color="auto"/>
              </w:divBdr>
            </w:div>
            <w:div w:id="1826125213">
              <w:marLeft w:val="0"/>
              <w:marRight w:val="0"/>
              <w:marTop w:val="0"/>
              <w:marBottom w:val="0"/>
              <w:divBdr>
                <w:top w:val="none" w:sz="0" w:space="0" w:color="auto"/>
                <w:left w:val="none" w:sz="0" w:space="0" w:color="auto"/>
                <w:bottom w:val="none" w:sz="0" w:space="0" w:color="auto"/>
                <w:right w:val="none" w:sz="0" w:space="0" w:color="auto"/>
              </w:divBdr>
            </w:div>
            <w:div w:id="2028095546">
              <w:marLeft w:val="0"/>
              <w:marRight w:val="0"/>
              <w:marTop w:val="0"/>
              <w:marBottom w:val="0"/>
              <w:divBdr>
                <w:top w:val="none" w:sz="0" w:space="0" w:color="auto"/>
                <w:left w:val="none" w:sz="0" w:space="0" w:color="auto"/>
                <w:bottom w:val="none" w:sz="0" w:space="0" w:color="auto"/>
                <w:right w:val="none" w:sz="0" w:space="0" w:color="auto"/>
              </w:divBdr>
            </w:div>
            <w:div w:id="2083674841">
              <w:marLeft w:val="0"/>
              <w:marRight w:val="0"/>
              <w:marTop w:val="0"/>
              <w:marBottom w:val="0"/>
              <w:divBdr>
                <w:top w:val="none" w:sz="0" w:space="0" w:color="auto"/>
                <w:left w:val="none" w:sz="0" w:space="0" w:color="auto"/>
                <w:bottom w:val="none" w:sz="0" w:space="0" w:color="auto"/>
                <w:right w:val="none" w:sz="0" w:space="0" w:color="auto"/>
              </w:divBdr>
            </w:div>
            <w:div w:id="2093240383">
              <w:marLeft w:val="0"/>
              <w:marRight w:val="0"/>
              <w:marTop w:val="0"/>
              <w:marBottom w:val="0"/>
              <w:divBdr>
                <w:top w:val="none" w:sz="0" w:space="0" w:color="auto"/>
                <w:left w:val="none" w:sz="0" w:space="0" w:color="auto"/>
                <w:bottom w:val="none" w:sz="0" w:space="0" w:color="auto"/>
                <w:right w:val="none" w:sz="0" w:space="0" w:color="auto"/>
              </w:divBdr>
            </w:div>
            <w:div w:id="2147046812">
              <w:marLeft w:val="0"/>
              <w:marRight w:val="0"/>
              <w:marTop w:val="0"/>
              <w:marBottom w:val="0"/>
              <w:divBdr>
                <w:top w:val="none" w:sz="0" w:space="0" w:color="auto"/>
                <w:left w:val="none" w:sz="0" w:space="0" w:color="auto"/>
                <w:bottom w:val="none" w:sz="0" w:space="0" w:color="auto"/>
                <w:right w:val="none" w:sz="0" w:space="0" w:color="auto"/>
              </w:divBdr>
            </w:div>
          </w:divsChild>
        </w:div>
        <w:div w:id="1140806597">
          <w:marLeft w:val="0"/>
          <w:marRight w:val="0"/>
          <w:marTop w:val="0"/>
          <w:marBottom w:val="0"/>
          <w:divBdr>
            <w:top w:val="none" w:sz="0" w:space="0" w:color="auto"/>
            <w:left w:val="none" w:sz="0" w:space="0" w:color="auto"/>
            <w:bottom w:val="none" w:sz="0" w:space="0" w:color="auto"/>
            <w:right w:val="none" w:sz="0" w:space="0" w:color="auto"/>
          </w:divBdr>
        </w:div>
        <w:div w:id="1254313848">
          <w:marLeft w:val="0"/>
          <w:marRight w:val="0"/>
          <w:marTop w:val="0"/>
          <w:marBottom w:val="0"/>
          <w:divBdr>
            <w:top w:val="none" w:sz="0" w:space="0" w:color="auto"/>
            <w:left w:val="none" w:sz="0" w:space="0" w:color="auto"/>
            <w:bottom w:val="none" w:sz="0" w:space="0" w:color="auto"/>
            <w:right w:val="none" w:sz="0" w:space="0" w:color="auto"/>
          </w:divBdr>
        </w:div>
        <w:div w:id="1258253217">
          <w:marLeft w:val="0"/>
          <w:marRight w:val="0"/>
          <w:marTop w:val="0"/>
          <w:marBottom w:val="0"/>
          <w:divBdr>
            <w:top w:val="none" w:sz="0" w:space="0" w:color="auto"/>
            <w:left w:val="none" w:sz="0" w:space="0" w:color="auto"/>
            <w:bottom w:val="none" w:sz="0" w:space="0" w:color="auto"/>
            <w:right w:val="none" w:sz="0" w:space="0" w:color="auto"/>
          </w:divBdr>
        </w:div>
        <w:div w:id="1331176469">
          <w:marLeft w:val="0"/>
          <w:marRight w:val="0"/>
          <w:marTop w:val="0"/>
          <w:marBottom w:val="0"/>
          <w:divBdr>
            <w:top w:val="none" w:sz="0" w:space="0" w:color="auto"/>
            <w:left w:val="none" w:sz="0" w:space="0" w:color="auto"/>
            <w:bottom w:val="none" w:sz="0" w:space="0" w:color="auto"/>
            <w:right w:val="none" w:sz="0" w:space="0" w:color="auto"/>
          </w:divBdr>
        </w:div>
        <w:div w:id="1601140382">
          <w:marLeft w:val="0"/>
          <w:marRight w:val="0"/>
          <w:marTop w:val="0"/>
          <w:marBottom w:val="0"/>
          <w:divBdr>
            <w:top w:val="none" w:sz="0" w:space="0" w:color="auto"/>
            <w:left w:val="none" w:sz="0" w:space="0" w:color="auto"/>
            <w:bottom w:val="none" w:sz="0" w:space="0" w:color="auto"/>
            <w:right w:val="none" w:sz="0" w:space="0" w:color="auto"/>
          </w:divBdr>
        </w:div>
        <w:div w:id="1696345993">
          <w:marLeft w:val="0"/>
          <w:marRight w:val="0"/>
          <w:marTop w:val="0"/>
          <w:marBottom w:val="0"/>
          <w:divBdr>
            <w:top w:val="none" w:sz="0" w:space="0" w:color="auto"/>
            <w:left w:val="none" w:sz="0" w:space="0" w:color="auto"/>
            <w:bottom w:val="none" w:sz="0" w:space="0" w:color="auto"/>
            <w:right w:val="none" w:sz="0" w:space="0" w:color="auto"/>
          </w:divBdr>
        </w:div>
        <w:div w:id="1950821295">
          <w:marLeft w:val="0"/>
          <w:marRight w:val="0"/>
          <w:marTop w:val="0"/>
          <w:marBottom w:val="0"/>
          <w:divBdr>
            <w:top w:val="none" w:sz="0" w:space="0" w:color="auto"/>
            <w:left w:val="none" w:sz="0" w:space="0" w:color="auto"/>
            <w:bottom w:val="none" w:sz="0" w:space="0" w:color="auto"/>
            <w:right w:val="none" w:sz="0" w:space="0" w:color="auto"/>
          </w:divBdr>
        </w:div>
        <w:div w:id="1982028902">
          <w:marLeft w:val="0"/>
          <w:marRight w:val="0"/>
          <w:marTop w:val="0"/>
          <w:marBottom w:val="0"/>
          <w:divBdr>
            <w:top w:val="none" w:sz="0" w:space="0" w:color="auto"/>
            <w:left w:val="none" w:sz="0" w:space="0" w:color="auto"/>
            <w:bottom w:val="none" w:sz="0" w:space="0" w:color="auto"/>
            <w:right w:val="none" w:sz="0" w:space="0" w:color="auto"/>
          </w:divBdr>
        </w:div>
      </w:divsChild>
    </w:div>
    <w:div w:id="1452751016">
      <w:bodyDiv w:val="1"/>
      <w:marLeft w:val="0"/>
      <w:marRight w:val="0"/>
      <w:marTop w:val="0"/>
      <w:marBottom w:val="0"/>
      <w:divBdr>
        <w:top w:val="none" w:sz="0" w:space="0" w:color="auto"/>
        <w:left w:val="none" w:sz="0" w:space="0" w:color="auto"/>
        <w:bottom w:val="none" w:sz="0" w:space="0" w:color="auto"/>
        <w:right w:val="none" w:sz="0" w:space="0" w:color="auto"/>
      </w:divBdr>
      <w:divsChild>
        <w:div w:id="73364230">
          <w:marLeft w:val="0"/>
          <w:marRight w:val="0"/>
          <w:marTop w:val="0"/>
          <w:marBottom w:val="0"/>
          <w:divBdr>
            <w:top w:val="none" w:sz="0" w:space="0" w:color="auto"/>
            <w:left w:val="none" w:sz="0" w:space="0" w:color="auto"/>
            <w:bottom w:val="none" w:sz="0" w:space="0" w:color="auto"/>
            <w:right w:val="none" w:sz="0" w:space="0" w:color="auto"/>
          </w:divBdr>
        </w:div>
        <w:div w:id="260797829">
          <w:marLeft w:val="0"/>
          <w:marRight w:val="0"/>
          <w:marTop w:val="0"/>
          <w:marBottom w:val="0"/>
          <w:divBdr>
            <w:top w:val="none" w:sz="0" w:space="0" w:color="auto"/>
            <w:left w:val="none" w:sz="0" w:space="0" w:color="auto"/>
            <w:bottom w:val="none" w:sz="0" w:space="0" w:color="auto"/>
            <w:right w:val="none" w:sz="0" w:space="0" w:color="auto"/>
          </w:divBdr>
        </w:div>
        <w:div w:id="296030421">
          <w:marLeft w:val="0"/>
          <w:marRight w:val="0"/>
          <w:marTop w:val="0"/>
          <w:marBottom w:val="0"/>
          <w:divBdr>
            <w:top w:val="none" w:sz="0" w:space="0" w:color="auto"/>
            <w:left w:val="none" w:sz="0" w:space="0" w:color="auto"/>
            <w:bottom w:val="none" w:sz="0" w:space="0" w:color="auto"/>
            <w:right w:val="none" w:sz="0" w:space="0" w:color="auto"/>
          </w:divBdr>
        </w:div>
        <w:div w:id="306253008">
          <w:marLeft w:val="0"/>
          <w:marRight w:val="0"/>
          <w:marTop w:val="0"/>
          <w:marBottom w:val="0"/>
          <w:divBdr>
            <w:top w:val="none" w:sz="0" w:space="0" w:color="auto"/>
            <w:left w:val="none" w:sz="0" w:space="0" w:color="auto"/>
            <w:bottom w:val="none" w:sz="0" w:space="0" w:color="auto"/>
            <w:right w:val="none" w:sz="0" w:space="0" w:color="auto"/>
          </w:divBdr>
        </w:div>
        <w:div w:id="467630105">
          <w:marLeft w:val="0"/>
          <w:marRight w:val="0"/>
          <w:marTop w:val="0"/>
          <w:marBottom w:val="0"/>
          <w:divBdr>
            <w:top w:val="none" w:sz="0" w:space="0" w:color="auto"/>
            <w:left w:val="none" w:sz="0" w:space="0" w:color="auto"/>
            <w:bottom w:val="none" w:sz="0" w:space="0" w:color="auto"/>
            <w:right w:val="none" w:sz="0" w:space="0" w:color="auto"/>
          </w:divBdr>
          <w:divsChild>
            <w:div w:id="15274168">
              <w:marLeft w:val="0"/>
              <w:marRight w:val="0"/>
              <w:marTop w:val="0"/>
              <w:marBottom w:val="0"/>
              <w:divBdr>
                <w:top w:val="none" w:sz="0" w:space="0" w:color="auto"/>
                <w:left w:val="none" w:sz="0" w:space="0" w:color="auto"/>
                <w:bottom w:val="none" w:sz="0" w:space="0" w:color="auto"/>
                <w:right w:val="none" w:sz="0" w:space="0" w:color="auto"/>
              </w:divBdr>
            </w:div>
            <w:div w:id="31804008">
              <w:marLeft w:val="0"/>
              <w:marRight w:val="0"/>
              <w:marTop w:val="0"/>
              <w:marBottom w:val="0"/>
              <w:divBdr>
                <w:top w:val="none" w:sz="0" w:space="0" w:color="auto"/>
                <w:left w:val="none" w:sz="0" w:space="0" w:color="auto"/>
                <w:bottom w:val="none" w:sz="0" w:space="0" w:color="auto"/>
                <w:right w:val="none" w:sz="0" w:space="0" w:color="auto"/>
              </w:divBdr>
            </w:div>
            <w:div w:id="136840462">
              <w:marLeft w:val="0"/>
              <w:marRight w:val="0"/>
              <w:marTop w:val="0"/>
              <w:marBottom w:val="0"/>
              <w:divBdr>
                <w:top w:val="none" w:sz="0" w:space="0" w:color="auto"/>
                <w:left w:val="none" w:sz="0" w:space="0" w:color="auto"/>
                <w:bottom w:val="none" w:sz="0" w:space="0" w:color="auto"/>
                <w:right w:val="none" w:sz="0" w:space="0" w:color="auto"/>
              </w:divBdr>
            </w:div>
            <w:div w:id="294336859">
              <w:marLeft w:val="0"/>
              <w:marRight w:val="0"/>
              <w:marTop w:val="0"/>
              <w:marBottom w:val="0"/>
              <w:divBdr>
                <w:top w:val="none" w:sz="0" w:space="0" w:color="auto"/>
                <w:left w:val="none" w:sz="0" w:space="0" w:color="auto"/>
                <w:bottom w:val="none" w:sz="0" w:space="0" w:color="auto"/>
                <w:right w:val="none" w:sz="0" w:space="0" w:color="auto"/>
              </w:divBdr>
            </w:div>
            <w:div w:id="393163036">
              <w:marLeft w:val="0"/>
              <w:marRight w:val="0"/>
              <w:marTop w:val="0"/>
              <w:marBottom w:val="0"/>
              <w:divBdr>
                <w:top w:val="none" w:sz="0" w:space="0" w:color="auto"/>
                <w:left w:val="none" w:sz="0" w:space="0" w:color="auto"/>
                <w:bottom w:val="none" w:sz="0" w:space="0" w:color="auto"/>
                <w:right w:val="none" w:sz="0" w:space="0" w:color="auto"/>
              </w:divBdr>
            </w:div>
            <w:div w:id="586033847">
              <w:marLeft w:val="0"/>
              <w:marRight w:val="0"/>
              <w:marTop w:val="0"/>
              <w:marBottom w:val="0"/>
              <w:divBdr>
                <w:top w:val="none" w:sz="0" w:space="0" w:color="auto"/>
                <w:left w:val="none" w:sz="0" w:space="0" w:color="auto"/>
                <w:bottom w:val="none" w:sz="0" w:space="0" w:color="auto"/>
                <w:right w:val="none" w:sz="0" w:space="0" w:color="auto"/>
              </w:divBdr>
            </w:div>
            <w:div w:id="603417641">
              <w:marLeft w:val="0"/>
              <w:marRight w:val="0"/>
              <w:marTop w:val="0"/>
              <w:marBottom w:val="0"/>
              <w:divBdr>
                <w:top w:val="none" w:sz="0" w:space="0" w:color="auto"/>
                <w:left w:val="none" w:sz="0" w:space="0" w:color="auto"/>
                <w:bottom w:val="none" w:sz="0" w:space="0" w:color="auto"/>
                <w:right w:val="none" w:sz="0" w:space="0" w:color="auto"/>
              </w:divBdr>
            </w:div>
            <w:div w:id="609363227">
              <w:marLeft w:val="0"/>
              <w:marRight w:val="0"/>
              <w:marTop w:val="0"/>
              <w:marBottom w:val="0"/>
              <w:divBdr>
                <w:top w:val="none" w:sz="0" w:space="0" w:color="auto"/>
                <w:left w:val="none" w:sz="0" w:space="0" w:color="auto"/>
                <w:bottom w:val="none" w:sz="0" w:space="0" w:color="auto"/>
                <w:right w:val="none" w:sz="0" w:space="0" w:color="auto"/>
              </w:divBdr>
            </w:div>
            <w:div w:id="739717211">
              <w:marLeft w:val="0"/>
              <w:marRight w:val="0"/>
              <w:marTop w:val="0"/>
              <w:marBottom w:val="0"/>
              <w:divBdr>
                <w:top w:val="none" w:sz="0" w:space="0" w:color="auto"/>
                <w:left w:val="none" w:sz="0" w:space="0" w:color="auto"/>
                <w:bottom w:val="none" w:sz="0" w:space="0" w:color="auto"/>
                <w:right w:val="none" w:sz="0" w:space="0" w:color="auto"/>
              </w:divBdr>
            </w:div>
            <w:div w:id="1014725829">
              <w:marLeft w:val="0"/>
              <w:marRight w:val="0"/>
              <w:marTop w:val="0"/>
              <w:marBottom w:val="0"/>
              <w:divBdr>
                <w:top w:val="none" w:sz="0" w:space="0" w:color="auto"/>
                <w:left w:val="none" w:sz="0" w:space="0" w:color="auto"/>
                <w:bottom w:val="none" w:sz="0" w:space="0" w:color="auto"/>
                <w:right w:val="none" w:sz="0" w:space="0" w:color="auto"/>
              </w:divBdr>
            </w:div>
            <w:div w:id="1020162740">
              <w:marLeft w:val="0"/>
              <w:marRight w:val="0"/>
              <w:marTop w:val="0"/>
              <w:marBottom w:val="0"/>
              <w:divBdr>
                <w:top w:val="none" w:sz="0" w:space="0" w:color="auto"/>
                <w:left w:val="none" w:sz="0" w:space="0" w:color="auto"/>
                <w:bottom w:val="none" w:sz="0" w:space="0" w:color="auto"/>
                <w:right w:val="none" w:sz="0" w:space="0" w:color="auto"/>
              </w:divBdr>
            </w:div>
            <w:div w:id="1053188844">
              <w:marLeft w:val="0"/>
              <w:marRight w:val="0"/>
              <w:marTop w:val="0"/>
              <w:marBottom w:val="0"/>
              <w:divBdr>
                <w:top w:val="none" w:sz="0" w:space="0" w:color="auto"/>
                <w:left w:val="none" w:sz="0" w:space="0" w:color="auto"/>
                <w:bottom w:val="none" w:sz="0" w:space="0" w:color="auto"/>
                <w:right w:val="none" w:sz="0" w:space="0" w:color="auto"/>
              </w:divBdr>
            </w:div>
            <w:div w:id="1070810068">
              <w:marLeft w:val="0"/>
              <w:marRight w:val="0"/>
              <w:marTop w:val="0"/>
              <w:marBottom w:val="0"/>
              <w:divBdr>
                <w:top w:val="none" w:sz="0" w:space="0" w:color="auto"/>
                <w:left w:val="none" w:sz="0" w:space="0" w:color="auto"/>
                <w:bottom w:val="none" w:sz="0" w:space="0" w:color="auto"/>
                <w:right w:val="none" w:sz="0" w:space="0" w:color="auto"/>
              </w:divBdr>
            </w:div>
            <w:div w:id="1362171315">
              <w:marLeft w:val="0"/>
              <w:marRight w:val="0"/>
              <w:marTop w:val="0"/>
              <w:marBottom w:val="0"/>
              <w:divBdr>
                <w:top w:val="none" w:sz="0" w:space="0" w:color="auto"/>
                <w:left w:val="none" w:sz="0" w:space="0" w:color="auto"/>
                <w:bottom w:val="none" w:sz="0" w:space="0" w:color="auto"/>
                <w:right w:val="none" w:sz="0" w:space="0" w:color="auto"/>
              </w:divBdr>
            </w:div>
            <w:div w:id="1487473822">
              <w:marLeft w:val="0"/>
              <w:marRight w:val="0"/>
              <w:marTop w:val="0"/>
              <w:marBottom w:val="0"/>
              <w:divBdr>
                <w:top w:val="none" w:sz="0" w:space="0" w:color="auto"/>
                <w:left w:val="none" w:sz="0" w:space="0" w:color="auto"/>
                <w:bottom w:val="none" w:sz="0" w:space="0" w:color="auto"/>
                <w:right w:val="none" w:sz="0" w:space="0" w:color="auto"/>
              </w:divBdr>
            </w:div>
            <w:div w:id="1804300115">
              <w:marLeft w:val="0"/>
              <w:marRight w:val="0"/>
              <w:marTop w:val="0"/>
              <w:marBottom w:val="0"/>
              <w:divBdr>
                <w:top w:val="none" w:sz="0" w:space="0" w:color="auto"/>
                <w:left w:val="none" w:sz="0" w:space="0" w:color="auto"/>
                <w:bottom w:val="none" w:sz="0" w:space="0" w:color="auto"/>
                <w:right w:val="none" w:sz="0" w:space="0" w:color="auto"/>
              </w:divBdr>
            </w:div>
            <w:div w:id="1813446805">
              <w:marLeft w:val="0"/>
              <w:marRight w:val="0"/>
              <w:marTop w:val="0"/>
              <w:marBottom w:val="0"/>
              <w:divBdr>
                <w:top w:val="none" w:sz="0" w:space="0" w:color="auto"/>
                <w:left w:val="none" w:sz="0" w:space="0" w:color="auto"/>
                <w:bottom w:val="none" w:sz="0" w:space="0" w:color="auto"/>
                <w:right w:val="none" w:sz="0" w:space="0" w:color="auto"/>
              </w:divBdr>
            </w:div>
            <w:div w:id="1836797663">
              <w:marLeft w:val="0"/>
              <w:marRight w:val="0"/>
              <w:marTop w:val="0"/>
              <w:marBottom w:val="0"/>
              <w:divBdr>
                <w:top w:val="none" w:sz="0" w:space="0" w:color="auto"/>
                <w:left w:val="none" w:sz="0" w:space="0" w:color="auto"/>
                <w:bottom w:val="none" w:sz="0" w:space="0" w:color="auto"/>
                <w:right w:val="none" w:sz="0" w:space="0" w:color="auto"/>
              </w:divBdr>
            </w:div>
            <w:div w:id="1872182979">
              <w:marLeft w:val="0"/>
              <w:marRight w:val="0"/>
              <w:marTop w:val="0"/>
              <w:marBottom w:val="0"/>
              <w:divBdr>
                <w:top w:val="none" w:sz="0" w:space="0" w:color="auto"/>
                <w:left w:val="none" w:sz="0" w:space="0" w:color="auto"/>
                <w:bottom w:val="none" w:sz="0" w:space="0" w:color="auto"/>
                <w:right w:val="none" w:sz="0" w:space="0" w:color="auto"/>
              </w:divBdr>
            </w:div>
            <w:div w:id="1928617222">
              <w:marLeft w:val="0"/>
              <w:marRight w:val="0"/>
              <w:marTop w:val="0"/>
              <w:marBottom w:val="0"/>
              <w:divBdr>
                <w:top w:val="none" w:sz="0" w:space="0" w:color="auto"/>
                <w:left w:val="none" w:sz="0" w:space="0" w:color="auto"/>
                <w:bottom w:val="none" w:sz="0" w:space="0" w:color="auto"/>
                <w:right w:val="none" w:sz="0" w:space="0" w:color="auto"/>
              </w:divBdr>
            </w:div>
          </w:divsChild>
        </w:div>
        <w:div w:id="495416865">
          <w:marLeft w:val="0"/>
          <w:marRight w:val="0"/>
          <w:marTop w:val="0"/>
          <w:marBottom w:val="0"/>
          <w:divBdr>
            <w:top w:val="none" w:sz="0" w:space="0" w:color="auto"/>
            <w:left w:val="none" w:sz="0" w:space="0" w:color="auto"/>
            <w:bottom w:val="none" w:sz="0" w:space="0" w:color="auto"/>
            <w:right w:val="none" w:sz="0" w:space="0" w:color="auto"/>
          </w:divBdr>
        </w:div>
        <w:div w:id="638386431">
          <w:marLeft w:val="0"/>
          <w:marRight w:val="0"/>
          <w:marTop w:val="0"/>
          <w:marBottom w:val="0"/>
          <w:divBdr>
            <w:top w:val="none" w:sz="0" w:space="0" w:color="auto"/>
            <w:left w:val="none" w:sz="0" w:space="0" w:color="auto"/>
            <w:bottom w:val="none" w:sz="0" w:space="0" w:color="auto"/>
            <w:right w:val="none" w:sz="0" w:space="0" w:color="auto"/>
          </w:divBdr>
        </w:div>
        <w:div w:id="787547849">
          <w:marLeft w:val="0"/>
          <w:marRight w:val="0"/>
          <w:marTop w:val="0"/>
          <w:marBottom w:val="0"/>
          <w:divBdr>
            <w:top w:val="none" w:sz="0" w:space="0" w:color="auto"/>
            <w:left w:val="none" w:sz="0" w:space="0" w:color="auto"/>
            <w:bottom w:val="none" w:sz="0" w:space="0" w:color="auto"/>
            <w:right w:val="none" w:sz="0" w:space="0" w:color="auto"/>
          </w:divBdr>
        </w:div>
        <w:div w:id="1055082990">
          <w:marLeft w:val="0"/>
          <w:marRight w:val="0"/>
          <w:marTop w:val="0"/>
          <w:marBottom w:val="0"/>
          <w:divBdr>
            <w:top w:val="none" w:sz="0" w:space="0" w:color="auto"/>
            <w:left w:val="none" w:sz="0" w:space="0" w:color="auto"/>
            <w:bottom w:val="none" w:sz="0" w:space="0" w:color="auto"/>
            <w:right w:val="none" w:sz="0" w:space="0" w:color="auto"/>
          </w:divBdr>
        </w:div>
        <w:div w:id="1114522556">
          <w:marLeft w:val="0"/>
          <w:marRight w:val="0"/>
          <w:marTop w:val="0"/>
          <w:marBottom w:val="0"/>
          <w:divBdr>
            <w:top w:val="none" w:sz="0" w:space="0" w:color="auto"/>
            <w:left w:val="none" w:sz="0" w:space="0" w:color="auto"/>
            <w:bottom w:val="none" w:sz="0" w:space="0" w:color="auto"/>
            <w:right w:val="none" w:sz="0" w:space="0" w:color="auto"/>
          </w:divBdr>
        </w:div>
        <w:div w:id="1297294828">
          <w:marLeft w:val="0"/>
          <w:marRight w:val="0"/>
          <w:marTop w:val="0"/>
          <w:marBottom w:val="0"/>
          <w:divBdr>
            <w:top w:val="none" w:sz="0" w:space="0" w:color="auto"/>
            <w:left w:val="none" w:sz="0" w:space="0" w:color="auto"/>
            <w:bottom w:val="none" w:sz="0" w:space="0" w:color="auto"/>
            <w:right w:val="none" w:sz="0" w:space="0" w:color="auto"/>
          </w:divBdr>
        </w:div>
        <w:div w:id="1317342198">
          <w:marLeft w:val="0"/>
          <w:marRight w:val="0"/>
          <w:marTop w:val="0"/>
          <w:marBottom w:val="0"/>
          <w:divBdr>
            <w:top w:val="none" w:sz="0" w:space="0" w:color="auto"/>
            <w:left w:val="none" w:sz="0" w:space="0" w:color="auto"/>
            <w:bottom w:val="none" w:sz="0" w:space="0" w:color="auto"/>
            <w:right w:val="none" w:sz="0" w:space="0" w:color="auto"/>
          </w:divBdr>
        </w:div>
        <w:div w:id="1468090871">
          <w:marLeft w:val="0"/>
          <w:marRight w:val="0"/>
          <w:marTop w:val="0"/>
          <w:marBottom w:val="0"/>
          <w:divBdr>
            <w:top w:val="none" w:sz="0" w:space="0" w:color="auto"/>
            <w:left w:val="none" w:sz="0" w:space="0" w:color="auto"/>
            <w:bottom w:val="none" w:sz="0" w:space="0" w:color="auto"/>
            <w:right w:val="none" w:sz="0" w:space="0" w:color="auto"/>
          </w:divBdr>
        </w:div>
        <w:div w:id="1508207605">
          <w:marLeft w:val="0"/>
          <w:marRight w:val="0"/>
          <w:marTop w:val="0"/>
          <w:marBottom w:val="0"/>
          <w:divBdr>
            <w:top w:val="none" w:sz="0" w:space="0" w:color="auto"/>
            <w:left w:val="none" w:sz="0" w:space="0" w:color="auto"/>
            <w:bottom w:val="none" w:sz="0" w:space="0" w:color="auto"/>
            <w:right w:val="none" w:sz="0" w:space="0" w:color="auto"/>
          </w:divBdr>
        </w:div>
        <w:div w:id="1760250980">
          <w:marLeft w:val="0"/>
          <w:marRight w:val="0"/>
          <w:marTop w:val="0"/>
          <w:marBottom w:val="0"/>
          <w:divBdr>
            <w:top w:val="none" w:sz="0" w:space="0" w:color="auto"/>
            <w:left w:val="none" w:sz="0" w:space="0" w:color="auto"/>
            <w:bottom w:val="none" w:sz="0" w:space="0" w:color="auto"/>
            <w:right w:val="none" w:sz="0" w:space="0" w:color="auto"/>
          </w:divBdr>
        </w:div>
        <w:div w:id="1992978767">
          <w:marLeft w:val="0"/>
          <w:marRight w:val="0"/>
          <w:marTop w:val="0"/>
          <w:marBottom w:val="0"/>
          <w:divBdr>
            <w:top w:val="none" w:sz="0" w:space="0" w:color="auto"/>
            <w:left w:val="none" w:sz="0" w:space="0" w:color="auto"/>
            <w:bottom w:val="none" w:sz="0" w:space="0" w:color="auto"/>
            <w:right w:val="none" w:sz="0" w:space="0" w:color="auto"/>
          </w:divBdr>
        </w:div>
      </w:divsChild>
    </w:div>
    <w:div w:id="1806850204">
      <w:bodyDiv w:val="1"/>
      <w:marLeft w:val="0"/>
      <w:marRight w:val="0"/>
      <w:marTop w:val="0"/>
      <w:marBottom w:val="0"/>
      <w:divBdr>
        <w:top w:val="none" w:sz="0" w:space="0" w:color="auto"/>
        <w:left w:val="none" w:sz="0" w:space="0" w:color="auto"/>
        <w:bottom w:val="none" w:sz="0" w:space="0" w:color="auto"/>
        <w:right w:val="none" w:sz="0" w:space="0" w:color="auto"/>
      </w:divBdr>
      <w:divsChild>
        <w:div w:id="444663080">
          <w:marLeft w:val="0"/>
          <w:marRight w:val="0"/>
          <w:marTop w:val="0"/>
          <w:marBottom w:val="0"/>
          <w:divBdr>
            <w:top w:val="none" w:sz="0" w:space="0" w:color="auto"/>
            <w:left w:val="none" w:sz="0" w:space="0" w:color="auto"/>
            <w:bottom w:val="none" w:sz="0" w:space="0" w:color="auto"/>
            <w:right w:val="none" w:sz="0" w:space="0" w:color="auto"/>
          </w:divBdr>
        </w:div>
        <w:div w:id="531117132">
          <w:marLeft w:val="0"/>
          <w:marRight w:val="0"/>
          <w:marTop w:val="0"/>
          <w:marBottom w:val="0"/>
          <w:divBdr>
            <w:top w:val="none" w:sz="0" w:space="0" w:color="auto"/>
            <w:left w:val="none" w:sz="0" w:space="0" w:color="auto"/>
            <w:bottom w:val="none" w:sz="0" w:space="0" w:color="auto"/>
            <w:right w:val="none" w:sz="0" w:space="0" w:color="auto"/>
          </w:divBdr>
        </w:div>
        <w:div w:id="1579245922">
          <w:marLeft w:val="0"/>
          <w:marRight w:val="0"/>
          <w:marTop w:val="0"/>
          <w:marBottom w:val="0"/>
          <w:divBdr>
            <w:top w:val="none" w:sz="0" w:space="0" w:color="auto"/>
            <w:left w:val="none" w:sz="0" w:space="0" w:color="auto"/>
            <w:bottom w:val="none" w:sz="0" w:space="0" w:color="auto"/>
            <w:right w:val="none" w:sz="0" w:space="0" w:color="auto"/>
          </w:divBdr>
        </w:div>
        <w:div w:id="1585917648">
          <w:marLeft w:val="0"/>
          <w:marRight w:val="0"/>
          <w:marTop w:val="0"/>
          <w:marBottom w:val="0"/>
          <w:divBdr>
            <w:top w:val="none" w:sz="0" w:space="0" w:color="auto"/>
            <w:left w:val="none" w:sz="0" w:space="0" w:color="auto"/>
            <w:bottom w:val="none" w:sz="0" w:space="0" w:color="auto"/>
            <w:right w:val="none" w:sz="0" w:space="0" w:color="auto"/>
          </w:divBdr>
        </w:div>
        <w:div w:id="1869415191">
          <w:marLeft w:val="0"/>
          <w:marRight w:val="0"/>
          <w:marTop w:val="0"/>
          <w:marBottom w:val="0"/>
          <w:divBdr>
            <w:top w:val="none" w:sz="0" w:space="0" w:color="auto"/>
            <w:left w:val="none" w:sz="0" w:space="0" w:color="auto"/>
            <w:bottom w:val="none" w:sz="0" w:space="0" w:color="auto"/>
            <w:right w:val="none" w:sz="0" w:space="0" w:color="auto"/>
          </w:divBdr>
        </w:div>
      </w:divsChild>
    </w:div>
    <w:div w:id="1944267069">
      <w:bodyDiv w:val="1"/>
      <w:marLeft w:val="0"/>
      <w:marRight w:val="0"/>
      <w:marTop w:val="0"/>
      <w:marBottom w:val="0"/>
      <w:divBdr>
        <w:top w:val="none" w:sz="0" w:space="0" w:color="auto"/>
        <w:left w:val="none" w:sz="0" w:space="0" w:color="auto"/>
        <w:bottom w:val="none" w:sz="0" w:space="0" w:color="auto"/>
        <w:right w:val="none" w:sz="0" w:space="0" w:color="auto"/>
      </w:divBdr>
    </w:div>
    <w:div w:id="2000882543">
      <w:bodyDiv w:val="1"/>
      <w:marLeft w:val="0"/>
      <w:marRight w:val="0"/>
      <w:marTop w:val="0"/>
      <w:marBottom w:val="0"/>
      <w:divBdr>
        <w:top w:val="none" w:sz="0" w:space="0" w:color="auto"/>
        <w:left w:val="none" w:sz="0" w:space="0" w:color="auto"/>
        <w:bottom w:val="none" w:sz="0" w:space="0" w:color="auto"/>
        <w:right w:val="none" w:sz="0" w:space="0" w:color="auto"/>
      </w:divBdr>
      <w:divsChild>
        <w:div w:id="248585402">
          <w:marLeft w:val="0"/>
          <w:marRight w:val="0"/>
          <w:marTop w:val="0"/>
          <w:marBottom w:val="0"/>
          <w:divBdr>
            <w:top w:val="none" w:sz="0" w:space="0" w:color="auto"/>
            <w:left w:val="none" w:sz="0" w:space="0" w:color="auto"/>
            <w:bottom w:val="none" w:sz="0" w:space="0" w:color="auto"/>
            <w:right w:val="none" w:sz="0" w:space="0" w:color="auto"/>
          </w:divBdr>
        </w:div>
        <w:div w:id="491288812">
          <w:marLeft w:val="0"/>
          <w:marRight w:val="0"/>
          <w:marTop w:val="0"/>
          <w:marBottom w:val="0"/>
          <w:divBdr>
            <w:top w:val="none" w:sz="0" w:space="0" w:color="auto"/>
            <w:left w:val="none" w:sz="0" w:space="0" w:color="auto"/>
            <w:bottom w:val="none" w:sz="0" w:space="0" w:color="auto"/>
            <w:right w:val="none" w:sz="0" w:space="0" w:color="auto"/>
          </w:divBdr>
        </w:div>
        <w:div w:id="555437580">
          <w:marLeft w:val="0"/>
          <w:marRight w:val="0"/>
          <w:marTop w:val="0"/>
          <w:marBottom w:val="0"/>
          <w:divBdr>
            <w:top w:val="none" w:sz="0" w:space="0" w:color="auto"/>
            <w:left w:val="none" w:sz="0" w:space="0" w:color="auto"/>
            <w:bottom w:val="none" w:sz="0" w:space="0" w:color="auto"/>
            <w:right w:val="none" w:sz="0" w:space="0" w:color="auto"/>
          </w:divBdr>
        </w:div>
        <w:div w:id="1316759173">
          <w:marLeft w:val="0"/>
          <w:marRight w:val="0"/>
          <w:marTop w:val="0"/>
          <w:marBottom w:val="0"/>
          <w:divBdr>
            <w:top w:val="none" w:sz="0" w:space="0" w:color="auto"/>
            <w:left w:val="none" w:sz="0" w:space="0" w:color="auto"/>
            <w:bottom w:val="none" w:sz="0" w:space="0" w:color="auto"/>
            <w:right w:val="none" w:sz="0" w:space="0" w:color="auto"/>
          </w:divBdr>
        </w:div>
        <w:div w:id="1596785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www.health.gov.au/resources/publications/quarterly-financial-report-food-and-nutrition-reporting-explanatory-notes?language=en" TargetMode="External"/><Relationship Id="rId3" Type="http://schemas.openxmlformats.org/officeDocument/2006/relationships/customXml" Target="../customXml/item3.xml"/><Relationship Id="rId21" Type="http://schemas.openxmlformats.org/officeDocument/2006/relationships/hyperlink" Target="mailto:formsadministration@health.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health.gov.au/resources/collections/quarterly-financial-report-resources?language=en"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yperlink" Target="https://www.health.gov.au/our-work/government-provider-management-system-gp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gov.au/resources/collections/quarterly-financial-report-resources?language=en"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QFRACFRHelp@health.gov.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health.gov.au/resources/collections/financial-performance-of-the-australian-aged-care-secto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CFRQFRQueries@Health.gov.au" TargetMode="External"/><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5"/>
      </a:dk1>
      <a:lt1>
        <a:srgbClr val="F1F2F2"/>
      </a:lt1>
      <a:dk2>
        <a:srgbClr val="1E1545"/>
      </a:dk2>
      <a:lt2>
        <a:srgbClr val="F1F2F2"/>
      </a:lt2>
      <a:accent1>
        <a:srgbClr val="2AB1BB"/>
      </a:accent1>
      <a:accent2>
        <a:srgbClr val="78BE43"/>
      </a:accent2>
      <a:accent3>
        <a:srgbClr val="8C5AA5"/>
      </a:accent3>
      <a:accent4>
        <a:srgbClr val="DA576C"/>
      </a:accent4>
      <a:accent5>
        <a:srgbClr val="F26A2B"/>
      </a:accent5>
      <a:accent6>
        <a:srgbClr val="97A926"/>
      </a:accent6>
      <a:hlink>
        <a:srgbClr val="2AB1BB"/>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Proposal" ma:contentTypeID="0x01010074D0C9023F11DD4491EC4C53128AF42F01006C40B5ED74B3414DB5576316C7BFD36C" ma:contentTypeVersion="11" ma:contentTypeDescription="Create project proposal document" ma:contentTypeScope="" ma:versionID="24bc94ab6679af39be270b843e948f52">
  <xsd:schema xmlns:xsd="http://www.w3.org/2001/XMLSchema" xmlns:xs="http://www.w3.org/2001/XMLSchema" xmlns:p="http://schemas.microsoft.com/office/2006/metadata/properties" xmlns:ns2="1968325b-ff37-4c12-8874-b019e0ec7e46" xmlns:ns3="5e7f40d8-cffe-4c78-aa89-cf3a75383874" targetNamespace="http://schemas.microsoft.com/office/2006/metadata/properties" ma:root="true" ma:fieldsID="c7d9e840f7ac0f8b650bd152f8f947a0" ns2:_="" ns3:_="">
    <xsd:import namespace="1968325b-ff37-4c12-8874-b019e0ec7e46"/>
    <xsd:import namespace="5e7f40d8-cffe-4c78-aa89-cf3a75383874"/>
    <xsd:element name="properties">
      <xsd:complexType>
        <xsd:sequence>
          <xsd:element name="documentManagement">
            <xsd:complexType>
              <xsd:all>
                <xsd:element ref="ns2:Project_x0020_Name" minOccurs="0"/>
                <xsd:element ref="ns2:Project_x0020_Executive" minOccurs="0"/>
                <xsd:element ref="ns2:Project_x0020_Manager" minOccurs="0"/>
                <xsd:element ref="ns2:Executive_x0020_Sponsor" minOccurs="0"/>
                <xsd:element ref="ns3:Trim_x0020_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8325b-ff37-4c12-8874-b019e0ec7e46" elementFormDefault="qualified">
    <xsd:import namespace="http://schemas.microsoft.com/office/2006/documentManagement/types"/>
    <xsd:import namespace="http://schemas.microsoft.com/office/infopath/2007/PartnerControls"/>
    <xsd:element name="Project_x0020_Name" ma:index="3" nillable="true" ma:displayName="Project Name" ma:internalName="Project_x0020_Name" ma:readOnly="false">
      <xsd:simpleType>
        <xsd:restriction base="dms:Text">
          <xsd:maxLength value="255"/>
        </xsd:restriction>
      </xsd:simpleType>
    </xsd:element>
    <xsd:element name="Project_x0020_Executive" ma:index="4" nillable="true" ma:displayName="Project Executive" ma:internalName="Project_x0020_Executive" ma:readOnly="false">
      <xsd:simpleType>
        <xsd:restriction base="dms:Text">
          <xsd:maxLength value="255"/>
        </xsd:restriction>
      </xsd:simpleType>
    </xsd:element>
    <xsd:element name="Project_x0020_Manager" ma:index="5" nillable="true" ma:displayName="Project Manager" ma:internalName="Project_x0020_Manager" ma:readOnly="false">
      <xsd:simpleType>
        <xsd:restriction base="dms:Text">
          <xsd:maxLength value="255"/>
        </xsd:restriction>
      </xsd:simpleType>
    </xsd:element>
    <xsd:element name="Executive_x0020_Sponsor" ma:index="6" nillable="true" ma:displayName="Executive Sponsor" ma:description="Provide the name and title of the executive proposing this project" ma:internalName="Executive_x0020_Sponso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7f40d8-cffe-4c78-aa89-cf3a75383874" elementFormDefault="qualified">
    <xsd:import namespace="http://schemas.microsoft.com/office/2006/documentManagement/types"/>
    <xsd:import namespace="http://schemas.microsoft.com/office/infopath/2007/PartnerControls"/>
    <xsd:element name="Trim_x0020_Reference" ma:index="13" nillable="true" ma:displayName="Trim Reference" ma:description="Document reference in TRIM" ma:internalName="Trim_x0020_Referenc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Executive xmlns="1968325b-ff37-4c12-8874-b019e0ec7e46" xsi:nil="true"/>
    <Project_x0020_Manager xmlns="1968325b-ff37-4c12-8874-b019e0ec7e46" xsi:nil="true"/>
    <Executive_x0020_Sponsor xmlns="1968325b-ff37-4c12-8874-b019e0ec7e46" xsi:nil="true"/>
    <Project_x0020_Name xmlns="1968325b-ff37-4c12-8874-b019e0ec7e46" xsi:nil="true"/>
    <Trim_x0020_Reference xmlns="5e7f40d8-cffe-4c78-aa89-cf3a7538387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91F88-D080-47A0-890C-48D14ABF1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8325b-ff37-4c12-8874-b019e0ec7e46"/>
    <ds:schemaRef ds:uri="5e7f40d8-cffe-4c78-aa89-cf3a75383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1968325b-ff37-4c12-8874-b019e0ec7e46"/>
    <ds:schemaRef ds:uri="5e7f40d8-cffe-4c78-aa89-cf3a75383874"/>
  </ds:schemaRefs>
</ds:datastoreItem>
</file>

<file path=customXml/itemProps3.xml><?xml version="1.0" encoding="utf-8"?>
<ds:datastoreItem xmlns:ds="http://schemas.openxmlformats.org/officeDocument/2006/customXml" ds:itemID="{0FB9117E-35B3-4AB3-A88F-834EF93E30D0}">
  <ds:schemaRefs>
    <ds:schemaRef ds:uri="http://schemas.openxmlformats.org/officeDocument/2006/bibliography"/>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6307</Words>
  <Characters>35951</Characters>
  <Application>Microsoft Office Word</Application>
  <DocSecurity>0</DocSecurity>
  <Lines>299</Lines>
  <Paragraphs>84</Paragraphs>
  <ScaleCrop>false</ScaleCrop>
  <HeadingPairs>
    <vt:vector size="4" baseType="variant">
      <vt:variant>
        <vt:lpstr>Title</vt:lpstr>
      </vt:variant>
      <vt:variant>
        <vt:i4>1</vt:i4>
      </vt:variant>
      <vt:variant>
        <vt:lpstr>Headings</vt:lpstr>
      </vt:variant>
      <vt:variant>
        <vt:i4>78</vt:i4>
      </vt:variant>
    </vt:vector>
  </HeadingPairs>
  <TitlesOfParts>
    <vt:vector size="79" baseType="lpstr">
      <vt:lpstr>Quarterly Financial Report – Guidance and FAQs - Q1 - 2026-27</vt:lpstr>
      <vt:lpstr>1. Introduction to the Quarterly Financial Report</vt:lpstr>
      <vt:lpstr>    1.1 Purpose</vt:lpstr>
      <vt:lpstr>    1.2 Background</vt:lpstr>
      <vt:lpstr>    1.3 Reporting requirements</vt:lpstr>
      <vt:lpstr>    1.4 Scope of the QFR</vt:lpstr>
      <vt:lpstr>    1.5 Declaration</vt:lpstr>
      <vt:lpstr>    1.6 Submission Due Dates</vt:lpstr>
      <vt:lpstr>    1.7 Late Submissions</vt:lpstr>
      <vt:lpstr>    1.8 Non-compliance with reporting obligations </vt:lpstr>
      <vt:lpstr>    1.9 Completing the QFR</vt:lpstr>
      <vt:lpstr>        1.9.1 Entering Data </vt:lpstr>
      <vt:lpstr>    1.10 Financial Reporting Help Desks</vt:lpstr>
      <vt:lpstr>    1.11 Other resources</vt:lpstr>
      <vt:lpstr>2. Changes to the QFR </vt:lpstr>
      <vt:lpstr>    2.1 Changes to the QFR Quarter 1 2026-27</vt:lpstr>
      <vt:lpstr>        2.1.1 New and removed Residential Costs and Hours data items</vt:lpstr>
      <vt:lpstr>        2.1.2 New Residential Costs Per Resident Per Day data items</vt:lpstr>
      <vt:lpstr>        2.1.3 Removal of Support at Home data items</vt:lpstr>
      <vt:lpstr>        2.1.4 Removal of Food and Nutrition data item</vt:lpstr>
      <vt:lpstr>3. General guidance &amp; FAQs</vt:lpstr>
      <vt:lpstr>    3.1 General FAQs </vt:lpstr>
      <vt:lpstr>        3.1.1 Does the QFR replace the Aged Care Financial Report (ACFR)? </vt:lpstr>
      <vt:lpstr>        3.1.2 Is the reporting format of the QFR similar to the ACFR? </vt:lpstr>
      <vt:lpstr>        3.1.3 Does the QFR need to match the ACFR? </vt:lpstr>
      <vt:lpstr>        3.1.4 Is a QFR required for providers that have more than one location/company o</vt:lpstr>
      <vt:lpstr>        3.1.5 If a provider has exited or entered the market in the quarter do they need</vt:lpstr>
      <vt:lpstr>        3.1.6 If a provider has sold their business during the quarter to a new business</vt:lpstr>
      <vt:lpstr>        3.1.7 Is the QFR a cumulative report? </vt:lpstr>
      <vt:lpstr>        3.1.8 Why do small operations have to report in the same way as large organisati</vt:lpstr>
      <vt:lpstr>        3.1.9 Does the QFR application have a data upload function? </vt:lpstr>
      <vt:lpstr>        3.1.10 If an error has been detected after report submission, should a correctio</vt:lpstr>
      <vt:lpstr>        3.1.11 Would the department be open to a condensed QFR for Q4? This would reduce</vt:lpstr>
      <vt:lpstr>4. Viability and Prudential Compliance Questions</vt:lpstr>
      <vt:lpstr>    4.1 Government providers </vt:lpstr>
      <vt:lpstr>    4.2 FAQs</vt:lpstr>
      <vt:lpstr>        4.2.1 If a residential or Support at Home provider is facing financial stress bu</vt:lpstr>
      <vt:lpstr>        4.2.2 Does "unable to refund any Refundable Accommodation Deposits (RADs) in the</vt:lpstr>
      <vt:lpstr>5. Year to Date Financial Statements </vt:lpstr>
      <vt:lpstr>    5.1 Government providers</vt:lpstr>
      <vt:lpstr>    5.2 FAQs</vt:lpstr>
      <vt:lpstr>        5.2.1 Is the layout of the “YTD Financial Statements” in the QFR the same as the</vt:lpstr>
      <vt:lpstr>        5.2.2 How are corporate recharges treated when reporting at the registered provi</vt:lpstr>
      <vt:lpstr>        Allocation across the various segments</vt:lpstr>
      <vt:lpstr>        5.2.3 What is the purpose of doing an allocation between the various business se</vt:lpstr>
      <vt:lpstr>        5.2.4 What is intended to be reported in the column titled “Other” in the “YTD F</vt:lpstr>
      <vt:lpstr>        5.2.5 Does the Veteran’s Supplement need to be included in the “Community” colum</vt:lpstr>
      <vt:lpstr>        5.2.6 Where should providers report financial information relating to mental hea</vt:lpstr>
      <vt:lpstr>        5.2.7 If NDIS services are provided by an aged care provider through the same le</vt:lpstr>
      <vt:lpstr>        5.2.8 Where do providers allocate retirement village assets/liabilities and prof</vt:lpstr>
      <vt:lpstr>        5.2.9 Does the QFR require information on income and expenditure on services bro</vt:lpstr>
      <vt:lpstr>        5.2.10 If Support at Home is a component of the business and doesn’t have a sepa</vt:lpstr>
      <vt:lpstr>        Unspent Funds – Home Care Packages</vt:lpstr>
      <vt:lpstr>        5.2.11 Do providers insert the balance of total home care unspent funds? </vt:lpstr>
      <vt:lpstr>6. Residential Costs and Hours</vt:lpstr>
      <vt:lpstr>    6.1 General guidance and FAQs</vt:lpstr>
      <vt:lpstr>        Training expenses and hours</vt:lpstr>
      <vt:lpstr>        6.1.1 How are training expenses and hours reported for residential aged care sta</vt:lpstr>
      <vt:lpstr>        Non-worked hours</vt:lpstr>
      <vt:lpstr>        6.1.2 Why do non-worked hours have to be reported? </vt:lpstr>
      <vt:lpstr>        Bed Days</vt:lpstr>
      <vt:lpstr>        ‎6.1.3 How should “Operational Bed Days” be calculated in the report?  </vt:lpstr>
      <vt:lpstr>        ‎6.1.4 If a resident departs at 10am on a certain day, is the bed considered an </vt:lpstr>
      <vt:lpstr>        ‎6.1.5 Is social leave over 52 days in a year included in the occupancy for the </vt:lpstr>
      <vt:lpstr>        Hourly Rates of Pay</vt:lpstr>
      <vt:lpstr>        6.1.6 What are common errors identified in the hourly rates of pay data?</vt:lpstr>
      <vt:lpstr>        6.1.7 What date in the quarter are the wage rates based on?</vt:lpstr>
      <vt:lpstr>        6.1.8 Should a provider include wage rates for casual employees who are directly</vt:lpstr>
      <vt:lpstr>        6.1.9 Should agency workers (and workers brokered in from other organisations fo</vt:lpstr>
      <vt:lpstr>        6.1.10 How does the hourly wage rate data differ to the Direct Care Labour Cost?</vt:lpstr>
      <vt:lpstr>        6.1.11 How will the department improve hourly wage rates data collection?</vt:lpstr>
      <vt:lpstr>7. Support at Home Rates of Pay</vt:lpstr>
      <vt:lpstr>8. Food and Nutrition Costs</vt:lpstr>
      <vt:lpstr>    8.1 FAQs</vt:lpstr>
      <vt:lpstr>        8.1.1 Why are allied health labour costs and hours reported in both the Food and</vt:lpstr>
      <vt:lpstr>        8.1.2 What is the difference between internal delivery costs and external suppli</vt:lpstr>
      <vt:lpstr>        8.1.3 Are Regional Hospitality Managers hours included in Food and Nutrition rep</vt:lpstr>
      <vt:lpstr>        8.1.4 Does ‘Food and cooking ingredients – other’ exclude non-edible catering co</vt:lpstr>
      <vt:lpstr>        8.1.5 Where does the cost for ‘thickeners’ go? (These are additives so that peop</vt:lpstr>
    </vt:vector>
  </TitlesOfParts>
  <Manager/>
  <Company/>
  <LinksUpToDate>false</LinksUpToDate>
  <CharactersWithSpaces>42174</CharactersWithSpaces>
  <SharedDoc>false</SharedDoc>
  <HyperlinkBase/>
  <HLinks>
    <vt:vector size="96" baseType="variant">
      <vt:variant>
        <vt:i4>2752611</vt:i4>
      </vt:variant>
      <vt:variant>
        <vt:i4>72</vt:i4>
      </vt:variant>
      <vt:variant>
        <vt:i4>0</vt:i4>
      </vt:variant>
      <vt:variant>
        <vt:i4>5</vt:i4>
      </vt:variant>
      <vt:variant>
        <vt:lpwstr>https://www.health.gov.au/resources/publications/quarterly-financial-report-food-and-nutrition-reporting-explanatory-notes?language=en</vt:lpwstr>
      </vt:variant>
      <vt:variant>
        <vt:lpwstr/>
      </vt:variant>
      <vt:variant>
        <vt:i4>5308501</vt:i4>
      </vt:variant>
      <vt:variant>
        <vt:i4>69</vt:i4>
      </vt:variant>
      <vt:variant>
        <vt:i4>0</vt:i4>
      </vt:variant>
      <vt:variant>
        <vt:i4>5</vt:i4>
      </vt:variant>
      <vt:variant>
        <vt:lpwstr>https://www.health.gov.au/resources/collections/quarterly-financial-report-resources?language=en</vt:lpwstr>
      </vt:variant>
      <vt:variant>
        <vt:lpwstr/>
      </vt:variant>
      <vt:variant>
        <vt:i4>5308501</vt:i4>
      </vt:variant>
      <vt:variant>
        <vt:i4>66</vt:i4>
      </vt:variant>
      <vt:variant>
        <vt:i4>0</vt:i4>
      </vt:variant>
      <vt:variant>
        <vt:i4>5</vt:i4>
      </vt:variant>
      <vt:variant>
        <vt:lpwstr>https://www.health.gov.au/resources/collections/quarterly-financial-report-resources?language=en</vt:lpwstr>
      </vt:variant>
      <vt:variant>
        <vt:lpwstr/>
      </vt:variant>
      <vt:variant>
        <vt:i4>131198</vt:i4>
      </vt:variant>
      <vt:variant>
        <vt:i4>63</vt:i4>
      </vt:variant>
      <vt:variant>
        <vt:i4>0</vt:i4>
      </vt:variant>
      <vt:variant>
        <vt:i4>5</vt:i4>
      </vt:variant>
      <vt:variant>
        <vt:lpwstr>mailto:QFRACFRHelp@health.gov.au</vt:lpwstr>
      </vt:variant>
      <vt:variant>
        <vt:lpwstr/>
      </vt:variant>
      <vt:variant>
        <vt:i4>5570593</vt:i4>
      </vt:variant>
      <vt:variant>
        <vt:i4>60</vt:i4>
      </vt:variant>
      <vt:variant>
        <vt:i4>0</vt:i4>
      </vt:variant>
      <vt:variant>
        <vt:i4>5</vt:i4>
      </vt:variant>
      <vt:variant>
        <vt:lpwstr>mailto:ACFRQFRQueries@Health.gov.au</vt:lpwstr>
      </vt:variant>
      <vt:variant>
        <vt:lpwstr/>
      </vt:variant>
      <vt:variant>
        <vt:i4>1310817</vt:i4>
      </vt:variant>
      <vt:variant>
        <vt:i4>57</vt:i4>
      </vt:variant>
      <vt:variant>
        <vt:i4>0</vt:i4>
      </vt:variant>
      <vt:variant>
        <vt:i4>5</vt:i4>
      </vt:variant>
      <vt:variant>
        <vt:lpwstr>mailto:formsadministration@health.gov.au</vt:lpwstr>
      </vt:variant>
      <vt:variant>
        <vt:lpwstr/>
      </vt:variant>
      <vt:variant>
        <vt:i4>5570583</vt:i4>
      </vt:variant>
      <vt:variant>
        <vt:i4>54</vt:i4>
      </vt:variant>
      <vt:variant>
        <vt:i4>0</vt:i4>
      </vt:variant>
      <vt:variant>
        <vt:i4>5</vt:i4>
      </vt:variant>
      <vt:variant>
        <vt:lpwstr>https://www.health.gov.au/our-work/government-provider-management-system-gpms</vt:lpwstr>
      </vt:variant>
      <vt:variant>
        <vt:lpwstr/>
      </vt:variant>
      <vt:variant>
        <vt:i4>4325385</vt:i4>
      </vt:variant>
      <vt:variant>
        <vt:i4>51</vt:i4>
      </vt:variant>
      <vt:variant>
        <vt:i4>0</vt:i4>
      </vt:variant>
      <vt:variant>
        <vt:i4>5</vt:i4>
      </vt:variant>
      <vt:variant>
        <vt:lpwstr>https://www.health.gov.au/resources/collections/financial-performance-of-the-australian-aged-care-sector</vt:lpwstr>
      </vt:variant>
      <vt:variant>
        <vt:lpwstr>quarterly-financial-snapshot-qfs-of-the-aged-care-sector-reports</vt:lpwstr>
      </vt:variant>
      <vt:variant>
        <vt:i4>1310771</vt:i4>
      </vt:variant>
      <vt:variant>
        <vt:i4>44</vt:i4>
      </vt:variant>
      <vt:variant>
        <vt:i4>0</vt:i4>
      </vt:variant>
      <vt:variant>
        <vt:i4>5</vt:i4>
      </vt:variant>
      <vt:variant>
        <vt:lpwstr/>
      </vt:variant>
      <vt:variant>
        <vt:lpwstr>_Toc236740378</vt:lpwstr>
      </vt:variant>
      <vt:variant>
        <vt:i4>1310771</vt:i4>
      </vt:variant>
      <vt:variant>
        <vt:i4>38</vt:i4>
      </vt:variant>
      <vt:variant>
        <vt:i4>0</vt:i4>
      </vt:variant>
      <vt:variant>
        <vt:i4>5</vt:i4>
      </vt:variant>
      <vt:variant>
        <vt:lpwstr/>
      </vt:variant>
      <vt:variant>
        <vt:lpwstr>_Toc236740377</vt:lpwstr>
      </vt:variant>
      <vt:variant>
        <vt:i4>1310771</vt:i4>
      </vt:variant>
      <vt:variant>
        <vt:i4>32</vt:i4>
      </vt:variant>
      <vt:variant>
        <vt:i4>0</vt:i4>
      </vt:variant>
      <vt:variant>
        <vt:i4>5</vt:i4>
      </vt:variant>
      <vt:variant>
        <vt:lpwstr/>
      </vt:variant>
      <vt:variant>
        <vt:lpwstr>_Toc236740376</vt:lpwstr>
      </vt:variant>
      <vt:variant>
        <vt:i4>1310771</vt:i4>
      </vt:variant>
      <vt:variant>
        <vt:i4>26</vt:i4>
      </vt:variant>
      <vt:variant>
        <vt:i4>0</vt:i4>
      </vt:variant>
      <vt:variant>
        <vt:i4>5</vt:i4>
      </vt:variant>
      <vt:variant>
        <vt:lpwstr/>
      </vt:variant>
      <vt:variant>
        <vt:lpwstr>_Toc236740375</vt:lpwstr>
      </vt:variant>
      <vt:variant>
        <vt:i4>1310771</vt:i4>
      </vt:variant>
      <vt:variant>
        <vt:i4>20</vt:i4>
      </vt:variant>
      <vt:variant>
        <vt:i4>0</vt:i4>
      </vt:variant>
      <vt:variant>
        <vt:i4>5</vt:i4>
      </vt:variant>
      <vt:variant>
        <vt:lpwstr/>
      </vt:variant>
      <vt:variant>
        <vt:lpwstr>_Toc236740374</vt:lpwstr>
      </vt:variant>
      <vt:variant>
        <vt:i4>1310771</vt:i4>
      </vt:variant>
      <vt:variant>
        <vt:i4>14</vt:i4>
      </vt:variant>
      <vt:variant>
        <vt:i4>0</vt:i4>
      </vt:variant>
      <vt:variant>
        <vt:i4>5</vt:i4>
      </vt:variant>
      <vt:variant>
        <vt:lpwstr/>
      </vt:variant>
      <vt:variant>
        <vt:lpwstr>_Toc236740373</vt:lpwstr>
      </vt:variant>
      <vt:variant>
        <vt:i4>1310771</vt:i4>
      </vt:variant>
      <vt:variant>
        <vt:i4>8</vt:i4>
      </vt:variant>
      <vt:variant>
        <vt:i4>0</vt:i4>
      </vt:variant>
      <vt:variant>
        <vt:i4>5</vt:i4>
      </vt:variant>
      <vt:variant>
        <vt:lpwstr/>
      </vt:variant>
      <vt:variant>
        <vt:lpwstr>_Toc236740372</vt:lpwstr>
      </vt:variant>
      <vt:variant>
        <vt:i4>1310771</vt:i4>
      </vt:variant>
      <vt:variant>
        <vt:i4>2</vt:i4>
      </vt:variant>
      <vt:variant>
        <vt:i4>0</vt:i4>
      </vt:variant>
      <vt:variant>
        <vt:i4>5</vt:i4>
      </vt:variant>
      <vt:variant>
        <vt:lpwstr/>
      </vt:variant>
      <vt:variant>
        <vt:lpwstr>_Toc236740371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Financial Report – Q4 2025-26 – Guidance and FAQs</dc:title>
  <dc:subject>Aged care</dc:subject>
  <dc:creator>Australian Government Department of Health, Disability and Ageing</dc:creator>
  <cp:keywords>Aged Care, Senior Australians</cp:keywords>
  <dc:description/>
  <cp:lastModifiedBy>MASCHKE, Elvia</cp:lastModifiedBy>
  <cp:revision>13</cp:revision>
  <cp:lastPrinted>2022-06-30T00:44:00Z</cp:lastPrinted>
  <dcterms:created xsi:type="dcterms:W3CDTF">2026-08-05T04:24:00Z</dcterms:created>
  <dcterms:modified xsi:type="dcterms:W3CDTF">2026-08-06T00:33:00Z</dcterms:modified>
  <cp:category>Aged Care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0x01010074D0C9023F11DD4491EC4C53128AF42F01006C40B5ED74B3414DB5576316C7BFD36C</vt:lpwstr>
  </property>
  <property fmtid="{D5CDD505-2E9C-101B-9397-08002B2CF9AE}" pid="5" name="Section">
    <vt:lpwstr>5;#PCPD CC Corporate Communication SN|73cff0d0-7b20-43e0-ad96-75a3b55de641</vt:lpwstr>
  </property>
  <property fmtid="{D5CDD505-2E9C-101B-9397-08002B2CF9AE}" pid="6" name="_dlc_DocIdItemGuid">
    <vt:lpwstr>c035f51b-1153-45fd-97fb-3efc14ccd009</vt:lpwstr>
  </property>
  <property fmtid="{D5CDD505-2E9C-101B-9397-08002B2CF9AE}" pid="7" name="Keywords1">
    <vt:lpwstr>30;#Aged care|15037316-ccb1-4430-a7dd-5c4031a389b1;#4;#visual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Order">
    <vt:r8>4995700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WAH-7Dec">
    <vt:lpwstr>, </vt:lpwstr>
  </property>
  <property fmtid="{D5CDD505-2E9C-101B-9397-08002B2CF9AE}" pid="17" name="TriggerFlowInfo">
    <vt:lpwstr/>
  </property>
  <property fmtid="{D5CDD505-2E9C-101B-9397-08002B2CF9AE}" pid="18" name="Contact">
    <vt:lpwstr>104;#Aged Care Communications and Change|e5d142d6-a25f-4b81-a8a4-d8f9e5839eea</vt:lpwstr>
  </property>
  <property fmtid="{D5CDD505-2E9C-101B-9397-08002B2CF9AE}" pid="19" name="p76df81b8fed4a2fa2af18761f9ff90d">
    <vt:lpwstr>Aged care|15037316-ccb1-4430-a7dd-5c4031a389b1;visual identity|a54ebda2-a0fd-45ec-8fc0-1cf31001b526</vt:lpwstr>
  </property>
  <property fmtid="{D5CDD505-2E9C-101B-9397-08002B2CF9AE}" pid="20" name="Intranet">
    <vt:bool>true</vt:bool>
  </property>
  <property fmtid="{D5CDD505-2E9C-101B-9397-08002B2CF9AE}" pid="21" name="Int_x002d_InformationType">
    <vt:lpwstr/>
  </property>
  <property fmtid="{D5CDD505-2E9C-101B-9397-08002B2CF9AE}" pid="22" name="pfd27f99efda4409b63228bea026394d">
    <vt:lpwstr>Template|0635ea83-9a41-497c-9b11-d9d7178dcab7</vt:lpwstr>
  </property>
  <property fmtid="{D5CDD505-2E9C-101B-9397-08002B2CF9AE}" pid="23" name="Int_x002d_Topics">
    <vt:lpwstr/>
  </property>
  <property fmtid="{D5CDD505-2E9C-101B-9397-08002B2CF9AE}" pid="24" name="Last reviewed">
    <vt:filetime>2023-11-28T13:00:00Z</vt:filetime>
  </property>
  <property fmtid="{D5CDD505-2E9C-101B-9397-08002B2CF9AE}" pid="25" name="jf042baad2b143719d8a0cfd36411dfb">
    <vt:lpwstr>Aged Care Communications and Change|e5d142d6-a25f-4b81-a8a4-d8f9e5839eea</vt:lpwstr>
  </property>
  <property fmtid="{D5CDD505-2E9C-101B-9397-08002B2CF9AE}" pid="26" name="SharedWithUsers">
    <vt:lpwstr>3338;#Andrew Glenn</vt:lpwstr>
  </property>
  <property fmtid="{D5CDD505-2E9C-101B-9397-08002B2CF9AE}" pid="27" name="Int_x002d_Contact">
    <vt:lpwstr/>
  </property>
  <property fmtid="{D5CDD505-2E9C-101B-9397-08002B2CF9AE}" pid="28" name="Int-Contact">
    <vt:lpwstr>104;#|e5d142d6-a25f-4b81-a8a4-d8f9e5839eea</vt:lpwstr>
  </property>
  <property fmtid="{D5CDD505-2E9C-101B-9397-08002B2CF9AE}" pid="29" name="Int-InformationType">
    <vt:lpwstr>42;#|0635ea83-9a41-497c-9b11-d9d7178dcab7</vt:lpwstr>
  </property>
  <property fmtid="{D5CDD505-2E9C-101B-9397-08002B2CF9AE}" pid="30" name="Int-Topics">
    <vt:lpwstr>4;#visual identity|a54ebda2-a0fd-45ec-8fc0-1cf31001b526;#30;#Aged care|15037316-ccb1-4430-a7dd-5c4031a389b1</vt:lpwstr>
  </property>
  <property fmtid="{D5CDD505-2E9C-101B-9397-08002B2CF9AE}" pid="31" name="lcf76f155ced4ddcb4097134ff3c332f">
    <vt:lpwstr/>
  </property>
  <property fmtid="{D5CDD505-2E9C-101B-9397-08002B2CF9AE}" pid="32" name="ClassificationContentMarkingHeaderShapeIds">
    <vt:lpwstr>1a79a8d2,f2e9d28,369205a6,5ae2052d,10d6507d,4c101858,6db5ea59</vt:lpwstr>
  </property>
  <property fmtid="{D5CDD505-2E9C-101B-9397-08002B2CF9AE}" pid="33" name="ClassificationContentMarkingHeaderFontProps">
    <vt:lpwstr>#ff0000,12,Aptos</vt:lpwstr>
  </property>
  <property fmtid="{D5CDD505-2E9C-101B-9397-08002B2CF9AE}" pid="34" name="ClassificationContentMarkingHeaderText">
    <vt:lpwstr>OFFICIAL</vt:lpwstr>
  </property>
  <property fmtid="{D5CDD505-2E9C-101B-9397-08002B2CF9AE}" pid="35" name="ClassificationContentMarkingFooterShapeIds">
    <vt:lpwstr>16c6eeb1,7227c833,672fc6e8,3db04959,11e5a51d,443a2726</vt:lpwstr>
  </property>
  <property fmtid="{D5CDD505-2E9C-101B-9397-08002B2CF9AE}" pid="36" name="ClassificationContentMarkingFooterFontProps">
    <vt:lpwstr>#ff0000,12,Aptos</vt:lpwstr>
  </property>
  <property fmtid="{D5CDD505-2E9C-101B-9397-08002B2CF9AE}" pid="37" name="ClassificationContentMarkingFooterText">
    <vt:lpwstr>OFFICIAL</vt:lpwstr>
  </property>
  <property fmtid="{D5CDD505-2E9C-101B-9397-08002B2CF9AE}" pid="38" name="MSIP_Label_7cd3e8b9-ffed-43a8-b7f4-cc2fa0382d36_Enabled">
    <vt:lpwstr>true</vt:lpwstr>
  </property>
  <property fmtid="{D5CDD505-2E9C-101B-9397-08002B2CF9AE}" pid="39" name="MSIP_Label_7cd3e8b9-ffed-43a8-b7f4-cc2fa0382d36_SetDate">
    <vt:lpwstr>2025-08-25T02:59:32Z</vt:lpwstr>
  </property>
  <property fmtid="{D5CDD505-2E9C-101B-9397-08002B2CF9AE}" pid="40" name="MSIP_Label_7cd3e8b9-ffed-43a8-b7f4-cc2fa0382d36_Method">
    <vt:lpwstr>Privileged</vt:lpwstr>
  </property>
  <property fmtid="{D5CDD505-2E9C-101B-9397-08002B2CF9AE}" pid="41" name="MSIP_Label_7cd3e8b9-ffed-43a8-b7f4-cc2fa0382d36_Name">
    <vt:lpwstr>O</vt:lpwstr>
  </property>
  <property fmtid="{D5CDD505-2E9C-101B-9397-08002B2CF9AE}" pid="42" name="MSIP_Label_7cd3e8b9-ffed-43a8-b7f4-cc2fa0382d36_SiteId">
    <vt:lpwstr>34a3929c-73cf-4954-abfe-147dc3517892</vt:lpwstr>
  </property>
  <property fmtid="{D5CDD505-2E9C-101B-9397-08002B2CF9AE}" pid="43" name="MSIP_Label_7cd3e8b9-ffed-43a8-b7f4-cc2fa0382d36_ActionId">
    <vt:lpwstr>63444867-fe25-44f4-a664-2a7f614f0d2e</vt:lpwstr>
  </property>
  <property fmtid="{D5CDD505-2E9C-101B-9397-08002B2CF9AE}" pid="44" name="MSIP_Label_7cd3e8b9-ffed-43a8-b7f4-cc2fa0382d36_ContentBits">
    <vt:lpwstr>3</vt:lpwstr>
  </property>
  <property fmtid="{D5CDD505-2E9C-101B-9397-08002B2CF9AE}" pid="45" name="MSIP_Label_7cd3e8b9-ffed-43a8-b7f4-cc2fa0382d36_Tag">
    <vt:lpwstr>10, 0, 1, 2</vt:lpwstr>
  </property>
  <property fmtid="{D5CDD505-2E9C-101B-9397-08002B2CF9AE}" pid="46" name="docLang">
    <vt:lpwstr>en</vt:lpwstr>
  </property>
  <property fmtid="{D5CDD505-2E9C-101B-9397-08002B2CF9AE}" pid="47" name="TaxCatchAll">
    <vt:lpwstr/>
  </property>
</Properties>
</file>