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D109" w14:textId="3F4C906B" w:rsidR="00FF2210" w:rsidRDefault="1F1EB3EA" w:rsidP="004E71B5">
      <w:pPr>
        <w:pStyle w:val="Title"/>
      </w:pPr>
      <w:r>
        <w:rPr>
          <w:noProof/>
        </w:rPr>
        <w:drawing>
          <wp:anchor distT="0" distB="0" distL="114300" distR="114300" simplePos="0" relativeHeight="251658240" behindDoc="0" locked="0" layoutInCell="1" allowOverlap="1" wp14:anchorId="68527AA7" wp14:editId="4D1FF9C9">
            <wp:simplePos x="0" y="0"/>
            <wp:positionH relativeFrom="margin">
              <wp:align>left</wp:align>
            </wp:positionH>
            <wp:positionV relativeFrom="paragraph">
              <wp:posOffset>0</wp:posOffset>
            </wp:positionV>
            <wp:extent cx="3695700" cy="583565"/>
            <wp:effectExtent l="0" t="0" r="0" b="6985"/>
            <wp:wrapSquare wrapText="bothSides"/>
            <wp:docPr id="15562213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21343" name="Picture 1556221343"/>
                    <pic:cNvPicPr/>
                  </pic:nvPicPr>
                  <pic:blipFill>
                    <a:blip r:embed="rId11">
                      <a:extLst>
                        <a:ext uri="{28A0092B-C50C-407E-A947-70E740481C1C}">
                          <a14:useLocalDpi xmlns:a14="http://schemas.microsoft.com/office/drawing/2010/main"/>
                        </a:ext>
                      </a:extLst>
                    </a:blip>
                    <a:stretch>
                      <a:fillRect/>
                    </a:stretch>
                  </pic:blipFill>
                  <pic:spPr>
                    <a:xfrm>
                      <a:off x="0" y="0"/>
                      <a:ext cx="3695700" cy="583565"/>
                    </a:xfrm>
                    <a:prstGeom prst="rect">
                      <a:avLst/>
                    </a:prstGeom>
                  </pic:spPr>
                </pic:pic>
              </a:graphicData>
            </a:graphic>
            <wp14:sizeRelH relativeFrom="page">
              <wp14:pctWidth>0</wp14:pctWidth>
            </wp14:sizeRelH>
            <wp14:sizeRelV relativeFrom="page">
              <wp14:pctHeight>0</wp14:pctHeight>
            </wp14:sizeRelV>
          </wp:anchor>
        </w:drawing>
      </w:r>
    </w:p>
    <w:p w14:paraId="495E1C02" w14:textId="30BB1C36" w:rsidR="00591043" w:rsidRDefault="00591043" w:rsidP="004E71B5">
      <w:pPr>
        <w:pStyle w:val="Title"/>
      </w:pPr>
      <w:r w:rsidRPr="00FF2210">
        <w:t>National Nursing Workforce Strategy</w:t>
      </w:r>
    </w:p>
    <w:p w14:paraId="25B1D822" w14:textId="0D2B0D09" w:rsidR="00FF2210" w:rsidRPr="00FF2210" w:rsidRDefault="00FF2210" w:rsidP="00FF2210">
      <w:pPr>
        <w:rPr>
          <w:lang w:eastAsia="en-US"/>
        </w:rPr>
      </w:pPr>
      <w:r>
        <w:rPr>
          <w:noProof/>
          <w:lang w:eastAsia="en-US"/>
        </w:rPr>
        <w:drawing>
          <wp:inline distT="0" distB="0" distL="0" distR="0" wp14:anchorId="479FCCCA" wp14:editId="3308525F">
            <wp:extent cx="5778000" cy="6064116"/>
            <wp:effectExtent l="0" t="0" r="0" b="0"/>
            <wp:docPr id="520027561" name="Picture 4" descr="Healthcare workers in clinical and community settings, including nurses, a home care worker and a hospital support worker, representing a diverse healthcar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27561" name="Picture 4" descr="Healthcare workers in clinical and community settings, including nurses, a home care worker and a hospital support worker, representing a diverse healthcare workforce."/>
                    <pic:cNvPicPr/>
                  </pic:nvPicPr>
                  <pic:blipFill>
                    <a:blip r:embed="rId12" cstate="print">
                      <a:extLst>
                        <a:ext uri="{28A0092B-C50C-407E-A947-70E740481C1C}">
                          <a14:useLocalDpi xmlns:a14="http://schemas.microsoft.com/office/drawing/2010/main" val="0"/>
                        </a:ext>
                      </a:extLst>
                    </a:blip>
                    <a:srcRect t="1440" b="1440"/>
                    <a:stretch>
                      <a:fillRect/>
                    </a:stretch>
                  </pic:blipFill>
                  <pic:spPr bwMode="auto">
                    <a:xfrm>
                      <a:off x="0" y="0"/>
                      <a:ext cx="5778000" cy="6064116"/>
                    </a:xfrm>
                    <a:prstGeom prst="rect">
                      <a:avLst/>
                    </a:prstGeom>
                    <a:ln>
                      <a:noFill/>
                    </a:ln>
                    <a:extLst>
                      <a:ext uri="{53640926-AAD7-44D8-BBD7-CCE9431645EC}">
                        <a14:shadowObscured xmlns:a14="http://schemas.microsoft.com/office/drawing/2010/main"/>
                      </a:ext>
                    </a:extLst>
                  </pic:spPr>
                </pic:pic>
              </a:graphicData>
            </a:graphic>
          </wp:inline>
        </w:drawing>
      </w:r>
    </w:p>
    <w:p w14:paraId="3A6567D9" w14:textId="77777777" w:rsidR="00591043" w:rsidRPr="00DC5568" w:rsidRDefault="00591043" w:rsidP="00591043">
      <w:pPr>
        <w:pStyle w:val="BodyText"/>
        <w:rPr>
          <w:b/>
        </w:rPr>
      </w:pPr>
      <w:r w:rsidRPr="00DC5568">
        <w:rPr>
          <w:b/>
        </w:rPr>
        <w:br w:type="page"/>
      </w:r>
    </w:p>
    <w:p w14:paraId="5F4DB19E" w14:textId="77777777" w:rsidR="00591043" w:rsidRPr="004B311F" w:rsidRDefault="00591043" w:rsidP="00C05564">
      <w:pPr>
        <w:pStyle w:val="DisclaimerHeading"/>
      </w:pPr>
      <w:r w:rsidRPr="004B311F">
        <w:lastRenderedPageBreak/>
        <w:t>Copyright</w:t>
      </w:r>
    </w:p>
    <w:p w14:paraId="42A3E6AC" w14:textId="77777777" w:rsidR="00591043" w:rsidRPr="00DC5568" w:rsidRDefault="00591043" w:rsidP="00C05564">
      <w:pPr>
        <w:pStyle w:val="DisclaimerBody"/>
      </w:pPr>
      <w:r w:rsidRPr="00DC5568">
        <w:t xml:space="preserve">© 2026 Commonwealth of Australia as represented by the Department of Health, Disability and Ageing </w:t>
      </w:r>
    </w:p>
    <w:p w14:paraId="24D51A05" w14:textId="77777777" w:rsidR="00591043" w:rsidRDefault="00591043" w:rsidP="00C05564">
      <w:pPr>
        <w:pStyle w:val="DisclaimerHeading"/>
      </w:pPr>
      <w:r w:rsidRPr="00DC5568">
        <w:t>Creative Commons Licence</w:t>
      </w:r>
    </w:p>
    <w:p w14:paraId="616CEE25" w14:textId="347A05C1" w:rsidR="00C85878" w:rsidRPr="00C85878" w:rsidRDefault="00C85878" w:rsidP="00C85878">
      <w:pPr>
        <w:pStyle w:val="DisclaimerBody"/>
      </w:pPr>
      <w:r>
        <w:rPr>
          <w:noProof/>
        </w:rPr>
        <w:drawing>
          <wp:inline distT="0" distB="0" distL="0" distR="0" wp14:anchorId="702C4E75" wp14:editId="5C78E828">
            <wp:extent cx="1024255" cy="359410"/>
            <wp:effectExtent l="0" t="0" r="4445" b="2540"/>
            <wp:docPr id="1439638866" name="Picture 1" descr="Creative Commons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38866" name="Picture 1" descr="Creative Commons Logo&#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4255" cy="359410"/>
                    </a:xfrm>
                    <a:prstGeom prst="rect">
                      <a:avLst/>
                    </a:prstGeom>
                    <a:noFill/>
                  </pic:spPr>
                </pic:pic>
              </a:graphicData>
            </a:graphic>
          </wp:inline>
        </w:drawing>
      </w:r>
    </w:p>
    <w:p w14:paraId="16CC1AAD" w14:textId="1F2815C0" w:rsidR="00591043" w:rsidRPr="00DC5568" w:rsidRDefault="00591043" w:rsidP="00C05564">
      <w:pPr>
        <w:pStyle w:val="DisclaimerBody"/>
      </w:pPr>
      <w:r w:rsidRPr="00DC5568">
        <w:t xml:space="preserve">This publication is licensed under the Creative Commons Attribution 4.0 International Public License </w:t>
      </w:r>
      <w:r w:rsidR="00D3654B" w:rsidRPr="00DC5568">
        <w:t>(“Licence”)</w:t>
      </w:r>
      <w:r w:rsidR="00D3654B">
        <w:t xml:space="preserve"> </w:t>
      </w:r>
      <w:r w:rsidRPr="00DC5568">
        <w:t xml:space="preserve">available </w:t>
      </w:r>
      <w:r w:rsidR="00D3654B">
        <w:t>under</w:t>
      </w:r>
      <w:r w:rsidR="00383CC5">
        <w:t xml:space="preserve"> </w:t>
      </w:r>
      <w:hyperlink r:id="rId14" w:history="1">
        <w:r w:rsidR="00D3654B">
          <w:rPr>
            <w:rStyle w:val="Hyperlink"/>
          </w:rPr>
          <w:t>Creative Commons Attribution 4.0 Legal Code</w:t>
        </w:r>
      </w:hyperlink>
      <w:r w:rsidRPr="00DC5568">
        <w:t xml:space="preserve">. You must read and understand the Licence before using any material from this publication. </w:t>
      </w:r>
    </w:p>
    <w:p w14:paraId="2F281446" w14:textId="77777777" w:rsidR="00591043" w:rsidRPr="00DC5568" w:rsidRDefault="00591043" w:rsidP="00C05564">
      <w:pPr>
        <w:pStyle w:val="DisclaimerHeading"/>
      </w:pPr>
      <w:r w:rsidRPr="00DC5568">
        <w:t>Restrictions</w:t>
      </w:r>
    </w:p>
    <w:p w14:paraId="2F9E8877" w14:textId="196DD47E" w:rsidR="00591043" w:rsidRPr="00DC5568" w:rsidRDefault="00591043" w:rsidP="00C05564">
      <w:pPr>
        <w:pStyle w:val="DisclaimerBody"/>
      </w:pPr>
      <w:r w:rsidRPr="00DC5568">
        <w:t>The Licence may not give you all the permissions necessary for your intended use. For example, other rights (such as publicity, privacy and moral rights) may limit how you use the material found in this publication.</w:t>
      </w:r>
    </w:p>
    <w:p w14:paraId="6FE5F832" w14:textId="77777777" w:rsidR="00591043" w:rsidRPr="00DC5568" w:rsidRDefault="00591043" w:rsidP="003C7B37">
      <w:pPr>
        <w:pStyle w:val="DisclaimerBullet"/>
      </w:pPr>
      <w:r w:rsidRPr="00DC5568">
        <w:t xml:space="preserve">The Licence does not cover, and there is no permission given for, use of any of the following material found in this publication: </w:t>
      </w:r>
    </w:p>
    <w:p w14:paraId="646F947E" w14:textId="5CC7D5B4" w:rsidR="00591043" w:rsidRPr="00DC5568" w:rsidRDefault="00591043" w:rsidP="00C05564">
      <w:pPr>
        <w:pStyle w:val="DisclaimerBullet"/>
        <w:numPr>
          <w:ilvl w:val="0"/>
          <w:numId w:val="47"/>
        </w:numPr>
      </w:pPr>
      <w:r w:rsidRPr="00DC5568">
        <w:t xml:space="preserve">the Commonwealth Coat of Arms. (by way of information, the terms under which the Coat of Arms may be used can be found on the </w:t>
      </w:r>
      <w:hyperlink r:id="rId15" w:history="1">
        <w:r w:rsidRPr="00383CC5">
          <w:rPr>
            <w:rStyle w:val="Hyperlink"/>
          </w:rPr>
          <w:t>Department of the Prime Minister and Cabinet website</w:t>
        </w:r>
      </w:hyperlink>
      <w:r w:rsidRPr="00383CC5">
        <w:t>);</w:t>
      </w:r>
    </w:p>
    <w:p w14:paraId="27A08935" w14:textId="77777777" w:rsidR="00591043" w:rsidRPr="00DC5568" w:rsidRDefault="00591043" w:rsidP="00C05564">
      <w:pPr>
        <w:pStyle w:val="DisclaimerBullet"/>
      </w:pPr>
      <w:r w:rsidRPr="00DC5568">
        <w:t>any logos and trademarks;</w:t>
      </w:r>
    </w:p>
    <w:p w14:paraId="54BC6B27" w14:textId="77777777" w:rsidR="00591043" w:rsidRPr="00DC5568" w:rsidRDefault="00591043" w:rsidP="00C05564">
      <w:pPr>
        <w:pStyle w:val="DisclaimerBullet"/>
      </w:pPr>
      <w:r w:rsidRPr="00DC5568">
        <w:t xml:space="preserve">any photographs and images; </w:t>
      </w:r>
    </w:p>
    <w:p w14:paraId="5B679A26" w14:textId="77777777" w:rsidR="00591043" w:rsidRPr="00DC5568" w:rsidRDefault="00591043" w:rsidP="00C05564">
      <w:pPr>
        <w:pStyle w:val="DisclaimerBullet"/>
      </w:pPr>
      <w:r w:rsidRPr="00DC5568">
        <w:t>any signatures; and</w:t>
      </w:r>
    </w:p>
    <w:p w14:paraId="30917B9F" w14:textId="77777777" w:rsidR="00591043" w:rsidRPr="00DC5568" w:rsidRDefault="00591043" w:rsidP="00C05564">
      <w:pPr>
        <w:pStyle w:val="DisclaimerBullet"/>
      </w:pPr>
      <w:r w:rsidRPr="00DC5568">
        <w:t>any material belonging to third parties identified in this publication.</w:t>
      </w:r>
    </w:p>
    <w:p w14:paraId="5840581B" w14:textId="77777777" w:rsidR="00591043" w:rsidRPr="00DC5568" w:rsidRDefault="00591043" w:rsidP="00C05564">
      <w:pPr>
        <w:pStyle w:val="DisclaimerHeading"/>
      </w:pPr>
      <w:r w:rsidRPr="00DC5568">
        <w:t>Attribution</w:t>
      </w:r>
    </w:p>
    <w:p w14:paraId="3780D961" w14:textId="77777777" w:rsidR="00591043" w:rsidRPr="00DC5568" w:rsidRDefault="00591043" w:rsidP="00C05564">
      <w:pPr>
        <w:pStyle w:val="DisclaimerBody"/>
      </w:pPr>
      <w:r w:rsidRPr="00DC5568">
        <w:t xml:space="preserve">Without limiting your obligations under the Licence, the Department of Health, Disability and Ageing requests that you attribute this publication in your work. Any reasonable form of words may be used </w:t>
      </w:r>
      <w:proofErr w:type="gramStart"/>
      <w:r w:rsidRPr="00DC5568">
        <w:t>provided that</w:t>
      </w:r>
      <w:proofErr w:type="gramEnd"/>
      <w:r w:rsidRPr="00DC5568">
        <w:t xml:space="preserve"> you:</w:t>
      </w:r>
    </w:p>
    <w:p w14:paraId="65202259" w14:textId="77777777" w:rsidR="00591043" w:rsidRPr="00DC5568" w:rsidRDefault="00591043" w:rsidP="00C05564">
      <w:pPr>
        <w:pStyle w:val="DisclaimerBullet"/>
      </w:pPr>
      <w:r w:rsidRPr="00DC5568">
        <w:t xml:space="preserve">include a reference to this publication and where practicable, the relevant page numbers; </w:t>
      </w:r>
    </w:p>
    <w:p w14:paraId="1CD28E72" w14:textId="77777777" w:rsidR="00591043" w:rsidRPr="00DC5568" w:rsidRDefault="00591043" w:rsidP="00C05564">
      <w:pPr>
        <w:pStyle w:val="DisclaimerBullet"/>
      </w:pPr>
      <w:r w:rsidRPr="00DC5568">
        <w:t>make it clear that you have permission to use the material under the Creative Commons Attribution 4.0 International Public License;</w:t>
      </w:r>
    </w:p>
    <w:p w14:paraId="54AF6449" w14:textId="77777777" w:rsidR="00591043" w:rsidRPr="00DC5568" w:rsidRDefault="00591043" w:rsidP="00C05564">
      <w:pPr>
        <w:pStyle w:val="DisclaimerBullet"/>
      </w:pPr>
      <w:r w:rsidRPr="00DC5568">
        <w:t xml:space="preserve">make it clear </w:t>
      </w:r>
      <w:proofErr w:type="gramStart"/>
      <w:r w:rsidRPr="00DC5568">
        <w:t>whether or not</w:t>
      </w:r>
      <w:proofErr w:type="gramEnd"/>
      <w:r w:rsidRPr="00DC5568">
        <w:t xml:space="preserve"> you have changed the material used from this publication; </w:t>
      </w:r>
    </w:p>
    <w:p w14:paraId="67A71930" w14:textId="77777777" w:rsidR="00591043" w:rsidRPr="00DC5568" w:rsidRDefault="00591043" w:rsidP="00C05564">
      <w:pPr>
        <w:pStyle w:val="DisclaimerBullet"/>
      </w:pPr>
      <w:r w:rsidRPr="00DC5568">
        <w:t>include a copyright notice in relation to the material used. In the case of no change to the material, the words “© Commonwealth of Australia (Department of Health, Disability and Ageing) 2026” may be used. In the case where the material has been changed or adapted, the words: “Based on Commonwealth of Australia (Department of Health, Disability and Ageing) material” may be used; and</w:t>
      </w:r>
    </w:p>
    <w:p w14:paraId="107E2A05" w14:textId="77777777" w:rsidR="00591043" w:rsidRPr="00DC5568" w:rsidRDefault="00591043" w:rsidP="00C05564">
      <w:pPr>
        <w:pStyle w:val="DisclaimerBullet"/>
      </w:pPr>
      <w:r w:rsidRPr="00DC5568">
        <w:t>do not suggest that the Department of Health, Disability and Ageing endorses you or your use of the material.</w:t>
      </w:r>
    </w:p>
    <w:p w14:paraId="531EC4A7" w14:textId="77777777" w:rsidR="00591043" w:rsidRPr="00DC5568" w:rsidRDefault="00591043" w:rsidP="00C05564">
      <w:pPr>
        <w:pStyle w:val="DisclaimerHeading"/>
      </w:pPr>
      <w:r w:rsidRPr="00DC5568">
        <w:t>Enquiries</w:t>
      </w:r>
    </w:p>
    <w:p w14:paraId="4D210F59" w14:textId="2F373F66" w:rsidR="00591043" w:rsidRPr="00DC5568" w:rsidRDefault="00591043" w:rsidP="00C05564">
      <w:pPr>
        <w:pStyle w:val="DisclaimerBody"/>
      </w:pPr>
      <w:r w:rsidRPr="00DC5568">
        <w:t xml:space="preserve">Enquiries regarding any other use of this publication should be addressed to the Branch Manager, Corporate Communication Branch, Department of Health, Disability and Ageing, GPO Box 9848, Canberra ACT 2601, or via e-mail to </w:t>
      </w:r>
      <w:hyperlink r:id="rId16" w:history="1">
        <w:r w:rsidR="00383CC5" w:rsidRPr="009B6D60">
          <w:rPr>
            <w:rStyle w:val="Hyperlink"/>
          </w:rPr>
          <w:t>copyright@health.gov.au</w:t>
        </w:r>
      </w:hyperlink>
    </w:p>
    <w:p w14:paraId="085697A3" w14:textId="77777777" w:rsidR="00591043" w:rsidRPr="00DC5568" w:rsidRDefault="00591043" w:rsidP="00591043">
      <w:pPr>
        <w:pStyle w:val="BodyText"/>
        <w:sectPr w:rsidR="00591043" w:rsidRPr="00DC5568" w:rsidSect="003C7B37">
          <w:headerReference w:type="even" r:id="rId17"/>
          <w:footerReference w:type="even" r:id="rId18"/>
          <w:footerReference w:type="default" r:id="rId19"/>
          <w:headerReference w:type="first" r:id="rId20"/>
          <w:endnotePr>
            <w:numFmt w:val="decimal"/>
          </w:endnotePr>
          <w:pgSz w:w="11907" w:h="16840" w:code="9"/>
          <w:pgMar w:top="1440" w:right="1440" w:bottom="1440" w:left="1440" w:header="425" w:footer="425" w:gutter="0"/>
          <w:cols w:space="708"/>
          <w:titlePg/>
          <w:docGrid w:linePitch="360"/>
        </w:sectPr>
      </w:pPr>
    </w:p>
    <w:p w14:paraId="7D03F492" w14:textId="77777777" w:rsidR="00591043" w:rsidRPr="00DC5568" w:rsidRDefault="00591043" w:rsidP="003D2348">
      <w:pPr>
        <w:pStyle w:val="TOCHeading"/>
      </w:pPr>
      <w:r w:rsidRPr="00DC5568">
        <w:lastRenderedPageBreak/>
        <w:t>Contents</w:t>
      </w:r>
    </w:p>
    <w:sdt>
      <w:sdtPr>
        <w:rPr>
          <w:b w:val="0"/>
          <w:noProof w:val="0"/>
        </w:rPr>
        <w:id w:val="-1698001835"/>
        <w:docPartObj>
          <w:docPartGallery w:val="Table of Contents"/>
          <w:docPartUnique/>
        </w:docPartObj>
      </w:sdtPr>
      <w:sdtEndPr>
        <w:rPr>
          <w:lang w:val="es-ES"/>
        </w:rPr>
      </w:sdtEndPr>
      <w:sdtContent>
        <w:p w14:paraId="25AB5BA3" w14:textId="63E3F877" w:rsidR="009F7105" w:rsidRDefault="00311847">
          <w:pPr>
            <w:pStyle w:val="TOC1"/>
            <w:rPr>
              <w:rFonts w:eastAsiaTheme="minorEastAsia" w:cstheme="minorBidi"/>
              <w:b w:val="0"/>
              <w:kern w:val="2"/>
              <w:sz w:val="24"/>
              <w:szCs w:val="24"/>
              <w14:ligatures w14:val="standardContextual"/>
            </w:rPr>
          </w:pPr>
          <w:r>
            <w:fldChar w:fldCharType="begin"/>
          </w:r>
          <w:r>
            <w:instrText xml:space="preserve"> TOC \o "1-2" \h \z \u </w:instrText>
          </w:r>
          <w:r>
            <w:fldChar w:fldCharType="separate"/>
          </w:r>
          <w:hyperlink w:anchor="_Toc236399732" w:history="1">
            <w:r w:rsidR="009F7105" w:rsidRPr="00DC4AF3">
              <w:rPr>
                <w:rStyle w:val="Hyperlink"/>
              </w:rPr>
              <w:t>Steering Committee Co-Chairs Foreword</w:t>
            </w:r>
            <w:r w:rsidR="009F7105">
              <w:rPr>
                <w:webHidden/>
              </w:rPr>
              <w:tab/>
            </w:r>
            <w:r w:rsidR="009F7105">
              <w:rPr>
                <w:webHidden/>
              </w:rPr>
              <w:fldChar w:fldCharType="begin"/>
            </w:r>
            <w:r w:rsidR="009F7105">
              <w:rPr>
                <w:webHidden/>
              </w:rPr>
              <w:instrText xml:space="preserve"> PAGEREF _Toc236399732 \h </w:instrText>
            </w:r>
            <w:r w:rsidR="009F7105">
              <w:rPr>
                <w:webHidden/>
              </w:rPr>
            </w:r>
            <w:r w:rsidR="009F7105">
              <w:rPr>
                <w:webHidden/>
              </w:rPr>
              <w:fldChar w:fldCharType="separate"/>
            </w:r>
            <w:r w:rsidR="00156823">
              <w:rPr>
                <w:webHidden/>
              </w:rPr>
              <w:t>3</w:t>
            </w:r>
            <w:r w:rsidR="009F7105">
              <w:rPr>
                <w:webHidden/>
              </w:rPr>
              <w:fldChar w:fldCharType="end"/>
            </w:r>
          </w:hyperlink>
        </w:p>
        <w:p w14:paraId="39E7492B" w14:textId="3EA38104" w:rsidR="009F7105" w:rsidRDefault="009F7105">
          <w:pPr>
            <w:pStyle w:val="TOC1"/>
            <w:rPr>
              <w:rFonts w:eastAsiaTheme="minorEastAsia" w:cstheme="minorBidi"/>
              <w:b w:val="0"/>
              <w:kern w:val="2"/>
              <w:sz w:val="24"/>
              <w:szCs w:val="24"/>
              <w14:ligatures w14:val="standardContextual"/>
            </w:rPr>
          </w:pPr>
          <w:hyperlink w:anchor="_Toc236399733" w:history="1">
            <w:r w:rsidRPr="00DC4AF3">
              <w:rPr>
                <w:rStyle w:val="Hyperlink"/>
              </w:rPr>
              <w:t>Acknowledgement of Country</w:t>
            </w:r>
            <w:r>
              <w:rPr>
                <w:webHidden/>
              </w:rPr>
              <w:tab/>
            </w:r>
            <w:r>
              <w:rPr>
                <w:webHidden/>
              </w:rPr>
              <w:fldChar w:fldCharType="begin"/>
            </w:r>
            <w:r>
              <w:rPr>
                <w:webHidden/>
              </w:rPr>
              <w:instrText xml:space="preserve"> PAGEREF _Toc236399733 \h </w:instrText>
            </w:r>
            <w:r>
              <w:rPr>
                <w:webHidden/>
              </w:rPr>
            </w:r>
            <w:r>
              <w:rPr>
                <w:webHidden/>
              </w:rPr>
              <w:fldChar w:fldCharType="separate"/>
            </w:r>
            <w:r w:rsidR="00156823">
              <w:rPr>
                <w:webHidden/>
              </w:rPr>
              <w:t>5</w:t>
            </w:r>
            <w:r>
              <w:rPr>
                <w:webHidden/>
              </w:rPr>
              <w:fldChar w:fldCharType="end"/>
            </w:r>
          </w:hyperlink>
        </w:p>
        <w:p w14:paraId="78EEBF00" w14:textId="0FF252B5" w:rsidR="009F7105" w:rsidRDefault="009F7105">
          <w:pPr>
            <w:pStyle w:val="TOC1"/>
            <w:rPr>
              <w:rFonts w:eastAsiaTheme="minorEastAsia" w:cstheme="minorBidi"/>
              <w:b w:val="0"/>
              <w:kern w:val="2"/>
              <w:sz w:val="24"/>
              <w:szCs w:val="24"/>
              <w14:ligatures w14:val="standardContextual"/>
            </w:rPr>
          </w:pPr>
          <w:hyperlink w:anchor="_Toc236399734" w:history="1">
            <w:r w:rsidRPr="00DC4AF3">
              <w:rPr>
                <w:rStyle w:val="Hyperlink"/>
              </w:rPr>
              <w:t>Glossary</w:t>
            </w:r>
            <w:r>
              <w:rPr>
                <w:webHidden/>
              </w:rPr>
              <w:tab/>
            </w:r>
            <w:r>
              <w:rPr>
                <w:webHidden/>
              </w:rPr>
              <w:fldChar w:fldCharType="begin"/>
            </w:r>
            <w:r>
              <w:rPr>
                <w:webHidden/>
              </w:rPr>
              <w:instrText xml:space="preserve"> PAGEREF _Toc236399734 \h </w:instrText>
            </w:r>
            <w:r>
              <w:rPr>
                <w:webHidden/>
              </w:rPr>
            </w:r>
            <w:r>
              <w:rPr>
                <w:webHidden/>
              </w:rPr>
              <w:fldChar w:fldCharType="separate"/>
            </w:r>
            <w:r w:rsidR="00156823">
              <w:rPr>
                <w:webHidden/>
              </w:rPr>
              <w:t>6</w:t>
            </w:r>
            <w:r>
              <w:rPr>
                <w:webHidden/>
              </w:rPr>
              <w:fldChar w:fldCharType="end"/>
            </w:r>
          </w:hyperlink>
        </w:p>
        <w:p w14:paraId="7A224EAB" w14:textId="7E1B760A" w:rsidR="009F7105" w:rsidRDefault="009F7105">
          <w:pPr>
            <w:pStyle w:val="TOC1"/>
            <w:rPr>
              <w:rFonts w:eastAsiaTheme="minorEastAsia" w:cstheme="minorBidi"/>
              <w:b w:val="0"/>
              <w:kern w:val="2"/>
              <w:sz w:val="24"/>
              <w:szCs w:val="24"/>
              <w14:ligatures w14:val="standardContextual"/>
            </w:rPr>
          </w:pPr>
          <w:hyperlink w:anchor="_Toc236399735" w:history="1">
            <w:r w:rsidRPr="00DC4AF3">
              <w:rPr>
                <w:rStyle w:val="Hyperlink"/>
              </w:rPr>
              <w:t>Actions</w:t>
            </w:r>
            <w:r>
              <w:rPr>
                <w:webHidden/>
              </w:rPr>
              <w:tab/>
            </w:r>
            <w:r>
              <w:rPr>
                <w:webHidden/>
              </w:rPr>
              <w:fldChar w:fldCharType="begin"/>
            </w:r>
            <w:r>
              <w:rPr>
                <w:webHidden/>
              </w:rPr>
              <w:instrText xml:space="preserve"> PAGEREF _Toc236399735 \h </w:instrText>
            </w:r>
            <w:r>
              <w:rPr>
                <w:webHidden/>
              </w:rPr>
            </w:r>
            <w:r>
              <w:rPr>
                <w:webHidden/>
              </w:rPr>
              <w:fldChar w:fldCharType="separate"/>
            </w:r>
            <w:r w:rsidR="00156823">
              <w:rPr>
                <w:webHidden/>
              </w:rPr>
              <w:t>10</w:t>
            </w:r>
            <w:r>
              <w:rPr>
                <w:webHidden/>
              </w:rPr>
              <w:fldChar w:fldCharType="end"/>
            </w:r>
          </w:hyperlink>
        </w:p>
        <w:p w14:paraId="1130F713" w14:textId="681E61E7" w:rsidR="009F7105" w:rsidRDefault="009F7105">
          <w:pPr>
            <w:pStyle w:val="TOC1"/>
            <w:rPr>
              <w:rFonts w:eastAsiaTheme="minorEastAsia" w:cstheme="minorBidi"/>
              <w:b w:val="0"/>
              <w:kern w:val="2"/>
              <w:sz w:val="24"/>
              <w:szCs w:val="24"/>
              <w14:ligatures w14:val="standardContextual"/>
            </w:rPr>
          </w:pPr>
          <w:hyperlink w:anchor="_Toc236399736" w:history="1">
            <w:r w:rsidRPr="00DC4AF3">
              <w:rPr>
                <w:rStyle w:val="Hyperlink"/>
              </w:rPr>
              <w:t>Introduction</w:t>
            </w:r>
            <w:r>
              <w:rPr>
                <w:webHidden/>
              </w:rPr>
              <w:tab/>
            </w:r>
            <w:r>
              <w:rPr>
                <w:webHidden/>
              </w:rPr>
              <w:fldChar w:fldCharType="begin"/>
            </w:r>
            <w:r>
              <w:rPr>
                <w:webHidden/>
              </w:rPr>
              <w:instrText xml:space="preserve"> PAGEREF _Toc236399736 \h </w:instrText>
            </w:r>
            <w:r>
              <w:rPr>
                <w:webHidden/>
              </w:rPr>
            </w:r>
            <w:r>
              <w:rPr>
                <w:webHidden/>
              </w:rPr>
              <w:fldChar w:fldCharType="separate"/>
            </w:r>
            <w:r w:rsidR="00156823">
              <w:rPr>
                <w:webHidden/>
              </w:rPr>
              <w:t>12</w:t>
            </w:r>
            <w:r>
              <w:rPr>
                <w:webHidden/>
              </w:rPr>
              <w:fldChar w:fldCharType="end"/>
            </w:r>
          </w:hyperlink>
        </w:p>
        <w:p w14:paraId="1E835E9C" w14:textId="13FC42FA" w:rsidR="009F7105" w:rsidRDefault="009F7105">
          <w:pPr>
            <w:pStyle w:val="TOC2"/>
            <w:rPr>
              <w:rFonts w:eastAsiaTheme="minorEastAsia" w:cstheme="minorBidi"/>
              <w:sz w:val="24"/>
              <w:szCs w:val="24"/>
              <w:lang w:eastAsia="en-AU"/>
            </w:rPr>
          </w:pPr>
          <w:hyperlink w:anchor="_Toc236399737" w:history="1">
            <w:r w:rsidRPr="00DC4AF3">
              <w:rPr>
                <w:rStyle w:val="Hyperlink"/>
              </w:rPr>
              <w:t>The value of nurses</w:t>
            </w:r>
            <w:r>
              <w:rPr>
                <w:webHidden/>
              </w:rPr>
              <w:tab/>
            </w:r>
            <w:r>
              <w:rPr>
                <w:webHidden/>
              </w:rPr>
              <w:fldChar w:fldCharType="begin"/>
            </w:r>
            <w:r>
              <w:rPr>
                <w:webHidden/>
              </w:rPr>
              <w:instrText xml:space="preserve"> PAGEREF _Toc236399737 \h </w:instrText>
            </w:r>
            <w:r>
              <w:rPr>
                <w:webHidden/>
              </w:rPr>
            </w:r>
            <w:r>
              <w:rPr>
                <w:webHidden/>
              </w:rPr>
              <w:fldChar w:fldCharType="separate"/>
            </w:r>
            <w:r w:rsidR="00156823">
              <w:rPr>
                <w:webHidden/>
              </w:rPr>
              <w:t>12</w:t>
            </w:r>
            <w:r>
              <w:rPr>
                <w:webHidden/>
              </w:rPr>
              <w:fldChar w:fldCharType="end"/>
            </w:r>
          </w:hyperlink>
        </w:p>
        <w:p w14:paraId="30D13DD2" w14:textId="1E569B3E" w:rsidR="009F7105" w:rsidRDefault="009F7105">
          <w:pPr>
            <w:pStyle w:val="TOC2"/>
            <w:rPr>
              <w:rFonts w:eastAsiaTheme="minorEastAsia" w:cstheme="minorBidi"/>
              <w:sz w:val="24"/>
              <w:szCs w:val="24"/>
              <w:lang w:eastAsia="en-AU"/>
            </w:rPr>
          </w:pPr>
          <w:hyperlink w:anchor="_Toc236399738" w:history="1">
            <w:r w:rsidRPr="00DC4AF3">
              <w:rPr>
                <w:rStyle w:val="Hyperlink"/>
              </w:rPr>
              <w:t>Why is a strategy needed?</w:t>
            </w:r>
            <w:r>
              <w:rPr>
                <w:webHidden/>
              </w:rPr>
              <w:tab/>
            </w:r>
            <w:r>
              <w:rPr>
                <w:webHidden/>
              </w:rPr>
              <w:fldChar w:fldCharType="begin"/>
            </w:r>
            <w:r>
              <w:rPr>
                <w:webHidden/>
              </w:rPr>
              <w:instrText xml:space="preserve"> PAGEREF _Toc236399738 \h </w:instrText>
            </w:r>
            <w:r>
              <w:rPr>
                <w:webHidden/>
              </w:rPr>
            </w:r>
            <w:r>
              <w:rPr>
                <w:webHidden/>
              </w:rPr>
              <w:fldChar w:fldCharType="separate"/>
            </w:r>
            <w:r w:rsidR="00156823">
              <w:rPr>
                <w:webHidden/>
              </w:rPr>
              <w:t>14</w:t>
            </w:r>
            <w:r>
              <w:rPr>
                <w:webHidden/>
              </w:rPr>
              <w:fldChar w:fldCharType="end"/>
            </w:r>
          </w:hyperlink>
        </w:p>
        <w:p w14:paraId="663D6F23" w14:textId="2176D946" w:rsidR="009F7105" w:rsidRDefault="009F7105">
          <w:pPr>
            <w:pStyle w:val="TOC2"/>
            <w:rPr>
              <w:rFonts w:eastAsiaTheme="minorEastAsia" w:cstheme="minorBidi"/>
              <w:sz w:val="24"/>
              <w:szCs w:val="24"/>
              <w:lang w:eastAsia="en-AU"/>
            </w:rPr>
          </w:pPr>
          <w:hyperlink w:anchor="_Toc236399739" w:history="1">
            <w:r w:rsidRPr="00DC4AF3">
              <w:rPr>
                <w:rStyle w:val="Hyperlink"/>
              </w:rPr>
              <w:t>Nursing Supply and Demand Study</w:t>
            </w:r>
            <w:r>
              <w:rPr>
                <w:webHidden/>
              </w:rPr>
              <w:tab/>
            </w:r>
            <w:r>
              <w:rPr>
                <w:webHidden/>
              </w:rPr>
              <w:fldChar w:fldCharType="begin"/>
            </w:r>
            <w:r>
              <w:rPr>
                <w:webHidden/>
              </w:rPr>
              <w:instrText xml:space="preserve"> PAGEREF _Toc236399739 \h </w:instrText>
            </w:r>
            <w:r>
              <w:rPr>
                <w:webHidden/>
              </w:rPr>
            </w:r>
            <w:r>
              <w:rPr>
                <w:webHidden/>
              </w:rPr>
              <w:fldChar w:fldCharType="separate"/>
            </w:r>
            <w:r w:rsidR="00156823">
              <w:rPr>
                <w:webHidden/>
              </w:rPr>
              <w:t>14</w:t>
            </w:r>
            <w:r>
              <w:rPr>
                <w:webHidden/>
              </w:rPr>
              <w:fldChar w:fldCharType="end"/>
            </w:r>
          </w:hyperlink>
        </w:p>
        <w:p w14:paraId="5DDD875A" w14:textId="4EFC6A0E" w:rsidR="009F7105" w:rsidRDefault="009F7105">
          <w:pPr>
            <w:pStyle w:val="TOC2"/>
            <w:rPr>
              <w:rFonts w:eastAsiaTheme="minorEastAsia" w:cstheme="minorBidi"/>
              <w:sz w:val="24"/>
              <w:szCs w:val="24"/>
              <w:lang w:eastAsia="en-AU"/>
            </w:rPr>
          </w:pPr>
          <w:hyperlink w:anchor="_Toc236399740" w:history="1">
            <w:r w:rsidRPr="00DC4AF3">
              <w:rPr>
                <w:rStyle w:val="Hyperlink"/>
              </w:rPr>
              <w:t>Overview of the strategy</w:t>
            </w:r>
            <w:r>
              <w:rPr>
                <w:webHidden/>
              </w:rPr>
              <w:tab/>
            </w:r>
            <w:r>
              <w:rPr>
                <w:webHidden/>
              </w:rPr>
              <w:fldChar w:fldCharType="begin"/>
            </w:r>
            <w:r>
              <w:rPr>
                <w:webHidden/>
              </w:rPr>
              <w:instrText xml:space="preserve"> PAGEREF _Toc236399740 \h </w:instrText>
            </w:r>
            <w:r>
              <w:rPr>
                <w:webHidden/>
              </w:rPr>
            </w:r>
            <w:r>
              <w:rPr>
                <w:webHidden/>
              </w:rPr>
              <w:fldChar w:fldCharType="separate"/>
            </w:r>
            <w:r w:rsidR="00156823">
              <w:rPr>
                <w:webHidden/>
              </w:rPr>
              <w:t>15</w:t>
            </w:r>
            <w:r>
              <w:rPr>
                <w:webHidden/>
              </w:rPr>
              <w:fldChar w:fldCharType="end"/>
            </w:r>
          </w:hyperlink>
        </w:p>
        <w:p w14:paraId="169E6848" w14:textId="1F3D1444" w:rsidR="009F7105" w:rsidRDefault="009F7105">
          <w:pPr>
            <w:pStyle w:val="TOC2"/>
            <w:rPr>
              <w:rFonts w:eastAsiaTheme="minorEastAsia" w:cstheme="minorBidi"/>
              <w:sz w:val="24"/>
              <w:szCs w:val="24"/>
              <w:lang w:eastAsia="en-AU"/>
            </w:rPr>
          </w:pPr>
          <w:hyperlink w:anchor="_Toc236399741" w:history="1">
            <w:r w:rsidRPr="00DC4AF3">
              <w:rPr>
                <w:rStyle w:val="Hyperlink"/>
              </w:rPr>
              <w:t>Who is the strategy for?</w:t>
            </w:r>
            <w:r>
              <w:rPr>
                <w:webHidden/>
              </w:rPr>
              <w:tab/>
            </w:r>
            <w:r>
              <w:rPr>
                <w:webHidden/>
              </w:rPr>
              <w:fldChar w:fldCharType="begin"/>
            </w:r>
            <w:r>
              <w:rPr>
                <w:webHidden/>
              </w:rPr>
              <w:instrText xml:space="preserve"> PAGEREF _Toc236399741 \h </w:instrText>
            </w:r>
            <w:r>
              <w:rPr>
                <w:webHidden/>
              </w:rPr>
            </w:r>
            <w:r>
              <w:rPr>
                <w:webHidden/>
              </w:rPr>
              <w:fldChar w:fldCharType="separate"/>
            </w:r>
            <w:r w:rsidR="00156823">
              <w:rPr>
                <w:webHidden/>
              </w:rPr>
              <w:t>16</w:t>
            </w:r>
            <w:r>
              <w:rPr>
                <w:webHidden/>
              </w:rPr>
              <w:fldChar w:fldCharType="end"/>
            </w:r>
          </w:hyperlink>
        </w:p>
        <w:p w14:paraId="56134ACD" w14:textId="67C38707" w:rsidR="009F7105" w:rsidRDefault="009F7105">
          <w:pPr>
            <w:pStyle w:val="TOC2"/>
            <w:rPr>
              <w:rFonts w:eastAsiaTheme="minorEastAsia" w:cstheme="minorBidi"/>
              <w:sz w:val="24"/>
              <w:szCs w:val="24"/>
              <w:lang w:eastAsia="en-AU"/>
            </w:rPr>
          </w:pPr>
          <w:hyperlink w:anchor="_Toc236399742" w:history="1">
            <w:r w:rsidRPr="00DC4AF3">
              <w:rPr>
                <w:rStyle w:val="Hyperlink"/>
              </w:rPr>
              <w:t>Roles and responsibilities for implementation</w:t>
            </w:r>
            <w:r>
              <w:rPr>
                <w:webHidden/>
              </w:rPr>
              <w:tab/>
            </w:r>
            <w:r>
              <w:rPr>
                <w:webHidden/>
              </w:rPr>
              <w:fldChar w:fldCharType="begin"/>
            </w:r>
            <w:r>
              <w:rPr>
                <w:webHidden/>
              </w:rPr>
              <w:instrText xml:space="preserve"> PAGEREF _Toc236399742 \h </w:instrText>
            </w:r>
            <w:r>
              <w:rPr>
                <w:webHidden/>
              </w:rPr>
            </w:r>
            <w:r>
              <w:rPr>
                <w:webHidden/>
              </w:rPr>
              <w:fldChar w:fldCharType="separate"/>
            </w:r>
            <w:r w:rsidR="00156823">
              <w:rPr>
                <w:webHidden/>
              </w:rPr>
              <w:t>16</w:t>
            </w:r>
            <w:r>
              <w:rPr>
                <w:webHidden/>
              </w:rPr>
              <w:fldChar w:fldCharType="end"/>
            </w:r>
          </w:hyperlink>
        </w:p>
        <w:p w14:paraId="3D29809A" w14:textId="114D0B49" w:rsidR="009F7105" w:rsidRDefault="009F7105">
          <w:pPr>
            <w:pStyle w:val="TOC1"/>
            <w:rPr>
              <w:rFonts w:eastAsiaTheme="minorEastAsia" w:cstheme="minorBidi"/>
              <w:b w:val="0"/>
              <w:kern w:val="2"/>
              <w:sz w:val="24"/>
              <w:szCs w:val="24"/>
              <w14:ligatures w14:val="standardContextual"/>
            </w:rPr>
          </w:pPr>
          <w:hyperlink w:anchor="_Toc236399743" w:history="1">
            <w:r w:rsidRPr="00DC4AF3">
              <w:rPr>
                <w:rStyle w:val="Hyperlink"/>
              </w:rPr>
              <w:t>Policy context and related strategies</w:t>
            </w:r>
            <w:r>
              <w:rPr>
                <w:webHidden/>
              </w:rPr>
              <w:tab/>
            </w:r>
            <w:r>
              <w:rPr>
                <w:webHidden/>
              </w:rPr>
              <w:fldChar w:fldCharType="begin"/>
            </w:r>
            <w:r>
              <w:rPr>
                <w:webHidden/>
              </w:rPr>
              <w:instrText xml:space="preserve"> PAGEREF _Toc236399743 \h </w:instrText>
            </w:r>
            <w:r>
              <w:rPr>
                <w:webHidden/>
              </w:rPr>
            </w:r>
            <w:r>
              <w:rPr>
                <w:webHidden/>
              </w:rPr>
              <w:fldChar w:fldCharType="separate"/>
            </w:r>
            <w:r w:rsidR="00156823">
              <w:rPr>
                <w:webHidden/>
              </w:rPr>
              <w:t>18</w:t>
            </w:r>
            <w:r>
              <w:rPr>
                <w:webHidden/>
              </w:rPr>
              <w:fldChar w:fldCharType="end"/>
            </w:r>
          </w:hyperlink>
        </w:p>
        <w:p w14:paraId="7C375D86" w14:textId="2291CB8D" w:rsidR="009F7105" w:rsidRDefault="009F7105">
          <w:pPr>
            <w:pStyle w:val="TOC1"/>
            <w:rPr>
              <w:rFonts w:eastAsiaTheme="minorEastAsia" w:cstheme="minorBidi"/>
              <w:b w:val="0"/>
              <w:kern w:val="2"/>
              <w:sz w:val="24"/>
              <w:szCs w:val="24"/>
              <w14:ligatures w14:val="standardContextual"/>
            </w:rPr>
          </w:pPr>
          <w:hyperlink w:anchor="_Toc236399744" w:history="1">
            <w:r w:rsidRPr="00DC4AF3">
              <w:rPr>
                <w:rStyle w:val="Hyperlink"/>
              </w:rPr>
              <w:t>The National Nursing Workforce Strategy</w:t>
            </w:r>
            <w:r>
              <w:rPr>
                <w:webHidden/>
              </w:rPr>
              <w:tab/>
            </w:r>
            <w:r>
              <w:rPr>
                <w:webHidden/>
              </w:rPr>
              <w:fldChar w:fldCharType="begin"/>
            </w:r>
            <w:r>
              <w:rPr>
                <w:webHidden/>
              </w:rPr>
              <w:instrText xml:space="preserve"> PAGEREF _Toc236399744 \h </w:instrText>
            </w:r>
            <w:r>
              <w:rPr>
                <w:webHidden/>
              </w:rPr>
            </w:r>
            <w:r>
              <w:rPr>
                <w:webHidden/>
              </w:rPr>
              <w:fldChar w:fldCharType="separate"/>
            </w:r>
            <w:r w:rsidR="00156823">
              <w:rPr>
                <w:webHidden/>
              </w:rPr>
              <w:t>20</w:t>
            </w:r>
            <w:r>
              <w:rPr>
                <w:webHidden/>
              </w:rPr>
              <w:fldChar w:fldCharType="end"/>
            </w:r>
          </w:hyperlink>
        </w:p>
        <w:p w14:paraId="730BC5C1" w14:textId="38B9C645" w:rsidR="009F7105" w:rsidRDefault="009F7105">
          <w:pPr>
            <w:pStyle w:val="TOC2"/>
            <w:rPr>
              <w:rFonts w:eastAsiaTheme="minorEastAsia" w:cstheme="minorBidi"/>
              <w:sz w:val="24"/>
              <w:szCs w:val="24"/>
              <w:lang w:eastAsia="en-AU"/>
            </w:rPr>
          </w:pPr>
          <w:hyperlink w:anchor="_Toc236399745" w:history="1">
            <w:r w:rsidRPr="00DC4AF3">
              <w:rPr>
                <w:rStyle w:val="Hyperlink"/>
              </w:rPr>
              <w:t>Vision</w:t>
            </w:r>
            <w:r>
              <w:rPr>
                <w:webHidden/>
              </w:rPr>
              <w:tab/>
            </w:r>
            <w:r>
              <w:rPr>
                <w:webHidden/>
              </w:rPr>
              <w:fldChar w:fldCharType="begin"/>
            </w:r>
            <w:r>
              <w:rPr>
                <w:webHidden/>
              </w:rPr>
              <w:instrText xml:space="preserve"> PAGEREF _Toc236399745 \h </w:instrText>
            </w:r>
            <w:r>
              <w:rPr>
                <w:webHidden/>
              </w:rPr>
            </w:r>
            <w:r>
              <w:rPr>
                <w:webHidden/>
              </w:rPr>
              <w:fldChar w:fldCharType="separate"/>
            </w:r>
            <w:r w:rsidR="00156823">
              <w:rPr>
                <w:webHidden/>
              </w:rPr>
              <w:t>20</w:t>
            </w:r>
            <w:r>
              <w:rPr>
                <w:webHidden/>
              </w:rPr>
              <w:fldChar w:fldCharType="end"/>
            </w:r>
          </w:hyperlink>
        </w:p>
        <w:p w14:paraId="25AE627E" w14:textId="4BC41E9D" w:rsidR="009F7105" w:rsidRDefault="009F7105">
          <w:pPr>
            <w:pStyle w:val="TOC2"/>
            <w:rPr>
              <w:rFonts w:eastAsiaTheme="minorEastAsia" w:cstheme="minorBidi"/>
              <w:sz w:val="24"/>
              <w:szCs w:val="24"/>
              <w:lang w:eastAsia="en-AU"/>
            </w:rPr>
          </w:pPr>
          <w:hyperlink w:anchor="_Toc236399746" w:history="1">
            <w:r w:rsidRPr="00DC4AF3">
              <w:rPr>
                <w:rStyle w:val="Hyperlink"/>
              </w:rPr>
              <w:t>Priorities</w:t>
            </w:r>
            <w:r>
              <w:rPr>
                <w:webHidden/>
              </w:rPr>
              <w:tab/>
            </w:r>
            <w:r>
              <w:rPr>
                <w:webHidden/>
              </w:rPr>
              <w:fldChar w:fldCharType="begin"/>
            </w:r>
            <w:r>
              <w:rPr>
                <w:webHidden/>
              </w:rPr>
              <w:instrText xml:space="preserve"> PAGEREF _Toc236399746 \h </w:instrText>
            </w:r>
            <w:r>
              <w:rPr>
                <w:webHidden/>
              </w:rPr>
            </w:r>
            <w:r>
              <w:rPr>
                <w:webHidden/>
              </w:rPr>
              <w:fldChar w:fldCharType="separate"/>
            </w:r>
            <w:r w:rsidR="00156823">
              <w:rPr>
                <w:webHidden/>
              </w:rPr>
              <w:t>20</w:t>
            </w:r>
            <w:r>
              <w:rPr>
                <w:webHidden/>
              </w:rPr>
              <w:fldChar w:fldCharType="end"/>
            </w:r>
          </w:hyperlink>
        </w:p>
        <w:p w14:paraId="2E054C79" w14:textId="057F1FCB" w:rsidR="009F7105" w:rsidRDefault="009F7105">
          <w:pPr>
            <w:pStyle w:val="TOC1"/>
            <w:rPr>
              <w:rFonts w:eastAsiaTheme="minorEastAsia" w:cstheme="minorBidi"/>
              <w:b w:val="0"/>
              <w:kern w:val="2"/>
              <w:sz w:val="24"/>
              <w:szCs w:val="24"/>
              <w14:ligatures w14:val="standardContextual"/>
            </w:rPr>
          </w:pPr>
          <w:hyperlink w:anchor="_Toc236399747" w:history="1">
            <w:r w:rsidRPr="00DC4AF3">
              <w:rPr>
                <w:rStyle w:val="Hyperlink"/>
              </w:rPr>
              <w:t>Priority 1: Enhancing workforce planning, education and regulation</w:t>
            </w:r>
            <w:r>
              <w:rPr>
                <w:webHidden/>
              </w:rPr>
              <w:tab/>
            </w:r>
            <w:r>
              <w:rPr>
                <w:webHidden/>
              </w:rPr>
              <w:fldChar w:fldCharType="begin"/>
            </w:r>
            <w:r>
              <w:rPr>
                <w:webHidden/>
              </w:rPr>
              <w:instrText xml:space="preserve"> PAGEREF _Toc236399747 \h </w:instrText>
            </w:r>
            <w:r>
              <w:rPr>
                <w:webHidden/>
              </w:rPr>
            </w:r>
            <w:r>
              <w:rPr>
                <w:webHidden/>
              </w:rPr>
              <w:fldChar w:fldCharType="separate"/>
            </w:r>
            <w:r w:rsidR="00156823">
              <w:rPr>
                <w:webHidden/>
              </w:rPr>
              <w:t>21</w:t>
            </w:r>
            <w:r>
              <w:rPr>
                <w:webHidden/>
              </w:rPr>
              <w:fldChar w:fldCharType="end"/>
            </w:r>
          </w:hyperlink>
        </w:p>
        <w:p w14:paraId="1C53897D" w14:textId="2D64E6DC" w:rsidR="009F7105" w:rsidRDefault="009F7105">
          <w:pPr>
            <w:pStyle w:val="TOC2"/>
            <w:rPr>
              <w:rFonts w:eastAsiaTheme="minorEastAsia" w:cstheme="minorBidi"/>
              <w:sz w:val="24"/>
              <w:szCs w:val="24"/>
              <w:lang w:eastAsia="en-AU"/>
            </w:rPr>
          </w:pPr>
          <w:hyperlink w:anchor="_Toc236399748" w:history="1">
            <w:r w:rsidRPr="00DC4AF3">
              <w:rPr>
                <w:rStyle w:val="Hyperlink"/>
              </w:rPr>
              <w:t>Objective</w:t>
            </w:r>
            <w:r>
              <w:rPr>
                <w:webHidden/>
              </w:rPr>
              <w:tab/>
            </w:r>
            <w:r>
              <w:rPr>
                <w:webHidden/>
              </w:rPr>
              <w:fldChar w:fldCharType="begin"/>
            </w:r>
            <w:r>
              <w:rPr>
                <w:webHidden/>
              </w:rPr>
              <w:instrText xml:space="preserve"> PAGEREF _Toc236399748 \h </w:instrText>
            </w:r>
            <w:r>
              <w:rPr>
                <w:webHidden/>
              </w:rPr>
            </w:r>
            <w:r>
              <w:rPr>
                <w:webHidden/>
              </w:rPr>
              <w:fldChar w:fldCharType="separate"/>
            </w:r>
            <w:r w:rsidR="00156823">
              <w:rPr>
                <w:webHidden/>
              </w:rPr>
              <w:t>21</w:t>
            </w:r>
            <w:r>
              <w:rPr>
                <w:webHidden/>
              </w:rPr>
              <w:fldChar w:fldCharType="end"/>
            </w:r>
          </w:hyperlink>
        </w:p>
        <w:p w14:paraId="4BCE377B" w14:textId="047106CA" w:rsidR="009F7105" w:rsidRDefault="009F7105">
          <w:pPr>
            <w:pStyle w:val="TOC2"/>
            <w:rPr>
              <w:rFonts w:eastAsiaTheme="minorEastAsia" w:cstheme="minorBidi"/>
              <w:sz w:val="24"/>
              <w:szCs w:val="24"/>
              <w:lang w:eastAsia="en-AU"/>
            </w:rPr>
          </w:pPr>
          <w:hyperlink w:anchor="_Toc236399749" w:history="1">
            <w:r w:rsidRPr="00DC4AF3">
              <w:rPr>
                <w:rStyle w:val="Hyperlink"/>
              </w:rPr>
              <w:t>Rationale</w:t>
            </w:r>
            <w:r>
              <w:rPr>
                <w:webHidden/>
              </w:rPr>
              <w:tab/>
            </w:r>
            <w:r>
              <w:rPr>
                <w:webHidden/>
              </w:rPr>
              <w:fldChar w:fldCharType="begin"/>
            </w:r>
            <w:r>
              <w:rPr>
                <w:webHidden/>
              </w:rPr>
              <w:instrText xml:space="preserve"> PAGEREF _Toc236399749 \h </w:instrText>
            </w:r>
            <w:r>
              <w:rPr>
                <w:webHidden/>
              </w:rPr>
            </w:r>
            <w:r>
              <w:rPr>
                <w:webHidden/>
              </w:rPr>
              <w:fldChar w:fldCharType="separate"/>
            </w:r>
            <w:r w:rsidR="00156823">
              <w:rPr>
                <w:webHidden/>
              </w:rPr>
              <w:t>21</w:t>
            </w:r>
            <w:r>
              <w:rPr>
                <w:webHidden/>
              </w:rPr>
              <w:fldChar w:fldCharType="end"/>
            </w:r>
          </w:hyperlink>
        </w:p>
        <w:p w14:paraId="413356EE" w14:textId="4515BCF4" w:rsidR="009F7105" w:rsidRDefault="009F7105">
          <w:pPr>
            <w:pStyle w:val="TOC2"/>
            <w:rPr>
              <w:rFonts w:eastAsiaTheme="minorEastAsia" w:cstheme="minorBidi"/>
              <w:sz w:val="24"/>
              <w:szCs w:val="24"/>
              <w:lang w:eastAsia="en-AU"/>
            </w:rPr>
          </w:pPr>
          <w:hyperlink w:anchor="_Toc236399750" w:history="1">
            <w:r w:rsidRPr="00DC4AF3">
              <w:rPr>
                <w:rStyle w:val="Hyperlink"/>
              </w:rPr>
              <w:t>Workforce planning</w:t>
            </w:r>
            <w:r>
              <w:rPr>
                <w:webHidden/>
              </w:rPr>
              <w:tab/>
            </w:r>
            <w:r>
              <w:rPr>
                <w:webHidden/>
              </w:rPr>
              <w:fldChar w:fldCharType="begin"/>
            </w:r>
            <w:r>
              <w:rPr>
                <w:webHidden/>
              </w:rPr>
              <w:instrText xml:space="preserve"> PAGEREF _Toc236399750 \h </w:instrText>
            </w:r>
            <w:r>
              <w:rPr>
                <w:webHidden/>
              </w:rPr>
            </w:r>
            <w:r>
              <w:rPr>
                <w:webHidden/>
              </w:rPr>
              <w:fldChar w:fldCharType="separate"/>
            </w:r>
            <w:r w:rsidR="00156823">
              <w:rPr>
                <w:webHidden/>
              </w:rPr>
              <w:t>22</w:t>
            </w:r>
            <w:r>
              <w:rPr>
                <w:webHidden/>
              </w:rPr>
              <w:fldChar w:fldCharType="end"/>
            </w:r>
          </w:hyperlink>
        </w:p>
        <w:p w14:paraId="699ABBDB" w14:textId="5EDC67AA" w:rsidR="009F7105" w:rsidRDefault="009F7105">
          <w:pPr>
            <w:pStyle w:val="TOC2"/>
            <w:rPr>
              <w:rFonts w:eastAsiaTheme="minorEastAsia" w:cstheme="minorBidi"/>
              <w:sz w:val="24"/>
              <w:szCs w:val="24"/>
              <w:lang w:eastAsia="en-AU"/>
            </w:rPr>
          </w:pPr>
          <w:hyperlink w:anchor="_Toc236399751" w:history="1">
            <w:r w:rsidRPr="00DC4AF3">
              <w:rPr>
                <w:rStyle w:val="Hyperlink"/>
              </w:rPr>
              <w:t>Career flexibility</w:t>
            </w:r>
            <w:r>
              <w:rPr>
                <w:webHidden/>
              </w:rPr>
              <w:tab/>
            </w:r>
            <w:r>
              <w:rPr>
                <w:webHidden/>
              </w:rPr>
              <w:fldChar w:fldCharType="begin"/>
            </w:r>
            <w:r>
              <w:rPr>
                <w:webHidden/>
              </w:rPr>
              <w:instrText xml:space="preserve"> PAGEREF _Toc236399751 \h </w:instrText>
            </w:r>
            <w:r>
              <w:rPr>
                <w:webHidden/>
              </w:rPr>
            </w:r>
            <w:r>
              <w:rPr>
                <w:webHidden/>
              </w:rPr>
              <w:fldChar w:fldCharType="separate"/>
            </w:r>
            <w:r w:rsidR="00156823">
              <w:rPr>
                <w:webHidden/>
              </w:rPr>
              <w:t>23</w:t>
            </w:r>
            <w:r>
              <w:rPr>
                <w:webHidden/>
              </w:rPr>
              <w:fldChar w:fldCharType="end"/>
            </w:r>
          </w:hyperlink>
        </w:p>
        <w:p w14:paraId="7025A0C4" w14:textId="38A71525" w:rsidR="009F7105" w:rsidRDefault="009F7105">
          <w:pPr>
            <w:pStyle w:val="TOC2"/>
            <w:rPr>
              <w:rFonts w:eastAsiaTheme="minorEastAsia" w:cstheme="minorBidi"/>
              <w:sz w:val="24"/>
              <w:szCs w:val="24"/>
              <w:lang w:eastAsia="en-AU"/>
            </w:rPr>
          </w:pPr>
          <w:hyperlink w:anchor="_Toc236399752" w:history="1">
            <w:r w:rsidRPr="00DC4AF3">
              <w:rPr>
                <w:rStyle w:val="Hyperlink"/>
              </w:rPr>
              <w:t>Aboriginal and Torres Strait Islander nurses</w:t>
            </w:r>
            <w:r>
              <w:rPr>
                <w:webHidden/>
              </w:rPr>
              <w:tab/>
            </w:r>
            <w:r>
              <w:rPr>
                <w:webHidden/>
              </w:rPr>
              <w:fldChar w:fldCharType="begin"/>
            </w:r>
            <w:r>
              <w:rPr>
                <w:webHidden/>
              </w:rPr>
              <w:instrText xml:space="preserve"> PAGEREF _Toc236399752 \h </w:instrText>
            </w:r>
            <w:r>
              <w:rPr>
                <w:webHidden/>
              </w:rPr>
            </w:r>
            <w:r>
              <w:rPr>
                <w:webHidden/>
              </w:rPr>
              <w:fldChar w:fldCharType="separate"/>
            </w:r>
            <w:r w:rsidR="00156823">
              <w:rPr>
                <w:webHidden/>
              </w:rPr>
              <w:t>24</w:t>
            </w:r>
            <w:r>
              <w:rPr>
                <w:webHidden/>
              </w:rPr>
              <w:fldChar w:fldCharType="end"/>
            </w:r>
          </w:hyperlink>
        </w:p>
        <w:p w14:paraId="6E9561BB" w14:textId="2C9D0805" w:rsidR="009F7105" w:rsidRDefault="009F7105">
          <w:pPr>
            <w:pStyle w:val="TOC2"/>
            <w:rPr>
              <w:rFonts w:eastAsiaTheme="minorEastAsia" w:cstheme="minorBidi"/>
              <w:sz w:val="24"/>
              <w:szCs w:val="24"/>
              <w:lang w:eastAsia="en-AU"/>
            </w:rPr>
          </w:pPr>
          <w:hyperlink w:anchor="_Toc236399753" w:history="1">
            <w:r w:rsidRPr="00DC4AF3">
              <w:rPr>
                <w:rStyle w:val="Hyperlink"/>
              </w:rPr>
              <w:t>Nursing education</w:t>
            </w:r>
            <w:r>
              <w:rPr>
                <w:webHidden/>
              </w:rPr>
              <w:tab/>
            </w:r>
            <w:r>
              <w:rPr>
                <w:webHidden/>
              </w:rPr>
              <w:fldChar w:fldCharType="begin"/>
            </w:r>
            <w:r>
              <w:rPr>
                <w:webHidden/>
              </w:rPr>
              <w:instrText xml:space="preserve"> PAGEREF _Toc236399753 \h </w:instrText>
            </w:r>
            <w:r>
              <w:rPr>
                <w:webHidden/>
              </w:rPr>
            </w:r>
            <w:r>
              <w:rPr>
                <w:webHidden/>
              </w:rPr>
              <w:fldChar w:fldCharType="separate"/>
            </w:r>
            <w:r w:rsidR="00156823">
              <w:rPr>
                <w:webHidden/>
              </w:rPr>
              <w:t>25</w:t>
            </w:r>
            <w:r>
              <w:rPr>
                <w:webHidden/>
              </w:rPr>
              <w:fldChar w:fldCharType="end"/>
            </w:r>
          </w:hyperlink>
        </w:p>
        <w:p w14:paraId="73D33DBD" w14:textId="5F08FDD8" w:rsidR="009F7105" w:rsidRDefault="009F7105">
          <w:pPr>
            <w:pStyle w:val="TOC2"/>
            <w:rPr>
              <w:rFonts w:eastAsiaTheme="minorEastAsia" w:cstheme="minorBidi"/>
              <w:sz w:val="24"/>
              <w:szCs w:val="24"/>
              <w:lang w:eastAsia="en-AU"/>
            </w:rPr>
          </w:pPr>
          <w:hyperlink w:anchor="_Toc236399754" w:history="1">
            <w:r w:rsidRPr="00DC4AF3">
              <w:rPr>
                <w:rStyle w:val="Hyperlink"/>
              </w:rPr>
              <w:t>Access to education</w:t>
            </w:r>
            <w:r>
              <w:rPr>
                <w:webHidden/>
              </w:rPr>
              <w:tab/>
            </w:r>
            <w:r>
              <w:rPr>
                <w:webHidden/>
              </w:rPr>
              <w:fldChar w:fldCharType="begin"/>
            </w:r>
            <w:r>
              <w:rPr>
                <w:webHidden/>
              </w:rPr>
              <w:instrText xml:space="preserve"> PAGEREF _Toc236399754 \h </w:instrText>
            </w:r>
            <w:r>
              <w:rPr>
                <w:webHidden/>
              </w:rPr>
            </w:r>
            <w:r>
              <w:rPr>
                <w:webHidden/>
              </w:rPr>
              <w:fldChar w:fldCharType="separate"/>
            </w:r>
            <w:r w:rsidR="00156823">
              <w:rPr>
                <w:webHidden/>
              </w:rPr>
              <w:t>26</w:t>
            </w:r>
            <w:r>
              <w:rPr>
                <w:webHidden/>
              </w:rPr>
              <w:fldChar w:fldCharType="end"/>
            </w:r>
          </w:hyperlink>
        </w:p>
        <w:p w14:paraId="09F470C7" w14:textId="36AD4E5A" w:rsidR="009F7105" w:rsidRDefault="009F7105">
          <w:pPr>
            <w:pStyle w:val="TOC2"/>
            <w:rPr>
              <w:rFonts w:eastAsiaTheme="minorEastAsia" w:cstheme="minorBidi"/>
              <w:sz w:val="24"/>
              <w:szCs w:val="24"/>
              <w:lang w:eastAsia="en-AU"/>
            </w:rPr>
          </w:pPr>
          <w:hyperlink w:anchor="_Toc236399755" w:history="1">
            <w:r w:rsidRPr="00DC4AF3">
              <w:rPr>
                <w:rStyle w:val="Hyperlink"/>
              </w:rPr>
              <w:t>Student employment models</w:t>
            </w:r>
            <w:r>
              <w:rPr>
                <w:webHidden/>
              </w:rPr>
              <w:tab/>
            </w:r>
            <w:r>
              <w:rPr>
                <w:webHidden/>
              </w:rPr>
              <w:fldChar w:fldCharType="begin"/>
            </w:r>
            <w:r>
              <w:rPr>
                <w:webHidden/>
              </w:rPr>
              <w:instrText xml:space="preserve"> PAGEREF _Toc236399755 \h </w:instrText>
            </w:r>
            <w:r>
              <w:rPr>
                <w:webHidden/>
              </w:rPr>
            </w:r>
            <w:r>
              <w:rPr>
                <w:webHidden/>
              </w:rPr>
              <w:fldChar w:fldCharType="separate"/>
            </w:r>
            <w:r w:rsidR="00156823">
              <w:rPr>
                <w:webHidden/>
              </w:rPr>
              <w:t>27</w:t>
            </w:r>
            <w:r>
              <w:rPr>
                <w:webHidden/>
              </w:rPr>
              <w:fldChar w:fldCharType="end"/>
            </w:r>
          </w:hyperlink>
        </w:p>
        <w:p w14:paraId="0197322D" w14:textId="6E5B5E3C" w:rsidR="009F7105" w:rsidRDefault="009F7105">
          <w:pPr>
            <w:pStyle w:val="TOC2"/>
            <w:rPr>
              <w:rFonts w:eastAsiaTheme="minorEastAsia" w:cstheme="minorBidi"/>
              <w:sz w:val="24"/>
              <w:szCs w:val="24"/>
              <w:lang w:eastAsia="en-AU"/>
            </w:rPr>
          </w:pPr>
          <w:hyperlink w:anchor="_Toc236399756" w:history="1">
            <w:r w:rsidRPr="00DC4AF3">
              <w:rPr>
                <w:rStyle w:val="Hyperlink"/>
              </w:rPr>
              <w:t>Regulation</w:t>
            </w:r>
            <w:r>
              <w:rPr>
                <w:webHidden/>
              </w:rPr>
              <w:tab/>
            </w:r>
            <w:r>
              <w:rPr>
                <w:webHidden/>
              </w:rPr>
              <w:fldChar w:fldCharType="begin"/>
            </w:r>
            <w:r>
              <w:rPr>
                <w:webHidden/>
              </w:rPr>
              <w:instrText xml:space="preserve"> PAGEREF _Toc236399756 \h </w:instrText>
            </w:r>
            <w:r>
              <w:rPr>
                <w:webHidden/>
              </w:rPr>
            </w:r>
            <w:r>
              <w:rPr>
                <w:webHidden/>
              </w:rPr>
              <w:fldChar w:fldCharType="separate"/>
            </w:r>
            <w:r w:rsidR="00156823">
              <w:rPr>
                <w:webHidden/>
              </w:rPr>
              <w:t>27</w:t>
            </w:r>
            <w:r>
              <w:rPr>
                <w:webHidden/>
              </w:rPr>
              <w:fldChar w:fldCharType="end"/>
            </w:r>
          </w:hyperlink>
        </w:p>
        <w:p w14:paraId="206C9E73" w14:textId="6DD0548F" w:rsidR="009F7105" w:rsidRDefault="009F7105">
          <w:pPr>
            <w:pStyle w:val="TOC2"/>
            <w:rPr>
              <w:rFonts w:eastAsiaTheme="minorEastAsia" w:cstheme="minorBidi"/>
              <w:sz w:val="24"/>
              <w:szCs w:val="24"/>
              <w:lang w:eastAsia="en-AU"/>
            </w:rPr>
          </w:pPr>
          <w:hyperlink w:anchor="_Toc236399757" w:history="1">
            <w:r w:rsidRPr="00DC4AF3">
              <w:rPr>
                <w:rStyle w:val="Hyperlink"/>
              </w:rPr>
              <w:t>Post graduate education</w:t>
            </w:r>
            <w:r>
              <w:rPr>
                <w:webHidden/>
              </w:rPr>
              <w:tab/>
            </w:r>
            <w:r>
              <w:rPr>
                <w:webHidden/>
              </w:rPr>
              <w:fldChar w:fldCharType="begin"/>
            </w:r>
            <w:r>
              <w:rPr>
                <w:webHidden/>
              </w:rPr>
              <w:instrText xml:space="preserve"> PAGEREF _Toc236399757 \h </w:instrText>
            </w:r>
            <w:r>
              <w:rPr>
                <w:webHidden/>
              </w:rPr>
            </w:r>
            <w:r>
              <w:rPr>
                <w:webHidden/>
              </w:rPr>
              <w:fldChar w:fldCharType="separate"/>
            </w:r>
            <w:r w:rsidR="00156823">
              <w:rPr>
                <w:webHidden/>
              </w:rPr>
              <w:t>28</w:t>
            </w:r>
            <w:r>
              <w:rPr>
                <w:webHidden/>
              </w:rPr>
              <w:fldChar w:fldCharType="end"/>
            </w:r>
          </w:hyperlink>
        </w:p>
        <w:p w14:paraId="02075ACE" w14:textId="45D1F017" w:rsidR="009F7105" w:rsidRDefault="009F7105">
          <w:pPr>
            <w:pStyle w:val="TOC1"/>
            <w:rPr>
              <w:rFonts w:eastAsiaTheme="minorEastAsia" w:cstheme="minorBidi"/>
              <w:b w:val="0"/>
              <w:kern w:val="2"/>
              <w:sz w:val="24"/>
              <w:szCs w:val="24"/>
              <w14:ligatures w14:val="standardContextual"/>
            </w:rPr>
          </w:pPr>
          <w:hyperlink w:anchor="_Toc236399758" w:history="1">
            <w:r w:rsidRPr="00DC4AF3">
              <w:rPr>
                <w:rStyle w:val="Hyperlink"/>
              </w:rPr>
              <w:t>Priority 2: Enabling nursing innovation</w:t>
            </w:r>
            <w:r>
              <w:rPr>
                <w:webHidden/>
              </w:rPr>
              <w:tab/>
            </w:r>
            <w:r>
              <w:rPr>
                <w:webHidden/>
              </w:rPr>
              <w:fldChar w:fldCharType="begin"/>
            </w:r>
            <w:r>
              <w:rPr>
                <w:webHidden/>
              </w:rPr>
              <w:instrText xml:space="preserve"> PAGEREF _Toc236399758 \h </w:instrText>
            </w:r>
            <w:r>
              <w:rPr>
                <w:webHidden/>
              </w:rPr>
            </w:r>
            <w:r>
              <w:rPr>
                <w:webHidden/>
              </w:rPr>
              <w:fldChar w:fldCharType="separate"/>
            </w:r>
            <w:r w:rsidR="00156823">
              <w:rPr>
                <w:webHidden/>
              </w:rPr>
              <w:t>29</w:t>
            </w:r>
            <w:r>
              <w:rPr>
                <w:webHidden/>
              </w:rPr>
              <w:fldChar w:fldCharType="end"/>
            </w:r>
          </w:hyperlink>
        </w:p>
        <w:p w14:paraId="6F333237" w14:textId="3A95641D" w:rsidR="009F7105" w:rsidRDefault="009F7105">
          <w:pPr>
            <w:pStyle w:val="TOC2"/>
            <w:rPr>
              <w:rFonts w:eastAsiaTheme="minorEastAsia" w:cstheme="minorBidi"/>
              <w:sz w:val="24"/>
              <w:szCs w:val="24"/>
              <w:lang w:eastAsia="en-AU"/>
            </w:rPr>
          </w:pPr>
          <w:hyperlink w:anchor="_Toc236399759" w:history="1">
            <w:r w:rsidRPr="00DC4AF3">
              <w:rPr>
                <w:rStyle w:val="Hyperlink"/>
              </w:rPr>
              <w:t>Objective</w:t>
            </w:r>
            <w:r>
              <w:rPr>
                <w:webHidden/>
              </w:rPr>
              <w:tab/>
            </w:r>
            <w:r>
              <w:rPr>
                <w:webHidden/>
              </w:rPr>
              <w:fldChar w:fldCharType="begin"/>
            </w:r>
            <w:r>
              <w:rPr>
                <w:webHidden/>
              </w:rPr>
              <w:instrText xml:space="preserve"> PAGEREF _Toc236399759 \h </w:instrText>
            </w:r>
            <w:r>
              <w:rPr>
                <w:webHidden/>
              </w:rPr>
            </w:r>
            <w:r>
              <w:rPr>
                <w:webHidden/>
              </w:rPr>
              <w:fldChar w:fldCharType="separate"/>
            </w:r>
            <w:r w:rsidR="00156823">
              <w:rPr>
                <w:webHidden/>
              </w:rPr>
              <w:t>29</w:t>
            </w:r>
            <w:r>
              <w:rPr>
                <w:webHidden/>
              </w:rPr>
              <w:fldChar w:fldCharType="end"/>
            </w:r>
          </w:hyperlink>
        </w:p>
        <w:p w14:paraId="1A1A51F9" w14:textId="631CAB99" w:rsidR="009F7105" w:rsidRDefault="009F7105">
          <w:pPr>
            <w:pStyle w:val="TOC2"/>
            <w:rPr>
              <w:rFonts w:eastAsiaTheme="minorEastAsia" w:cstheme="minorBidi"/>
              <w:sz w:val="24"/>
              <w:szCs w:val="24"/>
              <w:lang w:eastAsia="en-AU"/>
            </w:rPr>
          </w:pPr>
          <w:hyperlink w:anchor="_Toc236399760" w:history="1">
            <w:r w:rsidRPr="00DC4AF3">
              <w:rPr>
                <w:rStyle w:val="Hyperlink"/>
              </w:rPr>
              <w:t>Rationale</w:t>
            </w:r>
            <w:r>
              <w:rPr>
                <w:webHidden/>
              </w:rPr>
              <w:tab/>
            </w:r>
            <w:r>
              <w:rPr>
                <w:webHidden/>
              </w:rPr>
              <w:fldChar w:fldCharType="begin"/>
            </w:r>
            <w:r>
              <w:rPr>
                <w:webHidden/>
              </w:rPr>
              <w:instrText xml:space="preserve"> PAGEREF _Toc236399760 \h </w:instrText>
            </w:r>
            <w:r>
              <w:rPr>
                <w:webHidden/>
              </w:rPr>
            </w:r>
            <w:r>
              <w:rPr>
                <w:webHidden/>
              </w:rPr>
              <w:fldChar w:fldCharType="separate"/>
            </w:r>
            <w:r w:rsidR="00156823">
              <w:rPr>
                <w:webHidden/>
              </w:rPr>
              <w:t>29</w:t>
            </w:r>
            <w:r>
              <w:rPr>
                <w:webHidden/>
              </w:rPr>
              <w:fldChar w:fldCharType="end"/>
            </w:r>
          </w:hyperlink>
        </w:p>
        <w:p w14:paraId="7EC77221" w14:textId="5A52ED48" w:rsidR="009F7105" w:rsidRDefault="009F7105">
          <w:pPr>
            <w:pStyle w:val="TOC2"/>
            <w:rPr>
              <w:rFonts w:eastAsiaTheme="minorEastAsia" w:cstheme="minorBidi"/>
              <w:sz w:val="24"/>
              <w:szCs w:val="24"/>
              <w:lang w:eastAsia="en-AU"/>
            </w:rPr>
          </w:pPr>
          <w:hyperlink w:anchor="_Toc236399761" w:history="1">
            <w:r w:rsidRPr="00DC4AF3">
              <w:rPr>
                <w:rStyle w:val="Hyperlink"/>
              </w:rPr>
              <w:t>Emerging technologies</w:t>
            </w:r>
            <w:r>
              <w:rPr>
                <w:webHidden/>
              </w:rPr>
              <w:tab/>
            </w:r>
            <w:r>
              <w:rPr>
                <w:webHidden/>
              </w:rPr>
              <w:fldChar w:fldCharType="begin"/>
            </w:r>
            <w:r>
              <w:rPr>
                <w:webHidden/>
              </w:rPr>
              <w:instrText xml:space="preserve"> PAGEREF _Toc236399761 \h </w:instrText>
            </w:r>
            <w:r>
              <w:rPr>
                <w:webHidden/>
              </w:rPr>
            </w:r>
            <w:r>
              <w:rPr>
                <w:webHidden/>
              </w:rPr>
              <w:fldChar w:fldCharType="separate"/>
            </w:r>
            <w:r w:rsidR="00156823">
              <w:rPr>
                <w:webHidden/>
              </w:rPr>
              <w:t>30</w:t>
            </w:r>
            <w:r>
              <w:rPr>
                <w:webHidden/>
              </w:rPr>
              <w:fldChar w:fldCharType="end"/>
            </w:r>
          </w:hyperlink>
        </w:p>
        <w:p w14:paraId="4472506D" w14:textId="6C66906D" w:rsidR="009F7105" w:rsidRDefault="009F7105">
          <w:pPr>
            <w:pStyle w:val="TOC2"/>
            <w:rPr>
              <w:rFonts w:eastAsiaTheme="minorEastAsia" w:cstheme="minorBidi"/>
              <w:sz w:val="24"/>
              <w:szCs w:val="24"/>
              <w:lang w:eastAsia="en-AU"/>
            </w:rPr>
          </w:pPr>
          <w:hyperlink w:anchor="_Toc236399762" w:history="1">
            <w:r w:rsidRPr="00DC4AF3">
              <w:rPr>
                <w:rStyle w:val="Hyperlink"/>
              </w:rPr>
              <w:t>Funding models</w:t>
            </w:r>
            <w:r>
              <w:rPr>
                <w:webHidden/>
              </w:rPr>
              <w:tab/>
            </w:r>
            <w:r>
              <w:rPr>
                <w:webHidden/>
              </w:rPr>
              <w:fldChar w:fldCharType="begin"/>
            </w:r>
            <w:r>
              <w:rPr>
                <w:webHidden/>
              </w:rPr>
              <w:instrText xml:space="preserve"> PAGEREF _Toc236399762 \h </w:instrText>
            </w:r>
            <w:r>
              <w:rPr>
                <w:webHidden/>
              </w:rPr>
            </w:r>
            <w:r>
              <w:rPr>
                <w:webHidden/>
              </w:rPr>
              <w:fldChar w:fldCharType="separate"/>
            </w:r>
            <w:r w:rsidR="00156823">
              <w:rPr>
                <w:webHidden/>
              </w:rPr>
              <w:t>31</w:t>
            </w:r>
            <w:r>
              <w:rPr>
                <w:webHidden/>
              </w:rPr>
              <w:fldChar w:fldCharType="end"/>
            </w:r>
          </w:hyperlink>
        </w:p>
        <w:p w14:paraId="708449ED" w14:textId="12EF8ABE" w:rsidR="009F7105" w:rsidRDefault="009F7105">
          <w:pPr>
            <w:pStyle w:val="TOC2"/>
            <w:rPr>
              <w:rFonts w:eastAsiaTheme="minorEastAsia" w:cstheme="minorBidi"/>
              <w:sz w:val="24"/>
              <w:szCs w:val="24"/>
              <w:lang w:eastAsia="en-AU"/>
            </w:rPr>
          </w:pPr>
          <w:hyperlink w:anchor="_Toc236399763" w:history="1">
            <w:r w:rsidRPr="00DC4AF3">
              <w:rPr>
                <w:rStyle w:val="Hyperlink"/>
              </w:rPr>
              <w:t>Innovative models of care</w:t>
            </w:r>
            <w:r>
              <w:rPr>
                <w:webHidden/>
              </w:rPr>
              <w:tab/>
            </w:r>
            <w:r>
              <w:rPr>
                <w:webHidden/>
              </w:rPr>
              <w:fldChar w:fldCharType="begin"/>
            </w:r>
            <w:r>
              <w:rPr>
                <w:webHidden/>
              </w:rPr>
              <w:instrText xml:space="preserve"> PAGEREF _Toc236399763 \h </w:instrText>
            </w:r>
            <w:r>
              <w:rPr>
                <w:webHidden/>
              </w:rPr>
            </w:r>
            <w:r>
              <w:rPr>
                <w:webHidden/>
              </w:rPr>
              <w:fldChar w:fldCharType="separate"/>
            </w:r>
            <w:r w:rsidR="00156823">
              <w:rPr>
                <w:webHidden/>
              </w:rPr>
              <w:t>32</w:t>
            </w:r>
            <w:r>
              <w:rPr>
                <w:webHidden/>
              </w:rPr>
              <w:fldChar w:fldCharType="end"/>
            </w:r>
          </w:hyperlink>
        </w:p>
        <w:p w14:paraId="1E14EB42" w14:textId="42EB722A" w:rsidR="009F7105" w:rsidRDefault="009F7105">
          <w:pPr>
            <w:pStyle w:val="TOC2"/>
            <w:rPr>
              <w:rFonts w:eastAsiaTheme="minorEastAsia" w:cstheme="minorBidi"/>
              <w:sz w:val="24"/>
              <w:szCs w:val="24"/>
              <w:lang w:eastAsia="en-AU"/>
            </w:rPr>
          </w:pPr>
          <w:hyperlink w:anchor="_Toc236399764" w:history="1">
            <w:r w:rsidRPr="00DC4AF3">
              <w:rPr>
                <w:rStyle w:val="Hyperlink"/>
              </w:rPr>
              <w:t>Aboriginal and Torres Strait Islander co-design</w:t>
            </w:r>
            <w:r>
              <w:rPr>
                <w:webHidden/>
              </w:rPr>
              <w:tab/>
            </w:r>
            <w:r>
              <w:rPr>
                <w:webHidden/>
              </w:rPr>
              <w:fldChar w:fldCharType="begin"/>
            </w:r>
            <w:r>
              <w:rPr>
                <w:webHidden/>
              </w:rPr>
              <w:instrText xml:space="preserve"> PAGEREF _Toc236399764 \h </w:instrText>
            </w:r>
            <w:r>
              <w:rPr>
                <w:webHidden/>
              </w:rPr>
            </w:r>
            <w:r>
              <w:rPr>
                <w:webHidden/>
              </w:rPr>
              <w:fldChar w:fldCharType="separate"/>
            </w:r>
            <w:r w:rsidR="00156823">
              <w:rPr>
                <w:webHidden/>
              </w:rPr>
              <w:t>33</w:t>
            </w:r>
            <w:r>
              <w:rPr>
                <w:webHidden/>
              </w:rPr>
              <w:fldChar w:fldCharType="end"/>
            </w:r>
          </w:hyperlink>
        </w:p>
        <w:p w14:paraId="2391F4A8" w14:textId="32927A63" w:rsidR="009F7105" w:rsidRDefault="009F7105">
          <w:pPr>
            <w:pStyle w:val="TOC2"/>
            <w:rPr>
              <w:rFonts w:eastAsiaTheme="minorEastAsia" w:cstheme="minorBidi"/>
              <w:sz w:val="24"/>
              <w:szCs w:val="24"/>
              <w:lang w:eastAsia="en-AU"/>
            </w:rPr>
          </w:pPr>
          <w:hyperlink w:anchor="_Toc236399765" w:history="1">
            <w:r w:rsidRPr="00DC4AF3">
              <w:rPr>
                <w:rStyle w:val="Hyperlink"/>
              </w:rPr>
              <w:t>Optimum scope of practice</w:t>
            </w:r>
            <w:r>
              <w:rPr>
                <w:webHidden/>
              </w:rPr>
              <w:tab/>
            </w:r>
            <w:r>
              <w:rPr>
                <w:webHidden/>
              </w:rPr>
              <w:fldChar w:fldCharType="begin"/>
            </w:r>
            <w:r>
              <w:rPr>
                <w:webHidden/>
              </w:rPr>
              <w:instrText xml:space="preserve"> PAGEREF _Toc236399765 \h </w:instrText>
            </w:r>
            <w:r>
              <w:rPr>
                <w:webHidden/>
              </w:rPr>
            </w:r>
            <w:r>
              <w:rPr>
                <w:webHidden/>
              </w:rPr>
              <w:fldChar w:fldCharType="separate"/>
            </w:r>
            <w:r w:rsidR="00156823">
              <w:rPr>
                <w:webHidden/>
              </w:rPr>
              <w:t>34</w:t>
            </w:r>
            <w:r>
              <w:rPr>
                <w:webHidden/>
              </w:rPr>
              <w:fldChar w:fldCharType="end"/>
            </w:r>
          </w:hyperlink>
        </w:p>
        <w:p w14:paraId="316394EB" w14:textId="6E0EBB9A" w:rsidR="009F7105" w:rsidRDefault="009F7105">
          <w:pPr>
            <w:pStyle w:val="TOC2"/>
            <w:rPr>
              <w:rFonts w:eastAsiaTheme="minorEastAsia" w:cstheme="minorBidi"/>
              <w:sz w:val="24"/>
              <w:szCs w:val="24"/>
              <w:lang w:eastAsia="en-AU"/>
            </w:rPr>
          </w:pPr>
          <w:hyperlink w:anchor="_Toc236399766" w:history="1">
            <w:r w:rsidRPr="00DC4AF3">
              <w:rPr>
                <w:rStyle w:val="Hyperlink"/>
              </w:rPr>
              <w:t>Climate resilience and environmental sustainability</w:t>
            </w:r>
            <w:r>
              <w:rPr>
                <w:webHidden/>
              </w:rPr>
              <w:tab/>
            </w:r>
            <w:r>
              <w:rPr>
                <w:webHidden/>
              </w:rPr>
              <w:fldChar w:fldCharType="begin"/>
            </w:r>
            <w:r>
              <w:rPr>
                <w:webHidden/>
              </w:rPr>
              <w:instrText xml:space="preserve"> PAGEREF _Toc236399766 \h </w:instrText>
            </w:r>
            <w:r>
              <w:rPr>
                <w:webHidden/>
              </w:rPr>
            </w:r>
            <w:r>
              <w:rPr>
                <w:webHidden/>
              </w:rPr>
              <w:fldChar w:fldCharType="separate"/>
            </w:r>
            <w:r w:rsidR="00156823">
              <w:rPr>
                <w:webHidden/>
              </w:rPr>
              <w:t>35</w:t>
            </w:r>
            <w:r>
              <w:rPr>
                <w:webHidden/>
              </w:rPr>
              <w:fldChar w:fldCharType="end"/>
            </w:r>
          </w:hyperlink>
        </w:p>
        <w:p w14:paraId="5454C493" w14:textId="1F080E86" w:rsidR="009F7105" w:rsidRDefault="009F7105">
          <w:pPr>
            <w:pStyle w:val="TOC1"/>
            <w:rPr>
              <w:rFonts w:eastAsiaTheme="minorEastAsia" w:cstheme="minorBidi"/>
              <w:b w:val="0"/>
              <w:kern w:val="2"/>
              <w:sz w:val="24"/>
              <w:szCs w:val="24"/>
              <w14:ligatures w14:val="standardContextual"/>
            </w:rPr>
          </w:pPr>
          <w:hyperlink w:anchor="_Toc236399767" w:history="1">
            <w:r w:rsidRPr="00DC4AF3">
              <w:rPr>
                <w:rStyle w:val="Hyperlink"/>
              </w:rPr>
              <w:t>Priority 3: Elevating the nursing profession</w:t>
            </w:r>
            <w:r>
              <w:rPr>
                <w:webHidden/>
              </w:rPr>
              <w:tab/>
            </w:r>
            <w:r>
              <w:rPr>
                <w:webHidden/>
              </w:rPr>
              <w:fldChar w:fldCharType="begin"/>
            </w:r>
            <w:r>
              <w:rPr>
                <w:webHidden/>
              </w:rPr>
              <w:instrText xml:space="preserve"> PAGEREF _Toc236399767 \h </w:instrText>
            </w:r>
            <w:r>
              <w:rPr>
                <w:webHidden/>
              </w:rPr>
            </w:r>
            <w:r>
              <w:rPr>
                <w:webHidden/>
              </w:rPr>
              <w:fldChar w:fldCharType="separate"/>
            </w:r>
            <w:r w:rsidR="00156823">
              <w:rPr>
                <w:webHidden/>
              </w:rPr>
              <w:t>36</w:t>
            </w:r>
            <w:r>
              <w:rPr>
                <w:webHidden/>
              </w:rPr>
              <w:fldChar w:fldCharType="end"/>
            </w:r>
          </w:hyperlink>
        </w:p>
        <w:p w14:paraId="53062700" w14:textId="19006BEB" w:rsidR="009F7105" w:rsidRDefault="009F7105">
          <w:pPr>
            <w:pStyle w:val="TOC2"/>
            <w:rPr>
              <w:rFonts w:eastAsiaTheme="minorEastAsia" w:cstheme="minorBidi"/>
              <w:sz w:val="24"/>
              <w:szCs w:val="24"/>
              <w:lang w:eastAsia="en-AU"/>
            </w:rPr>
          </w:pPr>
          <w:hyperlink w:anchor="_Toc236399768" w:history="1">
            <w:r w:rsidRPr="00DC4AF3">
              <w:rPr>
                <w:rStyle w:val="Hyperlink"/>
              </w:rPr>
              <w:t>Objective</w:t>
            </w:r>
            <w:r>
              <w:rPr>
                <w:webHidden/>
              </w:rPr>
              <w:tab/>
            </w:r>
            <w:r>
              <w:rPr>
                <w:webHidden/>
              </w:rPr>
              <w:fldChar w:fldCharType="begin"/>
            </w:r>
            <w:r>
              <w:rPr>
                <w:webHidden/>
              </w:rPr>
              <w:instrText xml:space="preserve"> PAGEREF _Toc236399768 \h </w:instrText>
            </w:r>
            <w:r>
              <w:rPr>
                <w:webHidden/>
              </w:rPr>
            </w:r>
            <w:r>
              <w:rPr>
                <w:webHidden/>
              </w:rPr>
              <w:fldChar w:fldCharType="separate"/>
            </w:r>
            <w:r w:rsidR="00156823">
              <w:rPr>
                <w:webHidden/>
              </w:rPr>
              <w:t>36</w:t>
            </w:r>
            <w:r>
              <w:rPr>
                <w:webHidden/>
              </w:rPr>
              <w:fldChar w:fldCharType="end"/>
            </w:r>
          </w:hyperlink>
        </w:p>
        <w:p w14:paraId="2E12FE8C" w14:textId="5CD844AF" w:rsidR="009F7105" w:rsidRDefault="009F7105">
          <w:pPr>
            <w:pStyle w:val="TOC2"/>
            <w:rPr>
              <w:rFonts w:eastAsiaTheme="minorEastAsia" w:cstheme="minorBidi"/>
              <w:sz w:val="24"/>
              <w:szCs w:val="24"/>
              <w:lang w:eastAsia="en-AU"/>
            </w:rPr>
          </w:pPr>
          <w:hyperlink w:anchor="_Toc236399769" w:history="1">
            <w:r w:rsidRPr="00DC4AF3">
              <w:rPr>
                <w:rStyle w:val="Hyperlink"/>
              </w:rPr>
              <w:t>Rationale</w:t>
            </w:r>
            <w:r>
              <w:rPr>
                <w:webHidden/>
              </w:rPr>
              <w:tab/>
            </w:r>
            <w:r>
              <w:rPr>
                <w:webHidden/>
              </w:rPr>
              <w:fldChar w:fldCharType="begin"/>
            </w:r>
            <w:r>
              <w:rPr>
                <w:webHidden/>
              </w:rPr>
              <w:instrText xml:space="preserve"> PAGEREF _Toc236399769 \h </w:instrText>
            </w:r>
            <w:r>
              <w:rPr>
                <w:webHidden/>
              </w:rPr>
            </w:r>
            <w:r>
              <w:rPr>
                <w:webHidden/>
              </w:rPr>
              <w:fldChar w:fldCharType="separate"/>
            </w:r>
            <w:r w:rsidR="00156823">
              <w:rPr>
                <w:webHidden/>
              </w:rPr>
              <w:t>36</w:t>
            </w:r>
            <w:r>
              <w:rPr>
                <w:webHidden/>
              </w:rPr>
              <w:fldChar w:fldCharType="end"/>
            </w:r>
          </w:hyperlink>
        </w:p>
        <w:p w14:paraId="29BC08A4" w14:textId="14AB7672" w:rsidR="009F7105" w:rsidRDefault="009F7105">
          <w:pPr>
            <w:pStyle w:val="TOC2"/>
            <w:rPr>
              <w:rFonts w:eastAsiaTheme="minorEastAsia" w:cstheme="minorBidi"/>
              <w:sz w:val="24"/>
              <w:szCs w:val="24"/>
              <w:lang w:eastAsia="en-AU"/>
            </w:rPr>
          </w:pPr>
          <w:hyperlink w:anchor="_Toc236399770" w:history="1">
            <w:r w:rsidRPr="00DC4AF3">
              <w:rPr>
                <w:rStyle w:val="Hyperlink"/>
              </w:rPr>
              <w:t>Leadership</w:t>
            </w:r>
            <w:r>
              <w:rPr>
                <w:webHidden/>
              </w:rPr>
              <w:tab/>
            </w:r>
            <w:r>
              <w:rPr>
                <w:webHidden/>
              </w:rPr>
              <w:fldChar w:fldCharType="begin"/>
            </w:r>
            <w:r>
              <w:rPr>
                <w:webHidden/>
              </w:rPr>
              <w:instrText xml:space="preserve"> PAGEREF _Toc236399770 \h </w:instrText>
            </w:r>
            <w:r>
              <w:rPr>
                <w:webHidden/>
              </w:rPr>
            </w:r>
            <w:r>
              <w:rPr>
                <w:webHidden/>
              </w:rPr>
              <w:fldChar w:fldCharType="separate"/>
            </w:r>
            <w:r w:rsidR="00156823">
              <w:rPr>
                <w:webHidden/>
              </w:rPr>
              <w:t>37</w:t>
            </w:r>
            <w:r>
              <w:rPr>
                <w:webHidden/>
              </w:rPr>
              <w:fldChar w:fldCharType="end"/>
            </w:r>
          </w:hyperlink>
        </w:p>
        <w:p w14:paraId="2DA455DE" w14:textId="3C4E806A" w:rsidR="009F7105" w:rsidRDefault="009F7105">
          <w:pPr>
            <w:pStyle w:val="TOC2"/>
            <w:rPr>
              <w:rFonts w:eastAsiaTheme="minorEastAsia" w:cstheme="minorBidi"/>
              <w:sz w:val="24"/>
              <w:szCs w:val="24"/>
              <w:lang w:eastAsia="en-AU"/>
            </w:rPr>
          </w:pPr>
          <w:hyperlink w:anchor="_Toc236399771" w:history="1">
            <w:r w:rsidRPr="00DC4AF3">
              <w:rPr>
                <w:rStyle w:val="Hyperlink"/>
              </w:rPr>
              <w:t>Aboriginal and Torres Strait Islander leadership</w:t>
            </w:r>
            <w:r>
              <w:rPr>
                <w:webHidden/>
              </w:rPr>
              <w:tab/>
            </w:r>
            <w:r>
              <w:rPr>
                <w:webHidden/>
              </w:rPr>
              <w:fldChar w:fldCharType="begin"/>
            </w:r>
            <w:r>
              <w:rPr>
                <w:webHidden/>
              </w:rPr>
              <w:instrText xml:space="preserve"> PAGEREF _Toc236399771 \h </w:instrText>
            </w:r>
            <w:r>
              <w:rPr>
                <w:webHidden/>
              </w:rPr>
            </w:r>
            <w:r>
              <w:rPr>
                <w:webHidden/>
              </w:rPr>
              <w:fldChar w:fldCharType="separate"/>
            </w:r>
            <w:r w:rsidR="00156823">
              <w:rPr>
                <w:webHidden/>
              </w:rPr>
              <w:t>38</w:t>
            </w:r>
            <w:r>
              <w:rPr>
                <w:webHidden/>
              </w:rPr>
              <w:fldChar w:fldCharType="end"/>
            </w:r>
          </w:hyperlink>
        </w:p>
        <w:p w14:paraId="147EFAC5" w14:textId="04560DDF" w:rsidR="009F7105" w:rsidRDefault="009F7105">
          <w:pPr>
            <w:pStyle w:val="TOC2"/>
            <w:rPr>
              <w:rFonts w:eastAsiaTheme="minorEastAsia" w:cstheme="minorBidi"/>
              <w:sz w:val="24"/>
              <w:szCs w:val="24"/>
              <w:lang w:eastAsia="en-AU"/>
            </w:rPr>
          </w:pPr>
          <w:hyperlink w:anchor="_Toc236399772" w:history="1">
            <w:r w:rsidRPr="00DC4AF3">
              <w:rPr>
                <w:rStyle w:val="Hyperlink"/>
              </w:rPr>
              <w:t>Racism</w:t>
            </w:r>
            <w:r>
              <w:rPr>
                <w:webHidden/>
              </w:rPr>
              <w:tab/>
            </w:r>
            <w:r>
              <w:rPr>
                <w:webHidden/>
              </w:rPr>
              <w:fldChar w:fldCharType="begin"/>
            </w:r>
            <w:r>
              <w:rPr>
                <w:webHidden/>
              </w:rPr>
              <w:instrText xml:space="preserve"> PAGEREF _Toc236399772 \h </w:instrText>
            </w:r>
            <w:r>
              <w:rPr>
                <w:webHidden/>
              </w:rPr>
            </w:r>
            <w:r>
              <w:rPr>
                <w:webHidden/>
              </w:rPr>
              <w:fldChar w:fldCharType="separate"/>
            </w:r>
            <w:r w:rsidR="00156823">
              <w:rPr>
                <w:webHidden/>
              </w:rPr>
              <w:t>39</w:t>
            </w:r>
            <w:r>
              <w:rPr>
                <w:webHidden/>
              </w:rPr>
              <w:fldChar w:fldCharType="end"/>
            </w:r>
          </w:hyperlink>
        </w:p>
        <w:p w14:paraId="6667183A" w14:textId="783548C8" w:rsidR="009F7105" w:rsidRDefault="009F7105">
          <w:pPr>
            <w:pStyle w:val="TOC2"/>
            <w:rPr>
              <w:rFonts w:eastAsiaTheme="minorEastAsia" w:cstheme="minorBidi"/>
              <w:sz w:val="24"/>
              <w:szCs w:val="24"/>
              <w:lang w:eastAsia="en-AU"/>
            </w:rPr>
          </w:pPr>
          <w:hyperlink w:anchor="_Toc236399773" w:history="1">
            <w:r w:rsidRPr="00DC4AF3">
              <w:rPr>
                <w:rStyle w:val="Hyperlink"/>
              </w:rPr>
              <w:t>Diversity, discrimination and cultural safety</w:t>
            </w:r>
            <w:r>
              <w:rPr>
                <w:webHidden/>
              </w:rPr>
              <w:tab/>
            </w:r>
            <w:r>
              <w:rPr>
                <w:webHidden/>
              </w:rPr>
              <w:fldChar w:fldCharType="begin"/>
            </w:r>
            <w:r>
              <w:rPr>
                <w:webHidden/>
              </w:rPr>
              <w:instrText xml:space="preserve"> PAGEREF _Toc236399773 \h </w:instrText>
            </w:r>
            <w:r>
              <w:rPr>
                <w:webHidden/>
              </w:rPr>
            </w:r>
            <w:r>
              <w:rPr>
                <w:webHidden/>
              </w:rPr>
              <w:fldChar w:fldCharType="separate"/>
            </w:r>
            <w:r w:rsidR="00156823">
              <w:rPr>
                <w:webHidden/>
              </w:rPr>
              <w:t>40</w:t>
            </w:r>
            <w:r>
              <w:rPr>
                <w:webHidden/>
              </w:rPr>
              <w:fldChar w:fldCharType="end"/>
            </w:r>
          </w:hyperlink>
        </w:p>
        <w:p w14:paraId="1C195FE9" w14:textId="4A8BEA30" w:rsidR="009F7105" w:rsidRDefault="009F7105">
          <w:pPr>
            <w:pStyle w:val="TOC2"/>
            <w:rPr>
              <w:rFonts w:eastAsiaTheme="minorEastAsia" w:cstheme="minorBidi"/>
              <w:sz w:val="24"/>
              <w:szCs w:val="24"/>
              <w:lang w:eastAsia="en-AU"/>
            </w:rPr>
          </w:pPr>
          <w:hyperlink w:anchor="_Toc236399774" w:history="1">
            <w:r w:rsidRPr="00DC4AF3">
              <w:rPr>
                <w:rStyle w:val="Hyperlink"/>
              </w:rPr>
              <w:t>Internationally qualified nurses</w:t>
            </w:r>
            <w:r>
              <w:rPr>
                <w:webHidden/>
              </w:rPr>
              <w:tab/>
            </w:r>
            <w:r>
              <w:rPr>
                <w:webHidden/>
              </w:rPr>
              <w:fldChar w:fldCharType="begin"/>
            </w:r>
            <w:r>
              <w:rPr>
                <w:webHidden/>
              </w:rPr>
              <w:instrText xml:space="preserve"> PAGEREF _Toc236399774 \h </w:instrText>
            </w:r>
            <w:r>
              <w:rPr>
                <w:webHidden/>
              </w:rPr>
            </w:r>
            <w:r>
              <w:rPr>
                <w:webHidden/>
              </w:rPr>
              <w:fldChar w:fldCharType="separate"/>
            </w:r>
            <w:r w:rsidR="00156823">
              <w:rPr>
                <w:webHidden/>
              </w:rPr>
              <w:t>41</w:t>
            </w:r>
            <w:r>
              <w:rPr>
                <w:webHidden/>
              </w:rPr>
              <w:fldChar w:fldCharType="end"/>
            </w:r>
          </w:hyperlink>
        </w:p>
        <w:p w14:paraId="14812445" w14:textId="5250E8FA" w:rsidR="009F7105" w:rsidRDefault="009F7105">
          <w:pPr>
            <w:pStyle w:val="TOC2"/>
            <w:rPr>
              <w:rFonts w:eastAsiaTheme="minorEastAsia" w:cstheme="minorBidi"/>
              <w:sz w:val="24"/>
              <w:szCs w:val="24"/>
              <w:lang w:eastAsia="en-AU"/>
            </w:rPr>
          </w:pPr>
          <w:hyperlink w:anchor="_Toc236399775" w:history="1">
            <w:r w:rsidRPr="00DC4AF3">
              <w:rPr>
                <w:rStyle w:val="Hyperlink"/>
              </w:rPr>
              <w:t>Identity of nursing</w:t>
            </w:r>
            <w:r>
              <w:rPr>
                <w:webHidden/>
              </w:rPr>
              <w:tab/>
            </w:r>
            <w:r>
              <w:rPr>
                <w:webHidden/>
              </w:rPr>
              <w:fldChar w:fldCharType="begin"/>
            </w:r>
            <w:r>
              <w:rPr>
                <w:webHidden/>
              </w:rPr>
              <w:instrText xml:space="preserve"> PAGEREF _Toc236399775 \h </w:instrText>
            </w:r>
            <w:r>
              <w:rPr>
                <w:webHidden/>
              </w:rPr>
            </w:r>
            <w:r>
              <w:rPr>
                <w:webHidden/>
              </w:rPr>
              <w:fldChar w:fldCharType="separate"/>
            </w:r>
            <w:r w:rsidR="00156823">
              <w:rPr>
                <w:webHidden/>
              </w:rPr>
              <w:t>42</w:t>
            </w:r>
            <w:r>
              <w:rPr>
                <w:webHidden/>
              </w:rPr>
              <w:fldChar w:fldCharType="end"/>
            </w:r>
          </w:hyperlink>
        </w:p>
        <w:p w14:paraId="39592E81" w14:textId="692C9C4A" w:rsidR="009F7105" w:rsidRDefault="009F7105">
          <w:pPr>
            <w:pStyle w:val="TOC1"/>
            <w:rPr>
              <w:rFonts w:eastAsiaTheme="minorEastAsia" w:cstheme="minorBidi"/>
              <w:b w:val="0"/>
              <w:kern w:val="2"/>
              <w:sz w:val="24"/>
              <w:szCs w:val="24"/>
              <w14:ligatures w14:val="standardContextual"/>
            </w:rPr>
          </w:pPr>
          <w:hyperlink w:anchor="_Toc236399776" w:history="1">
            <w:r w:rsidRPr="00DC4AF3">
              <w:rPr>
                <w:rStyle w:val="Hyperlink"/>
              </w:rPr>
              <w:t>Priority 4: Delivering a sustainable nursing workforce</w:t>
            </w:r>
            <w:r>
              <w:rPr>
                <w:webHidden/>
              </w:rPr>
              <w:tab/>
            </w:r>
            <w:r>
              <w:rPr>
                <w:webHidden/>
              </w:rPr>
              <w:fldChar w:fldCharType="begin"/>
            </w:r>
            <w:r>
              <w:rPr>
                <w:webHidden/>
              </w:rPr>
              <w:instrText xml:space="preserve"> PAGEREF _Toc236399776 \h </w:instrText>
            </w:r>
            <w:r>
              <w:rPr>
                <w:webHidden/>
              </w:rPr>
            </w:r>
            <w:r>
              <w:rPr>
                <w:webHidden/>
              </w:rPr>
              <w:fldChar w:fldCharType="separate"/>
            </w:r>
            <w:r w:rsidR="00156823">
              <w:rPr>
                <w:webHidden/>
              </w:rPr>
              <w:t>43</w:t>
            </w:r>
            <w:r>
              <w:rPr>
                <w:webHidden/>
              </w:rPr>
              <w:fldChar w:fldCharType="end"/>
            </w:r>
          </w:hyperlink>
        </w:p>
        <w:p w14:paraId="2D59D09F" w14:textId="69A7201E" w:rsidR="009F7105" w:rsidRDefault="009F7105">
          <w:pPr>
            <w:pStyle w:val="TOC2"/>
            <w:rPr>
              <w:rFonts w:eastAsiaTheme="minorEastAsia" w:cstheme="minorBidi"/>
              <w:sz w:val="24"/>
              <w:szCs w:val="24"/>
              <w:lang w:eastAsia="en-AU"/>
            </w:rPr>
          </w:pPr>
          <w:hyperlink w:anchor="_Toc236399777" w:history="1">
            <w:r w:rsidRPr="00DC4AF3">
              <w:rPr>
                <w:rStyle w:val="Hyperlink"/>
              </w:rPr>
              <w:t>Objective</w:t>
            </w:r>
            <w:r>
              <w:rPr>
                <w:webHidden/>
              </w:rPr>
              <w:tab/>
            </w:r>
            <w:r>
              <w:rPr>
                <w:webHidden/>
              </w:rPr>
              <w:fldChar w:fldCharType="begin"/>
            </w:r>
            <w:r>
              <w:rPr>
                <w:webHidden/>
              </w:rPr>
              <w:instrText xml:space="preserve"> PAGEREF _Toc236399777 \h </w:instrText>
            </w:r>
            <w:r>
              <w:rPr>
                <w:webHidden/>
              </w:rPr>
            </w:r>
            <w:r>
              <w:rPr>
                <w:webHidden/>
              </w:rPr>
              <w:fldChar w:fldCharType="separate"/>
            </w:r>
            <w:r w:rsidR="00156823">
              <w:rPr>
                <w:webHidden/>
              </w:rPr>
              <w:t>43</w:t>
            </w:r>
            <w:r>
              <w:rPr>
                <w:webHidden/>
              </w:rPr>
              <w:fldChar w:fldCharType="end"/>
            </w:r>
          </w:hyperlink>
        </w:p>
        <w:p w14:paraId="69A541B8" w14:textId="3ADCB6A4" w:rsidR="009F7105" w:rsidRDefault="009F7105">
          <w:pPr>
            <w:pStyle w:val="TOC2"/>
            <w:rPr>
              <w:rFonts w:eastAsiaTheme="minorEastAsia" w:cstheme="minorBidi"/>
              <w:sz w:val="24"/>
              <w:szCs w:val="24"/>
              <w:lang w:eastAsia="en-AU"/>
            </w:rPr>
          </w:pPr>
          <w:hyperlink w:anchor="_Toc236399778" w:history="1">
            <w:r w:rsidRPr="00DC4AF3">
              <w:rPr>
                <w:rStyle w:val="Hyperlink"/>
              </w:rPr>
              <w:t>Rationale</w:t>
            </w:r>
            <w:r>
              <w:rPr>
                <w:webHidden/>
              </w:rPr>
              <w:tab/>
            </w:r>
            <w:r>
              <w:rPr>
                <w:webHidden/>
              </w:rPr>
              <w:fldChar w:fldCharType="begin"/>
            </w:r>
            <w:r>
              <w:rPr>
                <w:webHidden/>
              </w:rPr>
              <w:instrText xml:space="preserve"> PAGEREF _Toc236399778 \h </w:instrText>
            </w:r>
            <w:r>
              <w:rPr>
                <w:webHidden/>
              </w:rPr>
            </w:r>
            <w:r>
              <w:rPr>
                <w:webHidden/>
              </w:rPr>
              <w:fldChar w:fldCharType="separate"/>
            </w:r>
            <w:r w:rsidR="00156823">
              <w:rPr>
                <w:webHidden/>
              </w:rPr>
              <w:t>43</w:t>
            </w:r>
            <w:r>
              <w:rPr>
                <w:webHidden/>
              </w:rPr>
              <w:fldChar w:fldCharType="end"/>
            </w:r>
          </w:hyperlink>
        </w:p>
        <w:p w14:paraId="03D72782" w14:textId="7B0D8836" w:rsidR="009F7105" w:rsidRDefault="009F7105">
          <w:pPr>
            <w:pStyle w:val="TOC2"/>
            <w:rPr>
              <w:rFonts w:eastAsiaTheme="minorEastAsia" w:cstheme="minorBidi"/>
              <w:sz w:val="24"/>
              <w:szCs w:val="24"/>
              <w:lang w:eastAsia="en-AU"/>
            </w:rPr>
          </w:pPr>
          <w:hyperlink w:anchor="_Toc236399779" w:history="1">
            <w:r w:rsidRPr="00DC4AF3">
              <w:rPr>
                <w:rStyle w:val="Hyperlink"/>
              </w:rPr>
              <w:t>Transition of practice</w:t>
            </w:r>
            <w:r>
              <w:rPr>
                <w:webHidden/>
              </w:rPr>
              <w:tab/>
            </w:r>
            <w:r>
              <w:rPr>
                <w:webHidden/>
              </w:rPr>
              <w:fldChar w:fldCharType="begin"/>
            </w:r>
            <w:r>
              <w:rPr>
                <w:webHidden/>
              </w:rPr>
              <w:instrText xml:space="preserve"> PAGEREF _Toc236399779 \h </w:instrText>
            </w:r>
            <w:r>
              <w:rPr>
                <w:webHidden/>
              </w:rPr>
            </w:r>
            <w:r>
              <w:rPr>
                <w:webHidden/>
              </w:rPr>
              <w:fldChar w:fldCharType="separate"/>
            </w:r>
            <w:r w:rsidR="00156823">
              <w:rPr>
                <w:webHidden/>
              </w:rPr>
              <w:t>43</w:t>
            </w:r>
            <w:r>
              <w:rPr>
                <w:webHidden/>
              </w:rPr>
              <w:fldChar w:fldCharType="end"/>
            </w:r>
          </w:hyperlink>
        </w:p>
        <w:p w14:paraId="70135CC6" w14:textId="23F187F0" w:rsidR="009F7105" w:rsidRDefault="009F7105">
          <w:pPr>
            <w:pStyle w:val="TOC2"/>
            <w:rPr>
              <w:rFonts w:eastAsiaTheme="minorEastAsia" w:cstheme="minorBidi"/>
              <w:sz w:val="24"/>
              <w:szCs w:val="24"/>
              <w:lang w:eastAsia="en-AU"/>
            </w:rPr>
          </w:pPr>
          <w:hyperlink w:anchor="_Toc236399780" w:history="1">
            <w:r w:rsidRPr="00DC4AF3">
              <w:rPr>
                <w:rStyle w:val="Hyperlink"/>
              </w:rPr>
              <w:t>Career framework</w:t>
            </w:r>
            <w:r>
              <w:rPr>
                <w:webHidden/>
              </w:rPr>
              <w:tab/>
            </w:r>
            <w:r>
              <w:rPr>
                <w:webHidden/>
              </w:rPr>
              <w:fldChar w:fldCharType="begin"/>
            </w:r>
            <w:r>
              <w:rPr>
                <w:webHidden/>
              </w:rPr>
              <w:instrText xml:space="preserve"> PAGEREF _Toc236399780 \h </w:instrText>
            </w:r>
            <w:r>
              <w:rPr>
                <w:webHidden/>
              </w:rPr>
            </w:r>
            <w:r>
              <w:rPr>
                <w:webHidden/>
              </w:rPr>
              <w:fldChar w:fldCharType="separate"/>
            </w:r>
            <w:r w:rsidR="00156823">
              <w:rPr>
                <w:webHidden/>
              </w:rPr>
              <w:t>44</w:t>
            </w:r>
            <w:r>
              <w:rPr>
                <w:webHidden/>
              </w:rPr>
              <w:fldChar w:fldCharType="end"/>
            </w:r>
          </w:hyperlink>
        </w:p>
        <w:p w14:paraId="31DAFAC3" w14:textId="7A520A6A" w:rsidR="009F7105" w:rsidRDefault="009F7105">
          <w:pPr>
            <w:pStyle w:val="TOC2"/>
            <w:rPr>
              <w:rFonts w:eastAsiaTheme="minorEastAsia" w:cstheme="minorBidi"/>
              <w:sz w:val="24"/>
              <w:szCs w:val="24"/>
              <w:lang w:eastAsia="en-AU"/>
            </w:rPr>
          </w:pPr>
          <w:hyperlink w:anchor="_Toc236399781" w:history="1">
            <w:r w:rsidRPr="00DC4AF3">
              <w:rPr>
                <w:rStyle w:val="Hyperlink"/>
              </w:rPr>
              <w:t>Lifelong learning</w:t>
            </w:r>
            <w:r>
              <w:rPr>
                <w:webHidden/>
              </w:rPr>
              <w:tab/>
            </w:r>
            <w:r>
              <w:rPr>
                <w:webHidden/>
              </w:rPr>
              <w:fldChar w:fldCharType="begin"/>
            </w:r>
            <w:r>
              <w:rPr>
                <w:webHidden/>
              </w:rPr>
              <w:instrText xml:space="preserve"> PAGEREF _Toc236399781 \h </w:instrText>
            </w:r>
            <w:r>
              <w:rPr>
                <w:webHidden/>
              </w:rPr>
            </w:r>
            <w:r>
              <w:rPr>
                <w:webHidden/>
              </w:rPr>
              <w:fldChar w:fldCharType="separate"/>
            </w:r>
            <w:r w:rsidR="00156823">
              <w:rPr>
                <w:webHidden/>
              </w:rPr>
              <w:t>44</w:t>
            </w:r>
            <w:r>
              <w:rPr>
                <w:webHidden/>
              </w:rPr>
              <w:fldChar w:fldCharType="end"/>
            </w:r>
          </w:hyperlink>
        </w:p>
        <w:p w14:paraId="38D2D4CB" w14:textId="4E79FD3F" w:rsidR="009F7105" w:rsidRDefault="009F7105">
          <w:pPr>
            <w:pStyle w:val="TOC2"/>
            <w:rPr>
              <w:rFonts w:eastAsiaTheme="minorEastAsia" w:cstheme="minorBidi"/>
              <w:sz w:val="24"/>
              <w:szCs w:val="24"/>
              <w:lang w:eastAsia="en-AU"/>
            </w:rPr>
          </w:pPr>
          <w:hyperlink w:anchor="_Toc236399782" w:history="1">
            <w:r w:rsidRPr="00DC4AF3">
              <w:rPr>
                <w:rStyle w:val="Hyperlink"/>
              </w:rPr>
              <w:t>Workplace environment</w:t>
            </w:r>
            <w:r>
              <w:rPr>
                <w:webHidden/>
              </w:rPr>
              <w:tab/>
            </w:r>
            <w:r>
              <w:rPr>
                <w:webHidden/>
              </w:rPr>
              <w:fldChar w:fldCharType="begin"/>
            </w:r>
            <w:r>
              <w:rPr>
                <w:webHidden/>
              </w:rPr>
              <w:instrText xml:space="preserve"> PAGEREF _Toc236399782 \h </w:instrText>
            </w:r>
            <w:r>
              <w:rPr>
                <w:webHidden/>
              </w:rPr>
            </w:r>
            <w:r>
              <w:rPr>
                <w:webHidden/>
              </w:rPr>
              <w:fldChar w:fldCharType="separate"/>
            </w:r>
            <w:r w:rsidR="00156823">
              <w:rPr>
                <w:webHidden/>
              </w:rPr>
              <w:t>45</w:t>
            </w:r>
            <w:r>
              <w:rPr>
                <w:webHidden/>
              </w:rPr>
              <w:fldChar w:fldCharType="end"/>
            </w:r>
          </w:hyperlink>
        </w:p>
        <w:p w14:paraId="0B3A544E" w14:textId="349FB7C8" w:rsidR="009F7105" w:rsidRDefault="009F7105">
          <w:pPr>
            <w:pStyle w:val="TOC2"/>
            <w:rPr>
              <w:rFonts w:eastAsiaTheme="minorEastAsia" w:cstheme="minorBidi"/>
              <w:sz w:val="24"/>
              <w:szCs w:val="24"/>
              <w:lang w:eastAsia="en-AU"/>
            </w:rPr>
          </w:pPr>
          <w:hyperlink w:anchor="_Toc236399783" w:history="1">
            <w:r w:rsidRPr="00DC4AF3">
              <w:rPr>
                <w:rStyle w:val="Hyperlink"/>
              </w:rPr>
              <w:t>Research</w:t>
            </w:r>
            <w:r>
              <w:rPr>
                <w:webHidden/>
              </w:rPr>
              <w:tab/>
            </w:r>
            <w:r>
              <w:rPr>
                <w:webHidden/>
              </w:rPr>
              <w:fldChar w:fldCharType="begin"/>
            </w:r>
            <w:r>
              <w:rPr>
                <w:webHidden/>
              </w:rPr>
              <w:instrText xml:space="preserve"> PAGEREF _Toc236399783 \h </w:instrText>
            </w:r>
            <w:r>
              <w:rPr>
                <w:webHidden/>
              </w:rPr>
            </w:r>
            <w:r>
              <w:rPr>
                <w:webHidden/>
              </w:rPr>
              <w:fldChar w:fldCharType="separate"/>
            </w:r>
            <w:r w:rsidR="00156823">
              <w:rPr>
                <w:webHidden/>
              </w:rPr>
              <w:t>46</w:t>
            </w:r>
            <w:r>
              <w:rPr>
                <w:webHidden/>
              </w:rPr>
              <w:fldChar w:fldCharType="end"/>
            </w:r>
          </w:hyperlink>
        </w:p>
        <w:p w14:paraId="57C0DEAB" w14:textId="19813121" w:rsidR="009F7105" w:rsidRDefault="009F7105">
          <w:pPr>
            <w:pStyle w:val="TOC2"/>
            <w:rPr>
              <w:rFonts w:eastAsiaTheme="minorEastAsia" w:cstheme="minorBidi"/>
              <w:sz w:val="24"/>
              <w:szCs w:val="24"/>
              <w:lang w:eastAsia="en-AU"/>
            </w:rPr>
          </w:pPr>
          <w:hyperlink w:anchor="_Toc236399784" w:history="1">
            <w:r w:rsidRPr="00DC4AF3">
              <w:rPr>
                <w:rStyle w:val="Hyperlink"/>
              </w:rPr>
              <w:t>Rural and remote workforce</w:t>
            </w:r>
            <w:r>
              <w:rPr>
                <w:webHidden/>
              </w:rPr>
              <w:tab/>
            </w:r>
            <w:r>
              <w:rPr>
                <w:webHidden/>
              </w:rPr>
              <w:fldChar w:fldCharType="begin"/>
            </w:r>
            <w:r>
              <w:rPr>
                <w:webHidden/>
              </w:rPr>
              <w:instrText xml:space="preserve"> PAGEREF _Toc236399784 \h </w:instrText>
            </w:r>
            <w:r>
              <w:rPr>
                <w:webHidden/>
              </w:rPr>
            </w:r>
            <w:r>
              <w:rPr>
                <w:webHidden/>
              </w:rPr>
              <w:fldChar w:fldCharType="separate"/>
            </w:r>
            <w:r w:rsidR="00156823">
              <w:rPr>
                <w:webHidden/>
              </w:rPr>
              <w:t>47</w:t>
            </w:r>
            <w:r>
              <w:rPr>
                <w:webHidden/>
              </w:rPr>
              <w:fldChar w:fldCharType="end"/>
            </w:r>
          </w:hyperlink>
        </w:p>
        <w:p w14:paraId="1D2B3804" w14:textId="090BE997" w:rsidR="009F7105" w:rsidRDefault="009F7105">
          <w:pPr>
            <w:pStyle w:val="TOC1"/>
            <w:rPr>
              <w:rFonts w:eastAsiaTheme="minorEastAsia" w:cstheme="minorBidi"/>
              <w:b w:val="0"/>
              <w:kern w:val="2"/>
              <w:sz w:val="24"/>
              <w:szCs w:val="24"/>
              <w14:ligatures w14:val="standardContextual"/>
            </w:rPr>
          </w:pPr>
          <w:hyperlink w:anchor="_Toc236399785" w:history="1">
            <w:r w:rsidRPr="00DC4AF3">
              <w:rPr>
                <w:rStyle w:val="Hyperlink"/>
              </w:rPr>
              <w:t>Implementation and measuring success</w:t>
            </w:r>
            <w:r>
              <w:rPr>
                <w:webHidden/>
              </w:rPr>
              <w:tab/>
            </w:r>
            <w:r>
              <w:rPr>
                <w:webHidden/>
              </w:rPr>
              <w:fldChar w:fldCharType="begin"/>
            </w:r>
            <w:r>
              <w:rPr>
                <w:webHidden/>
              </w:rPr>
              <w:instrText xml:space="preserve"> PAGEREF _Toc236399785 \h </w:instrText>
            </w:r>
            <w:r>
              <w:rPr>
                <w:webHidden/>
              </w:rPr>
            </w:r>
            <w:r>
              <w:rPr>
                <w:webHidden/>
              </w:rPr>
              <w:fldChar w:fldCharType="separate"/>
            </w:r>
            <w:r w:rsidR="00156823">
              <w:rPr>
                <w:webHidden/>
              </w:rPr>
              <w:t>49</w:t>
            </w:r>
            <w:r>
              <w:rPr>
                <w:webHidden/>
              </w:rPr>
              <w:fldChar w:fldCharType="end"/>
            </w:r>
          </w:hyperlink>
        </w:p>
        <w:p w14:paraId="1E10A887" w14:textId="73AEAD90" w:rsidR="009F7105" w:rsidRDefault="009F7105">
          <w:pPr>
            <w:pStyle w:val="TOC2"/>
            <w:rPr>
              <w:rFonts w:eastAsiaTheme="minorEastAsia" w:cstheme="minorBidi"/>
              <w:sz w:val="24"/>
              <w:szCs w:val="24"/>
              <w:lang w:eastAsia="en-AU"/>
            </w:rPr>
          </w:pPr>
          <w:hyperlink w:anchor="_Toc236399786" w:history="1">
            <w:r w:rsidRPr="00DC4AF3">
              <w:rPr>
                <w:rStyle w:val="Hyperlink"/>
              </w:rPr>
              <w:t>Implementation</w:t>
            </w:r>
            <w:r>
              <w:rPr>
                <w:webHidden/>
              </w:rPr>
              <w:tab/>
            </w:r>
            <w:r>
              <w:rPr>
                <w:webHidden/>
              </w:rPr>
              <w:fldChar w:fldCharType="begin"/>
            </w:r>
            <w:r>
              <w:rPr>
                <w:webHidden/>
              </w:rPr>
              <w:instrText xml:space="preserve"> PAGEREF _Toc236399786 \h </w:instrText>
            </w:r>
            <w:r>
              <w:rPr>
                <w:webHidden/>
              </w:rPr>
            </w:r>
            <w:r>
              <w:rPr>
                <w:webHidden/>
              </w:rPr>
              <w:fldChar w:fldCharType="separate"/>
            </w:r>
            <w:r w:rsidR="00156823">
              <w:rPr>
                <w:webHidden/>
              </w:rPr>
              <w:t>49</w:t>
            </w:r>
            <w:r>
              <w:rPr>
                <w:webHidden/>
              </w:rPr>
              <w:fldChar w:fldCharType="end"/>
            </w:r>
          </w:hyperlink>
        </w:p>
        <w:p w14:paraId="001E09EE" w14:textId="73F4C4CD" w:rsidR="009F7105" w:rsidRDefault="009F7105">
          <w:pPr>
            <w:pStyle w:val="TOC2"/>
            <w:rPr>
              <w:rFonts w:eastAsiaTheme="minorEastAsia" w:cstheme="minorBidi"/>
              <w:sz w:val="24"/>
              <w:szCs w:val="24"/>
              <w:lang w:eastAsia="en-AU"/>
            </w:rPr>
          </w:pPr>
          <w:hyperlink w:anchor="_Toc236399787" w:history="1">
            <w:r w:rsidRPr="00DC4AF3">
              <w:rPr>
                <w:rStyle w:val="Hyperlink"/>
              </w:rPr>
              <w:t>Governance</w:t>
            </w:r>
            <w:r>
              <w:rPr>
                <w:webHidden/>
              </w:rPr>
              <w:tab/>
            </w:r>
            <w:r>
              <w:rPr>
                <w:webHidden/>
              </w:rPr>
              <w:fldChar w:fldCharType="begin"/>
            </w:r>
            <w:r>
              <w:rPr>
                <w:webHidden/>
              </w:rPr>
              <w:instrText xml:space="preserve"> PAGEREF _Toc236399787 \h </w:instrText>
            </w:r>
            <w:r>
              <w:rPr>
                <w:webHidden/>
              </w:rPr>
            </w:r>
            <w:r>
              <w:rPr>
                <w:webHidden/>
              </w:rPr>
              <w:fldChar w:fldCharType="separate"/>
            </w:r>
            <w:r w:rsidR="00156823">
              <w:rPr>
                <w:webHidden/>
              </w:rPr>
              <w:t>49</w:t>
            </w:r>
            <w:r>
              <w:rPr>
                <w:webHidden/>
              </w:rPr>
              <w:fldChar w:fldCharType="end"/>
            </w:r>
          </w:hyperlink>
        </w:p>
        <w:p w14:paraId="1B6F9C7F" w14:textId="746E0CD4" w:rsidR="009F7105" w:rsidRDefault="009F7105">
          <w:pPr>
            <w:pStyle w:val="TOC2"/>
            <w:rPr>
              <w:rFonts w:eastAsiaTheme="minorEastAsia" w:cstheme="minorBidi"/>
              <w:sz w:val="24"/>
              <w:szCs w:val="24"/>
              <w:lang w:eastAsia="en-AU"/>
            </w:rPr>
          </w:pPr>
          <w:hyperlink w:anchor="_Toc236399788" w:history="1">
            <w:r w:rsidRPr="00DC4AF3">
              <w:rPr>
                <w:rStyle w:val="Hyperlink"/>
              </w:rPr>
              <w:t>Monitoring and evaluation</w:t>
            </w:r>
            <w:r>
              <w:rPr>
                <w:webHidden/>
              </w:rPr>
              <w:tab/>
            </w:r>
            <w:r>
              <w:rPr>
                <w:webHidden/>
              </w:rPr>
              <w:fldChar w:fldCharType="begin"/>
            </w:r>
            <w:r>
              <w:rPr>
                <w:webHidden/>
              </w:rPr>
              <w:instrText xml:space="preserve"> PAGEREF _Toc236399788 \h </w:instrText>
            </w:r>
            <w:r>
              <w:rPr>
                <w:webHidden/>
              </w:rPr>
            </w:r>
            <w:r>
              <w:rPr>
                <w:webHidden/>
              </w:rPr>
              <w:fldChar w:fldCharType="separate"/>
            </w:r>
            <w:r w:rsidR="00156823">
              <w:rPr>
                <w:webHidden/>
              </w:rPr>
              <w:t>49</w:t>
            </w:r>
            <w:r>
              <w:rPr>
                <w:webHidden/>
              </w:rPr>
              <w:fldChar w:fldCharType="end"/>
            </w:r>
          </w:hyperlink>
        </w:p>
        <w:p w14:paraId="23D36DFC" w14:textId="3C085C9B" w:rsidR="009F7105" w:rsidRDefault="009F7105">
          <w:pPr>
            <w:pStyle w:val="TOC1"/>
            <w:rPr>
              <w:rFonts w:eastAsiaTheme="minorEastAsia" w:cstheme="minorBidi"/>
              <w:b w:val="0"/>
              <w:kern w:val="2"/>
              <w:sz w:val="24"/>
              <w:szCs w:val="24"/>
              <w14:ligatures w14:val="standardContextual"/>
            </w:rPr>
          </w:pPr>
          <w:hyperlink w:anchor="_Toc236399789" w:history="1">
            <w:r w:rsidRPr="00DC4AF3">
              <w:rPr>
                <w:rStyle w:val="Hyperlink"/>
              </w:rPr>
              <w:t>Appendices</w:t>
            </w:r>
            <w:r>
              <w:rPr>
                <w:webHidden/>
              </w:rPr>
              <w:tab/>
            </w:r>
            <w:r>
              <w:rPr>
                <w:webHidden/>
              </w:rPr>
              <w:fldChar w:fldCharType="begin"/>
            </w:r>
            <w:r>
              <w:rPr>
                <w:webHidden/>
              </w:rPr>
              <w:instrText xml:space="preserve"> PAGEREF _Toc236399789 \h </w:instrText>
            </w:r>
            <w:r>
              <w:rPr>
                <w:webHidden/>
              </w:rPr>
            </w:r>
            <w:r>
              <w:rPr>
                <w:webHidden/>
              </w:rPr>
              <w:fldChar w:fldCharType="separate"/>
            </w:r>
            <w:r w:rsidR="00156823">
              <w:rPr>
                <w:webHidden/>
              </w:rPr>
              <w:t>50</w:t>
            </w:r>
            <w:r>
              <w:rPr>
                <w:webHidden/>
              </w:rPr>
              <w:fldChar w:fldCharType="end"/>
            </w:r>
          </w:hyperlink>
        </w:p>
        <w:p w14:paraId="012F271B" w14:textId="45BE96AC" w:rsidR="009F7105" w:rsidRDefault="009F7105">
          <w:pPr>
            <w:pStyle w:val="TOC2"/>
            <w:rPr>
              <w:rFonts w:eastAsiaTheme="minorEastAsia" w:cstheme="minorBidi"/>
              <w:sz w:val="24"/>
              <w:szCs w:val="24"/>
              <w:lang w:eastAsia="en-AU"/>
            </w:rPr>
          </w:pPr>
          <w:hyperlink w:anchor="_Toc236399790" w:history="1">
            <w:r w:rsidRPr="00DC4AF3">
              <w:rPr>
                <w:rStyle w:val="Hyperlink"/>
              </w:rPr>
              <w:t>Appendix A – Australian health care system</w:t>
            </w:r>
            <w:r>
              <w:rPr>
                <w:webHidden/>
              </w:rPr>
              <w:tab/>
            </w:r>
            <w:r>
              <w:rPr>
                <w:webHidden/>
              </w:rPr>
              <w:fldChar w:fldCharType="begin"/>
            </w:r>
            <w:r>
              <w:rPr>
                <w:webHidden/>
              </w:rPr>
              <w:instrText xml:space="preserve"> PAGEREF _Toc236399790 \h </w:instrText>
            </w:r>
            <w:r>
              <w:rPr>
                <w:webHidden/>
              </w:rPr>
            </w:r>
            <w:r>
              <w:rPr>
                <w:webHidden/>
              </w:rPr>
              <w:fldChar w:fldCharType="separate"/>
            </w:r>
            <w:r w:rsidR="00156823">
              <w:rPr>
                <w:webHidden/>
              </w:rPr>
              <w:t>50</w:t>
            </w:r>
            <w:r>
              <w:rPr>
                <w:webHidden/>
              </w:rPr>
              <w:fldChar w:fldCharType="end"/>
            </w:r>
          </w:hyperlink>
        </w:p>
        <w:p w14:paraId="08FBE006" w14:textId="174B706B" w:rsidR="009F7105" w:rsidRDefault="009F7105">
          <w:pPr>
            <w:pStyle w:val="TOC2"/>
            <w:rPr>
              <w:rFonts w:eastAsiaTheme="minorEastAsia" w:cstheme="minorBidi"/>
              <w:sz w:val="24"/>
              <w:szCs w:val="24"/>
              <w:lang w:eastAsia="en-AU"/>
            </w:rPr>
          </w:pPr>
          <w:hyperlink w:anchor="_Toc236399791" w:history="1">
            <w:r w:rsidRPr="00DC4AF3">
              <w:rPr>
                <w:rStyle w:val="Hyperlink"/>
              </w:rPr>
              <w:t>Appendix B – Development of the strategy</w:t>
            </w:r>
            <w:r>
              <w:rPr>
                <w:webHidden/>
              </w:rPr>
              <w:tab/>
            </w:r>
            <w:r>
              <w:rPr>
                <w:webHidden/>
              </w:rPr>
              <w:fldChar w:fldCharType="begin"/>
            </w:r>
            <w:r>
              <w:rPr>
                <w:webHidden/>
              </w:rPr>
              <w:instrText xml:space="preserve"> PAGEREF _Toc236399791 \h </w:instrText>
            </w:r>
            <w:r>
              <w:rPr>
                <w:webHidden/>
              </w:rPr>
            </w:r>
            <w:r>
              <w:rPr>
                <w:webHidden/>
              </w:rPr>
              <w:fldChar w:fldCharType="separate"/>
            </w:r>
            <w:r w:rsidR="00156823">
              <w:rPr>
                <w:webHidden/>
              </w:rPr>
              <w:t>51</w:t>
            </w:r>
            <w:r>
              <w:rPr>
                <w:webHidden/>
              </w:rPr>
              <w:fldChar w:fldCharType="end"/>
            </w:r>
          </w:hyperlink>
        </w:p>
        <w:p w14:paraId="41CDF5E9" w14:textId="477F5FEC" w:rsidR="009F7105" w:rsidRDefault="009F7105">
          <w:pPr>
            <w:pStyle w:val="TOC2"/>
            <w:rPr>
              <w:rFonts w:eastAsiaTheme="minorEastAsia" w:cstheme="minorBidi"/>
              <w:sz w:val="24"/>
              <w:szCs w:val="24"/>
              <w:lang w:eastAsia="en-AU"/>
            </w:rPr>
          </w:pPr>
          <w:hyperlink w:anchor="_Toc236399792" w:history="1">
            <w:r w:rsidRPr="00DC4AF3">
              <w:rPr>
                <w:rStyle w:val="Hyperlink"/>
              </w:rPr>
              <w:t>Appendix C – Definition of nurses and nursing</w:t>
            </w:r>
            <w:r>
              <w:rPr>
                <w:webHidden/>
              </w:rPr>
              <w:tab/>
            </w:r>
            <w:r>
              <w:rPr>
                <w:webHidden/>
              </w:rPr>
              <w:fldChar w:fldCharType="begin"/>
            </w:r>
            <w:r>
              <w:rPr>
                <w:webHidden/>
              </w:rPr>
              <w:instrText xml:space="preserve"> PAGEREF _Toc236399792 \h </w:instrText>
            </w:r>
            <w:r>
              <w:rPr>
                <w:webHidden/>
              </w:rPr>
            </w:r>
            <w:r>
              <w:rPr>
                <w:webHidden/>
              </w:rPr>
              <w:fldChar w:fldCharType="separate"/>
            </w:r>
            <w:r w:rsidR="00156823">
              <w:rPr>
                <w:webHidden/>
              </w:rPr>
              <w:t>58</w:t>
            </w:r>
            <w:r>
              <w:rPr>
                <w:webHidden/>
              </w:rPr>
              <w:fldChar w:fldCharType="end"/>
            </w:r>
          </w:hyperlink>
        </w:p>
        <w:p w14:paraId="155FC5AC" w14:textId="310F49E9" w:rsidR="009F7105" w:rsidRDefault="009F7105">
          <w:pPr>
            <w:pStyle w:val="TOC1"/>
            <w:rPr>
              <w:rFonts w:eastAsiaTheme="minorEastAsia" w:cstheme="minorBidi"/>
              <w:b w:val="0"/>
              <w:kern w:val="2"/>
              <w:sz w:val="24"/>
              <w:szCs w:val="24"/>
              <w14:ligatures w14:val="standardContextual"/>
            </w:rPr>
          </w:pPr>
          <w:hyperlink w:anchor="_Toc236399793" w:history="1">
            <w:r w:rsidRPr="00DC4AF3">
              <w:rPr>
                <w:rStyle w:val="Hyperlink"/>
              </w:rPr>
              <w:t>References</w:t>
            </w:r>
            <w:r>
              <w:rPr>
                <w:webHidden/>
              </w:rPr>
              <w:tab/>
            </w:r>
            <w:r>
              <w:rPr>
                <w:webHidden/>
              </w:rPr>
              <w:fldChar w:fldCharType="begin"/>
            </w:r>
            <w:r>
              <w:rPr>
                <w:webHidden/>
              </w:rPr>
              <w:instrText xml:space="preserve"> PAGEREF _Toc236399793 \h </w:instrText>
            </w:r>
            <w:r>
              <w:rPr>
                <w:webHidden/>
              </w:rPr>
            </w:r>
            <w:r>
              <w:rPr>
                <w:webHidden/>
              </w:rPr>
              <w:fldChar w:fldCharType="separate"/>
            </w:r>
            <w:r w:rsidR="00156823">
              <w:rPr>
                <w:webHidden/>
              </w:rPr>
              <w:t>60</w:t>
            </w:r>
            <w:r>
              <w:rPr>
                <w:webHidden/>
              </w:rPr>
              <w:fldChar w:fldCharType="end"/>
            </w:r>
          </w:hyperlink>
        </w:p>
        <w:p w14:paraId="47053866" w14:textId="162F275C" w:rsidR="00591043" w:rsidRPr="00DC5568" w:rsidRDefault="00311847" w:rsidP="00591043">
          <w:pPr>
            <w:pStyle w:val="BodyText"/>
          </w:pPr>
          <w:r>
            <w:rPr>
              <w:b/>
              <w:bCs/>
              <w:lang w:val="es-ES"/>
            </w:rPr>
            <w:fldChar w:fldCharType="end"/>
          </w:r>
        </w:p>
      </w:sdtContent>
    </w:sdt>
    <w:p w14:paraId="2E518529" w14:textId="77777777" w:rsidR="00591043" w:rsidRPr="00DC5568" w:rsidRDefault="00591043" w:rsidP="00591043">
      <w:pPr>
        <w:pStyle w:val="BodyText"/>
      </w:pPr>
    </w:p>
    <w:p w14:paraId="086E4326" w14:textId="77777777" w:rsidR="00591043" w:rsidRPr="00DC5568" w:rsidRDefault="00591043" w:rsidP="00591043">
      <w:pPr>
        <w:pStyle w:val="BodyText"/>
        <w:sectPr w:rsidR="00591043" w:rsidRPr="00DC5568" w:rsidSect="00397F2D">
          <w:footerReference w:type="even" r:id="rId21"/>
          <w:footerReference w:type="first" r:id="rId22"/>
          <w:endnotePr>
            <w:numFmt w:val="decimal"/>
          </w:endnotePr>
          <w:pgSz w:w="11907" w:h="16840" w:code="9"/>
          <w:pgMar w:top="1440" w:right="1440" w:bottom="1440" w:left="1440" w:header="425" w:footer="425" w:gutter="0"/>
          <w:pgNumType w:start="1"/>
          <w:cols w:space="708"/>
          <w:docGrid w:linePitch="360"/>
        </w:sectPr>
      </w:pPr>
    </w:p>
    <w:p w14:paraId="0912C6B3" w14:textId="77777777" w:rsidR="00591043" w:rsidRPr="00DC5568" w:rsidRDefault="00591043" w:rsidP="00B14A67">
      <w:pPr>
        <w:pStyle w:val="Heading1"/>
      </w:pPr>
      <w:bookmarkStart w:id="0" w:name="_Toc183432193"/>
      <w:bookmarkStart w:id="1" w:name="_Toc187075476"/>
      <w:bookmarkStart w:id="2" w:name="_Toc236309223"/>
      <w:bookmarkStart w:id="3" w:name="_Toc236399732"/>
      <w:r w:rsidRPr="00DC5568">
        <w:lastRenderedPageBreak/>
        <w:t>Steering Committee Co-Chairs Foreword</w:t>
      </w:r>
      <w:bookmarkEnd w:id="0"/>
      <w:bookmarkEnd w:id="1"/>
      <w:bookmarkEnd w:id="2"/>
      <w:bookmarkEnd w:id="3"/>
    </w:p>
    <w:p w14:paraId="305D75DA" w14:textId="0F2EEF0A" w:rsidR="00591043" w:rsidRPr="00DC5568" w:rsidRDefault="00591043" w:rsidP="00591043">
      <w:pPr>
        <w:pStyle w:val="BodyText"/>
      </w:pPr>
      <w:r w:rsidRPr="00DC5568">
        <w:t>We are pleased to present Australia’s first National Nursing Workforce Strategy (strategy). A</w:t>
      </w:r>
      <w:r w:rsidR="00B14A67">
        <w:t> </w:t>
      </w:r>
      <w:r w:rsidRPr="00DC5568">
        <w:t>significant milestone for the nursing profession in Australia. Developed through extensive collaboration and consultation, the strategy aims to address challenges and seize opportunities for the nursing profession.</w:t>
      </w:r>
    </w:p>
    <w:p w14:paraId="0C7F0836" w14:textId="77777777" w:rsidR="00591043" w:rsidRPr="00DC5568" w:rsidRDefault="00591043" w:rsidP="00591043">
      <w:pPr>
        <w:pStyle w:val="BodyText"/>
      </w:pPr>
      <w:r w:rsidRPr="00DC5568">
        <w:t>The strategy presents a cohesive and proactive response to promote attraction, recruitment and retention, encourage innovative and multidisciplinary practice while fostering the nursing leaders of today and tomorrow. Considering the evidence of significant workforce shortages, delaying strategic workforce action risks further compromise of Australia’s population health, placing undue strain on the existing workforce. By prioritising a forward-thinking nursing workforce strategy, Australia can ensure its health and aged care system remains flexible and capable of meeting the needs of its population now and into the future.</w:t>
      </w:r>
    </w:p>
    <w:p w14:paraId="006AB532" w14:textId="77777777" w:rsidR="00591043" w:rsidRPr="00DC5568" w:rsidRDefault="00591043" w:rsidP="00591043">
      <w:pPr>
        <w:pStyle w:val="BodyText"/>
      </w:pPr>
      <w:r w:rsidRPr="00DC5568">
        <w:t>The importance of this work cannot be overstated. Nurses are fundamental to the delivery of health care and services. They are key leaders, decision-makers, and innovators within and across the health and aged care system. Their ability to influence, lead, manage and operationalise change, alongside their commitment to providing scientific, evidence-based care, makes our profession indispensable.</w:t>
      </w:r>
    </w:p>
    <w:p w14:paraId="18B5EDC6" w14:textId="77777777" w:rsidR="00591043" w:rsidRPr="00DC5568" w:rsidRDefault="00591043" w:rsidP="00B14A67">
      <w:pPr>
        <w:pStyle w:val="BodyText"/>
      </w:pPr>
      <w:r w:rsidRPr="00DC5568">
        <w:t>These strengths ensure the profession continues to attract a diverse range of individuals and retains these committed, high-performing nurses – which is essential for system sustainability. Emphasising flexibility and promoting a healthy work-life balance are fundamental to these aims.</w:t>
      </w:r>
    </w:p>
    <w:p w14:paraId="166F77A9" w14:textId="77777777" w:rsidR="00591043" w:rsidRPr="00DC5568" w:rsidRDefault="00591043" w:rsidP="00591043">
      <w:pPr>
        <w:pStyle w:val="BodyText"/>
      </w:pPr>
      <w:r w:rsidRPr="00DC5568">
        <w:t xml:space="preserve">A collaborative effort is required to ensure the nursing workforce remains at the forefront of delivering person-centred services for all Australian communities. The strategy demonstrates the need for collective will, commitment, and action from governments, regulators, employers, education providers, professional bodies, and individual nurses, to drive effective implementation and sustainable change in the nursing workforce. </w:t>
      </w:r>
    </w:p>
    <w:p w14:paraId="4D4E4C3F" w14:textId="6E96AC27" w:rsidR="00591043" w:rsidRPr="00DC5568" w:rsidRDefault="00591043" w:rsidP="00591043">
      <w:pPr>
        <w:pStyle w:val="BodyText"/>
      </w:pPr>
      <w:r w:rsidRPr="00DC5568">
        <w:t>The strategy is the result of extensive collaboration and consultation with the sector. This</w:t>
      </w:r>
      <w:r w:rsidR="00B14A67">
        <w:t> </w:t>
      </w:r>
      <w:r w:rsidRPr="00DC5568">
        <w:t xml:space="preserve">includes input from more than 7,000 individuals who participated in various forms of consultation, including forums, online surveys, focus groups, yarning circles and one-on-one discussions. We extend our gratitude to the many organisations and individuals who contributed their time, expertise, and passion to this endeavour. </w:t>
      </w:r>
    </w:p>
    <w:p w14:paraId="4FCFF7C5" w14:textId="51F4925A" w:rsidR="00591043" w:rsidRPr="00DC5568" w:rsidRDefault="00591043" w:rsidP="00591043">
      <w:pPr>
        <w:pStyle w:val="BodyText"/>
      </w:pPr>
      <w:r w:rsidRPr="00DC5568">
        <w:t xml:space="preserve">We would also like to thank the members of the </w:t>
      </w:r>
      <w:hyperlink r:id="rId23">
        <w:r w:rsidRPr="00DC5568">
          <w:rPr>
            <w:rStyle w:val="Hyperlink"/>
          </w:rPr>
          <w:t>Strategy Steering Committee</w:t>
        </w:r>
      </w:hyperlink>
      <w:r w:rsidRPr="00DC5568">
        <w:t xml:space="preserve"> and </w:t>
      </w:r>
      <w:hyperlink r:id="rId24">
        <w:r w:rsidRPr="00DC5568">
          <w:rPr>
            <w:rStyle w:val="Hyperlink"/>
          </w:rPr>
          <w:t>Strategy Advisory Group</w:t>
        </w:r>
      </w:hyperlink>
      <w:r w:rsidRPr="00DC5568">
        <w:t xml:space="preserve"> for their expertise, advice and oversight in development of the strategy. Their dedication to the future of nursing in Australia has been invaluable in shaping a comprehensive and purposeful strategy.</w:t>
      </w:r>
    </w:p>
    <w:p w14:paraId="43C290F9" w14:textId="77777777" w:rsidR="00591043" w:rsidRPr="00DC5568" w:rsidRDefault="00591043" w:rsidP="00591043">
      <w:pPr>
        <w:pStyle w:val="BodyText"/>
      </w:pPr>
      <w:r w:rsidRPr="00DC5568">
        <w:t xml:space="preserve">Thank you to Frances Rice RN, Allison Thomas, Karen Cook RN, Lucy Twigg RN, Samantha Lavender RN, Emma Saddington RN, Kristen Simpson, Anna Smith, Joanna Ubels, Victoria Wakefield RN, Jessica Ring, Kate Lehmensich, Karen Granton, Shreya Biswas RN, Danielle Ferguson, Brianna He, Lana </w:t>
      </w:r>
      <w:proofErr w:type="spellStart"/>
      <w:r w:rsidRPr="00DC5568">
        <w:t>Fligic</w:t>
      </w:r>
      <w:proofErr w:type="spellEnd"/>
      <w:r w:rsidRPr="00DC5568">
        <w:t xml:space="preserve">, Rebecca Meynell, Alison McCluskey RN, Suzanne Michaelis, Suzanne Hughes RN, Tracey Thomson, Niluka De Silva and Cia Kay, the strategy project team, for your unwavering dedication and hard work to bring this strategy to fruition. </w:t>
      </w:r>
    </w:p>
    <w:p w14:paraId="1A408863" w14:textId="77777777" w:rsidR="00591043" w:rsidRDefault="00591043" w:rsidP="00591043">
      <w:pPr>
        <w:pStyle w:val="BodyText"/>
      </w:pPr>
      <w:r w:rsidRPr="00DC5568">
        <w:lastRenderedPageBreak/>
        <w:t>We look forward to the positive impact this strategy will have on the nursing workforce and health and wellbeing outcomes in Australia.</w:t>
      </w:r>
    </w:p>
    <w:p w14:paraId="4CB62926" w14:textId="1CF5CFAB" w:rsidR="00A72FB5" w:rsidRDefault="00A72FB5" w:rsidP="00B14A67">
      <w:pPr>
        <w:pStyle w:val="BodyText"/>
        <w:spacing w:before="360"/>
      </w:pPr>
      <w:r w:rsidRPr="00A72FB5">
        <w:rPr>
          <w:b/>
          <w:bCs/>
        </w:rPr>
        <w:t xml:space="preserve">Adjunct Professor (Practice) Alison McMillan PSM </w:t>
      </w:r>
      <w:r>
        <w:br/>
        <w:t>Commonwealth Chief Nursing and Midwifery Officer</w:t>
      </w:r>
      <w:r>
        <w:br/>
        <w:t>Co-Chair Strategy Steering Committee</w:t>
      </w:r>
      <w:r>
        <w:br/>
        <w:t>Co-Chair Strategy Advisory Group</w:t>
      </w:r>
    </w:p>
    <w:p w14:paraId="505CAB71" w14:textId="63359664" w:rsidR="00A72FB5" w:rsidRDefault="00A72FB5" w:rsidP="00B14A67">
      <w:pPr>
        <w:pStyle w:val="BodyText"/>
        <w:spacing w:before="100" w:beforeAutospacing="1"/>
      </w:pPr>
      <w:r w:rsidRPr="00A72FB5">
        <w:rPr>
          <w:b/>
          <w:bCs/>
        </w:rPr>
        <w:t>Adjunct Professor Karrie Long</w:t>
      </w:r>
      <w:r>
        <w:br/>
        <w:t>Chief Nurse and Midwifery Officer, Victoria</w:t>
      </w:r>
      <w:r>
        <w:br/>
        <w:t>Co-Chair Strategy Steering Committee Co-Chair Strategy Advisory Group</w:t>
      </w:r>
    </w:p>
    <w:p w14:paraId="1CEEE6DA" w14:textId="77777777" w:rsidR="00591043" w:rsidRPr="00DC5568" w:rsidRDefault="00591043" w:rsidP="00591043">
      <w:pPr>
        <w:pStyle w:val="Heading1"/>
        <w:spacing w:after="280"/>
      </w:pPr>
      <w:bookmarkStart w:id="4" w:name="_Toc183432194"/>
      <w:bookmarkStart w:id="5" w:name="_Toc236309224"/>
      <w:bookmarkStart w:id="6" w:name="_Toc236399733"/>
      <w:r w:rsidRPr="00DC5568">
        <w:lastRenderedPageBreak/>
        <w:t>Acknowledgement of Country</w:t>
      </w:r>
      <w:bookmarkEnd w:id="4"/>
      <w:bookmarkEnd w:id="5"/>
      <w:bookmarkEnd w:id="6"/>
    </w:p>
    <w:p w14:paraId="141AFA3C" w14:textId="77777777" w:rsidR="00591043" w:rsidRPr="00DC5568" w:rsidRDefault="00591043" w:rsidP="00591043">
      <w:pPr>
        <w:pStyle w:val="BodyText"/>
      </w:pPr>
      <w:r w:rsidRPr="00DC5568">
        <w:t>We acknowledge Aboriginal and Torres Strait Islander peoples as the Traditional Owners and Custodians of Country throughout Australia. We recognise and respect their continuing connection to land, sea, sky and community. We pay our respects to them and their cultures and to all Elders past, present and emerging.</w:t>
      </w:r>
    </w:p>
    <w:p w14:paraId="69FE9CBF" w14:textId="77777777" w:rsidR="00591043" w:rsidRPr="00DC5568" w:rsidRDefault="00591043" w:rsidP="00591043">
      <w:pPr>
        <w:pStyle w:val="BodyText"/>
      </w:pPr>
      <w:r w:rsidRPr="00DC5568">
        <w:t>We recognise the strength and resilience of Aboriginal and Torres Strait Islander peoples as we work towards a shared commitment of health equity.</w:t>
      </w:r>
    </w:p>
    <w:p w14:paraId="67D03A21" w14:textId="557E200C" w:rsidR="00591043" w:rsidRPr="00DC5568" w:rsidRDefault="00591043" w:rsidP="00591043">
      <w:pPr>
        <w:pStyle w:val="Heading1"/>
      </w:pPr>
      <w:bookmarkStart w:id="7" w:name="_Toc236309225"/>
      <w:bookmarkStart w:id="8" w:name="_Toc236399734"/>
      <w:r w:rsidRPr="00DC5568">
        <w:lastRenderedPageBreak/>
        <w:t>Glossary</w:t>
      </w:r>
      <w:bookmarkEnd w:id="7"/>
      <w:bookmarkEnd w:id="8"/>
    </w:p>
    <w:p w14:paraId="3A52EFA9" w14:textId="77777777" w:rsidR="00591043" w:rsidRPr="00DC5568" w:rsidRDefault="00591043" w:rsidP="00591043">
      <w:pPr>
        <w:pStyle w:val="BodyText"/>
      </w:pPr>
      <w:r w:rsidRPr="00DC5568">
        <w:t xml:space="preserve">The strategy aims to use inclusive and respectful language and nationally accepted definitions - noting that on occasion there may be different definitions for some of the included terms in the strategy. </w:t>
      </w:r>
    </w:p>
    <w:p w14:paraId="1AC100E9" w14:textId="77777777" w:rsidR="00591043" w:rsidRPr="00DC5568" w:rsidRDefault="00591043" w:rsidP="00A72FB5">
      <w:pPr>
        <w:pStyle w:val="Caption"/>
      </w:pPr>
      <w:r w:rsidRPr="00DC5568">
        <w:t>Table 1. Glossary for the National Nursing Workforce Strategy</w:t>
      </w:r>
    </w:p>
    <w:tbl>
      <w:tblPr>
        <w:tblStyle w:val="TableGrid"/>
        <w:tblW w:w="5000" w:type="pct"/>
        <w:tblLook w:val="04A0" w:firstRow="1" w:lastRow="0" w:firstColumn="1" w:lastColumn="0" w:noHBand="0" w:noVBand="1"/>
      </w:tblPr>
      <w:tblGrid>
        <w:gridCol w:w="2406"/>
        <w:gridCol w:w="6611"/>
      </w:tblGrid>
      <w:tr w:rsidR="00591043" w:rsidRPr="00DC5568" w14:paraId="4343EEBF" w14:textId="77777777" w:rsidTr="003D23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4CAE4D" w14:textId="77777777" w:rsidR="00591043" w:rsidRPr="00A72FB5" w:rsidRDefault="00591043" w:rsidP="00A72FB5">
            <w:r w:rsidRPr="00A72FB5">
              <w:t>Term</w:t>
            </w:r>
          </w:p>
        </w:tc>
        <w:tc>
          <w:tcPr>
            <w:tcW w:w="3666" w:type="pct"/>
          </w:tcPr>
          <w:p w14:paraId="0DC7C101" w14:textId="77777777" w:rsidR="00591043" w:rsidRPr="00A72FB5" w:rsidRDefault="00591043" w:rsidP="00A72FB5">
            <w:pPr>
              <w:cnfStyle w:val="100000000000" w:firstRow="1" w:lastRow="0" w:firstColumn="0" w:lastColumn="0" w:oddVBand="0" w:evenVBand="0" w:oddHBand="0" w:evenHBand="0" w:firstRowFirstColumn="0" w:firstRowLastColumn="0" w:lastRowFirstColumn="0" w:lastRowLastColumn="0"/>
            </w:pPr>
            <w:r w:rsidRPr="00A72FB5">
              <w:t>Definition</w:t>
            </w:r>
          </w:p>
        </w:tc>
      </w:tr>
      <w:tr w:rsidR="00591043" w:rsidRPr="00DC5568" w14:paraId="625C2FE6"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02AF5BF" w14:textId="77777777" w:rsidR="00591043" w:rsidRPr="00A72FB5" w:rsidRDefault="00591043" w:rsidP="00A72FB5">
            <w:r w:rsidRPr="00A72FB5">
              <w:t>Aboriginal and Torres Strait Islander person</w:t>
            </w:r>
          </w:p>
        </w:tc>
        <w:tc>
          <w:tcPr>
            <w:tcW w:w="3666" w:type="pct"/>
          </w:tcPr>
          <w:p w14:paraId="2B226A7E"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rPr>
                <w:rFonts w:eastAsiaTheme="minorEastAsia"/>
              </w:rPr>
              <w:t>A person of Aboriginal or Torres Strait Islander descent who identifies as Aboriginal or Torres Strait Islander and is accepted as such by the community in which they live.</w:t>
            </w:r>
          </w:p>
        </w:tc>
      </w:tr>
      <w:tr w:rsidR="00591043" w:rsidRPr="00DC5568" w14:paraId="1AF6C290"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5A67961" w14:textId="77777777" w:rsidR="00591043" w:rsidRPr="00A72FB5" w:rsidRDefault="00591043" w:rsidP="00A72FB5">
            <w:r w:rsidRPr="00A72FB5">
              <w:t>Accreditation</w:t>
            </w:r>
          </w:p>
        </w:tc>
        <w:tc>
          <w:tcPr>
            <w:tcW w:w="3666" w:type="pct"/>
          </w:tcPr>
          <w:p w14:paraId="5E8B2427"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rPr>
                <w:rFonts w:eastAsiaTheme="minorEastAsia"/>
              </w:rPr>
              <w:t xml:space="preserve">Refers to a formal process of approval for a program of study or training that ensures a person who successfully completes that </w:t>
            </w:r>
            <w:proofErr w:type="gramStart"/>
            <w:r w:rsidRPr="00A72FB5">
              <w:rPr>
                <w:rFonts w:eastAsiaTheme="minorEastAsia"/>
              </w:rPr>
              <w:t>program</w:t>
            </w:r>
            <w:proofErr w:type="gramEnd"/>
            <w:r w:rsidRPr="00A72FB5">
              <w:rPr>
                <w:rFonts w:eastAsiaTheme="minorEastAsia"/>
              </w:rPr>
              <w:t xml:space="preserve"> or training has the knowledge, skills and professional attributes needed to practise their health profession or undertake that activity.</w:t>
            </w:r>
          </w:p>
        </w:tc>
      </w:tr>
      <w:tr w:rsidR="00591043" w:rsidRPr="00DC5568" w14:paraId="281D7756"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792D25A" w14:textId="77777777" w:rsidR="00591043" w:rsidRPr="00A72FB5" w:rsidRDefault="00591043" w:rsidP="00A72FB5">
            <w:pPr>
              <w:rPr>
                <w:bCs/>
              </w:rPr>
            </w:pPr>
            <w:r w:rsidRPr="00A72FB5">
              <w:rPr>
                <w:bCs/>
              </w:rPr>
              <w:t>Australian Nursing and Midwifery Accreditation Council</w:t>
            </w:r>
          </w:p>
        </w:tc>
        <w:tc>
          <w:tcPr>
            <w:tcW w:w="3666" w:type="pct"/>
          </w:tcPr>
          <w:p w14:paraId="269C777A"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DC5568">
              <w:rPr>
                <w:rFonts w:eastAsiaTheme="minorEastAsia"/>
              </w:rPr>
              <w:t>Th</w:t>
            </w:r>
            <w:r w:rsidRPr="00A72FB5">
              <w:rPr>
                <w:rFonts w:eastAsiaTheme="minorEastAsia"/>
              </w:rPr>
              <w:t>e Australian Nursing and Midwifery Accreditation Council (ANMAC) is responsible for:</w:t>
            </w:r>
          </w:p>
          <w:p w14:paraId="5BA04050"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establishing education standards</w:t>
            </w:r>
          </w:p>
          <w:p w14:paraId="2DD0115C"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assessing and accrediting nursing, midwifery and other healthcare education programs, and</w:t>
            </w:r>
          </w:p>
          <w:p w14:paraId="2236B729" w14:textId="77777777" w:rsidR="00591043" w:rsidRPr="00DC5568" w:rsidRDefault="00591043" w:rsidP="00A72FB5">
            <w:pPr>
              <w:pStyle w:val="TableBullet"/>
              <w:cnfStyle w:val="000000000000" w:firstRow="0" w:lastRow="0" w:firstColumn="0" w:lastColumn="0" w:oddVBand="0" w:evenVBand="0" w:oddHBand="0" w:evenHBand="0" w:firstRowFirstColumn="0" w:firstRowLastColumn="0" w:lastRowFirstColumn="0" w:lastRowLastColumn="0"/>
              <w:rPr>
                <w:rFonts w:eastAsiaTheme="minorEastAsia"/>
              </w:rPr>
            </w:pPr>
            <w:r w:rsidRPr="00A72FB5">
              <w:t>assessing and validating the skills, qualifications and experience of overseas qualified nurses, midwives and health care workers.</w:t>
            </w:r>
          </w:p>
        </w:tc>
      </w:tr>
      <w:tr w:rsidR="00591043" w:rsidRPr="00DC5568" w14:paraId="624575C8"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D77F71C" w14:textId="77777777" w:rsidR="00591043" w:rsidRPr="00A72FB5" w:rsidRDefault="00591043" w:rsidP="00A72FB5">
            <w:r w:rsidRPr="00A72FB5">
              <w:t>Artificial intelligence</w:t>
            </w:r>
          </w:p>
        </w:tc>
        <w:tc>
          <w:tcPr>
            <w:tcW w:w="3666" w:type="pct"/>
          </w:tcPr>
          <w:p w14:paraId="4E4FB0F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t>Computer systems able to perform tasks that normally require human intelligence, such as visual perception, speech recognition, decision-making, and translation between languages.</w:t>
            </w:r>
          </w:p>
        </w:tc>
      </w:tr>
      <w:tr w:rsidR="00591043" w:rsidRPr="00DC5568" w14:paraId="35B0A6A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DC46960" w14:textId="77777777" w:rsidR="00591043" w:rsidRPr="00A72FB5" w:rsidRDefault="00591043" w:rsidP="00A72FB5">
            <w:r w:rsidRPr="00A72FB5">
              <w:t>Climate resilience</w:t>
            </w:r>
          </w:p>
        </w:tc>
        <w:tc>
          <w:tcPr>
            <w:tcW w:w="3666" w:type="pct"/>
          </w:tcPr>
          <w:p w14:paraId="130B5B0C"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rPr>
                <w:rFonts w:eastAsiaTheme="minorEastAsia"/>
              </w:rPr>
            </w:pPr>
            <w:r w:rsidRPr="00A72FB5">
              <w:rPr>
                <w:rFonts w:eastAsiaTheme="minorEastAsia"/>
              </w:rPr>
              <w:t>Climate resilience is the ability to anticipate, prepare for, and respond to events, trends, or disturbances related to climate.</w:t>
            </w:r>
          </w:p>
        </w:tc>
      </w:tr>
      <w:tr w:rsidR="00591043" w:rsidRPr="00DC5568" w14:paraId="2D64D643"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54F6904A" w14:textId="77777777" w:rsidR="00591043" w:rsidRPr="00A72FB5" w:rsidRDefault="00591043" w:rsidP="00A72FB5">
            <w:r w:rsidRPr="00A72FB5">
              <w:t>Co-design</w:t>
            </w:r>
          </w:p>
        </w:tc>
        <w:tc>
          <w:tcPr>
            <w:tcW w:w="3666" w:type="pct"/>
          </w:tcPr>
          <w:p w14:paraId="120A3A22"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Co-design is a process to combine lived experience and professional expertise to identify and create an outcome or product. </w:t>
            </w:r>
          </w:p>
        </w:tc>
      </w:tr>
      <w:tr w:rsidR="00591043" w:rsidRPr="00DC5568" w14:paraId="7F138C4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07C8CC1" w14:textId="77777777" w:rsidR="00591043" w:rsidRPr="00A72FB5" w:rsidRDefault="00591043" w:rsidP="00A72FB5">
            <w:r w:rsidRPr="00A72FB5">
              <w:t>Cultural safety</w:t>
            </w:r>
          </w:p>
        </w:tc>
        <w:tc>
          <w:tcPr>
            <w:tcW w:w="3666" w:type="pct"/>
          </w:tcPr>
          <w:p w14:paraId="1530755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Cultural safety represents a key philosophical shift from providing care regardless of difference, to care that takes account of people’s unique needs. It requires nurses to undertake an ongoing process of self-reflection and cultural self-awareness, and an acknowledgement of how a nurse’s personal culture impacts on care. </w:t>
            </w:r>
          </w:p>
        </w:tc>
      </w:tr>
      <w:tr w:rsidR="00591043" w:rsidRPr="00DC5568" w14:paraId="2EE2E217"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BF8BC82" w14:textId="77777777" w:rsidR="00591043" w:rsidRPr="00A72FB5" w:rsidRDefault="002751D4" w:rsidP="00A72FB5">
            <w:r w:rsidRPr="002751D4">
              <w:lastRenderedPageBreak/>
              <w:t>Culturally and linguistically diverse</w:t>
            </w:r>
          </w:p>
        </w:tc>
        <w:tc>
          <w:tcPr>
            <w:tcW w:w="3666" w:type="pct"/>
          </w:tcPr>
          <w:p w14:paraId="00649CE0"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Encompasses communities with diverse languages, ethnic backgrounds, nationalities, traditions, societal structures and religions.</w:t>
            </w:r>
          </w:p>
        </w:tc>
      </w:tr>
      <w:tr w:rsidR="00591043" w:rsidRPr="00DC5568" w14:paraId="49CC55FD"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A4B2BF7" w14:textId="73CDFA58" w:rsidR="00591043" w:rsidRPr="00A72FB5" w:rsidRDefault="00591043" w:rsidP="00A72FB5">
            <w:r w:rsidRPr="00A72FB5">
              <w:t>Discrimination</w:t>
            </w:r>
          </w:p>
        </w:tc>
        <w:tc>
          <w:tcPr>
            <w:tcW w:w="3666" w:type="pct"/>
          </w:tcPr>
          <w:p w14:paraId="40E26F15"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Discrimination happens when a person, or a group of people, is treated less favourably than another person or group because of their background or certain personal characteristics.</w:t>
            </w:r>
          </w:p>
        </w:tc>
      </w:tr>
      <w:tr w:rsidR="00591043" w:rsidRPr="00DC5568" w14:paraId="1B83517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3F0BB130" w14:textId="77777777" w:rsidR="00591043" w:rsidRPr="00A72FB5" w:rsidRDefault="00591043" w:rsidP="00A72FB5">
            <w:r w:rsidRPr="00A72FB5">
              <w:t>Genomics</w:t>
            </w:r>
          </w:p>
        </w:tc>
        <w:tc>
          <w:tcPr>
            <w:tcW w:w="3666" w:type="pct"/>
          </w:tcPr>
          <w:p w14:paraId="3E9955F4"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The study and mapping of genomes – the full set of genetic instructions for an organism. It includes both human and other genomes and how these interact with the environment.</w:t>
            </w:r>
          </w:p>
        </w:tc>
      </w:tr>
      <w:tr w:rsidR="00591043" w:rsidRPr="00DC5568" w14:paraId="74EFDD39"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7D97503" w14:textId="77777777" w:rsidR="00591043" w:rsidRPr="00A72FB5" w:rsidRDefault="00591043" w:rsidP="00A72FB5">
            <w:r w:rsidRPr="00A72FB5">
              <w:t>Health and aged care</w:t>
            </w:r>
          </w:p>
        </w:tc>
        <w:tc>
          <w:tcPr>
            <w:tcW w:w="3666" w:type="pct"/>
          </w:tcPr>
          <w:p w14:paraId="0C6AB6B4"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Reference to health and aged care in this strategy represents Australia’s multifaceted public and private health system: the providers, settings, specialties, participants and support mechanisms that deliver services to meet people’s physical, mental and social health needs across the life course.</w:t>
            </w:r>
          </w:p>
        </w:tc>
      </w:tr>
      <w:tr w:rsidR="00591043" w:rsidRPr="00DC5568" w14:paraId="3A5F437C"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3106B8A3" w14:textId="77777777" w:rsidR="00591043" w:rsidRPr="00A72FB5" w:rsidRDefault="00591043" w:rsidP="00A72FB5">
            <w:proofErr w:type="spellStart"/>
            <w:r w:rsidRPr="00A72FB5">
              <w:t>HumanAbility</w:t>
            </w:r>
            <w:proofErr w:type="spellEnd"/>
          </w:p>
        </w:tc>
        <w:tc>
          <w:tcPr>
            <w:tcW w:w="3666" w:type="pct"/>
          </w:tcPr>
          <w:p w14:paraId="69E61277" w14:textId="257D955B"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proofErr w:type="spellStart"/>
            <w:r w:rsidRPr="00A72FB5">
              <w:t>HumanAbility</w:t>
            </w:r>
            <w:proofErr w:type="spellEnd"/>
            <w:r w:rsidRPr="00A72FB5">
              <w:t xml:space="preserve"> is the Jobs and Skills Council for the aged care and disability, children’s education and care, health, human services, and sport and recreation sectors.</w:t>
            </w:r>
          </w:p>
        </w:tc>
      </w:tr>
      <w:tr w:rsidR="00591043" w:rsidRPr="00DC5568" w14:paraId="0AE4F524"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73ACC73B" w14:textId="77777777" w:rsidR="00591043" w:rsidRPr="00A72FB5" w:rsidRDefault="00591043" w:rsidP="00A72FB5">
            <w:r w:rsidRPr="00A72FB5">
              <w:t>Intersectionality</w:t>
            </w:r>
          </w:p>
        </w:tc>
        <w:tc>
          <w:tcPr>
            <w:tcW w:w="3666" w:type="pct"/>
          </w:tcPr>
          <w:p w14:paraId="466424C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Intersectionality refers to the ways in which different aspects of a person’s identity can expose them to overlapping forms of discrimination and marginalisation.</w:t>
            </w:r>
          </w:p>
        </w:tc>
      </w:tr>
      <w:tr w:rsidR="00591043" w:rsidRPr="00DC5568" w14:paraId="101C907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C9D14B0" w14:textId="77777777" w:rsidR="00591043" w:rsidRPr="00A72FB5" w:rsidRDefault="00591043" w:rsidP="00A72FB5">
            <w:r w:rsidRPr="00A72FB5">
              <w:t>Jobs and Skills Councils</w:t>
            </w:r>
          </w:p>
        </w:tc>
        <w:tc>
          <w:tcPr>
            <w:tcW w:w="3666" w:type="pct"/>
          </w:tcPr>
          <w:p w14:paraId="012F56A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Jobs and Skills Councils identify skills and workforce needs for their sectors, map career pathways across education sectors, develop contemporary VET training products, support collaboration between industry and training providers to improve training and assessment practice, and act as a source of intelligence on issues affecting their industries. </w:t>
            </w:r>
          </w:p>
        </w:tc>
      </w:tr>
      <w:tr w:rsidR="00591043" w:rsidRPr="00DC5568" w14:paraId="7FC965B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3BC7AA25" w14:textId="2F10DF63" w:rsidR="00591043" w:rsidRPr="00A72FB5" w:rsidRDefault="00591043" w:rsidP="00DD5A40">
            <w:r w:rsidRPr="00A72FB5">
              <w:t>Leadership</w:t>
            </w:r>
          </w:p>
        </w:tc>
        <w:tc>
          <w:tcPr>
            <w:tcW w:w="3666" w:type="pct"/>
          </w:tcPr>
          <w:p w14:paraId="0DFEB744" w14:textId="43123B3A"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Leadership has similarities in all industries although health is recognised for its complexity. Health leaders strive to improve clinical and quality of life indicators, and the wellbeing of the health system. Research shows the quality of health leadership directly and indirectly affects the quality of patient care and is an important factor supporting best practice.</w:t>
            </w:r>
          </w:p>
        </w:tc>
      </w:tr>
      <w:tr w:rsidR="00591043" w:rsidRPr="00DC5568" w14:paraId="61542915"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6C4F4E21" w14:textId="77777777" w:rsidR="00591043" w:rsidRPr="00A72FB5" w:rsidRDefault="00591043" w:rsidP="00A72FB5">
            <w:r w:rsidRPr="00A72FB5">
              <w:t>LGBTIQA+</w:t>
            </w:r>
          </w:p>
        </w:tc>
        <w:tc>
          <w:tcPr>
            <w:tcW w:w="3666" w:type="pct"/>
          </w:tcPr>
          <w:p w14:paraId="39753A8E"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People who have identified themselves as lesbian, gay, bisexual, transgender, intersex, queer, asexual or otherwise diverse in gender, sexual orientation and/or innate variations of sex characteristics.</w:t>
            </w:r>
          </w:p>
        </w:tc>
      </w:tr>
      <w:tr w:rsidR="00591043" w:rsidRPr="00DC5568" w14:paraId="3CB328D3"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74B9001D" w14:textId="77777777" w:rsidR="00591043" w:rsidRPr="00A72FB5" w:rsidRDefault="00591043" w:rsidP="00A72FB5">
            <w:r w:rsidRPr="00A72FB5">
              <w:lastRenderedPageBreak/>
              <w:t>Model of care</w:t>
            </w:r>
          </w:p>
        </w:tc>
        <w:tc>
          <w:tcPr>
            <w:tcW w:w="3666" w:type="pct"/>
          </w:tcPr>
          <w:p w14:paraId="7846518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Model of care refers to the way in which a health service is delivered. It may refer to the process of care as well as which healthcare professionals or skills are required. </w:t>
            </w:r>
          </w:p>
        </w:tc>
      </w:tr>
      <w:tr w:rsidR="00591043" w:rsidRPr="00DC5568" w14:paraId="10B0F889"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5652D596" w14:textId="1D75E99F" w:rsidR="00591043" w:rsidRPr="00A72FB5" w:rsidRDefault="00591043" w:rsidP="00DD5A40">
            <w:r w:rsidRPr="00A72FB5">
              <w:t>Multidisciplinary team</w:t>
            </w:r>
          </w:p>
        </w:tc>
        <w:tc>
          <w:tcPr>
            <w:tcW w:w="3666" w:type="pct"/>
          </w:tcPr>
          <w:p w14:paraId="42D8C2AB"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Multidisciplinary team care refers to collaborative care, which occurs when multiple health professionals from different professional backgrounds provide comprehensive services by working with each other, and with consumers, their families, carers and communities to deliver the highest quality of care across settings.</w:t>
            </w:r>
          </w:p>
        </w:tc>
      </w:tr>
      <w:tr w:rsidR="00591043" w:rsidRPr="00DC5568" w14:paraId="20FABD1B"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E31F25B" w14:textId="3226C3CD" w:rsidR="00591043" w:rsidRPr="00A72FB5" w:rsidRDefault="00591043" w:rsidP="00DD5A40">
            <w:pPr>
              <w:rPr>
                <w:bCs/>
              </w:rPr>
            </w:pPr>
            <w:r w:rsidRPr="00A72FB5">
              <w:rPr>
                <w:bCs/>
              </w:rPr>
              <w:t>Nursing and Midwifery Board of Australia</w:t>
            </w:r>
          </w:p>
        </w:tc>
        <w:tc>
          <w:tcPr>
            <w:tcW w:w="3666" w:type="pct"/>
          </w:tcPr>
          <w:p w14:paraId="4D2B4BEC" w14:textId="77777777" w:rsidR="00591043" w:rsidRPr="00DC5568" w:rsidRDefault="00591043" w:rsidP="00A72FB5">
            <w:pPr>
              <w:cnfStyle w:val="000000000000" w:firstRow="0" w:lastRow="0" w:firstColumn="0" w:lastColumn="0" w:oddVBand="0" w:evenVBand="0" w:oddHBand="0" w:evenHBand="0" w:firstRowFirstColumn="0" w:firstRowLastColumn="0" w:lastRowFirstColumn="0" w:lastRowLastColumn="0"/>
            </w:pPr>
            <w:r w:rsidRPr="00DC5568">
              <w:t>The Nursing and Midwifery Board of Australia (NMBA) works to ensure that Australia’s nurses and midwives are suitably trained, qualified and safe to practise. The functions of the NMBA include:</w:t>
            </w:r>
          </w:p>
          <w:p w14:paraId="110C85C9"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rPr>
                <w:rFonts w:eastAsiaTheme="minorHAnsi"/>
                <w:lang w:eastAsia="en-US"/>
              </w:rPr>
              <w:t>registeri</w:t>
            </w:r>
            <w:r w:rsidRPr="00A72FB5">
              <w:t>ng nursing and midwifery practitioners and students</w:t>
            </w:r>
          </w:p>
          <w:p w14:paraId="28753CD3"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developing standards, codes and guidelines for the nursing and midwifery profession</w:t>
            </w:r>
          </w:p>
          <w:p w14:paraId="34AB2519"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handling notifications, complaints, investigations and disciplinary hearings</w:t>
            </w:r>
          </w:p>
          <w:p w14:paraId="24BAFDA3" w14:textId="77777777" w:rsidR="00591043" w:rsidRPr="00A72FB5"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 xml:space="preserve">assessing overseas trained practitioners who wish to practise in Australia, and </w:t>
            </w:r>
          </w:p>
          <w:p w14:paraId="34A1099E" w14:textId="77777777" w:rsidR="00591043" w:rsidRPr="00DC5568" w:rsidRDefault="00591043" w:rsidP="00A72FB5">
            <w:pPr>
              <w:pStyle w:val="TableBullet"/>
              <w:cnfStyle w:val="000000000000" w:firstRow="0" w:lastRow="0" w:firstColumn="0" w:lastColumn="0" w:oddVBand="0" w:evenVBand="0" w:oddHBand="0" w:evenHBand="0" w:firstRowFirstColumn="0" w:firstRowLastColumn="0" w:lastRowFirstColumn="0" w:lastRowLastColumn="0"/>
            </w:pPr>
            <w:r w:rsidRPr="00A72FB5">
              <w:t>approving accreditation standards and accredited courses of study.</w:t>
            </w:r>
          </w:p>
        </w:tc>
      </w:tr>
      <w:tr w:rsidR="00591043" w:rsidRPr="00DC5568" w14:paraId="02B297D6"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E356BF5" w14:textId="77777777" w:rsidR="00591043" w:rsidRPr="00A72FB5" w:rsidRDefault="00591043" w:rsidP="00A72FB5">
            <w:r w:rsidRPr="00A72FB5">
              <w:t>Nursing profession</w:t>
            </w:r>
          </w:p>
        </w:tc>
        <w:tc>
          <w:tcPr>
            <w:tcW w:w="3666" w:type="pct"/>
          </w:tcPr>
          <w:p w14:paraId="727B63DA"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The specialised field of nursing, characterised by the qualifications, skills, knowledge, standards, behaviours and values associated with delivering nursing care. </w:t>
            </w:r>
          </w:p>
        </w:tc>
      </w:tr>
      <w:tr w:rsidR="00591043" w:rsidRPr="00DC5568" w14:paraId="2020D5CA"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877A71D" w14:textId="77777777" w:rsidR="00591043" w:rsidRPr="00A72FB5" w:rsidRDefault="00591043" w:rsidP="00A72FB5">
            <w:r w:rsidRPr="00A72FB5">
              <w:t>Nursing workforce</w:t>
            </w:r>
          </w:p>
        </w:tc>
        <w:tc>
          <w:tcPr>
            <w:tcW w:w="3666" w:type="pct"/>
          </w:tcPr>
          <w:p w14:paraId="4152CA1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Individuals who are engaged or available to be engaged to deliver nursing care. This encompasses nursing students, assistants in nursing (or however named), enrolled nurses, registered nurses and nurse practitioners.</w:t>
            </w:r>
          </w:p>
        </w:tc>
      </w:tr>
      <w:tr w:rsidR="00591043" w:rsidRPr="00DC5568" w14:paraId="7518A27D"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6B667A6" w14:textId="77777777" w:rsidR="00591043" w:rsidRPr="00A72FB5" w:rsidRDefault="00591043" w:rsidP="00A72FB5">
            <w:r w:rsidRPr="00A72FB5">
              <w:t>Person-centred care</w:t>
            </w:r>
          </w:p>
        </w:tc>
        <w:tc>
          <w:tcPr>
            <w:tcW w:w="3666" w:type="pct"/>
          </w:tcPr>
          <w:p w14:paraId="3EB306CC"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A collaborative and respectful partnership with health professionals built on mutual trust and understanding through good communication. Each person is treated as an individual with the aim of respecting people’s ownership of their health information, rights and preferences while protecting their dignity and empowering choice. Person-centred care also recognises the role of family and community with respect to cultural and religious diversity.</w:t>
            </w:r>
          </w:p>
        </w:tc>
      </w:tr>
      <w:tr w:rsidR="00591043" w:rsidRPr="00DC5568" w14:paraId="1732CC77"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D1E8235" w14:textId="77777777" w:rsidR="00591043" w:rsidRPr="00A72FB5" w:rsidRDefault="00591043" w:rsidP="00A72FB5">
            <w:r w:rsidRPr="00A72FB5">
              <w:lastRenderedPageBreak/>
              <w:t>Positive practice environment</w:t>
            </w:r>
          </w:p>
        </w:tc>
        <w:tc>
          <w:tcPr>
            <w:tcW w:w="3666" w:type="pct"/>
          </w:tcPr>
          <w:p w14:paraId="2675FB34"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A positive practice environment is one that supports excellence and decent work, ensures staff health and safety, supports the delivery of high-quality person-centred care, and fosters motivation and productivity. </w:t>
            </w:r>
          </w:p>
        </w:tc>
      </w:tr>
      <w:tr w:rsidR="00591043" w:rsidRPr="00DC5568" w14:paraId="5DF1CC9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69E4BA4D" w14:textId="0BF869CC" w:rsidR="00591043" w:rsidRPr="00A72FB5" w:rsidRDefault="00591043" w:rsidP="00DD5A40">
            <w:r w:rsidRPr="00A72FB5">
              <w:t>Prejudice</w:t>
            </w:r>
          </w:p>
        </w:tc>
        <w:tc>
          <w:tcPr>
            <w:tcW w:w="3666" w:type="pct"/>
          </w:tcPr>
          <w:p w14:paraId="06CC1297"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A preconceived opinion toward another person or group formed in advance of any experience with that person or group. It is typically manifested behaviourally through discriminatory behaviour.</w:t>
            </w:r>
          </w:p>
        </w:tc>
      </w:tr>
      <w:tr w:rsidR="00591043" w:rsidRPr="00DC5568" w14:paraId="5001BB34"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2041F334" w14:textId="77777777" w:rsidR="00591043" w:rsidRPr="00A72FB5" w:rsidRDefault="00591043" w:rsidP="00A72FB5">
            <w:r w:rsidRPr="00A72FB5">
              <w:t>Pre-registration education</w:t>
            </w:r>
          </w:p>
        </w:tc>
        <w:tc>
          <w:tcPr>
            <w:tcW w:w="3666" w:type="pct"/>
          </w:tcPr>
          <w:p w14:paraId="1D1BD687"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Includes education and training undertaken before becoming a registered nurse or an enrolled nurse. </w:t>
            </w:r>
          </w:p>
        </w:tc>
      </w:tr>
      <w:tr w:rsidR="00591043" w:rsidRPr="00DC5568" w14:paraId="2909EA04"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6D77A2A3" w14:textId="77777777" w:rsidR="00591043" w:rsidRPr="00A72FB5" w:rsidRDefault="00591043" w:rsidP="00A72FB5">
            <w:r w:rsidRPr="00A72FB5">
              <w:t>Professional partnerships</w:t>
            </w:r>
          </w:p>
        </w:tc>
        <w:tc>
          <w:tcPr>
            <w:tcW w:w="3666" w:type="pct"/>
          </w:tcPr>
          <w:p w14:paraId="21A744D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Formal partnerships between organisations to support the outcomes sought with agreed joint decision-making roles and responsibilities.</w:t>
            </w:r>
          </w:p>
        </w:tc>
      </w:tr>
      <w:tr w:rsidR="00591043" w:rsidRPr="00DC5568" w14:paraId="7C747B7B"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D91FBB1" w14:textId="17C73727" w:rsidR="00591043" w:rsidRPr="00A72FB5" w:rsidRDefault="00591043" w:rsidP="00DD5A40">
            <w:r w:rsidRPr="00A72FB5">
              <w:t>Racism</w:t>
            </w:r>
          </w:p>
        </w:tc>
        <w:tc>
          <w:tcPr>
            <w:tcW w:w="3666" w:type="pct"/>
          </w:tcPr>
          <w:p w14:paraId="34715FC9"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Racism is the process by which systems and </w:t>
            </w:r>
            <w:proofErr w:type="gramStart"/>
            <w:r w:rsidRPr="00A72FB5">
              <w:t>policies,</w:t>
            </w:r>
            <w:proofErr w:type="gramEnd"/>
            <w:r w:rsidRPr="00A72FB5">
              <w:t xml:space="preserve"> actions and attitudes create inequitable opportunities and outcomes for people based on race. Racism is more than just prejudice in thought or action. It occurs when this prejudice – whether individual or institutional – is accompanied by the power to discriminate against, oppress or limit the rights of others.</w:t>
            </w:r>
          </w:p>
        </w:tc>
      </w:tr>
      <w:tr w:rsidR="00591043" w:rsidRPr="00DC5568" w14:paraId="1B10D5C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1BB2193E" w14:textId="77777777" w:rsidR="00591043" w:rsidRPr="00A72FB5" w:rsidRDefault="00591043" w:rsidP="00A72FB5">
            <w:r w:rsidRPr="00A72FB5">
              <w:t>Registered training organisations</w:t>
            </w:r>
          </w:p>
        </w:tc>
        <w:tc>
          <w:tcPr>
            <w:tcW w:w="3666" w:type="pct"/>
          </w:tcPr>
          <w:p w14:paraId="1A7F273C"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Registered training organisations deliver nationally recognised training in the vocational education and training (VET) sector. To deliver this training, they need to be approved by the Australian Skills Quality Authority.</w:t>
            </w:r>
          </w:p>
        </w:tc>
      </w:tr>
      <w:tr w:rsidR="00591043" w:rsidRPr="00DC5568" w14:paraId="7CD4DC7B"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44FD3159" w14:textId="424A0A41" w:rsidR="00591043" w:rsidRPr="00A72FB5" w:rsidRDefault="00591043" w:rsidP="00A72FB5">
            <w:r w:rsidRPr="00A72FB5">
              <w:t>Registration</w:t>
            </w:r>
          </w:p>
        </w:tc>
        <w:tc>
          <w:tcPr>
            <w:tcW w:w="3666" w:type="pct"/>
          </w:tcPr>
          <w:p w14:paraId="405AF77A"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 xml:space="preserve">Applicants for registration must meet a range of standards to gain and retain their registration (licence) to practice as a nurse in Australia. </w:t>
            </w:r>
          </w:p>
        </w:tc>
      </w:tr>
      <w:tr w:rsidR="00591043" w:rsidRPr="00DC5568" w14:paraId="2A3CA373"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0D1B60BC" w14:textId="77777777" w:rsidR="00591043" w:rsidRPr="00A72FB5" w:rsidRDefault="00591043" w:rsidP="00A72FB5">
            <w:r w:rsidRPr="00A72FB5">
              <w:t>Scope of practice</w:t>
            </w:r>
          </w:p>
        </w:tc>
        <w:tc>
          <w:tcPr>
            <w:tcW w:w="3666" w:type="pct"/>
          </w:tcPr>
          <w:p w14:paraId="6E5ABE1F" w14:textId="77777777" w:rsidR="00591043" w:rsidRPr="00A72FB5" w:rsidRDefault="00591043" w:rsidP="00A72FB5">
            <w:pPr>
              <w:cnfStyle w:val="000000000000" w:firstRow="0" w:lastRow="0" w:firstColumn="0" w:lastColumn="0" w:oddVBand="0" w:evenVBand="0" w:oddHBand="0" w:evenHBand="0" w:firstRowFirstColumn="0" w:firstRowLastColumn="0" w:lastRowFirstColumn="0" w:lastRowLastColumn="0"/>
            </w:pPr>
            <w:r w:rsidRPr="00A72FB5">
              <w:t>The range of activities that a professional is educated, competent and authorised to perform. The scope of practice of individual practitioners is influenced by the settings in which they practise. This includes the level of competence and confidence of the nurse and the policy requirements of the service provider. As the nurse gains new skills and knowledge, their individual scope of practice changes.</w:t>
            </w:r>
          </w:p>
        </w:tc>
      </w:tr>
      <w:tr w:rsidR="00591043" w:rsidRPr="00DC5568" w14:paraId="15810762" w14:textId="77777777" w:rsidTr="003D2348">
        <w:tc>
          <w:tcPr>
            <w:cnfStyle w:val="001000000000" w:firstRow="0" w:lastRow="0" w:firstColumn="1" w:lastColumn="0" w:oddVBand="0" w:evenVBand="0" w:oddHBand="0" w:evenHBand="0" w:firstRowFirstColumn="0" w:firstRowLastColumn="0" w:lastRowFirstColumn="0" w:lastRowLastColumn="0"/>
            <w:tcW w:w="1334" w:type="pct"/>
          </w:tcPr>
          <w:p w14:paraId="735733BD" w14:textId="77777777" w:rsidR="00591043" w:rsidRPr="00A72FB5" w:rsidRDefault="00591043" w:rsidP="00A72FB5">
            <w:pPr>
              <w:spacing w:before="160" w:after="160"/>
              <w:rPr>
                <w:bCs/>
              </w:rPr>
            </w:pPr>
            <w:r w:rsidRPr="00A72FB5">
              <w:rPr>
                <w:bCs/>
              </w:rPr>
              <w:t>Student employment model</w:t>
            </w:r>
          </w:p>
        </w:tc>
        <w:tc>
          <w:tcPr>
            <w:tcW w:w="3666" w:type="pct"/>
          </w:tcPr>
          <w:p w14:paraId="7368C601" w14:textId="77777777" w:rsidR="00591043" w:rsidRPr="00DC5568" w:rsidRDefault="00591043" w:rsidP="00A72FB5">
            <w:pPr>
              <w:spacing w:before="160" w:after="160"/>
              <w:cnfStyle w:val="000000000000" w:firstRow="0" w:lastRow="0" w:firstColumn="0" w:lastColumn="0" w:oddVBand="0" w:evenVBand="0" w:oddHBand="0" w:evenHBand="0" w:firstRowFirstColumn="0" w:firstRowLastColumn="0" w:lastRowFirstColumn="0" w:lastRowLastColumn="0"/>
              <w:rPr>
                <w:rFonts w:eastAsia="Calibri"/>
              </w:rPr>
            </w:pPr>
            <w:r w:rsidRPr="00DC5568">
              <w:t xml:space="preserve">An employment model where a person </w:t>
            </w:r>
            <w:r w:rsidRPr="00DC5568">
              <w:rPr>
                <w:rFonts w:eastAsia="Calibri"/>
              </w:rPr>
              <w:t xml:space="preserve">currently enrolled in an undergraduate nursing course, who is also registered with the NMBA as a student nurse, can undertake paid employment in a variety of health and aged care settings. </w:t>
            </w:r>
          </w:p>
        </w:tc>
      </w:tr>
    </w:tbl>
    <w:p w14:paraId="031630A4" w14:textId="77777777" w:rsidR="00591043" w:rsidRPr="00DC5568" w:rsidRDefault="00591043" w:rsidP="00A72FB5">
      <w:pPr>
        <w:pStyle w:val="Heading1"/>
      </w:pPr>
      <w:bookmarkStart w:id="9" w:name="_Toc236309226"/>
      <w:bookmarkStart w:id="10" w:name="_Toc236399735"/>
      <w:r w:rsidRPr="00DC5568">
        <w:lastRenderedPageBreak/>
        <w:t>Actions</w:t>
      </w:r>
      <w:bookmarkEnd w:id="9"/>
      <w:bookmarkEnd w:id="10"/>
    </w:p>
    <w:p w14:paraId="0554AF57" w14:textId="77777777" w:rsidR="00591043" w:rsidRPr="00DC5568" w:rsidRDefault="00591043" w:rsidP="00A72FB5">
      <w:pPr>
        <w:pStyle w:val="Caption"/>
      </w:pPr>
      <w:r w:rsidRPr="00DC5568">
        <w:t>Table 2. Overview of National Nursing Workforce Strategy actions</w:t>
      </w:r>
    </w:p>
    <w:tbl>
      <w:tblPr>
        <w:tblStyle w:val="TableGrid"/>
        <w:tblW w:w="5000" w:type="pct"/>
        <w:tblLook w:val="04A0" w:firstRow="1" w:lastRow="0" w:firstColumn="1" w:lastColumn="0" w:noHBand="0" w:noVBand="1"/>
      </w:tblPr>
      <w:tblGrid>
        <w:gridCol w:w="2689"/>
        <w:gridCol w:w="6328"/>
      </w:tblGrid>
      <w:tr w:rsidR="00591043" w:rsidRPr="00DC5568" w14:paraId="581F964F" w14:textId="77777777" w:rsidTr="003C7B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1" w:type="pct"/>
          </w:tcPr>
          <w:p w14:paraId="1CD75315" w14:textId="77777777" w:rsidR="00591043" w:rsidRPr="00DC5568" w:rsidRDefault="00591043" w:rsidP="00A72FB5">
            <w:pPr>
              <w:rPr>
                <w:rFonts w:eastAsia="Calibri"/>
              </w:rPr>
            </w:pPr>
            <w:r w:rsidRPr="00DC5568">
              <w:t>Priority</w:t>
            </w:r>
          </w:p>
        </w:tc>
        <w:tc>
          <w:tcPr>
            <w:tcW w:w="3509" w:type="pct"/>
          </w:tcPr>
          <w:p w14:paraId="0B9B1920" w14:textId="77777777" w:rsidR="00591043" w:rsidRPr="00DC5568" w:rsidRDefault="00591043" w:rsidP="00A72FB5">
            <w:pPr>
              <w:cnfStyle w:val="100000000000" w:firstRow="1" w:lastRow="0" w:firstColumn="0" w:lastColumn="0" w:oddVBand="0" w:evenVBand="0" w:oddHBand="0" w:evenHBand="0" w:firstRowFirstColumn="0" w:firstRowLastColumn="0" w:lastRowFirstColumn="0" w:lastRowLastColumn="0"/>
            </w:pPr>
            <w:r w:rsidRPr="00DC5568">
              <w:t>Action</w:t>
            </w:r>
          </w:p>
        </w:tc>
      </w:tr>
      <w:tr w:rsidR="00027DC6" w:rsidRPr="00DC5568" w14:paraId="25373E28" w14:textId="77777777" w:rsidTr="003C7B37">
        <w:trPr>
          <w:trHeight w:val="4779"/>
        </w:trPr>
        <w:tc>
          <w:tcPr>
            <w:cnfStyle w:val="001000000000" w:firstRow="0" w:lastRow="0" w:firstColumn="1" w:lastColumn="0" w:oddVBand="0" w:evenVBand="0" w:oddHBand="0" w:evenHBand="0" w:firstRowFirstColumn="0" w:firstRowLastColumn="0" w:lastRowFirstColumn="0" w:lastRowLastColumn="0"/>
            <w:tcW w:w="1491" w:type="pct"/>
          </w:tcPr>
          <w:p w14:paraId="4ED6474D" w14:textId="77777777" w:rsidR="00027DC6" w:rsidRPr="009D6534" w:rsidRDefault="00027DC6" w:rsidP="00311847">
            <w:pPr>
              <w:pStyle w:val="List-Priorities"/>
            </w:pPr>
            <w:r w:rsidRPr="009D6534">
              <w:t xml:space="preserve">Enhancing workforce planning, education and regulation </w:t>
            </w:r>
          </w:p>
        </w:tc>
        <w:tc>
          <w:tcPr>
            <w:tcW w:w="3509" w:type="pct"/>
          </w:tcPr>
          <w:p w14:paraId="7B678906"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Implement nationally coordinated nursing workforce data, modelling and planning</w:t>
            </w:r>
          </w:p>
          <w:p w14:paraId="4E00941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Implement strategies that enhance nurses’ mobility and career flexibility</w:t>
            </w:r>
          </w:p>
          <w:p w14:paraId="073DA87F"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Grow the Aboriginal and Torres Strait Islander nursing workforce</w:t>
            </w:r>
          </w:p>
          <w:p w14:paraId="6375D2D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Research and implement the most contemporary models of delivery of pre-registration education</w:t>
            </w:r>
          </w:p>
          <w:p w14:paraId="3A25B57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Facilitate students and nurses to access and complete nursing education</w:t>
            </w:r>
          </w:p>
          <w:p w14:paraId="53AF03F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Adapt student employment models for all health and aged care settings</w:t>
            </w:r>
          </w:p>
          <w:p w14:paraId="7C374ED3"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Increase transparency and improve timeliness and currency of regulatory processes and outcomes</w:t>
            </w:r>
          </w:p>
          <w:p w14:paraId="0D7A3B07" w14:textId="70D7F4C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Develop and implement a nationally consistent accreditation process for post graduate nursing education</w:t>
            </w:r>
          </w:p>
        </w:tc>
      </w:tr>
      <w:tr w:rsidR="00027DC6" w:rsidRPr="00DC5568" w14:paraId="39CBB600" w14:textId="77777777" w:rsidTr="003C7B37">
        <w:trPr>
          <w:trHeight w:val="3886"/>
        </w:trPr>
        <w:tc>
          <w:tcPr>
            <w:cnfStyle w:val="001000000000" w:firstRow="0" w:lastRow="0" w:firstColumn="1" w:lastColumn="0" w:oddVBand="0" w:evenVBand="0" w:oddHBand="0" w:evenHBand="0" w:firstRowFirstColumn="0" w:firstRowLastColumn="0" w:lastRowFirstColumn="0" w:lastRowLastColumn="0"/>
            <w:tcW w:w="1491" w:type="pct"/>
          </w:tcPr>
          <w:p w14:paraId="1426CF42" w14:textId="77777777" w:rsidR="00027DC6" w:rsidRPr="009D6534" w:rsidRDefault="00027DC6" w:rsidP="009D6534">
            <w:pPr>
              <w:pStyle w:val="List-Priorities"/>
            </w:pPr>
            <w:r w:rsidRPr="009D6534">
              <w:t>Enabling nursing innovation</w:t>
            </w:r>
          </w:p>
        </w:tc>
        <w:tc>
          <w:tcPr>
            <w:tcW w:w="3509" w:type="pct"/>
          </w:tcPr>
          <w:p w14:paraId="74758DAF"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Prepare and engage the nursing workforce to continue to drive the innovation and effective use of emerging technologies</w:t>
            </w:r>
          </w:p>
          <w:p w14:paraId="5CC95E5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Create and embed funding models that drive evolution and enhancement of sustainable nursing practice</w:t>
            </w:r>
          </w:p>
          <w:p w14:paraId="3434516C"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Implement nurse-led innovative models of care</w:t>
            </w:r>
          </w:p>
          <w:p w14:paraId="562469B6"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Aboriginal and Torres Strait Islander nurses and communities design workforce initiatives that suit local conditions and community situations</w:t>
            </w:r>
          </w:p>
          <w:p w14:paraId="4DF83DEA"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Enable nurses to work to their optimum scope of practice in all settings</w:t>
            </w:r>
          </w:p>
          <w:p w14:paraId="2FE9DCE3" w14:textId="476C08D5"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Mobilise and support the nursing workforce to lead and contribute to an environmentally sustainable and climate-resilient health and aged care system</w:t>
            </w:r>
          </w:p>
        </w:tc>
      </w:tr>
      <w:tr w:rsidR="00027DC6" w:rsidRPr="00DC5568" w14:paraId="2E1DBCD8" w14:textId="77777777" w:rsidTr="003C7B37">
        <w:trPr>
          <w:trHeight w:val="2405"/>
        </w:trPr>
        <w:tc>
          <w:tcPr>
            <w:cnfStyle w:val="001000000000" w:firstRow="0" w:lastRow="0" w:firstColumn="1" w:lastColumn="0" w:oddVBand="0" w:evenVBand="0" w:oddHBand="0" w:evenHBand="0" w:firstRowFirstColumn="0" w:firstRowLastColumn="0" w:lastRowFirstColumn="0" w:lastRowLastColumn="0"/>
            <w:tcW w:w="1491" w:type="pct"/>
          </w:tcPr>
          <w:p w14:paraId="3B0EB1F8" w14:textId="77777777" w:rsidR="00027DC6" w:rsidRPr="009D6534" w:rsidRDefault="00027DC6" w:rsidP="009D6534">
            <w:pPr>
              <w:pStyle w:val="List-Priorities"/>
            </w:pPr>
            <w:r w:rsidRPr="009D6534">
              <w:lastRenderedPageBreak/>
              <w:t>Elevating the nursing profession</w:t>
            </w:r>
          </w:p>
        </w:tc>
        <w:tc>
          <w:tcPr>
            <w:tcW w:w="3509" w:type="pct"/>
          </w:tcPr>
          <w:p w14:paraId="2F6292F8"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Advance nursing leadership</w:t>
            </w:r>
          </w:p>
          <w:p w14:paraId="73ACFC79"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Grow Aboriginal and Torres Strait Islander nurse leadership</w:t>
            </w:r>
          </w:p>
          <w:p w14:paraId="4E5E99A1"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Adopt anti-racism initiatives in nursing</w:t>
            </w:r>
          </w:p>
          <w:p w14:paraId="1E38901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t>Foster a diverse, inclusive and culturally safe nursing workforce</w:t>
            </w:r>
          </w:p>
          <w:p w14:paraId="7AFC19E4"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Support internationally qualified nurses to transition into Australia’s health and aged care system</w:t>
            </w:r>
          </w:p>
          <w:p w14:paraId="3DCE4AF0" w14:textId="347A3CBC"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Contemporise the identity of nursing</w:t>
            </w:r>
          </w:p>
        </w:tc>
      </w:tr>
      <w:tr w:rsidR="00027DC6" w:rsidRPr="00DC5568" w14:paraId="66174FD0" w14:textId="77777777" w:rsidTr="003C7B37">
        <w:trPr>
          <w:trHeight w:val="4779"/>
        </w:trPr>
        <w:tc>
          <w:tcPr>
            <w:cnfStyle w:val="001000000000" w:firstRow="0" w:lastRow="0" w:firstColumn="1" w:lastColumn="0" w:oddVBand="0" w:evenVBand="0" w:oddHBand="0" w:evenHBand="0" w:firstRowFirstColumn="0" w:firstRowLastColumn="0" w:lastRowFirstColumn="0" w:lastRowLastColumn="0"/>
            <w:tcW w:w="1491" w:type="pct"/>
          </w:tcPr>
          <w:p w14:paraId="52CC713A" w14:textId="77777777" w:rsidR="00027DC6" w:rsidRPr="009D6534" w:rsidRDefault="00027DC6" w:rsidP="009D6534">
            <w:pPr>
              <w:pStyle w:val="List-Priorities"/>
            </w:pPr>
            <w:r w:rsidRPr="009D6534">
              <w:t>Delivering a sustainable nursing workforce</w:t>
            </w:r>
          </w:p>
        </w:tc>
        <w:tc>
          <w:tcPr>
            <w:tcW w:w="3509" w:type="pct"/>
          </w:tcPr>
          <w:p w14:paraId="6882DBA0" w14:textId="77777777"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591043">
              <w:rPr>
                <w:rFonts w:eastAsiaTheme="minorHAnsi"/>
                <w:lang w:eastAsia="en-US"/>
              </w:rPr>
              <w:t>Develop a nationally consistent framework for transition of practice</w:t>
            </w:r>
          </w:p>
          <w:p w14:paraId="7F306762"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Develop a national nursing skills and capability framework and matrix</w:t>
            </w:r>
          </w:p>
          <w:p w14:paraId="7EFB07C5"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Develop a national professional development framework</w:t>
            </w:r>
          </w:p>
          <w:p w14:paraId="7F66036E"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Adopt positive practice environment standards in all settings</w:t>
            </w:r>
          </w:p>
          <w:p w14:paraId="079E7E56"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Build and grow nurse clinical-academic/research career pathways</w:t>
            </w:r>
          </w:p>
          <w:p w14:paraId="666167F5"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Yu Mincho"/>
              </w:rPr>
            </w:pPr>
            <w:r w:rsidRPr="00DC5568">
              <w:rPr>
                <w:rFonts w:eastAsia="Yu Mincho"/>
              </w:rPr>
              <w:t>Develop a rural and remote career pathway inclusive of transition of practice support</w:t>
            </w:r>
          </w:p>
          <w:p w14:paraId="41DDFD1E" w14:textId="77777777" w:rsidR="00027DC6" w:rsidRPr="00DC5568" w:rsidRDefault="00027DC6" w:rsidP="009D6534">
            <w:pPr>
              <w:pStyle w:val="List-Priorities2"/>
              <w:cnfStyle w:val="000000000000" w:firstRow="0" w:lastRow="0" w:firstColumn="0" w:lastColumn="0" w:oddVBand="0" w:evenVBand="0" w:oddHBand="0" w:evenHBand="0" w:firstRowFirstColumn="0" w:firstRowLastColumn="0" w:lastRowFirstColumn="0" w:lastRowLastColumn="0"/>
            </w:pPr>
            <w:r w:rsidRPr="00DC5568">
              <w:rPr>
                <w:rFonts w:eastAsia="Yu Mincho"/>
              </w:rPr>
              <w:t xml:space="preserve">Develop models of education to allow students to study closer to home including strengthening rural nursing clinical schools </w:t>
            </w:r>
            <w:r w:rsidRPr="00DC5568">
              <w:t>and professional experience placements</w:t>
            </w:r>
          </w:p>
          <w:p w14:paraId="08209C42" w14:textId="7C443CF0" w:rsidR="00027DC6" w:rsidRPr="00591043" w:rsidRDefault="00027DC6" w:rsidP="009D6534">
            <w:pPr>
              <w:pStyle w:val="List-Priorities2"/>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DC5568">
              <w:rPr>
                <w:rFonts w:eastAsia="Yu Mincho"/>
              </w:rPr>
              <w:t>Remove barriers to nurses working to their optimum scope of practice within multidisciplinary models of care in rural and remote locations</w:t>
            </w:r>
          </w:p>
        </w:tc>
      </w:tr>
    </w:tbl>
    <w:p w14:paraId="0D494ECA" w14:textId="77777777" w:rsidR="00591043" w:rsidRPr="00DC5568" w:rsidRDefault="00591043" w:rsidP="00591043">
      <w:pPr>
        <w:pStyle w:val="Heading1"/>
        <w:spacing w:after="280"/>
      </w:pPr>
      <w:bookmarkStart w:id="11" w:name="_Toc183432195"/>
      <w:bookmarkStart w:id="12" w:name="_Toc236309227"/>
      <w:bookmarkStart w:id="13" w:name="_Toc236399736"/>
      <w:r w:rsidRPr="00DC5568">
        <w:lastRenderedPageBreak/>
        <w:t>Introduction</w:t>
      </w:r>
      <w:bookmarkEnd w:id="11"/>
      <w:bookmarkEnd w:id="12"/>
      <w:bookmarkEnd w:id="13"/>
      <w:r w:rsidRPr="00DC5568">
        <w:t xml:space="preserve"> </w:t>
      </w:r>
    </w:p>
    <w:p w14:paraId="506045CB" w14:textId="37E8F858" w:rsidR="00591043" w:rsidRPr="0056519E" w:rsidRDefault="00591043" w:rsidP="0056519E">
      <w:pPr>
        <w:pStyle w:val="IntroPara"/>
      </w:pPr>
      <w:r w:rsidRPr="0056519E">
        <w:t>As the world’s population grows, people need better access to safe, quality health care, as well as long-term employment. Investments that increase the overall productivity of the health sector and produce better health outcomes are a cornerstone for building strong health systems and stronger economies.</w:t>
      </w:r>
      <w:r w:rsidRPr="0056519E">
        <w:rPr>
          <w:rStyle w:val="EndnoteReference"/>
          <w:color w:val="0078BF" w:themeColor="accent3"/>
        </w:rPr>
        <w:endnoteReference w:id="2"/>
      </w:r>
      <w:r w:rsidR="00C76E76" w:rsidRPr="0056519E">
        <w:t xml:space="preserve"> </w:t>
      </w:r>
      <w:r w:rsidRPr="0056519E">
        <w:t xml:space="preserve">Investing in the nursing workforce not only improves the well-being of </w:t>
      </w:r>
      <w:proofErr w:type="gramStart"/>
      <w:r w:rsidRPr="0056519E">
        <w:t>populations, but</w:t>
      </w:r>
      <w:proofErr w:type="gramEnd"/>
      <w:r w:rsidRPr="0056519E">
        <w:t xml:space="preserve"> also boosts economic growth by enhancing workforce productivity; strengthening health care systems; alleviating poverty; improving gender equality; and contributing to social cohesion, peace and prosperity.</w:t>
      </w:r>
      <w:r w:rsidRPr="0056519E">
        <w:rPr>
          <w:rStyle w:val="EndnoteReference"/>
          <w:color w:val="0078BF" w:themeColor="accent3"/>
        </w:rPr>
        <w:endnoteReference w:id="3"/>
      </w:r>
    </w:p>
    <w:p w14:paraId="18624F3F" w14:textId="5DD784A5" w:rsidR="00591043" w:rsidRPr="00DC5568" w:rsidRDefault="00591043" w:rsidP="00591043">
      <w:pPr>
        <w:pStyle w:val="BodyText"/>
      </w:pPr>
      <w:r w:rsidRPr="00DC5568">
        <w:t>Australia is the sixth largest country in the world by land area</w:t>
      </w:r>
      <w:r w:rsidR="00867067">
        <w:t>,</w:t>
      </w:r>
      <w:r w:rsidRPr="00C76E76">
        <w:rPr>
          <w:rStyle w:val="EndnoteReference"/>
        </w:rPr>
        <w:endnoteReference w:id="4"/>
      </w:r>
      <w:r w:rsidRPr="00DC5568">
        <w:t xml:space="preserve"> serving a population of more than 27 million people.</w:t>
      </w:r>
      <w:r w:rsidRPr="00C76E76">
        <w:rPr>
          <w:rStyle w:val="EndnoteReference"/>
        </w:rPr>
        <w:endnoteReference w:id="5"/>
      </w:r>
      <w:r w:rsidRPr="00DC5568">
        <w:t xml:space="preserve"> More than 70% of the population live in major cities and around 26% live in regional areas. The remainder of the population (2%) live in remote and very remote areas.</w:t>
      </w:r>
      <w:r w:rsidRPr="00C76E76">
        <w:rPr>
          <w:rStyle w:val="EndnoteReference"/>
        </w:rPr>
        <w:endnoteReference w:id="6"/>
      </w:r>
      <w:r w:rsidRPr="00DC5568">
        <w:t xml:space="preserve"> Australia's population is diverse. People who identify as Aboriginal and/or Torres Strait Islander are estimated to represent 3.8% of the population. Almost 70% of the population was born in Australia, with 29.5% born overseas.</w:t>
      </w:r>
      <w:r w:rsidRPr="00C76E76">
        <w:rPr>
          <w:rStyle w:val="EndnoteReference"/>
        </w:rPr>
        <w:endnoteReference w:id="7"/>
      </w:r>
    </w:p>
    <w:p w14:paraId="0E86D6D7" w14:textId="77777777" w:rsidR="00591043" w:rsidRPr="00DC5568" w:rsidRDefault="00591043" w:rsidP="00591043">
      <w:pPr>
        <w:pStyle w:val="BodyText"/>
      </w:pPr>
      <w:r w:rsidRPr="00DC5568">
        <w:t xml:space="preserve">The Australian health and aged care system serving this population is one of the best in the world, providing safe and affordable universal health care, which is collaboratively managed by all levels of government – federal, state, territory and local. However, a range of factors are challenging the health and aged care system and how services are delivered. These include an ageing population, increasingly complex and chronic conditions, a large land mass with a geographically dispersed population, socioeconomic factors, the impacts of climate change, advancements in technology and the geopolitical landscape. </w:t>
      </w:r>
    </w:p>
    <w:p w14:paraId="65ECBD5C" w14:textId="77777777" w:rsidR="00591043" w:rsidRPr="00DC5568" w:rsidRDefault="00591043" w:rsidP="00591043">
      <w:pPr>
        <w:pStyle w:val="BodyText"/>
      </w:pPr>
      <w:r w:rsidRPr="00DC5568">
        <w:t>Additionally, the COVID-19 pandemic (the pandemic) exacerbated the demands being made on and for the nursing workforce in Australia. Globally, evidence shows there has been insufficient investment in policy and planning to ensure nations were training adequate numbers of nurses to meet their projected needs.</w:t>
      </w:r>
      <w:r w:rsidRPr="00C76E76">
        <w:rPr>
          <w:rStyle w:val="EndnoteReference"/>
        </w:rPr>
        <w:endnoteReference w:id="8"/>
      </w:r>
      <w:r w:rsidRPr="00DC5568">
        <w:t xml:space="preserve"> In some countries nurse unemployment co-exists with significant nurse shortages.</w:t>
      </w:r>
      <w:r w:rsidRPr="00C76E76">
        <w:rPr>
          <w:rStyle w:val="EndnoteReference"/>
        </w:rPr>
        <w:endnoteReference w:id="9"/>
      </w:r>
      <w:r w:rsidRPr="00DC5568">
        <w:t xml:space="preserve"> In Australia these factors are having and will continue to have significant impacts on demand for the nursing workforce now and into the future.</w:t>
      </w:r>
    </w:p>
    <w:p w14:paraId="462968A9" w14:textId="77777777" w:rsidR="00591043" w:rsidRPr="00DC5568" w:rsidRDefault="00591043" w:rsidP="000E4F00">
      <w:pPr>
        <w:pStyle w:val="Heading2"/>
      </w:pPr>
      <w:bookmarkStart w:id="14" w:name="_Toc183432196"/>
      <w:bookmarkStart w:id="15" w:name="_Toc236309228"/>
      <w:bookmarkStart w:id="16" w:name="_Toc236399737"/>
      <w:r w:rsidRPr="00DC5568">
        <w:t>The value of nurses</w:t>
      </w:r>
      <w:bookmarkEnd w:id="14"/>
      <w:bookmarkEnd w:id="15"/>
      <w:bookmarkEnd w:id="16"/>
    </w:p>
    <w:p w14:paraId="3DA0E6FF" w14:textId="77777777" w:rsidR="00591043" w:rsidRPr="00DC5568" w:rsidRDefault="00591043" w:rsidP="00591043">
      <w:pPr>
        <w:pStyle w:val="BodyText"/>
      </w:pPr>
      <w:r w:rsidRPr="00DC5568">
        <w:t xml:space="preserve">The nursing workforce is critical to the health and aged care system and broader society. </w:t>
      </w:r>
    </w:p>
    <w:p w14:paraId="60CAA90A" w14:textId="33331A59" w:rsidR="00591043" w:rsidRPr="00DC5568" w:rsidRDefault="00591043" w:rsidP="00591043">
      <w:pPr>
        <w:pStyle w:val="BodyText"/>
      </w:pPr>
      <w:r w:rsidRPr="00DC5568">
        <w:t xml:space="preserve">Nursing represents more than 54% of the healthcare workforce nationally </w:t>
      </w:r>
      <w:r w:rsidRPr="00DC5568" w:rsidDel="00426D15">
        <w:t>and is the single largest health profession in Australia.</w:t>
      </w:r>
      <w:r w:rsidRPr="00C76E76">
        <w:rPr>
          <w:rStyle w:val="EndnoteReference"/>
        </w:rPr>
        <w:endnoteReference w:id="10"/>
      </w:r>
      <w:r w:rsidRPr="00DC5568">
        <w:t xml:space="preserve"> In 2023 there were 455,000 nurses with general and provisional registration in Australia and 88% identified as female. Of the total number of nurses, 389,787 were registered nurses and 65,213 were enrolled nurses.</w:t>
      </w:r>
      <w:r w:rsidRPr="00C76E76">
        <w:rPr>
          <w:rStyle w:val="EndnoteReference"/>
        </w:rPr>
        <w:endnoteReference w:id="11"/>
      </w:r>
      <w:r w:rsidRPr="00DC5568">
        <w:rPr>
          <w:vertAlign w:val="superscript"/>
        </w:rPr>
        <w:t xml:space="preserve"> </w:t>
      </w:r>
      <w:r w:rsidRPr="00DC5568">
        <w:t xml:space="preserve">Comprehensive data on the nursing workforce is updated annually and published through the </w:t>
      </w:r>
      <w:hyperlink r:id="rId25" w:history="1">
        <w:r w:rsidRPr="00DC5568">
          <w:rPr>
            <w:rStyle w:val="Hyperlink"/>
          </w:rPr>
          <w:t>National Health Workforce Dataset</w:t>
        </w:r>
      </w:hyperlink>
      <w:r w:rsidRPr="00DC5568">
        <w:t>.</w:t>
      </w:r>
    </w:p>
    <w:p w14:paraId="59C3CDC2" w14:textId="77777777" w:rsidR="00591043" w:rsidRPr="00DC5568" w:rsidRDefault="00591043" w:rsidP="00591043">
      <w:pPr>
        <w:pStyle w:val="BodyText"/>
        <w:rPr>
          <w:rStyle w:val="EndnoteReference"/>
        </w:rPr>
      </w:pPr>
      <w:r w:rsidRPr="00DC5568">
        <w:t>There is recognition that economic growth and health system recovery and rebuild post COVID-19 is dependent on having an effective and sustainable health workforce.</w:t>
      </w:r>
      <w:r w:rsidRPr="00C76E76">
        <w:rPr>
          <w:rStyle w:val="EndnoteReference"/>
        </w:rPr>
        <w:endnoteReference w:id="12"/>
      </w:r>
      <w:r w:rsidRPr="00DC5568">
        <w:t xml:space="preserve"> The</w:t>
      </w:r>
      <w:r w:rsidRPr="008173B5">
        <w:t xml:space="preserve">re is </w:t>
      </w:r>
      <w:r w:rsidRPr="008173B5">
        <w:lastRenderedPageBreak/>
        <w:t>also a recognised need for urgent and effective policies and planning to support and sustain the nursing workforce</w:t>
      </w:r>
      <w:r w:rsidRPr="00DC5568">
        <w:t>.</w:t>
      </w:r>
      <w:r w:rsidRPr="00C76E76">
        <w:rPr>
          <w:rStyle w:val="EndnoteReference"/>
        </w:rPr>
        <w:endnoteReference w:id="13"/>
      </w:r>
      <w:r w:rsidRPr="00DC5568">
        <w:rPr>
          <w:rStyle w:val="EndnoteReference"/>
        </w:rPr>
        <w:t xml:space="preserve"> </w:t>
      </w:r>
    </w:p>
    <w:p w14:paraId="47B95F3F" w14:textId="77777777" w:rsidR="00591043" w:rsidRPr="00DC5568" w:rsidRDefault="00591043" w:rsidP="00591043">
      <w:pPr>
        <w:pStyle w:val="BodyText"/>
      </w:pPr>
      <w:r w:rsidRPr="00DC5568">
        <w:t>Nurses have a broad scope of practice for both physical and mental health and across the lifespan. They deliver exceptional evidence-based, quality care and services across all health and aged care settings, in many speciality areas, in all communities and to all people throughout Australia. Pre-registration nursing education prepares students for generalist practice in a variety of health settings. Nurses may choose to undertake further study to develop knowledge and skills in a range of health and aged care settings, specialties, conditions and scopes of practice.</w:t>
      </w:r>
    </w:p>
    <w:p w14:paraId="2D87D093" w14:textId="77777777" w:rsidR="00591043" w:rsidRPr="00DC5568" w:rsidRDefault="00591043" w:rsidP="00591043">
      <w:pPr>
        <w:pStyle w:val="BodyText"/>
      </w:pPr>
      <w:r w:rsidRPr="00DC5568">
        <w:t xml:space="preserve">Nursing in Australia provides many opportunities to consolidate and develop either generalist or specialist knowledge and skillsets in unique geographic and cultural landscapes. With its vast land area and dispersed population, a career in nursing in Australia can range from working in a large metropolitan hospital to being the primary healthcare provider in a remote area. It can involve being an integral member of the local community, building connections with people from different cultural, linguistic, social backgrounds and </w:t>
      </w:r>
      <w:proofErr w:type="spellStart"/>
      <w:r w:rsidRPr="00DC5568">
        <w:t>intersectionalities</w:t>
      </w:r>
      <w:proofErr w:type="spellEnd"/>
      <w:r w:rsidRPr="00DC5568">
        <w:t>. With the ability to work across a variety of practice contexts, nursing in Australia leads to diverse, interesting and rewarding careers. </w:t>
      </w:r>
    </w:p>
    <w:p w14:paraId="4E596554" w14:textId="77777777" w:rsidR="00591043" w:rsidRPr="00DC5568" w:rsidRDefault="00591043" w:rsidP="00591043">
      <w:pPr>
        <w:pStyle w:val="BodyText"/>
      </w:pPr>
      <w:r w:rsidRPr="00DC5568">
        <w:t>Nurses have the highest rates of consumer contact of any health workforce within acute care, residential aged care and in remote settings. Nurses have an essential role in providing health services to meet the needs of people and promote health across the lifespan. Nurses collaborate with other health workers and work as part of multidisciplinary teams coordinating service delivery. They are key strategic and operational leaders across the entire health and aged care system.</w:t>
      </w:r>
      <w:r w:rsidRPr="00DC5568">
        <w:rPr>
          <w:rStyle w:val="CommentReference"/>
        </w:rPr>
        <w:t xml:space="preserve"> </w:t>
      </w:r>
      <w:r w:rsidRPr="00DC5568">
        <w:t xml:space="preserve">Nurses hold pivotal roles in areas outside the clinical environment. This includes leading research, teaching and education in the tertiary and vocational sectors, and leading regulation, policy development and implementation in government and non-government organisations. </w:t>
      </w:r>
    </w:p>
    <w:p w14:paraId="56911DC2" w14:textId="76CC35C3" w:rsidR="00591043" w:rsidRPr="00DC5568" w:rsidRDefault="00591043" w:rsidP="00591043">
      <w:pPr>
        <w:pStyle w:val="BodyText"/>
      </w:pPr>
      <w:r w:rsidRPr="00DC5568">
        <w:t xml:space="preserve">Nurses are essential drivers of innovation and improvement. Through their leadership in research, education and policy development, nurses help create, disseminate and translate evidence-based knowledge, best practice and standards of care to drive continuous improvement in population health. Their role as collaborators, positively engaging and connecting with people, communities, organisations and multidisciplinary teams, is crucial to promoting health and wellbeing. </w:t>
      </w:r>
      <w:r w:rsidR="002B64D6">
        <w:fldChar w:fldCharType="begin"/>
      </w:r>
      <w:r w:rsidR="002B64D6">
        <w:instrText xml:space="preserve"> REF _Ref236310141 \h </w:instrText>
      </w:r>
      <w:r w:rsidR="002B64D6">
        <w:fldChar w:fldCharType="separate"/>
      </w:r>
      <w:r w:rsidR="00156823">
        <w:t xml:space="preserve">Appendix </w:t>
      </w:r>
      <w:r w:rsidR="00156823">
        <w:rPr>
          <w:noProof/>
        </w:rPr>
        <w:t>A</w:t>
      </w:r>
      <w:r w:rsidR="002B64D6">
        <w:fldChar w:fldCharType="end"/>
      </w:r>
      <w:r w:rsidR="002B64D6">
        <w:t xml:space="preserve"> </w:t>
      </w:r>
      <w:r w:rsidRPr="00DC5568">
        <w:t>illustrates the integration of the nursing workforce in Australia’s health care system.</w:t>
      </w:r>
    </w:p>
    <w:p w14:paraId="182F77F1" w14:textId="77777777" w:rsidR="00591043" w:rsidRPr="00DC5568" w:rsidRDefault="00591043" w:rsidP="00591043">
      <w:pPr>
        <w:pStyle w:val="BodyText"/>
      </w:pPr>
      <w:r w:rsidRPr="00DC5568">
        <w:t>The societal and economic impact of nursing is profound. Investment in the nursing workforce has been shown to yield high returns, including in improved consumer outcomes, reduced hospitalisation and fewer patient safety errors.</w:t>
      </w:r>
      <w:r w:rsidRPr="00C76E76">
        <w:rPr>
          <w:rStyle w:val="EndnoteReference"/>
        </w:rPr>
        <w:endnoteReference w:id="14"/>
      </w:r>
      <w:r w:rsidRPr="00DC5568">
        <w:t xml:space="preserve"> The value of nurses goes beyond the services they provide. Evidence shows that investment in healthcare improves health outcomes and quality of life.</w:t>
      </w:r>
      <w:r w:rsidRPr="00C76E76">
        <w:rPr>
          <w:rStyle w:val="EndnoteReference"/>
        </w:rPr>
        <w:endnoteReference w:id="15"/>
      </w:r>
      <w:r w:rsidRPr="00DC5568">
        <w:rPr>
          <w:rStyle w:val="EndnoteReference"/>
        </w:rPr>
        <w:t xml:space="preserve"> </w:t>
      </w:r>
      <w:r w:rsidRPr="00DC5568">
        <w:t>Healthy individuals are more likely to be employed and have higher productivity rates.</w:t>
      </w:r>
      <w:r w:rsidRPr="00C76E76">
        <w:rPr>
          <w:rStyle w:val="EndnoteReference"/>
        </w:rPr>
        <w:endnoteReference w:id="16"/>
      </w:r>
      <w:r w:rsidRPr="00DC5568">
        <w:rPr>
          <w:vertAlign w:val="superscript"/>
        </w:rPr>
        <w:t>,</w:t>
      </w:r>
      <w:r w:rsidRPr="00C76E76">
        <w:rPr>
          <w:rStyle w:val="EndnoteReference"/>
        </w:rPr>
        <w:endnoteReference w:id="17"/>
      </w:r>
      <w:r w:rsidRPr="00DC5568">
        <w:rPr>
          <w:vertAlign w:val="superscript"/>
        </w:rPr>
        <w:t>,</w:t>
      </w:r>
      <w:r w:rsidRPr="00C76E76">
        <w:rPr>
          <w:rStyle w:val="EndnoteReference"/>
        </w:rPr>
        <w:endnoteReference w:id="18"/>
      </w:r>
      <w:r w:rsidRPr="00DC5568">
        <w:t xml:space="preserve"> Alongside delivering health outcomes, it is also important to recognise the considerable and broader value nurses generate. This is reflected in the economic growth and stimulatory effect of health spending – evidence shows a one Australian dollar investment in better health, results in a two-to-six-dollar return.</w:t>
      </w:r>
      <w:r w:rsidRPr="00C76E76">
        <w:rPr>
          <w:rStyle w:val="EndnoteReference"/>
        </w:rPr>
        <w:endnoteReference w:id="19"/>
      </w:r>
      <w:r w:rsidRPr="00DC5568">
        <w:t xml:space="preserve"> The nursing profession continues to provide many Australians with stable and rewarding employment. As we advance into the future and the demand for health and aged care grows, the value and impact of nurses will become even greater.</w:t>
      </w:r>
    </w:p>
    <w:p w14:paraId="70191192" w14:textId="77777777" w:rsidR="00591043" w:rsidRPr="00DC5568" w:rsidRDefault="00591043" w:rsidP="000E4F00">
      <w:pPr>
        <w:pStyle w:val="Heading2"/>
      </w:pPr>
      <w:bookmarkStart w:id="18" w:name="_Toc183432197"/>
      <w:bookmarkStart w:id="19" w:name="_Toc236309229"/>
      <w:bookmarkStart w:id="20" w:name="_Toc236399738"/>
      <w:r w:rsidRPr="00DC5568">
        <w:lastRenderedPageBreak/>
        <w:t>Why is a strategy needed?</w:t>
      </w:r>
      <w:bookmarkEnd w:id="18"/>
      <w:bookmarkEnd w:id="19"/>
      <w:bookmarkEnd w:id="20"/>
    </w:p>
    <w:p w14:paraId="0CC3F0A6" w14:textId="77777777" w:rsidR="00591043" w:rsidRPr="00DC5568" w:rsidRDefault="00591043" w:rsidP="00591043">
      <w:pPr>
        <w:pStyle w:val="BodyText"/>
      </w:pPr>
      <w:r w:rsidRPr="00DC5568">
        <w:t>There is a critical need for effective and coordinated action and a shared vision for the nursing workforce. As well as the direct impact on health and wellbeing, reduced access and delays to health care can result in lost productivity for people and more broadly, increased cost of care and reduced health outcomes for the population. Targeted investment in health systems, including in the health workforce, promotes economic growth along other pathways: economic output, social protection and cohesion, innovation and health security.</w:t>
      </w:r>
      <w:r w:rsidRPr="00C76E76">
        <w:rPr>
          <w:rStyle w:val="EndnoteReference"/>
        </w:rPr>
        <w:endnoteReference w:id="20"/>
      </w:r>
      <w:r w:rsidRPr="00DC5568">
        <w:t xml:space="preserve"> Investing in nursing ensures people receive cost effective and quality health care. This contributes to better health outcomes for the community and enables people to live full and productive lives. Investment in nursing is essential for optimising health outcomes and to generate broader societal and economic benefits. </w:t>
      </w:r>
    </w:p>
    <w:p w14:paraId="53F3C547" w14:textId="77777777" w:rsidR="00591043" w:rsidRPr="00DC5568" w:rsidRDefault="00591043" w:rsidP="00591043">
      <w:pPr>
        <w:pStyle w:val="BodyText"/>
      </w:pPr>
      <w:r w:rsidRPr="00DC5568">
        <w:t>Legislation, funding and policy settings show misalignment across the nation, which presents challenges that impede nurses working to their optimum scope of practice and in turn has negative consumer impacts. The COVID-19 pandemic placed additional stress on the nursing workforce, highlighting and exacerbating the issues the profession faces – including impacts on mental and physical health and wellbeing.</w:t>
      </w:r>
      <w:r w:rsidRPr="00C76E76">
        <w:rPr>
          <w:rStyle w:val="EndnoteReference"/>
        </w:rPr>
        <w:endnoteReference w:id="21"/>
      </w:r>
      <w:r w:rsidRPr="00DC5568">
        <w:t xml:space="preserve"> The pandemic increased the immediate need for nurses, and without targeted action the existing workforce gap is likely to grow further.</w:t>
      </w:r>
      <w:r w:rsidRPr="00C76E76">
        <w:rPr>
          <w:rStyle w:val="EndnoteReference"/>
        </w:rPr>
        <w:endnoteReference w:id="22"/>
      </w:r>
      <w:r w:rsidRPr="00DC5568">
        <w:t xml:space="preserve"> In contrast, the pandemic also created opportunities for the nursing workforce to diversify and innovate.</w:t>
      </w:r>
    </w:p>
    <w:p w14:paraId="49E41EBE" w14:textId="77777777" w:rsidR="00591043" w:rsidRPr="00DC5568" w:rsidRDefault="00591043" w:rsidP="00591043">
      <w:pPr>
        <w:pStyle w:val="BodyText"/>
        <w:rPr>
          <w:vertAlign w:val="superscript"/>
        </w:rPr>
      </w:pPr>
      <w:r w:rsidRPr="00DC5568">
        <w:t>Nursing is a highly gendered workforce globally. Approximately 90% of the global nursing workforce is female, yet few leadership positions are held by nurses or women.</w:t>
      </w:r>
      <w:r w:rsidRPr="00C76E76">
        <w:rPr>
          <w:rStyle w:val="EndnoteReference"/>
        </w:rPr>
        <w:endnoteReference w:id="23"/>
      </w:r>
      <w:r w:rsidRPr="00DC5568">
        <w:t xml:space="preserve"> Similarly, as a female dominated profession</w:t>
      </w:r>
      <w:r w:rsidRPr="00C76E76">
        <w:rPr>
          <w:rStyle w:val="EndnoteReference"/>
        </w:rPr>
        <w:endnoteReference w:id="24"/>
      </w:r>
      <w:r w:rsidRPr="00DC5568">
        <w:t xml:space="preserve"> traditional views of care have perpetuated biases that limit workforce diversity, impact recruitment and retention and extend structural patriarchal issues such as pay inequity and power imbalance, undervaluing the profession.</w:t>
      </w:r>
      <w:r w:rsidRPr="00C76E76">
        <w:rPr>
          <w:rStyle w:val="EndnoteReference"/>
        </w:rPr>
        <w:endnoteReference w:id="25"/>
      </w:r>
      <w:r w:rsidRPr="00DC5568">
        <w:t xml:space="preserve"> Perceptions of nursing need to shift to acknowledge the high level of scientific knowledge, education and skill demanded in and demonstrated by contemporary nursing practice. Removal of these barriers will establish a more inclusive and equitable workforce.</w:t>
      </w:r>
      <w:r w:rsidRPr="00C76E76">
        <w:rPr>
          <w:rStyle w:val="EndnoteReference"/>
        </w:rPr>
        <w:endnoteReference w:id="26"/>
      </w:r>
      <w:r w:rsidRPr="00DC5568">
        <w:rPr>
          <w:vertAlign w:val="superscript"/>
        </w:rPr>
        <w:t>,</w:t>
      </w:r>
      <w:r w:rsidRPr="00C76E76">
        <w:rPr>
          <w:rStyle w:val="EndnoteReference"/>
        </w:rPr>
        <w:endnoteReference w:id="27"/>
      </w:r>
      <w:r w:rsidRPr="00DC5568">
        <w:rPr>
          <w:vertAlign w:val="superscript"/>
        </w:rPr>
        <w:t xml:space="preserve"> </w:t>
      </w:r>
    </w:p>
    <w:p w14:paraId="4F7C32B8" w14:textId="77777777" w:rsidR="00591043" w:rsidRPr="00DC5568" w:rsidRDefault="00591043" w:rsidP="000E4F00">
      <w:pPr>
        <w:pStyle w:val="Heading2"/>
      </w:pPr>
      <w:bookmarkStart w:id="21" w:name="_Toc236309230"/>
      <w:bookmarkStart w:id="22" w:name="_Toc236399739"/>
      <w:r w:rsidRPr="00DC5568">
        <w:t>Nursing Supply and Demand Study</w:t>
      </w:r>
      <w:bookmarkEnd w:id="21"/>
      <w:bookmarkEnd w:id="22"/>
    </w:p>
    <w:p w14:paraId="6AB2928F" w14:textId="2B0AF1E2" w:rsidR="00591043" w:rsidRPr="00DC5568" w:rsidRDefault="00591043" w:rsidP="00591043">
      <w:pPr>
        <w:pStyle w:val="BodyText"/>
      </w:pPr>
      <w:r w:rsidRPr="00DC5568">
        <w:t xml:space="preserve">This strategy was informed by the </w:t>
      </w:r>
      <w:hyperlink r:id="rId26" w:history="1">
        <w:r w:rsidR="003D5098">
          <w:rPr>
            <w:rStyle w:val="Hyperlink"/>
          </w:rPr>
          <w:t>Nursing Supply and Demand Study 2023-2035 (PDF, 743 KB)</w:t>
        </w:r>
      </w:hyperlink>
      <w:r w:rsidRPr="00DC5568">
        <w:t>.</w:t>
      </w:r>
      <w:r w:rsidRPr="00C76E76">
        <w:rPr>
          <w:rStyle w:val="EndnoteReference"/>
        </w:rPr>
        <w:endnoteReference w:id="28"/>
      </w:r>
      <w:r w:rsidRPr="00DC5568">
        <w:t xml:space="preserve"> The nursing supply and demand model was developed to provide a single, consistent, and integrated data evidence base for use in local, state and national workforce and service planning. </w:t>
      </w:r>
      <w:r w:rsidRPr="00DC5568" w:rsidDel="00F75E72">
        <w:t>T</w:t>
      </w:r>
      <w:r w:rsidRPr="00DC5568">
        <w:t xml:space="preserve">he model starts from a point of equilibrium in 2022 and predicts what could happen if Australia does not address the demand for and supply of the nursing workforce. The demand for nurses is being driven by numerous factors including, an ageing population, increasingly complex and chronic conditions, a geographically dispersed population, the impacts of climate change and advancements in technology. </w:t>
      </w:r>
    </w:p>
    <w:p w14:paraId="5FAD705B" w14:textId="77777777" w:rsidR="00591043" w:rsidRPr="00DC5568" w:rsidRDefault="00591043" w:rsidP="00591043">
      <w:pPr>
        <w:pStyle w:val="BodyText"/>
      </w:pPr>
      <w:r w:rsidRPr="00DC5568">
        <w:t xml:space="preserve">The national projections found that while both supply and demand of the workforce are estimated to increase during the projection period, without reform, supply is not expected to keep pace with demand. </w:t>
      </w:r>
    </w:p>
    <w:p w14:paraId="1BBC4F4B" w14:textId="77777777" w:rsidR="00591043" w:rsidRPr="00DC5568" w:rsidRDefault="00591043" w:rsidP="00591043">
      <w:pPr>
        <w:pStyle w:val="BodyText"/>
      </w:pPr>
      <w:r w:rsidRPr="00DC5568">
        <w:t>Figure 1 shows baseline projections at a national level and across all sectors, with an undersupply of 70,707 full-time equivalent (FTE) nurses in 2035, which equates to around 79,473 nurses needed to fill the gap.</w:t>
      </w:r>
    </w:p>
    <w:p w14:paraId="223AA9DE" w14:textId="77777777" w:rsidR="00591043" w:rsidRPr="00DC5568" w:rsidRDefault="00591043" w:rsidP="00591043">
      <w:pPr>
        <w:pStyle w:val="BodyText"/>
      </w:pPr>
      <w:r w:rsidRPr="00DC5568">
        <w:lastRenderedPageBreak/>
        <w:t xml:space="preserve">The </w:t>
      </w:r>
      <w:r w:rsidRPr="00DC5568">
        <w:rPr>
          <w:i/>
        </w:rPr>
        <w:t xml:space="preserve">National Aboriginal and Torres Strait Islander Health Workforce Strategic Framework and Implementation Plan 2021-2031 </w:t>
      </w:r>
      <w:r w:rsidRPr="00DC5568">
        <w:t xml:space="preserve">set a target of 3.43% of Aboriginal and Torres Strait Islander people being represented in the national health workforce by 2031. </w:t>
      </w:r>
    </w:p>
    <w:p w14:paraId="3F937746" w14:textId="77777777" w:rsidR="00591043" w:rsidRPr="00DC5568" w:rsidRDefault="00591043" w:rsidP="00591043">
      <w:pPr>
        <w:pStyle w:val="BodyText"/>
      </w:pPr>
      <w:r w:rsidRPr="00DC5568">
        <w:t>The projected supply of employed nurses in 2035 is 470,859, which implies an estimated shortfall of around 9,088 Aboriginal and Torres Strait Islander nurses to meet the supply target of 3.43%.</w:t>
      </w:r>
    </w:p>
    <w:p w14:paraId="1753992A" w14:textId="77777777" w:rsidR="00591043" w:rsidRPr="00DC5568" w:rsidRDefault="00591043" w:rsidP="008173B5">
      <w:pPr>
        <w:pStyle w:val="Caption"/>
      </w:pPr>
      <w:r w:rsidRPr="00DC5568">
        <w:t>Figure 1. National supply and demand of Full-Time Equivalent (FTE) Nurses 2023-2035</w:t>
      </w:r>
    </w:p>
    <w:p w14:paraId="7D27A6D6" w14:textId="184509D2" w:rsidR="00591043" w:rsidRPr="00DC5568" w:rsidRDefault="00591043" w:rsidP="008173B5">
      <w:pPr>
        <w:pStyle w:val="Note"/>
      </w:pPr>
      <w:r w:rsidRPr="00DC5568">
        <w:t xml:space="preserve">Note – for sector specific supply and demand projections see </w:t>
      </w:r>
      <w:hyperlink r:id="rId27" w:history="1">
        <w:r w:rsidR="003D5098">
          <w:rPr>
            <w:rStyle w:val="Hyperlink"/>
          </w:rPr>
          <w:t>Nursing Supply and Demand Study 2023-2035 (PDF, 743 KB)</w:t>
        </w:r>
      </w:hyperlink>
      <w:r w:rsidRPr="00DC5568">
        <w:t>.</w:t>
      </w:r>
      <w:r w:rsidRPr="00C76E76">
        <w:rPr>
          <w:rStyle w:val="EndnoteReference"/>
        </w:rPr>
        <w:endnoteReference w:id="29"/>
      </w:r>
    </w:p>
    <w:p w14:paraId="38597B3D" w14:textId="47647AF7" w:rsidR="000A46AE" w:rsidRPr="00DC5568" w:rsidRDefault="000A46AE" w:rsidP="00591043">
      <w:pPr>
        <w:pStyle w:val="BodyText"/>
      </w:pPr>
      <w:r>
        <w:rPr>
          <w:noProof/>
        </w:rPr>
        <w:drawing>
          <wp:inline distT="0" distB="0" distL="0" distR="0" wp14:anchorId="74CE43A6" wp14:editId="2C24BD72">
            <wp:extent cx="5732145" cy="2939415"/>
            <wp:effectExtent l="0" t="0" r="1905" b="0"/>
            <wp:docPr id="811302764" name="Picture 2" descr="Grouped bar chart comparing projected nursing supply and demand from 2023 to 2035. Demand exceeds supply in every year, and the gap widens across the projection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02764" name="Picture 2" descr="Grouped bar chart comparing projected nursing supply and demand from 2023 to 2035. Demand exceeds supply in every year, and the gap widens across the projection perio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2145" cy="2939415"/>
                    </a:xfrm>
                    <a:prstGeom prst="rect">
                      <a:avLst/>
                    </a:prstGeom>
                  </pic:spPr>
                </pic:pic>
              </a:graphicData>
            </a:graphic>
          </wp:inline>
        </w:drawing>
      </w:r>
    </w:p>
    <w:p w14:paraId="0F60D1AE" w14:textId="77777777" w:rsidR="00591043" w:rsidRPr="00DC5568" w:rsidRDefault="00591043" w:rsidP="00591043">
      <w:pPr>
        <w:pStyle w:val="BodyText"/>
      </w:pPr>
      <w:r w:rsidRPr="00DC5568">
        <w:t xml:space="preserve">The nursing workforce projections indicate that if no strategic action is taken, supply of nurses will not keep pace with the needs of the population and increasing demand for care. </w:t>
      </w:r>
    </w:p>
    <w:p w14:paraId="1058C1ED" w14:textId="77777777" w:rsidR="00591043" w:rsidRPr="00DC5568" w:rsidRDefault="00591043" w:rsidP="00591043">
      <w:pPr>
        <w:pStyle w:val="BodyText"/>
      </w:pPr>
      <w:r w:rsidRPr="00DC5568">
        <w:t>With this knowledge is the accountability and impetus for all stakeholders to act and intervene. Without action this undersupply of nurses in Australia will have a direct adverse impact on the health of the population in Australia and its prosperity as a nation.</w:t>
      </w:r>
    </w:p>
    <w:p w14:paraId="40FDC490" w14:textId="77777777" w:rsidR="00591043" w:rsidRPr="00DC5568" w:rsidRDefault="00591043" w:rsidP="000E4F00">
      <w:pPr>
        <w:pStyle w:val="Heading2"/>
      </w:pPr>
      <w:bookmarkStart w:id="23" w:name="_Toc183432198"/>
      <w:bookmarkStart w:id="24" w:name="_Toc236309231"/>
      <w:bookmarkStart w:id="25" w:name="_Toc236399740"/>
      <w:r w:rsidRPr="00DC5568">
        <w:t>Overview of the strategy</w:t>
      </w:r>
      <w:bookmarkEnd w:id="23"/>
      <w:bookmarkEnd w:id="24"/>
      <w:bookmarkEnd w:id="25"/>
    </w:p>
    <w:p w14:paraId="626AA97E" w14:textId="69481A44" w:rsidR="00591043" w:rsidRPr="00DC5568" w:rsidRDefault="00591043" w:rsidP="0056519E">
      <w:pPr>
        <w:pStyle w:val="IntroPara"/>
      </w:pPr>
      <w:r w:rsidRPr="00DC5568">
        <w:t xml:space="preserve">The strategy establishes priorities for strengthening the sustainability of the nursing workforce, aiming to bolster the delivery of health and aged care services to all Australian communities. It has been endorsed by all Health Ministers. It offers a comprehensive framework to foster collaboration and drive action among stakeholders in shaping the future of nursing workforce planning, investment and reform. The strategy highlights how investment in nursing can deliver considerable economic and societal benefits to all Australian communities and help to avoid the workforce supply and demand gap that will </w:t>
      </w:r>
      <w:r w:rsidR="002751D4">
        <w:t>grow</w:t>
      </w:r>
      <w:r w:rsidRPr="00DC5568">
        <w:t xml:space="preserve"> without reform. </w:t>
      </w:r>
    </w:p>
    <w:p w14:paraId="30F542A2" w14:textId="334CD07B" w:rsidR="00591043" w:rsidRPr="00DC5568" w:rsidRDefault="00591043" w:rsidP="00591043">
      <w:pPr>
        <w:pStyle w:val="BodyText"/>
      </w:pPr>
      <w:r w:rsidRPr="00DC5568">
        <w:t xml:space="preserve">A significant </w:t>
      </w:r>
      <w:hyperlink r:id="rId29">
        <w:r w:rsidRPr="00DC5568">
          <w:rPr>
            <w:rStyle w:val="Hyperlink"/>
          </w:rPr>
          <w:t>evidence base of research and consultation reports</w:t>
        </w:r>
      </w:hyperlink>
      <w:r w:rsidRPr="00DC5568">
        <w:t xml:space="preserve"> have informed development of the strategy, drawn from best practice and recognising the uniqueness of the Australian </w:t>
      </w:r>
      <w:r w:rsidRPr="00DC5568">
        <w:lastRenderedPageBreak/>
        <w:t>context. This includes understanding the challenges, issues and opportunities facing the nursing workforce in realising health outcomes for the population. The evidence base includes consultation with Aboriginal and Torres Strait Islander people, nurses, organisations and the public, as well as comprehensive consideration of international nursing workforce initiatives. More information on the process used to develop the strategy can be found at</w:t>
      </w:r>
      <w:r w:rsidR="002B64D6">
        <w:t xml:space="preserve"> </w:t>
      </w:r>
      <w:r w:rsidR="002B64D6">
        <w:fldChar w:fldCharType="begin"/>
      </w:r>
      <w:r w:rsidR="002B64D6">
        <w:instrText xml:space="preserve"> REF _Ref236310159 \h </w:instrText>
      </w:r>
      <w:r w:rsidR="002B64D6">
        <w:fldChar w:fldCharType="separate"/>
      </w:r>
      <w:r w:rsidR="00156823">
        <w:t xml:space="preserve">Appendix </w:t>
      </w:r>
      <w:r w:rsidR="00156823">
        <w:rPr>
          <w:noProof/>
        </w:rPr>
        <w:t>B</w:t>
      </w:r>
      <w:r w:rsidR="002B64D6">
        <w:fldChar w:fldCharType="end"/>
      </w:r>
      <w:r w:rsidRPr="00DC5568">
        <w:t>.</w:t>
      </w:r>
    </w:p>
    <w:p w14:paraId="4C09FDFE" w14:textId="77777777" w:rsidR="00591043" w:rsidRPr="00DC5568" w:rsidRDefault="00591043" w:rsidP="00591043">
      <w:pPr>
        <w:pStyle w:val="BodyText"/>
      </w:pPr>
      <w:r w:rsidRPr="00DC5568">
        <w:t xml:space="preserve">The strategy acknowledges and commits to equity in representation and opportunities for Aboriginal and Torres Strait Islander people in the nursing workforce. It seeks to enable the entire nursing workforce to meet the health and cultural needs of Aboriginal and Torres Strait Islander people. </w:t>
      </w:r>
    </w:p>
    <w:p w14:paraId="3661DB81" w14:textId="17CF97B9" w:rsidR="00591043" w:rsidRPr="00DC5568" w:rsidRDefault="00591043" w:rsidP="00591043">
      <w:pPr>
        <w:pStyle w:val="BodyText"/>
      </w:pPr>
      <w:r w:rsidRPr="00DC5568">
        <w:t xml:space="preserve">The strategy encompasses the breadth of nursing designations and includes nursing students, assistants in nursing (or however named), enrolled nurses, registered nurses and nurse practitioners. It applies to nurses in both clinical and non-clinical roles, in all specialities and across all settings. </w:t>
      </w:r>
      <w:r w:rsidR="002B64D6">
        <w:fldChar w:fldCharType="begin"/>
      </w:r>
      <w:r w:rsidR="002B64D6">
        <w:instrText xml:space="preserve"> REF _Ref236310167 \h </w:instrText>
      </w:r>
      <w:r w:rsidR="002B64D6">
        <w:fldChar w:fldCharType="separate"/>
      </w:r>
      <w:r w:rsidR="00156823">
        <w:t xml:space="preserve">Appendix </w:t>
      </w:r>
      <w:r w:rsidR="00156823">
        <w:rPr>
          <w:noProof/>
        </w:rPr>
        <w:t>C</w:t>
      </w:r>
      <w:r w:rsidR="002B64D6">
        <w:fldChar w:fldCharType="end"/>
      </w:r>
      <w:r w:rsidRPr="00DC5568">
        <w:t xml:space="preserve"> provides a more detailed description of nurses and nursing. Midwives, as a separate and defined profession are not included in the strategy’s scope. However, it is recognised many nurses have dual registration as midwives and paramedics, so their perspective on nursing issues and the impact of the strategy on those professions has been considered. </w:t>
      </w:r>
    </w:p>
    <w:p w14:paraId="632EC2B8" w14:textId="77777777" w:rsidR="00591043" w:rsidRPr="00DC5568" w:rsidRDefault="00591043" w:rsidP="000E4F00">
      <w:pPr>
        <w:pStyle w:val="Heading2"/>
      </w:pPr>
      <w:bookmarkStart w:id="26" w:name="_Toc183432199"/>
      <w:bookmarkStart w:id="27" w:name="_Toc236309232"/>
      <w:bookmarkStart w:id="28" w:name="_Toc236399741"/>
      <w:r w:rsidRPr="00DC5568">
        <w:t>Who is the strategy for?</w:t>
      </w:r>
      <w:bookmarkEnd w:id="26"/>
      <w:bookmarkEnd w:id="27"/>
      <w:bookmarkEnd w:id="28"/>
    </w:p>
    <w:p w14:paraId="13F10B67" w14:textId="77777777" w:rsidR="00591043" w:rsidRPr="00DC5568" w:rsidRDefault="00591043" w:rsidP="00591043">
      <w:pPr>
        <w:pStyle w:val="BodyText"/>
      </w:pPr>
      <w:r w:rsidRPr="00DC5568">
        <w:t xml:space="preserve">It is intended for a wide range of audiences including governments, regulators, employers, education providers/registered training organisations, professional and industry bodies, and the nursing workforce. Through strategic direction, development and investment, over time, the strategy has the potential to involve and impact all nurses across all contexts and once implemented will improve access to quality care. </w:t>
      </w:r>
    </w:p>
    <w:p w14:paraId="214F19E1" w14:textId="77777777" w:rsidR="00591043" w:rsidRPr="00DC5568" w:rsidRDefault="00591043" w:rsidP="000E4F00">
      <w:pPr>
        <w:pStyle w:val="Heading2"/>
      </w:pPr>
      <w:bookmarkStart w:id="29" w:name="_Toc236309233"/>
      <w:bookmarkStart w:id="30" w:name="_Toc236399742"/>
      <w:r w:rsidRPr="00DC5568">
        <w:t>Roles and responsibilities for implementation</w:t>
      </w:r>
      <w:bookmarkEnd w:id="29"/>
      <w:bookmarkEnd w:id="30"/>
    </w:p>
    <w:p w14:paraId="72A08DB3" w14:textId="77777777" w:rsidR="00591043" w:rsidRPr="00DC5568" w:rsidRDefault="00591043" w:rsidP="00591043">
      <w:pPr>
        <w:pStyle w:val="BodyText"/>
      </w:pPr>
      <w:r w:rsidRPr="00DC5568">
        <w:t>Governments, professional bodies, regulators, education providers, registered training organisations, and employers will support, fund and lead this work. Implementation will be in close collaboration with the nursing profession, consumers, carers and other implementation partners, including all organisations that affect the nursing workforce and other health professionals, operating at local, state, territory and national levels. Depending on the priority and action, partners may work collaboratively or in parallel. Collective will, commitment and action will drive effective and sustainable change and ensure the nursing workforce remains at the forefront of delivering health and aged care services for all Australian communities. This active participation and engagement will help to improve the systems in which nurses operate to make positive changes in their professional lives and careers.</w:t>
      </w:r>
    </w:p>
    <w:p w14:paraId="1468F860" w14:textId="77777777" w:rsidR="00591043" w:rsidRPr="00DC5568" w:rsidRDefault="00591043" w:rsidP="00591043">
      <w:pPr>
        <w:pStyle w:val="BodyText"/>
      </w:pPr>
      <w:r w:rsidRPr="00DC5568">
        <w:t>Each action in the strategy lists key stakeholders responsible for, or having a role in, implementation. Table 3 describes key roles and responsibilities.</w:t>
      </w:r>
    </w:p>
    <w:p w14:paraId="1A0D4787" w14:textId="77777777" w:rsidR="00591043" w:rsidRPr="00DC5568" w:rsidRDefault="00591043" w:rsidP="008173B5">
      <w:pPr>
        <w:pStyle w:val="Caption"/>
      </w:pPr>
      <w:r w:rsidRPr="00DC5568">
        <w:lastRenderedPageBreak/>
        <w:t xml:space="preserve">Table 3. Stakeholder roles and responsibilities </w:t>
      </w:r>
    </w:p>
    <w:tbl>
      <w:tblPr>
        <w:tblStyle w:val="TableGrid"/>
        <w:tblW w:w="5000" w:type="pct"/>
        <w:tblLook w:val="0420" w:firstRow="1" w:lastRow="0" w:firstColumn="0" w:lastColumn="0" w:noHBand="0" w:noVBand="1"/>
      </w:tblPr>
      <w:tblGrid>
        <w:gridCol w:w="2830"/>
        <w:gridCol w:w="6187"/>
      </w:tblGrid>
      <w:tr w:rsidR="00591043" w:rsidRPr="008173B5" w14:paraId="64FCB77C" w14:textId="77777777" w:rsidTr="003D2348">
        <w:trPr>
          <w:cnfStyle w:val="100000000000" w:firstRow="1" w:lastRow="0" w:firstColumn="0" w:lastColumn="0" w:oddVBand="0" w:evenVBand="0" w:oddHBand="0" w:evenHBand="0" w:firstRowFirstColumn="0" w:firstRowLastColumn="0" w:lastRowFirstColumn="0" w:lastRowLastColumn="0"/>
        </w:trPr>
        <w:tc>
          <w:tcPr>
            <w:tcW w:w="1569" w:type="pct"/>
          </w:tcPr>
          <w:p w14:paraId="0A7DD8EB" w14:textId="77777777" w:rsidR="00591043" w:rsidRPr="008173B5" w:rsidRDefault="00591043" w:rsidP="008173B5">
            <w:r w:rsidRPr="008173B5">
              <w:t>Stakeholder categories</w:t>
            </w:r>
          </w:p>
        </w:tc>
        <w:tc>
          <w:tcPr>
            <w:tcW w:w="3431" w:type="pct"/>
          </w:tcPr>
          <w:p w14:paraId="18F75ECE" w14:textId="77777777" w:rsidR="00591043" w:rsidRPr="008173B5" w:rsidRDefault="00591043" w:rsidP="008173B5">
            <w:r w:rsidRPr="008173B5">
              <w:t>Key role and responsibility</w:t>
            </w:r>
          </w:p>
        </w:tc>
      </w:tr>
      <w:tr w:rsidR="00591043" w:rsidRPr="008173B5" w14:paraId="44C3E2EF" w14:textId="77777777" w:rsidTr="003D2348">
        <w:tc>
          <w:tcPr>
            <w:tcW w:w="1569" w:type="pct"/>
          </w:tcPr>
          <w:p w14:paraId="4E180828" w14:textId="77777777" w:rsidR="00591043" w:rsidRPr="008173B5" w:rsidRDefault="00591043" w:rsidP="008173B5">
            <w:r w:rsidRPr="008173B5">
              <w:t>Governments</w:t>
            </w:r>
          </w:p>
        </w:tc>
        <w:tc>
          <w:tcPr>
            <w:tcW w:w="3431" w:type="pct"/>
          </w:tcPr>
          <w:p w14:paraId="0AFDC6E5" w14:textId="4615FBCD" w:rsidR="00591043" w:rsidRPr="008173B5" w:rsidRDefault="00591043" w:rsidP="008173B5">
            <w:r w:rsidRPr="008173B5">
              <w:t xml:space="preserve">Commonwealth, state and territory, and local governments share responsibility for funding, operating and managing the health system. See </w:t>
            </w:r>
            <w:r w:rsidR="002B64D6">
              <w:fldChar w:fldCharType="begin"/>
            </w:r>
            <w:r w:rsidR="002B64D6">
              <w:instrText xml:space="preserve"> REF _Ref236310141 \h </w:instrText>
            </w:r>
            <w:r w:rsidR="002B64D6">
              <w:fldChar w:fldCharType="separate"/>
            </w:r>
            <w:r w:rsidR="00156823">
              <w:t xml:space="preserve">Appendix </w:t>
            </w:r>
            <w:r w:rsidR="00156823">
              <w:rPr>
                <w:noProof/>
              </w:rPr>
              <w:t>A</w:t>
            </w:r>
            <w:r w:rsidR="002B64D6">
              <w:fldChar w:fldCharType="end"/>
            </w:r>
            <w:r w:rsidRPr="008173B5">
              <w:t xml:space="preserve"> for more detail on government responsibilities. Other areas where government involvement is required include education, employment and workplace relations, home affairs, social services and veterans’ affairs. </w:t>
            </w:r>
          </w:p>
        </w:tc>
      </w:tr>
      <w:tr w:rsidR="00591043" w:rsidRPr="008173B5" w14:paraId="15EDC65D" w14:textId="77777777" w:rsidTr="003D2348">
        <w:tc>
          <w:tcPr>
            <w:tcW w:w="1569" w:type="pct"/>
          </w:tcPr>
          <w:p w14:paraId="29E5B6F4" w14:textId="77777777" w:rsidR="00591043" w:rsidRPr="008173B5" w:rsidRDefault="00591043" w:rsidP="008173B5">
            <w:r w:rsidRPr="008173B5">
              <w:t>Regulators</w:t>
            </w:r>
          </w:p>
        </w:tc>
        <w:tc>
          <w:tcPr>
            <w:tcW w:w="3431" w:type="pct"/>
          </w:tcPr>
          <w:p w14:paraId="6CA87718" w14:textId="77777777" w:rsidR="00591043" w:rsidRPr="008173B5" w:rsidRDefault="00591043" w:rsidP="008173B5">
            <w:r w:rsidRPr="008173B5">
              <w:t xml:space="preserve">NMBA and ANMAC are responsible for regulating the profession including setting the standards and policies nurses must meet, including education standards. The Australian Commission on Safety and Quality in Health Care and Aged Care Quality and Safety Commission are responsible for regulating health and aged care services, which nurses deliver. </w:t>
            </w:r>
          </w:p>
        </w:tc>
      </w:tr>
      <w:tr w:rsidR="00591043" w:rsidRPr="008173B5" w14:paraId="547EDE4A" w14:textId="77777777" w:rsidTr="003D2348">
        <w:tc>
          <w:tcPr>
            <w:tcW w:w="1569" w:type="pct"/>
          </w:tcPr>
          <w:p w14:paraId="5DDF8DF6" w14:textId="591EAB63" w:rsidR="00591043" w:rsidRPr="008173B5" w:rsidRDefault="00591043" w:rsidP="008173B5">
            <w:r w:rsidRPr="008173B5">
              <w:t>Education providers</w:t>
            </w:r>
            <w:r w:rsidR="00672EAD">
              <w:t>/</w:t>
            </w:r>
            <w:r w:rsidRPr="008173B5">
              <w:t>registered training organisations</w:t>
            </w:r>
          </w:p>
        </w:tc>
        <w:tc>
          <w:tcPr>
            <w:tcW w:w="3431" w:type="pct"/>
          </w:tcPr>
          <w:p w14:paraId="64560EB3" w14:textId="77777777" w:rsidR="00591043" w:rsidRPr="008173B5" w:rsidRDefault="00591043" w:rsidP="008173B5">
            <w:r w:rsidRPr="008173B5">
              <w:t>Responsible for developing, designing and delivering education and training programs, including co-design initiatives involving professional bodies and other relevant groups, to appropriately educate and train the nursing workforce.</w:t>
            </w:r>
          </w:p>
        </w:tc>
      </w:tr>
      <w:tr w:rsidR="00591043" w:rsidRPr="008173B5" w14:paraId="40F92426" w14:textId="77777777" w:rsidTr="003D2348">
        <w:tc>
          <w:tcPr>
            <w:tcW w:w="1569" w:type="pct"/>
          </w:tcPr>
          <w:p w14:paraId="2222A0FD" w14:textId="77777777" w:rsidR="00591043" w:rsidRPr="008173B5" w:rsidRDefault="00591043" w:rsidP="008173B5">
            <w:r w:rsidRPr="008173B5">
              <w:t>Professional and industry bodies</w:t>
            </w:r>
          </w:p>
        </w:tc>
        <w:tc>
          <w:tcPr>
            <w:tcW w:w="3431" w:type="pct"/>
          </w:tcPr>
          <w:p w14:paraId="2586D72A" w14:textId="77777777" w:rsidR="00591043" w:rsidRPr="008173B5" w:rsidRDefault="00591043" w:rsidP="008173B5">
            <w:r w:rsidRPr="008173B5">
              <w:t xml:space="preserve">Responsible for representing, supporting and communicating with members, industry and partners. This category includes </w:t>
            </w:r>
            <w:proofErr w:type="spellStart"/>
            <w:r w:rsidRPr="008173B5">
              <w:t>HumanAbility</w:t>
            </w:r>
            <w:proofErr w:type="spellEnd"/>
            <w:r w:rsidRPr="008173B5">
              <w:t>, colleges, unions and other peak bodies.</w:t>
            </w:r>
          </w:p>
        </w:tc>
      </w:tr>
      <w:tr w:rsidR="00591043" w:rsidRPr="008173B5" w14:paraId="07892876" w14:textId="77777777" w:rsidTr="003D2348">
        <w:tc>
          <w:tcPr>
            <w:tcW w:w="1569" w:type="pct"/>
          </w:tcPr>
          <w:p w14:paraId="30ECA0FE" w14:textId="77777777" w:rsidR="00591043" w:rsidRPr="008173B5" w:rsidRDefault="00591043" w:rsidP="008173B5">
            <w:r w:rsidRPr="008173B5">
              <w:t>Employers</w:t>
            </w:r>
          </w:p>
        </w:tc>
        <w:tc>
          <w:tcPr>
            <w:tcW w:w="3431" w:type="pct"/>
          </w:tcPr>
          <w:p w14:paraId="00E90C4A" w14:textId="77777777" w:rsidR="00591043" w:rsidRPr="008173B5" w:rsidRDefault="00591043" w:rsidP="008173B5">
            <w:r w:rsidRPr="008173B5">
              <w:t>Responsible for delivering health and aged care services, working environments, employment, supervision and support to attract and retain the nursing workforce. Includes governments where nurses are employed in public settings.</w:t>
            </w:r>
          </w:p>
        </w:tc>
      </w:tr>
      <w:tr w:rsidR="00591043" w:rsidRPr="008173B5" w14:paraId="6DB8DD38" w14:textId="77777777" w:rsidTr="003D2348">
        <w:tc>
          <w:tcPr>
            <w:tcW w:w="1569" w:type="pct"/>
          </w:tcPr>
          <w:p w14:paraId="33E1E57A" w14:textId="14B907C7" w:rsidR="00591043" w:rsidRPr="008173B5" w:rsidRDefault="002751D4" w:rsidP="008173B5">
            <w:r w:rsidRPr="002751D4">
              <w:t>Nursing profession/workforce</w:t>
            </w:r>
          </w:p>
        </w:tc>
        <w:tc>
          <w:tcPr>
            <w:tcW w:w="3431" w:type="pct"/>
          </w:tcPr>
          <w:p w14:paraId="7C2D378B" w14:textId="77777777" w:rsidR="00591043" w:rsidRPr="008173B5" w:rsidRDefault="00591043" w:rsidP="008173B5">
            <w:r w:rsidRPr="008173B5">
              <w:t>Responsible for engaging and providing leadership to support achievement of the strategy objectives.</w:t>
            </w:r>
          </w:p>
        </w:tc>
      </w:tr>
      <w:tr w:rsidR="00591043" w:rsidRPr="008173B5" w14:paraId="3C0AC383" w14:textId="77777777" w:rsidTr="003D2348">
        <w:tc>
          <w:tcPr>
            <w:tcW w:w="1569" w:type="pct"/>
          </w:tcPr>
          <w:p w14:paraId="680BB064" w14:textId="77777777" w:rsidR="00591043" w:rsidRPr="008173B5" w:rsidRDefault="00591043" w:rsidP="008173B5">
            <w:r w:rsidRPr="008173B5">
              <w:t>Consumer and carer organisations</w:t>
            </w:r>
          </w:p>
        </w:tc>
        <w:tc>
          <w:tcPr>
            <w:tcW w:w="3431" w:type="pct"/>
          </w:tcPr>
          <w:p w14:paraId="237AE0B2" w14:textId="77777777" w:rsidR="00591043" w:rsidRPr="008173B5" w:rsidRDefault="00591043" w:rsidP="008173B5">
            <w:r w:rsidRPr="008173B5">
              <w:t>Responsible for representing people with lived experience of the health and aged care system and ensuring the needs and preferences of consumers and carers are central to development and implementation of nursing policy.</w:t>
            </w:r>
          </w:p>
        </w:tc>
      </w:tr>
    </w:tbl>
    <w:p w14:paraId="03FB50EF" w14:textId="77777777" w:rsidR="00591043" w:rsidRPr="00DC5568" w:rsidRDefault="00591043" w:rsidP="00591043">
      <w:pPr>
        <w:pStyle w:val="Heading1"/>
      </w:pPr>
      <w:bookmarkStart w:id="31" w:name="_Toc183432201"/>
      <w:bookmarkStart w:id="32" w:name="_Toc236309234"/>
      <w:bookmarkStart w:id="33" w:name="_Toc236399743"/>
      <w:r w:rsidRPr="00DC5568">
        <w:lastRenderedPageBreak/>
        <w:t>Policy context and related strategies</w:t>
      </w:r>
      <w:bookmarkEnd w:id="31"/>
      <w:bookmarkEnd w:id="32"/>
      <w:bookmarkEnd w:id="33"/>
    </w:p>
    <w:p w14:paraId="5B5C9A38" w14:textId="77777777" w:rsidR="00591043" w:rsidRPr="00DC5568" w:rsidRDefault="00591043" w:rsidP="0056519E">
      <w:pPr>
        <w:pStyle w:val="IntroPara"/>
      </w:pPr>
      <w:r w:rsidRPr="00DC5568">
        <w:t>Australia’s health and aged care system is complex, with nursing workforce accountabilities split between various stakeholders. The nature of a federated government means decision-making is distributed and reflects the different priorities of the Australian Government and individual state, territory and local governments. </w:t>
      </w:r>
    </w:p>
    <w:p w14:paraId="0A95356E" w14:textId="77777777" w:rsidR="00591043" w:rsidRPr="00DC5568" w:rsidRDefault="00591043" w:rsidP="00591043">
      <w:pPr>
        <w:pStyle w:val="BodyText"/>
      </w:pPr>
      <w:r w:rsidRPr="00DC5568">
        <w:t>The Australian Government is responsible for developing national health policies and funding population specific services, including health and medical research, National Disability Insurance Scheme (NDIS), Pharmaceutical Benefits Scheme (PBS), and Medicare Benefits Schedule (MBS). It contributes funds to the states and territories for public health and hospital services through the National Health Reform Agreement.</w:t>
      </w:r>
      <w:r w:rsidRPr="00C76E76">
        <w:rPr>
          <w:rStyle w:val="EndnoteReference"/>
        </w:rPr>
        <w:endnoteReference w:id="30"/>
      </w:r>
      <w:r w:rsidRPr="00DC5568">
        <w:t> </w:t>
      </w:r>
    </w:p>
    <w:p w14:paraId="192F83B2" w14:textId="77777777" w:rsidR="00591043" w:rsidRPr="00DC5568" w:rsidRDefault="00591043" w:rsidP="00591043">
      <w:pPr>
        <w:pStyle w:val="BodyText"/>
      </w:pPr>
      <w:r w:rsidRPr="00DC5568">
        <w:t>State and territories are the largest employers of the nursing workforce. They fund and manage public hospitals, deliver community, preventative and ambulance services, and regulate and license private hospitals.</w:t>
      </w:r>
      <w:r w:rsidRPr="00C76E76">
        <w:rPr>
          <w:rStyle w:val="EndnoteReference"/>
        </w:rPr>
        <w:endnoteReference w:id="31"/>
      </w:r>
      <w:r w:rsidRPr="00DC5568">
        <w:t xml:space="preserve"> </w:t>
      </w:r>
    </w:p>
    <w:p w14:paraId="4EDC091F" w14:textId="77777777" w:rsidR="00591043" w:rsidRPr="00DC5568" w:rsidRDefault="00591043" w:rsidP="00591043">
      <w:pPr>
        <w:pStyle w:val="BodyText"/>
      </w:pPr>
      <w:r w:rsidRPr="00DC5568">
        <w:t xml:space="preserve">Integrating workforce planning with overarching health system reforms and related policy changes across jurisdictions presents a critical challenge. The strategy acknowledges the diversity of the nursing workforce and its operation across a range of environments. </w:t>
      </w:r>
    </w:p>
    <w:p w14:paraId="6A56D2B6" w14:textId="77777777" w:rsidR="00591043" w:rsidRPr="00DC5568" w:rsidRDefault="00591043" w:rsidP="00591043">
      <w:pPr>
        <w:pStyle w:val="BodyText"/>
      </w:pPr>
      <w:r w:rsidRPr="00DC5568">
        <w:t xml:space="preserve">The strategy considers national, state, territory and international strategies and other relevant reforms that affect the nursing profession, including health, social, education, economic and employment policies. These considerations have also included key international documents such as the </w:t>
      </w:r>
      <w:r w:rsidRPr="00DC5568">
        <w:rPr>
          <w:i/>
        </w:rPr>
        <w:t>World Health Organization Global Strategic Directions for Nursing and Midwifery (2021–2025)</w:t>
      </w:r>
      <w:r w:rsidRPr="00C76E76">
        <w:rPr>
          <w:rStyle w:val="EndnoteReference"/>
        </w:rPr>
        <w:endnoteReference w:id="32"/>
      </w:r>
      <w:r w:rsidRPr="00DC5568">
        <w:t xml:space="preserve"> and reports from the International Council of Nurses (ICN).</w:t>
      </w:r>
      <w:r w:rsidRPr="00C76E76">
        <w:rPr>
          <w:rStyle w:val="EndnoteReference"/>
        </w:rPr>
        <w:endnoteReference w:id="33"/>
      </w:r>
    </w:p>
    <w:p w14:paraId="1FDE71E7" w14:textId="77777777" w:rsidR="00591043" w:rsidRPr="00DC5568" w:rsidRDefault="00591043" w:rsidP="00591043">
      <w:pPr>
        <w:pStyle w:val="BodyText"/>
      </w:pPr>
      <w:r w:rsidRPr="00DC5568">
        <w:t>The intersection with other plans, policies, strategies and reviews are complex and changing, as demonstrated in Figure 2. This includes recognition that nurses work as part of multidisciplinary teams, and several related health workforce strategies are in place or in development. Implementation of the strategy will consider these related strategies, policies and review recommendations.</w:t>
      </w:r>
    </w:p>
    <w:p w14:paraId="0FA277A7" w14:textId="77777777" w:rsidR="00591043" w:rsidRDefault="00591043" w:rsidP="008173B5">
      <w:pPr>
        <w:pStyle w:val="Caption"/>
      </w:pPr>
      <w:r w:rsidRPr="00DC5568">
        <w:lastRenderedPageBreak/>
        <w:t>Figure 2. National nursing workforce policy context</w:t>
      </w:r>
    </w:p>
    <w:p w14:paraId="66D4EAE0" w14:textId="35547199" w:rsidR="00591043" w:rsidRPr="00DC5568" w:rsidRDefault="009A46C9" w:rsidP="009A46C9">
      <w:r>
        <w:rPr>
          <w:noProof/>
        </w:rPr>
        <w:drawing>
          <wp:inline distT="0" distB="0" distL="0" distR="0" wp14:anchorId="5256F9BB" wp14:editId="21D22246">
            <wp:extent cx="5732145" cy="5994400"/>
            <wp:effectExtent l="0" t="0" r="1905" b="6350"/>
            <wp:docPr id="1048625637" name="Picture 3" descr="Radial diagram grouping related policies, strategies and programs across twelve policy areas with National Nursing Workforce Policy Context at the cent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25637" name="Picture 3" descr="Radial diagram grouping related policies, strategies and programs across twelve policy areas with National Nursing Workforce Policy Context at the centre. "/>
                    <pic:cNvPicPr/>
                  </pic:nvPicPr>
                  <pic:blipFill rotWithShape="1">
                    <a:blip r:embed="rId30" cstate="print">
                      <a:extLst>
                        <a:ext uri="{28A0092B-C50C-407E-A947-70E740481C1C}">
                          <a14:useLocalDpi xmlns:a14="http://schemas.microsoft.com/office/drawing/2010/main" val="0"/>
                        </a:ext>
                      </a:extLst>
                    </a:blip>
                    <a:srcRect t="-4482"/>
                    <a:stretch>
                      <a:fillRect/>
                    </a:stretch>
                  </pic:blipFill>
                  <pic:spPr bwMode="auto">
                    <a:xfrm>
                      <a:off x="0" y="0"/>
                      <a:ext cx="5732145" cy="5994400"/>
                    </a:xfrm>
                    <a:prstGeom prst="rect">
                      <a:avLst/>
                    </a:prstGeom>
                    <a:ln>
                      <a:noFill/>
                    </a:ln>
                    <a:extLst>
                      <a:ext uri="{53640926-AAD7-44D8-BBD7-CCE9431645EC}">
                        <a14:shadowObscured xmlns:a14="http://schemas.microsoft.com/office/drawing/2010/main"/>
                      </a:ext>
                    </a:extLst>
                  </pic:spPr>
                </pic:pic>
              </a:graphicData>
            </a:graphic>
          </wp:inline>
        </w:drawing>
      </w:r>
    </w:p>
    <w:p w14:paraId="67F1ACE7" w14:textId="77777777" w:rsidR="00591043" w:rsidRPr="00DC5568" w:rsidRDefault="00591043" w:rsidP="00591043">
      <w:pPr>
        <w:pStyle w:val="Heading1"/>
      </w:pPr>
      <w:bookmarkStart w:id="34" w:name="_Toc183432203"/>
      <w:bookmarkStart w:id="35" w:name="_Toc236309235"/>
      <w:bookmarkStart w:id="36" w:name="_Toc236399744"/>
      <w:r w:rsidRPr="00DC5568">
        <w:lastRenderedPageBreak/>
        <w:t>The National Nursing Workforce Strategy</w:t>
      </w:r>
      <w:bookmarkEnd w:id="34"/>
      <w:bookmarkEnd w:id="35"/>
      <w:bookmarkEnd w:id="36"/>
    </w:p>
    <w:p w14:paraId="3D83018B" w14:textId="77777777" w:rsidR="00591043" w:rsidRPr="00DC5568" w:rsidRDefault="00591043" w:rsidP="00591043">
      <w:pPr>
        <w:pStyle w:val="BodyText"/>
      </w:pPr>
      <w:r w:rsidRPr="00DC5568">
        <w:t>This strategy sets out a long-term vision for the future of the nursing profession in Australia. Achievement of the vision is driven by four priorities with a ten-year time horizon for implementation.</w:t>
      </w:r>
    </w:p>
    <w:p w14:paraId="65DF135A" w14:textId="77777777" w:rsidR="00591043" w:rsidRPr="00DC5568" w:rsidRDefault="00591043" w:rsidP="00591043">
      <w:pPr>
        <w:pStyle w:val="BodyText"/>
      </w:pPr>
      <w:r w:rsidRPr="00DC5568">
        <w:t>The strategy recognises linkages and interdependencies between the priorities and their associated actions and objectives. The actions within the strategy can also be read through several lenses or grouped according to areas such as Aboriginal and Torres Strait Islander people, cultural and linguistic diversity, and rural and remote.</w:t>
      </w:r>
    </w:p>
    <w:p w14:paraId="39F64614" w14:textId="77777777" w:rsidR="00591043" w:rsidRDefault="00591043" w:rsidP="000E4F00">
      <w:pPr>
        <w:pStyle w:val="Caption"/>
      </w:pPr>
      <w:r w:rsidRPr="00DC5568">
        <w:t>Figure 3. National Nursing Workforce Strategy architecture</w:t>
      </w:r>
    </w:p>
    <w:p w14:paraId="51744B30" w14:textId="3324AFA2" w:rsidR="009A46C9" w:rsidRPr="009A46C9" w:rsidRDefault="009A46C9" w:rsidP="009A46C9">
      <w:r>
        <w:rPr>
          <w:noProof/>
        </w:rPr>
        <w:drawing>
          <wp:inline distT="0" distB="0" distL="0" distR="0" wp14:anchorId="2172B019" wp14:editId="3A4C7285">
            <wp:extent cx="5732145" cy="3291205"/>
            <wp:effectExtent l="0" t="0" r="1905" b="4445"/>
            <wp:docPr id="1062186426" name="Picture 4" descr="The framework for the strategy. Four vertical priority pillars intersected by three horizontal lenses, showing that each lens applies across all four prior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186426" name="Picture 4" descr="The framework for the strategy. Four vertical priority pillars intersected by three horizontal lenses, showing that each lens applies across all four priorities.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2145" cy="3291205"/>
                    </a:xfrm>
                    <a:prstGeom prst="rect">
                      <a:avLst/>
                    </a:prstGeom>
                  </pic:spPr>
                </pic:pic>
              </a:graphicData>
            </a:graphic>
          </wp:inline>
        </w:drawing>
      </w:r>
    </w:p>
    <w:p w14:paraId="552B29FA" w14:textId="77777777" w:rsidR="00591043" w:rsidRPr="00DC5568" w:rsidRDefault="00591043" w:rsidP="000E4F00">
      <w:pPr>
        <w:pStyle w:val="Heading2"/>
      </w:pPr>
      <w:bookmarkStart w:id="37" w:name="_Toc183432204"/>
      <w:bookmarkStart w:id="38" w:name="_Toc236309236"/>
      <w:bookmarkStart w:id="39" w:name="_Toc236399745"/>
      <w:r w:rsidRPr="00DC5568">
        <w:t>Vision</w:t>
      </w:r>
      <w:bookmarkEnd w:id="37"/>
      <w:bookmarkEnd w:id="38"/>
      <w:bookmarkEnd w:id="39"/>
    </w:p>
    <w:p w14:paraId="73F62E63" w14:textId="520D6E4F" w:rsidR="00591043" w:rsidRPr="008A28C9" w:rsidRDefault="00591043" w:rsidP="008A28C9">
      <w:pPr>
        <w:pStyle w:val="Box"/>
      </w:pPr>
      <w:r w:rsidRPr="008A28C9">
        <w:t>A sustainable nursing workforce that adapts, innovates and excels to deliver evidence-based health and wellbeing outcomes for all Australian communities</w:t>
      </w:r>
    </w:p>
    <w:p w14:paraId="465E929C" w14:textId="77777777" w:rsidR="00591043" w:rsidRPr="00DC5568" w:rsidRDefault="00591043" w:rsidP="000E4F00">
      <w:pPr>
        <w:pStyle w:val="Heading2"/>
      </w:pPr>
      <w:bookmarkStart w:id="40" w:name="_Toc183432205"/>
      <w:bookmarkStart w:id="41" w:name="_Toc236309237"/>
      <w:bookmarkStart w:id="42" w:name="_Toc236399746"/>
      <w:r w:rsidRPr="00DC5568">
        <w:t>Priorities</w:t>
      </w:r>
      <w:bookmarkEnd w:id="40"/>
      <w:bookmarkEnd w:id="41"/>
      <w:bookmarkEnd w:id="42"/>
    </w:p>
    <w:p w14:paraId="352B543F" w14:textId="57BDB7C2" w:rsidR="00591043" w:rsidRDefault="008A28C9" w:rsidP="003D2348">
      <w:pPr>
        <w:pStyle w:val="Box"/>
        <w:contextualSpacing/>
      </w:pPr>
      <w:r>
        <w:t xml:space="preserve">1. </w:t>
      </w:r>
      <w:r>
        <w:tab/>
      </w:r>
      <w:r w:rsidR="00591043" w:rsidRPr="000E4F00">
        <w:t>Enhancing workforce planning, education and regulation</w:t>
      </w:r>
    </w:p>
    <w:p w14:paraId="5A4BCC1A" w14:textId="075390A8" w:rsidR="00591043" w:rsidRPr="000E4F00" w:rsidRDefault="008A28C9" w:rsidP="003D2348">
      <w:pPr>
        <w:pStyle w:val="Box"/>
        <w:contextualSpacing/>
      </w:pPr>
      <w:r>
        <w:t>2</w:t>
      </w:r>
      <w:r w:rsidR="003D2348">
        <w:t>.</w:t>
      </w:r>
      <w:r>
        <w:tab/>
      </w:r>
      <w:r w:rsidR="00591043" w:rsidRPr="000E4F00">
        <w:t>Enabling nursing innovation</w:t>
      </w:r>
      <w:r w:rsidR="00591043" w:rsidRPr="000E4F00" w:rsidDel="00016A36">
        <w:t xml:space="preserve"> </w:t>
      </w:r>
    </w:p>
    <w:p w14:paraId="28E1EBC5" w14:textId="6C0E0B37" w:rsidR="00591043" w:rsidRPr="000E4F00" w:rsidRDefault="008A28C9" w:rsidP="003D2348">
      <w:pPr>
        <w:pStyle w:val="Box"/>
        <w:contextualSpacing/>
      </w:pPr>
      <w:r>
        <w:t>3.</w:t>
      </w:r>
      <w:r>
        <w:tab/>
      </w:r>
      <w:r w:rsidR="00591043" w:rsidRPr="000E4F00">
        <w:t>Elevating the nursing profession</w:t>
      </w:r>
    </w:p>
    <w:p w14:paraId="7E1EB4BC" w14:textId="6A810C49" w:rsidR="00591043" w:rsidRPr="000E4F00" w:rsidRDefault="008A28C9" w:rsidP="003D2348">
      <w:pPr>
        <w:pStyle w:val="Box"/>
        <w:contextualSpacing/>
      </w:pPr>
      <w:r>
        <w:t>4.</w:t>
      </w:r>
      <w:r>
        <w:tab/>
      </w:r>
      <w:r w:rsidR="00591043" w:rsidRPr="000E4F00">
        <w:t>Delivering a sustainable nursing workforce</w:t>
      </w:r>
    </w:p>
    <w:p w14:paraId="7B089E22" w14:textId="77777777" w:rsidR="00591043" w:rsidRPr="00DC5568" w:rsidRDefault="00591043" w:rsidP="00A13555">
      <w:pPr>
        <w:pStyle w:val="BodyTextAfterListTable"/>
        <w:keepNext/>
      </w:pPr>
      <w:r w:rsidRPr="00DC5568">
        <w:lastRenderedPageBreak/>
        <w:t>These are detailed in the following sections, with each priority providing:</w:t>
      </w:r>
    </w:p>
    <w:p w14:paraId="14A778B6" w14:textId="77777777" w:rsidR="00591043" w:rsidRPr="000E4F00" w:rsidRDefault="00591043" w:rsidP="000E4F00">
      <w:pPr>
        <w:pStyle w:val="ListBullet"/>
      </w:pPr>
      <w:r w:rsidRPr="00591043">
        <w:rPr>
          <w:i/>
        </w:rPr>
        <w:t>objectives</w:t>
      </w:r>
      <w:r w:rsidRPr="00DC5568">
        <w:t xml:space="preserve"> that will be achieved where actio</w:t>
      </w:r>
      <w:r w:rsidRPr="000E4F00">
        <w:t>ns are successfully implemented</w:t>
      </w:r>
    </w:p>
    <w:p w14:paraId="77CEA96B" w14:textId="77777777" w:rsidR="00591043" w:rsidRPr="00DC5568" w:rsidRDefault="00591043" w:rsidP="00591043">
      <w:pPr>
        <w:pStyle w:val="ListBullet"/>
      </w:pPr>
      <w:r w:rsidRPr="00DC5568">
        <w:t xml:space="preserve">a </w:t>
      </w:r>
      <w:r w:rsidRPr="00DC5568">
        <w:rPr>
          <w:i/>
        </w:rPr>
        <w:t xml:space="preserve">rationale </w:t>
      </w:r>
      <w:r w:rsidRPr="00DC5568">
        <w:t>for the significance of the priority and what it seeks to achieve</w:t>
      </w:r>
    </w:p>
    <w:p w14:paraId="4E465CC4" w14:textId="77777777" w:rsidR="00591043" w:rsidRPr="00DC5568" w:rsidRDefault="00591043" w:rsidP="00591043">
      <w:pPr>
        <w:pStyle w:val="ListBullet"/>
      </w:pPr>
      <w:r w:rsidRPr="00DC5568">
        <w:rPr>
          <w:i/>
        </w:rPr>
        <w:t>actions</w:t>
      </w:r>
      <w:r w:rsidRPr="00DC5568">
        <w:t xml:space="preserve"> designed to implement priority objectives</w:t>
      </w:r>
    </w:p>
    <w:p w14:paraId="7C619E72" w14:textId="77777777" w:rsidR="00591043" w:rsidRPr="00DC5568" w:rsidRDefault="00591043" w:rsidP="00591043">
      <w:pPr>
        <w:pStyle w:val="ListBullet"/>
      </w:pPr>
      <w:r w:rsidRPr="00DC5568">
        <w:rPr>
          <w:i/>
        </w:rPr>
        <w:t>aims</w:t>
      </w:r>
      <w:r w:rsidRPr="00DC5568">
        <w:t xml:space="preserve"> to describe action intent; and</w:t>
      </w:r>
    </w:p>
    <w:p w14:paraId="4808740C" w14:textId="77777777" w:rsidR="00591043" w:rsidRPr="00DC5568" w:rsidRDefault="00591043" w:rsidP="00591043">
      <w:pPr>
        <w:pStyle w:val="ListBullet"/>
      </w:pPr>
      <w:r w:rsidRPr="00DC5568">
        <w:rPr>
          <w:i/>
        </w:rPr>
        <w:t>responsibilities</w:t>
      </w:r>
      <w:r w:rsidRPr="00DC5568">
        <w:rPr>
          <w:b/>
        </w:rPr>
        <w:t xml:space="preserve"> </w:t>
      </w:r>
      <w:r w:rsidRPr="00DC5568">
        <w:t>to identify the range of stakeholders who have responsibility for, or a role in, supporting implementation of actions.</w:t>
      </w:r>
    </w:p>
    <w:p w14:paraId="399644FD" w14:textId="77777777" w:rsidR="00591043" w:rsidRPr="00DC5568" w:rsidRDefault="00591043" w:rsidP="003A0C75">
      <w:pPr>
        <w:pStyle w:val="Heading1"/>
        <w:pageBreakBefore w:val="0"/>
        <w:pBdr>
          <w:top w:val="single" w:sz="4" w:space="31" w:color="3F4A75" w:themeColor="text2"/>
        </w:pBdr>
        <w:spacing w:before="1920"/>
      </w:pPr>
      <w:bookmarkStart w:id="43" w:name="_Toc236309238"/>
      <w:bookmarkStart w:id="44" w:name="_Toc236399747"/>
      <w:r w:rsidRPr="00DC5568">
        <w:t>Priority 1</w:t>
      </w:r>
      <w:bookmarkStart w:id="45" w:name="_Toc183432207"/>
      <w:r w:rsidRPr="00DC5568">
        <w:t>: Enhancing workforce planning, education and regulation</w:t>
      </w:r>
      <w:bookmarkEnd w:id="43"/>
      <w:bookmarkEnd w:id="44"/>
      <w:bookmarkEnd w:id="45"/>
    </w:p>
    <w:p w14:paraId="0D339473" w14:textId="77777777" w:rsidR="000E4F00" w:rsidRDefault="000E4F00" w:rsidP="00AD1B5B">
      <w:pPr>
        <w:pStyle w:val="Heading2"/>
      </w:pPr>
      <w:bookmarkStart w:id="46" w:name="_Toc236309239"/>
      <w:bookmarkStart w:id="47" w:name="_Toc236399748"/>
      <w:r>
        <w:t>Objective</w:t>
      </w:r>
      <w:bookmarkEnd w:id="46"/>
      <w:bookmarkEnd w:id="47"/>
    </w:p>
    <w:p w14:paraId="0ED2BA13" w14:textId="762EB169" w:rsidR="000E4F00" w:rsidRDefault="000E4F00" w:rsidP="008A28C9">
      <w:pPr>
        <w:pStyle w:val="ListBullet"/>
      </w:pPr>
      <w:r>
        <w:t>Nursing workforce planning is data driven, collaborative, coordinated and effective.</w:t>
      </w:r>
    </w:p>
    <w:p w14:paraId="45392A84" w14:textId="08AC0565" w:rsidR="000E4F00" w:rsidRDefault="000E4F00" w:rsidP="000E4F00">
      <w:pPr>
        <w:pStyle w:val="ListBullet"/>
      </w:pPr>
      <w:r>
        <w:t xml:space="preserve">Nurses and nursing students are educated in a fit-for-purpose and contemporary education and career infrastructure. </w:t>
      </w:r>
    </w:p>
    <w:p w14:paraId="3D20EBF6" w14:textId="21D155FB" w:rsidR="000E4F00" w:rsidRDefault="000E4F00" w:rsidP="000E4F00">
      <w:pPr>
        <w:pStyle w:val="ListBullet"/>
      </w:pPr>
      <w:r>
        <w:t>Nurses can progress their careers in the way they choose.</w:t>
      </w:r>
    </w:p>
    <w:p w14:paraId="33090653" w14:textId="77777777" w:rsidR="000E4F00" w:rsidRDefault="000E4F00" w:rsidP="000E4F00">
      <w:pPr>
        <w:pStyle w:val="Heading2"/>
      </w:pPr>
      <w:bookmarkStart w:id="48" w:name="_Toc236309240"/>
      <w:bookmarkStart w:id="49" w:name="_Toc236399749"/>
      <w:r>
        <w:t>Rationale</w:t>
      </w:r>
      <w:bookmarkEnd w:id="48"/>
      <w:bookmarkEnd w:id="49"/>
    </w:p>
    <w:p w14:paraId="54E174E7" w14:textId="7C445C57" w:rsidR="00591043" w:rsidRDefault="000E4F00" w:rsidP="00E62DD0">
      <w:pPr>
        <w:pStyle w:val="BodyText"/>
      </w:pPr>
      <w:r>
        <w:t>Workforce planning, education and regulation are levers that enable a well prepared and effective nursing workforce. Workforce planning ensures supply and distribution of nurses meet the health and aged care needs of communities in Australia. Nursing education, training and career infrastructure must also evolve to meet the changing health and aged care landscape and the needs of the nursing workforce. Access to, and support for, completing nursing education will ensure a sustainable nursing pipeline. Clear development and advancement opportunities will enable nurses to pursue fulfilling careers and support retention.</w:t>
      </w:r>
    </w:p>
    <w:p w14:paraId="50D9D7BA" w14:textId="77777777" w:rsidR="00591043" w:rsidRPr="000E4F00" w:rsidRDefault="00591043" w:rsidP="00AD1B5B">
      <w:pPr>
        <w:pStyle w:val="Heading2"/>
        <w:pageBreakBefore/>
      </w:pPr>
      <w:bookmarkStart w:id="50" w:name="_Toc236309241"/>
      <w:bookmarkStart w:id="51" w:name="_Toc236399750"/>
      <w:r w:rsidRPr="000E4F00">
        <w:lastRenderedPageBreak/>
        <w:t>Workforce planning</w:t>
      </w:r>
      <w:bookmarkEnd w:id="50"/>
      <w:bookmarkEnd w:id="51"/>
    </w:p>
    <w:p w14:paraId="5035DD40" w14:textId="77777777" w:rsidR="00591043" w:rsidRPr="00AD1B5B" w:rsidRDefault="00591043" w:rsidP="00AD1B5B">
      <w:pPr>
        <w:pStyle w:val="Heading3"/>
      </w:pPr>
      <w:r w:rsidRPr="000E4F00">
        <w:t>Reason for action</w:t>
      </w:r>
    </w:p>
    <w:p w14:paraId="3D75C28E" w14:textId="20717ED3" w:rsidR="00591043" w:rsidRPr="00DC5568" w:rsidRDefault="00591043" w:rsidP="00591043">
      <w:pPr>
        <w:pStyle w:val="BodyText"/>
      </w:pPr>
      <w:r w:rsidRPr="00DC5568">
        <w:t xml:space="preserve">The </w:t>
      </w:r>
      <w:hyperlink r:id="rId32" w:history="1">
        <w:r w:rsidRPr="00DC5568">
          <w:rPr>
            <w:rStyle w:val="Hyperlink"/>
          </w:rPr>
          <w:t>National Health Workforce Dataset</w:t>
        </w:r>
      </w:hyperlink>
      <w:r w:rsidRPr="00DC5568">
        <w:t xml:space="preserve"> is informed by data from the annual registration process for nurses and the annual workforce survey voluntarily completed at the time of registration. This is used nationally for nursing workforce planning - in particular the modelling in the </w:t>
      </w:r>
      <w:hyperlink r:id="rId33" w:history="1">
        <w:r w:rsidR="003D5098">
          <w:rPr>
            <w:rStyle w:val="Hyperlink"/>
          </w:rPr>
          <w:t>Nursing Supply and Demand Study 2023-2035 (PDF, 743 KB)</w:t>
        </w:r>
      </w:hyperlink>
      <w:r w:rsidRPr="00DC5568">
        <w:t xml:space="preserve"> . Workforce planning requires an evidence-based and coordinated approach to align with the overall goals of the health and aged care system. It considers system reforms, service delivery models and the potential impact of external factors such as future pandemics,</w:t>
      </w:r>
      <w:r w:rsidRPr="00C76E76">
        <w:rPr>
          <w:rStyle w:val="EndnoteReference"/>
        </w:rPr>
        <w:endnoteReference w:id="34"/>
      </w:r>
      <w:r w:rsidRPr="00DC5568">
        <w:t xml:space="preserve"> climate-related events and political or economic shifts.</w:t>
      </w:r>
    </w:p>
    <w:p w14:paraId="69B5A769" w14:textId="77777777" w:rsidR="00591043" w:rsidRPr="00DC5568" w:rsidRDefault="00591043" w:rsidP="00591043">
      <w:pPr>
        <w:pStyle w:val="BodyText"/>
      </w:pPr>
      <w:r w:rsidRPr="00DC5568">
        <w:t>Access to additional data sources and development of a coordinated approach to the use of all health workforce data will improve the quality of nursing workforce planning in Australia. This, in turn supports delivery of person-centred health care, improves access to care, and enhances the quality, safety and sustainability of services.</w:t>
      </w:r>
    </w:p>
    <w:tbl>
      <w:tblPr>
        <w:tblStyle w:val="TableGrid"/>
        <w:tblW w:w="5000" w:type="pct"/>
        <w:tblLook w:val="0420" w:firstRow="1" w:lastRow="0" w:firstColumn="0" w:lastColumn="0" w:noHBand="0" w:noVBand="1"/>
      </w:tblPr>
      <w:tblGrid>
        <w:gridCol w:w="3005"/>
        <w:gridCol w:w="3006"/>
        <w:gridCol w:w="3006"/>
      </w:tblGrid>
      <w:tr w:rsidR="00591043" w:rsidRPr="00DC5568" w14:paraId="070398B3"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EAF8D40" w14:textId="77777777" w:rsidR="00591043" w:rsidRPr="00DC5568" w:rsidRDefault="00591043" w:rsidP="00591043">
            <w:pPr>
              <w:spacing w:before="48" w:after="48" w:line="288" w:lineRule="auto"/>
            </w:pPr>
            <w:r w:rsidRPr="00DC5568">
              <w:t>Action</w:t>
            </w:r>
          </w:p>
        </w:tc>
        <w:tc>
          <w:tcPr>
            <w:tcW w:w="1667" w:type="pct"/>
          </w:tcPr>
          <w:p w14:paraId="7FCA88AB" w14:textId="77777777" w:rsidR="00591043" w:rsidRPr="00DC5568" w:rsidRDefault="00591043" w:rsidP="00591043">
            <w:pPr>
              <w:spacing w:before="48" w:after="48" w:line="288" w:lineRule="auto"/>
            </w:pPr>
            <w:r w:rsidRPr="00DC5568">
              <w:t xml:space="preserve">Intended outcomes </w:t>
            </w:r>
          </w:p>
        </w:tc>
        <w:tc>
          <w:tcPr>
            <w:tcW w:w="1667" w:type="pct"/>
          </w:tcPr>
          <w:p w14:paraId="17E9FFB6" w14:textId="77777777" w:rsidR="00591043" w:rsidRPr="00DC5568" w:rsidRDefault="00591043" w:rsidP="00591043">
            <w:pPr>
              <w:spacing w:before="48" w:after="48" w:line="288" w:lineRule="auto"/>
            </w:pPr>
            <w:r w:rsidRPr="00DC5568">
              <w:t>Responsibility</w:t>
            </w:r>
          </w:p>
        </w:tc>
      </w:tr>
      <w:tr w:rsidR="00E62DD0" w:rsidRPr="00DC5568" w14:paraId="1D07C07B" w14:textId="77777777" w:rsidTr="003D2348">
        <w:tc>
          <w:tcPr>
            <w:tcW w:w="1666" w:type="pct"/>
          </w:tcPr>
          <w:p w14:paraId="515DC006" w14:textId="5FFE446D" w:rsidR="00E62DD0" w:rsidRPr="00DC5568" w:rsidRDefault="00E62DD0" w:rsidP="00E62DD0">
            <w:pPr>
              <w:pStyle w:val="HangingIndent"/>
            </w:pPr>
            <w:r w:rsidRPr="00DC5568">
              <w:t>1.1</w:t>
            </w:r>
            <w:r>
              <w:t xml:space="preserve"> </w:t>
            </w:r>
            <w:r>
              <w:tab/>
            </w:r>
            <w:r w:rsidRPr="00DC5568">
              <w:t>Implement nationally coordinated nursing workforce data, modelling and planning.</w:t>
            </w:r>
          </w:p>
        </w:tc>
        <w:tc>
          <w:tcPr>
            <w:tcW w:w="1667" w:type="pct"/>
          </w:tcPr>
          <w:p w14:paraId="149C8F9B" w14:textId="77777777" w:rsidR="00E62DD0" w:rsidRPr="00A90B29" w:rsidRDefault="00E62DD0" w:rsidP="00A90B29">
            <w:r w:rsidRPr="00A90B29">
              <w:t>Governments collaborate on nursing workforce issues and develop solutions using robust data and evidence.</w:t>
            </w:r>
          </w:p>
          <w:p w14:paraId="553DF696" w14:textId="77777777" w:rsidR="00E62DD0" w:rsidRPr="00A90B29" w:rsidRDefault="00E62DD0" w:rsidP="00A90B29">
            <w:r w:rsidRPr="00A90B29">
              <w:t>Improved approach to workforce data, modelling and planning.</w:t>
            </w:r>
          </w:p>
          <w:p w14:paraId="4529CB0F" w14:textId="77777777" w:rsidR="00E62DD0" w:rsidRPr="00A90B29" w:rsidRDefault="00E62DD0" w:rsidP="00A90B29">
            <w:r w:rsidRPr="00A90B29">
              <w:t xml:space="preserve">Optimised distribution of the nursing workforce, particularly in rural and remote areas. </w:t>
            </w:r>
          </w:p>
          <w:p w14:paraId="6F5FCDDF" w14:textId="77777777" w:rsidR="00E62DD0" w:rsidRPr="00A90B29" w:rsidRDefault="00E62DD0" w:rsidP="00A90B29">
            <w:r w:rsidRPr="00A90B29">
              <w:t xml:space="preserve">Priorities for Aboriginal and Torres Strait Islander data and data sovereignty are addressed. </w:t>
            </w:r>
          </w:p>
        </w:tc>
        <w:tc>
          <w:tcPr>
            <w:tcW w:w="1667" w:type="pct"/>
          </w:tcPr>
          <w:p w14:paraId="4969D288" w14:textId="559AEF4E" w:rsidR="00E62DD0" w:rsidRPr="00A90B29" w:rsidRDefault="00E62DD0" w:rsidP="00A90B29">
            <w:r w:rsidRPr="00A90B29">
              <w:t>Education providers/registered training organisations</w:t>
            </w:r>
          </w:p>
          <w:p w14:paraId="7BBE823F" w14:textId="77777777" w:rsidR="00E62DD0" w:rsidRPr="00A90B29" w:rsidRDefault="00E62DD0" w:rsidP="00A90B29">
            <w:r w:rsidRPr="00A90B29">
              <w:t>Employers</w:t>
            </w:r>
          </w:p>
          <w:p w14:paraId="569798BB" w14:textId="77777777" w:rsidR="00E62DD0" w:rsidRPr="00A90B29" w:rsidRDefault="00E62DD0" w:rsidP="00A90B29">
            <w:r w:rsidRPr="00A90B29">
              <w:t>Governments</w:t>
            </w:r>
          </w:p>
          <w:p w14:paraId="10CB22DD" w14:textId="33DB6CC3" w:rsidR="00E62DD0" w:rsidRPr="00A90B29" w:rsidRDefault="00E62DD0" w:rsidP="00A90B29">
            <w:r w:rsidRPr="00A90B29">
              <w:t>Professional and industry bodies</w:t>
            </w:r>
          </w:p>
          <w:p w14:paraId="51469D27" w14:textId="49CACC85" w:rsidR="00E62DD0" w:rsidRPr="00A90B29" w:rsidRDefault="00E62DD0" w:rsidP="00A90B29">
            <w:r w:rsidRPr="00A90B29">
              <w:t>Regulators</w:t>
            </w:r>
          </w:p>
        </w:tc>
      </w:tr>
    </w:tbl>
    <w:p w14:paraId="4D6FE3F5" w14:textId="77777777" w:rsidR="00591043" w:rsidRPr="00DC5568" w:rsidRDefault="00591043" w:rsidP="008B39DB">
      <w:pPr>
        <w:pStyle w:val="Heading2"/>
        <w:pageBreakBefore/>
      </w:pPr>
      <w:bookmarkStart w:id="52" w:name="_Toc236309242"/>
      <w:bookmarkStart w:id="53" w:name="_Toc236399751"/>
      <w:r w:rsidRPr="00DC5568">
        <w:lastRenderedPageBreak/>
        <w:t>Career flexibility</w:t>
      </w:r>
      <w:bookmarkEnd w:id="52"/>
      <w:bookmarkEnd w:id="53"/>
      <w:r w:rsidRPr="00DC5568">
        <w:t xml:space="preserve"> </w:t>
      </w:r>
    </w:p>
    <w:p w14:paraId="58890D76" w14:textId="77777777" w:rsidR="00591043" w:rsidRPr="00DC5568" w:rsidRDefault="00591043" w:rsidP="00AD1B5B">
      <w:pPr>
        <w:pStyle w:val="Heading3"/>
      </w:pPr>
      <w:r w:rsidRPr="00DC5568">
        <w:t>Reason for action</w:t>
      </w:r>
    </w:p>
    <w:p w14:paraId="1CD65172" w14:textId="2CA5E6EE" w:rsidR="00591043" w:rsidRPr="00DC5568" w:rsidRDefault="00591043" w:rsidP="00591043">
      <w:pPr>
        <w:pStyle w:val="BodyText"/>
      </w:pPr>
      <w:r w:rsidRPr="00DC5568">
        <w:t>Acknowledging the existing and expected pressures faced by the health workforce, the importance of attracting and retaining nurses into the future is critical. The lack of choice of roles and flexibility in work arrangements is driving nurses out of the system.</w:t>
      </w:r>
      <w:r w:rsidRPr="00C76E76">
        <w:rPr>
          <w:rStyle w:val="EndnoteReference"/>
        </w:rPr>
        <w:endnoteReference w:id="35"/>
      </w:r>
      <w:r w:rsidRPr="00DC5568">
        <w:t xml:space="preserve"> </w:t>
      </w:r>
    </w:p>
    <w:p w14:paraId="64FF3344" w14:textId="77777777" w:rsidR="00591043" w:rsidRPr="00DC5568" w:rsidRDefault="00591043" w:rsidP="00591043">
      <w:pPr>
        <w:pStyle w:val="BodyText"/>
      </w:pPr>
      <w:r w:rsidRPr="00DC5568">
        <w:t>Increasing options to experience a range of roles, support career progression, recognise prior learning and increase flexibility will have a positive impact on staff retention and careers. This includes addressing inconsistent regulations, policies and practice requirements across jurisdictions. The inconsistencies result in administrative duplication, confusion and ultimately inhibit workforce movement, sustainability and consumer access to care.</w:t>
      </w:r>
      <w:r w:rsidRPr="00C76E76">
        <w:rPr>
          <w:rStyle w:val="EndnoteReference"/>
        </w:rPr>
        <w:endnoteReference w:id="36"/>
      </w:r>
    </w:p>
    <w:tbl>
      <w:tblPr>
        <w:tblStyle w:val="TableGrid"/>
        <w:tblW w:w="5000" w:type="pct"/>
        <w:tblLook w:val="0420" w:firstRow="1" w:lastRow="0" w:firstColumn="0" w:lastColumn="0" w:noHBand="0" w:noVBand="1"/>
      </w:tblPr>
      <w:tblGrid>
        <w:gridCol w:w="3071"/>
        <w:gridCol w:w="2878"/>
        <w:gridCol w:w="3068"/>
      </w:tblGrid>
      <w:tr w:rsidR="00591043" w:rsidRPr="00DC5568" w14:paraId="69E097EC" w14:textId="77777777" w:rsidTr="003D2348">
        <w:trPr>
          <w:cnfStyle w:val="100000000000" w:firstRow="1" w:lastRow="0" w:firstColumn="0" w:lastColumn="0" w:oddVBand="0" w:evenVBand="0" w:oddHBand="0" w:evenHBand="0" w:firstRowFirstColumn="0" w:firstRowLastColumn="0" w:lastRowFirstColumn="0" w:lastRowLastColumn="0"/>
        </w:trPr>
        <w:tc>
          <w:tcPr>
            <w:tcW w:w="1703" w:type="pct"/>
          </w:tcPr>
          <w:p w14:paraId="2D5EA207" w14:textId="77777777" w:rsidR="00591043" w:rsidRPr="00DC5568" w:rsidRDefault="00591043" w:rsidP="00591043">
            <w:pPr>
              <w:spacing w:before="48" w:after="48" w:line="288" w:lineRule="auto"/>
            </w:pPr>
            <w:r w:rsidRPr="00DC5568">
              <w:t>Action</w:t>
            </w:r>
          </w:p>
        </w:tc>
        <w:tc>
          <w:tcPr>
            <w:tcW w:w="1596" w:type="pct"/>
          </w:tcPr>
          <w:p w14:paraId="227AB6B8" w14:textId="77777777" w:rsidR="00591043" w:rsidRPr="00DC5568" w:rsidRDefault="00591043" w:rsidP="00591043">
            <w:pPr>
              <w:spacing w:before="48" w:after="48" w:line="288" w:lineRule="auto"/>
            </w:pPr>
            <w:r w:rsidRPr="00DC5568">
              <w:t xml:space="preserve">Intended outcomes </w:t>
            </w:r>
          </w:p>
        </w:tc>
        <w:tc>
          <w:tcPr>
            <w:tcW w:w="1701" w:type="pct"/>
          </w:tcPr>
          <w:p w14:paraId="58C071F5" w14:textId="77777777" w:rsidR="00591043" w:rsidRPr="00DC5568" w:rsidRDefault="00591043" w:rsidP="00591043">
            <w:pPr>
              <w:spacing w:before="48" w:after="48" w:line="288" w:lineRule="auto"/>
            </w:pPr>
            <w:r w:rsidRPr="00DC5568">
              <w:t>Responsibility</w:t>
            </w:r>
          </w:p>
        </w:tc>
      </w:tr>
      <w:tr w:rsidR="00A90B29" w:rsidRPr="00DC5568" w14:paraId="56000B47" w14:textId="77777777" w:rsidTr="003D2348">
        <w:tc>
          <w:tcPr>
            <w:tcW w:w="1703" w:type="pct"/>
          </w:tcPr>
          <w:p w14:paraId="1004D8BF" w14:textId="7D1E72DB" w:rsidR="00A90B29" w:rsidRPr="00DC5568" w:rsidRDefault="00A90B29" w:rsidP="00A13555">
            <w:pPr>
              <w:pStyle w:val="HangingIndent"/>
            </w:pPr>
            <w:r w:rsidRPr="00E62DD0">
              <w:t>1.2</w:t>
            </w:r>
            <w:r>
              <w:tab/>
            </w:r>
            <w:r w:rsidRPr="00E62DD0">
              <w:t>Implement strategies that enhance nurses’ mobility and career flexibility.</w:t>
            </w:r>
          </w:p>
        </w:tc>
        <w:tc>
          <w:tcPr>
            <w:tcW w:w="1596" w:type="pct"/>
          </w:tcPr>
          <w:p w14:paraId="24FBE23E" w14:textId="568E229F" w:rsidR="00A90B29" w:rsidRPr="00A90B29" w:rsidRDefault="00A90B29" w:rsidP="00A90B29">
            <w:r w:rsidRPr="00A90B29">
              <w:t>Nurses can easily choose to move between settings, services and jurisdictions.</w:t>
            </w:r>
          </w:p>
        </w:tc>
        <w:tc>
          <w:tcPr>
            <w:tcW w:w="1701" w:type="pct"/>
          </w:tcPr>
          <w:p w14:paraId="25D303A2" w14:textId="7FA3F776" w:rsidR="00A90B29" w:rsidRPr="00A90B29" w:rsidRDefault="00A90B29" w:rsidP="00A90B29">
            <w:r w:rsidRPr="00A90B29">
              <w:t>Education providers/registered training organisations</w:t>
            </w:r>
          </w:p>
          <w:p w14:paraId="2B3F1779" w14:textId="77777777" w:rsidR="00A90B29" w:rsidRPr="00A90B29" w:rsidRDefault="00A90B29" w:rsidP="00A90B29">
            <w:r w:rsidRPr="00A90B29">
              <w:t xml:space="preserve">Employers </w:t>
            </w:r>
          </w:p>
          <w:p w14:paraId="2E744A96" w14:textId="77777777" w:rsidR="00A90B29" w:rsidRPr="00A90B29" w:rsidRDefault="00A90B29" w:rsidP="00A90B29">
            <w:r w:rsidRPr="00A90B29">
              <w:t>Governments</w:t>
            </w:r>
          </w:p>
          <w:p w14:paraId="6E23299B" w14:textId="3E5E16DD" w:rsidR="00A90B29" w:rsidRPr="00A90B29" w:rsidRDefault="00A90B29" w:rsidP="00A90B29">
            <w:r w:rsidRPr="00A90B29">
              <w:t>Regulators</w:t>
            </w:r>
          </w:p>
        </w:tc>
      </w:tr>
    </w:tbl>
    <w:p w14:paraId="06FF98F3" w14:textId="77777777" w:rsidR="00591043" w:rsidRPr="00DC5568" w:rsidRDefault="00591043" w:rsidP="008B39DB">
      <w:pPr>
        <w:pStyle w:val="Heading2"/>
        <w:pageBreakBefore/>
      </w:pPr>
      <w:bookmarkStart w:id="54" w:name="_Toc236309243"/>
      <w:bookmarkStart w:id="55" w:name="_Toc236399752"/>
      <w:r w:rsidRPr="00DC5568">
        <w:lastRenderedPageBreak/>
        <w:t>Aboriginal and Torres Strait Islander nurses</w:t>
      </w:r>
      <w:bookmarkEnd w:id="54"/>
      <w:bookmarkEnd w:id="55"/>
    </w:p>
    <w:p w14:paraId="169B53A8" w14:textId="77777777" w:rsidR="00591043" w:rsidRPr="00DC5568" w:rsidRDefault="00591043" w:rsidP="00AD1B5B">
      <w:pPr>
        <w:pStyle w:val="Heading3"/>
      </w:pPr>
      <w:r w:rsidRPr="00DC5568">
        <w:t>Reason for action</w:t>
      </w:r>
    </w:p>
    <w:p w14:paraId="5FE52268" w14:textId="77777777" w:rsidR="00591043" w:rsidRPr="00DC5568" w:rsidRDefault="00591043" w:rsidP="00591043">
      <w:pPr>
        <w:pStyle w:val="BodyText"/>
      </w:pPr>
      <w:r w:rsidRPr="00DC5568">
        <w:t>Evidence shows under-representation of Aboriginal and Torres Strait Islander people in the nursing workforce exacerbates health disparities faced by Aboriginal and Torres Strait Islander people, placing greater importance on recruitment strategies to increase the number of Aboriginal and Torres Strait Islander people in the nursing workforce.</w:t>
      </w:r>
      <w:bookmarkStart w:id="56" w:name="_Ref182400074"/>
      <w:r w:rsidRPr="00C76E76">
        <w:rPr>
          <w:rStyle w:val="EndnoteReference"/>
        </w:rPr>
        <w:endnoteReference w:id="37"/>
      </w:r>
      <w:bookmarkEnd w:id="56"/>
    </w:p>
    <w:p w14:paraId="7465C978" w14:textId="77777777" w:rsidR="00591043" w:rsidRPr="00DC5568" w:rsidRDefault="00591043" w:rsidP="00591043">
      <w:pPr>
        <w:pStyle w:val="BodyText"/>
      </w:pPr>
      <w:r w:rsidRPr="00DC5568">
        <w:t xml:space="preserve">Growing the workforce will require strategic partnerships, including with Aboriginal Community Controlled Health Organisations, and targeted recruitment and retention strategies. Co-designed, culturally safe, tailored, flexible and innovative approaches to nursing education and career pathways are needed. This should include deep community reach and connection promoting inclusive growth and employment in communities for Aboriginal and Torres Strait Islander people to become nurses. </w:t>
      </w:r>
    </w:p>
    <w:tbl>
      <w:tblPr>
        <w:tblStyle w:val="TableGrid"/>
        <w:tblW w:w="5000" w:type="pct"/>
        <w:tblLook w:val="0420" w:firstRow="1" w:lastRow="0" w:firstColumn="0" w:lastColumn="0" w:noHBand="0" w:noVBand="1"/>
      </w:tblPr>
      <w:tblGrid>
        <w:gridCol w:w="3005"/>
        <w:gridCol w:w="3006"/>
        <w:gridCol w:w="3006"/>
      </w:tblGrid>
      <w:tr w:rsidR="00591043" w:rsidRPr="00DC5568" w14:paraId="79AE13A3"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7FEEEAB0" w14:textId="77777777" w:rsidR="00591043" w:rsidRPr="00DC5568" w:rsidRDefault="00591043" w:rsidP="00591043">
            <w:pPr>
              <w:spacing w:before="48" w:after="48" w:line="288" w:lineRule="auto"/>
            </w:pPr>
            <w:r w:rsidRPr="00DC5568">
              <w:t>Action</w:t>
            </w:r>
          </w:p>
        </w:tc>
        <w:tc>
          <w:tcPr>
            <w:tcW w:w="1667" w:type="pct"/>
          </w:tcPr>
          <w:p w14:paraId="0BAE69F0" w14:textId="77777777" w:rsidR="00591043" w:rsidRPr="00DC5568" w:rsidRDefault="00591043" w:rsidP="00591043">
            <w:pPr>
              <w:spacing w:before="48" w:after="48" w:line="288" w:lineRule="auto"/>
            </w:pPr>
            <w:r w:rsidRPr="00DC5568">
              <w:t xml:space="preserve">Intended outcomes </w:t>
            </w:r>
          </w:p>
        </w:tc>
        <w:tc>
          <w:tcPr>
            <w:tcW w:w="1667" w:type="pct"/>
          </w:tcPr>
          <w:p w14:paraId="3D22C360" w14:textId="77777777" w:rsidR="00591043" w:rsidRPr="00DC5568" w:rsidRDefault="00591043" w:rsidP="00591043">
            <w:pPr>
              <w:spacing w:before="48" w:after="48" w:line="288" w:lineRule="auto"/>
            </w:pPr>
            <w:r w:rsidRPr="00DC5568">
              <w:t>Responsibility</w:t>
            </w:r>
          </w:p>
        </w:tc>
      </w:tr>
      <w:tr w:rsidR="00E62DD0" w:rsidRPr="00DC5568" w14:paraId="1F3339B8" w14:textId="77777777" w:rsidTr="003D2348">
        <w:tc>
          <w:tcPr>
            <w:tcW w:w="1666" w:type="pct"/>
          </w:tcPr>
          <w:p w14:paraId="3E52B8BE" w14:textId="363BFF22" w:rsidR="00E62DD0" w:rsidRPr="00DC5568" w:rsidRDefault="00E62DD0" w:rsidP="00E62DD0">
            <w:pPr>
              <w:pStyle w:val="HangingIndent"/>
            </w:pPr>
            <w:r w:rsidRPr="00DC5568">
              <w:rPr>
                <w:rFonts w:eastAsiaTheme="minorEastAsia"/>
              </w:rPr>
              <w:t>1.3</w:t>
            </w:r>
            <w:r>
              <w:rPr>
                <w:rFonts w:eastAsiaTheme="minorEastAsia"/>
              </w:rPr>
              <w:tab/>
            </w:r>
            <w:r w:rsidRPr="00DC5568">
              <w:t>Grow the Aboriginal and Torres Strait Islander nursing workforce.</w:t>
            </w:r>
          </w:p>
        </w:tc>
        <w:tc>
          <w:tcPr>
            <w:tcW w:w="1667" w:type="pct"/>
          </w:tcPr>
          <w:p w14:paraId="068625D9" w14:textId="77777777" w:rsidR="00E62DD0" w:rsidRPr="00A90B29" w:rsidRDefault="00E62DD0" w:rsidP="00A90B29">
            <w:r w:rsidRPr="00A90B29">
              <w:t>Aboriginal and Torres Strait Islander working age population parity is achieved within the nursing workforce.</w:t>
            </w:r>
          </w:p>
          <w:p w14:paraId="63669A9F" w14:textId="77777777" w:rsidR="00E62DD0" w:rsidRPr="00A90B29" w:rsidRDefault="00E62DD0" w:rsidP="00A90B29">
            <w:r w:rsidRPr="00A90B29">
              <w:t>Improved health and care outcomes for Aboriginal and Torres Strait Islander people.</w:t>
            </w:r>
          </w:p>
        </w:tc>
        <w:tc>
          <w:tcPr>
            <w:tcW w:w="1667" w:type="pct"/>
          </w:tcPr>
          <w:p w14:paraId="7246A6B7" w14:textId="77777777" w:rsidR="00E62DD0" w:rsidRPr="00A90B29" w:rsidRDefault="00E62DD0" w:rsidP="00A90B29">
            <w:r w:rsidRPr="00A90B29">
              <w:t>Consumer and carer organisations</w:t>
            </w:r>
          </w:p>
          <w:p w14:paraId="1B76BC55" w14:textId="77777777" w:rsidR="00E62DD0" w:rsidRPr="00A90B29" w:rsidRDefault="00E62DD0" w:rsidP="00A90B29">
            <w:r w:rsidRPr="00A90B29">
              <w:t>Education providers/registered training organisations</w:t>
            </w:r>
          </w:p>
          <w:p w14:paraId="3523DA7A" w14:textId="77777777" w:rsidR="00E62DD0" w:rsidRPr="00A90B29" w:rsidRDefault="00E62DD0" w:rsidP="00A90B29">
            <w:r w:rsidRPr="00A90B29">
              <w:t>Employers</w:t>
            </w:r>
          </w:p>
          <w:p w14:paraId="3B814CBE" w14:textId="77777777" w:rsidR="00E62DD0" w:rsidRPr="00A90B29" w:rsidRDefault="00E62DD0" w:rsidP="00A90B29">
            <w:r w:rsidRPr="00A90B29">
              <w:t>Governments</w:t>
            </w:r>
          </w:p>
          <w:p w14:paraId="6A69E75E" w14:textId="77777777" w:rsidR="00E62DD0" w:rsidRPr="00A90B29" w:rsidRDefault="00E62DD0" w:rsidP="00A90B29">
            <w:r w:rsidRPr="00A90B29">
              <w:t xml:space="preserve">Nursing profession/workforce </w:t>
            </w:r>
          </w:p>
          <w:p w14:paraId="7BDDF2E3" w14:textId="77777777" w:rsidR="00E62DD0" w:rsidRPr="00A90B29" w:rsidRDefault="00E62DD0" w:rsidP="00A90B29">
            <w:r w:rsidRPr="00A90B29">
              <w:t>Professional and industry bodies</w:t>
            </w:r>
          </w:p>
          <w:p w14:paraId="0CBBE455" w14:textId="77777777" w:rsidR="00E62DD0" w:rsidRPr="00A90B29" w:rsidRDefault="00E62DD0" w:rsidP="00A90B29">
            <w:r w:rsidRPr="00A90B29">
              <w:t>Regulators</w:t>
            </w:r>
          </w:p>
        </w:tc>
      </w:tr>
    </w:tbl>
    <w:p w14:paraId="0B39FB19" w14:textId="77777777" w:rsidR="00591043" w:rsidRPr="00DC5568" w:rsidRDefault="00591043" w:rsidP="008B39DB">
      <w:pPr>
        <w:pStyle w:val="Heading2"/>
        <w:pageBreakBefore/>
      </w:pPr>
      <w:bookmarkStart w:id="57" w:name="_Toc236309244"/>
      <w:bookmarkStart w:id="58" w:name="_Toc236399753"/>
      <w:r w:rsidRPr="00DC5568">
        <w:lastRenderedPageBreak/>
        <w:t>Nursing education</w:t>
      </w:r>
      <w:bookmarkEnd w:id="57"/>
      <w:bookmarkEnd w:id="58"/>
    </w:p>
    <w:p w14:paraId="4A62AAD9" w14:textId="77777777" w:rsidR="00591043" w:rsidRPr="00DC5568" w:rsidRDefault="00591043" w:rsidP="00AD1B5B">
      <w:pPr>
        <w:pStyle w:val="Heading3"/>
      </w:pPr>
      <w:r w:rsidRPr="00DC5568">
        <w:t>Reason for action</w:t>
      </w:r>
    </w:p>
    <w:p w14:paraId="46412C96" w14:textId="77777777" w:rsidR="00591043" w:rsidRPr="00DC5568" w:rsidRDefault="00591043" w:rsidP="00591043">
      <w:pPr>
        <w:pStyle w:val="BodyText"/>
      </w:pPr>
      <w:r w:rsidRPr="00DC5568">
        <w:t>Pre-registration nursing education is designed to educate generalist nurses who can provide high-quality and evidence-based health care and perform key functions in a variety of settings.</w:t>
      </w:r>
      <w:r w:rsidRPr="00C76E76">
        <w:rPr>
          <w:rStyle w:val="EndnoteReference"/>
        </w:rPr>
        <w:endnoteReference w:id="38"/>
      </w:r>
      <w:r w:rsidRPr="00DC5568">
        <w:t xml:space="preserve"> As the health needs of the population change and grow, nursing education must also continue to evolve, building the knowledge, skills and capability for nurses to deliver better health outcomes.</w:t>
      </w:r>
    </w:p>
    <w:p w14:paraId="4D584398" w14:textId="77777777" w:rsidR="00591043" w:rsidRPr="00DC5568" w:rsidRDefault="00591043" w:rsidP="00591043">
      <w:pPr>
        <w:pStyle w:val="BodyText"/>
      </w:pPr>
      <w:r w:rsidRPr="00DC5568">
        <w:t xml:space="preserve">In this way nursing education is vital to Australia’s future so must be evidence-based and fit-for-purpose, embracing the full potential of new teaching and delivery methods and models including technologies to ensure students and nurses are receiving flexible and high-quality education. </w:t>
      </w:r>
    </w:p>
    <w:tbl>
      <w:tblPr>
        <w:tblStyle w:val="TableGrid"/>
        <w:tblW w:w="5000" w:type="pct"/>
        <w:tblLook w:val="0420" w:firstRow="1" w:lastRow="0" w:firstColumn="0" w:lastColumn="0" w:noHBand="0" w:noVBand="1"/>
      </w:tblPr>
      <w:tblGrid>
        <w:gridCol w:w="3005"/>
        <w:gridCol w:w="3006"/>
        <w:gridCol w:w="3006"/>
      </w:tblGrid>
      <w:tr w:rsidR="00591043" w:rsidRPr="00DC5568" w14:paraId="1411125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E25F489" w14:textId="77777777" w:rsidR="00591043" w:rsidRPr="00DC5568" w:rsidRDefault="00591043" w:rsidP="00591043">
            <w:pPr>
              <w:spacing w:before="48" w:after="48" w:line="288" w:lineRule="auto"/>
            </w:pPr>
            <w:r w:rsidRPr="00DC5568">
              <w:t>Action</w:t>
            </w:r>
          </w:p>
        </w:tc>
        <w:tc>
          <w:tcPr>
            <w:tcW w:w="1667" w:type="pct"/>
          </w:tcPr>
          <w:p w14:paraId="21230F34" w14:textId="77777777" w:rsidR="00591043" w:rsidRPr="00DC5568" w:rsidRDefault="00591043" w:rsidP="00591043">
            <w:pPr>
              <w:spacing w:before="48" w:after="48" w:line="288" w:lineRule="auto"/>
            </w:pPr>
            <w:r w:rsidRPr="00DC5568">
              <w:t xml:space="preserve">Intended outcomes </w:t>
            </w:r>
          </w:p>
        </w:tc>
        <w:tc>
          <w:tcPr>
            <w:tcW w:w="1667" w:type="pct"/>
          </w:tcPr>
          <w:p w14:paraId="590AF2CA" w14:textId="77777777" w:rsidR="00591043" w:rsidRPr="00DC5568" w:rsidRDefault="00591043" w:rsidP="00591043">
            <w:pPr>
              <w:spacing w:before="48" w:after="48" w:line="288" w:lineRule="auto"/>
            </w:pPr>
            <w:r w:rsidRPr="00DC5568">
              <w:t>Responsibility</w:t>
            </w:r>
          </w:p>
        </w:tc>
      </w:tr>
      <w:tr w:rsidR="00E62DD0" w:rsidRPr="00DC5568" w14:paraId="75C145F6" w14:textId="77777777" w:rsidTr="003D2348">
        <w:tc>
          <w:tcPr>
            <w:tcW w:w="1666" w:type="pct"/>
          </w:tcPr>
          <w:p w14:paraId="3719564A" w14:textId="24164823" w:rsidR="00E62DD0" w:rsidRPr="00DC5568" w:rsidRDefault="00E62DD0" w:rsidP="00E62DD0">
            <w:pPr>
              <w:pStyle w:val="HangingIndent"/>
            </w:pPr>
            <w:r w:rsidRPr="00DC5568">
              <w:t>1.4</w:t>
            </w:r>
            <w:r>
              <w:tab/>
            </w:r>
            <w:r w:rsidRPr="00DC5568">
              <w:t>Research and implement the most contemporary models of delivery of pre-registration education.</w:t>
            </w:r>
          </w:p>
          <w:p w14:paraId="62102A86" w14:textId="77777777" w:rsidR="00E62DD0" w:rsidRPr="00DC5568" w:rsidRDefault="00E62DD0" w:rsidP="00591043">
            <w:pPr>
              <w:spacing w:before="200" w:after="200" w:line="288" w:lineRule="auto"/>
            </w:pPr>
          </w:p>
        </w:tc>
        <w:tc>
          <w:tcPr>
            <w:tcW w:w="1667" w:type="pct"/>
          </w:tcPr>
          <w:p w14:paraId="213C4820" w14:textId="77777777" w:rsidR="00E62DD0" w:rsidRPr="00A90B29" w:rsidRDefault="00E62DD0" w:rsidP="00A90B29">
            <w:r w:rsidRPr="00A90B29">
              <w:t xml:space="preserve">Evidence-based changes to nursing education to better equip the future nursing workforce. </w:t>
            </w:r>
          </w:p>
          <w:p w14:paraId="20A7A741" w14:textId="77777777" w:rsidR="00E62DD0" w:rsidRPr="00A90B29" w:rsidRDefault="00E62DD0" w:rsidP="00A90B29">
            <w:r w:rsidRPr="00A90B29">
              <w:t xml:space="preserve">Improved student experience and outcomes. </w:t>
            </w:r>
          </w:p>
          <w:p w14:paraId="5AC821DB" w14:textId="77777777" w:rsidR="00E62DD0" w:rsidRPr="00A90B29" w:rsidRDefault="00E62DD0" w:rsidP="00A90B29">
            <w:r w:rsidRPr="00A90B29">
              <w:t>Improved flexibility, quality and capacity to deliver professional experience placements.</w:t>
            </w:r>
          </w:p>
        </w:tc>
        <w:tc>
          <w:tcPr>
            <w:tcW w:w="1667" w:type="pct"/>
          </w:tcPr>
          <w:p w14:paraId="4AC7C612" w14:textId="77777777" w:rsidR="00E62DD0" w:rsidRPr="00A90B29" w:rsidRDefault="00E62DD0" w:rsidP="00A90B29">
            <w:r w:rsidRPr="00A90B29">
              <w:t xml:space="preserve">Education providers/registered training organisations </w:t>
            </w:r>
          </w:p>
          <w:p w14:paraId="6D066F83" w14:textId="77777777" w:rsidR="00E62DD0" w:rsidRPr="00A90B29" w:rsidRDefault="00E62DD0" w:rsidP="00A90B29">
            <w:r w:rsidRPr="00A90B29">
              <w:t>Governments</w:t>
            </w:r>
          </w:p>
          <w:p w14:paraId="2AF0DFAA" w14:textId="77777777" w:rsidR="00E62DD0" w:rsidRPr="00A90B29" w:rsidRDefault="00E62DD0" w:rsidP="00A90B29">
            <w:r w:rsidRPr="00A90B29">
              <w:t>Regulators</w:t>
            </w:r>
          </w:p>
        </w:tc>
      </w:tr>
    </w:tbl>
    <w:p w14:paraId="12A5D9F8" w14:textId="77777777" w:rsidR="00591043" w:rsidRPr="00DC5568" w:rsidRDefault="00591043" w:rsidP="008B39DB">
      <w:pPr>
        <w:pStyle w:val="Heading2"/>
        <w:pageBreakBefore/>
      </w:pPr>
      <w:bookmarkStart w:id="59" w:name="_Toc236309245"/>
      <w:bookmarkStart w:id="60" w:name="_Toc236399754"/>
      <w:r w:rsidRPr="00DC5568">
        <w:lastRenderedPageBreak/>
        <w:t>Access to education</w:t>
      </w:r>
      <w:bookmarkEnd w:id="59"/>
      <w:bookmarkEnd w:id="60"/>
    </w:p>
    <w:p w14:paraId="7FA7AC46" w14:textId="77777777" w:rsidR="00591043" w:rsidRPr="00DC5568" w:rsidRDefault="00591043" w:rsidP="00AD1B5B">
      <w:pPr>
        <w:pStyle w:val="Heading3"/>
      </w:pPr>
      <w:r w:rsidRPr="00DC5568">
        <w:t>Reason for action</w:t>
      </w:r>
    </w:p>
    <w:p w14:paraId="5E88E793" w14:textId="77777777" w:rsidR="00591043" w:rsidRPr="00DC5568" w:rsidRDefault="00591043" w:rsidP="00591043">
      <w:pPr>
        <w:pStyle w:val="BodyText"/>
      </w:pPr>
      <w:r w:rsidRPr="00DC5568">
        <w:t>The current structure of nursing education and training provides challenges to a smooth transition into the practice of nursing. Nursing students have cited key issues such as financial stress and poverty, professional experience placement issues, racism and bullying as negatively impacting their willingness to continue their nursing career.</w:t>
      </w:r>
      <w:r w:rsidRPr="00C76E76">
        <w:rPr>
          <w:rStyle w:val="EndnoteReference"/>
        </w:rPr>
        <w:endnoteReference w:id="39"/>
      </w:r>
    </w:p>
    <w:p w14:paraId="4528CCD7" w14:textId="575154E6" w:rsidR="00591043" w:rsidRPr="00DC5568" w:rsidRDefault="00591043" w:rsidP="00591043">
      <w:pPr>
        <w:pStyle w:val="BodyText"/>
      </w:pPr>
      <w:r w:rsidRPr="00DC5568">
        <w:t>A more flexible and inclusive approach and focus on the student nurse experience will have positive benefits. Continued work needs to be undertaken to ensure education pathways are available, including in rural and remote locations.</w:t>
      </w:r>
      <w:r w:rsidR="00C76E76">
        <w:t xml:space="preserve"> </w:t>
      </w:r>
      <w:r w:rsidRPr="00DC5568">
        <w:t xml:space="preserve">Students must be supported to access, and safely and successfully complete their education in a way that meets their needs and supports their wellbeing. </w:t>
      </w:r>
    </w:p>
    <w:tbl>
      <w:tblPr>
        <w:tblStyle w:val="TableGrid"/>
        <w:tblW w:w="5000" w:type="pct"/>
        <w:tblLook w:val="0420" w:firstRow="1" w:lastRow="0" w:firstColumn="0" w:lastColumn="0" w:noHBand="0" w:noVBand="1"/>
      </w:tblPr>
      <w:tblGrid>
        <w:gridCol w:w="3005"/>
        <w:gridCol w:w="3006"/>
        <w:gridCol w:w="3006"/>
      </w:tblGrid>
      <w:tr w:rsidR="00591043" w:rsidRPr="00DC5568" w14:paraId="2C96BA45"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9473729" w14:textId="77777777" w:rsidR="00591043" w:rsidRPr="00DC5568" w:rsidRDefault="00591043" w:rsidP="00591043">
            <w:pPr>
              <w:spacing w:before="48" w:after="48" w:line="288" w:lineRule="auto"/>
            </w:pPr>
            <w:r w:rsidRPr="00DC5568">
              <w:t>Action</w:t>
            </w:r>
          </w:p>
        </w:tc>
        <w:tc>
          <w:tcPr>
            <w:tcW w:w="1667" w:type="pct"/>
          </w:tcPr>
          <w:p w14:paraId="4C1BFEAE" w14:textId="77777777" w:rsidR="00591043" w:rsidRPr="00DC5568" w:rsidRDefault="00591043" w:rsidP="00591043">
            <w:pPr>
              <w:spacing w:before="48" w:after="48" w:line="288" w:lineRule="auto"/>
            </w:pPr>
            <w:r w:rsidRPr="00DC5568">
              <w:t xml:space="preserve">Intended outcomes </w:t>
            </w:r>
          </w:p>
        </w:tc>
        <w:tc>
          <w:tcPr>
            <w:tcW w:w="1667" w:type="pct"/>
          </w:tcPr>
          <w:p w14:paraId="69062A6E" w14:textId="77777777" w:rsidR="00591043" w:rsidRPr="00DC5568" w:rsidRDefault="00591043" w:rsidP="00591043">
            <w:pPr>
              <w:spacing w:before="48" w:after="48" w:line="288" w:lineRule="auto"/>
            </w:pPr>
            <w:r w:rsidRPr="00DC5568">
              <w:t>Responsibility</w:t>
            </w:r>
          </w:p>
        </w:tc>
      </w:tr>
      <w:tr w:rsidR="00E62DD0" w:rsidRPr="00DC5568" w14:paraId="285D5A07" w14:textId="77777777" w:rsidTr="003D2348">
        <w:tc>
          <w:tcPr>
            <w:tcW w:w="1666" w:type="pct"/>
          </w:tcPr>
          <w:p w14:paraId="02CD77E1" w14:textId="7977357F" w:rsidR="00E62DD0" w:rsidRPr="00DC5568" w:rsidRDefault="00E62DD0" w:rsidP="00E62DD0">
            <w:pPr>
              <w:pStyle w:val="HangingIndent"/>
            </w:pPr>
            <w:r w:rsidRPr="00DC5568">
              <w:t>1.5</w:t>
            </w:r>
            <w:r>
              <w:tab/>
            </w:r>
            <w:r w:rsidRPr="00DC5568">
              <w:t>Facilitate students and nurses to access and complete nursing education.</w:t>
            </w:r>
          </w:p>
        </w:tc>
        <w:tc>
          <w:tcPr>
            <w:tcW w:w="1667" w:type="pct"/>
          </w:tcPr>
          <w:p w14:paraId="1F7CB5CD" w14:textId="77777777" w:rsidR="00E62DD0" w:rsidRPr="00A90B29" w:rsidRDefault="00E62DD0" w:rsidP="00A90B29">
            <w:r w:rsidRPr="00A90B29">
              <w:t>The nursing workforce can access opportunities to grow and succeed in all education pathways, including in rural and remote areas.</w:t>
            </w:r>
          </w:p>
          <w:p w14:paraId="0E5742C2" w14:textId="77777777" w:rsidR="00E62DD0" w:rsidRPr="00A90B29" w:rsidRDefault="00E62DD0" w:rsidP="00A90B29">
            <w:r w:rsidRPr="00A90B29">
              <w:t>Preceptors, supervisors and facilitators are supported in the provision of high quality and culturally safe professional experience placements for students.</w:t>
            </w:r>
          </w:p>
        </w:tc>
        <w:tc>
          <w:tcPr>
            <w:tcW w:w="1667" w:type="pct"/>
          </w:tcPr>
          <w:p w14:paraId="44A8C952" w14:textId="77777777" w:rsidR="00E62DD0" w:rsidRPr="00A90B29" w:rsidRDefault="00E62DD0" w:rsidP="00A90B29">
            <w:r w:rsidRPr="00A90B29">
              <w:t>Education providers/registered training organisations</w:t>
            </w:r>
          </w:p>
          <w:p w14:paraId="1A401526" w14:textId="77777777" w:rsidR="00E62DD0" w:rsidRPr="00A90B29" w:rsidRDefault="00E62DD0" w:rsidP="00A90B29">
            <w:r w:rsidRPr="00A90B29">
              <w:t>Employers</w:t>
            </w:r>
          </w:p>
          <w:p w14:paraId="27781BC9" w14:textId="77777777" w:rsidR="00E62DD0" w:rsidRPr="00A90B29" w:rsidRDefault="00E62DD0" w:rsidP="00A90B29">
            <w:r w:rsidRPr="00A90B29">
              <w:t>Governments</w:t>
            </w:r>
          </w:p>
          <w:p w14:paraId="45CEC4B6" w14:textId="77777777" w:rsidR="00E62DD0" w:rsidRPr="00A90B29" w:rsidRDefault="00E62DD0" w:rsidP="00A90B29">
            <w:r w:rsidRPr="00A90B29">
              <w:t>Regulators</w:t>
            </w:r>
          </w:p>
        </w:tc>
      </w:tr>
    </w:tbl>
    <w:p w14:paraId="20538534" w14:textId="77777777" w:rsidR="00591043" w:rsidRPr="00DC5568" w:rsidRDefault="00591043" w:rsidP="008B39DB">
      <w:pPr>
        <w:pStyle w:val="Heading2"/>
        <w:pageBreakBefore/>
      </w:pPr>
      <w:bookmarkStart w:id="61" w:name="_Toc236309246"/>
      <w:bookmarkStart w:id="62" w:name="_Toc236399755"/>
      <w:r w:rsidRPr="00DC5568">
        <w:lastRenderedPageBreak/>
        <w:t>Student employment models</w:t>
      </w:r>
      <w:bookmarkEnd w:id="61"/>
      <w:bookmarkEnd w:id="62"/>
    </w:p>
    <w:p w14:paraId="3F29DA62" w14:textId="77777777" w:rsidR="00591043" w:rsidRPr="00DC5568" w:rsidRDefault="00591043" w:rsidP="00AD1B5B">
      <w:pPr>
        <w:pStyle w:val="Heading3"/>
      </w:pPr>
      <w:r w:rsidRPr="00DC5568">
        <w:t>Reason for action</w:t>
      </w:r>
    </w:p>
    <w:p w14:paraId="43ABA7CF" w14:textId="77777777" w:rsidR="00591043" w:rsidRPr="00DC5568" w:rsidRDefault="00591043" w:rsidP="00591043">
      <w:pPr>
        <w:pStyle w:val="BodyText"/>
      </w:pPr>
      <w:r w:rsidRPr="00DC5568">
        <w:t xml:space="preserve">Many students </w:t>
      </w:r>
      <w:proofErr w:type="gramStart"/>
      <w:r w:rsidRPr="00DC5568">
        <w:t>have to</w:t>
      </w:r>
      <w:proofErr w:type="gramEnd"/>
      <w:r w:rsidRPr="00DC5568">
        <w:t xml:space="preserve"> undertake concurrent work and study. There is evidence that student poverty is increasing.</w:t>
      </w:r>
      <w:r w:rsidRPr="00C76E76">
        <w:rPr>
          <w:rStyle w:val="EndnoteReference"/>
        </w:rPr>
        <w:endnoteReference w:id="40"/>
      </w:r>
      <w:r w:rsidRPr="00DC5568">
        <w:rPr>
          <w:vertAlign w:val="superscript"/>
        </w:rPr>
        <w:t xml:space="preserve"> </w:t>
      </w:r>
    </w:p>
    <w:p w14:paraId="2B51919C" w14:textId="77777777" w:rsidR="00591043" w:rsidRPr="00DC5568" w:rsidRDefault="00591043" w:rsidP="00591043">
      <w:pPr>
        <w:pStyle w:val="BodyText"/>
      </w:pPr>
      <w:r w:rsidRPr="00DC5568">
        <w:t>Student employment models provide opportunities for student nurses to undertake paid employment in health areas that use their skills and education while studying. Student employment models aim to improve workload management, support a productive work environment and provision of safe and quality care to meet the increasing demand for health and aged care services.</w:t>
      </w:r>
      <w:r w:rsidRPr="00C76E76">
        <w:rPr>
          <w:rStyle w:val="EndnoteReference"/>
        </w:rPr>
        <w:endnoteReference w:id="41"/>
      </w:r>
      <w:r w:rsidRPr="00DC5568" w:rsidDel="00AD27A7">
        <w:t xml:space="preserve"> </w:t>
      </w:r>
      <w:r w:rsidRPr="00DC5568">
        <w:t xml:space="preserve">These models do not substitute nursing education or professional experience placements, ensuring tertiary and vocational learning is maintained. </w:t>
      </w:r>
    </w:p>
    <w:tbl>
      <w:tblPr>
        <w:tblStyle w:val="TableGrid"/>
        <w:tblW w:w="5000" w:type="pct"/>
        <w:tblLook w:val="0420" w:firstRow="1" w:lastRow="0" w:firstColumn="0" w:lastColumn="0" w:noHBand="0" w:noVBand="1"/>
      </w:tblPr>
      <w:tblGrid>
        <w:gridCol w:w="3005"/>
        <w:gridCol w:w="3006"/>
        <w:gridCol w:w="3006"/>
      </w:tblGrid>
      <w:tr w:rsidR="00591043" w:rsidRPr="00DC5568" w14:paraId="202ABEE0"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734BC63D" w14:textId="77777777" w:rsidR="00591043" w:rsidRPr="00DC5568" w:rsidRDefault="00591043" w:rsidP="00591043">
            <w:pPr>
              <w:spacing w:before="48" w:after="48" w:line="288" w:lineRule="auto"/>
            </w:pPr>
            <w:r w:rsidRPr="00DC5568">
              <w:t>Action</w:t>
            </w:r>
          </w:p>
        </w:tc>
        <w:tc>
          <w:tcPr>
            <w:tcW w:w="1667" w:type="pct"/>
          </w:tcPr>
          <w:p w14:paraId="3D0117AF" w14:textId="77777777" w:rsidR="00591043" w:rsidRPr="00DC5568" w:rsidRDefault="00591043" w:rsidP="00591043">
            <w:pPr>
              <w:spacing w:before="48" w:after="48" w:line="288" w:lineRule="auto"/>
            </w:pPr>
            <w:r w:rsidRPr="00DC5568">
              <w:t xml:space="preserve">Intended outcomes </w:t>
            </w:r>
          </w:p>
        </w:tc>
        <w:tc>
          <w:tcPr>
            <w:tcW w:w="1667" w:type="pct"/>
          </w:tcPr>
          <w:p w14:paraId="6DF6626C" w14:textId="77777777" w:rsidR="00591043" w:rsidRPr="00DC5568" w:rsidRDefault="00591043" w:rsidP="00591043">
            <w:pPr>
              <w:spacing w:before="48" w:after="48" w:line="288" w:lineRule="auto"/>
            </w:pPr>
            <w:r w:rsidRPr="00DC5568">
              <w:t>Responsibility</w:t>
            </w:r>
          </w:p>
        </w:tc>
      </w:tr>
      <w:tr w:rsidR="00A90B29" w:rsidRPr="00DC5568" w14:paraId="0C6F9396" w14:textId="77777777" w:rsidTr="003D2348">
        <w:tc>
          <w:tcPr>
            <w:tcW w:w="1666" w:type="pct"/>
          </w:tcPr>
          <w:p w14:paraId="6BF1D2F8" w14:textId="502BBE53" w:rsidR="00A90B29" w:rsidRPr="00DC5568" w:rsidRDefault="00A90B29" w:rsidP="00A90B29">
            <w:pPr>
              <w:pStyle w:val="HangingIndent"/>
            </w:pPr>
            <w:r w:rsidRPr="00DC5568">
              <w:t>1.6</w:t>
            </w:r>
            <w:r>
              <w:tab/>
            </w:r>
            <w:r w:rsidRPr="00DC5568">
              <w:t>Adapt student employment models for all health and aged care settings.</w:t>
            </w:r>
          </w:p>
          <w:p w14:paraId="373751FB" w14:textId="77777777" w:rsidR="00A90B29" w:rsidRPr="00DC5568" w:rsidRDefault="00A90B29" w:rsidP="00591043">
            <w:pPr>
              <w:spacing w:before="200" w:after="200" w:line="288" w:lineRule="auto"/>
            </w:pPr>
          </w:p>
        </w:tc>
        <w:tc>
          <w:tcPr>
            <w:tcW w:w="1667" w:type="pct"/>
          </w:tcPr>
          <w:p w14:paraId="6050D496" w14:textId="77777777" w:rsidR="00A90B29" w:rsidRPr="00A90B29" w:rsidRDefault="00A90B29" w:rsidP="00A90B29">
            <w:r w:rsidRPr="00A90B29">
              <w:t>Nursing students have flexible and supportive undergraduate working opportunities that enhance their skills and confidence.</w:t>
            </w:r>
          </w:p>
        </w:tc>
        <w:tc>
          <w:tcPr>
            <w:tcW w:w="1667" w:type="pct"/>
          </w:tcPr>
          <w:p w14:paraId="17F8667F" w14:textId="77777777" w:rsidR="00A90B29" w:rsidRPr="00A90B29" w:rsidRDefault="00A90B29" w:rsidP="00A90B29">
            <w:r w:rsidRPr="00A90B29">
              <w:t>Employers</w:t>
            </w:r>
          </w:p>
          <w:p w14:paraId="2F80CE1C" w14:textId="77777777" w:rsidR="00A90B29" w:rsidRPr="00A90B29" w:rsidRDefault="00A90B29" w:rsidP="00A90B29">
            <w:r w:rsidRPr="00A90B29">
              <w:t>Governments</w:t>
            </w:r>
          </w:p>
          <w:p w14:paraId="7B6FD5F2" w14:textId="77777777" w:rsidR="00A90B29" w:rsidRPr="00A90B29" w:rsidRDefault="00A90B29" w:rsidP="00A90B29"/>
        </w:tc>
      </w:tr>
    </w:tbl>
    <w:p w14:paraId="2F7D9FE9" w14:textId="77777777" w:rsidR="00591043" w:rsidRPr="00DC5568" w:rsidRDefault="00591043" w:rsidP="00A90B29">
      <w:pPr>
        <w:pStyle w:val="Heading2"/>
      </w:pPr>
      <w:bookmarkStart w:id="63" w:name="_Toc236309247"/>
      <w:bookmarkStart w:id="64" w:name="_Toc236399756"/>
      <w:r w:rsidRPr="00DC5568">
        <w:t>Regulation</w:t>
      </w:r>
      <w:bookmarkEnd w:id="63"/>
      <w:bookmarkEnd w:id="64"/>
    </w:p>
    <w:p w14:paraId="016C6CE3" w14:textId="77777777" w:rsidR="00591043" w:rsidRPr="00DC5568" w:rsidRDefault="00591043" w:rsidP="00AD1B5B">
      <w:pPr>
        <w:pStyle w:val="Heading3"/>
      </w:pPr>
      <w:r w:rsidRPr="00DC5568">
        <w:t>Reason for action</w:t>
      </w:r>
    </w:p>
    <w:p w14:paraId="3799FFA1" w14:textId="77777777" w:rsidR="00591043" w:rsidRPr="00DC5568" w:rsidRDefault="00591043" w:rsidP="00591043">
      <w:pPr>
        <w:pStyle w:val="BodyText"/>
      </w:pPr>
      <w:r w:rsidRPr="00DC5568">
        <w:t xml:space="preserve">The health and aged care system is highly regulated, whether it be assessing the use of new artificial intelligence technologies, optimising safety and quality of digital and clinical systems or ensuring that Australia’s nurses are suitably trained, qualified and safe to practice. </w:t>
      </w:r>
    </w:p>
    <w:p w14:paraId="29F0A20D" w14:textId="60A40FE9" w:rsidR="00591043" w:rsidRPr="00DC5568" w:rsidRDefault="00591043" w:rsidP="00591043">
      <w:pPr>
        <w:pStyle w:val="BodyText"/>
      </w:pPr>
      <w:r w:rsidRPr="00DC5568">
        <w:t xml:space="preserve">Contemporary, comprehensive and transparent regulation provides for public safety and accountability and informs policy development, direction and reform. </w:t>
      </w:r>
    </w:p>
    <w:tbl>
      <w:tblPr>
        <w:tblStyle w:val="TableGrid"/>
        <w:tblW w:w="5000" w:type="pct"/>
        <w:tblLook w:val="0420" w:firstRow="1" w:lastRow="0" w:firstColumn="0" w:lastColumn="0" w:noHBand="0" w:noVBand="1"/>
      </w:tblPr>
      <w:tblGrid>
        <w:gridCol w:w="3005"/>
        <w:gridCol w:w="3006"/>
        <w:gridCol w:w="3006"/>
      </w:tblGrid>
      <w:tr w:rsidR="00591043" w:rsidRPr="00DC5568" w14:paraId="7BC27B8B"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F859482" w14:textId="77777777" w:rsidR="00591043" w:rsidRPr="00DC5568" w:rsidRDefault="00591043" w:rsidP="00591043">
            <w:pPr>
              <w:spacing w:before="48" w:after="48" w:line="288" w:lineRule="auto"/>
            </w:pPr>
            <w:r w:rsidRPr="00DC5568">
              <w:t>Action</w:t>
            </w:r>
          </w:p>
        </w:tc>
        <w:tc>
          <w:tcPr>
            <w:tcW w:w="1667" w:type="pct"/>
          </w:tcPr>
          <w:p w14:paraId="129EF328" w14:textId="77777777" w:rsidR="00591043" w:rsidRPr="00DC5568" w:rsidRDefault="00591043" w:rsidP="00591043">
            <w:pPr>
              <w:spacing w:before="48" w:after="48" w:line="288" w:lineRule="auto"/>
            </w:pPr>
            <w:r w:rsidRPr="00DC5568">
              <w:t xml:space="preserve">Intended outcomes </w:t>
            </w:r>
          </w:p>
        </w:tc>
        <w:tc>
          <w:tcPr>
            <w:tcW w:w="1667" w:type="pct"/>
          </w:tcPr>
          <w:p w14:paraId="76E2F449" w14:textId="77777777" w:rsidR="00591043" w:rsidRPr="00DC5568" w:rsidRDefault="00591043" w:rsidP="00591043">
            <w:pPr>
              <w:spacing w:before="48" w:after="48" w:line="288" w:lineRule="auto"/>
            </w:pPr>
            <w:r w:rsidRPr="00DC5568">
              <w:t>Responsibility</w:t>
            </w:r>
          </w:p>
        </w:tc>
      </w:tr>
      <w:tr w:rsidR="00A90B29" w:rsidRPr="00DC5568" w14:paraId="56714ECF" w14:textId="77777777" w:rsidTr="003D2348">
        <w:tc>
          <w:tcPr>
            <w:tcW w:w="1666" w:type="pct"/>
          </w:tcPr>
          <w:p w14:paraId="0006CBD1" w14:textId="52B85CE1" w:rsidR="00A90B29" w:rsidRPr="00DC5568" w:rsidRDefault="00A90B29" w:rsidP="00A90B29">
            <w:pPr>
              <w:pStyle w:val="HangingIndent"/>
            </w:pPr>
            <w:r w:rsidRPr="00DC5568">
              <w:t>1.7</w:t>
            </w:r>
            <w:r>
              <w:tab/>
            </w:r>
            <w:r w:rsidRPr="00DC5568">
              <w:t>Increase transparency and improve timeliness and currency of regulatory processes and outcomes.</w:t>
            </w:r>
          </w:p>
        </w:tc>
        <w:tc>
          <w:tcPr>
            <w:tcW w:w="1667" w:type="pct"/>
          </w:tcPr>
          <w:p w14:paraId="1FC5B0EC" w14:textId="77777777" w:rsidR="00A90B29" w:rsidRPr="00A90B29" w:rsidRDefault="00A90B29" w:rsidP="00A90B29">
            <w:r w:rsidRPr="00A90B29">
              <w:t>Regulatory processes and outcomes are timely, visible and support quality and safety in nursing education and professional practice.</w:t>
            </w:r>
          </w:p>
        </w:tc>
        <w:tc>
          <w:tcPr>
            <w:tcW w:w="1667" w:type="pct"/>
          </w:tcPr>
          <w:p w14:paraId="7E2116B6" w14:textId="77777777" w:rsidR="00A90B29" w:rsidRPr="00A90B29" w:rsidRDefault="00A90B29" w:rsidP="00A90B29">
            <w:r w:rsidRPr="00A90B29">
              <w:t>Regulators</w:t>
            </w:r>
          </w:p>
        </w:tc>
      </w:tr>
    </w:tbl>
    <w:p w14:paraId="53E93D6E" w14:textId="77777777" w:rsidR="00591043" w:rsidRPr="00DC5568" w:rsidRDefault="00591043" w:rsidP="00A90B29">
      <w:pPr>
        <w:pStyle w:val="Heading2"/>
      </w:pPr>
      <w:bookmarkStart w:id="65" w:name="_Toc236309248"/>
      <w:bookmarkStart w:id="66" w:name="_Toc236399757"/>
      <w:r w:rsidRPr="00DC5568">
        <w:lastRenderedPageBreak/>
        <w:t>Post graduate education</w:t>
      </w:r>
      <w:bookmarkEnd w:id="65"/>
      <w:bookmarkEnd w:id="66"/>
    </w:p>
    <w:p w14:paraId="35E683D2" w14:textId="77777777" w:rsidR="00591043" w:rsidRPr="00DC5568" w:rsidRDefault="00591043" w:rsidP="00AD1B5B">
      <w:pPr>
        <w:pStyle w:val="Heading3"/>
      </w:pPr>
      <w:r w:rsidRPr="00DC5568">
        <w:t>Reason for action</w:t>
      </w:r>
    </w:p>
    <w:p w14:paraId="675BE77A" w14:textId="77777777" w:rsidR="00591043" w:rsidRPr="00DC5568" w:rsidRDefault="00591043" w:rsidP="00A90B29">
      <w:pPr>
        <w:pStyle w:val="BodyText"/>
        <w:keepNext/>
      </w:pPr>
      <w:r w:rsidRPr="00DC5568">
        <w:t xml:space="preserve">Education providers and accreditation authorities have an important role in ensuring undergraduate and post graduate education programs meet the needs of the community, align with service requirements and support innovation. </w:t>
      </w:r>
    </w:p>
    <w:p w14:paraId="4BCC2B81" w14:textId="59EF1F68" w:rsidR="00591043" w:rsidRPr="00DC5568" w:rsidRDefault="00591043" w:rsidP="00591043">
      <w:pPr>
        <w:pStyle w:val="BodyText"/>
      </w:pPr>
      <w:r w:rsidRPr="00DC5568">
        <w:t>A nationally consistent postgraduate education and career progression process may increase the uptake of postgraduate education and better articulate pathways to progress. This will help remove barriers to transfer across practise settings and support retention of nurses.</w:t>
      </w:r>
      <w:r w:rsidR="00C76E76">
        <w:t xml:space="preserve"> </w:t>
      </w:r>
    </w:p>
    <w:p w14:paraId="72ADDB30" w14:textId="77777777" w:rsidR="00591043" w:rsidRPr="00DC5568" w:rsidRDefault="00591043" w:rsidP="00591043">
      <w:pPr>
        <w:pStyle w:val="BodyText"/>
      </w:pPr>
      <w:r w:rsidRPr="00DC5568">
        <w:t>Increasing quality and alignment will also support the continued development of professional skills and capability and support nurses to work to their optimum scope of practice.</w:t>
      </w:r>
    </w:p>
    <w:tbl>
      <w:tblPr>
        <w:tblStyle w:val="TableGrid"/>
        <w:tblW w:w="5000" w:type="pct"/>
        <w:tblLook w:val="0420" w:firstRow="1" w:lastRow="0" w:firstColumn="0" w:lastColumn="0" w:noHBand="0" w:noVBand="1"/>
      </w:tblPr>
      <w:tblGrid>
        <w:gridCol w:w="3005"/>
        <w:gridCol w:w="3006"/>
        <w:gridCol w:w="3006"/>
      </w:tblGrid>
      <w:tr w:rsidR="00591043" w:rsidRPr="00DC5568" w14:paraId="2420ECD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12BEACC9" w14:textId="77777777" w:rsidR="00591043" w:rsidRPr="00DC5568" w:rsidRDefault="00591043" w:rsidP="00591043">
            <w:pPr>
              <w:spacing w:before="48" w:after="48" w:line="288" w:lineRule="auto"/>
            </w:pPr>
            <w:r w:rsidRPr="00DC5568">
              <w:t>Action</w:t>
            </w:r>
          </w:p>
        </w:tc>
        <w:tc>
          <w:tcPr>
            <w:tcW w:w="1667" w:type="pct"/>
          </w:tcPr>
          <w:p w14:paraId="37F767AC" w14:textId="77777777" w:rsidR="00591043" w:rsidRPr="00DC5568" w:rsidRDefault="00591043" w:rsidP="00591043">
            <w:pPr>
              <w:spacing w:before="48" w:after="48" w:line="288" w:lineRule="auto"/>
            </w:pPr>
            <w:r w:rsidRPr="00DC5568">
              <w:t xml:space="preserve">Intended outcomes </w:t>
            </w:r>
          </w:p>
        </w:tc>
        <w:tc>
          <w:tcPr>
            <w:tcW w:w="1667" w:type="pct"/>
          </w:tcPr>
          <w:p w14:paraId="2951045B" w14:textId="77777777" w:rsidR="00591043" w:rsidRPr="00DC5568" w:rsidRDefault="00591043" w:rsidP="00591043">
            <w:pPr>
              <w:spacing w:before="48" w:after="48" w:line="288" w:lineRule="auto"/>
            </w:pPr>
            <w:r w:rsidRPr="00DC5568">
              <w:t>Responsibility</w:t>
            </w:r>
          </w:p>
        </w:tc>
      </w:tr>
      <w:tr w:rsidR="00A90B29" w:rsidRPr="00DC5568" w14:paraId="75A38ABA" w14:textId="77777777" w:rsidTr="003D2348">
        <w:tc>
          <w:tcPr>
            <w:tcW w:w="1666" w:type="pct"/>
          </w:tcPr>
          <w:p w14:paraId="7C4B295C" w14:textId="47D032B7" w:rsidR="00A90B29" w:rsidRPr="00DC5568" w:rsidRDefault="00A90B29" w:rsidP="00A90B29">
            <w:pPr>
              <w:pStyle w:val="HangingIndent"/>
            </w:pPr>
            <w:r w:rsidRPr="00DC5568">
              <w:t>1.8</w:t>
            </w:r>
            <w:r>
              <w:tab/>
            </w:r>
            <w:r w:rsidRPr="00DC5568">
              <w:t>Develop and implement a nationally consistent accreditation process for post graduate nursing education.</w:t>
            </w:r>
          </w:p>
          <w:p w14:paraId="6A7EB524" w14:textId="77777777" w:rsidR="00A90B29" w:rsidRPr="00DC5568" w:rsidRDefault="00A90B29" w:rsidP="00A90B29">
            <w:pPr>
              <w:pStyle w:val="HangingIndent"/>
            </w:pPr>
          </w:p>
        </w:tc>
        <w:tc>
          <w:tcPr>
            <w:tcW w:w="1667" w:type="pct"/>
          </w:tcPr>
          <w:p w14:paraId="19F816B3" w14:textId="77777777" w:rsidR="00A90B29" w:rsidRPr="00A90B29" w:rsidRDefault="00A90B29" w:rsidP="00A90B29">
            <w:r w:rsidRPr="00A90B29">
              <w:t>Post graduate nursing qualifications are accredited and recognised, contributing to career progression and retention.</w:t>
            </w:r>
          </w:p>
        </w:tc>
        <w:tc>
          <w:tcPr>
            <w:tcW w:w="1667" w:type="pct"/>
          </w:tcPr>
          <w:p w14:paraId="5D8B84BA" w14:textId="77777777" w:rsidR="00A90B29" w:rsidRPr="00A90B29" w:rsidRDefault="00A90B29" w:rsidP="00A90B29">
            <w:r w:rsidRPr="00A90B29">
              <w:t>Education providers</w:t>
            </w:r>
          </w:p>
          <w:p w14:paraId="4C6FBA26" w14:textId="77777777" w:rsidR="00A90B29" w:rsidRPr="00A90B29" w:rsidRDefault="00A90B29" w:rsidP="00A90B29">
            <w:r w:rsidRPr="00A90B29">
              <w:t>Regulators</w:t>
            </w:r>
          </w:p>
          <w:p w14:paraId="754510D4" w14:textId="77777777" w:rsidR="00A90B29" w:rsidRPr="00A90B29" w:rsidRDefault="00A90B29" w:rsidP="00A90B29"/>
        </w:tc>
      </w:tr>
    </w:tbl>
    <w:p w14:paraId="16B80519" w14:textId="77777777" w:rsidR="00591043" w:rsidRDefault="00591043" w:rsidP="00AD1B5B">
      <w:pPr>
        <w:pStyle w:val="Heading1"/>
      </w:pPr>
      <w:bookmarkStart w:id="67" w:name="_Toc183432208"/>
      <w:bookmarkStart w:id="68" w:name="_Toc236309249"/>
      <w:bookmarkStart w:id="69" w:name="_Toc236399758"/>
      <w:r w:rsidRPr="00DC5568">
        <w:lastRenderedPageBreak/>
        <w:t>Priority 2: Enabling nursing innovation</w:t>
      </w:r>
      <w:bookmarkEnd w:id="67"/>
      <w:bookmarkEnd w:id="68"/>
      <w:bookmarkEnd w:id="69"/>
    </w:p>
    <w:p w14:paraId="4A612867" w14:textId="77777777" w:rsidR="00A90B29" w:rsidRPr="00A90B29" w:rsidRDefault="00A90B29" w:rsidP="00A90B29">
      <w:pPr>
        <w:pStyle w:val="Heading2"/>
      </w:pPr>
      <w:bookmarkStart w:id="70" w:name="_Toc236309250"/>
      <w:bookmarkStart w:id="71" w:name="_Toc236399759"/>
      <w:r>
        <w:t>Objective</w:t>
      </w:r>
      <w:bookmarkEnd w:id="70"/>
      <w:bookmarkEnd w:id="71"/>
    </w:p>
    <w:p w14:paraId="0C57C38C" w14:textId="32A7A623" w:rsidR="00A90B29" w:rsidRPr="00A90B29" w:rsidRDefault="00A90B29" w:rsidP="00A90B29">
      <w:pPr>
        <w:pStyle w:val="ListBullet"/>
      </w:pPr>
      <w:r w:rsidRPr="00A90B29">
        <w:t>Nurses are enabled to work in innovative ways to meet the evolving needs of the community.</w:t>
      </w:r>
    </w:p>
    <w:p w14:paraId="1DF59A51" w14:textId="047172E7" w:rsidR="00A90B29" w:rsidRPr="00A90B29" w:rsidRDefault="00A90B29" w:rsidP="00A90B29">
      <w:pPr>
        <w:pStyle w:val="ListBullet"/>
      </w:pPr>
      <w:r w:rsidRPr="00A90B29">
        <w:t>Nurses work to their optimum scope of practice, improving access to and experience of person-centred care for consumers.</w:t>
      </w:r>
    </w:p>
    <w:p w14:paraId="722DE1B3" w14:textId="4B94FA20" w:rsidR="00A90B29" w:rsidRPr="00A90B29" w:rsidRDefault="00A90B29" w:rsidP="00A90B29">
      <w:pPr>
        <w:pStyle w:val="ListBullet"/>
      </w:pPr>
      <w:r w:rsidRPr="00A90B29">
        <w:t>Nurses engage in decision-making, policy, research and innovation at all levels and in all contexts.</w:t>
      </w:r>
    </w:p>
    <w:p w14:paraId="65388CC8" w14:textId="68F4A8E2" w:rsidR="00A90B29" w:rsidRPr="00A90B29" w:rsidRDefault="00A90B29" w:rsidP="00A90B29">
      <w:pPr>
        <w:pStyle w:val="ListBullet"/>
      </w:pPr>
      <w:r w:rsidRPr="00A90B29">
        <w:t xml:space="preserve">Nurses </w:t>
      </w:r>
      <w:proofErr w:type="gramStart"/>
      <w:r w:rsidRPr="00A90B29">
        <w:t>lead</w:t>
      </w:r>
      <w:proofErr w:type="gramEnd"/>
      <w:r w:rsidRPr="00A90B29">
        <w:t>, influence and help shape the health and aged care system and consumer outcomes.</w:t>
      </w:r>
    </w:p>
    <w:p w14:paraId="457DBF21" w14:textId="77777777" w:rsidR="00A90B29" w:rsidRDefault="00A90B29" w:rsidP="00A90B29">
      <w:pPr>
        <w:pStyle w:val="Heading2"/>
      </w:pPr>
      <w:bookmarkStart w:id="72" w:name="_Toc236309251"/>
      <w:bookmarkStart w:id="73" w:name="_Toc236399760"/>
      <w:r>
        <w:t>Rationale</w:t>
      </w:r>
      <w:bookmarkEnd w:id="72"/>
      <w:bookmarkEnd w:id="73"/>
    </w:p>
    <w:p w14:paraId="7055AC90" w14:textId="041A331A" w:rsidR="00A90B29" w:rsidRPr="00A90B29" w:rsidRDefault="00A90B29" w:rsidP="00A90B29">
      <w:pPr>
        <w:pStyle w:val="BodyText"/>
      </w:pPr>
      <w:r>
        <w:t>Across the health and aged care system, nurses are continually advancing practices that enhance consumer health and wellbeing outcomes. The health and aged care system must acknowledge nurses as leaders in research and innovation, and enable nurses to work to their full potential, including to their optimum scope of practice. This will create a more adaptable and sustainable health and aged care system, retain nurses and improve consumer outcomes.</w:t>
      </w:r>
    </w:p>
    <w:p w14:paraId="14E9D2D2" w14:textId="77777777" w:rsidR="00591043" w:rsidRPr="00DC5568" w:rsidRDefault="00591043" w:rsidP="00AD1B5B">
      <w:pPr>
        <w:pStyle w:val="Heading2"/>
        <w:pageBreakBefore/>
      </w:pPr>
      <w:bookmarkStart w:id="74" w:name="_Toc236309252"/>
      <w:bookmarkStart w:id="75" w:name="_Toc236399761"/>
      <w:r w:rsidRPr="00DC5568">
        <w:lastRenderedPageBreak/>
        <w:t>Emerging technologies</w:t>
      </w:r>
      <w:bookmarkEnd w:id="74"/>
      <w:bookmarkEnd w:id="75"/>
    </w:p>
    <w:p w14:paraId="694975EA" w14:textId="77777777" w:rsidR="00591043" w:rsidRPr="00DC5568" w:rsidRDefault="00591043" w:rsidP="00AD1B5B">
      <w:pPr>
        <w:pStyle w:val="Heading3"/>
      </w:pPr>
      <w:r w:rsidRPr="00DC5568">
        <w:t>Reason for action</w:t>
      </w:r>
    </w:p>
    <w:p w14:paraId="423D719E" w14:textId="77777777" w:rsidR="00591043" w:rsidRPr="00DC5568" w:rsidRDefault="00591043" w:rsidP="00591043">
      <w:pPr>
        <w:pStyle w:val="BodyText"/>
      </w:pPr>
      <w:r w:rsidRPr="00DC5568">
        <w:t>Technological advancements and consumer preferences are driving changes in how and where care is delivered, as well as expanding nurses’ roles and responsibilities and providing new opportunities for research and education.</w:t>
      </w:r>
      <w:r w:rsidRPr="00C76E76">
        <w:rPr>
          <w:rStyle w:val="EndnoteReference"/>
        </w:rPr>
        <w:endnoteReference w:id="42"/>
      </w:r>
      <w:r w:rsidRPr="00DC5568">
        <w:t xml:space="preserve"> </w:t>
      </w:r>
    </w:p>
    <w:p w14:paraId="4A3C8B8C" w14:textId="77777777" w:rsidR="00591043" w:rsidRPr="00DC5568" w:rsidRDefault="00591043" w:rsidP="00591043">
      <w:pPr>
        <w:pStyle w:val="BodyText"/>
      </w:pPr>
      <w:r w:rsidRPr="00DC5568">
        <w:t>The adoption of digital initiatives, including artificial intelligence, can address challenges and assist nurses to work to their optimum scope of practice and impact, having a positive effect on consumer health outcomes. Other technologies, such as genomics, have the potential to revolutionise healthcare by enabling more precise diagnoses, targeted treatments, and the prediction of disease susceptibility.</w:t>
      </w:r>
      <w:r w:rsidRPr="00C76E76">
        <w:rPr>
          <w:rStyle w:val="EndnoteReference"/>
        </w:rPr>
        <w:endnoteReference w:id="43"/>
      </w:r>
      <w:r w:rsidRPr="00DC5568">
        <w:t xml:space="preserve"> Translating genomic evidence into nursing practice creates a genuine person-centred approach that delivers high quality personalised care to individuals.</w:t>
      </w:r>
      <w:r w:rsidRPr="00C76E76">
        <w:rPr>
          <w:rStyle w:val="EndnoteReference"/>
        </w:rPr>
        <w:endnoteReference w:id="44"/>
      </w:r>
    </w:p>
    <w:p w14:paraId="0FC248D6" w14:textId="77777777" w:rsidR="00591043" w:rsidRPr="00DC5568" w:rsidRDefault="00591043" w:rsidP="00591043">
      <w:pPr>
        <w:pStyle w:val="BodyText"/>
      </w:pPr>
      <w:r w:rsidRPr="00DC5568">
        <w:t>Effective use of technology will enhance, not replace, the essential human elements of nursing care and relationships. Consistent and ongoing investment and training will be needed to equip all nurses with the knowledge and skills to ethically and effectively use digital technologies in their practice. Support for nurse-led research in designing, implementing, and evaluating emerging technologies is critical. Nurse co-design will improve usability and effectiveness of these technologies in providing care.</w:t>
      </w:r>
    </w:p>
    <w:tbl>
      <w:tblPr>
        <w:tblStyle w:val="TableGrid"/>
        <w:tblW w:w="5000" w:type="pct"/>
        <w:tblLook w:val="0420" w:firstRow="1" w:lastRow="0" w:firstColumn="0" w:lastColumn="0" w:noHBand="0" w:noVBand="1"/>
      </w:tblPr>
      <w:tblGrid>
        <w:gridCol w:w="3005"/>
        <w:gridCol w:w="3006"/>
        <w:gridCol w:w="3006"/>
      </w:tblGrid>
      <w:tr w:rsidR="00591043" w:rsidRPr="00DC5568" w14:paraId="046DAC56"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2B70FE74" w14:textId="77777777" w:rsidR="00591043" w:rsidRPr="00DC5568" w:rsidRDefault="00591043" w:rsidP="00591043">
            <w:pPr>
              <w:spacing w:before="48" w:after="48" w:line="288" w:lineRule="auto"/>
            </w:pPr>
            <w:r w:rsidRPr="00DC5568">
              <w:t>Action</w:t>
            </w:r>
          </w:p>
        </w:tc>
        <w:tc>
          <w:tcPr>
            <w:tcW w:w="1667" w:type="pct"/>
          </w:tcPr>
          <w:p w14:paraId="28DE7146" w14:textId="77777777" w:rsidR="00591043" w:rsidRPr="00DC5568" w:rsidRDefault="00591043" w:rsidP="00591043">
            <w:pPr>
              <w:spacing w:before="48" w:after="48" w:line="288" w:lineRule="auto"/>
            </w:pPr>
            <w:r w:rsidRPr="00DC5568">
              <w:t xml:space="preserve">Intended outcomes </w:t>
            </w:r>
          </w:p>
        </w:tc>
        <w:tc>
          <w:tcPr>
            <w:tcW w:w="1667" w:type="pct"/>
          </w:tcPr>
          <w:p w14:paraId="78AC48B1" w14:textId="77777777" w:rsidR="00591043" w:rsidRPr="00DC5568" w:rsidRDefault="00591043" w:rsidP="00591043">
            <w:pPr>
              <w:spacing w:before="48" w:after="48" w:line="288" w:lineRule="auto"/>
            </w:pPr>
            <w:r w:rsidRPr="00DC5568">
              <w:t>Responsibility</w:t>
            </w:r>
          </w:p>
        </w:tc>
      </w:tr>
      <w:tr w:rsidR="00A90B29" w:rsidRPr="00DC5568" w14:paraId="0AD519FF" w14:textId="77777777" w:rsidTr="003D2348">
        <w:tc>
          <w:tcPr>
            <w:tcW w:w="1666" w:type="pct"/>
          </w:tcPr>
          <w:p w14:paraId="79E12A2B" w14:textId="08E8C121" w:rsidR="00A90B29" w:rsidRPr="00DC5568" w:rsidRDefault="00A90B29" w:rsidP="00A13555">
            <w:pPr>
              <w:pStyle w:val="HangingIndent"/>
            </w:pPr>
            <w:r w:rsidRPr="00DC5568">
              <w:t>2.1</w:t>
            </w:r>
            <w:r>
              <w:tab/>
            </w:r>
            <w:r w:rsidRPr="00DC5568">
              <w:t>Prepare and engage the nursing workforce to continue to drive the innovation and effective use of emerging technologies.</w:t>
            </w:r>
          </w:p>
        </w:tc>
        <w:tc>
          <w:tcPr>
            <w:tcW w:w="1667" w:type="pct"/>
          </w:tcPr>
          <w:p w14:paraId="4E1BA776" w14:textId="77777777" w:rsidR="00A90B29" w:rsidRPr="00A90B29" w:rsidRDefault="00A90B29" w:rsidP="00A90B29">
            <w:r w:rsidRPr="00A90B29">
              <w:t>The nursing workforce leads and engages with research, innovation and the use of digital technologies and advocates for improvement and advancement in current technologies.</w:t>
            </w:r>
          </w:p>
          <w:p w14:paraId="15F443BE" w14:textId="77777777" w:rsidR="00A90B29" w:rsidRPr="00A90B29" w:rsidRDefault="00A90B29" w:rsidP="00A90B29">
            <w:r w:rsidRPr="00A90B29">
              <w:t xml:space="preserve">Consumers experience contemporary evidence-based nursing practice which evolves to meet their needs. </w:t>
            </w:r>
          </w:p>
        </w:tc>
        <w:tc>
          <w:tcPr>
            <w:tcW w:w="1667" w:type="pct"/>
          </w:tcPr>
          <w:p w14:paraId="56D79CC0" w14:textId="77777777" w:rsidR="00A90B29" w:rsidRPr="00A90B29" w:rsidRDefault="00A90B29" w:rsidP="00A90B29">
            <w:r w:rsidRPr="00A90B29">
              <w:t xml:space="preserve">Consumer and carer organisations </w:t>
            </w:r>
          </w:p>
          <w:p w14:paraId="28A54B97" w14:textId="77777777" w:rsidR="00A90B29" w:rsidRPr="00A90B29" w:rsidRDefault="00A90B29" w:rsidP="00A90B29">
            <w:r w:rsidRPr="00A90B29">
              <w:t>Education providers/registered training organisations</w:t>
            </w:r>
          </w:p>
          <w:p w14:paraId="6851B186" w14:textId="77777777" w:rsidR="00A90B29" w:rsidRPr="00A90B29" w:rsidRDefault="00A90B29" w:rsidP="00A90B29">
            <w:r w:rsidRPr="00A90B29">
              <w:t>Employers</w:t>
            </w:r>
          </w:p>
          <w:p w14:paraId="2114616F" w14:textId="77777777" w:rsidR="00A90B29" w:rsidRPr="00A90B29" w:rsidRDefault="00A90B29" w:rsidP="00A90B29">
            <w:r w:rsidRPr="00A90B29">
              <w:t>Governments</w:t>
            </w:r>
          </w:p>
          <w:p w14:paraId="25EAAD8D" w14:textId="77777777" w:rsidR="00A90B29" w:rsidRPr="00A90B29" w:rsidRDefault="00A90B29" w:rsidP="00A90B29">
            <w:r w:rsidRPr="00A90B29">
              <w:t xml:space="preserve">Nursing profession/workforce </w:t>
            </w:r>
          </w:p>
          <w:p w14:paraId="3710C5FA" w14:textId="77777777" w:rsidR="00A90B29" w:rsidRPr="00A90B29" w:rsidRDefault="00A90B29" w:rsidP="00A90B29">
            <w:r w:rsidRPr="00A90B29">
              <w:t>Professional and industry bodies</w:t>
            </w:r>
          </w:p>
          <w:p w14:paraId="1987D3CD" w14:textId="77777777" w:rsidR="00A90B29" w:rsidRPr="00A90B29" w:rsidRDefault="00A90B29" w:rsidP="00A90B29">
            <w:r w:rsidRPr="00A90B29">
              <w:t>Regulators</w:t>
            </w:r>
          </w:p>
        </w:tc>
      </w:tr>
    </w:tbl>
    <w:p w14:paraId="2C52F9CB" w14:textId="77777777" w:rsidR="00591043" w:rsidRPr="00DC5568" w:rsidRDefault="00591043" w:rsidP="008B39DB">
      <w:pPr>
        <w:pStyle w:val="Heading2"/>
        <w:pageBreakBefore/>
      </w:pPr>
      <w:bookmarkStart w:id="76" w:name="_Toc236309253"/>
      <w:bookmarkStart w:id="77" w:name="_Toc236399762"/>
      <w:r w:rsidRPr="00DC5568">
        <w:lastRenderedPageBreak/>
        <w:t>Funding models</w:t>
      </w:r>
      <w:bookmarkEnd w:id="76"/>
      <w:bookmarkEnd w:id="77"/>
    </w:p>
    <w:p w14:paraId="0645B665" w14:textId="77777777" w:rsidR="00591043" w:rsidRPr="00DC5568" w:rsidRDefault="00591043" w:rsidP="00AD1B5B">
      <w:pPr>
        <w:pStyle w:val="Heading3"/>
      </w:pPr>
      <w:r w:rsidRPr="00DC5568">
        <w:t>Reason for action</w:t>
      </w:r>
    </w:p>
    <w:p w14:paraId="3B72E568" w14:textId="77777777" w:rsidR="00591043" w:rsidRPr="00DC5568" w:rsidRDefault="00591043" w:rsidP="00591043">
      <w:pPr>
        <w:pStyle w:val="BodyText"/>
      </w:pPr>
      <w:r w:rsidRPr="00DC5568">
        <w:t>Current funding mechanisms do not provide the flexibility to adapt to changing healthcare needs and embrace innovation.</w:t>
      </w:r>
      <w:r w:rsidRPr="00DC5568" w:rsidDel="0053664D">
        <w:t xml:space="preserve"> </w:t>
      </w:r>
      <w:r w:rsidRPr="00DC5568">
        <w:t>Traditional funding approaches may lead to nurses being relegated to task-based roles rather than fully engaging in care planning and decision-making processes. A key enabler of increasing nurse-led models of care is through funding approaches which provide flexibility and focus on quality and delivery of care, when and where it is needed.</w:t>
      </w:r>
    </w:p>
    <w:p w14:paraId="41D7A0C5" w14:textId="77777777" w:rsidR="00591043" w:rsidRPr="00DC5568" w:rsidRDefault="00591043" w:rsidP="00591043">
      <w:pPr>
        <w:pStyle w:val="BodyText"/>
      </w:pPr>
      <w:r w:rsidRPr="00DC5568">
        <w:t xml:space="preserve">The need for flexible funding arrangements is reiterated in the Final Report of the </w:t>
      </w:r>
      <w:r w:rsidRPr="00DC5568">
        <w:rPr>
          <w:i/>
        </w:rPr>
        <w:t>Unleashing the Potential of our Health Workforce – Scope of Practice Review</w:t>
      </w:r>
      <w:r w:rsidRPr="00DC5568">
        <w:t xml:space="preserve"> which states they are crucial in supporting health professionals to deliver multidisciplinary care and work to their full scope of practice.</w:t>
      </w:r>
      <w:r w:rsidRPr="00C76E76">
        <w:rPr>
          <w:rStyle w:val="EndnoteReference"/>
        </w:rPr>
        <w:endnoteReference w:id="45"/>
      </w:r>
      <w:r w:rsidRPr="00DC5568">
        <w:t xml:space="preserve"> </w:t>
      </w:r>
    </w:p>
    <w:tbl>
      <w:tblPr>
        <w:tblStyle w:val="TableGrid"/>
        <w:tblW w:w="5000" w:type="pct"/>
        <w:tblLook w:val="0420" w:firstRow="1" w:lastRow="0" w:firstColumn="0" w:lastColumn="0" w:noHBand="0" w:noVBand="1"/>
      </w:tblPr>
      <w:tblGrid>
        <w:gridCol w:w="3005"/>
        <w:gridCol w:w="3006"/>
        <w:gridCol w:w="3006"/>
      </w:tblGrid>
      <w:tr w:rsidR="00591043" w:rsidRPr="00DC5568" w14:paraId="7BA0183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83F852E" w14:textId="77777777" w:rsidR="00591043" w:rsidRPr="00DC5568" w:rsidRDefault="00591043" w:rsidP="00591043">
            <w:pPr>
              <w:spacing w:before="48" w:after="48" w:line="288" w:lineRule="auto"/>
            </w:pPr>
            <w:r w:rsidRPr="00DC5568">
              <w:t>Action</w:t>
            </w:r>
          </w:p>
        </w:tc>
        <w:tc>
          <w:tcPr>
            <w:tcW w:w="1667" w:type="pct"/>
          </w:tcPr>
          <w:p w14:paraId="07E4E080" w14:textId="77777777" w:rsidR="00591043" w:rsidRPr="00DC5568" w:rsidRDefault="00591043" w:rsidP="00591043">
            <w:pPr>
              <w:spacing w:before="48" w:after="48" w:line="288" w:lineRule="auto"/>
            </w:pPr>
            <w:r w:rsidRPr="00DC5568">
              <w:t xml:space="preserve">Intended outcomes </w:t>
            </w:r>
          </w:p>
        </w:tc>
        <w:tc>
          <w:tcPr>
            <w:tcW w:w="1667" w:type="pct"/>
          </w:tcPr>
          <w:p w14:paraId="7285371C" w14:textId="77777777" w:rsidR="00591043" w:rsidRPr="00DC5568" w:rsidRDefault="00591043" w:rsidP="00591043">
            <w:pPr>
              <w:spacing w:before="48" w:after="48" w:line="288" w:lineRule="auto"/>
            </w:pPr>
            <w:r w:rsidRPr="00DC5568">
              <w:t>Responsibility</w:t>
            </w:r>
          </w:p>
        </w:tc>
      </w:tr>
      <w:tr w:rsidR="00A90B29" w:rsidRPr="00DC5568" w14:paraId="3A453D2F" w14:textId="77777777" w:rsidTr="003D2348">
        <w:tc>
          <w:tcPr>
            <w:tcW w:w="1666" w:type="pct"/>
          </w:tcPr>
          <w:p w14:paraId="692A4806" w14:textId="19444FE1" w:rsidR="00A90B29" w:rsidRPr="00DC5568" w:rsidRDefault="00A90B29" w:rsidP="00A90B29">
            <w:pPr>
              <w:pStyle w:val="HangingIndent"/>
            </w:pPr>
            <w:r w:rsidRPr="00DC5568">
              <w:t>2.2</w:t>
            </w:r>
            <w:r>
              <w:tab/>
            </w:r>
            <w:r w:rsidRPr="00DC5568">
              <w:t xml:space="preserve">Create and embed funding models that drive evolution and enhancement of sustainable nursing practice. </w:t>
            </w:r>
          </w:p>
        </w:tc>
        <w:tc>
          <w:tcPr>
            <w:tcW w:w="1667" w:type="pct"/>
          </w:tcPr>
          <w:p w14:paraId="161A0F0F" w14:textId="77777777" w:rsidR="00A90B29" w:rsidRPr="00A90B29" w:rsidRDefault="00A90B29" w:rsidP="00A90B29">
            <w:r w:rsidRPr="00A90B29">
              <w:t>Funding models enable nurses to design and implement models of care to meet consumer need.</w:t>
            </w:r>
          </w:p>
          <w:p w14:paraId="00C0761D" w14:textId="77777777" w:rsidR="00A90B29" w:rsidRPr="00A90B29" w:rsidRDefault="00A90B29" w:rsidP="00A90B29">
            <w:r w:rsidRPr="00A90B29">
              <w:t xml:space="preserve">Increased consumer access to person-centred care. </w:t>
            </w:r>
          </w:p>
        </w:tc>
        <w:tc>
          <w:tcPr>
            <w:tcW w:w="1667" w:type="pct"/>
          </w:tcPr>
          <w:p w14:paraId="727FEAD5" w14:textId="77777777" w:rsidR="00A90B29" w:rsidRPr="00A90B29" w:rsidRDefault="00A90B29" w:rsidP="00A90B29">
            <w:r w:rsidRPr="00A90B29">
              <w:t>Consumer and carer organisations</w:t>
            </w:r>
          </w:p>
          <w:p w14:paraId="3060E557" w14:textId="77777777" w:rsidR="00A90B29" w:rsidRPr="00A90B29" w:rsidRDefault="00A90B29" w:rsidP="00A90B29">
            <w:r w:rsidRPr="00A90B29">
              <w:t>Employers</w:t>
            </w:r>
          </w:p>
          <w:p w14:paraId="104B18A5" w14:textId="77777777" w:rsidR="00A90B29" w:rsidRPr="00A90B29" w:rsidRDefault="00A90B29" w:rsidP="00A90B29">
            <w:r w:rsidRPr="00A90B29">
              <w:t>Governments</w:t>
            </w:r>
          </w:p>
          <w:p w14:paraId="2BFD23D8" w14:textId="77777777" w:rsidR="00A90B29" w:rsidRPr="00A90B29" w:rsidRDefault="00A90B29" w:rsidP="00A90B29">
            <w:r w:rsidRPr="00A90B29">
              <w:t>Nursing profession/workforce</w:t>
            </w:r>
          </w:p>
          <w:p w14:paraId="2954EE43" w14:textId="77777777" w:rsidR="00A90B29" w:rsidRPr="00A90B29" w:rsidRDefault="00A90B29" w:rsidP="00A90B29">
            <w:r w:rsidRPr="00A90B29">
              <w:t>Professional and industry bodies</w:t>
            </w:r>
          </w:p>
        </w:tc>
      </w:tr>
    </w:tbl>
    <w:p w14:paraId="0D48FA6F" w14:textId="77777777" w:rsidR="00591043" w:rsidRPr="00DC5568" w:rsidRDefault="00591043" w:rsidP="008B39DB">
      <w:pPr>
        <w:pStyle w:val="Heading2"/>
        <w:pageBreakBefore/>
      </w:pPr>
      <w:bookmarkStart w:id="78" w:name="_Toc236309254"/>
      <w:bookmarkStart w:id="79" w:name="_Toc236399763"/>
      <w:r w:rsidRPr="00DC5568">
        <w:lastRenderedPageBreak/>
        <w:t>Innovative models of care</w:t>
      </w:r>
      <w:bookmarkEnd w:id="78"/>
      <w:bookmarkEnd w:id="79"/>
    </w:p>
    <w:p w14:paraId="43BC3D4E" w14:textId="77777777" w:rsidR="00591043" w:rsidRPr="00DC5568" w:rsidRDefault="00591043" w:rsidP="00AD1B5B">
      <w:pPr>
        <w:pStyle w:val="Heading3"/>
      </w:pPr>
      <w:r w:rsidRPr="00DC5568">
        <w:t>Reason for action</w:t>
      </w:r>
    </w:p>
    <w:p w14:paraId="2788B008" w14:textId="77777777" w:rsidR="00591043" w:rsidRPr="00DC5568" w:rsidRDefault="00591043" w:rsidP="00591043">
      <w:pPr>
        <w:pStyle w:val="BodyText"/>
      </w:pPr>
      <w:r w:rsidRPr="00DC5568">
        <w:t>Nurses are key drivers of innovation in models of health care delivery. Working in diverse roles across the health and aged care system, nurses make connections across departments, professions, organisations, sectors and geographic areas to develop new care strategies and population health models. They are critical to driving the success of multidisciplinary teams, having a key role in linking consumers with different healthcare and community settings.</w:t>
      </w:r>
    </w:p>
    <w:p w14:paraId="41D5DC74" w14:textId="77777777" w:rsidR="00591043" w:rsidRPr="00DC5568" w:rsidRDefault="00591043" w:rsidP="00591043">
      <w:pPr>
        <w:pStyle w:val="BodyText"/>
      </w:pPr>
      <w:r w:rsidRPr="00DC5568">
        <w:t xml:space="preserve">A system that supports research, development, implementation and the evaluation of new solutions in nursing is essential to effectively meet the needs of Australian communities. Innovative models of care can have considerable benefits including improved system efficiency and sustainability, improved use of health professionals’ skills and role satisfaction, improved consumer experience and satisfaction, enhanced quality of life and better health outcomes. </w:t>
      </w:r>
    </w:p>
    <w:tbl>
      <w:tblPr>
        <w:tblStyle w:val="TableGrid"/>
        <w:tblW w:w="5000" w:type="pct"/>
        <w:tblLook w:val="0420" w:firstRow="1" w:lastRow="0" w:firstColumn="0" w:lastColumn="0" w:noHBand="0" w:noVBand="1"/>
      </w:tblPr>
      <w:tblGrid>
        <w:gridCol w:w="3005"/>
        <w:gridCol w:w="3006"/>
        <w:gridCol w:w="3006"/>
      </w:tblGrid>
      <w:tr w:rsidR="00591043" w:rsidRPr="00DC5568" w14:paraId="2F4DE798"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47714CC" w14:textId="77777777" w:rsidR="00591043" w:rsidRPr="00DC5568" w:rsidRDefault="00591043" w:rsidP="00591043">
            <w:pPr>
              <w:spacing w:before="48" w:after="48" w:line="288" w:lineRule="auto"/>
            </w:pPr>
            <w:r w:rsidRPr="00DC5568">
              <w:t>Action</w:t>
            </w:r>
          </w:p>
        </w:tc>
        <w:tc>
          <w:tcPr>
            <w:tcW w:w="1667" w:type="pct"/>
          </w:tcPr>
          <w:p w14:paraId="2765BAF7" w14:textId="77777777" w:rsidR="00591043" w:rsidRPr="00DC5568" w:rsidRDefault="00591043" w:rsidP="00591043">
            <w:pPr>
              <w:spacing w:before="48" w:after="48" w:line="288" w:lineRule="auto"/>
            </w:pPr>
            <w:r w:rsidRPr="00DC5568">
              <w:t xml:space="preserve">Intended outcomes </w:t>
            </w:r>
          </w:p>
        </w:tc>
        <w:tc>
          <w:tcPr>
            <w:tcW w:w="1667" w:type="pct"/>
          </w:tcPr>
          <w:p w14:paraId="04C25BF1" w14:textId="77777777" w:rsidR="00591043" w:rsidRPr="00DC5568" w:rsidRDefault="00591043" w:rsidP="00591043">
            <w:pPr>
              <w:spacing w:before="48" w:after="48" w:line="288" w:lineRule="auto"/>
            </w:pPr>
            <w:r w:rsidRPr="00DC5568">
              <w:t>Responsibility</w:t>
            </w:r>
          </w:p>
        </w:tc>
      </w:tr>
      <w:tr w:rsidR="00A90B29" w:rsidRPr="00DC5568" w14:paraId="323DA7BD" w14:textId="77777777" w:rsidTr="003D2348">
        <w:tc>
          <w:tcPr>
            <w:tcW w:w="1666" w:type="pct"/>
          </w:tcPr>
          <w:p w14:paraId="425F6454" w14:textId="4BA8DC1F" w:rsidR="00A90B29" w:rsidRPr="00DC5568" w:rsidRDefault="00A90B29" w:rsidP="00A90B29">
            <w:pPr>
              <w:pStyle w:val="HangingIndent"/>
            </w:pPr>
            <w:r w:rsidRPr="00DC5568">
              <w:t>2.3</w:t>
            </w:r>
            <w:r>
              <w:tab/>
            </w:r>
            <w:r w:rsidRPr="00DC5568">
              <w:t>Implement nurse-led innovative models of care.</w:t>
            </w:r>
          </w:p>
        </w:tc>
        <w:tc>
          <w:tcPr>
            <w:tcW w:w="1667" w:type="pct"/>
          </w:tcPr>
          <w:p w14:paraId="5DDFFDAE" w14:textId="66D828B4" w:rsidR="00A90B29" w:rsidRPr="00A90B29" w:rsidRDefault="00A90B29" w:rsidP="00A13555">
            <w:r w:rsidRPr="00A90B29">
              <w:t>Nurses initiate and deliver innovative models of care, enhancing consumer access to and experience of care.</w:t>
            </w:r>
          </w:p>
        </w:tc>
        <w:tc>
          <w:tcPr>
            <w:tcW w:w="1667" w:type="pct"/>
          </w:tcPr>
          <w:p w14:paraId="7513E508" w14:textId="77777777" w:rsidR="00A90B29" w:rsidRPr="00A90B29" w:rsidRDefault="00A90B29" w:rsidP="00A90B29">
            <w:r w:rsidRPr="00A90B29">
              <w:t xml:space="preserve">Consumer and carer organisations </w:t>
            </w:r>
          </w:p>
          <w:p w14:paraId="17466888" w14:textId="77777777" w:rsidR="00A90B29" w:rsidRPr="00A90B29" w:rsidRDefault="00A90B29" w:rsidP="00A90B29">
            <w:r w:rsidRPr="00A90B29">
              <w:t>Employers</w:t>
            </w:r>
          </w:p>
          <w:p w14:paraId="0324F05E" w14:textId="77777777" w:rsidR="00A90B29" w:rsidRPr="00A90B29" w:rsidRDefault="00A90B29" w:rsidP="00A90B29">
            <w:r w:rsidRPr="00A90B29">
              <w:t>Governments</w:t>
            </w:r>
          </w:p>
          <w:p w14:paraId="3B25FA26" w14:textId="77777777" w:rsidR="00A90B29" w:rsidRPr="00A90B29" w:rsidRDefault="00A90B29" w:rsidP="00A90B29">
            <w:r w:rsidRPr="00A90B29">
              <w:t>Nursing profession/ workforce</w:t>
            </w:r>
          </w:p>
          <w:p w14:paraId="3AFA5FE5" w14:textId="77777777" w:rsidR="00A90B29" w:rsidRPr="00A90B29" w:rsidRDefault="00A90B29" w:rsidP="00A90B29">
            <w:r w:rsidRPr="00A90B29">
              <w:t>Professional and industry bodies</w:t>
            </w:r>
          </w:p>
        </w:tc>
      </w:tr>
    </w:tbl>
    <w:p w14:paraId="3CE590BA" w14:textId="77777777" w:rsidR="00591043" w:rsidRPr="00DC5568" w:rsidRDefault="00591043" w:rsidP="008B39DB">
      <w:pPr>
        <w:pStyle w:val="Heading2"/>
        <w:pageBreakBefore/>
      </w:pPr>
      <w:bookmarkStart w:id="80" w:name="_Toc236309255"/>
      <w:bookmarkStart w:id="81" w:name="_Toc236399764"/>
      <w:r w:rsidRPr="00DC5568">
        <w:lastRenderedPageBreak/>
        <w:t>Aboriginal and Torres Strait Islander co-design</w:t>
      </w:r>
      <w:bookmarkEnd w:id="80"/>
      <w:bookmarkEnd w:id="81"/>
    </w:p>
    <w:p w14:paraId="4DEE073C" w14:textId="77777777" w:rsidR="00591043" w:rsidRPr="00DC5568" w:rsidRDefault="00591043" w:rsidP="00AD1B5B">
      <w:pPr>
        <w:pStyle w:val="Heading3"/>
      </w:pPr>
      <w:r w:rsidRPr="00DC5568">
        <w:t>Reason for action</w:t>
      </w:r>
    </w:p>
    <w:p w14:paraId="3F987691" w14:textId="77777777" w:rsidR="00591043" w:rsidRPr="00DC5568" w:rsidRDefault="00591043" w:rsidP="00980C66">
      <w:pPr>
        <w:pStyle w:val="BodyText"/>
      </w:pPr>
      <w:r w:rsidRPr="00DC5568">
        <w:t xml:space="preserve">Aboriginal and Torres Strait Islander people experience unique health disparities and cultural considerations which necessitate a tailored approach to nursing and healthcare provision. </w:t>
      </w:r>
    </w:p>
    <w:p w14:paraId="5709767C" w14:textId="77777777" w:rsidR="00591043" w:rsidRPr="00DC5568" w:rsidRDefault="00591043" w:rsidP="00980C66">
      <w:pPr>
        <w:pStyle w:val="BodyText"/>
      </w:pPr>
      <w:r w:rsidRPr="00DC5568">
        <w:t>Supporting innovative, co-designed nursing initiatives allows for specific needs to be met as they can be tailored to suit local conditions and community situations.</w:t>
      </w:r>
    </w:p>
    <w:tbl>
      <w:tblPr>
        <w:tblStyle w:val="TableGrid"/>
        <w:tblW w:w="5000" w:type="pct"/>
        <w:tblLook w:val="0420" w:firstRow="1" w:lastRow="0" w:firstColumn="0" w:lastColumn="0" w:noHBand="0" w:noVBand="1"/>
      </w:tblPr>
      <w:tblGrid>
        <w:gridCol w:w="3005"/>
        <w:gridCol w:w="3006"/>
        <w:gridCol w:w="3006"/>
      </w:tblGrid>
      <w:tr w:rsidR="00591043" w:rsidRPr="00DC5568" w14:paraId="4DEA7F18"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21135CC6" w14:textId="77777777" w:rsidR="00591043" w:rsidRPr="00DC5568" w:rsidRDefault="00591043" w:rsidP="00591043">
            <w:pPr>
              <w:spacing w:before="48" w:after="48" w:line="288" w:lineRule="auto"/>
            </w:pPr>
            <w:r w:rsidRPr="00DC5568">
              <w:t>Action</w:t>
            </w:r>
          </w:p>
        </w:tc>
        <w:tc>
          <w:tcPr>
            <w:tcW w:w="1667" w:type="pct"/>
          </w:tcPr>
          <w:p w14:paraId="7EDAD6B7" w14:textId="77777777" w:rsidR="00591043" w:rsidRPr="00DC5568" w:rsidRDefault="00591043" w:rsidP="00591043">
            <w:pPr>
              <w:spacing w:before="48" w:after="48" w:line="288" w:lineRule="auto"/>
            </w:pPr>
            <w:r w:rsidRPr="00DC5568">
              <w:t xml:space="preserve">Intended outcomes </w:t>
            </w:r>
          </w:p>
        </w:tc>
        <w:tc>
          <w:tcPr>
            <w:tcW w:w="1667" w:type="pct"/>
          </w:tcPr>
          <w:p w14:paraId="2C6C32ED" w14:textId="77777777" w:rsidR="00591043" w:rsidRPr="00DC5568" w:rsidRDefault="00591043" w:rsidP="00591043">
            <w:pPr>
              <w:spacing w:before="48" w:after="48" w:line="288" w:lineRule="auto"/>
            </w:pPr>
            <w:r w:rsidRPr="00DC5568">
              <w:t>Responsibility</w:t>
            </w:r>
          </w:p>
        </w:tc>
      </w:tr>
      <w:tr w:rsidR="00A90B29" w:rsidRPr="00DC5568" w14:paraId="03315624" w14:textId="77777777" w:rsidTr="003D2348">
        <w:tc>
          <w:tcPr>
            <w:tcW w:w="1666" w:type="pct"/>
          </w:tcPr>
          <w:p w14:paraId="70F0A936" w14:textId="53F6A4BA" w:rsidR="00A90B29" w:rsidRPr="00DC5568" w:rsidRDefault="00A90B29" w:rsidP="00A90B29">
            <w:pPr>
              <w:pStyle w:val="HangingIndent"/>
            </w:pPr>
            <w:r w:rsidRPr="00DC5568">
              <w:t>2.4</w:t>
            </w:r>
            <w:r>
              <w:tab/>
            </w:r>
            <w:r w:rsidRPr="00DC5568">
              <w:t>Aboriginal and Torres Strait Islander nurses and communities design workforce initiatives that suit local conditions and community situations.</w:t>
            </w:r>
          </w:p>
        </w:tc>
        <w:tc>
          <w:tcPr>
            <w:tcW w:w="1667" w:type="pct"/>
          </w:tcPr>
          <w:p w14:paraId="5B986B5C" w14:textId="77777777" w:rsidR="00A90B29" w:rsidRPr="00A90B29" w:rsidRDefault="00A90B29" w:rsidP="00A90B29">
            <w:r w:rsidRPr="00A90B29">
              <w:t>Workforce initiatives meet community needs and outcomes for Aboriginal and Torres Strait Islander people.</w:t>
            </w:r>
          </w:p>
          <w:p w14:paraId="015B943F" w14:textId="77777777" w:rsidR="00A90B29" w:rsidRPr="00A90B29" w:rsidRDefault="00A90B29" w:rsidP="00A90B29">
            <w:r w:rsidRPr="00A90B29">
              <w:t>Consumer representation is embedded through co-designed nursing initiatives that improve community outcomes.</w:t>
            </w:r>
          </w:p>
        </w:tc>
        <w:tc>
          <w:tcPr>
            <w:tcW w:w="1667" w:type="pct"/>
          </w:tcPr>
          <w:p w14:paraId="3152F6FA" w14:textId="77777777" w:rsidR="00A90B29" w:rsidRPr="00A90B29" w:rsidRDefault="00A90B29" w:rsidP="00A90B29">
            <w:r w:rsidRPr="00A90B29">
              <w:t xml:space="preserve">Consumer and carer organisations </w:t>
            </w:r>
          </w:p>
          <w:p w14:paraId="56D9903D" w14:textId="77777777" w:rsidR="00A90B29" w:rsidRPr="00A90B29" w:rsidRDefault="00A90B29" w:rsidP="00A90B29">
            <w:r w:rsidRPr="00A90B29">
              <w:t>Education providers/registered training organisations</w:t>
            </w:r>
          </w:p>
          <w:p w14:paraId="737F5B12" w14:textId="77777777" w:rsidR="00A90B29" w:rsidRPr="00A90B29" w:rsidRDefault="00A90B29" w:rsidP="00A90B29">
            <w:r w:rsidRPr="00A90B29">
              <w:t>Employers</w:t>
            </w:r>
          </w:p>
          <w:p w14:paraId="77D5C110" w14:textId="77777777" w:rsidR="00A90B29" w:rsidRPr="00A90B29" w:rsidRDefault="00A90B29" w:rsidP="00A90B29">
            <w:r w:rsidRPr="00A90B29">
              <w:t>Governments</w:t>
            </w:r>
          </w:p>
          <w:p w14:paraId="5E5C8902" w14:textId="77777777" w:rsidR="00A90B29" w:rsidRPr="00A90B29" w:rsidRDefault="00A90B29" w:rsidP="00A90B29">
            <w:r w:rsidRPr="00A90B29">
              <w:t>Nursing profession/ workforce</w:t>
            </w:r>
          </w:p>
          <w:p w14:paraId="1F00F7DB" w14:textId="77777777" w:rsidR="00A90B29" w:rsidRPr="00A90B29" w:rsidRDefault="00A90B29" w:rsidP="00A90B29">
            <w:r w:rsidRPr="00A90B29">
              <w:t>Professional and industry bodies</w:t>
            </w:r>
          </w:p>
        </w:tc>
      </w:tr>
    </w:tbl>
    <w:p w14:paraId="16C264CB" w14:textId="77777777" w:rsidR="00591043" w:rsidRPr="00DC5568" w:rsidRDefault="00591043" w:rsidP="008B39DB">
      <w:pPr>
        <w:pStyle w:val="Heading2"/>
        <w:pageBreakBefore/>
      </w:pPr>
      <w:bookmarkStart w:id="82" w:name="_Toc236309256"/>
      <w:bookmarkStart w:id="83" w:name="_Toc236399765"/>
      <w:r w:rsidRPr="00DC5568">
        <w:lastRenderedPageBreak/>
        <w:t>Optimum scope of practice</w:t>
      </w:r>
      <w:bookmarkEnd w:id="82"/>
      <w:bookmarkEnd w:id="83"/>
    </w:p>
    <w:p w14:paraId="3AA17EB0" w14:textId="77777777" w:rsidR="00591043" w:rsidRPr="00DC5568" w:rsidRDefault="00591043" w:rsidP="00AD1B5B">
      <w:pPr>
        <w:pStyle w:val="Heading3"/>
      </w:pPr>
      <w:r w:rsidRPr="00DC5568">
        <w:t>Reason for action</w:t>
      </w:r>
    </w:p>
    <w:p w14:paraId="60860698" w14:textId="77777777" w:rsidR="00591043" w:rsidRPr="00DC5568" w:rsidRDefault="00591043" w:rsidP="00591043">
      <w:pPr>
        <w:pStyle w:val="BodyText"/>
      </w:pPr>
      <w:r w:rsidRPr="00DC5568">
        <w:t>A nurse’s scope of practice is unique and influenced by the regulations and settings in which they work; the health needs of people; the level of competence and confidence of the nurse; and the policy requirements of the service provider.</w:t>
      </w:r>
      <w:r w:rsidRPr="00C76E76">
        <w:rPr>
          <w:rStyle w:val="EndnoteReference"/>
        </w:rPr>
        <w:endnoteReference w:id="46"/>
      </w:r>
      <w:r w:rsidRPr="00DC5568">
        <w:t xml:space="preserve"> Evidence shows, when health professionals are supported to work at their optimum scope of practice there is improved access to care for consumers, equal or better health outcomes in some areas and cost savings.</w:t>
      </w:r>
      <w:r w:rsidRPr="00C76E76">
        <w:rPr>
          <w:rStyle w:val="EndnoteReference"/>
        </w:rPr>
        <w:endnoteReference w:id="47"/>
      </w:r>
    </w:p>
    <w:p w14:paraId="10B7DB33" w14:textId="77777777" w:rsidR="00591043" w:rsidRPr="00DC5568" w:rsidRDefault="00591043" w:rsidP="00591043">
      <w:pPr>
        <w:pStyle w:val="BodyText"/>
      </w:pPr>
      <w:r w:rsidRPr="00DC5568">
        <w:t>Supporting Australia’s nursing workforce to use their full capabilities is critical in enhancing job satisfaction and wellbeing as well as supporting more efficient and effective care.</w:t>
      </w:r>
      <w:r w:rsidRPr="00C76E76">
        <w:rPr>
          <w:rStyle w:val="EndnoteReference"/>
        </w:rPr>
        <w:endnoteReference w:id="48"/>
      </w:r>
      <w:r w:rsidRPr="00DC5568">
        <w:t xml:space="preserve"> </w:t>
      </w:r>
    </w:p>
    <w:p w14:paraId="7860EF2B" w14:textId="77777777" w:rsidR="00591043" w:rsidRPr="00DC5568" w:rsidRDefault="00591043" w:rsidP="00591043">
      <w:pPr>
        <w:pStyle w:val="BodyText"/>
      </w:pPr>
      <w:r w:rsidRPr="00DC5568">
        <w:t>System integration, collaboration and learning with multidisciplinary teams all help nurses work to their optimum scope of practice. Legislative and regulatory harmonisation across jurisdictions, particularly in the context of prescribing rights, will also remove barriers.</w:t>
      </w:r>
      <w:r w:rsidRPr="00C76E76">
        <w:rPr>
          <w:rStyle w:val="EndnoteReference"/>
        </w:rPr>
        <w:endnoteReference w:id="49"/>
      </w:r>
      <w:r w:rsidRPr="00DC5568">
        <w:t xml:space="preserve"> Collectively, this will drive improved retention and more responsive, person-centred care. </w:t>
      </w:r>
    </w:p>
    <w:tbl>
      <w:tblPr>
        <w:tblStyle w:val="TableGrid"/>
        <w:tblW w:w="5000" w:type="pct"/>
        <w:tblLook w:val="0420" w:firstRow="1" w:lastRow="0" w:firstColumn="0" w:lastColumn="0" w:noHBand="0" w:noVBand="1"/>
      </w:tblPr>
      <w:tblGrid>
        <w:gridCol w:w="3005"/>
        <w:gridCol w:w="3006"/>
        <w:gridCol w:w="3006"/>
      </w:tblGrid>
      <w:tr w:rsidR="00591043" w:rsidRPr="00DC5568" w14:paraId="1DC46AA1"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9C434F0" w14:textId="77777777" w:rsidR="00591043" w:rsidRPr="00DC5568" w:rsidRDefault="00591043" w:rsidP="00591043">
            <w:pPr>
              <w:spacing w:before="48" w:after="48" w:line="288" w:lineRule="auto"/>
            </w:pPr>
            <w:r w:rsidRPr="00DC5568">
              <w:t>Action</w:t>
            </w:r>
          </w:p>
        </w:tc>
        <w:tc>
          <w:tcPr>
            <w:tcW w:w="1667" w:type="pct"/>
          </w:tcPr>
          <w:p w14:paraId="372FBFD1" w14:textId="77777777" w:rsidR="00591043" w:rsidRPr="00DC5568" w:rsidRDefault="00591043" w:rsidP="00591043">
            <w:pPr>
              <w:spacing w:before="48" w:after="48" w:line="288" w:lineRule="auto"/>
            </w:pPr>
            <w:r w:rsidRPr="00DC5568">
              <w:t xml:space="preserve">Intended outcomes </w:t>
            </w:r>
          </w:p>
        </w:tc>
        <w:tc>
          <w:tcPr>
            <w:tcW w:w="1667" w:type="pct"/>
          </w:tcPr>
          <w:p w14:paraId="3DDE8C98" w14:textId="77777777" w:rsidR="00591043" w:rsidRPr="00DC5568" w:rsidRDefault="00591043" w:rsidP="00591043">
            <w:pPr>
              <w:spacing w:before="48" w:after="48" w:line="288" w:lineRule="auto"/>
            </w:pPr>
            <w:r w:rsidRPr="00DC5568">
              <w:t>Responsibility</w:t>
            </w:r>
          </w:p>
        </w:tc>
      </w:tr>
      <w:tr w:rsidR="00A90B29" w:rsidRPr="00DC5568" w14:paraId="527D46D7" w14:textId="77777777" w:rsidTr="003D2348">
        <w:tc>
          <w:tcPr>
            <w:tcW w:w="1666" w:type="pct"/>
          </w:tcPr>
          <w:p w14:paraId="08BF5304" w14:textId="493666D6" w:rsidR="00A90B29" w:rsidRPr="00DC5568" w:rsidRDefault="00A90B29" w:rsidP="00980C66">
            <w:pPr>
              <w:pStyle w:val="HangingIndent"/>
            </w:pPr>
            <w:r w:rsidRPr="00DC5568">
              <w:t>2.5</w:t>
            </w:r>
            <w:r w:rsidR="004A616F">
              <w:tab/>
            </w:r>
            <w:r w:rsidRPr="00DC5568">
              <w:t>Enable nurses to work to their optimum scope of practice in all settings.</w:t>
            </w:r>
          </w:p>
        </w:tc>
        <w:tc>
          <w:tcPr>
            <w:tcW w:w="1667" w:type="pct"/>
          </w:tcPr>
          <w:p w14:paraId="2EE07C2C" w14:textId="77777777" w:rsidR="00A90B29" w:rsidRPr="00A90B29" w:rsidRDefault="00A90B29" w:rsidP="00A90B29">
            <w:r w:rsidRPr="00A90B29">
              <w:t xml:space="preserve">Nurses contribute to safe, quality care delivery and improve consumer access to care by working to their optimum scope of practice. </w:t>
            </w:r>
          </w:p>
          <w:p w14:paraId="750874E7" w14:textId="77777777" w:rsidR="00A90B29" w:rsidRPr="00A90B29" w:rsidRDefault="00A90B29" w:rsidP="00A90B29">
            <w:r w:rsidRPr="00A90B29">
              <w:t>Barriers to nurses working to their optimum scope of practice are removed.</w:t>
            </w:r>
          </w:p>
        </w:tc>
        <w:tc>
          <w:tcPr>
            <w:tcW w:w="1667" w:type="pct"/>
          </w:tcPr>
          <w:p w14:paraId="6079C8B6" w14:textId="77777777" w:rsidR="00A90B29" w:rsidRPr="00A90B29" w:rsidRDefault="00A90B29" w:rsidP="00A90B29">
            <w:r w:rsidRPr="00A90B29">
              <w:t>Employers</w:t>
            </w:r>
          </w:p>
          <w:p w14:paraId="3B15E5A1" w14:textId="77777777" w:rsidR="00A90B29" w:rsidRPr="00A90B29" w:rsidRDefault="00A90B29" w:rsidP="00A90B29">
            <w:r w:rsidRPr="00A90B29">
              <w:t xml:space="preserve">Governments </w:t>
            </w:r>
          </w:p>
          <w:p w14:paraId="52172076" w14:textId="77777777" w:rsidR="00A90B29" w:rsidRPr="00A90B29" w:rsidRDefault="00A90B29" w:rsidP="00A90B29">
            <w:r w:rsidRPr="00A90B29">
              <w:t>Nursing profession/ workforce</w:t>
            </w:r>
          </w:p>
          <w:p w14:paraId="5C4539F0" w14:textId="77777777" w:rsidR="00A90B29" w:rsidRPr="00A90B29" w:rsidRDefault="00A90B29" w:rsidP="00A90B29">
            <w:r w:rsidRPr="00A90B29">
              <w:t xml:space="preserve">Other health professionals </w:t>
            </w:r>
          </w:p>
          <w:p w14:paraId="66CC9BAE" w14:textId="77777777" w:rsidR="00A90B29" w:rsidRPr="00A90B29" w:rsidRDefault="00A90B29" w:rsidP="00A90B29">
            <w:r w:rsidRPr="00A90B29">
              <w:t>Professional and industry bodies</w:t>
            </w:r>
          </w:p>
        </w:tc>
      </w:tr>
    </w:tbl>
    <w:p w14:paraId="2B137DC6" w14:textId="77777777" w:rsidR="00591043" w:rsidRPr="00DC5568" w:rsidRDefault="00591043" w:rsidP="008B39DB">
      <w:pPr>
        <w:pStyle w:val="Heading2"/>
        <w:pageBreakBefore/>
      </w:pPr>
      <w:bookmarkStart w:id="84" w:name="_Toc236309257"/>
      <w:bookmarkStart w:id="85" w:name="_Toc236399766"/>
      <w:r w:rsidRPr="00DC5568">
        <w:lastRenderedPageBreak/>
        <w:t>Climate resilience and environmental sustainability</w:t>
      </w:r>
      <w:bookmarkEnd w:id="84"/>
      <w:bookmarkEnd w:id="85"/>
    </w:p>
    <w:p w14:paraId="25CCDC57" w14:textId="77777777" w:rsidR="00591043" w:rsidRPr="00DC5568" w:rsidRDefault="00591043" w:rsidP="00AD1B5B">
      <w:pPr>
        <w:pStyle w:val="Heading3"/>
      </w:pPr>
      <w:r w:rsidRPr="00DC5568">
        <w:t>Reason for action</w:t>
      </w:r>
    </w:p>
    <w:p w14:paraId="3F2DAD0E" w14:textId="77777777" w:rsidR="00591043" w:rsidRPr="00DC5568" w:rsidRDefault="00591043" w:rsidP="00591043">
      <w:pPr>
        <w:pStyle w:val="BodyText"/>
      </w:pPr>
      <w:r w:rsidRPr="00DC5568">
        <w:t>Populations are already experiencing the impacts of climate change on their health and wellbeing.</w:t>
      </w:r>
      <w:r w:rsidRPr="00C76E76">
        <w:rPr>
          <w:rStyle w:val="EndnoteReference"/>
        </w:rPr>
        <w:endnoteReference w:id="50"/>
      </w:r>
      <w:r w:rsidRPr="00DC5568">
        <w:t xml:space="preserve"> Being at the forefront of the health system, nurses can promote climate-ready healthcare and drive environmentally sustainable healthcare practices that meet current health needs, without impacting future generations’ health. </w:t>
      </w:r>
    </w:p>
    <w:p w14:paraId="5654B572" w14:textId="77777777" w:rsidR="00591043" w:rsidRPr="00DC5568" w:rsidRDefault="00591043" w:rsidP="00591043">
      <w:pPr>
        <w:pStyle w:val="BodyText"/>
      </w:pPr>
      <w:r w:rsidRPr="00DC5568">
        <w:t>Nurses currently drive several sustainable healthcare initiatives designed to have a positive impact on healthcare sustainability, climate change and planetary health.</w:t>
      </w:r>
      <w:r w:rsidRPr="00C76E76">
        <w:rPr>
          <w:rStyle w:val="EndnoteReference"/>
        </w:rPr>
        <w:endnoteReference w:id="51"/>
      </w:r>
      <w:r w:rsidRPr="00DC5568">
        <w:rPr>
          <w:vertAlign w:val="superscript"/>
        </w:rPr>
        <w:t>,</w:t>
      </w:r>
      <w:r w:rsidRPr="00C76E76">
        <w:rPr>
          <w:rStyle w:val="EndnoteReference"/>
        </w:rPr>
        <w:endnoteReference w:id="52"/>
      </w:r>
      <w:r w:rsidRPr="00DC5568">
        <w:t xml:space="preserve"> Nurses have a shared responsibility to sustain and protect the natural environment from depletion, pollution, degradation and destruction.</w:t>
      </w:r>
      <w:r w:rsidRPr="00C76E76">
        <w:rPr>
          <w:rStyle w:val="EndnoteReference"/>
        </w:rPr>
        <w:endnoteReference w:id="53"/>
      </w:r>
      <w:r w:rsidRPr="00DC5568">
        <w:t xml:space="preserve"> They are positioned to support individuals, families and communities to make healthy lifestyle choices and be advocates for initiatives that reduce environmentally harmful practices to promote health and wellbeing.</w:t>
      </w:r>
      <w:r w:rsidRPr="00C76E76">
        <w:rPr>
          <w:rStyle w:val="EndnoteReference"/>
        </w:rPr>
        <w:endnoteReference w:id="54"/>
      </w:r>
    </w:p>
    <w:tbl>
      <w:tblPr>
        <w:tblStyle w:val="TableGrid"/>
        <w:tblW w:w="5000" w:type="pct"/>
        <w:tblLook w:val="0420" w:firstRow="1" w:lastRow="0" w:firstColumn="0" w:lastColumn="0" w:noHBand="0" w:noVBand="1"/>
      </w:tblPr>
      <w:tblGrid>
        <w:gridCol w:w="3005"/>
        <w:gridCol w:w="3006"/>
        <w:gridCol w:w="3006"/>
      </w:tblGrid>
      <w:tr w:rsidR="00591043" w:rsidRPr="00DC5568" w14:paraId="213EC37D"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0AC1BB92" w14:textId="77777777" w:rsidR="00591043" w:rsidRPr="00DC5568" w:rsidRDefault="00591043" w:rsidP="00591043">
            <w:pPr>
              <w:spacing w:before="48" w:after="48" w:line="288" w:lineRule="auto"/>
            </w:pPr>
            <w:r w:rsidRPr="00DC5568">
              <w:t>Action</w:t>
            </w:r>
          </w:p>
        </w:tc>
        <w:tc>
          <w:tcPr>
            <w:tcW w:w="1667" w:type="pct"/>
          </w:tcPr>
          <w:p w14:paraId="45458BC2" w14:textId="77777777" w:rsidR="00591043" w:rsidRPr="00DC5568" w:rsidRDefault="00591043" w:rsidP="00591043">
            <w:pPr>
              <w:spacing w:before="48" w:after="48" w:line="288" w:lineRule="auto"/>
            </w:pPr>
            <w:r w:rsidRPr="00DC5568">
              <w:t xml:space="preserve">Intended outcomes </w:t>
            </w:r>
          </w:p>
        </w:tc>
        <w:tc>
          <w:tcPr>
            <w:tcW w:w="1667" w:type="pct"/>
          </w:tcPr>
          <w:p w14:paraId="180F6267" w14:textId="77777777" w:rsidR="00591043" w:rsidRPr="00DC5568" w:rsidRDefault="00591043" w:rsidP="00591043">
            <w:pPr>
              <w:spacing w:before="48" w:after="48" w:line="288" w:lineRule="auto"/>
            </w:pPr>
            <w:r w:rsidRPr="00DC5568">
              <w:t>Responsibility</w:t>
            </w:r>
          </w:p>
        </w:tc>
      </w:tr>
      <w:tr w:rsidR="004A616F" w:rsidRPr="00DC5568" w14:paraId="3F22927C" w14:textId="77777777" w:rsidTr="003D2348">
        <w:tc>
          <w:tcPr>
            <w:tcW w:w="1666" w:type="pct"/>
          </w:tcPr>
          <w:p w14:paraId="119B540E" w14:textId="3577A93B" w:rsidR="004A616F" w:rsidRPr="00DC5568" w:rsidRDefault="004A616F" w:rsidP="004A616F">
            <w:pPr>
              <w:pStyle w:val="HangingIndent"/>
            </w:pPr>
            <w:r w:rsidRPr="00DC5568">
              <w:t>2.6</w:t>
            </w:r>
            <w:r>
              <w:tab/>
            </w:r>
            <w:r w:rsidRPr="00DC5568">
              <w:t>Mobilise and support the nursing workforce to lead and contribute to an environmentally sustainable and climate-resilient health and aged care system.</w:t>
            </w:r>
          </w:p>
        </w:tc>
        <w:tc>
          <w:tcPr>
            <w:tcW w:w="1667" w:type="pct"/>
          </w:tcPr>
          <w:p w14:paraId="0EF465FF" w14:textId="77777777" w:rsidR="004A616F" w:rsidRPr="004A616F" w:rsidRDefault="004A616F" w:rsidP="004A616F">
            <w:r w:rsidRPr="004A616F">
              <w:t>The nursing workforce leads and supports sustainable and climate-resilient health and aged care.</w:t>
            </w:r>
          </w:p>
        </w:tc>
        <w:tc>
          <w:tcPr>
            <w:tcW w:w="1667" w:type="pct"/>
          </w:tcPr>
          <w:p w14:paraId="50F990FF" w14:textId="77777777" w:rsidR="004A616F" w:rsidRPr="004A616F" w:rsidRDefault="004A616F" w:rsidP="004A616F">
            <w:r w:rsidRPr="004A616F">
              <w:t>Education providers/registered training organisations</w:t>
            </w:r>
          </w:p>
          <w:p w14:paraId="113C6AAB" w14:textId="77777777" w:rsidR="004A616F" w:rsidRPr="004A616F" w:rsidRDefault="004A616F" w:rsidP="004A616F">
            <w:r w:rsidRPr="004A616F">
              <w:t>Employers</w:t>
            </w:r>
          </w:p>
          <w:p w14:paraId="55D4E867" w14:textId="77777777" w:rsidR="004A616F" w:rsidRPr="004A616F" w:rsidRDefault="004A616F" w:rsidP="004A616F">
            <w:r w:rsidRPr="004A616F">
              <w:t>Governments</w:t>
            </w:r>
          </w:p>
          <w:p w14:paraId="63E49FCB" w14:textId="77777777" w:rsidR="004A616F" w:rsidRPr="004A616F" w:rsidRDefault="004A616F" w:rsidP="004A616F">
            <w:r w:rsidRPr="004A616F">
              <w:t>Nursing profession/workforce</w:t>
            </w:r>
          </w:p>
          <w:p w14:paraId="54D3098F" w14:textId="77777777" w:rsidR="004A616F" w:rsidRPr="004A616F" w:rsidRDefault="004A616F" w:rsidP="004A616F">
            <w:r w:rsidRPr="004A616F">
              <w:t>Regulators</w:t>
            </w:r>
          </w:p>
        </w:tc>
      </w:tr>
    </w:tbl>
    <w:p w14:paraId="2C5A693A" w14:textId="77777777" w:rsidR="00591043" w:rsidRPr="00DC5568" w:rsidRDefault="00591043" w:rsidP="00AD1B5B">
      <w:pPr>
        <w:pStyle w:val="Heading1"/>
      </w:pPr>
      <w:bookmarkStart w:id="86" w:name="_Toc236309258"/>
      <w:bookmarkStart w:id="87" w:name="_Toc236399767"/>
      <w:bookmarkStart w:id="88" w:name="_Toc183432209"/>
      <w:r w:rsidRPr="00DC5568">
        <w:lastRenderedPageBreak/>
        <w:t>Priority 3: Elevating the nursing profession</w:t>
      </w:r>
      <w:bookmarkEnd w:id="86"/>
      <w:bookmarkEnd w:id="87"/>
    </w:p>
    <w:p w14:paraId="7A8FA360" w14:textId="77777777" w:rsidR="00980C66" w:rsidRPr="00DC5568" w:rsidRDefault="00980C66" w:rsidP="00980C66">
      <w:pPr>
        <w:pStyle w:val="Heading2"/>
      </w:pPr>
      <w:bookmarkStart w:id="89" w:name="_Toc236309259"/>
      <w:bookmarkStart w:id="90" w:name="_Toc236399768"/>
      <w:r w:rsidRPr="00DC5568">
        <w:t>Objective</w:t>
      </w:r>
      <w:bookmarkEnd w:id="89"/>
      <w:bookmarkEnd w:id="90"/>
    </w:p>
    <w:p w14:paraId="737BA04B" w14:textId="77777777" w:rsidR="00980C66" w:rsidRPr="00980C66" w:rsidRDefault="00980C66" w:rsidP="00980C66">
      <w:pPr>
        <w:pStyle w:val="ListBullet"/>
      </w:pPr>
      <w:r w:rsidRPr="00980C66">
        <w:t xml:space="preserve">Nurses are recognised and respected for their education, knowledge, skills and capabilities by other health practitioners, the health and aged care system and consumers. </w:t>
      </w:r>
    </w:p>
    <w:p w14:paraId="68C1585A" w14:textId="77777777" w:rsidR="00980C66" w:rsidRPr="00980C66" w:rsidRDefault="00980C66" w:rsidP="00980C66">
      <w:pPr>
        <w:pStyle w:val="ListBullet"/>
      </w:pPr>
      <w:r w:rsidRPr="00980C66">
        <w:t xml:space="preserve">The nursing profession is valued for its leadership in driving health and aged care outcomes. </w:t>
      </w:r>
    </w:p>
    <w:p w14:paraId="5C675F51" w14:textId="77777777" w:rsidR="00980C66" w:rsidRPr="00980C66" w:rsidRDefault="00980C66" w:rsidP="00980C66">
      <w:pPr>
        <w:pStyle w:val="ListBullet"/>
      </w:pPr>
      <w:r w:rsidRPr="00980C66">
        <w:t>Nurses cultivate an empowering and inclusive culture which is embedded into the identity of nursing.</w:t>
      </w:r>
    </w:p>
    <w:p w14:paraId="04C0927A" w14:textId="77777777" w:rsidR="00980C66" w:rsidRPr="00DC5568" w:rsidRDefault="00980C66" w:rsidP="00980C66">
      <w:pPr>
        <w:pStyle w:val="Heading2"/>
      </w:pPr>
      <w:bookmarkStart w:id="91" w:name="_Toc236309260"/>
      <w:bookmarkStart w:id="92" w:name="_Toc236399769"/>
      <w:r w:rsidRPr="00DC5568">
        <w:t>Rationale</w:t>
      </w:r>
      <w:bookmarkEnd w:id="91"/>
      <w:bookmarkEnd w:id="92"/>
    </w:p>
    <w:p w14:paraId="2383A92B" w14:textId="6AC002F2" w:rsidR="00591043" w:rsidRPr="00DC5568" w:rsidRDefault="00980C66" w:rsidP="00980C66">
      <w:pPr>
        <w:pStyle w:val="BodyText"/>
      </w:pPr>
      <w:r w:rsidRPr="00DC5568">
        <w:t>Nurses are highly skilled and qualified health professionals who undertake complex science-based work in dynamic and diverse environments. A career in nursing is rewarding, full of opportunities, development and advancement. Achieving more complete recognition of the complex, challenging and lived reality of nursing within and outside the profession will ensure nurses are empowered, valued and supported to fully use their expertise. This will support the retention of nurses and reinforce nursing as an attractive career choice into the future.</w:t>
      </w:r>
    </w:p>
    <w:p w14:paraId="3BE2E2E5" w14:textId="77777777" w:rsidR="00591043" w:rsidRPr="00DC5568" w:rsidRDefault="00591043" w:rsidP="00AD1B5B">
      <w:pPr>
        <w:pStyle w:val="Heading2"/>
        <w:pageBreakBefore/>
      </w:pPr>
      <w:bookmarkStart w:id="93" w:name="_Toc236309261"/>
      <w:bookmarkStart w:id="94" w:name="_Toc236399770"/>
      <w:r w:rsidRPr="00DC5568">
        <w:lastRenderedPageBreak/>
        <w:t>Leadership</w:t>
      </w:r>
      <w:bookmarkEnd w:id="93"/>
      <w:bookmarkEnd w:id="94"/>
    </w:p>
    <w:p w14:paraId="0A27347A" w14:textId="77777777" w:rsidR="00591043" w:rsidRPr="00DC5568" w:rsidRDefault="00591043" w:rsidP="00AD1B5B">
      <w:pPr>
        <w:pStyle w:val="Heading3"/>
      </w:pPr>
      <w:r w:rsidRPr="00DC5568">
        <w:t>Reason for action</w:t>
      </w:r>
    </w:p>
    <w:p w14:paraId="1D14D229" w14:textId="7666FA7B" w:rsidR="00591043" w:rsidRPr="00DC5568" w:rsidRDefault="00591043" w:rsidP="00591043">
      <w:pPr>
        <w:pStyle w:val="BodyText"/>
      </w:pPr>
      <w:r w:rsidRPr="00DC5568">
        <w:t>Leadership in nursing cultivates relationships and healthy, respectful work environments which support workforce retention and growth.</w:t>
      </w:r>
      <w:r w:rsidRPr="00C76E76">
        <w:rPr>
          <w:rStyle w:val="EndnoteReference"/>
        </w:rPr>
        <w:endnoteReference w:id="55"/>
      </w:r>
      <w:r w:rsidR="00C76E76">
        <w:t xml:space="preserve"> </w:t>
      </w:r>
      <w:r w:rsidRPr="00DC5568">
        <w:t>Strong and effective nursing leadership also results in improved quality of health care and better health outcomes for consumers. Develop</w:t>
      </w:r>
      <w:r w:rsidR="002751D4">
        <w:t>ing</w:t>
      </w:r>
      <w:r w:rsidRPr="00DC5568">
        <w:t xml:space="preserve"> leadership qualities is key to sustaining a nursing workforce to feel valued, safe and confident to work in their chosen profession. </w:t>
      </w:r>
    </w:p>
    <w:p w14:paraId="42CF3E52" w14:textId="77777777" w:rsidR="00591043" w:rsidRPr="00DC5568" w:rsidRDefault="00591043" w:rsidP="00591043">
      <w:pPr>
        <w:pStyle w:val="BodyText"/>
      </w:pPr>
      <w:r w:rsidRPr="00DC5568">
        <w:t>Leadership is not management, it is not inherently linked to career advancement, nor is it solely the domain of senior nurses. Effective leadership is characterised by attributes such as integrity, empathy and resilience. It requires an understanding of the team and how to use their strengths and address weaknesses to drive collective success. Fostering inclusive, innovative and competent leaders who engage and practice with strategic intent will unlock the full potential of the nursing workforce. Actively advancing the diversity and profile of current and future leaders will result in a workforce that is highly valued not just for their presence, but for their skills and leadership qualities.</w:t>
      </w:r>
    </w:p>
    <w:tbl>
      <w:tblPr>
        <w:tblStyle w:val="TableGrid"/>
        <w:tblW w:w="5000" w:type="pct"/>
        <w:tblLook w:val="0420" w:firstRow="1" w:lastRow="0" w:firstColumn="0" w:lastColumn="0" w:noHBand="0" w:noVBand="1"/>
      </w:tblPr>
      <w:tblGrid>
        <w:gridCol w:w="3005"/>
        <w:gridCol w:w="3006"/>
        <w:gridCol w:w="3006"/>
      </w:tblGrid>
      <w:tr w:rsidR="00591043" w:rsidRPr="00DC5568" w14:paraId="4CEE070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34FF5AE" w14:textId="77777777" w:rsidR="00591043" w:rsidRPr="00DC5568" w:rsidRDefault="00591043" w:rsidP="00591043">
            <w:pPr>
              <w:spacing w:before="48" w:after="48" w:line="288" w:lineRule="auto"/>
            </w:pPr>
            <w:r w:rsidRPr="00DC5568">
              <w:t>Action</w:t>
            </w:r>
          </w:p>
        </w:tc>
        <w:tc>
          <w:tcPr>
            <w:tcW w:w="1667" w:type="pct"/>
          </w:tcPr>
          <w:p w14:paraId="0D90FB17" w14:textId="77777777" w:rsidR="00591043" w:rsidRPr="00DC5568" w:rsidRDefault="00591043" w:rsidP="00591043">
            <w:pPr>
              <w:spacing w:before="48" w:after="48" w:line="288" w:lineRule="auto"/>
            </w:pPr>
            <w:r w:rsidRPr="00DC5568">
              <w:t xml:space="preserve">Intended outcomes </w:t>
            </w:r>
          </w:p>
        </w:tc>
        <w:tc>
          <w:tcPr>
            <w:tcW w:w="1667" w:type="pct"/>
          </w:tcPr>
          <w:p w14:paraId="0DFD63E5" w14:textId="77777777" w:rsidR="00591043" w:rsidRPr="00DC5568" w:rsidRDefault="00591043" w:rsidP="00591043">
            <w:pPr>
              <w:spacing w:before="48" w:after="48" w:line="288" w:lineRule="auto"/>
            </w:pPr>
            <w:r w:rsidRPr="00DC5568">
              <w:t>Responsibility</w:t>
            </w:r>
          </w:p>
        </w:tc>
      </w:tr>
      <w:tr w:rsidR="00980C66" w:rsidRPr="00DC5568" w14:paraId="1D907A11" w14:textId="77777777" w:rsidTr="003D2348">
        <w:tc>
          <w:tcPr>
            <w:tcW w:w="1666" w:type="pct"/>
          </w:tcPr>
          <w:p w14:paraId="2AB15CC3" w14:textId="0973362D" w:rsidR="00980C66" w:rsidRPr="00DC5568" w:rsidRDefault="00980C66" w:rsidP="00980C66">
            <w:pPr>
              <w:pStyle w:val="HangingIndent"/>
            </w:pPr>
            <w:r w:rsidRPr="00DC5568">
              <w:t>3.1</w:t>
            </w:r>
            <w:r>
              <w:tab/>
            </w:r>
            <w:r w:rsidRPr="00DC5568">
              <w:t>Advance nursing leadership.</w:t>
            </w:r>
          </w:p>
        </w:tc>
        <w:tc>
          <w:tcPr>
            <w:tcW w:w="1667" w:type="pct"/>
          </w:tcPr>
          <w:p w14:paraId="71407263" w14:textId="77777777" w:rsidR="00980C66" w:rsidRPr="00980C66" w:rsidRDefault="00980C66" w:rsidP="00980C66">
            <w:r w:rsidRPr="00980C66">
              <w:t>Nurses understand leadership principles and methods from the start of their careers.</w:t>
            </w:r>
          </w:p>
          <w:p w14:paraId="50714017" w14:textId="77777777" w:rsidR="00980C66" w:rsidRPr="00980C66" w:rsidRDefault="00980C66" w:rsidP="00980C66">
            <w:r w:rsidRPr="00980C66">
              <w:t xml:space="preserve">Nurse leaders are diverse and cultivate positive practice environments and drive evidence-based practice, supporting optimal consumer outcomes. </w:t>
            </w:r>
          </w:p>
          <w:p w14:paraId="23B4A393" w14:textId="77777777" w:rsidR="00980C66" w:rsidRPr="00980C66" w:rsidRDefault="00980C66" w:rsidP="00980C66">
            <w:r w:rsidRPr="00980C66">
              <w:t>Nurses are competitive in leadership roles across the spectrum of health.</w:t>
            </w:r>
          </w:p>
          <w:p w14:paraId="63F4037C" w14:textId="77777777" w:rsidR="00980C66" w:rsidRPr="00980C66" w:rsidRDefault="00980C66" w:rsidP="00980C66">
            <w:r w:rsidRPr="00980C66">
              <w:t>Nursing retention is demonstrated through improved supply and demand data.</w:t>
            </w:r>
          </w:p>
        </w:tc>
        <w:tc>
          <w:tcPr>
            <w:tcW w:w="1667" w:type="pct"/>
          </w:tcPr>
          <w:p w14:paraId="23369805" w14:textId="77777777" w:rsidR="00980C66" w:rsidRPr="00980C66" w:rsidRDefault="00980C66" w:rsidP="00980C66">
            <w:r w:rsidRPr="00980C66">
              <w:t>Education providers/registered training organisations</w:t>
            </w:r>
          </w:p>
          <w:p w14:paraId="0072C7D8" w14:textId="77777777" w:rsidR="00980C66" w:rsidRPr="00980C66" w:rsidRDefault="00980C66" w:rsidP="00980C66">
            <w:r w:rsidRPr="00980C66">
              <w:t>Employers</w:t>
            </w:r>
          </w:p>
          <w:p w14:paraId="4E695CA5" w14:textId="77777777" w:rsidR="00980C66" w:rsidRPr="00980C66" w:rsidRDefault="00980C66" w:rsidP="00980C66">
            <w:r w:rsidRPr="00980C66">
              <w:t>Governments</w:t>
            </w:r>
          </w:p>
          <w:p w14:paraId="3B14021B" w14:textId="77777777" w:rsidR="00980C66" w:rsidRPr="00980C66" w:rsidRDefault="00980C66" w:rsidP="00980C66">
            <w:r w:rsidRPr="00980C66">
              <w:t>Nursing profession/workforce</w:t>
            </w:r>
          </w:p>
          <w:p w14:paraId="09A194C9" w14:textId="77777777" w:rsidR="00980C66" w:rsidRPr="00980C66" w:rsidRDefault="00980C66" w:rsidP="00980C66">
            <w:r w:rsidRPr="00980C66">
              <w:t>Professional and industry bodies</w:t>
            </w:r>
          </w:p>
          <w:p w14:paraId="16D5A7BB" w14:textId="77777777" w:rsidR="00980C66" w:rsidRPr="00980C66" w:rsidRDefault="00980C66" w:rsidP="00980C66">
            <w:r w:rsidRPr="00980C66">
              <w:t>Regulators</w:t>
            </w:r>
          </w:p>
        </w:tc>
      </w:tr>
    </w:tbl>
    <w:p w14:paraId="1B2972B8" w14:textId="77777777" w:rsidR="00591043" w:rsidRPr="00DC5568" w:rsidRDefault="00591043" w:rsidP="00AD1B5B">
      <w:pPr>
        <w:pStyle w:val="Heading2"/>
        <w:pageBreakBefore/>
      </w:pPr>
      <w:bookmarkStart w:id="95" w:name="_Toc236309262"/>
      <w:bookmarkStart w:id="96" w:name="_Toc236399771"/>
      <w:r w:rsidRPr="00DC5568">
        <w:lastRenderedPageBreak/>
        <w:t>Aboriginal and Torres Strait Islander leadership</w:t>
      </w:r>
      <w:bookmarkEnd w:id="95"/>
      <w:bookmarkEnd w:id="96"/>
    </w:p>
    <w:p w14:paraId="2022C441" w14:textId="77777777" w:rsidR="00591043" w:rsidRPr="00DC5568" w:rsidRDefault="00591043" w:rsidP="00AD1B5B">
      <w:pPr>
        <w:pStyle w:val="Heading3"/>
      </w:pPr>
      <w:r w:rsidRPr="00DC5568">
        <w:t>Reason for action</w:t>
      </w:r>
    </w:p>
    <w:p w14:paraId="70CFA90F" w14:textId="77777777" w:rsidR="00591043" w:rsidRPr="00DC5568" w:rsidRDefault="00591043" w:rsidP="00591043">
      <w:pPr>
        <w:pStyle w:val="BodyText"/>
      </w:pPr>
      <w:r w:rsidRPr="00DC5568">
        <w:t>Evidence shows the Aboriginal and Torres Strait Islander health workforce delivers better health and care outcomes for Aboriginal and Torres Strait Islander consumers.</w:t>
      </w:r>
      <w:r w:rsidRPr="00C76E76">
        <w:rPr>
          <w:rStyle w:val="EndnoteReference"/>
        </w:rPr>
        <w:endnoteReference w:id="56"/>
      </w:r>
      <w:r w:rsidRPr="00DC5568">
        <w:t xml:space="preserve"> </w:t>
      </w:r>
    </w:p>
    <w:p w14:paraId="69958E2C" w14:textId="77777777" w:rsidR="00591043" w:rsidRPr="00DC5568" w:rsidRDefault="00591043" w:rsidP="00591043">
      <w:pPr>
        <w:pStyle w:val="BodyText"/>
      </w:pPr>
      <w:r w:rsidRPr="00DC5568">
        <w:t>Accelerating the growth of the leadership pool of Aboriginal and Torres Strait Islander nurses will elevate the voices and positioning of Aboriginal and Torres Strait Islander nurses. It will also increase the visibility and elevate the influence and career potential of Aboriginal and Torres Strait Islander nurses.</w:t>
      </w:r>
      <w:r w:rsidRPr="00C76E76">
        <w:rPr>
          <w:rStyle w:val="EndnoteReference"/>
        </w:rPr>
        <w:endnoteReference w:id="57"/>
      </w:r>
    </w:p>
    <w:tbl>
      <w:tblPr>
        <w:tblStyle w:val="TableGrid"/>
        <w:tblW w:w="5000" w:type="pct"/>
        <w:tblLook w:val="0420" w:firstRow="1" w:lastRow="0" w:firstColumn="0" w:lastColumn="0" w:noHBand="0" w:noVBand="1"/>
      </w:tblPr>
      <w:tblGrid>
        <w:gridCol w:w="3005"/>
        <w:gridCol w:w="3006"/>
        <w:gridCol w:w="3006"/>
      </w:tblGrid>
      <w:tr w:rsidR="00591043" w:rsidRPr="00DC5568" w14:paraId="57EED98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297C1337" w14:textId="77777777" w:rsidR="00591043" w:rsidRPr="00DC5568" w:rsidRDefault="00591043" w:rsidP="00591043">
            <w:pPr>
              <w:spacing w:before="48" w:after="48" w:line="288" w:lineRule="auto"/>
            </w:pPr>
            <w:r w:rsidRPr="00DC5568">
              <w:t>Action</w:t>
            </w:r>
          </w:p>
        </w:tc>
        <w:tc>
          <w:tcPr>
            <w:tcW w:w="1667" w:type="pct"/>
          </w:tcPr>
          <w:p w14:paraId="17F9E7AB" w14:textId="77777777" w:rsidR="00591043" w:rsidRPr="00DC5568" w:rsidRDefault="00591043" w:rsidP="00591043">
            <w:pPr>
              <w:spacing w:before="48" w:after="48" w:line="288" w:lineRule="auto"/>
            </w:pPr>
            <w:r w:rsidRPr="00DC5568">
              <w:t xml:space="preserve">Intended outcomes </w:t>
            </w:r>
          </w:p>
        </w:tc>
        <w:tc>
          <w:tcPr>
            <w:tcW w:w="1667" w:type="pct"/>
          </w:tcPr>
          <w:p w14:paraId="693957EC" w14:textId="77777777" w:rsidR="00591043" w:rsidRPr="00DC5568" w:rsidRDefault="00591043" w:rsidP="00591043">
            <w:pPr>
              <w:spacing w:before="48" w:after="48" w:line="288" w:lineRule="auto"/>
            </w:pPr>
            <w:r w:rsidRPr="00DC5568">
              <w:t>Responsibility</w:t>
            </w:r>
          </w:p>
        </w:tc>
      </w:tr>
      <w:tr w:rsidR="00131720" w:rsidRPr="00DC5568" w14:paraId="55728BD8" w14:textId="77777777" w:rsidTr="003D2348">
        <w:tc>
          <w:tcPr>
            <w:tcW w:w="1666" w:type="pct"/>
          </w:tcPr>
          <w:p w14:paraId="483C5354" w14:textId="2C51DD3A" w:rsidR="00131720" w:rsidRPr="00DC5568" w:rsidRDefault="00131720" w:rsidP="00131720">
            <w:pPr>
              <w:pStyle w:val="HangingIndent"/>
            </w:pPr>
            <w:r w:rsidRPr="00DC5568">
              <w:t>3.2</w:t>
            </w:r>
            <w:r>
              <w:tab/>
            </w:r>
            <w:r w:rsidRPr="00DC5568">
              <w:t>Grow Aboriginal and Torres Strait Islander nurse leadership.</w:t>
            </w:r>
          </w:p>
        </w:tc>
        <w:tc>
          <w:tcPr>
            <w:tcW w:w="1667" w:type="pct"/>
          </w:tcPr>
          <w:p w14:paraId="4D55A67D" w14:textId="77777777" w:rsidR="00131720" w:rsidRPr="00131720" w:rsidRDefault="00131720" w:rsidP="00131720">
            <w:r w:rsidRPr="00131720">
              <w:t xml:space="preserve">Aboriginal and Torres Strait Islander nursing leaders are embedded and visible in senior leadership. </w:t>
            </w:r>
          </w:p>
          <w:p w14:paraId="763B203C" w14:textId="2B8410EC" w:rsidR="00131720" w:rsidRPr="00131720" w:rsidRDefault="00131720" w:rsidP="00131720">
            <w:r w:rsidRPr="00131720">
              <w:t xml:space="preserve">Increased representation of Aboriginal and Torres Strait Islander nurse leaders within the workforce. </w:t>
            </w:r>
          </w:p>
        </w:tc>
        <w:tc>
          <w:tcPr>
            <w:tcW w:w="1667" w:type="pct"/>
          </w:tcPr>
          <w:p w14:paraId="55509156" w14:textId="77777777" w:rsidR="00131720" w:rsidRPr="00131720" w:rsidRDefault="00131720" w:rsidP="00131720">
            <w:r w:rsidRPr="00131720">
              <w:t>Education providers/registered training organisations</w:t>
            </w:r>
          </w:p>
          <w:p w14:paraId="0EE46DAE" w14:textId="77777777" w:rsidR="00131720" w:rsidRPr="00131720" w:rsidRDefault="00131720" w:rsidP="00131720">
            <w:r w:rsidRPr="00131720">
              <w:t>Employers</w:t>
            </w:r>
          </w:p>
          <w:p w14:paraId="6C507317" w14:textId="77777777" w:rsidR="00131720" w:rsidRPr="00131720" w:rsidRDefault="00131720" w:rsidP="00131720">
            <w:r w:rsidRPr="00131720">
              <w:t>Governments</w:t>
            </w:r>
          </w:p>
          <w:p w14:paraId="655C331D" w14:textId="77777777" w:rsidR="00131720" w:rsidRPr="00131720" w:rsidRDefault="00131720" w:rsidP="00131720">
            <w:r w:rsidRPr="00131720">
              <w:t>Nursing profession/workforce</w:t>
            </w:r>
          </w:p>
          <w:p w14:paraId="1D21BFD2" w14:textId="20F8B1A2" w:rsidR="00131720" w:rsidRPr="00131720" w:rsidRDefault="00131720" w:rsidP="00131720">
            <w:r w:rsidRPr="00131720">
              <w:t>Professional and industry bodies</w:t>
            </w:r>
            <w:r w:rsidR="00C76E76">
              <w:t xml:space="preserve"> </w:t>
            </w:r>
          </w:p>
          <w:p w14:paraId="32C89E6D" w14:textId="77777777" w:rsidR="00131720" w:rsidRPr="00131720" w:rsidRDefault="00131720" w:rsidP="00131720">
            <w:r w:rsidRPr="00131720">
              <w:t>Regulators</w:t>
            </w:r>
          </w:p>
        </w:tc>
      </w:tr>
    </w:tbl>
    <w:p w14:paraId="266BCBEA" w14:textId="77777777" w:rsidR="00591043" w:rsidRPr="00DC5568" w:rsidRDefault="00591043" w:rsidP="008B39DB">
      <w:pPr>
        <w:pStyle w:val="Heading2"/>
        <w:pageBreakBefore/>
      </w:pPr>
      <w:bookmarkStart w:id="97" w:name="_Toc236309263"/>
      <w:bookmarkStart w:id="98" w:name="_Toc236399772"/>
      <w:r w:rsidRPr="00DC5568">
        <w:lastRenderedPageBreak/>
        <w:t>Racism</w:t>
      </w:r>
      <w:bookmarkEnd w:id="97"/>
      <w:bookmarkEnd w:id="98"/>
    </w:p>
    <w:p w14:paraId="107A9FCF" w14:textId="77777777" w:rsidR="00591043" w:rsidRPr="00DC5568" w:rsidRDefault="00591043" w:rsidP="00AD1B5B">
      <w:pPr>
        <w:pStyle w:val="Heading3"/>
      </w:pPr>
      <w:r w:rsidRPr="00DC5568">
        <w:t>Reason for action</w:t>
      </w:r>
    </w:p>
    <w:p w14:paraId="4B518CD5" w14:textId="77777777" w:rsidR="00591043" w:rsidRPr="00DC5568" w:rsidRDefault="00591043" w:rsidP="00591043">
      <w:pPr>
        <w:pStyle w:val="BodyText"/>
      </w:pPr>
      <w:r w:rsidRPr="00DC5568">
        <w:t>Australia is one of the most culturally and linguistically diverse countries in the world.</w:t>
      </w:r>
      <w:r w:rsidRPr="00C76E76">
        <w:rPr>
          <w:rStyle w:val="EndnoteReference"/>
        </w:rPr>
        <w:endnoteReference w:id="58"/>
      </w:r>
      <w:r w:rsidRPr="00DC5568">
        <w:t xml:space="preserve"> However, too many individuals and communities in Australia experience prejudice, discrimination and racism on a regular basis.</w:t>
      </w:r>
      <w:r w:rsidRPr="00C76E76">
        <w:rPr>
          <w:rStyle w:val="EndnoteReference"/>
        </w:rPr>
        <w:endnoteReference w:id="59"/>
      </w:r>
      <w:r w:rsidRPr="00DC5568">
        <w:t xml:space="preserve"> Racism has profoundly detrimental effects on people’s lives, including leading to worse health outcomes.</w:t>
      </w:r>
      <w:r w:rsidRPr="00C76E76">
        <w:rPr>
          <w:rStyle w:val="EndnoteReference"/>
        </w:rPr>
        <w:endnoteReference w:id="60"/>
      </w:r>
      <w:r w:rsidRPr="00DC5568">
        <w:t xml:space="preserve"> The ongoing harm to Aboriginal and Torres Strait Islander people, including Aboriginal and Torres Strait Islander students and nurses, from racism is recognised. </w:t>
      </w:r>
    </w:p>
    <w:p w14:paraId="1294AFE8" w14:textId="77777777" w:rsidR="00591043" w:rsidRPr="00DC5568" w:rsidRDefault="00591043" w:rsidP="00591043">
      <w:pPr>
        <w:pStyle w:val="BodyText"/>
      </w:pPr>
      <w:r w:rsidRPr="00DC5568">
        <w:t xml:space="preserve">Racism and discrimination in the health and aged care system is an issue which must be addressed and ultimately removed, so nurses feel safe in their workplaces and consumers feel comfortable to access health and aged care which meets their cultural needs. </w:t>
      </w:r>
    </w:p>
    <w:tbl>
      <w:tblPr>
        <w:tblStyle w:val="TableGrid"/>
        <w:tblW w:w="5000" w:type="pct"/>
        <w:tblLook w:val="0420" w:firstRow="1" w:lastRow="0" w:firstColumn="0" w:lastColumn="0" w:noHBand="0" w:noVBand="1"/>
      </w:tblPr>
      <w:tblGrid>
        <w:gridCol w:w="3005"/>
        <w:gridCol w:w="3006"/>
        <w:gridCol w:w="3006"/>
      </w:tblGrid>
      <w:tr w:rsidR="00591043" w:rsidRPr="00DC5568" w14:paraId="2EB139B0"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D2D19AA" w14:textId="77777777" w:rsidR="00591043" w:rsidRPr="00DC5568" w:rsidRDefault="00591043" w:rsidP="00591043">
            <w:pPr>
              <w:spacing w:before="48" w:after="48" w:line="288" w:lineRule="auto"/>
            </w:pPr>
            <w:r w:rsidRPr="00DC5568">
              <w:t>Action</w:t>
            </w:r>
          </w:p>
        </w:tc>
        <w:tc>
          <w:tcPr>
            <w:tcW w:w="1667" w:type="pct"/>
          </w:tcPr>
          <w:p w14:paraId="763E8C69" w14:textId="77777777" w:rsidR="00591043" w:rsidRPr="00DC5568" w:rsidRDefault="00591043" w:rsidP="00591043">
            <w:pPr>
              <w:spacing w:before="48" w:after="48" w:line="288" w:lineRule="auto"/>
            </w:pPr>
            <w:r w:rsidRPr="00DC5568">
              <w:t xml:space="preserve">Intended outcomes </w:t>
            </w:r>
          </w:p>
        </w:tc>
        <w:tc>
          <w:tcPr>
            <w:tcW w:w="1667" w:type="pct"/>
          </w:tcPr>
          <w:p w14:paraId="589D8983" w14:textId="77777777" w:rsidR="00591043" w:rsidRPr="00DC5568" w:rsidRDefault="00591043" w:rsidP="00591043">
            <w:pPr>
              <w:spacing w:before="48" w:after="48" w:line="288" w:lineRule="auto"/>
            </w:pPr>
            <w:r w:rsidRPr="00DC5568">
              <w:t>Responsibility</w:t>
            </w:r>
          </w:p>
        </w:tc>
      </w:tr>
      <w:tr w:rsidR="00131720" w:rsidRPr="00DC5568" w14:paraId="198D2EC5" w14:textId="77777777" w:rsidTr="003D2348">
        <w:tc>
          <w:tcPr>
            <w:tcW w:w="1666" w:type="pct"/>
          </w:tcPr>
          <w:p w14:paraId="53CF3B80" w14:textId="3437D06F" w:rsidR="00131720" w:rsidRPr="00DC5568" w:rsidRDefault="00131720" w:rsidP="00131720">
            <w:pPr>
              <w:pStyle w:val="HangingIndent"/>
            </w:pPr>
            <w:r w:rsidRPr="00DC5568">
              <w:t>3.3</w:t>
            </w:r>
            <w:r>
              <w:tab/>
            </w:r>
            <w:r w:rsidRPr="00DC5568">
              <w:t>Adopt anti-racism initiatives in nursing.</w:t>
            </w:r>
          </w:p>
        </w:tc>
        <w:tc>
          <w:tcPr>
            <w:tcW w:w="1667" w:type="pct"/>
          </w:tcPr>
          <w:p w14:paraId="502A734B" w14:textId="77777777" w:rsidR="00131720" w:rsidRPr="00131720" w:rsidRDefault="00131720" w:rsidP="00131720">
            <w:r w:rsidRPr="00131720">
              <w:t>Elimination of racism in nursing (by nurses and towards nurses).</w:t>
            </w:r>
          </w:p>
          <w:p w14:paraId="0795DD44" w14:textId="77777777" w:rsidR="00131720" w:rsidRPr="00131720" w:rsidRDefault="00131720" w:rsidP="00131720">
            <w:r w:rsidRPr="00131720">
              <w:t>Progressively reducing the number of racism complaints.</w:t>
            </w:r>
          </w:p>
        </w:tc>
        <w:tc>
          <w:tcPr>
            <w:tcW w:w="1667" w:type="pct"/>
          </w:tcPr>
          <w:p w14:paraId="1B562517" w14:textId="77777777" w:rsidR="00131720" w:rsidRPr="00131720" w:rsidRDefault="00131720" w:rsidP="00131720">
            <w:r w:rsidRPr="00131720">
              <w:t xml:space="preserve">Consumer and carer organisations </w:t>
            </w:r>
          </w:p>
          <w:p w14:paraId="52D99D59" w14:textId="77777777" w:rsidR="00131720" w:rsidRPr="00131720" w:rsidRDefault="00131720" w:rsidP="00131720">
            <w:r w:rsidRPr="00131720">
              <w:t>Education providers/registered training organisations</w:t>
            </w:r>
          </w:p>
          <w:p w14:paraId="01764FCE" w14:textId="77777777" w:rsidR="00131720" w:rsidRPr="00131720" w:rsidRDefault="00131720" w:rsidP="00131720">
            <w:r w:rsidRPr="00131720">
              <w:t>Employers</w:t>
            </w:r>
          </w:p>
          <w:p w14:paraId="32E0379A" w14:textId="77777777" w:rsidR="00131720" w:rsidRPr="00131720" w:rsidRDefault="00131720" w:rsidP="00131720">
            <w:r w:rsidRPr="00131720">
              <w:t>Governments</w:t>
            </w:r>
          </w:p>
          <w:p w14:paraId="5EC1D767" w14:textId="77777777" w:rsidR="00131720" w:rsidRPr="00131720" w:rsidRDefault="00131720" w:rsidP="00131720">
            <w:r w:rsidRPr="00131720">
              <w:t>Nursing profession/workforce</w:t>
            </w:r>
          </w:p>
          <w:p w14:paraId="4D716232" w14:textId="77777777" w:rsidR="00131720" w:rsidRPr="00131720" w:rsidRDefault="00131720" w:rsidP="00131720">
            <w:r w:rsidRPr="00131720">
              <w:t>Professional and industry bodies</w:t>
            </w:r>
          </w:p>
          <w:p w14:paraId="11D0FD2C" w14:textId="77777777" w:rsidR="00131720" w:rsidRPr="00131720" w:rsidRDefault="00131720" w:rsidP="00131720">
            <w:r w:rsidRPr="00131720">
              <w:t>Regulators</w:t>
            </w:r>
          </w:p>
        </w:tc>
      </w:tr>
    </w:tbl>
    <w:p w14:paraId="7185A27E" w14:textId="77777777" w:rsidR="00591043" w:rsidRPr="00DC5568" w:rsidRDefault="00591043" w:rsidP="008B39DB">
      <w:pPr>
        <w:pStyle w:val="Heading2"/>
        <w:pageBreakBefore/>
      </w:pPr>
      <w:bookmarkStart w:id="101" w:name="_Toc236309264"/>
      <w:bookmarkStart w:id="102" w:name="_Toc236399773"/>
      <w:r w:rsidRPr="00DC5568">
        <w:lastRenderedPageBreak/>
        <w:t>Diversity, discrimination and cultural safety</w:t>
      </w:r>
      <w:bookmarkEnd w:id="101"/>
      <w:bookmarkEnd w:id="102"/>
    </w:p>
    <w:p w14:paraId="2EB7ACFE" w14:textId="77777777" w:rsidR="00591043" w:rsidRPr="00DC5568" w:rsidRDefault="00591043" w:rsidP="00AD1B5B">
      <w:pPr>
        <w:pStyle w:val="Heading3"/>
      </w:pPr>
      <w:r w:rsidRPr="00DC5568">
        <w:t>Reason for action</w:t>
      </w:r>
    </w:p>
    <w:p w14:paraId="5774516E" w14:textId="3D30D1C5" w:rsidR="00591043" w:rsidRPr="00DC5568" w:rsidRDefault="00591043" w:rsidP="00591043">
      <w:pPr>
        <w:pStyle w:val="BodyText"/>
      </w:pPr>
      <w:r w:rsidRPr="00DC5568">
        <w:t>Cultural safety is a critical aspect of providing holistic and inclusive care to consumers from diverse backgrounds. Cultural safety goes beyond merely recognising cultural awareness and sensitivity</w:t>
      </w:r>
      <w:r w:rsidR="00DF1B20" w:rsidRPr="00DC5568">
        <w:t>.</w:t>
      </w:r>
      <w:r w:rsidRPr="00C76E76">
        <w:rPr>
          <w:rStyle w:val="EndnoteReference"/>
        </w:rPr>
        <w:endnoteReference w:id="61"/>
      </w:r>
      <w:r w:rsidRPr="00DC5568">
        <w:t xml:space="preserve"> It involves recognising power imbalances inherent in healthcare settings and addressing them to ensure equitable and respectful treatment for all consumers</w:t>
      </w:r>
      <w:r w:rsidR="00DF1B20" w:rsidRPr="00DC5568">
        <w:t>.</w:t>
      </w:r>
      <w:r w:rsidRPr="00C76E76">
        <w:rPr>
          <w:rStyle w:val="EndnoteReference"/>
        </w:rPr>
        <w:endnoteReference w:id="62"/>
      </w:r>
      <w:r w:rsidRPr="00DC5568">
        <w:t xml:space="preserve"> For nurses, cultural competence is fundamental to delivering culturally safe care</w:t>
      </w:r>
      <w:r w:rsidR="00DF1B20">
        <w:t>.</w:t>
      </w:r>
      <w:r w:rsidRPr="00C76E76">
        <w:rPr>
          <w:rStyle w:val="EndnoteReference"/>
        </w:rPr>
        <w:endnoteReference w:id="63"/>
      </w:r>
      <w:r w:rsidRPr="00DC5568">
        <w:t xml:space="preserve"> By fostering cultural competence, nurses can build trust and rapport, leading to better health outcomes and greater consumer satisfaction</w:t>
      </w:r>
      <w:r w:rsidR="00DF1B20">
        <w:t>.</w:t>
      </w:r>
      <w:r w:rsidRPr="00C76E76">
        <w:rPr>
          <w:rStyle w:val="EndnoteReference"/>
        </w:rPr>
        <w:endnoteReference w:id="64"/>
      </w:r>
      <w:r w:rsidRPr="00DC5568">
        <w:rPr>
          <w:vertAlign w:val="superscript"/>
        </w:rPr>
        <w:t>,</w:t>
      </w:r>
      <w:r w:rsidRPr="00C76E76">
        <w:rPr>
          <w:rStyle w:val="EndnoteReference"/>
        </w:rPr>
        <w:endnoteReference w:id="65"/>
      </w:r>
    </w:p>
    <w:p w14:paraId="2464DBE7" w14:textId="77777777" w:rsidR="00591043" w:rsidRPr="00DC5568" w:rsidRDefault="00591043" w:rsidP="00591043">
      <w:pPr>
        <w:pStyle w:val="BodyText"/>
      </w:pPr>
      <w:r w:rsidRPr="00DC5568">
        <w:t>The nursing profession has a key leadership role in fostering an inclusive health and aged care system that values and respects the contributions of all Australians. The diversity of the nursing workforce in Australia and recognition of the intersectionality within it, is crucial to achieve this.</w:t>
      </w:r>
    </w:p>
    <w:tbl>
      <w:tblPr>
        <w:tblStyle w:val="TableGrid"/>
        <w:tblW w:w="5000" w:type="pct"/>
        <w:tblLook w:val="0420" w:firstRow="1" w:lastRow="0" w:firstColumn="0" w:lastColumn="0" w:noHBand="0" w:noVBand="1"/>
      </w:tblPr>
      <w:tblGrid>
        <w:gridCol w:w="3005"/>
        <w:gridCol w:w="3006"/>
        <w:gridCol w:w="3006"/>
      </w:tblGrid>
      <w:tr w:rsidR="00591043" w:rsidRPr="00DC5568" w14:paraId="0591A7C1"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C54F8D2" w14:textId="77777777" w:rsidR="00591043" w:rsidRPr="00DC5568" w:rsidRDefault="00591043" w:rsidP="00591043">
            <w:pPr>
              <w:spacing w:before="48" w:after="48" w:line="288" w:lineRule="auto"/>
            </w:pPr>
            <w:r w:rsidRPr="00DC5568">
              <w:t>Action</w:t>
            </w:r>
          </w:p>
        </w:tc>
        <w:tc>
          <w:tcPr>
            <w:tcW w:w="1667" w:type="pct"/>
          </w:tcPr>
          <w:p w14:paraId="72DA6A33" w14:textId="77777777" w:rsidR="00591043" w:rsidRPr="00DC5568" w:rsidRDefault="00591043" w:rsidP="00591043">
            <w:pPr>
              <w:spacing w:before="48" w:after="48" w:line="288" w:lineRule="auto"/>
            </w:pPr>
            <w:r w:rsidRPr="00DC5568">
              <w:t xml:space="preserve">Intended outcomes </w:t>
            </w:r>
          </w:p>
        </w:tc>
        <w:tc>
          <w:tcPr>
            <w:tcW w:w="1667" w:type="pct"/>
          </w:tcPr>
          <w:p w14:paraId="40292588" w14:textId="77777777" w:rsidR="00591043" w:rsidRPr="00DC5568" w:rsidRDefault="00591043" w:rsidP="00591043">
            <w:pPr>
              <w:spacing w:before="48" w:after="48" w:line="288" w:lineRule="auto"/>
            </w:pPr>
            <w:r w:rsidRPr="00DC5568">
              <w:t>Responsibility</w:t>
            </w:r>
          </w:p>
        </w:tc>
      </w:tr>
      <w:tr w:rsidR="00131720" w:rsidRPr="00DC5568" w14:paraId="2BFF0518" w14:textId="77777777" w:rsidTr="003D2348">
        <w:tc>
          <w:tcPr>
            <w:tcW w:w="1666" w:type="pct"/>
          </w:tcPr>
          <w:p w14:paraId="26DF7BE7" w14:textId="02AA9578" w:rsidR="00131720" w:rsidRPr="00DC5568" w:rsidRDefault="00131720" w:rsidP="00131720">
            <w:pPr>
              <w:pStyle w:val="HangingIndent"/>
            </w:pPr>
            <w:r w:rsidRPr="00DC5568">
              <w:t>3.4</w:t>
            </w:r>
            <w:r>
              <w:tab/>
            </w:r>
            <w:r w:rsidRPr="00DC5568">
              <w:t>Foster a diverse, inclusive and culturally safe nursing workforce.</w:t>
            </w:r>
          </w:p>
        </w:tc>
        <w:tc>
          <w:tcPr>
            <w:tcW w:w="1667" w:type="pct"/>
          </w:tcPr>
          <w:p w14:paraId="66A104AA" w14:textId="77777777" w:rsidR="00131720" w:rsidRPr="00131720" w:rsidRDefault="00131720" w:rsidP="00131720">
            <w:r w:rsidRPr="00131720">
              <w:t>The nursing workforce is representative of the communities it is engaged with.</w:t>
            </w:r>
          </w:p>
          <w:p w14:paraId="4A3CCCFE" w14:textId="77777777" w:rsidR="00131720" w:rsidRPr="00131720" w:rsidRDefault="00131720" w:rsidP="00131720">
            <w:r w:rsidRPr="00131720">
              <w:t>The nursing workforce leads culturally safe and competent workplaces that have inclusive policies and practices.</w:t>
            </w:r>
          </w:p>
        </w:tc>
        <w:tc>
          <w:tcPr>
            <w:tcW w:w="1667" w:type="pct"/>
          </w:tcPr>
          <w:p w14:paraId="199100F2" w14:textId="77777777" w:rsidR="00131720" w:rsidRPr="00131720" w:rsidRDefault="00131720" w:rsidP="00131720">
            <w:r w:rsidRPr="00131720">
              <w:t xml:space="preserve">Consumer and carer organisations </w:t>
            </w:r>
          </w:p>
          <w:p w14:paraId="6ADE0121" w14:textId="77777777" w:rsidR="00131720" w:rsidRPr="00131720" w:rsidRDefault="00131720" w:rsidP="00131720">
            <w:r w:rsidRPr="00131720">
              <w:t>Education providers/registered training organisations</w:t>
            </w:r>
          </w:p>
          <w:p w14:paraId="61DE3830" w14:textId="77777777" w:rsidR="00131720" w:rsidRPr="00131720" w:rsidRDefault="00131720" w:rsidP="00131720">
            <w:r w:rsidRPr="00131720">
              <w:t>Employers</w:t>
            </w:r>
          </w:p>
          <w:p w14:paraId="251E642D" w14:textId="77777777" w:rsidR="00131720" w:rsidRPr="00131720" w:rsidRDefault="00131720" w:rsidP="00131720">
            <w:r w:rsidRPr="00131720">
              <w:t>Governments</w:t>
            </w:r>
          </w:p>
          <w:p w14:paraId="19F5EAEA" w14:textId="77777777" w:rsidR="00131720" w:rsidRPr="00131720" w:rsidRDefault="00131720" w:rsidP="00131720">
            <w:r w:rsidRPr="00131720">
              <w:t>Nursing profession/workforce</w:t>
            </w:r>
          </w:p>
          <w:p w14:paraId="0A41E150" w14:textId="77777777" w:rsidR="00131720" w:rsidRPr="00131720" w:rsidRDefault="00131720" w:rsidP="00131720">
            <w:r w:rsidRPr="00131720">
              <w:t>Professional and industry bodies</w:t>
            </w:r>
          </w:p>
          <w:p w14:paraId="1C6D666C" w14:textId="77777777" w:rsidR="00131720" w:rsidRPr="00131720" w:rsidRDefault="00131720" w:rsidP="00131720">
            <w:r w:rsidRPr="00131720">
              <w:t>Regulators</w:t>
            </w:r>
          </w:p>
        </w:tc>
      </w:tr>
    </w:tbl>
    <w:p w14:paraId="7173249C" w14:textId="77777777" w:rsidR="00591043" w:rsidRPr="00DC5568" w:rsidDel="00722539" w:rsidRDefault="00591043" w:rsidP="008B39DB">
      <w:pPr>
        <w:pStyle w:val="Heading2"/>
        <w:pageBreakBefore/>
      </w:pPr>
      <w:bookmarkStart w:id="103" w:name="_Toc236309265"/>
      <w:bookmarkStart w:id="104" w:name="_Toc236399774"/>
      <w:r w:rsidRPr="00DC5568">
        <w:lastRenderedPageBreak/>
        <w:t>Internationally qualified nurses</w:t>
      </w:r>
      <w:bookmarkEnd w:id="103"/>
      <w:bookmarkEnd w:id="104"/>
    </w:p>
    <w:p w14:paraId="69506C08" w14:textId="77777777" w:rsidR="00591043" w:rsidRPr="00DC5568" w:rsidRDefault="00591043" w:rsidP="00AD1B5B">
      <w:pPr>
        <w:pStyle w:val="Heading3"/>
      </w:pPr>
      <w:r w:rsidRPr="00DC5568">
        <w:t>Reason for action</w:t>
      </w:r>
    </w:p>
    <w:p w14:paraId="4D4D5662" w14:textId="77777777" w:rsidR="00591043" w:rsidRPr="00DC5568" w:rsidRDefault="00591043" w:rsidP="00591043">
      <w:pPr>
        <w:pStyle w:val="BodyText"/>
      </w:pPr>
      <w:bookmarkStart w:id="105" w:name="_Hlk212023619"/>
      <w:r w:rsidRPr="00DC5568">
        <w:t>Internationally qualified nurses (IQNs) are an integral and valuable group within Australia’s nursing workforce and supplement the domestically educated workforce. Implementing the independent review of overseas health practitioner regulatory settings</w:t>
      </w:r>
      <w:r w:rsidRPr="00C76E76">
        <w:rPr>
          <w:rStyle w:val="EndnoteReference"/>
        </w:rPr>
        <w:endnoteReference w:id="66"/>
      </w:r>
      <w:r w:rsidRPr="00DC5568">
        <w:t xml:space="preserve"> is improving regulatory frameworks to make it easier for appropriately qualified IQNs to register and work in Australia. This includes improving the applicant experience and expediting registration pathways to ensure the diverse skills, experiences and perspectives of IQNs help Australia’s nursing workforce to deliver and improve consumer care across the healthcare system.</w:t>
      </w:r>
    </w:p>
    <w:tbl>
      <w:tblPr>
        <w:tblStyle w:val="TableGrid"/>
        <w:tblW w:w="5000" w:type="pct"/>
        <w:tblLook w:val="0420" w:firstRow="1" w:lastRow="0" w:firstColumn="0" w:lastColumn="0" w:noHBand="0" w:noVBand="1"/>
      </w:tblPr>
      <w:tblGrid>
        <w:gridCol w:w="3005"/>
        <w:gridCol w:w="3006"/>
        <w:gridCol w:w="3006"/>
      </w:tblGrid>
      <w:tr w:rsidR="00591043" w:rsidRPr="00DC5568" w14:paraId="6A6AA8F0"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bookmarkEnd w:id="105"/>
          <w:p w14:paraId="2AF7C186" w14:textId="77777777" w:rsidR="00591043" w:rsidRPr="00DC5568" w:rsidRDefault="00591043" w:rsidP="00591043">
            <w:pPr>
              <w:spacing w:before="48" w:after="48" w:line="288" w:lineRule="auto"/>
            </w:pPr>
            <w:r w:rsidRPr="00DC5568">
              <w:t>Action</w:t>
            </w:r>
          </w:p>
        </w:tc>
        <w:tc>
          <w:tcPr>
            <w:tcW w:w="1667" w:type="pct"/>
          </w:tcPr>
          <w:p w14:paraId="7DC7F5F0" w14:textId="77777777" w:rsidR="00591043" w:rsidRPr="00DC5568" w:rsidRDefault="00591043" w:rsidP="00591043">
            <w:pPr>
              <w:spacing w:before="48" w:after="48" w:line="288" w:lineRule="auto"/>
            </w:pPr>
            <w:r w:rsidRPr="00DC5568">
              <w:t xml:space="preserve">Intended outcomes </w:t>
            </w:r>
          </w:p>
        </w:tc>
        <w:tc>
          <w:tcPr>
            <w:tcW w:w="1667" w:type="pct"/>
          </w:tcPr>
          <w:p w14:paraId="7B32E43B" w14:textId="77777777" w:rsidR="00591043" w:rsidRPr="00DC5568" w:rsidRDefault="00591043" w:rsidP="00591043">
            <w:pPr>
              <w:spacing w:before="48" w:after="48" w:line="288" w:lineRule="auto"/>
            </w:pPr>
            <w:r w:rsidRPr="00DC5568">
              <w:t>Responsibility</w:t>
            </w:r>
          </w:p>
        </w:tc>
      </w:tr>
      <w:tr w:rsidR="00173ED8" w:rsidRPr="00DC5568" w14:paraId="1C9774FB" w14:textId="77777777" w:rsidTr="003D2348">
        <w:tc>
          <w:tcPr>
            <w:tcW w:w="1666" w:type="pct"/>
          </w:tcPr>
          <w:p w14:paraId="533E1060" w14:textId="17BBDCAB" w:rsidR="00173ED8" w:rsidRPr="00DC5568" w:rsidRDefault="00173ED8" w:rsidP="00173ED8">
            <w:pPr>
              <w:pStyle w:val="HangingIndent"/>
            </w:pPr>
            <w:r w:rsidRPr="00DC5568">
              <w:t>3.5</w:t>
            </w:r>
            <w:r>
              <w:tab/>
            </w:r>
            <w:bookmarkStart w:id="106" w:name="_Hlk212023674"/>
            <w:r w:rsidRPr="00DC5568">
              <w:t xml:space="preserve">Support internationally qualified nurses to transition into Australia’s health and aged care system. </w:t>
            </w:r>
            <w:bookmarkEnd w:id="106"/>
          </w:p>
        </w:tc>
        <w:tc>
          <w:tcPr>
            <w:tcW w:w="1667" w:type="pct"/>
          </w:tcPr>
          <w:p w14:paraId="0F070AB2" w14:textId="77777777" w:rsidR="00173ED8" w:rsidRPr="00173ED8" w:rsidRDefault="00173ED8" w:rsidP="00173ED8">
            <w:bookmarkStart w:id="107" w:name="_Hlk212023700"/>
            <w:r w:rsidRPr="00173ED8">
              <w:t>Increased representation of IQNs at all levels of the nursing profession and in diverse roles.</w:t>
            </w:r>
          </w:p>
          <w:p w14:paraId="1C31FDA6" w14:textId="77777777" w:rsidR="00173ED8" w:rsidRPr="00173ED8" w:rsidRDefault="00173ED8" w:rsidP="00173ED8">
            <w:r w:rsidRPr="00173ED8">
              <w:t>IQN workforce is embedded and accepted within the workforce.</w:t>
            </w:r>
            <w:bookmarkEnd w:id="107"/>
          </w:p>
        </w:tc>
        <w:tc>
          <w:tcPr>
            <w:tcW w:w="1667" w:type="pct"/>
          </w:tcPr>
          <w:p w14:paraId="44DC7882" w14:textId="77777777" w:rsidR="00173ED8" w:rsidRPr="00173ED8" w:rsidRDefault="00173ED8" w:rsidP="00173ED8">
            <w:r w:rsidRPr="00173ED8">
              <w:t xml:space="preserve">Consumer and carer organisations </w:t>
            </w:r>
          </w:p>
          <w:p w14:paraId="5907FDB3" w14:textId="77777777" w:rsidR="00173ED8" w:rsidRPr="00173ED8" w:rsidRDefault="00173ED8" w:rsidP="00173ED8">
            <w:r w:rsidRPr="00173ED8">
              <w:t>Education providers/registered training organisations</w:t>
            </w:r>
          </w:p>
          <w:p w14:paraId="229C9A24" w14:textId="77777777" w:rsidR="00173ED8" w:rsidRPr="00173ED8" w:rsidRDefault="00173ED8" w:rsidP="00173ED8">
            <w:r w:rsidRPr="00173ED8">
              <w:t>Employers</w:t>
            </w:r>
          </w:p>
          <w:p w14:paraId="6CD20FF2" w14:textId="77777777" w:rsidR="00173ED8" w:rsidRPr="00173ED8" w:rsidRDefault="00173ED8" w:rsidP="00173ED8">
            <w:r w:rsidRPr="00173ED8">
              <w:t>Governments</w:t>
            </w:r>
          </w:p>
          <w:p w14:paraId="51BAB1F2" w14:textId="77777777" w:rsidR="00173ED8" w:rsidRPr="00173ED8" w:rsidRDefault="00173ED8" w:rsidP="00173ED8">
            <w:r w:rsidRPr="00173ED8">
              <w:t>Nursing profession/workforce</w:t>
            </w:r>
          </w:p>
          <w:p w14:paraId="024974A6" w14:textId="77777777" w:rsidR="00173ED8" w:rsidRPr="00173ED8" w:rsidRDefault="00173ED8" w:rsidP="00173ED8">
            <w:r w:rsidRPr="00173ED8">
              <w:t>Professional and industry bodies</w:t>
            </w:r>
          </w:p>
          <w:p w14:paraId="570CAEB7" w14:textId="77777777" w:rsidR="00173ED8" w:rsidRPr="00173ED8" w:rsidRDefault="00173ED8" w:rsidP="00173ED8">
            <w:r w:rsidRPr="00173ED8">
              <w:t>Regulators</w:t>
            </w:r>
          </w:p>
        </w:tc>
      </w:tr>
    </w:tbl>
    <w:p w14:paraId="4739A245" w14:textId="77777777" w:rsidR="00591043" w:rsidRPr="00DC5568" w:rsidRDefault="00591043" w:rsidP="008B39DB">
      <w:pPr>
        <w:pStyle w:val="Heading2"/>
        <w:pageBreakBefore/>
      </w:pPr>
      <w:bookmarkStart w:id="108" w:name="_Toc236309266"/>
      <w:bookmarkStart w:id="109" w:name="_Toc236399775"/>
      <w:r w:rsidRPr="00DC5568">
        <w:lastRenderedPageBreak/>
        <w:t>Identity of nursing</w:t>
      </w:r>
      <w:bookmarkEnd w:id="108"/>
      <w:bookmarkEnd w:id="109"/>
    </w:p>
    <w:p w14:paraId="091301EB" w14:textId="77777777" w:rsidR="00591043" w:rsidRPr="00DC5568" w:rsidRDefault="00591043" w:rsidP="00AD1B5B">
      <w:pPr>
        <w:pStyle w:val="Heading3"/>
      </w:pPr>
      <w:r w:rsidRPr="00DC5568">
        <w:t>Reason for action</w:t>
      </w:r>
    </w:p>
    <w:p w14:paraId="393D4779" w14:textId="77777777" w:rsidR="00591043" w:rsidRPr="00DC5568" w:rsidRDefault="00591043" w:rsidP="00591043">
      <w:pPr>
        <w:pStyle w:val="BodyText"/>
      </w:pPr>
      <w:r w:rsidRPr="00DC5568">
        <w:t>Nurses in Australia generally have a positive perception of themselves, their profession, and the work they undertake. They take pride in their chosen career and are aware of the critical role they have in healthcare delivery. However, sometimes they experience a lack of recognition, and they feel undervalued and underappreciated.</w:t>
      </w:r>
      <w:r w:rsidRPr="00C76E76">
        <w:rPr>
          <w:rStyle w:val="EndnoteReference"/>
        </w:rPr>
        <w:endnoteReference w:id="67"/>
      </w:r>
      <w:r w:rsidRPr="00DC5568">
        <w:t xml:space="preserve"> </w:t>
      </w:r>
    </w:p>
    <w:p w14:paraId="7EEBC226" w14:textId="77777777" w:rsidR="00591043" w:rsidRPr="00DC5568" w:rsidRDefault="00591043" w:rsidP="00591043">
      <w:pPr>
        <w:pStyle w:val="BodyText"/>
      </w:pPr>
      <w:r w:rsidRPr="00DC5568">
        <w:t xml:space="preserve">Redefining the identity of nursing in a modern, contemporary context will include defining the critical role and functions of nursing. This includes recognising the science and education streams required to deliver contemporary nursing care, deepening professional partnerships resulting in a better-informed understanding and greater acknowledgement of the value of nursing. </w:t>
      </w:r>
    </w:p>
    <w:tbl>
      <w:tblPr>
        <w:tblStyle w:val="TableGrid"/>
        <w:tblW w:w="5000" w:type="pct"/>
        <w:tblLook w:val="0420" w:firstRow="1" w:lastRow="0" w:firstColumn="0" w:lastColumn="0" w:noHBand="0" w:noVBand="1"/>
      </w:tblPr>
      <w:tblGrid>
        <w:gridCol w:w="3005"/>
        <w:gridCol w:w="3006"/>
        <w:gridCol w:w="3006"/>
      </w:tblGrid>
      <w:tr w:rsidR="00591043" w:rsidRPr="00DC5568" w14:paraId="6059865E"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58419CD" w14:textId="77777777" w:rsidR="00591043" w:rsidRPr="00DC5568" w:rsidRDefault="00591043" w:rsidP="00591043">
            <w:pPr>
              <w:spacing w:before="48" w:after="48" w:line="288" w:lineRule="auto"/>
            </w:pPr>
            <w:r w:rsidRPr="00DC5568">
              <w:t>Action</w:t>
            </w:r>
          </w:p>
        </w:tc>
        <w:tc>
          <w:tcPr>
            <w:tcW w:w="1667" w:type="pct"/>
          </w:tcPr>
          <w:p w14:paraId="27DE99D4" w14:textId="77777777" w:rsidR="00591043" w:rsidRPr="00DC5568" w:rsidRDefault="00591043" w:rsidP="00591043">
            <w:pPr>
              <w:spacing w:before="48" w:after="48" w:line="288" w:lineRule="auto"/>
            </w:pPr>
            <w:r w:rsidRPr="00DC5568">
              <w:t xml:space="preserve">Intended outcomes </w:t>
            </w:r>
          </w:p>
        </w:tc>
        <w:tc>
          <w:tcPr>
            <w:tcW w:w="1667" w:type="pct"/>
          </w:tcPr>
          <w:p w14:paraId="21C01104" w14:textId="77777777" w:rsidR="00591043" w:rsidRPr="00DC5568" w:rsidRDefault="00591043" w:rsidP="00591043">
            <w:pPr>
              <w:spacing w:before="48" w:after="48" w:line="288" w:lineRule="auto"/>
            </w:pPr>
            <w:r w:rsidRPr="00DC5568">
              <w:t>Responsibility</w:t>
            </w:r>
          </w:p>
        </w:tc>
      </w:tr>
      <w:tr w:rsidR="00173ED8" w:rsidRPr="00DC5568" w14:paraId="359153CB" w14:textId="77777777" w:rsidTr="003D2348">
        <w:tc>
          <w:tcPr>
            <w:tcW w:w="1666" w:type="pct"/>
          </w:tcPr>
          <w:p w14:paraId="69D48EE8" w14:textId="5D241EFC" w:rsidR="00173ED8" w:rsidRPr="00DC5568" w:rsidRDefault="00173ED8" w:rsidP="00173ED8">
            <w:pPr>
              <w:pStyle w:val="HangingIndent"/>
            </w:pPr>
            <w:r w:rsidRPr="00DC5568">
              <w:t>3.6</w:t>
            </w:r>
            <w:r>
              <w:tab/>
            </w:r>
            <w:r w:rsidRPr="00DC5568">
              <w:t>Contemporise the identity of nursing.</w:t>
            </w:r>
          </w:p>
        </w:tc>
        <w:tc>
          <w:tcPr>
            <w:tcW w:w="1667" w:type="pct"/>
          </w:tcPr>
          <w:p w14:paraId="1A7B4342" w14:textId="77777777" w:rsidR="00173ED8" w:rsidRPr="00173ED8" w:rsidRDefault="00173ED8" w:rsidP="00173ED8">
            <w:r w:rsidRPr="00173ED8">
              <w:t>The nursing profession is recognised and respected for its scientific knowledge, skills, capabilities and diversity.</w:t>
            </w:r>
          </w:p>
          <w:p w14:paraId="17BBEA21" w14:textId="2FFFB1B2" w:rsidR="00173ED8" w:rsidRPr="00173ED8" w:rsidRDefault="00173ED8" w:rsidP="00173ED8">
            <w:r w:rsidRPr="00173ED8">
              <w:t xml:space="preserve">Nurses are represented in the public domain as leaders, innovators and experts in health and aged care. </w:t>
            </w:r>
          </w:p>
        </w:tc>
        <w:tc>
          <w:tcPr>
            <w:tcW w:w="1667" w:type="pct"/>
          </w:tcPr>
          <w:p w14:paraId="1F11C12B" w14:textId="77777777" w:rsidR="00173ED8" w:rsidRPr="00173ED8" w:rsidRDefault="00173ED8" w:rsidP="00173ED8">
            <w:r w:rsidRPr="00173ED8">
              <w:t xml:space="preserve">Consumer and carer organisations </w:t>
            </w:r>
          </w:p>
          <w:p w14:paraId="072C458C" w14:textId="77777777" w:rsidR="00173ED8" w:rsidRPr="00173ED8" w:rsidRDefault="00173ED8" w:rsidP="00173ED8">
            <w:r w:rsidRPr="00173ED8">
              <w:t>Employers</w:t>
            </w:r>
          </w:p>
          <w:p w14:paraId="4874C4CE" w14:textId="77777777" w:rsidR="00173ED8" w:rsidRPr="00173ED8" w:rsidRDefault="00173ED8" w:rsidP="00173ED8">
            <w:r w:rsidRPr="00173ED8">
              <w:t>Education providers /registered training organisations</w:t>
            </w:r>
          </w:p>
          <w:p w14:paraId="42AEEE79" w14:textId="77777777" w:rsidR="00173ED8" w:rsidRPr="00173ED8" w:rsidRDefault="00173ED8" w:rsidP="00173ED8">
            <w:r w:rsidRPr="00173ED8">
              <w:t>Governments</w:t>
            </w:r>
          </w:p>
          <w:p w14:paraId="4BFF776A" w14:textId="77777777" w:rsidR="00173ED8" w:rsidRPr="00173ED8" w:rsidRDefault="00173ED8" w:rsidP="00173ED8">
            <w:r w:rsidRPr="00173ED8">
              <w:t>Nursing profession/workforce</w:t>
            </w:r>
          </w:p>
          <w:p w14:paraId="22950715" w14:textId="77777777" w:rsidR="00173ED8" w:rsidRPr="00173ED8" w:rsidRDefault="00173ED8" w:rsidP="00173ED8">
            <w:r w:rsidRPr="00173ED8">
              <w:t>Professional and industry bodies</w:t>
            </w:r>
          </w:p>
          <w:p w14:paraId="4A3D87D8" w14:textId="77777777" w:rsidR="00173ED8" w:rsidRPr="00173ED8" w:rsidRDefault="00173ED8" w:rsidP="00173ED8">
            <w:r w:rsidRPr="00173ED8">
              <w:t>Regulators</w:t>
            </w:r>
          </w:p>
        </w:tc>
      </w:tr>
    </w:tbl>
    <w:p w14:paraId="624B30C0" w14:textId="77777777" w:rsidR="00591043" w:rsidRPr="00DC5568" w:rsidRDefault="00591043" w:rsidP="00173ED8">
      <w:pPr>
        <w:pStyle w:val="Heading1"/>
      </w:pPr>
      <w:bookmarkStart w:id="110" w:name="_Toc236309267"/>
      <w:bookmarkStart w:id="111" w:name="_Toc236399776"/>
      <w:r w:rsidRPr="00DC5568">
        <w:lastRenderedPageBreak/>
        <w:t>Priority 4: Delivering a sustainable nursing workforce</w:t>
      </w:r>
      <w:bookmarkEnd w:id="88"/>
      <w:bookmarkEnd w:id="110"/>
      <w:bookmarkEnd w:id="111"/>
      <w:r w:rsidRPr="00DC5568">
        <w:t xml:space="preserve"> </w:t>
      </w:r>
    </w:p>
    <w:p w14:paraId="28D43E4B" w14:textId="77777777" w:rsidR="00173ED8" w:rsidRPr="00DC5568" w:rsidRDefault="00173ED8" w:rsidP="00173ED8">
      <w:pPr>
        <w:pStyle w:val="Heading2"/>
      </w:pPr>
      <w:bookmarkStart w:id="112" w:name="_Toc236309268"/>
      <w:bookmarkStart w:id="113" w:name="_Toc236399777"/>
      <w:r w:rsidRPr="00DC5568">
        <w:t>Objective</w:t>
      </w:r>
      <w:bookmarkEnd w:id="112"/>
      <w:bookmarkEnd w:id="113"/>
    </w:p>
    <w:p w14:paraId="7166912B" w14:textId="77777777" w:rsidR="00173ED8" w:rsidRPr="00173ED8" w:rsidRDefault="00173ED8" w:rsidP="00173ED8">
      <w:pPr>
        <w:pStyle w:val="ListBullet"/>
      </w:pPr>
      <w:r w:rsidRPr="00173ED8">
        <w:t>Improved attraction, recruitment and retention of nurses.</w:t>
      </w:r>
    </w:p>
    <w:p w14:paraId="06DC1B3B" w14:textId="77777777" w:rsidR="00173ED8" w:rsidRPr="00173ED8" w:rsidRDefault="00173ED8" w:rsidP="00173ED8">
      <w:pPr>
        <w:pStyle w:val="ListBullet"/>
      </w:pPr>
      <w:r w:rsidRPr="00173ED8">
        <w:t>Supply and distribution of nurses meet the needs of communities in Australia, including in rural and remote areas.</w:t>
      </w:r>
    </w:p>
    <w:p w14:paraId="450D5C9B" w14:textId="77777777" w:rsidR="00173ED8" w:rsidRPr="00173ED8" w:rsidRDefault="00173ED8" w:rsidP="00173ED8">
      <w:pPr>
        <w:pStyle w:val="ListBullet"/>
      </w:pPr>
      <w:r w:rsidRPr="00173ED8">
        <w:t>Aboriginal and Torres Strait Islander working age population parity is achieved within the nursing workforce.</w:t>
      </w:r>
    </w:p>
    <w:p w14:paraId="2CA68CAA" w14:textId="77777777" w:rsidR="00173ED8" w:rsidRPr="00173ED8" w:rsidRDefault="00173ED8" w:rsidP="00173ED8">
      <w:pPr>
        <w:pStyle w:val="ListBullet"/>
      </w:pPr>
      <w:r w:rsidRPr="00173ED8">
        <w:t>Positive practice environments which foster diversity, cultural safety and wellbeing.</w:t>
      </w:r>
    </w:p>
    <w:p w14:paraId="0C6F0DE2" w14:textId="77777777" w:rsidR="00173ED8" w:rsidRPr="00DC5568" w:rsidRDefault="00173ED8" w:rsidP="00173ED8">
      <w:pPr>
        <w:pStyle w:val="Heading2"/>
      </w:pPr>
      <w:bookmarkStart w:id="114" w:name="_Toc236309269"/>
      <w:bookmarkStart w:id="115" w:name="_Toc236399778"/>
      <w:r w:rsidRPr="00DC5568">
        <w:t>Rationale</w:t>
      </w:r>
      <w:bookmarkEnd w:id="114"/>
      <w:bookmarkEnd w:id="115"/>
    </w:p>
    <w:p w14:paraId="1B744C74" w14:textId="77777777" w:rsidR="00173ED8" w:rsidRPr="00DC5568" w:rsidRDefault="00173ED8" w:rsidP="00173ED8">
      <w:pPr>
        <w:pStyle w:val="BodyText"/>
      </w:pPr>
      <w:r w:rsidRPr="00DC5568">
        <w:t>A resilient and responsive health and aged care system relies on nurses. Addressing Australia’s nursing workforce shortage and maldistribution challenges is necessary to enable the continued delivery of quality care that meets the diverse health and aged care needs of consumers.</w:t>
      </w:r>
    </w:p>
    <w:p w14:paraId="79C8DDBE" w14:textId="77777777" w:rsidR="00591043" w:rsidRPr="00DC5568" w:rsidRDefault="00591043" w:rsidP="00173ED8">
      <w:pPr>
        <w:pStyle w:val="Heading2"/>
      </w:pPr>
      <w:bookmarkStart w:id="116" w:name="_Toc236309270"/>
      <w:bookmarkStart w:id="117" w:name="_Toc236399779"/>
      <w:r w:rsidRPr="00DC5568">
        <w:t>Transition of practice</w:t>
      </w:r>
      <w:bookmarkEnd w:id="116"/>
      <w:bookmarkEnd w:id="117"/>
      <w:r w:rsidRPr="00DC5568">
        <w:t xml:space="preserve"> </w:t>
      </w:r>
    </w:p>
    <w:p w14:paraId="29EFB1BE" w14:textId="77777777" w:rsidR="00591043" w:rsidRPr="00DC5568" w:rsidRDefault="00591043" w:rsidP="00AD1B5B">
      <w:pPr>
        <w:pStyle w:val="Heading3"/>
      </w:pPr>
      <w:r w:rsidRPr="00DC5568">
        <w:t>Reason for action</w:t>
      </w:r>
    </w:p>
    <w:p w14:paraId="6B829944" w14:textId="77777777" w:rsidR="00591043" w:rsidRPr="00DC5568" w:rsidRDefault="00591043" w:rsidP="00591043">
      <w:pPr>
        <w:pStyle w:val="BodyText"/>
      </w:pPr>
      <w:r w:rsidRPr="00DC5568">
        <w:t xml:space="preserve">Successful transition of practice of nurses into professional roles and between contexts of practice is necessary to build confidence and competence for the individual practitioner. This can be enabled by articulated support programs where experienced practitioners provide mentorship and </w:t>
      </w:r>
      <w:proofErr w:type="gramStart"/>
      <w:r w:rsidRPr="00DC5568">
        <w:t>guidance, and</w:t>
      </w:r>
      <w:proofErr w:type="gramEnd"/>
      <w:r w:rsidRPr="00DC5568">
        <w:t xml:space="preserve"> assist with system integration. </w:t>
      </w:r>
    </w:p>
    <w:p w14:paraId="0C3EBE57" w14:textId="77777777" w:rsidR="00591043" w:rsidRPr="00DC5568" w:rsidRDefault="00591043" w:rsidP="00591043">
      <w:pPr>
        <w:pStyle w:val="BodyText"/>
      </w:pPr>
      <w:r w:rsidRPr="00DC5568">
        <w:t xml:space="preserve">A nationally consistent transition of practice framework will ensure nurses are supported to move into the workforce and between settings, specialty areas and scopes of practice. </w:t>
      </w:r>
    </w:p>
    <w:tbl>
      <w:tblPr>
        <w:tblStyle w:val="TableGrid"/>
        <w:tblW w:w="5000" w:type="pct"/>
        <w:tblLook w:val="0420" w:firstRow="1" w:lastRow="0" w:firstColumn="0" w:lastColumn="0" w:noHBand="0" w:noVBand="1"/>
      </w:tblPr>
      <w:tblGrid>
        <w:gridCol w:w="3005"/>
        <w:gridCol w:w="3006"/>
        <w:gridCol w:w="3006"/>
      </w:tblGrid>
      <w:tr w:rsidR="00591043" w:rsidRPr="00DC5568" w14:paraId="3B57E151"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5E18D42A" w14:textId="77777777" w:rsidR="00591043" w:rsidRPr="00DC5568" w:rsidRDefault="00591043" w:rsidP="00591043">
            <w:pPr>
              <w:spacing w:before="48" w:after="48" w:line="288" w:lineRule="auto"/>
            </w:pPr>
            <w:r w:rsidRPr="00DC5568">
              <w:t>Action</w:t>
            </w:r>
          </w:p>
        </w:tc>
        <w:tc>
          <w:tcPr>
            <w:tcW w:w="1667" w:type="pct"/>
          </w:tcPr>
          <w:p w14:paraId="799030D0" w14:textId="77777777" w:rsidR="00591043" w:rsidRPr="00DC5568" w:rsidRDefault="00591043" w:rsidP="00591043">
            <w:pPr>
              <w:spacing w:before="48" w:after="48" w:line="288" w:lineRule="auto"/>
            </w:pPr>
            <w:r w:rsidRPr="00DC5568">
              <w:t xml:space="preserve">Intended outcomes </w:t>
            </w:r>
          </w:p>
        </w:tc>
        <w:tc>
          <w:tcPr>
            <w:tcW w:w="1667" w:type="pct"/>
          </w:tcPr>
          <w:p w14:paraId="2BAD886F" w14:textId="77777777" w:rsidR="00591043" w:rsidRPr="00DC5568" w:rsidRDefault="00591043" w:rsidP="00591043">
            <w:pPr>
              <w:spacing w:before="48" w:after="48" w:line="288" w:lineRule="auto"/>
            </w:pPr>
            <w:r w:rsidRPr="00DC5568">
              <w:t>Responsibility</w:t>
            </w:r>
          </w:p>
        </w:tc>
      </w:tr>
      <w:tr w:rsidR="00173ED8" w:rsidRPr="00DC5568" w14:paraId="02BBD706" w14:textId="77777777" w:rsidTr="003D2348">
        <w:tc>
          <w:tcPr>
            <w:tcW w:w="1666" w:type="pct"/>
          </w:tcPr>
          <w:p w14:paraId="326F98B7" w14:textId="530E0A42" w:rsidR="00173ED8" w:rsidRPr="00DC5568" w:rsidRDefault="00173ED8" w:rsidP="00173ED8">
            <w:pPr>
              <w:pStyle w:val="HangingIndent"/>
            </w:pPr>
            <w:r w:rsidRPr="00DC5568">
              <w:t>4.1</w:t>
            </w:r>
            <w:r>
              <w:tab/>
            </w:r>
            <w:r w:rsidRPr="00DC5568">
              <w:t>Develop a nationally consistent framework for transition of practice.</w:t>
            </w:r>
          </w:p>
        </w:tc>
        <w:tc>
          <w:tcPr>
            <w:tcW w:w="1667" w:type="pct"/>
          </w:tcPr>
          <w:p w14:paraId="7E4282F7" w14:textId="77777777" w:rsidR="00173ED8" w:rsidRPr="00173ED8" w:rsidRDefault="00173ED8" w:rsidP="00173ED8">
            <w:r w:rsidRPr="00173ED8">
              <w:t xml:space="preserve">A national framework is available and embedded to support and enable consistency of transition of practice for all nurses throughout their career journey. </w:t>
            </w:r>
          </w:p>
        </w:tc>
        <w:tc>
          <w:tcPr>
            <w:tcW w:w="1667" w:type="pct"/>
          </w:tcPr>
          <w:p w14:paraId="58A727D4" w14:textId="77777777" w:rsidR="00173ED8" w:rsidRPr="00173ED8" w:rsidRDefault="00173ED8" w:rsidP="00173ED8">
            <w:r w:rsidRPr="00173ED8">
              <w:t>Education providers/registered training organisations</w:t>
            </w:r>
          </w:p>
          <w:p w14:paraId="1FAFD1A6" w14:textId="77777777" w:rsidR="00173ED8" w:rsidRPr="00173ED8" w:rsidRDefault="00173ED8" w:rsidP="00173ED8">
            <w:r w:rsidRPr="00173ED8">
              <w:t>Employers</w:t>
            </w:r>
          </w:p>
          <w:p w14:paraId="370A9AC8" w14:textId="77777777" w:rsidR="00173ED8" w:rsidRPr="00173ED8" w:rsidRDefault="00173ED8" w:rsidP="00173ED8">
            <w:r w:rsidRPr="00173ED8">
              <w:t>Governments</w:t>
            </w:r>
          </w:p>
          <w:p w14:paraId="2CE0BD74" w14:textId="77777777" w:rsidR="00173ED8" w:rsidRPr="00173ED8" w:rsidRDefault="00173ED8" w:rsidP="00173ED8">
            <w:r w:rsidRPr="00173ED8">
              <w:t>Professional and industry bodies</w:t>
            </w:r>
          </w:p>
          <w:p w14:paraId="44D0D9F7" w14:textId="77777777" w:rsidR="00173ED8" w:rsidRPr="00173ED8" w:rsidRDefault="00173ED8" w:rsidP="00173ED8">
            <w:r w:rsidRPr="00173ED8">
              <w:t>Nursing profession/workforce</w:t>
            </w:r>
          </w:p>
          <w:p w14:paraId="1B46B5DE" w14:textId="77777777" w:rsidR="00173ED8" w:rsidRPr="00173ED8" w:rsidRDefault="00173ED8" w:rsidP="00173ED8">
            <w:r w:rsidRPr="00173ED8">
              <w:t>Regulators</w:t>
            </w:r>
          </w:p>
        </w:tc>
      </w:tr>
    </w:tbl>
    <w:p w14:paraId="7B34BEB1" w14:textId="77777777" w:rsidR="00591043" w:rsidRPr="00DC5568" w:rsidRDefault="00591043" w:rsidP="00173ED8">
      <w:pPr>
        <w:pStyle w:val="Heading2"/>
      </w:pPr>
      <w:bookmarkStart w:id="118" w:name="_Toc236309271"/>
      <w:bookmarkStart w:id="119" w:name="_Toc236399780"/>
      <w:r w:rsidRPr="00DC5568">
        <w:lastRenderedPageBreak/>
        <w:t>Career framework</w:t>
      </w:r>
      <w:bookmarkEnd w:id="118"/>
      <w:bookmarkEnd w:id="119"/>
    </w:p>
    <w:p w14:paraId="31849161" w14:textId="77777777" w:rsidR="00591043" w:rsidRPr="00DC5568" w:rsidRDefault="00591043" w:rsidP="00AD1B5B">
      <w:pPr>
        <w:pStyle w:val="Heading3"/>
      </w:pPr>
      <w:r w:rsidRPr="00DC5568">
        <w:t>Reason for action</w:t>
      </w:r>
    </w:p>
    <w:p w14:paraId="45C9F135" w14:textId="77777777" w:rsidR="00591043" w:rsidRPr="00DC5568" w:rsidRDefault="00591043" w:rsidP="008A28C9">
      <w:pPr>
        <w:pStyle w:val="BodyText"/>
        <w:spacing w:line="252" w:lineRule="auto"/>
      </w:pPr>
      <w:r w:rsidRPr="00DC5568">
        <w:t xml:space="preserve">Australia lacks a nationally consistent nursing career framework with consistent terminology for roles, competencies and pathways. </w:t>
      </w:r>
    </w:p>
    <w:p w14:paraId="6F375638" w14:textId="77777777" w:rsidR="00591043" w:rsidRPr="00DC5568" w:rsidRDefault="00591043" w:rsidP="008A28C9">
      <w:pPr>
        <w:pStyle w:val="BodyText"/>
        <w:spacing w:line="252" w:lineRule="auto"/>
      </w:pPr>
      <w:r w:rsidRPr="00DC5568">
        <w:t>A national career framework guided by workforce plans that identify the skills, knowledge, experiences and competencies the health care system requires from nurses will provide a structure in which a nurse can progress and develop their career. The career framework will provide opportunity to develop and maximise career opportunities in alignment with the care needs of Australia’s population.</w:t>
      </w:r>
    </w:p>
    <w:tbl>
      <w:tblPr>
        <w:tblStyle w:val="TableGrid"/>
        <w:tblW w:w="5000" w:type="pct"/>
        <w:tblLook w:val="0420" w:firstRow="1" w:lastRow="0" w:firstColumn="0" w:lastColumn="0" w:noHBand="0" w:noVBand="1"/>
      </w:tblPr>
      <w:tblGrid>
        <w:gridCol w:w="3005"/>
        <w:gridCol w:w="3006"/>
        <w:gridCol w:w="3006"/>
      </w:tblGrid>
      <w:tr w:rsidR="00591043" w:rsidRPr="00DC5568" w14:paraId="488643F5"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8F385A0" w14:textId="77777777" w:rsidR="00591043" w:rsidRPr="00DC5568" w:rsidRDefault="00591043" w:rsidP="00591043">
            <w:pPr>
              <w:spacing w:before="48" w:after="48" w:line="288" w:lineRule="auto"/>
            </w:pPr>
            <w:r w:rsidRPr="00DC5568">
              <w:t>Action</w:t>
            </w:r>
          </w:p>
        </w:tc>
        <w:tc>
          <w:tcPr>
            <w:tcW w:w="1667" w:type="pct"/>
          </w:tcPr>
          <w:p w14:paraId="715A1886" w14:textId="77777777" w:rsidR="00591043" w:rsidRPr="00DC5568" w:rsidRDefault="00591043" w:rsidP="00591043">
            <w:pPr>
              <w:spacing w:before="48" w:after="48" w:line="288" w:lineRule="auto"/>
            </w:pPr>
            <w:r w:rsidRPr="00DC5568">
              <w:t xml:space="preserve">Intended outcomes </w:t>
            </w:r>
          </w:p>
        </w:tc>
        <w:tc>
          <w:tcPr>
            <w:tcW w:w="1667" w:type="pct"/>
          </w:tcPr>
          <w:p w14:paraId="286BBEDF" w14:textId="77777777" w:rsidR="00591043" w:rsidRPr="00DC5568" w:rsidRDefault="00591043" w:rsidP="00591043">
            <w:pPr>
              <w:spacing w:before="48" w:after="48" w:line="288" w:lineRule="auto"/>
            </w:pPr>
            <w:r w:rsidRPr="00DC5568">
              <w:t>Responsibility</w:t>
            </w:r>
          </w:p>
        </w:tc>
      </w:tr>
      <w:tr w:rsidR="00173ED8" w:rsidRPr="00DC5568" w14:paraId="4DF200F1" w14:textId="77777777" w:rsidTr="003D2348">
        <w:tc>
          <w:tcPr>
            <w:tcW w:w="1666" w:type="pct"/>
          </w:tcPr>
          <w:p w14:paraId="65882F34" w14:textId="510DA1B2" w:rsidR="00173ED8" w:rsidRPr="00DC5568" w:rsidRDefault="00173ED8" w:rsidP="008A28C9">
            <w:pPr>
              <w:pStyle w:val="HangingIndent"/>
              <w:spacing w:line="240" w:lineRule="auto"/>
            </w:pPr>
            <w:r w:rsidRPr="00DC5568">
              <w:t>4.2</w:t>
            </w:r>
            <w:r>
              <w:tab/>
            </w:r>
            <w:r w:rsidRPr="00DC5568">
              <w:t>Develop a national nursing skills and capability framework and matrix.</w:t>
            </w:r>
          </w:p>
        </w:tc>
        <w:tc>
          <w:tcPr>
            <w:tcW w:w="1667" w:type="pct"/>
          </w:tcPr>
          <w:p w14:paraId="3487BABA" w14:textId="77777777" w:rsidR="00173ED8" w:rsidRPr="00173ED8" w:rsidRDefault="00173ED8" w:rsidP="008A28C9">
            <w:pPr>
              <w:spacing w:line="240" w:lineRule="auto"/>
            </w:pPr>
            <w:r w:rsidRPr="00173ED8">
              <w:t>A sustainable nursing workforce that attracts and retains diverse and high performing people.</w:t>
            </w:r>
          </w:p>
          <w:p w14:paraId="56134D6E" w14:textId="77777777" w:rsidR="00173ED8" w:rsidRPr="00173ED8" w:rsidRDefault="00173ED8" w:rsidP="008A28C9">
            <w:pPr>
              <w:spacing w:line="240" w:lineRule="auto"/>
            </w:pPr>
            <w:r w:rsidRPr="00173ED8">
              <w:t>Increased visibility and opportunity for career progression.</w:t>
            </w:r>
          </w:p>
          <w:p w14:paraId="3D8E6953" w14:textId="77777777" w:rsidR="00173ED8" w:rsidRPr="00173ED8" w:rsidRDefault="00173ED8" w:rsidP="008A28C9">
            <w:pPr>
              <w:spacing w:line="240" w:lineRule="auto"/>
            </w:pPr>
            <w:r w:rsidRPr="00173ED8">
              <w:t>Workforce mobility across Australia is facilitated.</w:t>
            </w:r>
          </w:p>
        </w:tc>
        <w:tc>
          <w:tcPr>
            <w:tcW w:w="1667" w:type="pct"/>
          </w:tcPr>
          <w:p w14:paraId="1B6B725E" w14:textId="77777777" w:rsidR="00173ED8" w:rsidRPr="00173ED8" w:rsidRDefault="00173ED8" w:rsidP="008A28C9">
            <w:pPr>
              <w:spacing w:line="240" w:lineRule="auto"/>
            </w:pPr>
            <w:r w:rsidRPr="00173ED8">
              <w:t xml:space="preserve">Employers </w:t>
            </w:r>
          </w:p>
          <w:p w14:paraId="040F3221" w14:textId="77777777" w:rsidR="00173ED8" w:rsidRPr="00173ED8" w:rsidRDefault="00173ED8" w:rsidP="008A28C9">
            <w:pPr>
              <w:spacing w:line="240" w:lineRule="auto"/>
            </w:pPr>
            <w:r w:rsidRPr="00173ED8">
              <w:t>Governments</w:t>
            </w:r>
          </w:p>
          <w:p w14:paraId="5602D562" w14:textId="77777777" w:rsidR="00173ED8" w:rsidRPr="00173ED8" w:rsidRDefault="00173ED8" w:rsidP="008A28C9">
            <w:pPr>
              <w:spacing w:line="240" w:lineRule="auto"/>
            </w:pPr>
            <w:r w:rsidRPr="00173ED8">
              <w:t>Nursing profession/workforce</w:t>
            </w:r>
          </w:p>
          <w:p w14:paraId="15B7F9AC" w14:textId="2ACD8031" w:rsidR="00173ED8" w:rsidRPr="00173ED8" w:rsidRDefault="00173ED8" w:rsidP="008A28C9">
            <w:pPr>
              <w:spacing w:line="240" w:lineRule="auto"/>
            </w:pPr>
            <w:r w:rsidRPr="00173ED8">
              <w:t>Professional and industry bodies</w:t>
            </w:r>
          </w:p>
        </w:tc>
      </w:tr>
    </w:tbl>
    <w:p w14:paraId="581B0600" w14:textId="77777777" w:rsidR="00591043" w:rsidRPr="00DC5568" w:rsidRDefault="00591043" w:rsidP="00173ED8">
      <w:pPr>
        <w:pStyle w:val="Heading2"/>
      </w:pPr>
      <w:bookmarkStart w:id="120" w:name="_Toc236309272"/>
      <w:bookmarkStart w:id="121" w:name="_Toc236399781"/>
      <w:r w:rsidRPr="00DC5568">
        <w:t>Lifelong learning</w:t>
      </w:r>
      <w:bookmarkEnd w:id="120"/>
      <w:bookmarkEnd w:id="121"/>
    </w:p>
    <w:p w14:paraId="1FC20FC9" w14:textId="77777777" w:rsidR="00591043" w:rsidRPr="00DC5568" w:rsidRDefault="00591043" w:rsidP="00AD1B5B">
      <w:pPr>
        <w:pStyle w:val="Heading3"/>
      </w:pPr>
      <w:r w:rsidRPr="00DC5568">
        <w:t>Reason for action</w:t>
      </w:r>
    </w:p>
    <w:p w14:paraId="72E44711" w14:textId="77777777" w:rsidR="00591043" w:rsidRPr="00DC5568" w:rsidRDefault="00591043" w:rsidP="008A28C9">
      <w:pPr>
        <w:pStyle w:val="BodyText"/>
        <w:spacing w:line="252" w:lineRule="auto"/>
      </w:pPr>
      <w:r w:rsidRPr="00DC5568">
        <w:t>A national professional development framework is a way to support nurses’ development in their role and across the continuum of clinical, research, administration, education and policy environments.</w:t>
      </w:r>
    </w:p>
    <w:p w14:paraId="3A874818" w14:textId="77777777" w:rsidR="00591043" w:rsidRPr="00DC5568" w:rsidRDefault="00591043" w:rsidP="008A28C9">
      <w:pPr>
        <w:pStyle w:val="BodyText"/>
        <w:spacing w:line="252" w:lineRule="auto"/>
      </w:pPr>
      <w:r w:rsidRPr="00DC5568">
        <w:t>Development of a consistent national professional development framework will ensure key elements that influence a nurse’s decision to remain in the profession are accessible to all nurses, at every stage of their development. Expanding and building on existing programs will create a more supportive, engaging, and rewarding work environment for nurses.</w:t>
      </w:r>
    </w:p>
    <w:tbl>
      <w:tblPr>
        <w:tblStyle w:val="TableGrid"/>
        <w:tblW w:w="5000" w:type="pct"/>
        <w:tblLook w:val="0420" w:firstRow="1" w:lastRow="0" w:firstColumn="0" w:lastColumn="0" w:noHBand="0" w:noVBand="1"/>
      </w:tblPr>
      <w:tblGrid>
        <w:gridCol w:w="3005"/>
        <w:gridCol w:w="3006"/>
        <w:gridCol w:w="3006"/>
      </w:tblGrid>
      <w:tr w:rsidR="00591043" w:rsidRPr="00DC5568" w14:paraId="27744FE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BE04335" w14:textId="77777777" w:rsidR="00591043" w:rsidRPr="00DC5568" w:rsidRDefault="00591043" w:rsidP="00591043">
            <w:pPr>
              <w:spacing w:before="48" w:after="48" w:line="288" w:lineRule="auto"/>
            </w:pPr>
            <w:r w:rsidRPr="00DC5568">
              <w:t>Action</w:t>
            </w:r>
          </w:p>
        </w:tc>
        <w:tc>
          <w:tcPr>
            <w:tcW w:w="1667" w:type="pct"/>
          </w:tcPr>
          <w:p w14:paraId="157F392C" w14:textId="77777777" w:rsidR="00591043" w:rsidRPr="00DC5568" w:rsidRDefault="00591043" w:rsidP="00591043">
            <w:pPr>
              <w:spacing w:before="48" w:after="48" w:line="288" w:lineRule="auto"/>
            </w:pPr>
            <w:r w:rsidRPr="00DC5568">
              <w:t xml:space="preserve">Intended outcomes </w:t>
            </w:r>
          </w:p>
        </w:tc>
        <w:tc>
          <w:tcPr>
            <w:tcW w:w="1667" w:type="pct"/>
          </w:tcPr>
          <w:p w14:paraId="4CC11CA2" w14:textId="77777777" w:rsidR="00591043" w:rsidRPr="00DC5568" w:rsidRDefault="00591043" w:rsidP="00591043">
            <w:pPr>
              <w:spacing w:before="48" w:after="48" w:line="288" w:lineRule="auto"/>
            </w:pPr>
            <w:r w:rsidRPr="00DC5568">
              <w:t>Responsibility</w:t>
            </w:r>
          </w:p>
        </w:tc>
      </w:tr>
      <w:tr w:rsidR="00173ED8" w:rsidRPr="00DC5568" w14:paraId="06143F5C" w14:textId="77777777" w:rsidTr="003D2348">
        <w:tc>
          <w:tcPr>
            <w:tcW w:w="1666" w:type="pct"/>
          </w:tcPr>
          <w:p w14:paraId="07117BC8" w14:textId="426DE697" w:rsidR="00173ED8" w:rsidRPr="00DC5568" w:rsidRDefault="00173ED8" w:rsidP="008A28C9">
            <w:pPr>
              <w:pStyle w:val="HangingIndent"/>
              <w:spacing w:line="240" w:lineRule="auto"/>
            </w:pPr>
            <w:r w:rsidRPr="00DC5568">
              <w:t>4.3</w:t>
            </w:r>
            <w:r>
              <w:tab/>
            </w:r>
            <w:r w:rsidRPr="00DC5568">
              <w:t>Develop a national professional development framework.</w:t>
            </w:r>
          </w:p>
        </w:tc>
        <w:tc>
          <w:tcPr>
            <w:tcW w:w="1667" w:type="pct"/>
          </w:tcPr>
          <w:p w14:paraId="44C64F12" w14:textId="77777777" w:rsidR="00173ED8" w:rsidRPr="00173ED8" w:rsidRDefault="00173ED8" w:rsidP="008A28C9">
            <w:pPr>
              <w:spacing w:line="240" w:lineRule="auto"/>
            </w:pPr>
            <w:r w:rsidRPr="00173ED8">
              <w:t>A framework which supports nurses across the career continuum.</w:t>
            </w:r>
          </w:p>
          <w:p w14:paraId="06D42DD9" w14:textId="77777777" w:rsidR="00173ED8" w:rsidRPr="00173ED8" w:rsidRDefault="00173ED8" w:rsidP="008A28C9">
            <w:pPr>
              <w:spacing w:line="240" w:lineRule="auto"/>
            </w:pPr>
            <w:r w:rsidRPr="00173ED8">
              <w:t>Nurses can develop to their individual goals and requirements.</w:t>
            </w:r>
          </w:p>
        </w:tc>
        <w:tc>
          <w:tcPr>
            <w:tcW w:w="1667" w:type="pct"/>
          </w:tcPr>
          <w:p w14:paraId="14EF9C2D" w14:textId="77777777" w:rsidR="00173ED8" w:rsidRPr="00173ED8" w:rsidRDefault="00173ED8" w:rsidP="008A28C9">
            <w:pPr>
              <w:spacing w:line="240" w:lineRule="auto"/>
            </w:pPr>
            <w:r w:rsidRPr="00173ED8">
              <w:t>Education providers/registered training organisations</w:t>
            </w:r>
          </w:p>
          <w:p w14:paraId="4747229E" w14:textId="77777777" w:rsidR="00173ED8" w:rsidRPr="00173ED8" w:rsidRDefault="00173ED8" w:rsidP="008A28C9">
            <w:pPr>
              <w:spacing w:line="240" w:lineRule="auto"/>
            </w:pPr>
            <w:r w:rsidRPr="00173ED8">
              <w:t>Employers</w:t>
            </w:r>
          </w:p>
          <w:p w14:paraId="0F07F10D" w14:textId="77777777" w:rsidR="00173ED8" w:rsidRPr="00173ED8" w:rsidRDefault="00173ED8" w:rsidP="008A28C9">
            <w:pPr>
              <w:spacing w:line="240" w:lineRule="auto"/>
            </w:pPr>
            <w:r w:rsidRPr="00173ED8">
              <w:t>Governments</w:t>
            </w:r>
          </w:p>
          <w:p w14:paraId="3EB7378B" w14:textId="77777777" w:rsidR="00173ED8" w:rsidRPr="00173ED8" w:rsidRDefault="00173ED8" w:rsidP="008A28C9">
            <w:pPr>
              <w:spacing w:line="240" w:lineRule="auto"/>
            </w:pPr>
            <w:r w:rsidRPr="00173ED8">
              <w:t>Nursing profession/workforce</w:t>
            </w:r>
          </w:p>
          <w:p w14:paraId="15DAB5B4" w14:textId="77777777" w:rsidR="00173ED8" w:rsidRPr="00173ED8" w:rsidRDefault="00173ED8" w:rsidP="008A28C9">
            <w:pPr>
              <w:spacing w:line="240" w:lineRule="auto"/>
            </w:pPr>
            <w:r w:rsidRPr="00173ED8">
              <w:t>Professional and industry bodies</w:t>
            </w:r>
          </w:p>
          <w:p w14:paraId="02796494" w14:textId="77777777" w:rsidR="00173ED8" w:rsidRPr="00173ED8" w:rsidRDefault="00173ED8" w:rsidP="008A28C9">
            <w:pPr>
              <w:spacing w:line="240" w:lineRule="auto"/>
            </w:pPr>
            <w:r w:rsidRPr="00173ED8">
              <w:t>Regulators</w:t>
            </w:r>
          </w:p>
        </w:tc>
      </w:tr>
    </w:tbl>
    <w:p w14:paraId="51CF6BBD" w14:textId="77777777" w:rsidR="00591043" w:rsidRPr="00DC5568" w:rsidRDefault="00591043" w:rsidP="00173ED8">
      <w:pPr>
        <w:pStyle w:val="Heading2"/>
      </w:pPr>
      <w:bookmarkStart w:id="122" w:name="_Toc236309273"/>
      <w:bookmarkStart w:id="123" w:name="_Toc236399782"/>
      <w:r w:rsidRPr="00DC5568">
        <w:lastRenderedPageBreak/>
        <w:t>Workplace environment</w:t>
      </w:r>
      <w:bookmarkEnd w:id="122"/>
      <w:bookmarkEnd w:id="123"/>
      <w:r w:rsidRPr="00DC5568">
        <w:t xml:space="preserve"> </w:t>
      </w:r>
    </w:p>
    <w:p w14:paraId="1D650ECA" w14:textId="77777777" w:rsidR="00591043" w:rsidRPr="00DC5568" w:rsidRDefault="00591043" w:rsidP="00AD1B5B">
      <w:pPr>
        <w:pStyle w:val="Heading3"/>
      </w:pPr>
      <w:r w:rsidRPr="00DC5568">
        <w:t>Reason for action</w:t>
      </w:r>
    </w:p>
    <w:p w14:paraId="48F51D78" w14:textId="77777777" w:rsidR="00591043" w:rsidRPr="00DC5568" w:rsidRDefault="00591043" w:rsidP="00591043">
      <w:pPr>
        <w:pStyle w:val="BodyText"/>
      </w:pPr>
      <w:r w:rsidRPr="00DC5568">
        <w:t>Workplace environments which adhere to positive practice standards ensure the health, safety and personal wellbeing of all practitioners and support a nurse’s ability to deliver safe, high quality, person-centred care. The benefits of positive practice environments to nurses and consumer care outcomes are well documented.</w:t>
      </w:r>
      <w:r w:rsidRPr="00C76E76">
        <w:rPr>
          <w:rStyle w:val="EndnoteReference"/>
        </w:rPr>
        <w:endnoteReference w:id="68"/>
      </w:r>
      <w:r w:rsidRPr="00DC5568">
        <w:rPr>
          <w:vertAlign w:val="superscript"/>
        </w:rPr>
        <w:t>,</w:t>
      </w:r>
      <w:r w:rsidRPr="00C76E76">
        <w:rPr>
          <w:rStyle w:val="EndnoteReference"/>
        </w:rPr>
        <w:endnoteReference w:id="69"/>
      </w:r>
      <w:r w:rsidRPr="00DC5568">
        <w:rPr>
          <w:vertAlign w:val="superscript"/>
        </w:rPr>
        <w:t>,</w:t>
      </w:r>
      <w:r w:rsidRPr="00C76E76">
        <w:rPr>
          <w:rStyle w:val="EndnoteReference"/>
        </w:rPr>
        <w:endnoteReference w:id="70"/>
      </w:r>
      <w:r w:rsidRPr="00DC5568">
        <w:t xml:space="preserve"> Occupational violence against nurses is widespread and is unacceptable. Consumers and families are frequently perpetrators of occupational violence.</w:t>
      </w:r>
      <w:r w:rsidRPr="00C76E76">
        <w:rPr>
          <w:rStyle w:val="EndnoteReference"/>
        </w:rPr>
        <w:endnoteReference w:id="71"/>
      </w:r>
      <w:r w:rsidRPr="00DC5568">
        <w:t xml:space="preserve"> However, occupational violence also includes horizontal violence, bullying and psychologically unsafe working environments. All employers are legally required to provide a safe working environment. Employers should also adopt human resource practices that support and encourage a nurse’s willingness to stay in their role and profession.</w:t>
      </w:r>
    </w:p>
    <w:p w14:paraId="7E78665F" w14:textId="77777777" w:rsidR="00591043" w:rsidRPr="00DC5568" w:rsidRDefault="00591043" w:rsidP="00591043">
      <w:pPr>
        <w:pStyle w:val="BodyText"/>
      </w:pPr>
      <w:r w:rsidRPr="00DC5568">
        <w:t xml:space="preserve">Adopting positive practice standards in alignment with Safe Work Australia’s </w:t>
      </w:r>
      <w:r w:rsidRPr="00DC5568">
        <w:rPr>
          <w:i/>
        </w:rPr>
        <w:t>Model Code of Practice: Healthcare and Social Assistance Industry</w:t>
      </w:r>
      <w:r w:rsidRPr="00DC5568">
        <w:t xml:space="preserve"> will give nurses the support and confidence to deliver the standard of care they are trained to provide and will increase retention.</w:t>
      </w:r>
    </w:p>
    <w:tbl>
      <w:tblPr>
        <w:tblStyle w:val="TableGrid"/>
        <w:tblW w:w="5000" w:type="pct"/>
        <w:tblLook w:val="0420" w:firstRow="1" w:lastRow="0" w:firstColumn="0" w:lastColumn="0" w:noHBand="0" w:noVBand="1"/>
      </w:tblPr>
      <w:tblGrid>
        <w:gridCol w:w="3005"/>
        <w:gridCol w:w="3006"/>
        <w:gridCol w:w="3006"/>
      </w:tblGrid>
      <w:tr w:rsidR="00591043" w:rsidRPr="00DC5568" w14:paraId="7A941D4D"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6BFC4C49" w14:textId="77777777" w:rsidR="00591043" w:rsidRPr="00DC5568" w:rsidRDefault="00591043" w:rsidP="00591043">
            <w:pPr>
              <w:spacing w:before="48" w:after="48" w:line="288" w:lineRule="auto"/>
            </w:pPr>
            <w:r w:rsidRPr="00DC5568">
              <w:t>Action</w:t>
            </w:r>
          </w:p>
        </w:tc>
        <w:tc>
          <w:tcPr>
            <w:tcW w:w="1667" w:type="pct"/>
          </w:tcPr>
          <w:p w14:paraId="49077D70" w14:textId="77777777" w:rsidR="00591043" w:rsidRPr="00DC5568" w:rsidRDefault="00591043" w:rsidP="00591043">
            <w:pPr>
              <w:spacing w:before="48" w:after="48" w:line="288" w:lineRule="auto"/>
            </w:pPr>
            <w:r w:rsidRPr="00DC5568">
              <w:t xml:space="preserve">Intended outcomes </w:t>
            </w:r>
          </w:p>
        </w:tc>
        <w:tc>
          <w:tcPr>
            <w:tcW w:w="1667" w:type="pct"/>
          </w:tcPr>
          <w:p w14:paraId="3F640156" w14:textId="77777777" w:rsidR="00591043" w:rsidRPr="00DC5568" w:rsidRDefault="00591043" w:rsidP="00591043">
            <w:pPr>
              <w:spacing w:before="48" w:after="48" w:line="288" w:lineRule="auto"/>
            </w:pPr>
            <w:r w:rsidRPr="00DC5568">
              <w:t>Responsibility</w:t>
            </w:r>
          </w:p>
        </w:tc>
      </w:tr>
      <w:tr w:rsidR="00173ED8" w:rsidRPr="00DC5568" w14:paraId="2F3F1CDD" w14:textId="77777777" w:rsidTr="003D2348">
        <w:tc>
          <w:tcPr>
            <w:tcW w:w="1666" w:type="pct"/>
          </w:tcPr>
          <w:p w14:paraId="78957E99" w14:textId="34C5175C" w:rsidR="00173ED8" w:rsidRPr="00DC5568" w:rsidRDefault="00173ED8" w:rsidP="00173ED8">
            <w:pPr>
              <w:pStyle w:val="HangingIndent"/>
            </w:pPr>
            <w:r w:rsidRPr="00DC5568">
              <w:t>4.4</w:t>
            </w:r>
            <w:r>
              <w:tab/>
            </w:r>
            <w:r w:rsidRPr="00173ED8">
              <w:t xml:space="preserve">Adopt positive practice environment </w:t>
            </w:r>
            <w:r w:rsidRPr="00DC5568">
              <w:t>standards in all settings.</w:t>
            </w:r>
          </w:p>
        </w:tc>
        <w:tc>
          <w:tcPr>
            <w:tcW w:w="1667" w:type="pct"/>
          </w:tcPr>
          <w:p w14:paraId="575F13B3" w14:textId="25E2E2FC" w:rsidR="00173ED8" w:rsidRPr="00173ED8" w:rsidRDefault="00173ED8" w:rsidP="00173ED8">
            <w:r w:rsidRPr="00173ED8">
              <w:t>Education settings and workplaces are safe places for nurses and demonstrate commitment to student and worker wellbeing.</w:t>
            </w:r>
          </w:p>
        </w:tc>
        <w:tc>
          <w:tcPr>
            <w:tcW w:w="1667" w:type="pct"/>
          </w:tcPr>
          <w:p w14:paraId="7583A22D" w14:textId="77777777" w:rsidR="00173ED8" w:rsidRPr="00173ED8" w:rsidRDefault="00173ED8" w:rsidP="00173ED8">
            <w:r w:rsidRPr="00173ED8">
              <w:t>Education providers/registered training organisations</w:t>
            </w:r>
          </w:p>
          <w:p w14:paraId="55F1849E" w14:textId="77777777" w:rsidR="00173ED8" w:rsidRPr="00173ED8" w:rsidRDefault="00173ED8" w:rsidP="00173ED8">
            <w:r w:rsidRPr="00173ED8">
              <w:t>Employers</w:t>
            </w:r>
          </w:p>
          <w:p w14:paraId="2D798D5F" w14:textId="77777777" w:rsidR="00173ED8" w:rsidRPr="00173ED8" w:rsidRDefault="00173ED8" w:rsidP="00173ED8">
            <w:r w:rsidRPr="00173ED8">
              <w:t>Nursing profession/workforce</w:t>
            </w:r>
          </w:p>
          <w:p w14:paraId="2B314589" w14:textId="0140D6F1" w:rsidR="00173ED8" w:rsidRPr="00173ED8" w:rsidRDefault="00173ED8" w:rsidP="00173ED8">
            <w:r w:rsidRPr="00173ED8">
              <w:t>Professional and industry bodies</w:t>
            </w:r>
            <w:r w:rsidR="00C76E76">
              <w:t xml:space="preserve"> </w:t>
            </w:r>
          </w:p>
          <w:p w14:paraId="1C457250" w14:textId="77777777" w:rsidR="00173ED8" w:rsidRPr="00173ED8" w:rsidRDefault="00173ED8" w:rsidP="00173ED8">
            <w:r w:rsidRPr="00173ED8">
              <w:t>Regulators</w:t>
            </w:r>
          </w:p>
        </w:tc>
      </w:tr>
    </w:tbl>
    <w:p w14:paraId="23430DCC" w14:textId="77777777" w:rsidR="00591043" w:rsidRPr="00DC5568" w:rsidRDefault="00591043" w:rsidP="008B39DB">
      <w:pPr>
        <w:pStyle w:val="Heading2"/>
        <w:pageBreakBefore/>
      </w:pPr>
      <w:bookmarkStart w:id="124" w:name="_Toc236309274"/>
      <w:bookmarkStart w:id="125" w:name="_Toc236399783"/>
      <w:r w:rsidRPr="00DC5568">
        <w:lastRenderedPageBreak/>
        <w:t>Research</w:t>
      </w:r>
      <w:bookmarkEnd w:id="124"/>
      <w:bookmarkEnd w:id="125"/>
    </w:p>
    <w:p w14:paraId="5E7517D6" w14:textId="77777777" w:rsidR="00591043" w:rsidRPr="00DC5568" w:rsidRDefault="00591043" w:rsidP="00AD1B5B">
      <w:pPr>
        <w:pStyle w:val="Heading3"/>
      </w:pPr>
      <w:r w:rsidRPr="00DC5568">
        <w:t>Reason for action</w:t>
      </w:r>
    </w:p>
    <w:p w14:paraId="4D204695" w14:textId="77777777" w:rsidR="00591043" w:rsidRPr="00DC5568" w:rsidRDefault="00591043" w:rsidP="00591043">
      <w:pPr>
        <w:pStyle w:val="BodyText"/>
      </w:pPr>
      <w:r w:rsidRPr="00DC5568">
        <w:t>Nurse-led research leads to improved workforce, consumer, population and health system outcomes and costs. Nurses who undertake clinical, academic and/or research career pathways are essential to the professional progression of nursing both through research and education. Nurses must have greater opportunities to pursue nurse-led research. Like other healthcare professions, there needs to be stronger links between the health and aged care system and the university sector.</w:t>
      </w:r>
    </w:p>
    <w:p w14:paraId="6A4093CC" w14:textId="77777777" w:rsidR="00591043" w:rsidRPr="00DC5568" w:rsidRDefault="00591043" w:rsidP="00591043">
      <w:pPr>
        <w:pStyle w:val="BodyText"/>
      </w:pPr>
      <w:r w:rsidRPr="00DC5568">
        <w:t xml:space="preserve">Increasing nursing clinical academic research pathways therefore benefits all components of the sector. </w:t>
      </w:r>
    </w:p>
    <w:tbl>
      <w:tblPr>
        <w:tblStyle w:val="TableGrid"/>
        <w:tblW w:w="5000" w:type="pct"/>
        <w:tblLook w:val="0420" w:firstRow="1" w:lastRow="0" w:firstColumn="0" w:lastColumn="0" w:noHBand="0" w:noVBand="1"/>
      </w:tblPr>
      <w:tblGrid>
        <w:gridCol w:w="3005"/>
        <w:gridCol w:w="3006"/>
        <w:gridCol w:w="3006"/>
      </w:tblGrid>
      <w:tr w:rsidR="00591043" w:rsidRPr="00DC5568" w14:paraId="4658B8F2"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4A72F8DD" w14:textId="77777777" w:rsidR="00591043" w:rsidRPr="00DC5568" w:rsidRDefault="00591043" w:rsidP="00591043">
            <w:pPr>
              <w:spacing w:before="48" w:after="48" w:line="288" w:lineRule="auto"/>
            </w:pPr>
            <w:r w:rsidRPr="00DC5568">
              <w:t>Action</w:t>
            </w:r>
          </w:p>
        </w:tc>
        <w:tc>
          <w:tcPr>
            <w:tcW w:w="1667" w:type="pct"/>
          </w:tcPr>
          <w:p w14:paraId="37C20483" w14:textId="77777777" w:rsidR="00591043" w:rsidRPr="00DC5568" w:rsidRDefault="00591043" w:rsidP="00591043">
            <w:pPr>
              <w:spacing w:before="48" w:after="48" w:line="288" w:lineRule="auto"/>
            </w:pPr>
            <w:r w:rsidRPr="00DC5568">
              <w:t xml:space="preserve">Intended outcomes </w:t>
            </w:r>
          </w:p>
        </w:tc>
        <w:tc>
          <w:tcPr>
            <w:tcW w:w="1667" w:type="pct"/>
          </w:tcPr>
          <w:p w14:paraId="2933E158" w14:textId="77777777" w:rsidR="00591043" w:rsidRPr="00DC5568" w:rsidRDefault="00591043" w:rsidP="00591043">
            <w:pPr>
              <w:spacing w:before="48" w:after="48" w:line="288" w:lineRule="auto"/>
            </w:pPr>
            <w:r w:rsidRPr="00DC5568">
              <w:t>Responsibility</w:t>
            </w:r>
          </w:p>
        </w:tc>
      </w:tr>
      <w:tr w:rsidR="00173ED8" w:rsidRPr="00DC5568" w14:paraId="27736416" w14:textId="77777777" w:rsidTr="003D2348">
        <w:tc>
          <w:tcPr>
            <w:tcW w:w="1666" w:type="pct"/>
          </w:tcPr>
          <w:p w14:paraId="3FB1E022" w14:textId="77EE9925" w:rsidR="00173ED8" w:rsidRPr="00DC5568" w:rsidRDefault="00173ED8" w:rsidP="00173ED8">
            <w:pPr>
              <w:pStyle w:val="HangingIndent"/>
            </w:pPr>
            <w:r w:rsidRPr="00DC5568">
              <w:t>4.5</w:t>
            </w:r>
            <w:r>
              <w:tab/>
            </w:r>
            <w:r w:rsidRPr="00DC5568">
              <w:t>Build and grow nurse clinical-academic/research career pathways.</w:t>
            </w:r>
          </w:p>
        </w:tc>
        <w:tc>
          <w:tcPr>
            <w:tcW w:w="1667" w:type="pct"/>
          </w:tcPr>
          <w:p w14:paraId="25F0436E" w14:textId="77777777" w:rsidR="00173ED8" w:rsidRPr="00173ED8" w:rsidRDefault="00173ED8" w:rsidP="00173ED8">
            <w:r w:rsidRPr="00173ED8">
              <w:t>Clinical, academic and research pathways are visible, integrated, sustainable and accessible.</w:t>
            </w:r>
          </w:p>
        </w:tc>
        <w:tc>
          <w:tcPr>
            <w:tcW w:w="1667" w:type="pct"/>
          </w:tcPr>
          <w:p w14:paraId="0D57ACF4" w14:textId="77777777" w:rsidR="00173ED8" w:rsidRPr="00173ED8" w:rsidRDefault="00173ED8" w:rsidP="00173ED8">
            <w:r w:rsidRPr="00173ED8">
              <w:t>Education providers/registered training organisations</w:t>
            </w:r>
          </w:p>
          <w:p w14:paraId="7792C5E2" w14:textId="77777777" w:rsidR="00173ED8" w:rsidRPr="00173ED8" w:rsidRDefault="00173ED8" w:rsidP="00173ED8">
            <w:r w:rsidRPr="00173ED8">
              <w:t>Employers</w:t>
            </w:r>
          </w:p>
          <w:p w14:paraId="54BE669C" w14:textId="77777777" w:rsidR="00173ED8" w:rsidRPr="00173ED8" w:rsidRDefault="00173ED8" w:rsidP="00173ED8">
            <w:r w:rsidRPr="00173ED8">
              <w:t>Governments</w:t>
            </w:r>
          </w:p>
        </w:tc>
      </w:tr>
    </w:tbl>
    <w:p w14:paraId="10D36BAC" w14:textId="77777777" w:rsidR="00591043" w:rsidRDefault="00591043" w:rsidP="008B39DB">
      <w:pPr>
        <w:pStyle w:val="Heading2"/>
        <w:pageBreakBefore/>
      </w:pPr>
      <w:bookmarkStart w:id="126" w:name="_Toc236309275"/>
      <w:bookmarkStart w:id="127" w:name="_Toc236399784"/>
      <w:r w:rsidRPr="00DC5568">
        <w:lastRenderedPageBreak/>
        <w:t>Rural and remote workforce</w:t>
      </w:r>
      <w:bookmarkEnd w:id="126"/>
      <w:bookmarkEnd w:id="127"/>
    </w:p>
    <w:p w14:paraId="19D66A7F" w14:textId="77777777" w:rsidR="00591043" w:rsidRPr="00DC5568" w:rsidRDefault="00591043" w:rsidP="00591043">
      <w:pPr>
        <w:pStyle w:val="BodyText"/>
      </w:pPr>
      <w:r w:rsidRPr="00DC5568">
        <w:t>While the nursing profession is the most distributed health workforce in comparison to other health professions, more nurses are needed in rural and remote areas.</w:t>
      </w:r>
      <w:r w:rsidRPr="00C76E76">
        <w:rPr>
          <w:rStyle w:val="EndnoteReference"/>
        </w:rPr>
        <w:endnoteReference w:id="72"/>
      </w:r>
      <w:r w:rsidRPr="00DC5568">
        <w:t xml:space="preserve"> </w:t>
      </w:r>
    </w:p>
    <w:p w14:paraId="51C048C7" w14:textId="77777777" w:rsidR="00591043" w:rsidRPr="00DC5568" w:rsidRDefault="00591043" w:rsidP="00591043">
      <w:pPr>
        <w:pStyle w:val="BodyText"/>
      </w:pPr>
      <w:r w:rsidRPr="00DC5568">
        <w:t xml:space="preserve">The following actions, along with developing strategies and programs such as the </w:t>
      </w:r>
      <w:r w:rsidRPr="00DC5568">
        <w:rPr>
          <w:i/>
        </w:rPr>
        <w:t>National Rural and Remote Nursing Generalist Framework 2023-2027</w:t>
      </w:r>
      <w:r w:rsidRPr="00C76E76">
        <w:rPr>
          <w:rStyle w:val="EndnoteReference"/>
        </w:rPr>
        <w:endnoteReference w:id="73"/>
      </w:r>
      <w:r w:rsidRPr="00DC5568">
        <w:t xml:space="preserve"> will help overcome the challenges of attracting and retaining nurses in rural and remote communities. They will contribute to a more attractive career package offering for the current and future nursing workforce. </w:t>
      </w:r>
    </w:p>
    <w:p w14:paraId="58B4CE70" w14:textId="77777777" w:rsidR="00591043" w:rsidRPr="00DC5568" w:rsidRDefault="00591043" w:rsidP="00591043">
      <w:pPr>
        <w:pStyle w:val="BodyText"/>
        <w:rPr>
          <w:i/>
        </w:rPr>
      </w:pPr>
      <w:r w:rsidRPr="00DC5568">
        <w:t>Actions, strategies and programs should be considered in conjunction with broader government initiatives that attract health care workers to rural and remote areas which focus on core essentials such as availability of housing and childcare, and provision of technologies which support nurses to work to their optimum scope of practice.</w:t>
      </w:r>
    </w:p>
    <w:p w14:paraId="2B6077DB" w14:textId="77777777" w:rsidR="00591043" w:rsidRPr="00DC5568" w:rsidRDefault="00591043" w:rsidP="00AD1B5B">
      <w:pPr>
        <w:pStyle w:val="Heading3"/>
      </w:pPr>
      <w:r w:rsidRPr="00DC5568">
        <w:t>Reason for action</w:t>
      </w:r>
    </w:p>
    <w:p w14:paraId="2EE2C5E1" w14:textId="77777777" w:rsidR="00591043" w:rsidRPr="00DC5568" w:rsidRDefault="00591043" w:rsidP="00591043">
      <w:pPr>
        <w:pStyle w:val="BodyText"/>
      </w:pPr>
      <w:r w:rsidRPr="00DC5568">
        <w:t xml:space="preserve">Rural and remote nursing provides a unique range of opportunities, including exposure to a diverse range of clinical and leadership experiences, greater autonomy and the opportunity to build strong relationships with the community. It also requires care to be delivered to populations that have significantly higher burden of disease, lower life expectancies, and barriers to health service access not experienced in urban areas. </w:t>
      </w:r>
    </w:p>
    <w:p w14:paraId="4CCE20DA" w14:textId="77777777" w:rsidR="00591043" w:rsidRPr="00DC5568" w:rsidRDefault="00591043" w:rsidP="00591043">
      <w:pPr>
        <w:pStyle w:val="BodyText"/>
      </w:pPr>
      <w:r w:rsidRPr="00DC5568">
        <w:t xml:space="preserve">Developing a rural and remote career pathway with transition of practice support will ensure nurses working in rural and remote areas are well-prepared, supported and empowered to practice in this unique context. </w:t>
      </w:r>
    </w:p>
    <w:tbl>
      <w:tblPr>
        <w:tblStyle w:val="TableGrid"/>
        <w:tblW w:w="5000" w:type="pct"/>
        <w:tblLook w:val="0420" w:firstRow="1" w:lastRow="0" w:firstColumn="0" w:lastColumn="0" w:noHBand="0" w:noVBand="1"/>
      </w:tblPr>
      <w:tblGrid>
        <w:gridCol w:w="3005"/>
        <w:gridCol w:w="3006"/>
        <w:gridCol w:w="3006"/>
      </w:tblGrid>
      <w:tr w:rsidR="00591043" w:rsidRPr="00DC5568" w14:paraId="2894BC0A"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1ACF3C6A" w14:textId="77777777" w:rsidR="00591043" w:rsidRPr="00DC5568" w:rsidRDefault="00591043" w:rsidP="00591043">
            <w:pPr>
              <w:spacing w:before="48" w:after="48" w:line="288" w:lineRule="auto"/>
            </w:pPr>
            <w:r w:rsidRPr="00DC5568">
              <w:t>Action</w:t>
            </w:r>
          </w:p>
        </w:tc>
        <w:tc>
          <w:tcPr>
            <w:tcW w:w="1667" w:type="pct"/>
          </w:tcPr>
          <w:p w14:paraId="1B4D7398" w14:textId="77777777" w:rsidR="00591043" w:rsidRPr="00DC5568" w:rsidRDefault="00591043" w:rsidP="00591043">
            <w:pPr>
              <w:spacing w:before="48" w:after="48" w:line="288" w:lineRule="auto"/>
            </w:pPr>
            <w:r w:rsidRPr="00DC5568">
              <w:t xml:space="preserve">Intended outcomes </w:t>
            </w:r>
          </w:p>
        </w:tc>
        <w:tc>
          <w:tcPr>
            <w:tcW w:w="1667" w:type="pct"/>
          </w:tcPr>
          <w:p w14:paraId="055853D5" w14:textId="77777777" w:rsidR="00591043" w:rsidRPr="00DC5568" w:rsidRDefault="00591043" w:rsidP="00591043">
            <w:pPr>
              <w:spacing w:before="48" w:after="48" w:line="288" w:lineRule="auto"/>
            </w:pPr>
            <w:r w:rsidRPr="00DC5568">
              <w:t>Responsibility</w:t>
            </w:r>
          </w:p>
        </w:tc>
      </w:tr>
      <w:tr w:rsidR="00173ED8" w:rsidRPr="00DC5568" w14:paraId="05C30798" w14:textId="77777777" w:rsidTr="003D2348">
        <w:tc>
          <w:tcPr>
            <w:tcW w:w="1666" w:type="pct"/>
          </w:tcPr>
          <w:p w14:paraId="69FC7DE5" w14:textId="62E18B74" w:rsidR="00173ED8" w:rsidRPr="00DC5568" w:rsidRDefault="00173ED8" w:rsidP="00173ED8">
            <w:pPr>
              <w:pStyle w:val="HangingIndent"/>
            </w:pPr>
            <w:r w:rsidRPr="00DC5568">
              <w:t>4.6</w:t>
            </w:r>
            <w:r>
              <w:tab/>
            </w:r>
            <w:r w:rsidRPr="00DC5568">
              <w:t xml:space="preserve">Develop a rural and remote career pathway inclusive of transition of practice support. </w:t>
            </w:r>
          </w:p>
        </w:tc>
        <w:tc>
          <w:tcPr>
            <w:tcW w:w="1667" w:type="pct"/>
          </w:tcPr>
          <w:p w14:paraId="16769972" w14:textId="77777777" w:rsidR="00173ED8" w:rsidRPr="00173ED8" w:rsidRDefault="00173ED8" w:rsidP="00173ED8">
            <w:r w:rsidRPr="00173ED8">
              <w:t>Increase in the size and distribution of the rural and remote nursing workforce commensurate with population need.</w:t>
            </w:r>
          </w:p>
          <w:p w14:paraId="3D8F59CA" w14:textId="0A4B6C01" w:rsidR="00173ED8" w:rsidRPr="00173ED8" w:rsidRDefault="00173ED8" w:rsidP="00173ED8">
            <w:r w:rsidRPr="00173ED8">
              <w:t xml:space="preserve">Increased recruitment and retention of nurses in rural and remote communities. </w:t>
            </w:r>
          </w:p>
        </w:tc>
        <w:tc>
          <w:tcPr>
            <w:tcW w:w="1667" w:type="pct"/>
          </w:tcPr>
          <w:p w14:paraId="3F7467EF" w14:textId="77777777" w:rsidR="00173ED8" w:rsidRPr="00173ED8" w:rsidRDefault="00173ED8" w:rsidP="00173ED8">
            <w:r w:rsidRPr="00173ED8">
              <w:t>Education providers/registered training organisations</w:t>
            </w:r>
          </w:p>
          <w:p w14:paraId="6FC41596" w14:textId="77777777" w:rsidR="00173ED8" w:rsidRPr="00173ED8" w:rsidRDefault="00173ED8" w:rsidP="00173ED8">
            <w:r w:rsidRPr="00173ED8">
              <w:t>Employers</w:t>
            </w:r>
          </w:p>
          <w:p w14:paraId="507D0C8F" w14:textId="77777777" w:rsidR="00173ED8" w:rsidRPr="00173ED8" w:rsidRDefault="00173ED8" w:rsidP="00173ED8">
            <w:r w:rsidRPr="00173ED8">
              <w:t>Governments</w:t>
            </w:r>
          </w:p>
          <w:p w14:paraId="6857A788" w14:textId="77777777" w:rsidR="00173ED8" w:rsidRPr="00173ED8" w:rsidRDefault="00173ED8" w:rsidP="00173ED8">
            <w:r w:rsidRPr="00173ED8">
              <w:t>Professional and industry bodies</w:t>
            </w:r>
          </w:p>
        </w:tc>
      </w:tr>
    </w:tbl>
    <w:p w14:paraId="743EE8AE" w14:textId="77777777" w:rsidR="00591043" w:rsidRPr="008B39DB" w:rsidRDefault="00591043" w:rsidP="00AD1B5B">
      <w:pPr>
        <w:pStyle w:val="Heading3"/>
        <w:pageBreakBefore/>
      </w:pPr>
      <w:r w:rsidRPr="00DC5568">
        <w:lastRenderedPageBreak/>
        <w:t>Reason for action</w:t>
      </w:r>
    </w:p>
    <w:p w14:paraId="2C715D10" w14:textId="77777777" w:rsidR="00591043" w:rsidRPr="00DC5568" w:rsidRDefault="00591043" w:rsidP="008B39DB">
      <w:pPr>
        <w:pStyle w:val="BodyText"/>
      </w:pPr>
      <w:r w:rsidRPr="00DC5568">
        <w:t>There is linkage between positive exposure to rural and remote clinical training with the intent to practice in these areas.</w:t>
      </w:r>
      <w:r w:rsidRPr="00C76E76">
        <w:rPr>
          <w:rStyle w:val="EndnoteReference"/>
        </w:rPr>
        <w:endnoteReference w:id="74"/>
      </w:r>
      <w:r w:rsidRPr="00DC5568">
        <w:t xml:space="preserve"> Quality learning opportunities in rural and remote communities support the development of confidence and skills to work in these areas and foster strong local connections.</w:t>
      </w:r>
    </w:p>
    <w:tbl>
      <w:tblPr>
        <w:tblStyle w:val="TableGrid"/>
        <w:tblW w:w="5000" w:type="pct"/>
        <w:tblLook w:val="0420" w:firstRow="1" w:lastRow="0" w:firstColumn="0" w:lastColumn="0" w:noHBand="0" w:noVBand="1"/>
      </w:tblPr>
      <w:tblGrid>
        <w:gridCol w:w="3005"/>
        <w:gridCol w:w="3006"/>
        <w:gridCol w:w="3006"/>
      </w:tblGrid>
      <w:tr w:rsidR="00591043" w:rsidRPr="00DC5568" w14:paraId="2C06688F"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140C006A" w14:textId="77777777" w:rsidR="00591043" w:rsidRPr="00DC5568" w:rsidRDefault="00591043" w:rsidP="00591043">
            <w:pPr>
              <w:spacing w:before="48" w:after="48" w:line="288" w:lineRule="auto"/>
            </w:pPr>
            <w:r w:rsidRPr="00DC5568">
              <w:t>Action</w:t>
            </w:r>
          </w:p>
        </w:tc>
        <w:tc>
          <w:tcPr>
            <w:tcW w:w="1667" w:type="pct"/>
          </w:tcPr>
          <w:p w14:paraId="2B788E91" w14:textId="77777777" w:rsidR="00591043" w:rsidRPr="00DC5568" w:rsidRDefault="00591043" w:rsidP="00591043">
            <w:pPr>
              <w:spacing w:before="48" w:after="48" w:line="288" w:lineRule="auto"/>
            </w:pPr>
            <w:r w:rsidRPr="00DC5568">
              <w:t>Intended outcomes</w:t>
            </w:r>
          </w:p>
        </w:tc>
        <w:tc>
          <w:tcPr>
            <w:tcW w:w="1667" w:type="pct"/>
          </w:tcPr>
          <w:p w14:paraId="4B022306" w14:textId="77777777" w:rsidR="00591043" w:rsidRPr="00DC5568" w:rsidRDefault="00591043" w:rsidP="00591043">
            <w:pPr>
              <w:spacing w:before="48" w:after="48" w:line="288" w:lineRule="auto"/>
            </w:pPr>
            <w:r w:rsidRPr="00DC5568">
              <w:t>Responsibility</w:t>
            </w:r>
          </w:p>
        </w:tc>
      </w:tr>
      <w:tr w:rsidR="00173ED8" w:rsidRPr="00DC5568" w14:paraId="2E6343D1" w14:textId="77777777" w:rsidTr="003D2348">
        <w:tc>
          <w:tcPr>
            <w:tcW w:w="1666" w:type="pct"/>
          </w:tcPr>
          <w:p w14:paraId="6F6BDBE6" w14:textId="40FECF2B" w:rsidR="00173ED8" w:rsidRPr="00DC5568" w:rsidRDefault="00173ED8" w:rsidP="00173ED8">
            <w:pPr>
              <w:pStyle w:val="HangingIndent"/>
            </w:pPr>
            <w:r w:rsidRPr="00DC5568">
              <w:t>4.7</w:t>
            </w:r>
            <w:r>
              <w:tab/>
            </w:r>
            <w:r w:rsidRPr="00DC5568">
              <w:t>Develop models of education to allow students to study closer to home including strengthening rural nursing clinical schools and professional experience placements.</w:t>
            </w:r>
          </w:p>
        </w:tc>
        <w:tc>
          <w:tcPr>
            <w:tcW w:w="1667" w:type="pct"/>
          </w:tcPr>
          <w:p w14:paraId="17DFFF91" w14:textId="77777777" w:rsidR="00173ED8" w:rsidRPr="00173ED8" w:rsidRDefault="00173ED8" w:rsidP="00173ED8">
            <w:r w:rsidRPr="00173ED8">
              <w:t>Increased attraction of nurses into rural and remote nursing.</w:t>
            </w:r>
          </w:p>
        </w:tc>
        <w:tc>
          <w:tcPr>
            <w:tcW w:w="1667" w:type="pct"/>
          </w:tcPr>
          <w:p w14:paraId="075C1EA4" w14:textId="77777777" w:rsidR="00173ED8" w:rsidRPr="00173ED8" w:rsidRDefault="00173ED8" w:rsidP="00173ED8">
            <w:r w:rsidRPr="00173ED8">
              <w:t>Education providers/registered training organisations</w:t>
            </w:r>
          </w:p>
          <w:p w14:paraId="74103F8F" w14:textId="77777777" w:rsidR="00173ED8" w:rsidRPr="00173ED8" w:rsidRDefault="00173ED8" w:rsidP="00173ED8">
            <w:r w:rsidRPr="00173ED8">
              <w:t>Governments</w:t>
            </w:r>
          </w:p>
        </w:tc>
      </w:tr>
    </w:tbl>
    <w:p w14:paraId="520D845A" w14:textId="77777777" w:rsidR="00AD1B5B" w:rsidRPr="008B39DB" w:rsidRDefault="00AD1B5B" w:rsidP="00AD1B5B">
      <w:pPr>
        <w:pStyle w:val="Heading3"/>
      </w:pPr>
      <w:r w:rsidRPr="00DC5568">
        <w:t>Reason for action</w:t>
      </w:r>
    </w:p>
    <w:p w14:paraId="2FDFEF29" w14:textId="66AAAFDF" w:rsidR="00591043" w:rsidRPr="00DC5568" w:rsidRDefault="00591043" w:rsidP="00591043">
      <w:pPr>
        <w:pStyle w:val="BodyText"/>
      </w:pPr>
      <w:r w:rsidRPr="00DC5568">
        <w:t xml:space="preserve">In remote and very remote communities, nurses are often the only place-based practitioner, supported by virtual or fly-in/ fly-out or drive-in/drive out multidisciplinary health professionals. Consequently, remote area nurses are responsible for providing continuous, coordinated and comprehensive primary health care to meet the diverse needs of their entire community, including after-hours emergency care. Where nurses in rural and remote areas can work to their optimum scope of practice, increased job satisfaction can lead to improved </w:t>
      </w:r>
      <w:proofErr w:type="gramStart"/>
      <w:r w:rsidRPr="00DC5568">
        <w:t>retention</w:t>
      </w:r>
      <w:proofErr w:type="gramEnd"/>
      <w:r w:rsidRPr="00DC5568">
        <w:t xml:space="preserve"> and communities can benefit from improved access to care.</w:t>
      </w:r>
    </w:p>
    <w:tbl>
      <w:tblPr>
        <w:tblStyle w:val="TableGrid"/>
        <w:tblW w:w="5000" w:type="pct"/>
        <w:tblLook w:val="0420" w:firstRow="1" w:lastRow="0" w:firstColumn="0" w:lastColumn="0" w:noHBand="0" w:noVBand="1"/>
      </w:tblPr>
      <w:tblGrid>
        <w:gridCol w:w="3005"/>
        <w:gridCol w:w="3006"/>
        <w:gridCol w:w="3006"/>
      </w:tblGrid>
      <w:tr w:rsidR="00591043" w:rsidRPr="00DC5568" w14:paraId="6ACF6272" w14:textId="77777777" w:rsidTr="003D2348">
        <w:trPr>
          <w:cnfStyle w:val="100000000000" w:firstRow="1" w:lastRow="0" w:firstColumn="0" w:lastColumn="0" w:oddVBand="0" w:evenVBand="0" w:oddHBand="0" w:evenHBand="0" w:firstRowFirstColumn="0" w:firstRowLastColumn="0" w:lastRowFirstColumn="0" w:lastRowLastColumn="0"/>
        </w:trPr>
        <w:tc>
          <w:tcPr>
            <w:tcW w:w="1666" w:type="pct"/>
          </w:tcPr>
          <w:p w14:paraId="3CE6D10F" w14:textId="77777777" w:rsidR="00591043" w:rsidRPr="00DC5568" w:rsidRDefault="00591043" w:rsidP="00591043">
            <w:pPr>
              <w:spacing w:before="48" w:after="48" w:line="288" w:lineRule="auto"/>
            </w:pPr>
            <w:r w:rsidRPr="00DC5568">
              <w:t>Action</w:t>
            </w:r>
          </w:p>
        </w:tc>
        <w:tc>
          <w:tcPr>
            <w:tcW w:w="1667" w:type="pct"/>
          </w:tcPr>
          <w:p w14:paraId="7DEF0C21" w14:textId="77777777" w:rsidR="00591043" w:rsidRPr="00DC5568" w:rsidRDefault="00591043" w:rsidP="00591043">
            <w:pPr>
              <w:spacing w:before="48" w:after="48" w:line="288" w:lineRule="auto"/>
            </w:pPr>
            <w:r w:rsidRPr="00DC5568">
              <w:t>Intended outcomes</w:t>
            </w:r>
          </w:p>
        </w:tc>
        <w:tc>
          <w:tcPr>
            <w:tcW w:w="1667" w:type="pct"/>
          </w:tcPr>
          <w:p w14:paraId="56B14C77" w14:textId="77777777" w:rsidR="00591043" w:rsidRPr="00DC5568" w:rsidRDefault="00591043" w:rsidP="00591043">
            <w:pPr>
              <w:spacing w:before="48" w:after="48" w:line="288" w:lineRule="auto"/>
            </w:pPr>
            <w:r w:rsidRPr="00DC5568">
              <w:t>Responsibility</w:t>
            </w:r>
          </w:p>
        </w:tc>
      </w:tr>
      <w:tr w:rsidR="00173ED8" w:rsidRPr="00DC5568" w14:paraId="129BCA1D" w14:textId="77777777" w:rsidTr="003D2348">
        <w:tc>
          <w:tcPr>
            <w:tcW w:w="1666" w:type="pct"/>
          </w:tcPr>
          <w:p w14:paraId="7F41D60A" w14:textId="1A092618" w:rsidR="00173ED8" w:rsidRPr="00DC5568" w:rsidRDefault="00173ED8" w:rsidP="00173ED8">
            <w:pPr>
              <w:pStyle w:val="HangingIndent"/>
            </w:pPr>
            <w:r w:rsidRPr="00DC5568">
              <w:t>4.8</w:t>
            </w:r>
            <w:r>
              <w:tab/>
            </w:r>
            <w:r w:rsidRPr="00DC5568">
              <w:t>Remove barriers to nurses working to their optimum scope of practice within multidisciplinary models of care in rural and remote locations.</w:t>
            </w:r>
          </w:p>
        </w:tc>
        <w:tc>
          <w:tcPr>
            <w:tcW w:w="1667" w:type="pct"/>
          </w:tcPr>
          <w:p w14:paraId="1BBD41F5" w14:textId="77777777" w:rsidR="00173ED8" w:rsidRPr="00173ED8" w:rsidRDefault="00173ED8" w:rsidP="00173ED8">
            <w:r w:rsidRPr="00173ED8">
              <w:t>Increased retention of nurses in rural and remote communities.</w:t>
            </w:r>
          </w:p>
          <w:p w14:paraId="46982573" w14:textId="77777777" w:rsidR="00173ED8" w:rsidRPr="00173ED8" w:rsidRDefault="00173ED8" w:rsidP="00173ED8">
            <w:r w:rsidRPr="00173ED8">
              <w:t xml:space="preserve">Improved access to care for people living in rural and remote locations. </w:t>
            </w:r>
          </w:p>
        </w:tc>
        <w:tc>
          <w:tcPr>
            <w:tcW w:w="1667" w:type="pct"/>
          </w:tcPr>
          <w:p w14:paraId="55E197A0" w14:textId="77777777" w:rsidR="00173ED8" w:rsidRPr="00173ED8" w:rsidRDefault="00173ED8" w:rsidP="00173ED8">
            <w:r w:rsidRPr="00173ED8">
              <w:t>Employers</w:t>
            </w:r>
          </w:p>
          <w:p w14:paraId="4A82AFB7" w14:textId="77777777" w:rsidR="00173ED8" w:rsidRPr="00173ED8" w:rsidRDefault="00173ED8" w:rsidP="00173ED8">
            <w:r w:rsidRPr="00173ED8">
              <w:t>Governments</w:t>
            </w:r>
          </w:p>
        </w:tc>
      </w:tr>
    </w:tbl>
    <w:p w14:paraId="4B9CDE7B" w14:textId="77777777" w:rsidR="00591043" w:rsidRPr="00DC5568" w:rsidRDefault="00591043" w:rsidP="00591043">
      <w:pPr>
        <w:pStyle w:val="Heading1"/>
      </w:pPr>
      <w:bookmarkStart w:id="130" w:name="_Toc183432210"/>
      <w:bookmarkStart w:id="131" w:name="_Toc236309276"/>
      <w:bookmarkStart w:id="132" w:name="_Toc236399785"/>
      <w:r w:rsidRPr="00DC5568">
        <w:lastRenderedPageBreak/>
        <w:t>Implementation and measuring success</w:t>
      </w:r>
      <w:bookmarkEnd w:id="130"/>
      <w:bookmarkEnd w:id="131"/>
      <w:bookmarkEnd w:id="132"/>
    </w:p>
    <w:p w14:paraId="5C0FEDD9" w14:textId="77777777" w:rsidR="00591043" w:rsidRPr="00DC5568" w:rsidRDefault="00591043" w:rsidP="000E4F00">
      <w:pPr>
        <w:pStyle w:val="Heading2"/>
      </w:pPr>
      <w:bookmarkStart w:id="133" w:name="_Toc183432211"/>
      <w:bookmarkStart w:id="134" w:name="_Toc236309277"/>
      <w:bookmarkStart w:id="135" w:name="_Toc236399786"/>
      <w:r w:rsidRPr="00DC5568">
        <w:t>Implementation</w:t>
      </w:r>
      <w:bookmarkEnd w:id="133"/>
      <w:bookmarkEnd w:id="134"/>
      <w:bookmarkEnd w:id="135"/>
      <w:r w:rsidRPr="00DC5568">
        <w:t xml:space="preserve"> </w:t>
      </w:r>
    </w:p>
    <w:p w14:paraId="6A247D83" w14:textId="77777777" w:rsidR="00591043" w:rsidRPr="00DC5568" w:rsidRDefault="00591043" w:rsidP="00591043">
      <w:pPr>
        <w:pStyle w:val="BodyText"/>
      </w:pPr>
      <w:r w:rsidRPr="00DC5568">
        <w:t xml:space="preserve">Achieving the vision and outcomes of this strategy will require collaboration. The most effective and sustainable change will come about through collective will and action, and an ongoing commitment to progress. While action must be driven and owned by all stakeholders, successful implementation of the strategy outcomes will rely on collaboration and co-design. </w:t>
      </w:r>
    </w:p>
    <w:p w14:paraId="14F00912" w14:textId="77777777" w:rsidR="00591043" w:rsidRPr="00DC5568" w:rsidRDefault="00591043" w:rsidP="00591043">
      <w:pPr>
        <w:pStyle w:val="BodyText"/>
      </w:pPr>
      <w:r w:rsidRPr="00DC5568">
        <w:t>These outcomes will be progressively reviewed under the oversight of a governance body.</w:t>
      </w:r>
    </w:p>
    <w:p w14:paraId="5798C264" w14:textId="77777777" w:rsidR="00591043" w:rsidRPr="00DC5568" w:rsidRDefault="00591043" w:rsidP="000E4F00">
      <w:pPr>
        <w:pStyle w:val="Heading2"/>
      </w:pPr>
      <w:bookmarkStart w:id="136" w:name="_Toc183432213"/>
      <w:bookmarkStart w:id="137" w:name="_Toc236309278"/>
      <w:bookmarkStart w:id="138" w:name="_Toc236399787"/>
      <w:r w:rsidRPr="00DC5568">
        <w:t>Governance</w:t>
      </w:r>
      <w:bookmarkEnd w:id="136"/>
      <w:bookmarkEnd w:id="137"/>
      <w:bookmarkEnd w:id="138"/>
    </w:p>
    <w:p w14:paraId="1A6661C7" w14:textId="77777777" w:rsidR="00591043" w:rsidRPr="00DC5568" w:rsidRDefault="00591043" w:rsidP="00591043">
      <w:pPr>
        <w:pStyle w:val="BodyText"/>
      </w:pPr>
      <w:r w:rsidRPr="00DC5568">
        <w:t xml:space="preserve">A governance body will be established to ensure effective oversight of the strategy’s implementation, including monitoring and evaluation of the outcomes. The governance body will ensure representatives from governments, regulators, education providers, professional and industry bodies, employers and consumer and carer organisations are consulted. This will provide an avenue to coordinate, target and partner on initiatives, maximising the benefit of collective efforts and investment. </w:t>
      </w:r>
    </w:p>
    <w:p w14:paraId="64C1D4E6" w14:textId="77777777" w:rsidR="00591043" w:rsidRPr="00DC5568" w:rsidRDefault="00591043" w:rsidP="000E4F00">
      <w:pPr>
        <w:pStyle w:val="Heading2"/>
      </w:pPr>
      <w:bookmarkStart w:id="139" w:name="_Toc183432214"/>
      <w:bookmarkStart w:id="140" w:name="_Toc236309279"/>
      <w:bookmarkStart w:id="141" w:name="_Toc236399788"/>
      <w:r w:rsidRPr="00DC5568">
        <w:t>Monitoring and evaluation</w:t>
      </w:r>
      <w:bookmarkEnd w:id="139"/>
      <w:bookmarkEnd w:id="140"/>
      <w:bookmarkEnd w:id="141"/>
      <w:r w:rsidRPr="00DC5568">
        <w:t xml:space="preserve"> </w:t>
      </w:r>
    </w:p>
    <w:p w14:paraId="7B1171F0" w14:textId="77777777" w:rsidR="00591043" w:rsidRPr="00DC5568" w:rsidRDefault="00591043" w:rsidP="00591043">
      <w:pPr>
        <w:pStyle w:val="BodyText"/>
      </w:pPr>
      <w:r w:rsidRPr="00DC5568">
        <w:t xml:space="preserve">A monitoring and evaluation framework will be established to measure the success of the strategy. The framework will allow the governance body overseeing the implementation of the strategy to effectively monitor its progress. </w:t>
      </w:r>
    </w:p>
    <w:p w14:paraId="674D0417" w14:textId="77777777" w:rsidR="00591043" w:rsidRDefault="00591043" w:rsidP="00591043">
      <w:pPr>
        <w:pStyle w:val="BodyText"/>
      </w:pPr>
      <w:r w:rsidRPr="00DC5568">
        <w:t>The framework will promote accountability across organisations and inform remedial strategies if the outcomes in the strategy are not being successfully achieved or having the desired effect. It will outline the methods and time periods at which data will be collected, collated and analysed. Conclusions about the success of the strategy can then be drawn and disseminated for wide learning among stakeholders.</w:t>
      </w:r>
    </w:p>
    <w:p w14:paraId="347DC102" w14:textId="001DA38A" w:rsidR="00591043" w:rsidRDefault="0056519E" w:rsidP="0056519E">
      <w:pPr>
        <w:pStyle w:val="Heading1"/>
      </w:pPr>
      <w:bookmarkStart w:id="142" w:name="_Toc236399789"/>
      <w:r>
        <w:lastRenderedPageBreak/>
        <w:t>Appendices</w:t>
      </w:r>
      <w:bookmarkStart w:id="143" w:name="_Toc183432216"/>
      <w:bookmarkEnd w:id="142"/>
    </w:p>
    <w:p w14:paraId="4F100BB2" w14:textId="27912C46" w:rsidR="00591043" w:rsidRPr="00DC5568" w:rsidRDefault="006B12E5" w:rsidP="0056519E">
      <w:pPr>
        <w:pStyle w:val="Heading2"/>
      </w:pPr>
      <w:bookmarkStart w:id="144" w:name="_Ref236310141"/>
      <w:bookmarkStart w:id="145" w:name="_Toc236309280"/>
      <w:bookmarkStart w:id="146" w:name="_Ref236310136"/>
      <w:bookmarkStart w:id="147" w:name="_Toc236399790"/>
      <w:r>
        <w:t xml:space="preserve">Appendix </w:t>
      </w:r>
      <w:r>
        <w:fldChar w:fldCharType="begin"/>
      </w:r>
      <w:r>
        <w:instrText>SEQ Appendix \* ALPHABETIC</w:instrText>
      </w:r>
      <w:r>
        <w:fldChar w:fldCharType="separate"/>
      </w:r>
      <w:r w:rsidR="00156823">
        <w:rPr>
          <w:noProof/>
        </w:rPr>
        <w:t>A</w:t>
      </w:r>
      <w:r>
        <w:fldChar w:fldCharType="end"/>
      </w:r>
      <w:bookmarkEnd w:id="144"/>
      <w:r w:rsidR="00591043" w:rsidRPr="00DC5568">
        <w:t xml:space="preserve"> – Australian health care system</w:t>
      </w:r>
      <w:bookmarkEnd w:id="145"/>
      <w:bookmarkEnd w:id="146"/>
      <w:bookmarkEnd w:id="147"/>
    </w:p>
    <w:p w14:paraId="359D9AA2" w14:textId="77777777" w:rsidR="00591043" w:rsidRDefault="00591043" w:rsidP="00304E47">
      <w:pPr>
        <w:pStyle w:val="Caption"/>
        <w:spacing w:before="480"/>
      </w:pPr>
      <w:r w:rsidRPr="00DC5568">
        <w:t>Figure 4. Overview of the Australian health care system</w:t>
      </w:r>
    </w:p>
    <w:p w14:paraId="1F0A1E24" w14:textId="5CCBF7AF" w:rsidR="009A46C9" w:rsidRPr="009A46C9" w:rsidRDefault="009A46C9" w:rsidP="009A46C9">
      <w:r>
        <w:rPr>
          <w:noProof/>
        </w:rPr>
        <w:drawing>
          <wp:inline distT="0" distB="0" distL="0" distR="0" wp14:anchorId="17E9D2E9" wp14:editId="43B9645F">
            <wp:extent cx="5732145" cy="4845050"/>
            <wp:effectExtent l="0" t="0" r="1905" b="0"/>
            <wp:docPr id="135989446" name="Picture 5" descr="Diagram positioning the person at the centre of Australia’s health care system, surrounded by health workforce, regulation, education and infrastructure, and influenced by environmental and population factors. The health care system is supported by Commonwealth Government, State and Territory Governments and private and not-for-profit sector responsib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9446" name="Picture 5" descr="Diagram positioning the person at the centre of Australia’s health care system, surrounded by health workforce, regulation, education and infrastructure, and influenced by environmental and population factors. The health care system is supported by Commonwealth Government, State and Territory Governments and private and not-for-profit sector responsibilitie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2145" cy="4845050"/>
                    </a:xfrm>
                    <a:prstGeom prst="rect">
                      <a:avLst/>
                    </a:prstGeom>
                  </pic:spPr>
                </pic:pic>
              </a:graphicData>
            </a:graphic>
          </wp:inline>
        </w:drawing>
      </w:r>
    </w:p>
    <w:p w14:paraId="29F0F860" w14:textId="5E457F12" w:rsidR="00591043" w:rsidRPr="00DC5568" w:rsidRDefault="006B12E5" w:rsidP="009A46C9">
      <w:pPr>
        <w:pStyle w:val="Heading2"/>
        <w:pageBreakBefore/>
      </w:pPr>
      <w:bookmarkStart w:id="148" w:name="_Ref236310159"/>
      <w:bookmarkStart w:id="149" w:name="_Toc236309281"/>
      <w:bookmarkStart w:id="150" w:name="_Toc236399791"/>
      <w:r>
        <w:lastRenderedPageBreak/>
        <w:t xml:space="preserve">Appendix </w:t>
      </w:r>
      <w:r>
        <w:fldChar w:fldCharType="begin"/>
      </w:r>
      <w:r>
        <w:instrText>SEQ Appendix \* ALPHABETIC</w:instrText>
      </w:r>
      <w:r>
        <w:fldChar w:fldCharType="separate"/>
      </w:r>
      <w:r w:rsidR="00156823">
        <w:rPr>
          <w:noProof/>
        </w:rPr>
        <w:t>B</w:t>
      </w:r>
      <w:r>
        <w:fldChar w:fldCharType="end"/>
      </w:r>
      <w:bookmarkEnd w:id="148"/>
      <w:r w:rsidR="00591043" w:rsidRPr="00DC5568">
        <w:t xml:space="preserve"> – Development of the strategy</w:t>
      </w:r>
      <w:bookmarkEnd w:id="143"/>
      <w:bookmarkEnd w:id="149"/>
      <w:bookmarkEnd w:id="150"/>
    </w:p>
    <w:p w14:paraId="1C7551F2" w14:textId="77777777" w:rsidR="00591043" w:rsidRPr="00DC5568" w:rsidRDefault="00591043" w:rsidP="00591043">
      <w:pPr>
        <w:pStyle w:val="BodyText"/>
      </w:pPr>
      <w:r w:rsidRPr="00DC5568">
        <w:t xml:space="preserve">The strategy has been informed by extensive consultation and research, and its development has been guided by governance committees. </w:t>
      </w:r>
    </w:p>
    <w:p w14:paraId="5BD566F0" w14:textId="77777777" w:rsidR="00591043" w:rsidRDefault="00591043" w:rsidP="006B12E5">
      <w:pPr>
        <w:pStyle w:val="Caption"/>
      </w:pPr>
      <w:r w:rsidRPr="00DC5568">
        <w:t>Figure 5. Overview of development of the National Nursing Workforce Strategy</w:t>
      </w:r>
    </w:p>
    <w:p w14:paraId="19622070" w14:textId="19517597" w:rsidR="009A46C9" w:rsidRPr="009A46C9" w:rsidRDefault="009A46C9" w:rsidP="009A46C9">
      <w:r>
        <w:rPr>
          <w:noProof/>
        </w:rPr>
        <w:drawing>
          <wp:inline distT="0" distB="0" distL="0" distR="0" wp14:anchorId="6518E271" wp14:editId="2BF727AA">
            <wp:extent cx="5732145" cy="4232275"/>
            <wp:effectExtent l="0" t="0" r="1905" b="0"/>
            <wp:docPr id="248253497" name="Picture 6" descr="Two-stage timeline showing the strategy’s development from governance and initial consultation through drafting, further consultation and final approval. A detailed text description of the consultation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53497" name="Picture 6" descr="Two-stage timeline showing the strategy’s development from governance and initial consultation through drafting, further consultation and final approval. A detailed text description of the consultation follows."/>
                    <pic:cNvPicPr/>
                  </pic:nvPicPr>
                  <pic:blipFill rotWithShape="1">
                    <a:blip r:embed="rId35" cstate="print">
                      <a:extLst>
                        <a:ext uri="{28A0092B-C50C-407E-A947-70E740481C1C}">
                          <a14:useLocalDpi xmlns:a14="http://schemas.microsoft.com/office/drawing/2010/main" val="0"/>
                        </a:ext>
                      </a:extLst>
                    </a:blip>
                    <a:srcRect t="-1368"/>
                    <a:stretch>
                      <a:fillRect/>
                    </a:stretch>
                  </pic:blipFill>
                  <pic:spPr bwMode="auto">
                    <a:xfrm>
                      <a:off x="0" y="0"/>
                      <a:ext cx="5732145" cy="4232275"/>
                    </a:xfrm>
                    <a:prstGeom prst="rect">
                      <a:avLst/>
                    </a:prstGeom>
                    <a:ln>
                      <a:noFill/>
                    </a:ln>
                    <a:extLst>
                      <a:ext uri="{53640926-AAD7-44D8-BBD7-CCE9431645EC}">
                        <a14:shadowObscured xmlns:a14="http://schemas.microsoft.com/office/drawing/2010/main"/>
                      </a:ext>
                    </a:extLst>
                  </pic:spPr>
                </pic:pic>
              </a:graphicData>
            </a:graphic>
          </wp:inline>
        </w:drawing>
      </w:r>
    </w:p>
    <w:p w14:paraId="7B7443AB" w14:textId="77777777" w:rsidR="00591043" w:rsidRPr="00DC5568" w:rsidRDefault="00591043" w:rsidP="006B4756">
      <w:pPr>
        <w:pStyle w:val="Heading3"/>
      </w:pPr>
      <w:bookmarkStart w:id="151" w:name="_Toc236309282"/>
      <w:r w:rsidRPr="00DC5568">
        <w:lastRenderedPageBreak/>
        <w:t>Stage One - Consultation and research</w:t>
      </w:r>
      <w:bookmarkEnd w:id="151"/>
    </w:p>
    <w:p w14:paraId="3654F873" w14:textId="77777777" w:rsidR="00591043" w:rsidRPr="00DC5568" w:rsidRDefault="00591043" w:rsidP="00AD1B5B">
      <w:pPr>
        <w:pStyle w:val="BodyText"/>
        <w:keepNext/>
        <w:keepLines/>
      </w:pPr>
      <w:r w:rsidRPr="00DC5568">
        <w:t>Extensive consultation was undertaken to understand current challenges facing the nursing workforce in Australia, what is working well and innovative solutions for the future. Stage One consultation included a range of virtual and in-person channels including webinars, workshops, yarning circles, video and written submissions, and surveys. A total of 5,995 stakeholders across the country participated and 1,169,336 data points were gathered. Additionally, 19 environmental scans and literature reviews were undertaken.</w:t>
      </w:r>
    </w:p>
    <w:p w14:paraId="127D6F32" w14:textId="77777777" w:rsidR="00591043" w:rsidRDefault="00591043" w:rsidP="006B12E5">
      <w:pPr>
        <w:pStyle w:val="Caption"/>
      </w:pPr>
      <w:r w:rsidRPr="00DC5568">
        <w:t>Figure 6. Breakdown of consultation activities.</w:t>
      </w:r>
    </w:p>
    <w:p w14:paraId="711F9D24" w14:textId="06A0DE74" w:rsidR="00591043" w:rsidRPr="00DC5568" w:rsidRDefault="009A46C9" w:rsidP="009A46C9">
      <w:r>
        <w:rPr>
          <w:noProof/>
        </w:rPr>
        <w:drawing>
          <wp:inline distT="0" distB="0" distL="0" distR="0" wp14:anchorId="3FED8D8C" wp14:editId="350CD3F4">
            <wp:extent cx="5732145" cy="6688440"/>
            <wp:effectExtent l="0" t="0" r="0" b="5080"/>
            <wp:docPr id="860061844" name="Picture 7" descr="Infographic summarising consultation activities involving 5,995 people, comprising a qualitative sample of 3,622 and a quantitative sample of 2,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061844" name="Picture 7" descr="Infographic summarising consultation activities involving 5,995 people, comprising a qualitative sample of 3,622 and a quantitative sample of 2,37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2145" cy="6688440"/>
                    </a:xfrm>
                    <a:prstGeom prst="rect">
                      <a:avLst/>
                    </a:prstGeom>
                  </pic:spPr>
                </pic:pic>
              </a:graphicData>
            </a:graphic>
          </wp:inline>
        </w:drawing>
      </w:r>
    </w:p>
    <w:p w14:paraId="64DC4EF5" w14:textId="589560D1" w:rsidR="007A5EFC" w:rsidRDefault="00591043" w:rsidP="00591043">
      <w:pPr>
        <w:pStyle w:val="BodyText"/>
      </w:pPr>
      <w:r w:rsidRPr="00DC5568">
        <w:lastRenderedPageBreak/>
        <w:t xml:space="preserve">The outcomes from consultation as well as the evidence gathered through national and international environmental scans and literature reviews are available at: </w:t>
      </w:r>
      <w:hyperlink r:id="rId37" w:history="1">
        <w:r w:rsidR="003D5098">
          <w:rPr>
            <w:rStyle w:val="Hyperlink"/>
          </w:rPr>
          <w:t>National Nursing Workforce Strategy</w:t>
        </w:r>
      </w:hyperlink>
      <w:r w:rsidR="003D5098">
        <w:t xml:space="preserve"> webpage.</w:t>
      </w:r>
      <w:r w:rsidRPr="00DC5568">
        <w:t xml:space="preserve"> </w:t>
      </w:r>
    </w:p>
    <w:p w14:paraId="72CE07F5" w14:textId="77777777" w:rsidR="00591043" w:rsidRPr="00DC5568" w:rsidRDefault="00591043" w:rsidP="0056519E">
      <w:pPr>
        <w:pStyle w:val="Heading4"/>
      </w:pPr>
      <w:r w:rsidRPr="00DC5568">
        <w:t>Key findings</w:t>
      </w:r>
    </w:p>
    <w:p w14:paraId="651444FA" w14:textId="5F0D0EAF" w:rsidR="00591043" w:rsidRPr="00DC5568" w:rsidRDefault="00591043" w:rsidP="007A5EFC">
      <w:pPr>
        <w:pStyle w:val="BoxNumbered"/>
      </w:pPr>
      <w:r w:rsidRPr="00DC5568">
        <w:t xml:space="preserve">The findings from the public consultation are grouped into 13 key themes </w:t>
      </w:r>
      <w:r w:rsidR="009A46C9">
        <w:br/>
      </w:r>
      <w:r w:rsidRPr="00DC5568">
        <w:t>(listed in no order):</w:t>
      </w:r>
    </w:p>
    <w:p w14:paraId="55A71824" w14:textId="77777777" w:rsidR="00591043" w:rsidRPr="00F03ED3" w:rsidRDefault="00591043" w:rsidP="007A5EFC">
      <w:pPr>
        <w:pStyle w:val="BoxNumbered"/>
      </w:pPr>
      <w:r w:rsidRPr="00F03ED3">
        <w:t>Planning for future workforce needs can be improved</w:t>
      </w:r>
    </w:p>
    <w:p w14:paraId="0655F772" w14:textId="44F63670" w:rsidR="00591043" w:rsidRPr="00F03ED3" w:rsidRDefault="00591043" w:rsidP="007A5EFC">
      <w:pPr>
        <w:pStyle w:val="BoxNumbered"/>
      </w:pPr>
      <w:r w:rsidRPr="00F03ED3">
        <w:t>Perceptions about what nurses do are often outdated</w:t>
      </w:r>
    </w:p>
    <w:p w14:paraId="2B028624" w14:textId="34934D57" w:rsidR="00591043" w:rsidRPr="00F03ED3" w:rsidRDefault="00591043" w:rsidP="007A5EFC">
      <w:pPr>
        <w:pStyle w:val="BoxNumbered"/>
      </w:pPr>
      <w:r w:rsidRPr="00F03ED3">
        <w:t>Continuing to recruit nurses is critical</w:t>
      </w:r>
    </w:p>
    <w:p w14:paraId="1AE0CF9F" w14:textId="120AD69A" w:rsidR="00591043" w:rsidRPr="00F03ED3" w:rsidRDefault="00591043" w:rsidP="007A5EFC">
      <w:pPr>
        <w:pStyle w:val="BoxNumbered"/>
      </w:pPr>
      <w:r w:rsidRPr="00F03ED3">
        <w:t>Retaining nurses is as important as attracting new ones</w:t>
      </w:r>
    </w:p>
    <w:p w14:paraId="3D89D79C" w14:textId="77777777" w:rsidR="00591043" w:rsidRPr="00F03ED3" w:rsidRDefault="00591043" w:rsidP="007A5EFC">
      <w:pPr>
        <w:pStyle w:val="BoxNumbered"/>
      </w:pPr>
      <w:r w:rsidRPr="00F03ED3">
        <w:t>Education and training can be improved</w:t>
      </w:r>
    </w:p>
    <w:p w14:paraId="6C215522" w14:textId="77777777" w:rsidR="00591043" w:rsidRPr="00F03ED3" w:rsidRDefault="00591043" w:rsidP="007A5EFC">
      <w:pPr>
        <w:pStyle w:val="BoxNumbered"/>
      </w:pPr>
      <w:r w:rsidRPr="00F03ED3">
        <w:t>Support during clinical placements needs to be bolstered</w:t>
      </w:r>
    </w:p>
    <w:p w14:paraId="55CBF4E8" w14:textId="77777777" w:rsidR="00591043" w:rsidRPr="00F03ED3" w:rsidRDefault="00591043" w:rsidP="007A5EFC">
      <w:pPr>
        <w:pStyle w:val="BoxNumbered"/>
      </w:pPr>
      <w:r w:rsidRPr="00F03ED3">
        <w:t>Clear career progression is important for recruitment and retention</w:t>
      </w:r>
    </w:p>
    <w:p w14:paraId="0C7F565B" w14:textId="77777777" w:rsidR="00591043" w:rsidRPr="00F03ED3" w:rsidRDefault="00591043" w:rsidP="007A5EFC">
      <w:pPr>
        <w:pStyle w:val="BoxNumbered"/>
      </w:pPr>
      <w:r w:rsidRPr="00F03ED3">
        <w:t>Nurses’ roles and skills need to be optimised in line with changing community needs</w:t>
      </w:r>
    </w:p>
    <w:p w14:paraId="0C208E05" w14:textId="77777777" w:rsidR="00591043" w:rsidRPr="00F03ED3" w:rsidRDefault="00591043" w:rsidP="007A5EFC">
      <w:pPr>
        <w:pStyle w:val="BoxNumbered"/>
      </w:pPr>
      <w:r w:rsidRPr="00F03ED3">
        <w:t>Supporting nurse leaders is important for positive workplaces</w:t>
      </w:r>
    </w:p>
    <w:p w14:paraId="57F508B1" w14:textId="77777777" w:rsidR="00591043" w:rsidRPr="00F03ED3" w:rsidRDefault="00591043" w:rsidP="007A5EFC">
      <w:pPr>
        <w:pStyle w:val="BoxNumbered"/>
      </w:pPr>
      <w:r w:rsidRPr="00F03ED3">
        <w:t>Digital technologies will change the skills required of nurses</w:t>
      </w:r>
    </w:p>
    <w:p w14:paraId="6E5B54F3" w14:textId="77777777" w:rsidR="00591043" w:rsidRPr="00F03ED3" w:rsidRDefault="00591043" w:rsidP="007A5EFC">
      <w:pPr>
        <w:pStyle w:val="BoxNumbered"/>
      </w:pPr>
      <w:r w:rsidRPr="00F03ED3">
        <w:t>Nurses in rural and remote areas face added challenges</w:t>
      </w:r>
      <w:r w:rsidRPr="00F03ED3">
        <w:tab/>
      </w:r>
    </w:p>
    <w:p w14:paraId="40D6E8A3" w14:textId="77777777" w:rsidR="00591043" w:rsidRPr="00F03ED3" w:rsidRDefault="00591043" w:rsidP="007A5EFC">
      <w:pPr>
        <w:pStyle w:val="BoxNumbered"/>
      </w:pPr>
      <w:r w:rsidRPr="00F03ED3">
        <w:t xml:space="preserve">First Nations nurses face </w:t>
      </w:r>
      <w:proofErr w:type="gramStart"/>
      <w:r w:rsidRPr="00F03ED3">
        <w:t>particular issues</w:t>
      </w:r>
      <w:proofErr w:type="gramEnd"/>
    </w:p>
    <w:p w14:paraId="0FA78085" w14:textId="77777777" w:rsidR="00591043" w:rsidRPr="004C0F1F" w:rsidRDefault="00591043" w:rsidP="007A5EFC">
      <w:pPr>
        <w:pStyle w:val="BoxNumbered"/>
      </w:pPr>
      <w:r w:rsidRPr="00F03ED3">
        <w:t>Supporting a dive</w:t>
      </w:r>
      <w:r w:rsidRPr="004C0F1F">
        <w:t>rse nursing workforce is important</w:t>
      </w:r>
    </w:p>
    <w:p w14:paraId="4516F614" w14:textId="77777777" w:rsidR="00591043" w:rsidRPr="00DC5568" w:rsidRDefault="00591043" w:rsidP="0056519E">
      <w:pPr>
        <w:pStyle w:val="Heading3"/>
      </w:pPr>
      <w:bookmarkStart w:id="152" w:name="_Toc236309283"/>
      <w:r w:rsidRPr="00DC5568">
        <w:t>Stage two – Drafting the strategy</w:t>
      </w:r>
      <w:bookmarkEnd w:id="152"/>
    </w:p>
    <w:p w14:paraId="1CEB2F8A" w14:textId="77777777" w:rsidR="00591043" w:rsidRPr="00DC5568" w:rsidRDefault="00591043" w:rsidP="00F44A5D">
      <w:pPr>
        <w:pStyle w:val="BodyText"/>
        <w:keepNext/>
      </w:pPr>
      <w:r w:rsidRPr="00DC5568">
        <w:t xml:space="preserve">The strategy was drafted using input from the extensive evidence base built in Stage One, and with guidance from the strategy governance groups. </w:t>
      </w:r>
    </w:p>
    <w:p w14:paraId="058B858C" w14:textId="77777777" w:rsidR="00591043" w:rsidRPr="00DC5568" w:rsidRDefault="00591043" w:rsidP="00591043">
      <w:pPr>
        <w:pStyle w:val="BodyText"/>
      </w:pPr>
      <w:r w:rsidRPr="00DC5568">
        <w:t xml:space="preserve">Public consultation was held to seek feedback on the draft strategy. Stakeholders and interested members of the public were invited to provide feedback on the draft strategy via a survey or a written submission. 661 respondents engaged with the online survey and 62 written submissions were received. </w:t>
      </w:r>
    </w:p>
    <w:p w14:paraId="548EF91D" w14:textId="77777777" w:rsidR="00591043" w:rsidRPr="00DC5568" w:rsidRDefault="00591043" w:rsidP="00591043">
      <w:pPr>
        <w:pStyle w:val="BodyText"/>
      </w:pPr>
      <w:r w:rsidRPr="00DC5568">
        <w:t>Targeted meetings and webinars were held with 487 stakeholders. This included state and territory Chief Nursing and Midwifery Officers and their senior executives, professional bodies and organisations, government agencies and healthcare consumers. The feedback received informed key changes to the final strategy.</w:t>
      </w:r>
    </w:p>
    <w:p w14:paraId="0BF7C2A7" w14:textId="77777777" w:rsidR="00591043" w:rsidRPr="00DC5568" w:rsidRDefault="00591043" w:rsidP="0056519E">
      <w:pPr>
        <w:pStyle w:val="Heading4"/>
      </w:pPr>
      <w:r w:rsidRPr="00DC5568">
        <w:lastRenderedPageBreak/>
        <w:t>Strategy governance</w:t>
      </w:r>
    </w:p>
    <w:p w14:paraId="3AF33079" w14:textId="77777777" w:rsidR="00591043" w:rsidRPr="00DC5568" w:rsidRDefault="00591043" w:rsidP="00AD1B5B">
      <w:pPr>
        <w:pStyle w:val="BodyText"/>
        <w:keepNext/>
        <w:keepLines/>
      </w:pPr>
      <w:r w:rsidRPr="00DC5568">
        <w:t>A robust governance structure was developed to provide advice and strategic direction on the development of the strategy.</w:t>
      </w:r>
    </w:p>
    <w:p w14:paraId="3119E758" w14:textId="6607E7E5" w:rsidR="00FD6EBD" w:rsidRPr="00FD6EBD" w:rsidRDefault="00591043" w:rsidP="00DA1304">
      <w:pPr>
        <w:pStyle w:val="Caption"/>
        <w:spacing w:after="120"/>
      </w:pPr>
      <w:r w:rsidRPr="00DC5568">
        <w:t>Table 4</w:t>
      </w:r>
      <w:r w:rsidR="00DA1304">
        <w:t>a</w:t>
      </w:r>
      <w:r w:rsidRPr="00DC5568">
        <w:t xml:space="preserve">. Overview of strategy governance </w:t>
      </w:r>
      <w:r w:rsidR="00DA1304">
        <w:t xml:space="preserve">– </w:t>
      </w:r>
      <w:r w:rsidR="00FD6EBD" w:rsidRPr="00DC5568">
        <w:t>Commonwealth-State</w:t>
      </w:r>
    </w:p>
    <w:tbl>
      <w:tblPr>
        <w:tblStyle w:val="TableGrid"/>
        <w:tblW w:w="5000" w:type="pct"/>
        <w:tblLook w:val="0420" w:firstRow="1" w:lastRow="0" w:firstColumn="0" w:lastColumn="0" w:noHBand="0" w:noVBand="1"/>
      </w:tblPr>
      <w:tblGrid>
        <w:gridCol w:w="2597"/>
        <w:gridCol w:w="3567"/>
        <w:gridCol w:w="2853"/>
      </w:tblGrid>
      <w:tr w:rsidR="00591043" w:rsidRPr="00DC5568" w14:paraId="0C31684B" w14:textId="77777777" w:rsidTr="003D2348">
        <w:trPr>
          <w:cnfStyle w:val="100000000000" w:firstRow="1" w:lastRow="0" w:firstColumn="0" w:lastColumn="0" w:oddVBand="0" w:evenVBand="0" w:oddHBand="0" w:evenHBand="0" w:firstRowFirstColumn="0" w:firstRowLastColumn="0" w:lastRowFirstColumn="0" w:lastRowLastColumn="0"/>
        </w:trPr>
        <w:tc>
          <w:tcPr>
            <w:tcW w:w="1440" w:type="pct"/>
            <w:hideMark/>
          </w:tcPr>
          <w:p w14:paraId="128DCE64" w14:textId="77777777" w:rsidR="00591043" w:rsidRPr="00DC5568" w:rsidRDefault="00591043" w:rsidP="00591043">
            <w:pPr>
              <w:spacing w:before="48" w:after="48" w:line="288" w:lineRule="auto"/>
            </w:pPr>
            <w:r w:rsidRPr="00DC5568">
              <w:t>Group</w:t>
            </w:r>
          </w:p>
        </w:tc>
        <w:tc>
          <w:tcPr>
            <w:tcW w:w="1978" w:type="pct"/>
            <w:hideMark/>
          </w:tcPr>
          <w:p w14:paraId="65338AD2" w14:textId="77777777" w:rsidR="00591043" w:rsidRPr="00DC5568" w:rsidRDefault="00591043" w:rsidP="00591043">
            <w:pPr>
              <w:spacing w:before="48" w:after="48" w:line="288" w:lineRule="auto"/>
            </w:pPr>
            <w:r w:rsidRPr="00DC5568">
              <w:t>Membership</w:t>
            </w:r>
          </w:p>
        </w:tc>
        <w:tc>
          <w:tcPr>
            <w:tcW w:w="1582" w:type="pct"/>
            <w:hideMark/>
          </w:tcPr>
          <w:p w14:paraId="056198D9" w14:textId="77777777" w:rsidR="00591043" w:rsidRPr="00DC5568" w:rsidRDefault="00591043" w:rsidP="00591043">
            <w:pPr>
              <w:spacing w:before="48" w:after="48" w:line="288" w:lineRule="auto"/>
            </w:pPr>
            <w:r w:rsidRPr="00DC5568">
              <w:t>Accountabilities</w:t>
            </w:r>
          </w:p>
        </w:tc>
      </w:tr>
      <w:tr w:rsidR="00591043" w:rsidRPr="00DC5568" w14:paraId="0A997E1E" w14:textId="77777777" w:rsidTr="003D2348">
        <w:tc>
          <w:tcPr>
            <w:tcW w:w="1440" w:type="pct"/>
          </w:tcPr>
          <w:p w14:paraId="17199F73" w14:textId="77777777" w:rsidR="00591043" w:rsidRPr="00304E47" w:rsidRDefault="00591043" w:rsidP="00304E47">
            <w:r w:rsidRPr="00304E47">
              <w:t>Health Ministers Meeting (HMM)</w:t>
            </w:r>
          </w:p>
        </w:tc>
        <w:tc>
          <w:tcPr>
            <w:tcW w:w="1978" w:type="pct"/>
          </w:tcPr>
          <w:p w14:paraId="4D06C3B6" w14:textId="77777777" w:rsidR="00591043" w:rsidRPr="00304E47" w:rsidRDefault="00591043" w:rsidP="00304E47">
            <w:r w:rsidRPr="00304E47">
              <w:t>Australian Government Minister for Health and Aged Care and state and territory government ministers responsible for health portfolios.</w:t>
            </w:r>
          </w:p>
        </w:tc>
        <w:tc>
          <w:tcPr>
            <w:tcW w:w="1582" w:type="pct"/>
          </w:tcPr>
          <w:p w14:paraId="178EFB28" w14:textId="77777777" w:rsidR="00591043" w:rsidRPr="00591043" w:rsidRDefault="00591043" w:rsidP="00FD6EBD">
            <w:pPr>
              <w:pStyle w:val="TableBullet"/>
              <w:rPr>
                <w:rFonts w:eastAsiaTheme="minorHAnsi"/>
                <w:lang w:eastAsia="en-US"/>
              </w:rPr>
            </w:pPr>
            <w:r w:rsidRPr="00591043">
              <w:rPr>
                <w:rFonts w:eastAsiaTheme="minorHAnsi"/>
                <w:lang w:eastAsia="en-US"/>
              </w:rPr>
              <w:t>Endorsement of strategy</w:t>
            </w:r>
          </w:p>
          <w:p w14:paraId="6345DF6F" w14:textId="77777777" w:rsidR="00591043" w:rsidRPr="00DC5568" w:rsidRDefault="00591043" w:rsidP="00FD6EBD">
            <w:pPr>
              <w:pStyle w:val="TableBullet"/>
            </w:pPr>
            <w:r w:rsidRPr="00DC5568">
              <w:t>Determining governance arrangements</w:t>
            </w:r>
          </w:p>
        </w:tc>
      </w:tr>
      <w:tr w:rsidR="00591043" w:rsidRPr="00DC5568" w14:paraId="17433ED3" w14:textId="77777777" w:rsidTr="003D2348">
        <w:tc>
          <w:tcPr>
            <w:tcW w:w="1440" w:type="pct"/>
          </w:tcPr>
          <w:p w14:paraId="3D8801BE" w14:textId="77777777" w:rsidR="00591043" w:rsidRPr="00304E47" w:rsidRDefault="00591043" w:rsidP="00304E47">
            <w:r w:rsidRPr="00304E47">
              <w:t>Health Chief Executives Forum (HCEF)</w:t>
            </w:r>
          </w:p>
        </w:tc>
        <w:tc>
          <w:tcPr>
            <w:tcW w:w="1978" w:type="pct"/>
          </w:tcPr>
          <w:p w14:paraId="25B79C62" w14:textId="77777777" w:rsidR="00591043" w:rsidRPr="00304E47" w:rsidRDefault="00591043" w:rsidP="00304E47">
            <w:r w:rsidRPr="00304E47">
              <w:t>Chief executive officers from each Australian government health department.</w:t>
            </w:r>
          </w:p>
        </w:tc>
        <w:tc>
          <w:tcPr>
            <w:tcW w:w="1582" w:type="pct"/>
          </w:tcPr>
          <w:p w14:paraId="0FF72496" w14:textId="77777777" w:rsidR="00591043" w:rsidRPr="00DC5568" w:rsidRDefault="00591043" w:rsidP="00FD6EBD">
            <w:pPr>
              <w:pStyle w:val="TableBullet"/>
            </w:pPr>
            <w:r w:rsidRPr="00DC5568">
              <w:t>Consideration of strategy</w:t>
            </w:r>
          </w:p>
        </w:tc>
      </w:tr>
      <w:tr w:rsidR="00591043" w:rsidRPr="00DC5568" w14:paraId="12649CAC" w14:textId="77777777" w:rsidTr="003D2348">
        <w:tc>
          <w:tcPr>
            <w:tcW w:w="1440" w:type="pct"/>
          </w:tcPr>
          <w:p w14:paraId="09CDDE33" w14:textId="77777777" w:rsidR="00591043" w:rsidRPr="00304E47" w:rsidRDefault="00591043" w:rsidP="00304E47">
            <w:r w:rsidRPr="00304E47">
              <w:t>Health Workforce Taskforce (HWT)</w:t>
            </w:r>
          </w:p>
        </w:tc>
        <w:tc>
          <w:tcPr>
            <w:tcW w:w="1978" w:type="pct"/>
          </w:tcPr>
          <w:p w14:paraId="39D2112F" w14:textId="77777777" w:rsidR="00591043" w:rsidRPr="00304E47" w:rsidRDefault="00591043" w:rsidP="00304E47">
            <w:r w:rsidRPr="00304E47">
              <w:t>Officers from the Commonwealth, and all states and territories.</w:t>
            </w:r>
          </w:p>
        </w:tc>
        <w:tc>
          <w:tcPr>
            <w:tcW w:w="1582" w:type="pct"/>
          </w:tcPr>
          <w:p w14:paraId="4AEA1CED" w14:textId="77777777" w:rsidR="00591043" w:rsidRPr="00DC5568" w:rsidRDefault="00591043" w:rsidP="00FD6EBD">
            <w:pPr>
              <w:pStyle w:val="TableBullet"/>
            </w:pPr>
            <w:r w:rsidRPr="00DC5568">
              <w:t>Oversight of project</w:t>
            </w:r>
          </w:p>
        </w:tc>
      </w:tr>
      <w:tr w:rsidR="00591043" w:rsidRPr="00DC5568" w14:paraId="46FACDE2" w14:textId="77777777" w:rsidTr="003D2348">
        <w:tc>
          <w:tcPr>
            <w:tcW w:w="1440" w:type="pct"/>
          </w:tcPr>
          <w:p w14:paraId="38DB2D87" w14:textId="7E640880" w:rsidR="00591043" w:rsidRPr="00304E47" w:rsidRDefault="00591043" w:rsidP="00304E47">
            <w:hyperlink r:id="rId38" w:history="1">
              <w:r w:rsidRPr="00304E47">
                <w:rPr>
                  <w:rStyle w:val="Hyperlink"/>
                </w:rPr>
                <w:t>Strategy Steering Committee</w:t>
              </w:r>
            </w:hyperlink>
            <w:r w:rsidRPr="00304E47">
              <w:t xml:space="preserve"> (SSC)</w:t>
            </w:r>
          </w:p>
        </w:tc>
        <w:tc>
          <w:tcPr>
            <w:tcW w:w="1978" w:type="pct"/>
          </w:tcPr>
          <w:p w14:paraId="4B6E72FA" w14:textId="77777777" w:rsidR="00591043" w:rsidRPr="00304E47" w:rsidRDefault="00591043" w:rsidP="00304E47">
            <w:r w:rsidRPr="00304E47">
              <w:t>Chief Nursing and Midwifery Officer (CNMO)/Chief Nursing Officer from the Commonwealth and each Australian state and territory, as well as several specialists with expertise outside of nursing.</w:t>
            </w:r>
          </w:p>
        </w:tc>
        <w:tc>
          <w:tcPr>
            <w:tcW w:w="1582" w:type="pct"/>
          </w:tcPr>
          <w:p w14:paraId="673DBFFA" w14:textId="77777777" w:rsidR="00591043" w:rsidRPr="00DC5568" w:rsidRDefault="00591043" w:rsidP="00FD6EBD">
            <w:pPr>
              <w:pStyle w:val="TableBullet"/>
            </w:pPr>
            <w:r w:rsidRPr="00DC5568">
              <w:t>Guiding the process towards a strategy that best meets the needs of the community, profession and service delivery providers</w:t>
            </w:r>
          </w:p>
        </w:tc>
      </w:tr>
    </w:tbl>
    <w:p w14:paraId="3880B3A3" w14:textId="14EC351B" w:rsidR="00FD6EBD" w:rsidRDefault="00DA1304" w:rsidP="00DA1304">
      <w:pPr>
        <w:pStyle w:val="Caption"/>
        <w:spacing w:after="120"/>
      </w:pPr>
      <w:r w:rsidRPr="00DC5568">
        <w:t>Table 4</w:t>
      </w:r>
      <w:r>
        <w:t>b</w:t>
      </w:r>
      <w:r w:rsidRPr="00DC5568">
        <w:t xml:space="preserve">. Overview of strategy governance </w:t>
      </w:r>
      <w:r>
        <w:t xml:space="preserve">– </w:t>
      </w:r>
      <w:r w:rsidR="00FD6EBD" w:rsidRPr="00DC5568">
        <w:t>Other stakeholders</w:t>
      </w:r>
      <w:r w:rsidR="00867067">
        <w:t>/</w:t>
      </w:r>
      <w:proofErr w:type="gramStart"/>
      <w:r w:rsidR="00FD6EBD" w:rsidRPr="00DC5568">
        <w:t>Non-Government</w:t>
      </w:r>
      <w:proofErr w:type="gramEnd"/>
    </w:p>
    <w:tbl>
      <w:tblPr>
        <w:tblStyle w:val="TableGrid"/>
        <w:tblW w:w="5000" w:type="pct"/>
        <w:tblLook w:val="0420" w:firstRow="1" w:lastRow="0" w:firstColumn="0" w:lastColumn="0" w:noHBand="0" w:noVBand="1"/>
      </w:tblPr>
      <w:tblGrid>
        <w:gridCol w:w="2547"/>
        <w:gridCol w:w="3685"/>
        <w:gridCol w:w="2785"/>
      </w:tblGrid>
      <w:tr w:rsidR="00FD6EBD" w:rsidRPr="00DC5568" w14:paraId="5DEEFA84" w14:textId="77777777" w:rsidTr="003C7B37">
        <w:trPr>
          <w:cnfStyle w:val="100000000000" w:firstRow="1" w:lastRow="0" w:firstColumn="0" w:lastColumn="0" w:oddVBand="0" w:evenVBand="0" w:oddHBand="0" w:evenHBand="0" w:firstRowFirstColumn="0" w:firstRowLastColumn="0" w:lastRowFirstColumn="0" w:lastRowLastColumn="0"/>
        </w:trPr>
        <w:tc>
          <w:tcPr>
            <w:tcW w:w="1412" w:type="pct"/>
            <w:hideMark/>
          </w:tcPr>
          <w:p w14:paraId="0CF1AF65" w14:textId="77777777" w:rsidR="00FD6EBD" w:rsidRPr="00DC5568" w:rsidRDefault="00FD6EBD">
            <w:pPr>
              <w:spacing w:before="48" w:after="48" w:line="288" w:lineRule="auto"/>
            </w:pPr>
            <w:r w:rsidRPr="00DC5568">
              <w:t>Group</w:t>
            </w:r>
          </w:p>
        </w:tc>
        <w:tc>
          <w:tcPr>
            <w:tcW w:w="2043" w:type="pct"/>
            <w:hideMark/>
          </w:tcPr>
          <w:p w14:paraId="2EE276F5" w14:textId="77777777" w:rsidR="00FD6EBD" w:rsidRPr="00DC5568" w:rsidRDefault="00FD6EBD">
            <w:pPr>
              <w:spacing w:before="48" w:after="48" w:line="288" w:lineRule="auto"/>
            </w:pPr>
            <w:r w:rsidRPr="00DC5568">
              <w:t>Membership</w:t>
            </w:r>
          </w:p>
        </w:tc>
        <w:tc>
          <w:tcPr>
            <w:tcW w:w="1544" w:type="pct"/>
            <w:hideMark/>
          </w:tcPr>
          <w:p w14:paraId="40FA507F" w14:textId="77777777" w:rsidR="00FD6EBD" w:rsidRPr="00DC5568" w:rsidRDefault="00FD6EBD">
            <w:pPr>
              <w:spacing w:before="48" w:after="48" w:line="288" w:lineRule="auto"/>
            </w:pPr>
            <w:r w:rsidRPr="00DC5568">
              <w:t>Accountabilities</w:t>
            </w:r>
          </w:p>
        </w:tc>
      </w:tr>
      <w:tr w:rsidR="00FD6EBD" w:rsidRPr="00DC5568" w14:paraId="7CBB5CDB" w14:textId="77777777" w:rsidTr="003C7B37">
        <w:tc>
          <w:tcPr>
            <w:tcW w:w="1412" w:type="pct"/>
          </w:tcPr>
          <w:p w14:paraId="340D86C0" w14:textId="4A5B51EE" w:rsidR="00FD6EBD" w:rsidRPr="00FD6EBD" w:rsidRDefault="00FD6EBD" w:rsidP="00FD6EBD">
            <w:hyperlink r:id="rId39" w:history="1">
              <w:r w:rsidRPr="00FD6EBD">
                <w:rPr>
                  <w:rStyle w:val="Hyperlink"/>
                </w:rPr>
                <w:t>Strategy Advisory Group</w:t>
              </w:r>
            </w:hyperlink>
            <w:r w:rsidRPr="00FD6EBD">
              <w:t xml:space="preserve"> (SAG)</w:t>
            </w:r>
          </w:p>
        </w:tc>
        <w:tc>
          <w:tcPr>
            <w:tcW w:w="2043" w:type="pct"/>
          </w:tcPr>
          <w:p w14:paraId="05F743B4" w14:textId="02880536" w:rsidR="00FD6EBD" w:rsidRPr="00FD6EBD" w:rsidRDefault="00FD6EBD" w:rsidP="00FD6EBD">
            <w:r w:rsidRPr="00FD6EBD">
              <w:t>Co-Chairs: Commonwealth CNMO and Victorian CNMO; membership includes representatives from key stakeholder organisations with expertise in the nursing profession and nursing services.</w:t>
            </w:r>
          </w:p>
        </w:tc>
        <w:tc>
          <w:tcPr>
            <w:tcW w:w="1544" w:type="pct"/>
          </w:tcPr>
          <w:p w14:paraId="13A359DE" w14:textId="0E5C917A" w:rsidR="00FD6EBD" w:rsidRPr="00DC5568" w:rsidRDefault="00FD6EBD" w:rsidP="00FD6EBD">
            <w:pPr>
              <w:pStyle w:val="TableBullet"/>
            </w:pPr>
            <w:r w:rsidRPr="00DC5568">
              <w:t>Providing advice to the SSC on key aspects of the nursing profession and nursing services</w:t>
            </w:r>
          </w:p>
        </w:tc>
      </w:tr>
    </w:tbl>
    <w:p w14:paraId="550F86F3" w14:textId="77777777" w:rsidR="00591043" w:rsidRPr="00DC5568" w:rsidRDefault="00591043" w:rsidP="00F44A5D">
      <w:pPr>
        <w:pStyle w:val="Caption"/>
      </w:pPr>
      <w:r w:rsidRPr="00DC5568">
        <w:lastRenderedPageBreak/>
        <w:t>Table 5. Membership of the Strategy Steering Committee</w:t>
      </w:r>
    </w:p>
    <w:tbl>
      <w:tblPr>
        <w:tblStyle w:val="TableGrid"/>
        <w:tblW w:w="5000" w:type="pct"/>
        <w:tblLook w:val="0420" w:firstRow="1" w:lastRow="0" w:firstColumn="0" w:lastColumn="0" w:noHBand="0" w:noVBand="1"/>
      </w:tblPr>
      <w:tblGrid>
        <w:gridCol w:w="4508"/>
        <w:gridCol w:w="4509"/>
      </w:tblGrid>
      <w:tr w:rsidR="00591043" w:rsidRPr="00FD6EBD" w14:paraId="6A4072D1" w14:textId="77777777" w:rsidTr="003D2348">
        <w:trPr>
          <w:cnfStyle w:val="100000000000" w:firstRow="1" w:lastRow="0" w:firstColumn="0" w:lastColumn="0" w:oddVBand="0" w:evenVBand="0" w:oddHBand="0" w:evenHBand="0" w:firstRowFirstColumn="0" w:firstRowLastColumn="0" w:lastRowFirstColumn="0" w:lastRowLastColumn="0"/>
        </w:trPr>
        <w:tc>
          <w:tcPr>
            <w:tcW w:w="2500" w:type="pct"/>
            <w:hideMark/>
          </w:tcPr>
          <w:p w14:paraId="4FB8F497" w14:textId="77777777" w:rsidR="00591043" w:rsidRPr="00FD6EBD" w:rsidRDefault="00591043" w:rsidP="00FD6EBD">
            <w:r w:rsidRPr="00FD6EBD">
              <w:t>Member</w:t>
            </w:r>
          </w:p>
        </w:tc>
        <w:tc>
          <w:tcPr>
            <w:tcW w:w="2500" w:type="pct"/>
            <w:hideMark/>
          </w:tcPr>
          <w:p w14:paraId="058C164E" w14:textId="77777777" w:rsidR="00591043" w:rsidRPr="00FD6EBD" w:rsidRDefault="00591043" w:rsidP="00FD6EBD">
            <w:r w:rsidRPr="00FD6EBD">
              <w:t>Role</w:t>
            </w:r>
          </w:p>
        </w:tc>
      </w:tr>
      <w:tr w:rsidR="00591043" w:rsidRPr="00FD6EBD" w14:paraId="00F4C2B2" w14:textId="77777777" w:rsidTr="003D2348">
        <w:tc>
          <w:tcPr>
            <w:tcW w:w="2500" w:type="pct"/>
            <w:hideMark/>
          </w:tcPr>
          <w:p w14:paraId="4581BCE1" w14:textId="77777777" w:rsidR="00591043" w:rsidRPr="00FD6EBD" w:rsidRDefault="00591043" w:rsidP="00AD1B5B">
            <w:pPr>
              <w:keepNext/>
              <w:keepLines/>
            </w:pPr>
            <w:r w:rsidRPr="00FD6EBD">
              <w:t>Adjunct Professor (Practice) Alison McMillan PSM (co-chair)</w:t>
            </w:r>
          </w:p>
        </w:tc>
        <w:tc>
          <w:tcPr>
            <w:tcW w:w="2500" w:type="pct"/>
            <w:hideMark/>
          </w:tcPr>
          <w:p w14:paraId="1D37CE5F" w14:textId="77777777" w:rsidR="00591043" w:rsidRPr="00FD6EBD" w:rsidRDefault="00591043" w:rsidP="00AD1B5B">
            <w:pPr>
              <w:keepNext/>
              <w:keepLines/>
            </w:pPr>
            <w:r w:rsidRPr="00FD6EBD">
              <w:t>Chief Nursing and Midwifery Officer, Australian Government Department of Health, Disability and Ageing</w:t>
            </w:r>
          </w:p>
        </w:tc>
      </w:tr>
      <w:tr w:rsidR="00591043" w:rsidRPr="00FD6EBD" w14:paraId="100C0416" w14:textId="77777777" w:rsidTr="003D2348">
        <w:tc>
          <w:tcPr>
            <w:tcW w:w="2500" w:type="pct"/>
            <w:hideMark/>
          </w:tcPr>
          <w:p w14:paraId="48DDD246" w14:textId="77777777" w:rsidR="00591043" w:rsidRPr="00FD6EBD" w:rsidRDefault="00591043" w:rsidP="00FD6EBD">
            <w:r w:rsidRPr="00FD6EBD">
              <w:t>Adjunct Professor Karrie Long (co-chair)</w:t>
            </w:r>
          </w:p>
        </w:tc>
        <w:tc>
          <w:tcPr>
            <w:tcW w:w="2500" w:type="pct"/>
            <w:hideMark/>
          </w:tcPr>
          <w:p w14:paraId="00D89656" w14:textId="77777777" w:rsidR="00591043" w:rsidRPr="00FD6EBD" w:rsidRDefault="00591043" w:rsidP="00FD6EBD">
            <w:r w:rsidRPr="00FD6EBD">
              <w:t>Chief Nurse and Midwifery Officer, Victoria, Safer Care Victoria</w:t>
            </w:r>
          </w:p>
        </w:tc>
      </w:tr>
      <w:tr w:rsidR="00591043" w:rsidRPr="00FD6EBD" w14:paraId="6FCD125D" w14:textId="77777777" w:rsidTr="003D2348">
        <w:tc>
          <w:tcPr>
            <w:tcW w:w="2500" w:type="pct"/>
            <w:hideMark/>
          </w:tcPr>
          <w:p w14:paraId="3805853A" w14:textId="77777777" w:rsidR="00591043" w:rsidRPr="00405FC8" w:rsidRDefault="00591043" w:rsidP="00405FC8">
            <w:r w:rsidRPr="00405FC8">
              <w:t>Adjunct Associate Professor Jennifer Hurley</w:t>
            </w:r>
          </w:p>
        </w:tc>
        <w:tc>
          <w:tcPr>
            <w:tcW w:w="2500" w:type="pct"/>
            <w:hideMark/>
          </w:tcPr>
          <w:p w14:paraId="46D4E11E" w14:textId="77777777" w:rsidR="00591043" w:rsidRPr="00405FC8" w:rsidRDefault="00591043" w:rsidP="00405FC8">
            <w:r w:rsidRPr="00405FC8">
              <w:t>Chief Nurse and Midwifery Officer, South Australia</w:t>
            </w:r>
          </w:p>
        </w:tc>
      </w:tr>
      <w:tr w:rsidR="00591043" w:rsidRPr="00FD6EBD" w14:paraId="7CA2A748" w14:textId="77777777" w:rsidTr="003D2348">
        <w:tc>
          <w:tcPr>
            <w:tcW w:w="2500" w:type="pct"/>
            <w:hideMark/>
          </w:tcPr>
          <w:p w14:paraId="29466B27" w14:textId="77777777" w:rsidR="00591043" w:rsidRPr="00405FC8" w:rsidRDefault="00591043" w:rsidP="00405FC8">
            <w:r w:rsidRPr="00405FC8">
              <w:t>Ms Marina Buchanan-Grey (from 06/2024)</w:t>
            </w:r>
          </w:p>
          <w:p w14:paraId="0D898A44" w14:textId="77777777" w:rsidR="00591043" w:rsidRPr="00405FC8" w:rsidRDefault="00591043" w:rsidP="00405FC8">
            <w:r w:rsidRPr="00405FC8">
              <w:t>Mr Anthony Dombkins (05/2023 – 06/2024)</w:t>
            </w:r>
          </w:p>
        </w:tc>
        <w:tc>
          <w:tcPr>
            <w:tcW w:w="2500" w:type="pct"/>
            <w:hideMark/>
          </w:tcPr>
          <w:p w14:paraId="708A1709" w14:textId="77777777" w:rsidR="00591043" w:rsidRPr="00405FC8" w:rsidRDefault="00591043" w:rsidP="00405FC8">
            <w:r w:rsidRPr="00405FC8">
              <w:t>Chief Nursing and Midwifery Officer, Australian Capital Territory</w:t>
            </w:r>
          </w:p>
        </w:tc>
      </w:tr>
      <w:tr w:rsidR="00591043" w:rsidRPr="00FD6EBD" w14:paraId="77E67009" w14:textId="77777777" w:rsidTr="003D2348">
        <w:tc>
          <w:tcPr>
            <w:tcW w:w="2500" w:type="pct"/>
            <w:hideMark/>
          </w:tcPr>
          <w:p w14:paraId="06F86E78" w14:textId="77777777" w:rsidR="00591043" w:rsidRPr="00405FC8" w:rsidRDefault="00591043" w:rsidP="00405FC8">
            <w:r w:rsidRPr="00405FC8">
              <w:t>Adjunct Professor Shelley Nowlan</w:t>
            </w:r>
          </w:p>
        </w:tc>
        <w:tc>
          <w:tcPr>
            <w:tcW w:w="2500" w:type="pct"/>
            <w:hideMark/>
          </w:tcPr>
          <w:p w14:paraId="03B2A812" w14:textId="77777777" w:rsidR="00591043" w:rsidRPr="00405FC8" w:rsidRDefault="00591043" w:rsidP="00405FC8">
            <w:r w:rsidRPr="00405FC8">
              <w:t>Chief Nurse Officer, Queensland</w:t>
            </w:r>
          </w:p>
        </w:tc>
      </w:tr>
      <w:tr w:rsidR="00591043" w:rsidRPr="00FD6EBD" w14:paraId="07481D63" w14:textId="77777777" w:rsidTr="003D2348">
        <w:tc>
          <w:tcPr>
            <w:tcW w:w="2500" w:type="pct"/>
            <w:hideMark/>
          </w:tcPr>
          <w:p w14:paraId="5E64FDA2" w14:textId="77777777" w:rsidR="00591043" w:rsidRPr="00405FC8" w:rsidRDefault="00591043" w:rsidP="00405FC8">
            <w:r w:rsidRPr="00405FC8">
              <w:t>Adjunct Associate Professor Kerrie Wilton (from 02/2025)</w:t>
            </w:r>
          </w:p>
          <w:p w14:paraId="63630D23" w14:textId="77777777" w:rsidR="00591043" w:rsidRPr="00405FC8" w:rsidRDefault="00591043" w:rsidP="00405FC8">
            <w:r w:rsidRPr="00405FC8">
              <w:t>Ms Cheryl MacDonald (from 11/2024 – 02/2025)</w:t>
            </w:r>
          </w:p>
          <w:p w14:paraId="69FBD705" w14:textId="77777777" w:rsidR="00591043" w:rsidRPr="00405FC8" w:rsidRDefault="00591043" w:rsidP="00405FC8">
            <w:r w:rsidRPr="00405FC8">
              <w:t>Ms Mish Hill (05/2023 – 11/2024)</w:t>
            </w:r>
          </w:p>
        </w:tc>
        <w:tc>
          <w:tcPr>
            <w:tcW w:w="2500" w:type="pct"/>
            <w:hideMark/>
          </w:tcPr>
          <w:p w14:paraId="7D74DCD0" w14:textId="77777777" w:rsidR="00591043" w:rsidRPr="00405FC8" w:rsidRDefault="00591043" w:rsidP="00405FC8">
            <w:r w:rsidRPr="00405FC8">
              <w:t>Chief Nursing and Midwifery Officer, Northern Territory</w:t>
            </w:r>
          </w:p>
        </w:tc>
      </w:tr>
      <w:tr w:rsidR="00591043" w:rsidRPr="00FD6EBD" w14:paraId="679B2591" w14:textId="77777777" w:rsidTr="003D2348">
        <w:tc>
          <w:tcPr>
            <w:tcW w:w="2500" w:type="pct"/>
            <w:hideMark/>
          </w:tcPr>
          <w:p w14:paraId="749C2253" w14:textId="77777777" w:rsidR="00591043" w:rsidRPr="00405FC8" w:rsidRDefault="00591043" w:rsidP="00405FC8">
            <w:r w:rsidRPr="00405FC8">
              <w:t>Dr Robina Redknap</w:t>
            </w:r>
          </w:p>
        </w:tc>
        <w:tc>
          <w:tcPr>
            <w:tcW w:w="2500" w:type="pct"/>
            <w:hideMark/>
          </w:tcPr>
          <w:p w14:paraId="24DDAF4F" w14:textId="77777777" w:rsidR="00591043" w:rsidRPr="00405FC8" w:rsidRDefault="00591043" w:rsidP="00405FC8">
            <w:r w:rsidRPr="00405FC8">
              <w:t>Chief Nursing and Midwifery Officer, Western Australia</w:t>
            </w:r>
          </w:p>
        </w:tc>
      </w:tr>
      <w:tr w:rsidR="00591043" w:rsidRPr="00FD6EBD" w14:paraId="247A0C31" w14:textId="77777777" w:rsidTr="003D2348">
        <w:tc>
          <w:tcPr>
            <w:tcW w:w="2500" w:type="pct"/>
            <w:hideMark/>
          </w:tcPr>
          <w:p w14:paraId="45FD0A89" w14:textId="77777777" w:rsidR="00591043" w:rsidRPr="00405FC8" w:rsidRDefault="00591043" w:rsidP="00405FC8">
            <w:r w:rsidRPr="00405FC8">
              <w:t>Ms Jacqui Cross PSM</w:t>
            </w:r>
          </w:p>
        </w:tc>
        <w:tc>
          <w:tcPr>
            <w:tcW w:w="2500" w:type="pct"/>
            <w:hideMark/>
          </w:tcPr>
          <w:p w14:paraId="178A01F7" w14:textId="77777777" w:rsidR="00591043" w:rsidRPr="00405FC8" w:rsidRDefault="00591043" w:rsidP="00405FC8">
            <w:r w:rsidRPr="00405FC8">
              <w:t>Chief Nursing and Midwifery Officer, New South Wales</w:t>
            </w:r>
          </w:p>
        </w:tc>
      </w:tr>
      <w:tr w:rsidR="00591043" w:rsidRPr="00FD6EBD" w14:paraId="2F228317" w14:textId="77777777" w:rsidTr="003D2348">
        <w:tc>
          <w:tcPr>
            <w:tcW w:w="2500" w:type="pct"/>
            <w:hideMark/>
          </w:tcPr>
          <w:p w14:paraId="793274C3" w14:textId="77777777" w:rsidR="00591043" w:rsidRPr="00405FC8" w:rsidRDefault="00591043" w:rsidP="00405FC8">
            <w:r w:rsidRPr="00405FC8">
              <w:t>Associate Professor Francine Douce</w:t>
            </w:r>
          </w:p>
        </w:tc>
        <w:tc>
          <w:tcPr>
            <w:tcW w:w="2500" w:type="pct"/>
            <w:hideMark/>
          </w:tcPr>
          <w:p w14:paraId="1FB64930" w14:textId="77777777" w:rsidR="00591043" w:rsidRPr="00405FC8" w:rsidRDefault="00591043" w:rsidP="00405FC8">
            <w:r w:rsidRPr="00405FC8">
              <w:t>Chief Nurse and Midwifery Officer, Tasmania</w:t>
            </w:r>
          </w:p>
        </w:tc>
      </w:tr>
      <w:tr w:rsidR="00591043" w:rsidRPr="00FD6EBD" w14:paraId="3C9F614D" w14:textId="77777777" w:rsidTr="003D2348">
        <w:tc>
          <w:tcPr>
            <w:tcW w:w="2500" w:type="pct"/>
            <w:hideMark/>
          </w:tcPr>
          <w:p w14:paraId="5A0BDC3A" w14:textId="77777777" w:rsidR="00591043" w:rsidRPr="00405FC8" w:rsidRDefault="00591043" w:rsidP="00405FC8">
            <w:r w:rsidRPr="00405FC8">
              <w:t>Professor Johanna Westbrook</w:t>
            </w:r>
          </w:p>
        </w:tc>
        <w:tc>
          <w:tcPr>
            <w:tcW w:w="2500" w:type="pct"/>
            <w:hideMark/>
          </w:tcPr>
          <w:p w14:paraId="140C72DE" w14:textId="77777777" w:rsidR="00591043" w:rsidRPr="00405FC8" w:rsidRDefault="00591043" w:rsidP="00405FC8">
            <w:r w:rsidRPr="00405FC8">
              <w:t>Workforce Researcher</w:t>
            </w:r>
          </w:p>
        </w:tc>
      </w:tr>
      <w:tr w:rsidR="00591043" w:rsidRPr="00FD6EBD" w14:paraId="460BB3FF" w14:textId="77777777" w:rsidTr="003D2348">
        <w:tc>
          <w:tcPr>
            <w:tcW w:w="2500" w:type="pct"/>
            <w:hideMark/>
          </w:tcPr>
          <w:p w14:paraId="496498B8" w14:textId="77777777" w:rsidR="00591043" w:rsidRPr="00405FC8" w:rsidRDefault="00591043" w:rsidP="00405FC8">
            <w:r w:rsidRPr="00405FC8">
              <w:t>Professor James Buchan</w:t>
            </w:r>
          </w:p>
        </w:tc>
        <w:tc>
          <w:tcPr>
            <w:tcW w:w="2500" w:type="pct"/>
            <w:hideMark/>
          </w:tcPr>
          <w:p w14:paraId="3343AB34" w14:textId="77777777" w:rsidR="00591043" w:rsidRPr="00405FC8" w:rsidRDefault="00591043" w:rsidP="00405FC8">
            <w:r w:rsidRPr="00405FC8">
              <w:t>Workforce Strategist</w:t>
            </w:r>
          </w:p>
        </w:tc>
      </w:tr>
      <w:tr w:rsidR="00591043" w:rsidRPr="00FD6EBD" w14:paraId="47D95BAC" w14:textId="77777777" w:rsidTr="003D2348">
        <w:tc>
          <w:tcPr>
            <w:tcW w:w="2500" w:type="pct"/>
            <w:hideMark/>
          </w:tcPr>
          <w:p w14:paraId="4A0509C3" w14:textId="77777777" w:rsidR="00591043" w:rsidRPr="00405FC8" w:rsidRDefault="00591043" w:rsidP="00405FC8">
            <w:r w:rsidRPr="00405FC8">
              <w:t>Professor Anthony Scott</w:t>
            </w:r>
          </w:p>
        </w:tc>
        <w:tc>
          <w:tcPr>
            <w:tcW w:w="2500" w:type="pct"/>
            <w:hideMark/>
          </w:tcPr>
          <w:p w14:paraId="3E546CA9" w14:textId="77777777" w:rsidR="00591043" w:rsidRPr="00405FC8" w:rsidRDefault="00591043" w:rsidP="00405FC8">
            <w:r w:rsidRPr="00405FC8">
              <w:t>Health Economist</w:t>
            </w:r>
          </w:p>
        </w:tc>
      </w:tr>
      <w:tr w:rsidR="00591043" w:rsidRPr="00FD6EBD" w14:paraId="4F227512" w14:textId="77777777" w:rsidTr="003D2348">
        <w:tc>
          <w:tcPr>
            <w:tcW w:w="2500" w:type="pct"/>
            <w:hideMark/>
          </w:tcPr>
          <w:p w14:paraId="789EABE0" w14:textId="77777777" w:rsidR="00591043" w:rsidRPr="00405FC8" w:rsidRDefault="00591043" w:rsidP="00405FC8">
            <w:r w:rsidRPr="00405FC8">
              <w:t>Ms Miriam Spano</w:t>
            </w:r>
          </w:p>
        </w:tc>
        <w:tc>
          <w:tcPr>
            <w:tcW w:w="2500" w:type="pct"/>
            <w:hideMark/>
          </w:tcPr>
          <w:p w14:paraId="7A349AC5" w14:textId="77777777" w:rsidR="00591043" w:rsidRPr="00405FC8" w:rsidRDefault="00591043" w:rsidP="00405FC8">
            <w:r w:rsidRPr="00405FC8">
              <w:t>Systems Thinker</w:t>
            </w:r>
          </w:p>
        </w:tc>
      </w:tr>
    </w:tbl>
    <w:p w14:paraId="3A559D30" w14:textId="77777777" w:rsidR="00591043" w:rsidRPr="00DC5568" w:rsidRDefault="00591043" w:rsidP="00F44A5D">
      <w:pPr>
        <w:pStyle w:val="Caption"/>
      </w:pPr>
      <w:r w:rsidRPr="00DC5568">
        <w:lastRenderedPageBreak/>
        <w:t>Table 6. Membership of the Strategy Advisory Group</w:t>
      </w:r>
    </w:p>
    <w:tbl>
      <w:tblPr>
        <w:tblStyle w:val="TableGrid"/>
        <w:tblW w:w="5000" w:type="pct"/>
        <w:tblLook w:val="0420" w:firstRow="1" w:lastRow="0" w:firstColumn="0" w:lastColumn="0" w:noHBand="0" w:noVBand="1"/>
      </w:tblPr>
      <w:tblGrid>
        <w:gridCol w:w="4508"/>
        <w:gridCol w:w="4509"/>
      </w:tblGrid>
      <w:tr w:rsidR="00591043" w:rsidRPr="00405FC8" w14:paraId="1CEDA83D" w14:textId="77777777" w:rsidTr="003D2348">
        <w:trPr>
          <w:cnfStyle w:val="100000000000" w:firstRow="1" w:lastRow="0" w:firstColumn="0" w:lastColumn="0" w:oddVBand="0" w:evenVBand="0" w:oddHBand="0" w:evenHBand="0" w:firstRowFirstColumn="0" w:firstRowLastColumn="0" w:lastRowFirstColumn="0" w:lastRowLastColumn="0"/>
        </w:trPr>
        <w:tc>
          <w:tcPr>
            <w:tcW w:w="2500" w:type="pct"/>
            <w:hideMark/>
          </w:tcPr>
          <w:p w14:paraId="017C2032" w14:textId="77777777" w:rsidR="00591043" w:rsidRPr="00405FC8" w:rsidRDefault="00591043" w:rsidP="00405FC8">
            <w:r w:rsidRPr="00405FC8">
              <w:t>Member</w:t>
            </w:r>
          </w:p>
        </w:tc>
        <w:tc>
          <w:tcPr>
            <w:tcW w:w="2500" w:type="pct"/>
            <w:hideMark/>
          </w:tcPr>
          <w:p w14:paraId="11EBC4E8" w14:textId="77777777" w:rsidR="00591043" w:rsidRPr="00405FC8" w:rsidRDefault="00591043" w:rsidP="00405FC8">
            <w:r w:rsidRPr="00405FC8">
              <w:t>Organisation</w:t>
            </w:r>
          </w:p>
        </w:tc>
      </w:tr>
      <w:tr w:rsidR="00591043" w:rsidRPr="00405FC8" w14:paraId="421CEB0A" w14:textId="77777777" w:rsidTr="003D2348">
        <w:tc>
          <w:tcPr>
            <w:tcW w:w="2500" w:type="pct"/>
            <w:hideMark/>
          </w:tcPr>
          <w:p w14:paraId="645BF4BA" w14:textId="77777777" w:rsidR="00591043" w:rsidRPr="00405FC8" w:rsidRDefault="00591043" w:rsidP="00405FC8">
            <w:r w:rsidRPr="00405FC8">
              <w:t>Adjunct Professor (Practice) Alison McMillan PSM (co-chair)</w:t>
            </w:r>
          </w:p>
        </w:tc>
        <w:tc>
          <w:tcPr>
            <w:tcW w:w="2500" w:type="pct"/>
            <w:hideMark/>
          </w:tcPr>
          <w:p w14:paraId="36C86D7B" w14:textId="77777777" w:rsidR="00591043" w:rsidRPr="00405FC8" w:rsidRDefault="00591043" w:rsidP="00405FC8">
            <w:r w:rsidRPr="00405FC8">
              <w:t>Chief Nursing and Midwifery Officer, Australian Government Department of Health, Disability and Ageing</w:t>
            </w:r>
          </w:p>
        </w:tc>
      </w:tr>
      <w:tr w:rsidR="00591043" w:rsidRPr="00405FC8" w14:paraId="7D3C1CF7" w14:textId="77777777" w:rsidTr="003D2348">
        <w:tc>
          <w:tcPr>
            <w:tcW w:w="2500" w:type="pct"/>
            <w:hideMark/>
          </w:tcPr>
          <w:p w14:paraId="6A71B2ED" w14:textId="77777777" w:rsidR="00591043" w:rsidRPr="00405FC8" w:rsidRDefault="00591043" w:rsidP="00405FC8">
            <w:r w:rsidRPr="00405FC8">
              <w:t>Adjunct Professor Karrie Long (co-chair)</w:t>
            </w:r>
          </w:p>
        </w:tc>
        <w:tc>
          <w:tcPr>
            <w:tcW w:w="2500" w:type="pct"/>
            <w:hideMark/>
          </w:tcPr>
          <w:p w14:paraId="26EA1533" w14:textId="61CED81A" w:rsidR="00591043" w:rsidRPr="00405FC8" w:rsidRDefault="00591043" w:rsidP="00405FC8">
            <w:r w:rsidRPr="00405FC8">
              <w:t>Chief Nurse and Midwifery Officer,</w:t>
            </w:r>
            <w:r w:rsidR="00DF1B20">
              <w:t xml:space="preserve"> Victoria,</w:t>
            </w:r>
            <w:r w:rsidRPr="00405FC8">
              <w:t> Safer Care Victoria</w:t>
            </w:r>
          </w:p>
        </w:tc>
      </w:tr>
      <w:tr w:rsidR="00591043" w:rsidRPr="00405FC8" w14:paraId="023AA46B" w14:textId="77777777" w:rsidTr="003D2348">
        <w:tc>
          <w:tcPr>
            <w:tcW w:w="2500" w:type="pct"/>
            <w:hideMark/>
          </w:tcPr>
          <w:p w14:paraId="06302EF6" w14:textId="77777777" w:rsidR="00591043" w:rsidRPr="00405FC8" w:rsidRDefault="00591043" w:rsidP="00405FC8">
            <w:r w:rsidRPr="00405FC8">
              <w:t>Ms Kerri Gane (from 11/2023)</w:t>
            </w:r>
          </w:p>
          <w:p w14:paraId="01865755" w14:textId="77777777" w:rsidR="00591043" w:rsidRPr="00405FC8" w:rsidRDefault="00591043" w:rsidP="00405FC8">
            <w:r w:rsidRPr="00405FC8">
              <w:t>Ms Donna Bonney (05/2023 – 11/2023)</w:t>
            </w:r>
          </w:p>
        </w:tc>
        <w:tc>
          <w:tcPr>
            <w:tcW w:w="2500" w:type="pct"/>
            <w:hideMark/>
          </w:tcPr>
          <w:p w14:paraId="19D101B1" w14:textId="77777777" w:rsidR="00591043" w:rsidRPr="00405FC8" w:rsidRDefault="00591043" w:rsidP="00405FC8">
            <w:r w:rsidRPr="00405FC8">
              <w:t>Catholic Health Australia</w:t>
            </w:r>
          </w:p>
        </w:tc>
      </w:tr>
      <w:tr w:rsidR="00591043" w:rsidRPr="00405FC8" w14:paraId="389C3F9C" w14:textId="77777777" w:rsidTr="003D2348">
        <w:tc>
          <w:tcPr>
            <w:tcW w:w="2500" w:type="pct"/>
            <w:hideMark/>
          </w:tcPr>
          <w:p w14:paraId="1EC255EE" w14:textId="77777777" w:rsidR="00591043" w:rsidRPr="00405FC8" w:rsidRDefault="00591043" w:rsidP="00405FC8">
            <w:r w:rsidRPr="00405FC8">
              <w:t>Dr Gabrielle Koutoukidis</w:t>
            </w:r>
          </w:p>
        </w:tc>
        <w:tc>
          <w:tcPr>
            <w:tcW w:w="2500" w:type="pct"/>
            <w:hideMark/>
          </w:tcPr>
          <w:p w14:paraId="20675E60" w14:textId="77777777" w:rsidR="00591043" w:rsidRPr="00405FC8" w:rsidRDefault="00591043" w:rsidP="00405FC8">
            <w:r w:rsidRPr="00405FC8">
              <w:t>National Enrolled Nurse Advisory Council</w:t>
            </w:r>
          </w:p>
        </w:tc>
      </w:tr>
      <w:tr w:rsidR="00591043" w:rsidRPr="00405FC8" w14:paraId="6D3822A7" w14:textId="77777777" w:rsidTr="003D2348">
        <w:tc>
          <w:tcPr>
            <w:tcW w:w="2500" w:type="pct"/>
            <w:hideMark/>
          </w:tcPr>
          <w:p w14:paraId="5D4124BD" w14:textId="77777777" w:rsidR="00591043" w:rsidRPr="00405FC8" w:rsidRDefault="00591043" w:rsidP="00405FC8">
            <w:r w:rsidRPr="00405FC8">
              <w:t>Ms Rebecca Badcock (from 07/2024)</w:t>
            </w:r>
          </w:p>
          <w:p w14:paraId="272B5FBF" w14:textId="77777777" w:rsidR="00591043" w:rsidRPr="00405FC8" w:rsidRDefault="00591043" w:rsidP="00405FC8">
            <w:r w:rsidRPr="00405FC8">
              <w:t>Ms Jacqueline Nash (01/2024 – 07/2024)  </w:t>
            </w:r>
          </w:p>
          <w:p w14:paraId="4604EA3E" w14:textId="77777777" w:rsidR="00591043" w:rsidRPr="00405FC8" w:rsidRDefault="00591043" w:rsidP="00405FC8">
            <w:r w:rsidRPr="00405FC8">
              <w:t>Ms Wendy Zernike (06/2023 – 12/2023)</w:t>
            </w:r>
          </w:p>
        </w:tc>
        <w:tc>
          <w:tcPr>
            <w:tcW w:w="2500" w:type="pct"/>
            <w:hideMark/>
          </w:tcPr>
          <w:p w14:paraId="459B2DC8" w14:textId="77777777" w:rsidR="00591043" w:rsidRPr="00405FC8" w:rsidRDefault="00591043" w:rsidP="00405FC8">
            <w:r w:rsidRPr="00405FC8">
              <w:t>Aged and Community Care Providers Association</w:t>
            </w:r>
          </w:p>
        </w:tc>
      </w:tr>
      <w:tr w:rsidR="00591043" w:rsidRPr="00405FC8" w14:paraId="6DECA4D6" w14:textId="77777777" w:rsidTr="003D2348">
        <w:tc>
          <w:tcPr>
            <w:tcW w:w="2500" w:type="pct"/>
            <w:hideMark/>
          </w:tcPr>
          <w:p w14:paraId="1D964812" w14:textId="77777777" w:rsidR="00591043" w:rsidRPr="00405FC8" w:rsidRDefault="00591043" w:rsidP="00405FC8">
            <w:r w:rsidRPr="00405FC8">
              <w:t>Professor Rhonda Wilson (from 02/2024)</w:t>
            </w:r>
          </w:p>
          <w:p w14:paraId="2957A77E" w14:textId="77777777" w:rsidR="00591043" w:rsidRPr="00405FC8" w:rsidRDefault="00591043" w:rsidP="00405FC8">
            <w:r w:rsidRPr="00405FC8">
              <w:t>Professor John Hurley (05/2023 – 02/2024)</w:t>
            </w:r>
          </w:p>
        </w:tc>
        <w:tc>
          <w:tcPr>
            <w:tcW w:w="2500" w:type="pct"/>
            <w:hideMark/>
          </w:tcPr>
          <w:p w14:paraId="22C15528" w14:textId="77777777" w:rsidR="00591043" w:rsidRPr="00405FC8" w:rsidRDefault="00591043" w:rsidP="00405FC8">
            <w:r w:rsidRPr="00405FC8">
              <w:t>Australian College of Mental Health Nurses</w:t>
            </w:r>
          </w:p>
        </w:tc>
      </w:tr>
      <w:tr w:rsidR="00591043" w:rsidRPr="00405FC8" w14:paraId="223E3AE6" w14:textId="77777777" w:rsidTr="003D2348">
        <w:tc>
          <w:tcPr>
            <w:tcW w:w="2500" w:type="pct"/>
            <w:hideMark/>
          </w:tcPr>
          <w:p w14:paraId="2A7CA69F" w14:textId="77777777" w:rsidR="00591043" w:rsidRPr="00405FC8" w:rsidRDefault="00591043" w:rsidP="00405FC8">
            <w:r w:rsidRPr="00405FC8">
              <w:t>Ms Alison Weatherstone</w:t>
            </w:r>
          </w:p>
        </w:tc>
        <w:tc>
          <w:tcPr>
            <w:tcW w:w="2500" w:type="pct"/>
            <w:hideMark/>
          </w:tcPr>
          <w:p w14:paraId="0B10E56D" w14:textId="77777777" w:rsidR="00591043" w:rsidRPr="00405FC8" w:rsidRDefault="00591043" w:rsidP="00405FC8">
            <w:r w:rsidRPr="00405FC8">
              <w:t>Australian College of Midwives</w:t>
            </w:r>
          </w:p>
        </w:tc>
      </w:tr>
      <w:tr w:rsidR="00591043" w:rsidRPr="00405FC8" w14:paraId="04B3A835" w14:textId="77777777" w:rsidTr="003D2348">
        <w:tc>
          <w:tcPr>
            <w:tcW w:w="2500" w:type="pct"/>
            <w:hideMark/>
          </w:tcPr>
          <w:p w14:paraId="48665B27" w14:textId="77777777" w:rsidR="00591043" w:rsidRPr="00405FC8" w:rsidRDefault="00591043" w:rsidP="00405FC8">
            <w:r w:rsidRPr="00405FC8">
              <w:t>Ms Leanne Boase</w:t>
            </w:r>
          </w:p>
        </w:tc>
        <w:tc>
          <w:tcPr>
            <w:tcW w:w="2500" w:type="pct"/>
            <w:hideMark/>
          </w:tcPr>
          <w:p w14:paraId="19C3B997" w14:textId="77777777" w:rsidR="00591043" w:rsidRPr="00405FC8" w:rsidRDefault="00591043" w:rsidP="00405FC8">
            <w:r w:rsidRPr="00405FC8">
              <w:t>Australian College of Nurse Practitioners</w:t>
            </w:r>
          </w:p>
        </w:tc>
      </w:tr>
      <w:tr w:rsidR="00591043" w:rsidRPr="00405FC8" w14:paraId="2B261BFE" w14:textId="77777777" w:rsidTr="003D2348">
        <w:tc>
          <w:tcPr>
            <w:tcW w:w="2500" w:type="pct"/>
            <w:hideMark/>
          </w:tcPr>
          <w:p w14:paraId="7B489E44" w14:textId="77777777" w:rsidR="00591043" w:rsidRPr="00405FC8" w:rsidRDefault="00591043" w:rsidP="00405FC8">
            <w:r w:rsidRPr="00405FC8">
              <w:t>Ms Karen Grace (from 06/2024)</w:t>
            </w:r>
          </w:p>
          <w:p w14:paraId="2BEC8C91" w14:textId="77777777" w:rsidR="00591043" w:rsidRPr="00405FC8" w:rsidRDefault="00591043" w:rsidP="00405FC8">
            <w:r w:rsidRPr="00405FC8">
              <w:t>Adjunct Professor Kylie Ward (05/2023 – 06/2024)</w:t>
            </w:r>
          </w:p>
        </w:tc>
        <w:tc>
          <w:tcPr>
            <w:tcW w:w="2500" w:type="pct"/>
            <w:hideMark/>
          </w:tcPr>
          <w:p w14:paraId="2CD965E0" w14:textId="77777777" w:rsidR="00591043" w:rsidRPr="00405FC8" w:rsidRDefault="00591043" w:rsidP="00405FC8">
            <w:r w:rsidRPr="00405FC8">
              <w:t>Australian College of Nursing</w:t>
            </w:r>
          </w:p>
        </w:tc>
      </w:tr>
      <w:tr w:rsidR="00591043" w:rsidRPr="00405FC8" w14:paraId="664EB23C" w14:textId="77777777" w:rsidTr="003D2348">
        <w:tc>
          <w:tcPr>
            <w:tcW w:w="2500" w:type="pct"/>
            <w:hideMark/>
          </w:tcPr>
          <w:p w14:paraId="700C9C0A" w14:textId="77777777" w:rsidR="00591043" w:rsidRPr="00405FC8" w:rsidRDefault="00591043" w:rsidP="00405FC8">
            <w:r w:rsidRPr="00405FC8">
              <w:t>Ms Tanya Vogt (from 04/2024)</w:t>
            </w:r>
          </w:p>
          <w:p w14:paraId="2ECB1163" w14:textId="77777777" w:rsidR="00591043" w:rsidRPr="00405FC8" w:rsidRDefault="00591043" w:rsidP="00405FC8">
            <w:r w:rsidRPr="00405FC8">
              <w:t>Adjunct Professor John Kelly (05/2023 – 04/2024)</w:t>
            </w:r>
          </w:p>
        </w:tc>
        <w:tc>
          <w:tcPr>
            <w:tcW w:w="2500" w:type="pct"/>
            <w:hideMark/>
          </w:tcPr>
          <w:p w14:paraId="3F66D037" w14:textId="77777777" w:rsidR="00591043" w:rsidRPr="00405FC8" w:rsidRDefault="00591043" w:rsidP="00405FC8">
            <w:r w:rsidRPr="00405FC8">
              <w:t>Australian Nursing and Midwifery Accreditation Council</w:t>
            </w:r>
          </w:p>
        </w:tc>
      </w:tr>
      <w:tr w:rsidR="00591043" w:rsidRPr="00405FC8" w14:paraId="3D581EE3" w14:textId="77777777" w:rsidTr="003D2348">
        <w:tc>
          <w:tcPr>
            <w:tcW w:w="2500" w:type="pct"/>
            <w:hideMark/>
          </w:tcPr>
          <w:p w14:paraId="741882FB" w14:textId="77777777" w:rsidR="00591043" w:rsidRPr="00405FC8" w:rsidRDefault="00591043" w:rsidP="00405FC8">
            <w:r w:rsidRPr="00405FC8">
              <w:t>Ms Annie Butler</w:t>
            </w:r>
          </w:p>
        </w:tc>
        <w:tc>
          <w:tcPr>
            <w:tcW w:w="2500" w:type="pct"/>
            <w:hideMark/>
          </w:tcPr>
          <w:p w14:paraId="6B65D98E" w14:textId="77777777" w:rsidR="00591043" w:rsidRPr="00405FC8" w:rsidRDefault="00591043" w:rsidP="00405FC8">
            <w:r w:rsidRPr="00405FC8">
              <w:t>Australian Nursing and Midwifery Federation</w:t>
            </w:r>
          </w:p>
        </w:tc>
      </w:tr>
      <w:tr w:rsidR="00591043" w:rsidRPr="00405FC8" w14:paraId="5402B3E3" w14:textId="77777777" w:rsidTr="003D2348">
        <w:tc>
          <w:tcPr>
            <w:tcW w:w="2500" w:type="pct"/>
            <w:hideMark/>
          </w:tcPr>
          <w:p w14:paraId="78A5BF81" w14:textId="77777777" w:rsidR="00591043" w:rsidRPr="00405FC8" w:rsidRDefault="00591043" w:rsidP="00405FC8">
            <w:r w:rsidRPr="00405FC8">
              <w:t>Ms Mia Dhillon (from 10/2024)</w:t>
            </w:r>
          </w:p>
          <w:p w14:paraId="09B0BE4A" w14:textId="77777777" w:rsidR="00591043" w:rsidRPr="00405FC8" w:rsidRDefault="00591043" w:rsidP="00405FC8">
            <w:r w:rsidRPr="00405FC8">
              <w:t>Ms Karen Booth (05/2023 – 10/2024)</w:t>
            </w:r>
          </w:p>
        </w:tc>
        <w:tc>
          <w:tcPr>
            <w:tcW w:w="2500" w:type="pct"/>
            <w:hideMark/>
          </w:tcPr>
          <w:p w14:paraId="5C80CB43" w14:textId="77777777" w:rsidR="00591043" w:rsidRPr="00405FC8" w:rsidRDefault="00591043" w:rsidP="00405FC8">
            <w:r w:rsidRPr="00405FC8">
              <w:t>Australian Primary Health Care Nurses Association</w:t>
            </w:r>
          </w:p>
        </w:tc>
      </w:tr>
      <w:tr w:rsidR="00591043" w:rsidRPr="00405FC8" w14:paraId="101A38B8" w14:textId="77777777" w:rsidTr="003D2348">
        <w:tc>
          <w:tcPr>
            <w:tcW w:w="2500" w:type="pct"/>
            <w:hideMark/>
          </w:tcPr>
          <w:p w14:paraId="06BBF08C" w14:textId="77777777" w:rsidR="00591043" w:rsidRPr="00405FC8" w:rsidRDefault="00591043" w:rsidP="00405FC8">
            <w:r w:rsidRPr="00405FC8">
              <w:t>Ms Jacquie Wiley</w:t>
            </w:r>
          </w:p>
        </w:tc>
        <w:tc>
          <w:tcPr>
            <w:tcW w:w="2500" w:type="pct"/>
            <w:hideMark/>
          </w:tcPr>
          <w:p w14:paraId="7307DF9B" w14:textId="77777777" w:rsidR="00591043" w:rsidRPr="00405FC8" w:rsidRDefault="00591043" w:rsidP="00405FC8">
            <w:r w:rsidRPr="00405FC8">
              <w:t>Australian Private Hospitals Association</w:t>
            </w:r>
          </w:p>
        </w:tc>
      </w:tr>
      <w:tr w:rsidR="00591043" w:rsidRPr="00405FC8" w14:paraId="18EA2413" w14:textId="77777777" w:rsidTr="003D2348">
        <w:tc>
          <w:tcPr>
            <w:tcW w:w="2500" w:type="pct"/>
            <w:hideMark/>
          </w:tcPr>
          <w:p w14:paraId="58FEA49D" w14:textId="77777777" w:rsidR="00591043" w:rsidRPr="00405FC8" w:rsidRDefault="00591043" w:rsidP="00405FC8">
            <w:r w:rsidRPr="00405FC8">
              <w:t>Dr Ali Drummond</w:t>
            </w:r>
          </w:p>
        </w:tc>
        <w:tc>
          <w:tcPr>
            <w:tcW w:w="2500" w:type="pct"/>
            <w:hideMark/>
          </w:tcPr>
          <w:p w14:paraId="3BFDF699" w14:textId="77777777" w:rsidR="00591043" w:rsidRPr="00405FC8" w:rsidRDefault="00591043" w:rsidP="00405FC8">
            <w:r w:rsidRPr="00405FC8">
              <w:t>Congress of Aboriginal and Torres Strait Islander Nurses and Midwives</w:t>
            </w:r>
          </w:p>
        </w:tc>
      </w:tr>
      <w:tr w:rsidR="00591043" w:rsidRPr="00405FC8" w14:paraId="6CA2B30F" w14:textId="77777777" w:rsidTr="003D2348">
        <w:tc>
          <w:tcPr>
            <w:tcW w:w="2500" w:type="pct"/>
            <w:hideMark/>
          </w:tcPr>
          <w:p w14:paraId="6976B43B" w14:textId="77777777" w:rsidR="00591043" w:rsidRPr="00405FC8" w:rsidRDefault="00591043" w:rsidP="00405FC8">
            <w:r w:rsidRPr="00405FC8">
              <w:t>Ms Jo Root</w:t>
            </w:r>
          </w:p>
        </w:tc>
        <w:tc>
          <w:tcPr>
            <w:tcW w:w="2500" w:type="pct"/>
            <w:hideMark/>
          </w:tcPr>
          <w:p w14:paraId="09ED38A4" w14:textId="77777777" w:rsidR="00591043" w:rsidRPr="00405FC8" w:rsidRDefault="00591043" w:rsidP="00405FC8">
            <w:r w:rsidRPr="00405FC8">
              <w:t>Consumers Health Forum</w:t>
            </w:r>
          </w:p>
        </w:tc>
      </w:tr>
      <w:tr w:rsidR="00591043" w:rsidRPr="00405FC8" w14:paraId="32C1CCE2" w14:textId="77777777" w:rsidTr="003D2348">
        <w:tc>
          <w:tcPr>
            <w:tcW w:w="2500" w:type="pct"/>
            <w:hideMark/>
          </w:tcPr>
          <w:p w14:paraId="38BC2B3B" w14:textId="77777777" w:rsidR="00591043" w:rsidRPr="00405FC8" w:rsidRDefault="00591043" w:rsidP="00405FC8">
            <w:r w:rsidRPr="00405FC8">
              <w:lastRenderedPageBreak/>
              <w:t>Professor Karen Strickland</w:t>
            </w:r>
          </w:p>
        </w:tc>
        <w:tc>
          <w:tcPr>
            <w:tcW w:w="2500" w:type="pct"/>
            <w:hideMark/>
          </w:tcPr>
          <w:p w14:paraId="25D335C0" w14:textId="77777777" w:rsidR="00591043" w:rsidRPr="00405FC8" w:rsidRDefault="00591043" w:rsidP="00405FC8">
            <w:r w:rsidRPr="00405FC8">
              <w:t>Council of Deans of Nursing and Midwifery</w:t>
            </w:r>
          </w:p>
        </w:tc>
      </w:tr>
      <w:tr w:rsidR="00591043" w:rsidRPr="00405FC8" w14:paraId="491C28EE" w14:textId="77777777" w:rsidTr="003D2348">
        <w:tc>
          <w:tcPr>
            <w:tcW w:w="2500" w:type="pct"/>
            <w:hideMark/>
          </w:tcPr>
          <w:p w14:paraId="4FDDD48A" w14:textId="77777777" w:rsidR="00591043" w:rsidRPr="00405FC8" w:rsidRDefault="00591043" w:rsidP="00405FC8">
            <w:r w:rsidRPr="00405FC8">
              <w:t>Captain John Kennedy (from 02/2025)</w:t>
            </w:r>
          </w:p>
          <w:p w14:paraId="0C2F9531" w14:textId="77777777" w:rsidR="00591043" w:rsidRPr="00405FC8" w:rsidRDefault="00591043" w:rsidP="00405FC8">
            <w:r w:rsidRPr="00405FC8">
              <w:t>GRPCPT Kathryn Stein (06/2023 – 12/2024)</w:t>
            </w:r>
          </w:p>
        </w:tc>
        <w:tc>
          <w:tcPr>
            <w:tcW w:w="2500" w:type="pct"/>
            <w:hideMark/>
          </w:tcPr>
          <w:p w14:paraId="187B3139" w14:textId="77777777" w:rsidR="00591043" w:rsidRPr="00405FC8" w:rsidRDefault="00591043" w:rsidP="00405FC8">
            <w:r w:rsidRPr="00405FC8">
              <w:t>Defence Force Nursing</w:t>
            </w:r>
          </w:p>
        </w:tc>
      </w:tr>
      <w:tr w:rsidR="00591043" w:rsidRPr="00405FC8" w14:paraId="7410955F" w14:textId="77777777" w:rsidTr="003D2348">
        <w:tc>
          <w:tcPr>
            <w:tcW w:w="2500" w:type="pct"/>
            <w:hideMark/>
          </w:tcPr>
          <w:p w14:paraId="585B0867" w14:textId="77777777" w:rsidR="00591043" w:rsidRPr="00405FC8" w:rsidRDefault="00591043" w:rsidP="00405FC8">
            <w:r w:rsidRPr="00405FC8">
              <w:t>Ms Shannan Lewis (from 09/2024)</w:t>
            </w:r>
          </w:p>
          <w:p w14:paraId="375E3E5F" w14:textId="77777777" w:rsidR="00591043" w:rsidRPr="00405FC8" w:rsidRDefault="00591043" w:rsidP="00405FC8">
            <w:r w:rsidRPr="00405FC8">
              <w:t>Dr Naomi Malouf (08/2023 – 09/2024)</w:t>
            </w:r>
          </w:p>
          <w:p w14:paraId="358B8C04" w14:textId="77777777" w:rsidR="00591043" w:rsidRPr="00405FC8" w:rsidRDefault="00591043" w:rsidP="00405FC8">
            <w:r w:rsidRPr="00405FC8">
              <w:t>Ms Katherine Isbister (05/2023 – 08/2023)</w:t>
            </w:r>
          </w:p>
        </w:tc>
        <w:tc>
          <w:tcPr>
            <w:tcW w:w="2500" w:type="pct"/>
            <w:hideMark/>
          </w:tcPr>
          <w:p w14:paraId="4587568F" w14:textId="77777777" w:rsidR="00591043" w:rsidRPr="00405FC8" w:rsidRDefault="00591043" w:rsidP="00405FC8">
            <w:proofErr w:type="spellStart"/>
            <w:r w:rsidRPr="00405FC8">
              <w:t>CRANAplus</w:t>
            </w:r>
            <w:proofErr w:type="spellEnd"/>
          </w:p>
        </w:tc>
      </w:tr>
      <w:tr w:rsidR="00591043" w:rsidRPr="00405FC8" w14:paraId="6E8A9276" w14:textId="77777777" w:rsidTr="003D2348">
        <w:tc>
          <w:tcPr>
            <w:tcW w:w="2500" w:type="pct"/>
            <w:hideMark/>
          </w:tcPr>
          <w:p w14:paraId="3B3F4D28" w14:textId="77777777" w:rsidR="00591043" w:rsidRPr="00405FC8" w:rsidRDefault="00591043" w:rsidP="00405FC8">
            <w:r w:rsidRPr="00405FC8">
              <w:t>Ms Carolyn Lees</w:t>
            </w:r>
          </w:p>
        </w:tc>
        <w:tc>
          <w:tcPr>
            <w:tcW w:w="2500" w:type="pct"/>
            <w:hideMark/>
          </w:tcPr>
          <w:p w14:paraId="067FC3E3" w14:textId="77777777" w:rsidR="00591043" w:rsidRPr="00405FC8" w:rsidRDefault="00591043" w:rsidP="00405FC8">
            <w:r w:rsidRPr="00405FC8">
              <w:t>Department of Veterans’ Affairs</w:t>
            </w:r>
          </w:p>
        </w:tc>
      </w:tr>
      <w:tr w:rsidR="00591043" w:rsidRPr="00405FC8" w14:paraId="3363ECB0" w14:textId="77777777" w:rsidTr="003D2348">
        <w:tc>
          <w:tcPr>
            <w:tcW w:w="2500" w:type="pct"/>
            <w:hideMark/>
          </w:tcPr>
          <w:p w14:paraId="55219F25" w14:textId="77777777" w:rsidR="00591043" w:rsidRPr="00405FC8" w:rsidRDefault="00591043" w:rsidP="00405FC8">
            <w:r w:rsidRPr="00405FC8">
              <w:t>Ms Alessandra Peck (from 02/2024)</w:t>
            </w:r>
          </w:p>
          <w:p w14:paraId="05E32609" w14:textId="77777777" w:rsidR="00591043" w:rsidRPr="00405FC8" w:rsidRDefault="00591043" w:rsidP="00405FC8">
            <w:r w:rsidRPr="00405FC8">
              <w:t>Ms Annette Symes (07/2023 – 02/2024)</w:t>
            </w:r>
          </w:p>
        </w:tc>
        <w:tc>
          <w:tcPr>
            <w:tcW w:w="2500" w:type="pct"/>
            <w:hideMark/>
          </w:tcPr>
          <w:p w14:paraId="7636E7B4" w14:textId="77777777" w:rsidR="00591043" w:rsidRPr="00405FC8" w:rsidRDefault="00591043" w:rsidP="00405FC8">
            <w:r w:rsidRPr="00405FC8">
              <w:t>Nursing and Midwifery Board of Australia</w:t>
            </w:r>
          </w:p>
        </w:tc>
      </w:tr>
      <w:tr w:rsidR="00591043" w:rsidRPr="00405FC8" w14:paraId="3D77B25C" w14:textId="77777777" w:rsidTr="003D2348">
        <w:tc>
          <w:tcPr>
            <w:tcW w:w="2500" w:type="pct"/>
            <w:hideMark/>
          </w:tcPr>
          <w:p w14:paraId="1B7BDF00" w14:textId="77777777" w:rsidR="00591043" w:rsidRPr="00405FC8" w:rsidRDefault="00591043" w:rsidP="00405FC8">
            <w:r w:rsidRPr="00405FC8">
              <w:t>Ms Deb Blow</w:t>
            </w:r>
          </w:p>
        </w:tc>
        <w:tc>
          <w:tcPr>
            <w:tcW w:w="2500" w:type="pct"/>
            <w:hideMark/>
          </w:tcPr>
          <w:p w14:paraId="7A26CC47" w14:textId="77777777" w:rsidR="00591043" w:rsidRPr="00405FC8" w:rsidRDefault="00591043" w:rsidP="00405FC8">
            <w:r w:rsidRPr="00405FC8">
              <w:t>Tafe Directors</w:t>
            </w:r>
          </w:p>
        </w:tc>
      </w:tr>
      <w:tr w:rsidR="00591043" w:rsidRPr="00405FC8" w14:paraId="60B59891" w14:textId="77777777" w:rsidTr="003D2348">
        <w:tc>
          <w:tcPr>
            <w:tcW w:w="2500" w:type="pct"/>
            <w:hideMark/>
          </w:tcPr>
          <w:p w14:paraId="340242EC" w14:textId="77777777" w:rsidR="00591043" w:rsidRPr="00405FC8" w:rsidRDefault="00591043" w:rsidP="00405FC8">
            <w:r w:rsidRPr="00405FC8">
              <w:t>Adjunct Professor Shelley Nowlan</w:t>
            </w:r>
          </w:p>
        </w:tc>
        <w:tc>
          <w:tcPr>
            <w:tcW w:w="2500" w:type="pct"/>
            <w:hideMark/>
          </w:tcPr>
          <w:p w14:paraId="55CE26DC" w14:textId="77777777" w:rsidR="00591043" w:rsidRPr="00405FC8" w:rsidRDefault="00591043" w:rsidP="00405FC8">
            <w:r w:rsidRPr="00405FC8">
              <w:t>Office of the National Rural Health Commissioner</w:t>
            </w:r>
          </w:p>
        </w:tc>
      </w:tr>
      <w:tr w:rsidR="00591043" w:rsidRPr="00405FC8" w14:paraId="33A49EF2" w14:textId="77777777" w:rsidTr="003D2348">
        <w:tc>
          <w:tcPr>
            <w:tcW w:w="2500" w:type="pct"/>
            <w:hideMark/>
          </w:tcPr>
          <w:p w14:paraId="31AAD9EE" w14:textId="77777777" w:rsidR="00591043" w:rsidRPr="00405FC8" w:rsidRDefault="00591043" w:rsidP="00405FC8">
            <w:r w:rsidRPr="00405FC8">
              <w:t>Mr Paul Healey</w:t>
            </w:r>
          </w:p>
        </w:tc>
        <w:tc>
          <w:tcPr>
            <w:tcW w:w="2500" w:type="pct"/>
            <w:hideMark/>
          </w:tcPr>
          <w:p w14:paraId="02773E7B" w14:textId="77777777" w:rsidR="00591043" w:rsidRPr="00405FC8" w:rsidRDefault="00591043" w:rsidP="00405FC8">
            <w:r w:rsidRPr="00405FC8">
              <w:t>Health Services Union</w:t>
            </w:r>
          </w:p>
        </w:tc>
      </w:tr>
    </w:tbl>
    <w:p w14:paraId="3A051084" w14:textId="2891338E" w:rsidR="00591043" w:rsidRPr="00DC5568" w:rsidRDefault="00591043" w:rsidP="00591043">
      <w:pPr>
        <w:pStyle w:val="BodyText"/>
      </w:pPr>
    </w:p>
    <w:p w14:paraId="6F577BC1" w14:textId="2D63FB0C" w:rsidR="00591043" w:rsidRPr="00DC5568" w:rsidRDefault="00F44A5D" w:rsidP="006B4756">
      <w:pPr>
        <w:pStyle w:val="Heading2"/>
        <w:pageBreakBefore/>
      </w:pPr>
      <w:bookmarkStart w:id="153" w:name="_Ref236310167"/>
      <w:bookmarkStart w:id="154" w:name="_Toc183432217"/>
      <w:bookmarkStart w:id="155" w:name="_Toc236309284"/>
      <w:bookmarkStart w:id="156" w:name="_Toc236399792"/>
      <w:r>
        <w:lastRenderedPageBreak/>
        <w:t xml:space="preserve">Appendix </w:t>
      </w:r>
      <w:r>
        <w:fldChar w:fldCharType="begin"/>
      </w:r>
      <w:r>
        <w:instrText>SEQ Appendix \* ALPHABETIC</w:instrText>
      </w:r>
      <w:r>
        <w:fldChar w:fldCharType="separate"/>
      </w:r>
      <w:r w:rsidR="00156823">
        <w:rPr>
          <w:noProof/>
        </w:rPr>
        <w:t>C</w:t>
      </w:r>
      <w:r>
        <w:fldChar w:fldCharType="end"/>
      </w:r>
      <w:bookmarkEnd w:id="153"/>
      <w:r w:rsidR="00591043" w:rsidRPr="00DC5568">
        <w:t xml:space="preserve"> – Definition of nurses and nursing</w:t>
      </w:r>
      <w:bookmarkEnd w:id="154"/>
      <w:bookmarkEnd w:id="155"/>
      <w:bookmarkEnd w:id="156"/>
    </w:p>
    <w:p w14:paraId="0A339939" w14:textId="201D70B1" w:rsidR="00591043" w:rsidRPr="009F7105" w:rsidRDefault="00591043" w:rsidP="009F7105">
      <w:pPr>
        <w:pStyle w:val="IntroPara"/>
      </w:pPr>
      <w:r w:rsidRPr="009F7105">
        <w:t xml:space="preserve">The </w:t>
      </w:r>
      <w:hyperlink r:id="rId40" w:history="1">
        <w:r w:rsidRPr="009F7105">
          <w:rPr>
            <w:rStyle w:val="Hyperlink"/>
            <w:color w:val="00598F" w:themeColor="accent3" w:themeShade="BF"/>
          </w:rPr>
          <w:t>Nursing and Midwifery Board of Australia (NMBA)</w:t>
        </w:r>
      </w:hyperlink>
      <w:r w:rsidRPr="009F7105">
        <w:t xml:space="preserve"> regulates the practice of nursing in Australia by developing standards, codes and guidelines which together establish the requirements for the professional and safe practice of nurses. This includes students of nursing enrolled in a recognised nursing program. </w:t>
      </w:r>
    </w:p>
    <w:p w14:paraId="7889C7CA" w14:textId="77777777" w:rsidR="00591043" w:rsidRPr="00DC5568" w:rsidRDefault="00591043" w:rsidP="006B4756">
      <w:pPr>
        <w:pStyle w:val="Heading3"/>
      </w:pPr>
      <w:bookmarkStart w:id="157" w:name="_Toc236309285"/>
      <w:r w:rsidRPr="00DC5568">
        <w:t>Qualifications</w:t>
      </w:r>
      <w:bookmarkEnd w:id="157"/>
    </w:p>
    <w:p w14:paraId="58C29767" w14:textId="130DACF9" w:rsidR="00591043" w:rsidRPr="00DC5568" w:rsidRDefault="00591043" w:rsidP="00591043">
      <w:pPr>
        <w:pStyle w:val="BodyText"/>
      </w:pPr>
      <w:r w:rsidRPr="00DC5568">
        <w:t xml:space="preserve">The qualification to become an enrolled nurse (EN) is a Diploma of Nursing – minimum 18 months, gained in the vocational education sector such as TAFEs and private training organisations. To become a registered nurse (RN) requires a Bachelor of Nursing (degree) – three years, or Master of Nursing – two years, gained </w:t>
      </w:r>
      <w:r w:rsidR="004003CF">
        <w:t xml:space="preserve">through </w:t>
      </w:r>
      <w:r w:rsidRPr="00DC5568">
        <w:t xml:space="preserve">higher education providers and registered training organisations at a university. To become a nurse practitioner (NP) requires registration as a RN and completion of a Master of Nurse Practitioner – minimum 18 months, gained at a university. The foundational education of a RN, EN and NP captures the breadth of the scope of the profession at graduate level. </w:t>
      </w:r>
    </w:p>
    <w:p w14:paraId="3C37308C" w14:textId="77777777" w:rsidR="00591043" w:rsidRPr="00DC5568" w:rsidRDefault="00591043" w:rsidP="006B4756">
      <w:pPr>
        <w:pStyle w:val="Heading3"/>
      </w:pPr>
      <w:bookmarkStart w:id="158" w:name="_Toc236309286"/>
      <w:r w:rsidRPr="00DC5568">
        <w:t>Scope of practice</w:t>
      </w:r>
      <w:r w:rsidRPr="00C76E76">
        <w:rPr>
          <w:rStyle w:val="EndnoteReference"/>
        </w:rPr>
        <w:endnoteReference w:id="75"/>
      </w:r>
      <w:bookmarkEnd w:id="158"/>
    </w:p>
    <w:p w14:paraId="2C4E3471" w14:textId="77777777" w:rsidR="00591043" w:rsidRPr="00DC5568" w:rsidRDefault="00591043" w:rsidP="00591043">
      <w:pPr>
        <w:pStyle w:val="BodyText"/>
      </w:pPr>
      <w:r w:rsidRPr="00DC5568">
        <w:t>The scope of practice of individual nurses is influenced by the settings in which they practise and is not restricted to the provision of direct clinical care. Nursing practice extends to any paid or unpaid role where the nurse uses their nursing skills and knowledge. This includes working in a direct non-clinical relationship with clients, working in management, administration, education, research, advisory, regulatory, policy development roles or other roles that impact on safe, effective delivery of services in the profession and/or use of the nurse’s professional skills.</w:t>
      </w:r>
    </w:p>
    <w:p w14:paraId="4F3E94C3" w14:textId="77777777" w:rsidR="00591043" w:rsidRPr="00DC5568" w:rsidRDefault="00591043" w:rsidP="006B4756">
      <w:pPr>
        <w:pStyle w:val="Heading3"/>
      </w:pPr>
      <w:bookmarkStart w:id="159" w:name="_Toc236309287"/>
      <w:r w:rsidRPr="00DC5568">
        <w:t>Registered nurse practice</w:t>
      </w:r>
      <w:r w:rsidRPr="00C76E76">
        <w:rPr>
          <w:rStyle w:val="EndnoteReference"/>
        </w:rPr>
        <w:endnoteReference w:id="76"/>
      </w:r>
      <w:bookmarkEnd w:id="159"/>
    </w:p>
    <w:p w14:paraId="2EDDE225" w14:textId="77777777" w:rsidR="00591043" w:rsidRPr="00DC5568" w:rsidRDefault="00591043" w:rsidP="00591043">
      <w:pPr>
        <w:pStyle w:val="BodyText"/>
      </w:pPr>
      <w:r w:rsidRPr="00DC5568">
        <w:t>RNs determine, coordinate and provide safe, quality nursing. This includes comprehensive assessment, development of a plan, implementation and evaluation of outcomes. As part of practice, RNs are responsible and accountable for supervision and the delegation of nursing activity to ENs and others.</w:t>
      </w:r>
    </w:p>
    <w:p w14:paraId="11396F19" w14:textId="77777777" w:rsidR="00591043" w:rsidRPr="00DC5568" w:rsidRDefault="00591043" w:rsidP="006B4756">
      <w:pPr>
        <w:pStyle w:val="Heading3"/>
      </w:pPr>
      <w:bookmarkStart w:id="160" w:name="_Toc236309288"/>
      <w:r w:rsidRPr="00DC5568">
        <w:t>Enrolled nurse practice</w:t>
      </w:r>
      <w:r w:rsidRPr="00C76E76">
        <w:rPr>
          <w:rStyle w:val="EndnoteReference"/>
        </w:rPr>
        <w:endnoteReference w:id="77"/>
      </w:r>
      <w:bookmarkEnd w:id="160"/>
    </w:p>
    <w:p w14:paraId="6367DAC3" w14:textId="77777777" w:rsidR="00591043" w:rsidRPr="00DC5568" w:rsidRDefault="00591043" w:rsidP="00591043">
      <w:pPr>
        <w:pStyle w:val="BodyText"/>
      </w:pPr>
      <w:r w:rsidRPr="00DC5568">
        <w:t xml:space="preserve">The EN works with the RN as part of the healthcare team. Core practice generally requires the EN to work under the direct or indirect supervision of the RN - which is critical for consumer safety. At all times, the EN retains responsibility for their actions and remains accountable in providing delegated nursing care. </w:t>
      </w:r>
    </w:p>
    <w:p w14:paraId="22404C06" w14:textId="77777777" w:rsidR="00591043" w:rsidRPr="00DC5568" w:rsidRDefault="00591043" w:rsidP="006B4756">
      <w:pPr>
        <w:pStyle w:val="Heading3"/>
      </w:pPr>
      <w:bookmarkStart w:id="161" w:name="_Toc236309289"/>
      <w:r w:rsidRPr="00DC5568">
        <w:t>Nurse practitioner practice</w:t>
      </w:r>
      <w:r w:rsidRPr="00C76E76">
        <w:rPr>
          <w:rStyle w:val="EndnoteReference"/>
        </w:rPr>
        <w:endnoteReference w:id="78"/>
      </w:r>
      <w:bookmarkEnd w:id="161"/>
    </w:p>
    <w:p w14:paraId="17B14C36" w14:textId="77777777" w:rsidR="00591043" w:rsidRPr="00DC5568" w:rsidRDefault="00591043" w:rsidP="00591043">
      <w:pPr>
        <w:pStyle w:val="BodyText"/>
      </w:pPr>
      <w:r w:rsidRPr="00DC5568">
        <w:t xml:space="preserve">The NP scope of practice is built on the platform of the RN scope of practice. NPs can manage and are accountable for, complete episodes of care including wellness-focused care, as the primary provider of care or part of a care team. NPs can independently request and interpret any diagnostic and/or screening investigations within their scope of practice to facilitate diagnosis and/or screening processes. Care can include nursing interventions that involve initiation, titration or cessation of any medicines in their scope. NPs take responsibility for following up on any components of care initiated. </w:t>
      </w:r>
    </w:p>
    <w:p w14:paraId="07C578C8" w14:textId="77777777" w:rsidR="00591043" w:rsidRPr="00DC5568" w:rsidRDefault="00591043" w:rsidP="006B4756">
      <w:pPr>
        <w:pStyle w:val="Heading3"/>
      </w:pPr>
      <w:bookmarkStart w:id="162" w:name="_Toc236309290"/>
      <w:r w:rsidRPr="00DC5568">
        <w:lastRenderedPageBreak/>
        <w:t>Assistant in nursing (AIN) practice</w:t>
      </w:r>
      <w:bookmarkEnd w:id="162"/>
    </w:p>
    <w:p w14:paraId="3DB736DF" w14:textId="6D8A6937" w:rsidR="00591043" w:rsidRPr="00DC5568" w:rsidRDefault="00591043" w:rsidP="00591043">
      <w:pPr>
        <w:pStyle w:val="BodyText"/>
      </w:pPr>
      <w:r w:rsidRPr="00DC5568">
        <w:t xml:space="preserve">AINs have an important role in the delivery of nursing care. AINs work under the direction and supervision of ENs, RNs and NPs. AINs are part of the nursing career pathway as many go on to complete further study to become an EN or RN. These workers have various titles e.g. Personal Care Workers. NMBA regulation does not extend to AINs, however, those employed in aged care are subject to a </w:t>
      </w:r>
      <w:hyperlink r:id="rId41" w:history="1">
        <w:r w:rsidRPr="00DC5568">
          <w:rPr>
            <w:rStyle w:val="Hyperlink"/>
          </w:rPr>
          <w:t>Code of Conduct</w:t>
        </w:r>
      </w:hyperlink>
      <w:r w:rsidRPr="00DC5568">
        <w:rPr>
          <w:u w:val="single"/>
        </w:rPr>
        <w:t xml:space="preserve">. </w:t>
      </w:r>
    </w:p>
    <w:p w14:paraId="38C0D4EA" w14:textId="77777777" w:rsidR="00591043" w:rsidRPr="00DC5568" w:rsidRDefault="00591043" w:rsidP="006B4756">
      <w:pPr>
        <w:pStyle w:val="Heading3"/>
      </w:pPr>
      <w:bookmarkStart w:id="163" w:name="_Toc236309291"/>
      <w:r w:rsidRPr="00DC5568">
        <w:t>Sectors</w:t>
      </w:r>
      <w:bookmarkEnd w:id="163"/>
    </w:p>
    <w:p w14:paraId="58B4EEEC" w14:textId="77777777" w:rsidR="00591043" w:rsidRPr="00DC5568" w:rsidRDefault="00591043" w:rsidP="00591043">
      <w:pPr>
        <w:pStyle w:val="BodyText"/>
      </w:pPr>
      <w:r w:rsidRPr="00DC5568">
        <w:t>Nurses work in many settings. For the supply and demand modelling</w:t>
      </w:r>
      <w:r w:rsidRPr="00C76E76">
        <w:rPr>
          <w:rStyle w:val="EndnoteReference"/>
        </w:rPr>
        <w:endnoteReference w:id="79"/>
      </w:r>
      <w:r w:rsidRPr="00DC5568">
        <w:t xml:space="preserve"> completed by the Australian Government Department of Health, Disability and Ageing, nurses are assigned to a sector based on the individual respondents reported job role, job area and job setting in the annual survey at the time of renewal of annual registration. These sectors represent different healthcare settings. They are:</w:t>
      </w:r>
    </w:p>
    <w:p w14:paraId="303EAC60" w14:textId="272B1E1C" w:rsidR="00591043" w:rsidRPr="00F03ED3" w:rsidRDefault="00591043" w:rsidP="00F03ED3">
      <w:pPr>
        <w:pStyle w:val="ListNumber"/>
      </w:pPr>
      <w:r w:rsidRPr="00DC5568">
        <w:t>Ag</w:t>
      </w:r>
      <w:r w:rsidRPr="00F03ED3">
        <w:t xml:space="preserve">ed care nurses – provide care to older people in areas such as community settings, in-home settings, residential aged care facilities and hospitals. </w:t>
      </w:r>
    </w:p>
    <w:p w14:paraId="6F67B424" w14:textId="41D4310F" w:rsidR="00591043" w:rsidRPr="00F03ED3" w:rsidRDefault="00591043" w:rsidP="00F03ED3">
      <w:pPr>
        <w:pStyle w:val="ListNumber"/>
      </w:pPr>
      <w:r w:rsidRPr="00F03ED3">
        <w:t xml:space="preserve">Acute care nurses – provide care to people with acute conditions predominantly in hospitals. </w:t>
      </w:r>
    </w:p>
    <w:p w14:paraId="7876BE0A" w14:textId="4A157808" w:rsidR="00591043" w:rsidRPr="00F03ED3" w:rsidRDefault="00591043" w:rsidP="00F03ED3">
      <w:pPr>
        <w:pStyle w:val="ListNumber"/>
      </w:pPr>
      <w:r w:rsidRPr="00F03ED3">
        <w:t xml:space="preserve">Primary healthcare nurses – work in a variety of roles in non-hospital settings such as general practices, community health services and Aboriginal health services. </w:t>
      </w:r>
    </w:p>
    <w:p w14:paraId="7E65744C" w14:textId="276CBA1C" w:rsidR="00591043" w:rsidRPr="00F03ED3" w:rsidRDefault="00591043" w:rsidP="00F03ED3">
      <w:pPr>
        <w:pStyle w:val="ListNumber"/>
      </w:pPr>
      <w:r w:rsidRPr="00F03ED3">
        <w:t xml:space="preserve">Mental health nurses – provide care to people with mental ill health and disorders. They work in various settings including hospitals, community and residential health services, drug and alcohol services and correctional services. </w:t>
      </w:r>
    </w:p>
    <w:p w14:paraId="152B92C1" w14:textId="14B20081" w:rsidR="00591043" w:rsidRPr="00DC5568" w:rsidRDefault="00591043" w:rsidP="00F03ED3">
      <w:pPr>
        <w:pStyle w:val="ListNumber"/>
        <w:sectPr w:rsidR="00591043" w:rsidRPr="00DC5568" w:rsidSect="00397F2D">
          <w:footerReference w:type="even" r:id="rId42"/>
          <w:footerReference w:type="first" r:id="rId43"/>
          <w:endnotePr>
            <w:numFmt w:val="decimal"/>
          </w:endnotePr>
          <w:pgSz w:w="11907" w:h="16840" w:code="9"/>
          <w:pgMar w:top="1440" w:right="1440" w:bottom="1440" w:left="1440" w:header="425" w:footer="425" w:gutter="0"/>
          <w:cols w:space="708"/>
          <w:docGrid w:linePitch="360"/>
        </w:sectPr>
      </w:pPr>
      <w:r w:rsidRPr="00F03ED3">
        <w:t xml:space="preserve">Other – includes all </w:t>
      </w:r>
      <w:r w:rsidRPr="00DC5568">
        <w:t>other nurses such as those working in education, government departments and professional associations.</w:t>
      </w:r>
    </w:p>
    <w:p w14:paraId="43A9B56E" w14:textId="77777777" w:rsidR="00591043" w:rsidRPr="00DC5568" w:rsidRDefault="00591043" w:rsidP="00397F2D">
      <w:pPr>
        <w:pStyle w:val="Heading1"/>
        <w:spacing w:after="0"/>
      </w:pPr>
      <w:bookmarkStart w:id="164" w:name=""/>
      <w:bookmarkStart w:id="165" w:name="_Toc183432218"/>
      <w:bookmarkStart w:id="166" w:name="_Toc236309292"/>
      <w:bookmarkStart w:id="167" w:name="_Toc236399793"/>
      <w:bookmarkEnd w:id="164"/>
      <w:r w:rsidRPr="00DC5568">
        <w:lastRenderedPageBreak/>
        <w:t>References</w:t>
      </w:r>
      <w:bookmarkEnd w:id="165"/>
      <w:bookmarkEnd w:id="166"/>
      <w:bookmarkEnd w:id="167"/>
    </w:p>
    <w:p w14:paraId="112D0150" w14:textId="77777777" w:rsidR="004006DB" w:rsidRPr="00591043" w:rsidRDefault="004006DB" w:rsidP="00591043"/>
    <w:sectPr w:rsidR="004006DB" w:rsidRPr="00591043" w:rsidSect="00397F2D">
      <w:headerReference w:type="even" r:id="rId44"/>
      <w:footerReference w:type="even" r:id="rId45"/>
      <w:headerReference w:type="first" r:id="rId46"/>
      <w:footerReference w:type="first" r:id="rId47"/>
      <w:endnotePr>
        <w:numFmt w:val="decimal"/>
      </w:endnotePr>
      <w:pgSz w:w="11907" w:h="16840" w:code="9"/>
      <w:pgMar w:top="1440" w:right="1440" w:bottom="1440" w:left="1440"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3FCD" w14:textId="77777777" w:rsidR="00D67FED" w:rsidRPr="00397F2D" w:rsidRDefault="00D67FED" w:rsidP="00397F2D">
      <w:pPr>
        <w:pStyle w:val="NoSpacing"/>
      </w:pPr>
    </w:p>
  </w:endnote>
  <w:endnote w:type="continuationSeparator" w:id="0">
    <w:p w14:paraId="092F6DBE" w14:textId="77777777" w:rsidR="00D67FED" w:rsidRDefault="00D67FED" w:rsidP="00397F2D">
      <w:pPr>
        <w:pStyle w:val="NoSpacing"/>
      </w:pPr>
    </w:p>
  </w:endnote>
  <w:endnote w:type="continuationNotice" w:id="1">
    <w:p w14:paraId="21D416DD" w14:textId="77777777" w:rsidR="00D67FED" w:rsidRDefault="00D67FED" w:rsidP="00397F2D">
      <w:pPr>
        <w:pStyle w:val="NoSpacing"/>
      </w:pPr>
    </w:p>
  </w:endnote>
  <w:endnote w:id="2">
    <w:p w14:paraId="4049AE93" w14:textId="0A273DCC" w:rsidR="00591043" w:rsidRPr="00A64D94" w:rsidRDefault="00591043" w:rsidP="00591043">
      <w:pPr>
        <w:pStyle w:val="EndnoteText"/>
        <w:rPr>
          <w:i/>
          <w:iCs/>
        </w:rPr>
      </w:pPr>
      <w:r w:rsidRPr="00A64D94">
        <w:rPr>
          <w:rStyle w:val="EndnoteReference"/>
        </w:rPr>
        <w:endnoteRef/>
      </w:r>
      <w:r w:rsidRPr="00A64D94">
        <w:t xml:space="preserve"> </w:t>
      </w:r>
      <w:r w:rsidR="004003CF">
        <w:tab/>
      </w:r>
      <w:r w:rsidRPr="00A64D94">
        <w:t xml:space="preserve">World Health Organization (2016) </w:t>
      </w:r>
      <w:hyperlink r:id="rId1" w:history="1">
        <w:r w:rsidRPr="00A64D94">
          <w:rPr>
            <w:rStyle w:val="Hyperlink"/>
            <w:i/>
            <w:iCs/>
          </w:rPr>
          <w:t>Working for health and growth: investing in the health workforce. Report of the High-Level Commission on Health Employment and Economic Growth</w:t>
        </w:r>
      </w:hyperlink>
      <w:r w:rsidRPr="00A64D94">
        <w:t xml:space="preserve">, World Health Organization, accessed </w:t>
      </w:r>
      <w:r>
        <w:t>6 January 2025</w:t>
      </w:r>
      <w:r w:rsidRPr="00A64D94">
        <w:t>.</w:t>
      </w:r>
    </w:p>
  </w:endnote>
  <w:endnote w:id="3">
    <w:p w14:paraId="65BB1BA9" w14:textId="1E7A7AF3"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(ICN) (2024) </w:t>
      </w:r>
      <w:hyperlink r:id="rId2">
        <w:r w:rsidRPr="00A64D94">
          <w:rPr>
            <w:rStyle w:val="Hyperlink"/>
            <w:i/>
            <w:iCs/>
          </w:rPr>
          <w:t>International Nurses Day 2024, The economic power of care</w:t>
        </w:r>
      </w:hyperlink>
      <w:r w:rsidRPr="00A64D94">
        <w:t xml:space="preserve">, International Council of Nurses, accessed </w:t>
      </w:r>
      <w:r>
        <w:t>6 January 2025</w:t>
      </w:r>
      <w:r w:rsidRPr="00A64D94">
        <w:t>.</w:t>
      </w:r>
    </w:p>
  </w:endnote>
  <w:endnote w:id="4">
    <w:p w14:paraId="56210F90" w14:textId="5BCB8CD3" w:rsidR="00591043" w:rsidRPr="00A64D94" w:rsidRDefault="00591043" w:rsidP="00591043">
      <w:pPr>
        <w:pStyle w:val="EndnoteText"/>
      </w:pPr>
      <w:r w:rsidRPr="00A64D94">
        <w:rPr>
          <w:rStyle w:val="EndnoteReference"/>
        </w:rPr>
        <w:endnoteRef/>
      </w:r>
      <w:r w:rsidRPr="00A64D94">
        <w:t xml:space="preserve"> </w:t>
      </w:r>
      <w:r w:rsidR="004003CF">
        <w:tab/>
      </w:r>
      <w:r w:rsidRPr="00A64D94">
        <w:t>Britannica World Data Editors (202</w:t>
      </w:r>
      <w:r>
        <w:t>4</w:t>
      </w:r>
      <w:r w:rsidRPr="00A64D94">
        <w:t xml:space="preserve">) </w:t>
      </w:r>
      <w:hyperlink r:id="rId3" w:history="1">
        <w:r w:rsidRPr="00A64D94">
          <w:rPr>
            <w:rStyle w:val="Hyperlink"/>
            <w:i/>
            <w:iCs/>
          </w:rPr>
          <w:t>List of the world’s largest countries and dependencies by area</w:t>
        </w:r>
        <w:r w:rsidRPr="00A64D94">
          <w:rPr>
            <w:rStyle w:val="Hyperlink"/>
          </w:rPr>
          <w:t>,</w:t>
        </w:r>
      </w:hyperlink>
      <w:r w:rsidRPr="00A64D94">
        <w:t xml:space="preserve"> accessed </w:t>
      </w:r>
      <w:r>
        <w:t>6 January 2025.</w:t>
      </w:r>
      <w:r w:rsidRPr="00A64D94">
        <w:t xml:space="preserve"> </w:t>
      </w:r>
    </w:p>
  </w:endnote>
  <w:endnote w:id="5">
    <w:p w14:paraId="4D5EFA1A" w14:textId="2AE65E9C"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Bureau of Statistics (June 2024) </w:t>
      </w:r>
      <w:hyperlink r:id="rId4" w:anchor="cite-window1" w:history="1">
        <w:r w:rsidRPr="00A64D94">
          <w:rPr>
            <w:rStyle w:val="Hyperlink"/>
            <w:i/>
            <w:iCs/>
          </w:rPr>
          <w:t>National, state and territory population</w:t>
        </w:r>
      </w:hyperlink>
      <w:r w:rsidRPr="00A64D94">
        <w:t xml:space="preserve">, ABS website, accessed </w:t>
      </w:r>
      <w:r>
        <w:t>6 January 2025.</w:t>
      </w:r>
    </w:p>
  </w:endnote>
  <w:endnote w:id="6">
    <w:p w14:paraId="4FAD9BC6" w14:textId="62C845FC" w:rsidR="00591043" w:rsidRPr="00A64D94" w:rsidRDefault="00591043" w:rsidP="00591043">
      <w:pPr>
        <w:pStyle w:val="EndnoteText"/>
      </w:pPr>
      <w:r w:rsidRPr="00A64D94">
        <w:rPr>
          <w:rStyle w:val="EndnoteReference"/>
        </w:rPr>
        <w:endnoteRef/>
      </w:r>
      <w:r w:rsidRPr="00A64D94">
        <w:t xml:space="preserve"> </w:t>
      </w:r>
      <w:r w:rsidR="004003CF">
        <w:tab/>
      </w:r>
      <w:r w:rsidRPr="00A64D94">
        <w:t>Australian Institute of Health and Welfare (April 202</w:t>
      </w:r>
      <w:r>
        <w:t>4</w:t>
      </w:r>
      <w:r w:rsidRPr="00A64D94">
        <w:t xml:space="preserve">) </w:t>
      </w:r>
      <w:hyperlink r:id="rId5" w:history="1">
        <w:r w:rsidRPr="00A64D94">
          <w:rPr>
            <w:rStyle w:val="Hyperlink"/>
            <w:i/>
            <w:iCs/>
          </w:rPr>
          <w:t>Profile of Australia’s populatio</w:t>
        </w:r>
      </w:hyperlink>
      <w:r w:rsidRPr="00A64D94">
        <w:rPr>
          <w:i/>
          <w:iCs/>
        </w:rPr>
        <w:t>n</w:t>
      </w:r>
      <w:r w:rsidRPr="00A64D94">
        <w:t xml:space="preserve">, Australian Government, accessed </w:t>
      </w:r>
      <w:r>
        <w:t>6 January 2025.</w:t>
      </w:r>
    </w:p>
  </w:endnote>
  <w:endnote w:id="7">
    <w:p w14:paraId="523DDD16" w14:textId="3831C10B"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Institute of Health and Welfare (April 2024) </w:t>
      </w:r>
      <w:hyperlink r:id="rId6" w:history="1">
        <w:r w:rsidRPr="00A64D94">
          <w:rPr>
            <w:rStyle w:val="Hyperlink"/>
            <w:i/>
            <w:iCs/>
          </w:rPr>
          <w:t>Profile of Australia’s populatio</w:t>
        </w:r>
      </w:hyperlink>
      <w:r w:rsidRPr="00A64D94">
        <w:rPr>
          <w:i/>
          <w:iCs/>
        </w:rPr>
        <w:t>n</w:t>
      </w:r>
      <w:r w:rsidRPr="00A64D94">
        <w:t xml:space="preserve">, Australian Government, accessed </w:t>
      </w:r>
      <w:r>
        <w:t>6 January 2025.</w:t>
      </w:r>
    </w:p>
  </w:endnote>
  <w:endnote w:id="8">
    <w:p w14:paraId="2A576CE2" w14:textId="67C79D6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7"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9">
    <w:p w14:paraId="76F8F669" w14:textId="6FEF8E60"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8"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10">
    <w:p w14:paraId="481211F4" w14:textId="5435FE0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Institute of Health and Welfare (2024) </w:t>
      </w:r>
      <w:hyperlink r:id="rId9" w:history="1">
        <w:r w:rsidRPr="00A64D94">
          <w:rPr>
            <w:rStyle w:val="Hyperlink"/>
            <w:i/>
            <w:iCs/>
          </w:rPr>
          <w:t>Health workforce</w:t>
        </w:r>
      </w:hyperlink>
      <w:r w:rsidRPr="00A64D94">
        <w:t xml:space="preserve">, Australian Government, accessed </w:t>
      </w:r>
      <w:r>
        <w:t>6 January 2025.</w:t>
      </w:r>
      <w:r w:rsidRPr="00A64D94">
        <w:t xml:space="preserve"> </w:t>
      </w:r>
    </w:p>
  </w:endnote>
  <w:endnote w:id="11">
    <w:p w14:paraId="7847A88F" w14:textId="365EFD7A" w:rsidR="00591043" w:rsidRPr="00A64D94" w:rsidRDefault="00591043" w:rsidP="00591043">
      <w:pPr>
        <w:pStyle w:val="EndnoteText"/>
      </w:pPr>
      <w:r w:rsidRPr="00A64D94">
        <w:rPr>
          <w:rStyle w:val="EndnoteReference"/>
        </w:rPr>
        <w:endnoteRef/>
      </w:r>
      <w:r w:rsidRPr="00A64D94">
        <w:t xml:space="preserve"> </w:t>
      </w:r>
      <w:bookmarkStart w:id="17" w:name="_Hlk207894359"/>
      <w:r w:rsidR="004003CF">
        <w:tab/>
      </w:r>
      <w:r w:rsidRPr="005465E1">
        <w:t>Department of Health</w:t>
      </w:r>
      <w:r>
        <w:t>, Disability</w:t>
      </w:r>
      <w:r w:rsidRPr="005465E1">
        <w:t xml:space="preserve"> and Ag</w:t>
      </w:r>
      <w:r>
        <w:t>eing</w:t>
      </w:r>
      <w:r w:rsidRPr="00A64D94">
        <w:t xml:space="preserve"> </w:t>
      </w:r>
      <w:bookmarkEnd w:id="17"/>
      <w:r w:rsidRPr="00A64D94">
        <w:t>(202</w:t>
      </w:r>
      <w:r>
        <w:t>5</w:t>
      </w:r>
      <w:r w:rsidRPr="00A64D94">
        <w:t xml:space="preserve">) </w:t>
      </w:r>
      <w:hyperlink r:id="rId10" w:history="1">
        <w:r w:rsidRPr="00A64D94">
          <w:rPr>
            <w:rStyle w:val="Hyperlink"/>
          </w:rPr>
          <w:t>Dashboard, Nursing and Midwifery Dashboards</w:t>
        </w:r>
      </w:hyperlink>
      <w:r w:rsidRPr="00A64D94">
        <w:t xml:space="preserve">, Australian Government, accessed </w:t>
      </w:r>
      <w:r>
        <w:t>6 January 2025.</w:t>
      </w:r>
    </w:p>
  </w:endnote>
  <w:endnote w:id="12">
    <w:p w14:paraId="701A7DDE" w14:textId="752F0E3A"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11"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13">
    <w:p w14:paraId="435B9AAB" w14:textId="2941D04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Buchan J and Catton H (2023) </w:t>
      </w:r>
      <w:hyperlink r:id="rId12" w:history="1">
        <w:r w:rsidRPr="00A64D94">
          <w:rPr>
            <w:rStyle w:val="Hyperlink"/>
            <w:i/>
            <w:iCs/>
          </w:rPr>
          <w:t>Recover to rebuild. Investing in the nursing workforce for health system effectivenes</w:t>
        </w:r>
      </w:hyperlink>
      <w:r w:rsidRPr="00A64D94">
        <w:rPr>
          <w:i/>
          <w:iCs/>
        </w:rPr>
        <w:t>s</w:t>
      </w:r>
      <w:r w:rsidRPr="00A64D94">
        <w:t xml:space="preserve">, International Council of Nurses, accessed </w:t>
      </w:r>
      <w:r>
        <w:t>6 January 2025.</w:t>
      </w:r>
    </w:p>
  </w:endnote>
  <w:endnote w:id="14">
    <w:p w14:paraId="2C49770D" w14:textId="5CDF8AA8"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 xml:space="preserve">International Council of Nurses (ICN) (2024) </w:t>
      </w:r>
      <w:hyperlink r:id="rId13" w:history="1">
        <w:r w:rsidRPr="00A64D94">
          <w:rPr>
            <w:rStyle w:val="Hyperlink"/>
            <w:rFonts w:cstheme="minorHAnsi"/>
            <w:i/>
            <w:iCs/>
          </w:rPr>
          <w:t xml:space="preserve">International Nurses Day 2024, The </w:t>
        </w:r>
        <w:r w:rsidRPr="00A64D94">
          <w:rPr>
            <w:rStyle w:val="Hyperlink"/>
            <w:i/>
          </w:rPr>
          <w:t>economic power of care</w:t>
        </w:r>
      </w:hyperlink>
      <w:r w:rsidRPr="00A64D94">
        <w:rPr>
          <w:rFonts w:cstheme="minorHAnsi"/>
        </w:rPr>
        <w:t xml:space="preserve">, International Council of Nurses, accessed </w:t>
      </w:r>
      <w:r>
        <w:rPr>
          <w:rFonts w:cstheme="minorHAnsi"/>
        </w:rPr>
        <w:t>6 January 2025.</w:t>
      </w:r>
    </w:p>
  </w:endnote>
  <w:endnote w:id="15">
    <w:p w14:paraId="1968FAE7" w14:textId="06D73397"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Remes J, Linzer K, Singhal S, Dewhurst M, Dash P, Woetzel J, Smit S, Evers M, Wilson M, Rutter K and Ramdorai A (2020) </w:t>
      </w:r>
      <w:hyperlink r:id="rId14" w:history="1">
        <w:r w:rsidRPr="00A64D94">
          <w:rPr>
            <w:rStyle w:val="Hyperlink"/>
            <w:i/>
            <w:iCs/>
          </w:rPr>
          <w:t>Prioritizing health: A prescription for prosperity</w:t>
        </w:r>
      </w:hyperlink>
      <w:r w:rsidRPr="00A64D94">
        <w:t>,</w:t>
      </w:r>
      <w:r w:rsidRPr="00A64D94">
        <w:rPr>
          <w:i/>
          <w:iCs/>
        </w:rPr>
        <w:t xml:space="preserve"> </w:t>
      </w:r>
      <w:r w:rsidRPr="00A64D94">
        <w:t xml:space="preserve">McKinsey Global Institute, accessed </w:t>
      </w:r>
      <w:r>
        <w:t>6 January 2025.</w:t>
      </w:r>
    </w:p>
  </w:endnote>
  <w:endnote w:id="16">
    <w:p w14:paraId="6B6E26D7" w14:textId="08E2D232"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(ICN) (2024) </w:t>
      </w:r>
      <w:hyperlink r:id="rId15">
        <w:r w:rsidRPr="00A64D94">
          <w:rPr>
            <w:rStyle w:val="Hyperlink"/>
            <w:i/>
            <w:iCs/>
          </w:rPr>
          <w:t>International Nurses Day 2024, The economic power of care</w:t>
        </w:r>
      </w:hyperlink>
      <w:r w:rsidRPr="00A64D94">
        <w:t xml:space="preserve">, International Council of Nurses, accessed </w:t>
      </w:r>
      <w:r>
        <w:t>6 January 2025.</w:t>
      </w:r>
      <w:r w:rsidRPr="00A64D94">
        <w:t xml:space="preserve"> </w:t>
      </w:r>
    </w:p>
  </w:endnote>
  <w:endnote w:id="17">
    <w:p w14:paraId="7BD4E569" w14:textId="00A66D55" w:rsidR="00591043" w:rsidRPr="00A64D94" w:rsidRDefault="00591043" w:rsidP="00591043">
      <w:pPr>
        <w:pStyle w:val="EndnoteText"/>
      </w:pPr>
      <w:r w:rsidRPr="00A64D94">
        <w:rPr>
          <w:rStyle w:val="EndnoteReference"/>
        </w:rPr>
        <w:endnoteRef/>
      </w:r>
      <w:r w:rsidRPr="00A64D94">
        <w:t xml:space="preserve"> </w:t>
      </w:r>
      <w:r w:rsidR="004003CF">
        <w:tab/>
      </w:r>
      <w:r w:rsidRPr="00A64D94">
        <w:t>Cai L and Kalb G (2005) ‘</w:t>
      </w:r>
      <w:hyperlink r:id="rId16" w:history="1">
        <w:r w:rsidRPr="00FD6EBD">
          <w:rPr>
            <w:rStyle w:val="Hyperlink"/>
          </w:rPr>
          <w:t>Health status and labour force participation: evidence from Australia’</w:t>
        </w:r>
      </w:hyperlink>
      <w:r w:rsidRPr="00A64D94">
        <w:t xml:space="preserve">, </w:t>
      </w:r>
      <w:r w:rsidRPr="00A64D94">
        <w:rPr>
          <w:i/>
          <w:iCs/>
        </w:rPr>
        <w:t>Health Economics</w:t>
      </w:r>
      <w:r w:rsidRPr="00A64D94">
        <w:t xml:space="preserve"> 15(3), 241; </w:t>
      </w:r>
      <w:r w:rsidR="00FD6EBD">
        <w:t>DOI</w:t>
      </w:r>
      <w:r w:rsidR="003D5098">
        <w:t>:</w:t>
      </w:r>
      <w:r w:rsidR="00FD6EBD">
        <w:t xml:space="preserve"> </w:t>
      </w:r>
      <w:r w:rsidRPr="00FD6EBD">
        <w:t>10.1002/hec.1053</w:t>
      </w:r>
      <w:r w:rsidRPr="00A64D94">
        <w:t>.</w:t>
      </w:r>
    </w:p>
  </w:endnote>
  <w:endnote w:id="18">
    <w:p w14:paraId="3171EF25" w14:textId="0BBD0CF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Remes J, Linzer K, Singhal S, Dewhurst M, Dash P, Woetzel J, Smit S, Evers M, Wilson M, Rutter K and Ramdorai A (2020) </w:t>
      </w:r>
      <w:hyperlink r:id="rId17" w:history="1">
        <w:r w:rsidRPr="00A64D94">
          <w:rPr>
            <w:rStyle w:val="Hyperlink"/>
            <w:i/>
            <w:iCs/>
          </w:rPr>
          <w:t>Prioritizing health: A prescription for prosperity</w:t>
        </w:r>
      </w:hyperlink>
      <w:r w:rsidRPr="00A64D94">
        <w:t>,</w:t>
      </w:r>
      <w:r w:rsidRPr="00A64D94">
        <w:rPr>
          <w:i/>
          <w:iCs/>
        </w:rPr>
        <w:t xml:space="preserve"> </w:t>
      </w:r>
      <w:r w:rsidRPr="00A64D94">
        <w:t xml:space="preserve">McKinsey Global Institute, accessed </w:t>
      </w:r>
      <w:r>
        <w:t>6 January 2025.</w:t>
      </w:r>
      <w:r w:rsidRPr="00A64D94">
        <w:t xml:space="preserve"> </w:t>
      </w:r>
    </w:p>
  </w:endnote>
  <w:endnote w:id="19">
    <w:p w14:paraId="7AF03DF9" w14:textId="6EA6B385"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Remes J, Linzer K, Singhal S, Dewhurst M, Dash P, Woetzel J, Smit S, Evers M, Wilson M, Rutter K and Ramdorai A (2020) </w:t>
      </w:r>
      <w:hyperlink r:id="rId18">
        <w:r w:rsidRPr="00A64D94">
          <w:rPr>
            <w:rStyle w:val="Hyperlink"/>
            <w:i/>
            <w:iCs/>
          </w:rPr>
          <w:t>Prioritizing health: A prescription for prosperity</w:t>
        </w:r>
      </w:hyperlink>
      <w:r w:rsidRPr="00A64D94">
        <w:t>,</w:t>
      </w:r>
      <w:r w:rsidRPr="00A64D94">
        <w:rPr>
          <w:i/>
          <w:iCs/>
        </w:rPr>
        <w:t xml:space="preserve"> </w:t>
      </w:r>
      <w:r w:rsidRPr="00A64D94">
        <w:t xml:space="preserve">McKinsey Global Institute, accessed </w:t>
      </w:r>
      <w:r>
        <w:t>6 January 2025.</w:t>
      </w:r>
      <w:r w:rsidRPr="00A64D94">
        <w:t xml:space="preserve"> </w:t>
      </w:r>
    </w:p>
  </w:endnote>
  <w:endnote w:id="20">
    <w:p w14:paraId="6D8669FF" w14:textId="0C41FA9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(2016) </w:t>
      </w:r>
      <w:hyperlink r:id="rId19" w:history="1">
        <w:r w:rsidRPr="00A64D94">
          <w:rPr>
            <w:rStyle w:val="Hyperlink"/>
            <w:i/>
            <w:iCs/>
          </w:rPr>
          <w:t>Working for health and growth: investing in the health workforce. Report of the High-Level Commission on Health Employment and Economic Growth</w:t>
        </w:r>
      </w:hyperlink>
      <w:r w:rsidRPr="00A64D94">
        <w:t xml:space="preserve">, World Health Organization, accessed </w:t>
      </w:r>
      <w:r>
        <w:t>6 January 2025.</w:t>
      </w:r>
    </w:p>
  </w:endnote>
  <w:endnote w:id="21">
    <w:p w14:paraId="589D553F" w14:textId="5A36C85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Mannix, K (2021) </w:t>
      </w:r>
      <w:hyperlink r:id="rId20" w:history="1">
        <w:r w:rsidRPr="00A64D94">
          <w:rPr>
            <w:rStyle w:val="Hyperlink"/>
            <w:i/>
            <w:iCs/>
          </w:rPr>
          <w:t>The future of Australia’s nursing workforce: COVID-19 and burnout among nurses</w:t>
        </w:r>
      </w:hyperlink>
      <w:r w:rsidRPr="00A64D94">
        <w:t xml:space="preserve">, The Future of Work Lab, University of Melbourne, accessed </w:t>
      </w:r>
      <w:r>
        <w:t>6 January 2025</w:t>
      </w:r>
      <w:r w:rsidRPr="00A64D94">
        <w:t>.</w:t>
      </w:r>
    </w:p>
  </w:endnote>
  <w:endnote w:id="22">
    <w:p w14:paraId="26DC243C" w14:textId="02B1BEBB" w:rsidR="00591043" w:rsidRPr="00A64D94" w:rsidRDefault="00591043" w:rsidP="00591043">
      <w:pPr>
        <w:pStyle w:val="EndnoteText"/>
        <w:rPr>
          <w:i/>
          <w:iCs/>
        </w:rPr>
      </w:pPr>
      <w:r w:rsidRPr="00A64D94">
        <w:rPr>
          <w:rStyle w:val="EndnoteReference"/>
        </w:rPr>
        <w:endnoteRef/>
      </w:r>
      <w:r w:rsidRPr="00A64D94">
        <w:t xml:space="preserve"> </w:t>
      </w:r>
      <w:r w:rsidR="004003CF">
        <w:tab/>
      </w:r>
      <w:r w:rsidRPr="00A64D94">
        <w:t xml:space="preserve">Buchan J, Catton H, and Shaffer F (2022) </w:t>
      </w:r>
      <w:hyperlink r:id="rId21" w:history="1">
        <w:r w:rsidRPr="00A64D94">
          <w:rPr>
            <w:rStyle w:val="Hyperlink"/>
            <w:i/>
            <w:iCs/>
          </w:rPr>
          <w:t>Sustain and Retain in 2022 and Beyond. The global nursing workforce and the Covid-19 pandemic,</w:t>
        </w:r>
      </w:hyperlink>
      <w:r w:rsidRPr="00A64D94">
        <w:rPr>
          <w:i/>
          <w:iCs/>
        </w:rPr>
        <w:t xml:space="preserve"> </w:t>
      </w:r>
      <w:r w:rsidRPr="00A64D94">
        <w:t>International Council of Nurses, accessed</w:t>
      </w:r>
      <w:r>
        <w:t xml:space="preserve"> 6 January 2025</w:t>
      </w:r>
      <w:r w:rsidRPr="00A64D94">
        <w:t>.</w:t>
      </w:r>
    </w:p>
  </w:endnote>
  <w:endnote w:id="23">
    <w:p w14:paraId="6666DD2C" w14:textId="77EEB3B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(WHO) (2020) </w:t>
      </w:r>
      <w:hyperlink r:id="rId22">
        <w:r w:rsidRPr="00A64D94">
          <w:rPr>
            <w:rStyle w:val="Hyperlink"/>
            <w:i/>
            <w:iCs/>
          </w:rPr>
          <w:t>State of the World’s Nursing 2020</w:t>
        </w:r>
      </w:hyperlink>
      <w:r w:rsidRPr="00A64D94">
        <w:t xml:space="preserve">, World Health Organization, accessed </w:t>
      </w:r>
      <w:r>
        <w:t>6 January 2025</w:t>
      </w:r>
      <w:r w:rsidRPr="00A64D94">
        <w:t>.</w:t>
      </w:r>
    </w:p>
  </w:endnote>
  <w:endnote w:id="24">
    <w:p w14:paraId="133FD6DA" w14:textId="1B7184FF"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3" w:history="1">
        <w:r w:rsidRPr="00A64D94">
          <w:rPr>
            <w:rStyle w:val="Hyperlink"/>
            <w:i/>
            <w:iCs/>
          </w:rPr>
          <w:t>Dashboard, Nursing and Midwifery Dashboards</w:t>
        </w:r>
      </w:hyperlink>
      <w:r w:rsidRPr="00A64D94">
        <w:rPr>
          <w:i/>
          <w:iCs/>
        </w:rPr>
        <w:t xml:space="preserve">, </w:t>
      </w:r>
      <w:r w:rsidRPr="00A64D94">
        <w:t xml:space="preserve">Australian Government, accessed </w:t>
      </w:r>
      <w:r>
        <w:t>6 January 2025.</w:t>
      </w:r>
    </w:p>
  </w:endnote>
  <w:endnote w:id="25">
    <w:p w14:paraId="132211F6" w14:textId="6D07EB73"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 xml:space="preserve">International Council of Nurses (ICN) (2024) </w:t>
      </w:r>
      <w:hyperlink r:id="rId24" w:history="1">
        <w:r w:rsidRPr="00A64D94">
          <w:rPr>
            <w:rStyle w:val="Hyperlink"/>
            <w:rFonts w:cstheme="minorHAnsi"/>
            <w:i/>
            <w:iCs/>
          </w:rPr>
          <w:t xml:space="preserve">International Nurses Day 2024, The </w:t>
        </w:r>
        <w:r w:rsidRPr="00A64D94">
          <w:rPr>
            <w:rStyle w:val="Hyperlink"/>
            <w:i/>
          </w:rPr>
          <w:t>economic power of care</w:t>
        </w:r>
      </w:hyperlink>
      <w:r w:rsidRPr="00A64D94">
        <w:rPr>
          <w:rFonts w:cstheme="minorHAnsi"/>
        </w:rPr>
        <w:t xml:space="preserve">, International Council of Nurses, accessed </w:t>
      </w:r>
      <w:r>
        <w:t>6 January 2025</w:t>
      </w:r>
      <w:r w:rsidRPr="00A64D94">
        <w:rPr>
          <w:rFonts w:cstheme="minorHAnsi"/>
        </w:rPr>
        <w:t>.</w:t>
      </w:r>
    </w:p>
  </w:endnote>
  <w:endnote w:id="26">
    <w:p w14:paraId="1D17B6A7" w14:textId="63E0792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Royal College of Nursing (2020) </w:t>
      </w:r>
      <w:hyperlink r:id="rId25" w:history="1">
        <w:r w:rsidRPr="00A64D94">
          <w:rPr>
            <w:rStyle w:val="Hyperlink"/>
            <w:i/>
            <w:iCs/>
          </w:rPr>
          <w:t>Gender and Nursing as a Profession</w:t>
        </w:r>
      </w:hyperlink>
      <w:r w:rsidRPr="00A64D94">
        <w:rPr>
          <w:i/>
          <w:iCs/>
        </w:rPr>
        <w:t xml:space="preserve">, </w:t>
      </w:r>
      <w:r w:rsidRPr="00A64D94">
        <w:t xml:space="preserve">Royal College of Nursing, accessed </w:t>
      </w:r>
      <w:r>
        <w:t>6 January 2025.</w:t>
      </w:r>
    </w:p>
  </w:endnote>
  <w:endnote w:id="27">
    <w:p w14:paraId="31C6E58F" w14:textId="3595FB2F"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College of Nursing (ACN) (2021) </w:t>
      </w:r>
      <w:hyperlink r:id="rId26" w:history="1">
        <w:r w:rsidRPr="00A64D94">
          <w:rPr>
            <w:rStyle w:val="Hyperlink"/>
            <w:i/>
            <w:iCs/>
          </w:rPr>
          <w:t>Men in Nursing – Guiding Principles</w:t>
        </w:r>
      </w:hyperlink>
      <w:r w:rsidRPr="00A64D94">
        <w:rPr>
          <w:i/>
          <w:iCs/>
        </w:rPr>
        <w:t>,</w:t>
      </w:r>
      <w:r w:rsidRPr="00A64D94">
        <w:t xml:space="preserve"> Australian College of Nursing, accessed </w:t>
      </w:r>
      <w:r>
        <w:t>6 January 2025.</w:t>
      </w:r>
    </w:p>
  </w:endnote>
  <w:endnote w:id="28">
    <w:p w14:paraId="36615DF7" w14:textId="55D1FE42"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7" w:history="1">
        <w:r w:rsidRPr="00A64D94">
          <w:rPr>
            <w:rStyle w:val="Hyperlink"/>
            <w:i/>
            <w:iCs/>
          </w:rPr>
          <w:t>Nursing Supply and Demand Study 2023-2035</w:t>
        </w:r>
      </w:hyperlink>
      <w:r w:rsidRPr="00A64D94">
        <w:t xml:space="preserve">, Australian Government, accessed </w:t>
      </w:r>
      <w:r>
        <w:t>6 January 2025.</w:t>
      </w:r>
    </w:p>
  </w:endnote>
  <w:endnote w:id="29">
    <w:p w14:paraId="505E9D5A" w14:textId="74140F0D"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8" w:history="1">
        <w:r>
          <w:rPr>
            <w:rStyle w:val="Hyperlink"/>
            <w:i/>
            <w:iCs/>
          </w:rPr>
          <w:t>Nursing Supply and Demand Study</w:t>
        </w:r>
      </w:hyperlink>
      <w:r w:rsidRPr="00A64D94">
        <w:t xml:space="preserve">, Australian Government, accessed </w:t>
      </w:r>
      <w:r>
        <w:t>6 January 2025.</w:t>
      </w:r>
    </w:p>
  </w:endnote>
  <w:endnote w:id="30">
    <w:p w14:paraId="58C7709E" w14:textId="40926733"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29" w:history="1">
        <w:r w:rsidRPr="00A64D94">
          <w:rPr>
            <w:rStyle w:val="Hyperlink"/>
            <w:i/>
            <w:iCs/>
          </w:rPr>
          <w:t>2020-2025 National Health Reform Agreement (NHRA)</w:t>
        </w:r>
      </w:hyperlink>
      <w:r w:rsidRPr="00A64D94">
        <w:t xml:space="preserve">, Australian Government, accessed </w:t>
      </w:r>
      <w:r>
        <w:t>6 January 2025.</w:t>
      </w:r>
    </w:p>
  </w:endnote>
  <w:endnote w:id="31">
    <w:p w14:paraId="76383EF4" w14:textId="4B8DE492"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Institute of Health and Welfare (2024) </w:t>
      </w:r>
      <w:hyperlink r:id="rId30" w:history="1">
        <w:r w:rsidRPr="00A64D94">
          <w:rPr>
            <w:rStyle w:val="Hyperlink"/>
            <w:i/>
            <w:iCs/>
          </w:rPr>
          <w:t>Health system overview</w:t>
        </w:r>
      </w:hyperlink>
      <w:r w:rsidRPr="00A64D94">
        <w:t xml:space="preserve">, Australian Government, accessed </w:t>
      </w:r>
      <w:r>
        <w:t>6 January 2025.</w:t>
      </w:r>
    </w:p>
  </w:endnote>
  <w:endnote w:id="32">
    <w:p w14:paraId="66D40382" w14:textId="1D869519"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(WHO) (2021) </w:t>
      </w:r>
      <w:hyperlink r:id="rId31" w:history="1">
        <w:r w:rsidRPr="00A64D94">
          <w:rPr>
            <w:rStyle w:val="Hyperlink"/>
            <w:i/>
            <w:iCs/>
          </w:rPr>
          <w:t>The WHO Global Strategic Directions for Nursing and Midwifery (2021-2025)</w:t>
        </w:r>
      </w:hyperlink>
      <w:r w:rsidRPr="00A64D94">
        <w:t xml:space="preserve">, World Health Organization, accessed </w:t>
      </w:r>
      <w:r>
        <w:t>6 January 2025.</w:t>
      </w:r>
    </w:p>
  </w:endnote>
  <w:endnote w:id="33">
    <w:p w14:paraId="6E978F94" w14:textId="4F12B4AD"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 xml:space="preserve">International Council of Nurses (ICN) (2024) </w:t>
      </w:r>
      <w:hyperlink r:id="rId32" w:history="1">
        <w:r w:rsidRPr="00A64D94">
          <w:rPr>
            <w:rStyle w:val="Hyperlink"/>
            <w:rFonts w:cstheme="minorHAnsi"/>
            <w:i/>
            <w:iCs/>
          </w:rPr>
          <w:t>Publications and reports</w:t>
        </w:r>
      </w:hyperlink>
      <w:r w:rsidRPr="00A64D94">
        <w:rPr>
          <w:rFonts w:cstheme="minorHAnsi"/>
        </w:rPr>
        <w:t xml:space="preserve">, International Council of Nurses, accessed </w:t>
      </w:r>
      <w:r>
        <w:rPr>
          <w:rFonts w:cstheme="minorHAnsi"/>
        </w:rPr>
        <w:t>6 January 2025.</w:t>
      </w:r>
    </w:p>
  </w:endnote>
  <w:endnote w:id="34">
    <w:p w14:paraId="476C1C8C" w14:textId="1BAA2D7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Department of the Prime Minister and Cabinet (2024) </w:t>
      </w:r>
      <w:hyperlink r:id="rId33" w:history="1">
        <w:r w:rsidRPr="00A64D94">
          <w:rPr>
            <w:rStyle w:val="Hyperlink"/>
            <w:i/>
            <w:iCs/>
          </w:rPr>
          <w:t>Covid-19 Response Inquiry Repor</w:t>
        </w:r>
      </w:hyperlink>
      <w:r w:rsidRPr="00A64D94">
        <w:rPr>
          <w:i/>
          <w:iCs/>
        </w:rPr>
        <w:t>t</w:t>
      </w:r>
      <w:r w:rsidRPr="00A64D94">
        <w:t xml:space="preserve">, Australian Government, accessed </w:t>
      </w:r>
      <w:r>
        <w:t>6 January 2025.</w:t>
      </w:r>
    </w:p>
  </w:endnote>
  <w:endnote w:id="35">
    <w:p w14:paraId="19900366" w14:textId="6A9ECED2"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4" w:history="1">
        <w:r w:rsidRPr="00A64D94">
          <w:rPr>
            <w:rStyle w:val="Hyperlink"/>
            <w:i/>
            <w:iCs/>
          </w:rPr>
          <w:t>National Nursing Workforce Strategy Volume 1 Research Report</w:t>
        </w:r>
      </w:hyperlink>
      <w:r w:rsidRPr="00A64D94">
        <w:rPr>
          <w:i/>
          <w:iCs/>
        </w:rPr>
        <w:t>,</w:t>
      </w:r>
      <w:r w:rsidRPr="00A64D94">
        <w:t xml:space="preserve"> Australian Government,</w:t>
      </w:r>
      <w:r w:rsidRPr="00A64D94">
        <w:rPr>
          <w:i/>
          <w:iCs/>
        </w:rPr>
        <w:t xml:space="preserve"> </w:t>
      </w:r>
      <w:r w:rsidRPr="00A64D94">
        <w:t xml:space="preserve">accessed </w:t>
      </w:r>
      <w:r>
        <w:t>6 January 2025.</w:t>
      </w:r>
    </w:p>
  </w:endnote>
  <w:endnote w:id="36">
    <w:p w14:paraId="44DF200B" w14:textId="69714F03"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5" w:history="1">
        <w:r w:rsidRPr="00A64D94">
          <w:rPr>
            <w:rStyle w:val="Hyperlink"/>
            <w:i/>
            <w:iCs/>
          </w:rPr>
          <w:t>National Nursing Workforce Strategy Volume 1 Research Report</w:t>
        </w:r>
      </w:hyperlink>
      <w:r w:rsidRPr="00A64D94">
        <w:rPr>
          <w:i/>
          <w:iCs/>
        </w:rPr>
        <w:t>,</w:t>
      </w:r>
      <w:r w:rsidRPr="00A64D94">
        <w:t xml:space="preserve"> Australian Government,</w:t>
      </w:r>
      <w:r w:rsidRPr="00A64D94">
        <w:rPr>
          <w:i/>
          <w:iCs/>
        </w:rPr>
        <w:t xml:space="preserve"> </w:t>
      </w:r>
      <w:r w:rsidRPr="00A64D94">
        <w:t xml:space="preserve">accessed </w:t>
      </w:r>
      <w:r>
        <w:t>6 January 2025.</w:t>
      </w:r>
    </w:p>
  </w:endnote>
  <w:endnote w:id="37">
    <w:p w14:paraId="3EDD247B" w14:textId="3AF1288A"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6" w:history="1">
        <w:r w:rsidRPr="00A64D94">
          <w:rPr>
            <w:rStyle w:val="Hyperlink"/>
            <w:i/>
            <w:iCs/>
          </w:rPr>
          <w:t>National Nursing Workforce Strategy Volume 2 Research Report</w:t>
        </w:r>
      </w:hyperlink>
      <w:r w:rsidRPr="00A64D94">
        <w:t xml:space="preserve">, Australian Government, accessed </w:t>
      </w:r>
      <w:r>
        <w:t>6 January 2025.</w:t>
      </w:r>
      <w:r w:rsidRPr="00A64D94">
        <w:t xml:space="preserve"> </w:t>
      </w:r>
    </w:p>
  </w:endnote>
  <w:endnote w:id="38">
    <w:p w14:paraId="44CD5E65" w14:textId="50AD190A"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Schwartz, S (2019) </w:t>
      </w:r>
      <w:hyperlink r:id="rId37" w:history="1">
        <w:r w:rsidRPr="00A64D94">
          <w:rPr>
            <w:rStyle w:val="Hyperlink"/>
            <w:i/>
            <w:iCs/>
          </w:rPr>
          <w:t>Educating the Nurse of the Future—Report of the Independent Review into Nursing Education</w:t>
        </w:r>
      </w:hyperlink>
      <w:r w:rsidRPr="00A64D94">
        <w:t xml:space="preserve">, accessed </w:t>
      </w:r>
      <w:r>
        <w:t>6 January 2025.</w:t>
      </w:r>
      <w:r w:rsidRPr="00A64D94">
        <w:rPr>
          <w:i/>
          <w:iCs/>
          <w:u w:val="single"/>
        </w:rPr>
        <w:t xml:space="preserve"> </w:t>
      </w:r>
    </w:p>
  </w:endnote>
  <w:endnote w:id="39">
    <w:p w14:paraId="15AB2F1F" w14:textId="1BA6657C"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38" w:history="1">
        <w:hyperlink r:id="rId39" w:history="1">
          <w:hyperlink r:id="rId40" w:history="1">
            <w:r w:rsidRPr="00A64D94">
              <w:rPr>
                <w:rStyle w:val="Hyperlink"/>
                <w:i/>
                <w:iCs/>
              </w:rPr>
              <w:t>National Nursing Workforce Strategy Volume 1 Research Report</w:t>
            </w:r>
          </w:hyperlink>
        </w:hyperlink>
      </w:hyperlink>
      <w:r w:rsidRPr="00A64D94">
        <w:t xml:space="preserve">, Australian Government, accessed </w:t>
      </w:r>
      <w:r>
        <w:t>6 January 2025.</w:t>
      </w:r>
    </w:p>
  </w:endnote>
  <w:endnote w:id="40">
    <w:p w14:paraId="633B7759" w14:textId="598FF92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Department of Education (2024) </w:t>
      </w:r>
      <w:hyperlink r:id="rId41" w:tgtFrame="_blank" w:tooltip="https://www.education.gov.au/australian-universities-accord/resources/final-report" w:history="1">
        <w:r w:rsidRPr="00A64D94">
          <w:rPr>
            <w:rStyle w:val="Hyperlink"/>
            <w:i/>
            <w:iCs/>
          </w:rPr>
          <w:t>Australian Universities Accord Final Report</w:t>
        </w:r>
      </w:hyperlink>
      <w:r w:rsidRPr="00A64D94">
        <w:t xml:space="preserve">, Australian Government, accessed </w:t>
      </w:r>
      <w:r>
        <w:t>6 January 2025</w:t>
      </w:r>
      <w:r w:rsidRPr="00A64D94">
        <w:t>.</w:t>
      </w:r>
    </w:p>
  </w:endnote>
  <w:endnote w:id="41">
    <w:p w14:paraId="7B5E8F48" w14:textId="0355FC01"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State of Victoria, Department of Health and Human Services (2020) </w:t>
      </w:r>
      <w:hyperlink r:id="rId42" w:tgtFrame="_blank" w:tooltip="https://nla.gov.au/nla.obj-2966079742/view" w:history="1">
        <w:r w:rsidRPr="00A64D94">
          <w:rPr>
            <w:rStyle w:val="Hyperlink"/>
            <w:i/>
            <w:iCs/>
          </w:rPr>
          <w:t>Registered undergraduate student of nursing (RUSON) Employment and implementation guide</w:t>
        </w:r>
      </w:hyperlink>
      <w:r w:rsidRPr="00A64D94">
        <w:t xml:space="preserve">, Victorian Government, accessed </w:t>
      </w:r>
      <w:r>
        <w:t>6 January 2025</w:t>
      </w:r>
      <w:r w:rsidRPr="00A64D94">
        <w:t>.</w:t>
      </w:r>
    </w:p>
  </w:endnote>
  <w:endnote w:id="42">
    <w:p w14:paraId="75ABCA51" w14:textId="14B153A2"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43" w:history="1">
        <w:r w:rsidRPr="00A64D94">
          <w:rPr>
            <w:rStyle w:val="Hyperlink"/>
            <w:i/>
            <w:iCs/>
          </w:rPr>
          <w:t>National Nursing Workforce Strategy Volume 2 Research Report</w:t>
        </w:r>
      </w:hyperlink>
      <w:r w:rsidRPr="00A64D94">
        <w:t xml:space="preserve">, Australian Government, accessed </w:t>
      </w:r>
      <w:r>
        <w:t>6 January 2025</w:t>
      </w:r>
      <w:r w:rsidRPr="00A64D94">
        <w:t>.</w:t>
      </w:r>
    </w:p>
  </w:endnote>
  <w:endnote w:id="43">
    <w:p w14:paraId="5A7D8DB8" w14:textId="71E23A33"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44" w:history="1">
        <w:r w:rsidRPr="00A64D94">
          <w:rPr>
            <w:rStyle w:val="Hyperlink"/>
            <w:i/>
            <w:iCs/>
          </w:rPr>
          <w:t>Genetics and genomics</w:t>
        </w:r>
      </w:hyperlink>
      <w:r w:rsidRPr="00A64D94">
        <w:t xml:space="preserve">, Australian Government, accessed </w:t>
      </w:r>
      <w:r>
        <w:t>6 January 2025</w:t>
      </w:r>
      <w:r w:rsidRPr="00A64D94">
        <w:t>.</w:t>
      </w:r>
    </w:p>
  </w:endnote>
  <w:endnote w:id="44">
    <w:p w14:paraId="1DB2B545" w14:textId="0EDFBA41"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College of Nursing (2020) </w:t>
      </w:r>
      <w:hyperlink r:id="rId45" w:history="1">
        <w:r w:rsidRPr="00A64D94">
          <w:rPr>
            <w:rStyle w:val="Hyperlink"/>
            <w:i/>
            <w:iCs/>
          </w:rPr>
          <w:t>Nurses, Genomics and Clinical Practice</w:t>
        </w:r>
      </w:hyperlink>
      <w:r w:rsidRPr="00A64D94">
        <w:t xml:space="preserve">, accessed </w:t>
      </w:r>
      <w:r>
        <w:t>6</w:t>
      </w:r>
      <w:r w:rsidR="00C23188">
        <w:t> </w:t>
      </w:r>
      <w:r>
        <w:t>January 2025.</w:t>
      </w:r>
    </w:p>
  </w:endnote>
  <w:endnote w:id="45">
    <w:p w14:paraId="6BE0E158" w14:textId="37F90FAE"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Cormack M (2024), </w:t>
      </w:r>
      <w:hyperlink r:id="rId46" w:history="1">
        <w:r w:rsidRPr="00E521C7">
          <w:rPr>
            <w:rStyle w:val="Hyperlink"/>
            <w:i/>
            <w:iCs/>
          </w:rPr>
          <w:t>Unleashing the Potential of our Health Workforce - Scope of Practice Review - Final Report</w:t>
        </w:r>
      </w:hyperlink>
      <w:r w:rsidRPr="00A64D94">
        <w:t xml:space="preserve">, </w:t>
      </w:r>
      <w:r w:rsidRPr="008C2D91">
        <w:t xml:space="preserve">accessed </w:t>
      </w:r>
      <w:r>
        <w:t>6 January 2025</w:t>
      </w:r>
      <w:r w:rsidRPr="008C2D91">
        <w:t>.</w:t>
      </w:r>
    </w:p>
  </w:endnote>
  <w:endnote w:id="46">
    <w:p w14:paraId="2D31DF89" w14:textId="68DB454C"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(2016) </w:t>
      </w:r>
      <w:hyperlink r:id="rId47" w:anchor=":~:text=Scope%20of%20practice%20is%20that,requirements%20of%20the%20service%20provider." w:history="1">
        <w:r w:rsidRPr="00A64D94">
          <w:rPr>
            <w:rStyle w:val="Hyperlink"/>
            <w:i/>
          </w:rPr>
          <w:t>Registered nurse standards for practice</w:t>
        </w:r>
      </w:hyperlink>
      <w:r w:rsidRPr="00A64D94">
        <w:t xml:space="preserve">, Nursing and Midwifery Board of Australia, accessed </w:t>
      </w:r>
      <w:r>
        <w:t>6 January 2025</w:t>
      </w:r>
      <w:r w:rsidRPr="00A64D94">
        <w:t>.</w:t>
      </w:r>
    </w:p>
  </w:endnote>
  <w:endnote w:id="47">
    <w:p w14:paraId="6D595A44" w14:textId="3EFE7290"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Cormack M (2024) </w:t>
      </w:r>
      <w:hyperlink r:id="rId48" w:history="1">
        <w:r w:rsidRPr="00A64D94">
          <w:rPr>
            <w:rStyle w:val="Hyperlink"/>
            <w:i/>
            <w:iCs/>
          </w:rPr>
          <w:t xml:space="preserve">Unleashing the Potential of our Health Workforce – Scope of Practice Review – Issues Paper </w:t>
        </w:r>
        <w:r w:rsidRPr="00A64D94">
          <w:rPr>
            <w:rStyle w:val="Hyperlink"/>
          </w:rPr>
          <w:t>2</w:t>
        </w:r>
      </w:hyperlink>
      <w:r w:rsidRPr="00A64D94">
        <w:t xml:space="preserve">, accessed </w:t>
      </w:r>
      <w:r>
        <w:t>6 January 2025</w:t>
      </w:r>
      <w:r w:rsidRPr="00A64D94">
        <w:t>.</w:t>
      </w:r>
    </w:p>
  </w:endnote>
  <w:endnote w:id="48">
    <w:p w14:paraId="17E8D832" w14:textId="427DE51D"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49" w:history="1">
        <w:r w:rsidRPr="00A64D94">
          <w:rPr>
            <w:rStyle w:val="Hyperlink"/>
            <w:i/>
            <w:iCs/>
          </w:rPr>
          <w:t>National Nursing Workforce Strategy Volume 2 Research Report</w:t>
        </w:r>
      </w:hyperlink>
      <w:r w:rsidRPr="00A64D94">
        <w:t xml:space="preserve">, Australian Government, accessed </w:t>
      </w:r>
      <w:r>
        <w:t>6 January 2025</w:t>
      </w:r>
      <w:r w:rsidRPr="00A64D94">
        <w:t>.</w:t>
      </w:r>
    </w:p>
  </w:endnote>
  <w:endnote w:id="49">
    <w:p w14:paraId="5ABAA272" w14:textId="72CB6B77"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Cormack M (2024) </w:t>
      </w:r>
      <w:hyperlink r:id="rId50" w:history="1">
        <w:r w:rsidRPr="00A64D94">
          <w:rPr>
            <w:rStyle w:val="Hyperlink"/>
            <w:i/>
            <w:iCs/>
          </w:rPr>
          <w:t xml:space="preserve">Unleashing the Potential of our Health Workforce – Scope of Practice Review – Issues Paper </w:t>
        </w:r>
        <w:r w:rsidRPr="00A64D94">
          <w:rPr>
            <w:rStyle w:val="Hyperlink"/>
          </w:rPr>
          <w:t>2</w:t>
        </w:r>
      </w:hyperlink>
      <w:r w:rsidRPr="00A64D94">
        <w:t xml:space="preserve">, accessed </w:t>
      </w:r>
      <w:r>
        <w:t>6 January 2025</w:t>
      </w:r>
      <w:r w:rsidRPr="00A64D94">
        <w:t>.</w:t>
      </w:r>
    </w:p>
  </w:endnote>
  <w:endnote w:id="50">
    <w:p w14:paraId="44F6D6AA" w14:textId="00E69D95" w:rsidR="00591043" w:rsidRPr="00A64D94" w:rsidRDefault="00591043" w:rsidP="00591043">
      <w:pPr>
        <w:pStyle w:val="EndnoteText"/>
        <w:rPr>
          <w:i/>
          <w:iCs/>
        </w:rPr>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(2023) </w:t>
      </w:r>
      <w:hyperlink r:id="rId51" w:history="1">
        <w:r w:rsidRPr="00A64D94">
          <w:rPr>
            <w:rStyle w:val="Hyperlink"/>
            <w:i/>
            <w:iCs/>
          </w:rPr>
          <w:t>National Health and Climate Strategy</w:t>
        </w:r>
      </w:hyperlink>
      <w:r w:rsidRPr="00A64D94">
        <w:t xml:space="preserve">, Australian Government, accessed </w:t>
      </w:r>
      <w:r>
        <w:t>6 January 2025</w:t>
      </w:r>
      <w:r w:rsidRPr="00A64D94">
        <w:t>.</w:t>
      </w:r>
    </w:p>
  </w:endnote>
  <w:endnote w:id="51">
    <w:p w14:paraId="4C961D23" w14:textId="2A381F9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(2018) </w:t>
      </w:r>
      <w:hyperlink r:id="rId52" w:history="1">
        <w:r w:rsidRPr="00A64D94">
          <w:rPr>
            <w:rStyle w:val="Hyperlink"/>
            <w:i/>
            <w:iCs/>
          </w:rPr>
          <w:t>Nurses, climate change and health position statement</w:t>
        </w:r>
      </w:hyperlink>
      <w:r w:rsidRPr="00A64D94">
        <w:t xml:space="preserve">, International Council of Nurses, accessed </w:t>
      </w:r>
      <w:r>
        <w:t>6 January 2025.</w:t>
      </w:r>
    </w:p>
  </w:endnote>
  <w:endnote w:id="52">
    <w:p w14:paraId="35E89857" w14:textId="4620C21E"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Levett-Jones T., Bonnamy J, Cornish J, Correia Moll E, Fields L, Moroney T, Richards C, Tutticci N and Ward A (2024) </w:t>
      </w:r>
      <w:r>
        <w:t>‘</w:t>
      </w:r>
      <w:hyperlink r:id="rId53" w:history="1">
        <w:r w:rsidRPr="00FD6EBD">
          <w:rPr>
            <w:rStyle w:val="Hyperlink"/>
          </w:rPr>
          <w:t>Celebrating Australian nurses who are pioneering the response to climate change: a compilation of case studies</w:t>
        </w:r>
      </w:hyperlink>
      <w:r>
        <w:t>’,</w:t>
      </w:r>
      <w:r w:rsidRPr="00A64D94">
        <w:rPr>
          <w:i/>
          <w:iCs/>
        </w:rPr>
        <w:t> Contemporary Nurse,</w:t>
      </w:r>
      <w:r w:rsidRPr="00A64D94">
        <w:t> </w:t>
      </w:r>
      <w:r w:rsidRPr="00A64D94">
        <w:rPr>
          <w:i/>
          <w:iCs/>
        </w:rPr>
        <w:t>60</w:t>
      </w:r>
      <w:r w:rsidRPr="00A64D94">
        <w:t>(3), 234–246</w:t>
      </w:r>
      <w:r>
        <w:t>;</w:t>
      </w:r>
      <w:r w:rsidRPr="00A64D94">
        <w:t xml:space="preserve"> </w:t>
      </w:r>
      <w:r w:rsidR="00FD6EBD">
        <w:t>DOI:</w:t>
      </w:r>
      <w:r w:rsidR="003D5098">
        <w:t> </w:t>
      </w:r>
      <w:r w:rsidRPr="00FD6EBD">
        <w:t>10.1080/10376178.2024.2336230</w:t>
      </w:r>
      <w:r w:rsidRPr="00A64D94">
        <w:t xml:space="preserve">. </w:t>
      </w:r>
    </w:p>
  </w:endnote>
  <w:endnote w:id="53">
    <w:p w14:paraId="3729062A" w14:textId="71C3CB34"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(2018) </w:t>
      </w:r>
      <w:hyperlink r:id="rId54" w:history="1">
        <w:r w:rsidRPr="00A64D94">
          <w:rPr>
            <w:rStyle w:val="Hyperlink"/>
            <w:i/>
            <w:iCs/>
          </w:rPr>
          <w:t>Nurses, climate change and health position statement</w:t>
        </w:r>
      </w:hyperlink>
      <w:r w:rsidRPr="00A64D94">
        <w:t xml:space="preserve">, International Council of Nurses, accessed </w:t>
      </w:r>
      <w:r>
        <w:t>6 January 2025</w:t>
      </w:r>
      <w:r w:rsidRPr="00A64D94">
        <w:t>.</w:t>
      </w:r>
    </w:p>
  </w:endnote>
  <w:endnote w:id="54">
    <w:p w14:paraId="3BDE5AD1" w14:textId="7F578B5D"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International Council of Nurses (2021) </w:t>
      </w:r>
      <w:hyperlink r:id="rId55" w:history="1">
        <w:r w:rsidRPr="00A64D94">
          <w:rPr>
            <w:rStyle w:val="Hyperlink"/>
            <w:i/>
            <w:iCs/>
          </w:rPr>
          <w:t>The ICN Code of Ethics for Nurses</w:t>
        </w:r>
      </w:hyperlink>
      <w:r w:rsidRPr="00A64D94">
        <w:t xml:space="preserve">, International Council of Nurses, accessed </w:t>
      </w:r>
      <w:r>
        <w:t>6 January 2025</w:t>
      </w:r>
      <w:r w:rsidRPr="00A64D94">
        <w:t>.</w:t>
      </w:r>
    </w:p>
  </w:endnote>
  <w:endnote w:id="55">
    <w:p w14:paraId="5C4ECA6F" w14:textId="3F510A3C" w:rsidR="00591043" w:rsidRPr="00A64D94" w:rsidRDefault="00591043" w:rsidP="00591043">
      <w:pPr>
        <w:pStyle w:val="EndnoteText"/>
      </w:pPr>
      <w:r w:rsidRPr="00A64D94">
        <w:rPr>
          <w:rStyle w:val="EndnoteReference"/>
        </w:rPr>
        <w:endnoteRef/>
      </w:r>
      <w:r w:rsidRPr="00A64D94">
        <w:t xml:space="preserve"> </w:t>
      </w:r>
      <w:r w:rsidR="004003CF">
        <w:tab/>
      </w:r>
      <w:r w:rsidRPr="00A64D94">
        <w:t>Cummings G, Lee S, Tate K, Penconek T, Micaroni S, Paananen T and Chatterjee G (2021) ‘</w:t>
      </w:r>
      <w:hyperlink r:id="rId56" w:history="1">
        <w:r w:rsidRPr="00FD6EBD">
          <w:rPr>
            <w:rStyle w:val="Hyperlink"/>
          </w:rPr>
          <w:t>The essentials of nursing leadership: A systematic review of factors and educational interventions influencing nursing leadership’</w:t>
        </w:r>
      </w:hyperlink>
      <w:r w:rsidRPr="00A64D94">
        <w:t xml:space="preserve">, </w:t>
      </w:r>
      <w:r w:rsidRPr="00A64D94">
        <w:rPr>
          <w:i/>
        </w:rPr>
        <w:t>International Journal of Nursing Studies</w:t>
      </w:r>
      <w:r w:rsidRPr="00A64D94">
        <w:t>, Volume 115,</w:t>
      </w:r>
      <w:r w:rsidR="00C76E76">
        <w:t xml:space="preserve"> </w:t>
      </w:r>
      <w:r w:rsidR="00FD6EBD">
        <w:t>DOI:</w:t>
      </w:r>
      <w:r w:rsidR="003D5098">
        <w:t> </w:t>
      </w:r>
      <w:r w:rsidRPr="00FD6EBD">
        <w:t>10.1016/j.ijnurstu.2020.103842</w:t>
      </w:r>
      <w:r>
        <w:t xml:space="preserve">. </w:t>
      </w:r>
    </w:p>
  </w:endnote>
  <w:endnote w:id="56">
    <w:p w14:paraId="55B8DB3D" w14:textId="4518B9EF"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(2022) </w:t>
      </w:r>
      <w:hyperlink r:id="rId57" w:history="1">
        <w:r w:rsidRPr="00A64D94">
          <w:rPr>
            <w:rStyle w:val="Hyperlink"/>
            <w:i/>
            <w:iCs/>
          </w:rPr>
          <w:t>National Aboriginal and Torres Strait Islander Health Workforce Strategic Framework and Implementation Plan 2021-2031</w:t>
        </w:r>
      </w:hyperlink>
      <w:r w:rsidRPr="00A64D94">
        <w:t>, Australian Government</w:t>
      </w:r>
      <w:r w:rsidRPr="00A64D94">
        <w:rPr>
          <w:i/>
          <w:iCs/>
        </w:rPr>
        <w:t>,</w:t>
      </w:r>
      <w:r w:rsidRPr="00A64D94">
        <w:t xml:space="preserve"> accessed </w:t>
      </w:r>
      <w:r>
        <w:t>6 January 2025</w:t>
      </w:r>
      <w:r w:rsidRPr="00A64D94">
        <w:t>.</w:t>
      </w:r>
    </w:p>
  </w:endnote>
  <w:endnote w:id="57">
    <w:p w14:paraId="2FBFA7FA" w14:textId="60A1E163"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Congress of Aboriginal and Torres Strait Islander Nurses and Midwives (2024) </w:t>
      </w:r>
      <w:hyperlink r:id="rId58" w:history="1">
        <w:r w:rsidRPr="00A64D94">
          <w:rPr>
            <w:rStyle w:val="Hyperlink"/>
            <w:i/>
            <w:iCs/>
          </w:rPr>
          <w:t>Submission to the Australian Government Department of Health and Aged Care National Nursing Workforce Strategy Consultation</w:t>
        </w:r>
      </w:hyperlink>
      <w:r w:rsidRPr="00A64D94">
        <w:t xml:space="preserve">, Congress of Aboriginal and Torres Strait Islander Nurses and Midwives, accessed </w:t>
      </w:r>
      <w:r>
        <w:t>6</w:t>
      </w:r>
      <w:r w:rsidR="003D5098">
        <w:t> </w:t>
      </w:r>
      <w:r>
        <w:t>January 2025.</w:t>
      </w:r>
    </w:p>
  </w:endnote>
  <w:endnote w:id="58">
    <w:p w14:paraId="669BDC1D" w14:textId="3D506B75" w:rsidR="00591043" w:rsidRPr="00A64D94" w:rsidRDefault="00591043" w:rsidP="00591043">
      <w:pPr>
        <w:pStyle w:val="EndnoteText"/>
      </w:pPr>
      <w:r w:rsidRPr="00A64D94">
        <w:rPr>
          <w:rStyle w:val="EndnoteReference"/>
        </w:rPr>
        <w:endnoteRef/>
      </w:r>
      <w:r w:rsidRPr="00A64D94">
        <w:t xml:space="preserve"> </w:t>
      </w:r>
      <w:r w:rsidR="004003CF">
        <w:tab/>
      </w:r>
      <w:r w:rsidRPr="00A64D94">
        <w:t>Australian Institute of Health and Welfare (202</w:t>
      </w:r>
      <w:r>
        <w:t>5</w:t>
      </w:r>
      <w:r w:rsidRPr="00A64D94">
        <w:t xml:space="preserve">) </w:t>
      </w:r>
      <w:hyperlink r:id="rId59" w:history="1">
        <w:r w:rsidRPr="00A64D94">
          <w:rPr>
            <w:rStyle w:val="Hyperlink"/>
            <w:i/>
            <w:iCs/>
          </w:rPr>
          <w:t>Culturally an</w:t>
        </w:r>
        <w:bookmarkStart w:id="99" w:name="_Hlt233876724"/>
        <w:bookmarkStart w:id="100" w:name="_Hlt233876725"/>
        <w:bookmarkEnd w:id="99"/>
        <w:bookmarkEnd w:id="100"/>
        <w:r w:rsidRPr="00A64D94">
          <w:rPr>
            <w:rStyle w:val="Hyperlink"/>
            <w:i/>
            <w:iCs/>
          </w:rPr>
          <w:t>d linguistically diverse Australians</w:t>
        </w:r>
      </w:hyperlink>
      <w:r w:rsidRPr="00A64D94">
        <w:t xml:space="preserve">, Australian Government, accessed </w:t>
      </w:r>
      <w:r>
        <w:t>6 January 2025</w:t>
      </w:r>
      <w:r w:rsidRPr="00A64D94">
        <w:t>.</w:t>
      </w:r>
    </w:p>
  </w:endnote>
  <w:endnote w:id="59">
    <w:p w14:paraId="04582A84" w14:textId="51372ED6"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Australian Human Rights Commission (2012) </w:t>
      </w:r>
      <w:hyperlink r:id="rId60" w:history="1">
        <w:r w:rsidRPr="00A64D94">
          <w:rPr>
            <w:rStyle w:val="Hyperlink"/>
            <w:i/>
            <w:iCs/>
          </w:rPr>
          <w:t>National Anti-Racism Strategy July 2012</w:t>
        </w:r>
      </w:hyperlink>
      <w:r w:rsidRPr="00A64D94">
        <w:t xml:space="preserve">, Australian Human Rights Commission, accessed </w:t>
      </w:r>
      <w:r>
        <w:t>6 January 2025</w:t>
      </w:r>
      <w:r w:rsidRPr="00A64D94">
        <w:t>.</w:t>
      </w:r>
    </w:p>
  </w:endnote>
  <w:endnote w:id="60">
    <w:p w14:paraId="4563C599" w14:textId="4D0C9E95" w:rsidR="00591043" w:rsidRPr="00A64D94" w:rsidRDefault="00591043" w:rsidP="00591043">
      <w:pPr>
        <w:pStyle w:val="EndnoteText"/>
        <w:rPr>
          <w:i/>
          <w:iCs/>
          <w:u w:val="single"/>
        </w:rPr>
      </w:pPr>
      <w:r w:rsidRPr="00A64D94">
        <w:rPr>
          <w:rStyle w:val="EndnoteReference"/>
        </w:rPr>
        <w:endnoteRef/>
      </w:r>
      <w:r w:rsidRPr="00A64D94">
        <w:t xml:space="preserve"> </w:t>
      </w:r>
      <w:r w:rsidR="004003CF">
        <w:tab/>
      </w:r>
      <w:r w:rsidRPr="00A64D94">
        <w:t>Australian Human Rights Commission (20</w:t>
      </w:r>
      <w:r>
        <w:t>2</w:t>
      </w:r>
      <w:r w:rsidRPr="00A64D94">
        <w:t xml:space="preserve">4) </w:t>
      </w:r>
      <w:hyperlink r:id="rId61" w:history="1">
        <w:r w:rsidRPr="00A64D94">
          <w:rPr>
            <w:rStyle w:val="Hyperlink"/>
            <w:i/>
            <w:iCs/>
          </w:rPr>
          <w:t>The National Anti-Racism Framework: A roadmap to eliminating racism in Australia</w:t>
        </w:r>
      </w:hyperlink>
      <w:r w:rsidRPr="00A64D94">
        <w:t xml:space="preserve">, accessed </w:t>
      </w:r>
      <w:r>
        <w:t>6 January 2025.</w:t>
      </w:r>
    </w:p>
  </w:endnote>
  <w:endnote w:id="61">
    <w:p w14:paraId="1FA0488A" w14:textId="782CA7F8" w:rsidR="00591043" w:rsidRDefault="00591043" w:rsidP="00591043">
      <w:pPr>
        <w:pStyle w:val="EndnoteText"/>
      </w:pPr>
      <w:r>
        <w:rPr>
          <w:rStyle w:val="EndnoteReference"/>
        </w:rPr>
        <w:endnoteRef/>
      </w:r>
      <w:r>
        <w:t xml:space="preserve"> </w:t>
      </w:r>
      <w:r w:rsidR="004003CF">
        <w:tab/>
      </w:r>
      <w:r>
        <w:t>Curtis, E, Jones R, Tipene-Leach, D Walker C, Loring B, Paine S and Ried P (2019) ‘</w:t>
      </w:r>
      <w:hyperlink r:id="rId62" w:history="1">
        <w:r w:rsidRPr="00FD6EBD">
          <w:rPr>
            <w:rStyle w:val="Hyperlink"/>
          </w:rPr>
          <w:t>Why cultural safety rather than cultural competency is required to achieve health equity: a literature review and recommended definition’</w:t>
        </w:r>
      </w:hyperlink>
      <w:r>
        <w:t xml:space="preserve">, </w:t>
      </w:r>
      <w:r>
        <w:rPr>
          <w:i/>
          <w:iCs/>
        </w:rPr>
        <w:t>International Journal for Equity in Health</w:t>
      </w:r>
      <w:r>
        <w:t xml:space="preserve">, 18(174); </w:t>
      </w:r>
      <w:r w:rsidR="00FD6EBD">
        <w:t xml:space="preserve">DOI: </w:t>
      </w:r>
      <w:r w:rsidRPr="00FD6EBD">
        <w:t>10.1186/s12939-019-1082-3</w:t>
      </w:r>
      <w:r>
        <w:t>.</w:t>
      </w:r>
    </w:p>
  </w:endnote>
  <w:endnote w:id="62">
    <w:p w14:paraId="630B9452" w14:textId="6434E03C" w:rsidR="00591043" w:rsidRDefault="00591043" w:rsidP="00591043">
      <w:pPr>
        <w:pStyle w:val="EndnoteText"/>
      </w:pPr>
      <w:r>
        <w:rPr>
          <w:rStyle w:val="EndnoteReference"/>
        </w:rPr>
        <w:endnoteRef/>
      </w:r>
      <w:r>
        <w:t xml:space="preserve"> </w:t>
      </w:r>
      <w:r w:rsidR="004003CF">
        <w:tab/>
      </w:r>
      <w:r>
        <w:t xml:space="preserve">Laverty M, McDermott and Calma T (2017) </w:t>
      </w:r>
      <w:r w:rsidRPr="00104B8E">
        <w:t>‘</w:t>
      </w:r>
      <w:hyperlink r:id="rId63" w:history="1">
        <w:r w:rsidRPr="00FD6EBD">
          <w:rPr>
            <w:rStyle w:val="Hyperlink"/>
          </w:rPr>
          <w:t>Embedding cultural safety in Australia’s main health care standards</w:t>
        </w:r>
      </w:hyperlink>
      <w:r>
        <w:t xml:space="preserve">’, </w:t>
      </w:r>
      <w:r>
        <w:rPr>
          <w:i/>
          <w:iCs/>
        </w:rPr>
        <w:t xml:space="preserve">Medical Journal of Australia, </w:t>
      </w:r>
      <w:r w:rsidRPr="00294F31">
        <w:t>207(1), 15-16</w:t>
      </w:r>
      <w:r>
        <w:t xml:space="preserve">; </w:t>
      </w:r>
      <w:r w:rsidR="00FD6EBD">
        <w:t>DOI: </w:t>
      </w:r>
      <w:r w:rsidRPr="00FD6EBD">
        <w:t>10.5694/mja17.00328</w:t>
      </w:r>
      <w:r>
        <w:t>.</w:t>
      </w:r>
    </w:p>
  </w:endnote>
  <w:endnote w:id="63">
    <w:p w14:paraId="4E4604D9" w14:textId="5B8B4379" w:rsidR="00591043" w:rsidRDefault="00591043" w:rsidP="00591043">
      <w:pPr>
        <w:pStyle w:val="EndnoteText"/>
      </w:pPr>
      <w:r>
        <w:rPr>
          <w:rStyle w:val="EndnoteReference"/>
        </w:rPr>
        <w:endnoteRef/>
      </w:r>
      <w:r>
        <w:t xml:space="preserve"> </w:t>
      </w:r>
      <w:r w:rsidR="004003CF">
        <w:tab/>
      </w:r>
      <w:r w:rsidRPr="00443862">
        <w:t>Červený M, Kratochvílová I, Hellerová V</w:t>
      </w:r>
      <w:r>
        <w:t xml:space="preserve"> and</w:t>
      </w:r>
      <w:r w:rsidRPr="00443862">
        <w:t xml:space="preserve"> Tóthová V</w:t>
      </w:r>
      <w:r>
        <w:t xml:space="preserve"> (2022)</w:t>
      </w:r>
      <w:r w:rsidRPr="00443862">
        <w:t xml:space="preserve"> </w:t>
      </w:r>
      <w:r>
        <w:t>‘</w:t>
      </w:r>
      <w:hyperlink r:id="rId64" w:history="1">
        <w:r w:rsidRPr="00FD6EBD">
          <w:rPr>
            <w:rStyle w:val="Hyperlink"/>
          </w:rPr>
          <w:t>Methods of increasing cultural competence in nurses working in clinical practice: A scoping review of literature 2011-2021</w:t>
        </w:r>
      </w:hyperlink>
      <w:r>
        <w:t xml:space="preserve">’ </w:t>
      </w:r>
      <w:r w:rsidRPr="001948B3">
        <w:rPr>
          <w:i/>
          <w:iCs/>
        </w:rPr>
        <w:t>Frontiers in Psychology</w:t>
      </w:r>
      <w:r>
        <w:t xml:space="preserve">, Volume 13; </w:t>
      </w:r>
      <w:r w:rsidR="00FD6EBD">
        <w:t xml:space="preserve">DOI: </w:t>
      </w:r>
      <w:r w:rsidRPr="00FD6EBD">
        <w:t>10.3389/fpsyg.2022.936181</w:t>
      </w:r>
      <w:r>
        <w:t>.</w:t>
      </w:r>
    </w:p>
  </w:endnote>
  <w:endnote w:id="64">
    <w:p w14:paraId="6F34EAB8" w14:textId="08A86575" w:rsidR="00591043" w:rsidRDefault="00591043" w:rsidP="00591043">
      <w:pPr>
        <w:pStyle w:val="EndnoteText"/>
      </w:pPr>
      <w:r>
        <w:rPr>
          <w:rStyle w:val="EndnoteReference"/>
        </w:rPr>
        <w:endnoteRef/>
      </w:r>
      <w:r>
        <w:t xml:space="preserve"> </w:t>
      </w:r>
      <w:r w:rsidR="004003CF">
        <w:tab/>
      </w:r>
      <w:r w:rsidRPr="00B93CDA">
        <w:t>Tang C, Tian B, Zhang X, Zhang K, Xiao X, Simoni JM</w:t>
      </w:r>
      <w:r>
        <w:t xml:space="preserve"> and</w:t>
      </w:r>
      <w:r w:rsidRPr="00B93CDA">
        <w:t xml:space="preserve"> Wang H</w:t>
      </w:r>
      <w:r>
        <w:t xml:space="preserve"> (2018)</w:t>
      </w:r>
      <w:r w:rsidRPr="00B93CDA">
        <w:t xml:space="preserve"> </w:t>
      </w:r>
      <w:r>
        <w:t>‘</w:t>
      </w:r>
      <w:hyperlink r:id="rId65" w:history="1">
        <w:r w:rsidRPr="00FD6EBD">
          <w:rPr>
            <w:rStyle w:val="Hyperlink"/>
          </w:rPr>
          <w:t>The influence of cultural competence of nurses on patient satisfaction and the mediating effect of patient trust</w:t>
        </w:r>
      </w:hyperlink>
      <w:r>
        <w:t xml:space="preserve">’, </w:t>
      </w:r>
      <w:r w:rsidRPr="001948B3">
        <w:rPr>
          <w:i/>
          <w:iCs/>
        </w:rPr>
        <w:t>Journal of Advanced Nursing</w:t>
      </w:r>
      <w:r>
        <w:t xml:space="preserve">, </w:t>
      </w:r>
      <w:r w:rsidRPr="00B93CDA">
        <w:t>75(4):749-759</w:t>
      </w:r>
      <w:r>
        <w:t>;</w:t>
      </w:r>
      <w:r w:rsidRPr="00B93CDA">
        <w:t xml:space="preserve"> </w:t>
      </w:r>
      <w:r w:rsidR="00FD6EBD">
        <w:t xml:space="preserve">DOI: </w:t>
      </w:r>
      <w:r w:rsidRPr="00FD6EBD">
        <w:t>10.1111/jan.13854</w:t>
      </w:r>
      <w:r>
        <w:t>.</w:t>
      </w:r>
    </w:p>
  </w:endnote>
  <w:endnote w:id="65">
    <w:p w14:paraId="5C1D98A4" w14:textId="3F48ED94" w:rsidR="00591043" w:rsidRDefault="00591043" w:rsidP="00591043">
      <w:pPr>
        <w:pStyle w:val="EndnoteText"/>
      </w:pPr>
      <w:r>
        <w:rPr>
          <w:rStyle w:val="EndnoteReference"/>
        </w:rPr>
        <w:endnoteRef/>
      </w:r>
      <w:r>
        <w:t xml:space="preserve"> </w:t>
      </w:r>
      <w:r w:rsidR="004003CF">
        <w:tab/>
      </w:r>
      <w:r>
        <w:t xml:space="preserve">Australian Institute of Health and Welfare (2015) </w:t>
      </w:r>
      <w:hyperlink r:id="rId66" w:history="1">
        <w:r w:rsidRPr="001948B3">
          <w:rPr>
            <w:rStyle w:val="Hyperlink"/>
            <w:i/>
            <w:iCs/>
          </w:rPr>
          <w:t>Cultural competency in the delivery of health services for indigenous people</w:t>
        </w:r>
      </w:hyperlink>
      <w:r>
        <w:t>, Australian Government, accessed 6 January 2025.</w:t>
      </w:r>
    </w:p>
  </w:endnote>
  <w:endnote w:id="66">
    <w:p w14:paraId="7675B8E5" w14:textId="6BCF29D2" w:rsidR="00591043" w:rsidRPr="00A64D94" w:rsidRDefault="00591043" w:rsidP="00591043">
      <w:pPr>
        <w:pStyle w:val="EndnoteText"/>
      </w:pPr>
      <w:r w:rsidRPr="00F902B8">
        <w:rPr>
          <w:rStyle w:val="EndnoteReference"/>
        </w:rPr>
        <w:endnoteRef/>
      </w:r>
      <w:r w:rsidRPr="00F902B8">
        <w:t xml:space="preserve"> </w:t>
      </w:r>
      <w:r w:rsidR="004003CF">
        <w:tab/>
      </w:r>
      <w:r w:rsidRPr="00F902B8">
        <w:t xml:space="preserve">Kruk R (2023) </w:t>
      </w:r>
      <w:hyperlink r:id="rId67" w:history="1">
        <w:r w:rsidRPr="00F902B8">
          <w:rPr>
            <w:rStyle w:val="Hyperlink"/>
            <w:i/>
            <w:iCs/>
          </w:rPr>
          <w:t>Independent review of Australia’s regulatory settings relating to overseas health practitioners</w:t>
        </w:r>
      </w:hyperlink>
      <w:r w:rsidRPr="00F902B8">
        <w:t xml:space="preserve">, accessed </w:t>
      </w:r>
      <w:r>
        <w:t>6 January 2025</w:t>
      </w:r>
      <w:r w:rsidRPr="00F902B8">
        <w:t xml:space="preserve">. </w:t>
      </w:r>
    </w:p>
  </w:endnote>
  <w:endnote w:id="67">
    <w:p w14:paraId="1D4329EC" w14:textId="05843C14" w:rsidR="00591043" w:rsidRPr="00A64D94" w:rsidRDefault="00591043" w:rsidP="00591043">
      <w:pPr>
        <w:pStyle w:val="EndnoteText"/>
      </w:pPr>
      <w:r w:rsidRPr="00A64D94">
        <w:rPr>
          <w:rStyle w:val="EndnoteReference"/>
        </w:rPr>
        <w:endnoteRef/>
      </w:r>
      <w:r w:rsidRPr="00A64D94">
        <w:t xml:space="preserve"> </w:t>
      </w:r>
      <w:r w:rsidR="004003CF">
        <w:tab/>
      </w:r>
      <w:r w:rsidRPr="00A64D94">
        <w:t>Rasmussen P, Henderson A, McCallum J and Andrew N (2021) ‘</w:t>
      </w:r>
      <w:hyperlink r:id="rId68" w:history="1">
        <w:r w:rsidRPr="00FD6EBD">
          <w:rPr>
            <w:rStyle w:val="Hyperlink"/>
          </w:rPr>
          <w:t>Professional identity in nursing: A</w:t>
        </w:r>
        <w:r w:rsidR="00C23188">
          <w:rPr>
            <w:rStyle w:val="Hyperlink"/>
          </w:rPr>
          <w:t> </w:t>
        </w:r>
        <w:r w:rsidRPr="00FD6EBD">
          <w:rPr>
            <w:rStyle w:val="Hyperlink"/>
          </w:rPr>
          <w:t>mixed method research study</w:t>
        </w:r>
      </w:hyperlink>
      <w:r w:rsidRPr="00A64D94">
        <w:t xml:space="preserve">’, </w:t>
      </w:r>
      <w:r w:rsidRPr="00A64D94">
        <w:rPr>
          <w:i/>
          <w:iCs/>
        </w:rPr>
        <w:t>Nursing Education in Practice</w:t>
      </w:r>
      <w:r w:rsidRPr="00A64D94">
        <w:t>, Volume 52, March 2021</w:t>
      </w:r>
      <w:r>
        <w:t xml:space="preserve">; </w:t>
      </w:r>
      <w:r w:rsidR="00FD6EBD">
        <w:t>DOI:</w:t>
      </w:r>
      <w:r w:rsidR="003D5098">
        <w:t> </w:t>
      </w:r>
      <w:r w:rsidRPr="00FD6EBD">
        <w:t>10.1016/j.nepr.2021.103039</w:t>
      </w:r>
      <w:r>
        <w:t xml:space="preserve">. </w:t>
      </w:r>
    </w:p>
  </w:endnote>
  <w:endnote w:id="68">
    <w:p w14:paraId="34ABF89C" w14:textId="3D017633" w:rsidR="00591043" w:rsidRPr="00A64D94" w:rsidRDefault="00591043" w:rsidP="00591043">
      <w:pPr>
        <w:pStyle w:val="EndnoteText"/>
      </w:pPr>
      <w:r w:rsidRPr="00A64D94">
        <w:rPr>
          <w:rStyle w:val="EndnoteReference"/>
        </w:rPr>
        <w:endnoteRef/>
      </w:r>
      <w:r w:rsidRPr="00A64D94">
        <w:t xml:space="preserve"> </w:t>
      </w:r>
      <w:r w:rsidR="004003CF">
        <w:tab/>
      </w:r>
      <w:r w:rsidRPr="00A64D94">
        <w:t>Twigg D and McCullough K (2014) ‘</w:t>
      </w:r>
      <w:hyperlink r:id="rId69" w:history="1">
        <w:r w:rsidRPr="00FD6EBD">
          <w:rPr>
            <w:rStyle w:val="Hyperlink"/>
          </w:rPr>
          <w:t>Nurse retention: A review of strategies to create and enhance positive practice environments in clinical settings</w:t>
        </w:r>
      </w:hyperlink>
      <w:r w:rsidRPr="00A64D94">
        <w:t xml:space="preserve">’, </w:t>
      </w:r>
      <w:r w:rsidRPr="00A64D94">
        <w:rPr>
          <w:i/>
          <w:iCs/>
        </w:rPr>
        <w:t>International journal of nursing studies</w:t>
      </w:r>
      <w:r w:rsidRPr="00A64D94">
        <w:t>, </w:t>
      </w:r>
      <w:r w:rsidRPr="00A64D94">
        <w:rPr>
          <w:i/>
          <w:iCs/>
        </w:rPr>
        <w:t>51</w:t>
      </w:r>
      <w:r w:rsidRPr="00A64D94">
        <w:t xml:space="preserve">(1), 85-92; </w:t>
      </w:r>
      <w:r w:rsidR="00FD6EBD">
        <w:t xml:space="preserve">DOI: </w:t>
      </w:r>
      <w:r w:rsidRPr="00FD6EBD">
        <w:t>10.1016/j.ijnurstu.2013.05.015</w:t>
      </w:r>
      <w:r w:rsidRPr="00A64D94">
        <w:t xml:space="preserve">. </w:t>
      </w:r>
    </w:p>
  </w:endnote>
  <w:endnote w:id="69">
    <w:p w14:paraId="446D4327" w14:textId="7C205F6F" w:rsidR="00591043" w:rsidRPr="00A64D94" w:rsidRDefault="00591043" w:rsidP="00591043">
      <w:pPr>
        <w:pStyle w:val="EndnoteText"/>
      </w:pPr>
      <w:r w:rsidRPr="00A64D94">
        <w:rPr>
          <w:rStyle w:val="EndnoteReference"/>
        </w:rPr>
        <w:endnoteRef/>
      </w:r>
      <w:r w:rsidRPr="00A64D94">
        <w:t xml:space="preserve"> </w:t>
      </w:r>
      <w:r w:rsidR="004003CF">
        <w:tab/>
      </w:r>
      <w:r w:rsidRPr="00A64D94">
        <w:t>Rodríguez-García M.C, Márquez-Hernández V.V, Belmonte-García T, Gutiérrez-Puertas L, and Granados-Gámez G (2020) ‘</w:t>
      </w:r>
      <w:hyperlink r:id="rId70" w:history="1">
        <w:r w:rsidRPr="00B26007">
          <w:rPr>
            <w:rStyle w:val="Hyperlink"/>
          </w:rPr>
          <w:t>How magnet hospital status affects nurses, patients, and organizations: A systematic review</w:t>
        </w:r>
      </w:hyperlink>
      <w:r w:rsidRPr="00A64D94">
        <w:t>’, </w:t>
      </w:r>
      <w:r w:rsidRPr="00A64D94">
        <w:rPr>
          <w:i/>
          <w:iCs/>
        </w:rPr>
        <w:t>AJN The American Journal of Nursing</w:t>
      </w:r>
      <w:r w:rsidRPr="00A64D94">
        <w:t>, </w:t>
      </w:r>
      <w:r w:rsidRPr="00A64D94">
        <w:rPr>
          <w:i/>
          <w:iCs/>
        </w:rPr>
        <w:t>120</w:t>
      </w:r>
      <w:r w:rsidRPr="00A64D94">
        <w:t xml:space="preserve">(7), 28-38; </w:t>
      </w:r>
      <w:r w:rsidR="00B26007">
        <w:t>DOI:</w:t>
      </w:r>
      <w:r w:rsidR="003D5098">
        <w:t> </w:t>
      </w:r>
      <w:r w:rsidRPr="00B26007">
        <w:t>10.1097/01.naj.0000681648.48249.16</w:t>
      </w:r>
      <w:r w:rsidRPr="00A64D94">
        <w:t xml:space="preserve">. </w:t>
      </w:r>
    </w:p>
  </w:endnote>
  <w:endnote w:id="70">
    <w:p w14:paraId="2EB5F7C6" w14:textId="00FA2E86" w:rsidR="00591043" w:rsidRPr="00A64D94" w:rsidRDefault="00591043" w:rsidP="00591043">
      <w:pPr>
        <w:pStyle w:val="EndnoteText"/>
      </w:pPr>
      <w:r w:rsidRPr="00A64D94">
        <w:rPr>
          <w:rStyle w:val="EndnoteReference"/>
        </w:rPr>
        <w:endnoteRef/>
      </w:r>
      <w:r w:rsidRPr="00A64D94">
        <w:t xml:space="preserve"> </w:t>
      </w:r>
      <w:r w:rsidR="004003CF">
        <w:tab/>
      </w:r>
      <w:r w:rsidRPr="00A64D94">
        <w:t>Mihdawi M, Al-Amer R, Darwish R, Randall S and Afaneh T. (2020) ‘</w:t>
      </w:r>
      <w:hyperlink r:id="rId71" w:history="1">
        <w:r w:rsidRPr="00B26007">
          <w:rPr>
            <w:rStyle w:val="Hyperlink"/>
          </w:rPr>
          <w:t>The influence of nursing work environment on patient safety</w:t>
        </w:r>
      </w:hyperlink>
      <w:r w:rsidRPr="00A64D94">
        <w:t>’, </w:t>
      </w:r>
      <w:r w:rsidRPr="00A64D94">
        <w:rPr>
          <w:i/>
          <w:iCs/>
        </w:rPr>
        <w:t>Workplace health &amp; safety</w:t>
      </w:r>
      <w:r w:rsidRPr="00A64D94">
        <w:t>, </w:t>
      </w:r>
      <w:r w:rsidRPr="00A64D94">
        <w:rPr>
          <w:i/>
          <w:iCs/>
        </w:rPr>
        <w:t>68</w:t>
      </w:r>
      <w:r w:rsidRPr="00A64D94">
        <w:t xml:space="preserve">(8), 384-390; </w:t>
      </w:r>
      <w:r w:rsidR="00B26007">
        <w:t>DOI:</w:t>
      </w:r>
      <w:r w:rsidR="003D5098">
        <w:t> </w:t>
      </w:r>
      <w:r w:rsidRPr="00B26007">
        <w:t>10.1177/2165079920901533</w:t>
      </w:r>
      <w:r w:rsidRPr="00A64D94">
        <w:t>.</w:t>
      </w:r>
    </w:p>
  </w:endnote>
  <w:endnote w:id="71">
    <w:p w14:paraId="15EF4125" w14:textId="18D76E46" w:rsidR="00591043" w:rsidRPr="00A64D94" w:rsidRDefault="00591043" w:rsidP="00591043">
      <w:pPr>
        <w:pStyle w:val="EndnoteText"/>
      </w:pPr>
      <w:r w:rsidRPr="00A64D94">
        <w:rPr>
          <w:rStyle w:val="EndnoteReference"/>
        </w:rPr>
        <w:endnoteRef/>
      </w:r>
      <w:r w:rsidRPr="00A64D94">
        <w:t xml:space="preserve"> </w:t>
      </w:r>
      <w:r w:rsidR="004003CF">
        <w:tab/>
      </w:r>
      <w:r w:rsidRPr="00A64D94">
        <w:rPr>
          <w:rFonts w:cstheme="minorHAnsi"/>
        </w:rPr>
        <w:t>Pich</w:t>
      </w:r>
      <w:r w:rsidRPr="00A64D94">
        <w:t xml:space="preserve"> J and Roche M (2020) ‘</w:t>
      </w:r>
      <w:hyperlink r:id="rId72" w:history="1">
        <w:r w:rsidRPr="00B26007">
          <w:rPr>
            <w:rStyle w:val="Hyperlink"/>
          </w:rPr>
          <w:t>Violence on the job: the experiences of nurses and midwives with violence from patients and their friends and relatives</w:t>
        </w:r>
      </w:hyperlink>
      <w:r w:rsidRPr="00A64D94">
        <w:t xml:space="preserve">’, </w:t>
      </w:r>
      <w:r w:rsidRPr="00A64D94">
        <w:rPr>
          <w:i/>
          <w:iCs/>
        </w:rPr>
        <w:t>Healthcare</w:t>
      </w:r>
      <w:r w:rsidRPr="00A64D94">
        <w:t xml:space="preserve">, 8(4), 522; </w:t>
      </w:r>
      <w:r w:rsidR="00B26007">
        <w:t>DOI: </w:t>
      </w:r>
      <w:r w:rsidRPr="00B26007">
        <w:t>10.3390/healthcare8040522</w:t>
      </w:r>
      <w:r w:rsidRPr="00A64D94">
        <w:t xml:space="preserve"> </w:t>
      </w:r>
    </w:p>
  </w:endnote>
  <w:endnote w:id="72">
    <w:p w14:paraId="16A2F698" w14:textId="1BAE31A0"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World Health Organization (WHO) (2021) </w:t>
      </w:r>
      <w:hyperlink r:id="rId73" w:history="1">
        <w:r w:rsidRPr="00A64D94">
          <w:rPr>
            <w:rStyle w:val="Hyperlink"/>
            <w:i/>
            <w:iCs/>
          </w:rPr>
          <w:t>WHO guideline on health workforce development, attraction, recruitment and retention in rural and remote areas</w:t>
        </w:r>
      </w:hyperlink>
      <w:r w:rsidRPr="00A64D94">
        <w:t>, World Health Organization, accessed</w:t>
      </w:r>
      <w:r>
        <w:t xml:space="preserve"> 6</w:t>
      </w:r>
      <w:r w:rsidR="003D5098">
        <w:t> </w:t>
      </w:r>
      <w:r>
        <w:t>January 2025.</w:t>
      </w:r>
    </w:p>
  </w:endnote>
  <w:endnote w:id="73">
    <w:p w14:paraId="04DAEA02" w14:textId="04B27CF7" w:rsidR="00591043" w:rsidRPr="00A64D94"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(2023) </w:t>
      </w:r>
      <w:hyperlink r:id="rId74" w:history="1">
        <w:r w:rsidRPr="00A64D94">
          <w:rPr>
            <w:rStyle w:val="Hyperlink"/>
            <w:i/>
            <w:iCs/>
          </w:rPr>
          <w:t>The National Rural and Remote Nursing Generalist Framework 2023–2027</w:t>
        </w:r>
      </w:hyperlink>
      <w:r w:rsidRPr="00A64D94">
        <w:t>, Australian Government</w:t>
      </w:r>
      <w:r>
        <w:t>,</w:t>
      </w:r>
      <w:r w:rsidRPr="00A64D94">
        <w:t xml:space="preserve"> accessed </w:t>
      </w:r>
      <w:r>
        <w:t>6 January 2025</w:t>
      </w:r>
      <w:r w:rsidRPr="00A64D94">
        <w:t>.</w:t>
      </w:r>
    </w:p>
  </w:endnote>
  <w:endnote w:id="74">
    <w:p w14:paraId="5D4FF876" w14:textId="4E70C38B" w:rsidR="00591043" w:rsidRPr="00A64D94" w:rsidRDefault="00591043" w:rsidP="00591043">
      <w:pPr>
        <w:pStyle w:val="EndnoteText"/>
      </w:pPr>
      <w:r w:rsidRPr="00A64D94">
        <w:rPr>
          <w:rStyle w:val="EndnoteReference"/>
        </w:rPr>
        <w:endnoteRef/>
      </w:r>
      <w:r w:rsidRPr="00A64D94">
        <w:t xml:space="preserve"> </w:t>
      </w:r>
      <w:r w:rsidR="004003CF">
        <w:tab/>
      </w:r>
      <w:r w:rsidRPr="00A64D94">
        <w:t>Walsh S.M, Versace V.L, Thompson S.C, Browne L.J, Knight S, Lyle D.M, Argus G, Jones M (2023) ‘</w:t>
      </w:r>
      <w:hyperlink r:id="rId75" w:history="1">
        <w:r w:rsidRPr="00B26007">
          <w:rPr>
            <w:rStyle w:val="Hyperlink"/>
          </w:rPr>
          <w:t>Supporting nursing and allied health student placements in rural and remote Australia: a</w:t>
        </w:r>
        <w:r w:rsidR="00C23188">
          <w:rPr>
            <w:rStyle w:val="Hyperlink"/>
          </w:rPr>
          <w:t> </w:t>
        </w:r>
        <w:r w:rsidRPr="00B26007">
          <w:rPr>
            <w:rStyle w:val="Hyperlink"/>
          </w:rPr>
          <w:t>narrative review of publications by university departments of rural health</w:t>
        </w:r>
      </w:hyperlink>
      <w:r w:rsidRPr="00A64D94">
        <w:t xml:space="preserve">’, </w:t>
      </w:r>
      <w:r w:rsidRPr="00A64D94">
        <w:rPr>
          <w:i/>
        </w:rPr>
        <w:t>Medical Journal of Australia</w:t>
      </w:r>
      <w:r w:rsidRPr="00A64D94">
        <w:t xml:space="preserve">, </w:t>
      </w:r>
      <w:r w:rsidRPr="00A64D94">
        <w:rPr>
          <w:i/>
        </w:rPr>
        <w:t>219</w:t>
      </w:r>
      <w:r w:rsidRPr="00A64D94">
        <w:t xml:space="preserve">(3 Suppl), s14-19; </w:t>
      </w:r>
      <w:r w:rsidR="00B26007">
        <w:t xml:space="preserve">DOI: </w:t>
      </w:r>
      <w:r w:rsidRPr="00B26007">
        <w:t>10.5694/mja2.52</w:t>
      </w:r>
      <w:bookmarkStart w:id="128" w:name="_Hlt233876142"/>
      <w:bookmarkStart w:id="129" w:name="_Hlt233876143"/>
      <w:bookmarkEnd w:id="128"/>
      <w:bookmarkEnd w:id="129"/>
      <w:r w:rsidRPr="00B26007">
        <w:t>032</w:t>
      </w:r>
    </w:p>
  </w:endnote>
  <w:endnote w:id="75">
    <w:p w14:paraId="5FFBA760" w14:textId="570A895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(2024) </w:t>
      </w:r>
      <w:hyperlink r:id="rId76" w:history="1">
        <w:r w:rsidRPr="00A64D94">
          <w:rPr>
            <w:rStyle w:val="Hyperlink"/>
            <w:i/>
          </w:rPr>
          <w:t>Fact sheet: Scope of practice and capabilities of nurses</w:t>
        </w:r>
      </w:hyperlink>
      <w:r w:rsidRPr="00A64D94">
        <w:t xml:space="preserve">, Nursing and Midwifery Board of Australia, accessed </w:t>
      </w:r>
      <w:r>
        <w:t>6 January 2025.</w:t>
      </w:r>
    </w:p>
  </w:endnote>
  <w:endnote w:id="76">
    <w:p w14:paraId="5450E5EA" w14:textId="4A43CF08"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(2016) </w:t>
      </w:r>
      <w:hyperlink r:id="rId77" w:history="1">
        <w:r w:rsidRPr="00A64D94">
          <w:rPr>
            <w:rStyle w:val="Hyperlink"/>
            <w:i/>
            <w:iCs/>
          </w:rPr>
          <w:t>Registered nurse standards for practice</w:t>
        </w:r>
      </w:hyperlink>
      <w:r w:rsidRPr="00A64D94">
        <w:t xml:space="preserve">, Nursing and Midwifery Board of Australia, accessed </w:t>
      </w:r>
      <w:r>
        <w:t>6 January 2025.</w:t>
      </w:r>
    </w:p>
  </w:endnote>
  <w:endnote w:id="77">
    <w:p w14:paraId="3E912C42" w14:textId="266A4C7C"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(2016) </w:t>
      </w:r>
      <w:hyperlink r:id="rId78" w:history="1">
        <w:r w:rsidRPr="00A64D94">
          <w:rPr>
            <w:rStyle w:val="Hyperlink"/>
            <w:i/>
            <w:iCs/>
          </w:rPr>
          <w:t>Enrolled nurse standards for practice</w:t>
        </w:r>
      </w:hyperlink>
      <w:r w:rsidRPr="00A64D94">
        <w:t xml:space="preserve">, Nursing and Midwifery Board of Australia, accessed </w:t>
      </w:r>
      <w:r>
        <w:t>6 January 2025.</w:t>
      </w:r>
    </w:p>
  </w:endnote>
  <w:endnote w:id="78">
    <w:p w14:paraId="625BA92E" w14:textId="5704FE12" w:rsidR="00591043" w:rsidRPr="00A64D94" w:rsidRDefault="00591043" w:rsidP="00591043">
      <w:pPr>
        <w:pStyle w:val="EndnoteText"/>
      </w:pPr>
      <w:r w:rsidRPr="00A64D94">
        <w:rPr>
          <w:rStyle w:val="EndnoteReference"/>
        </w:rPr>
        <w:endnoteRef/>
      </w:r>
      <w:r w:rsidRPr="00A64D94">
        <w:t xml:space="preserve"> </w:t>
      </w:r>
      <w:r w:rsidR="004003CF">
        <w:tab/>
      </w:r>
      <w:r w:rsidRPr="00A64D94">
        <w:t xml:space="preserve">Nursing and Midwifery Board of Australia (2021) </w:t>
      </w:r>
      <w:hyperlink r:id="rId79" w:history="1">
        <w:r w:rsidRPr="00A64D94">
          <w:rPr>
            <w:rStyle w:val="Hyperlink"/>
            <w:i/>
            <w:iCs/>
          </w:rPr>
          <w:t>Nurse practitioner standards for practic</w:t>
        </w:r>
      </w:hyperlink>
      <w:r w:rsidRPr="00A64D94">
        <w:rPr>
          <w:i/>
          <w:iCs/>
        </w:rPr>
        <w:t>e</w:t>
      </w:r>
      <w:r w:rsidRPr="00A64D94">
        <w:t xml:space="preserve">, Nursing and Midwifery Board of Australia, accessed </w:t>
      </w:r>
      <w:r>
        <w:t>6 January 2025.</w:t>
      </w:r>
    </w:p>
  </w:endnote>
  <w:endnote w:id="79">
    <w:p w14:paraId="7176354E" w14:textId="7593EE40" w:rsidR="00591043" w:rsidRDefault="00591043" w:rsidP="00591043">
      <w:pPr>
        <w:pStyle w:val="EndnoteText"/>
      </w:pPr>
      <w:r w:rsidRPr="00A64D94">
        <w:rPr>
          <w:rStyle w:val="EndnoteReference"/>
        </w:rPr>
        <w:endnoteRef/>
      </w:r>
      <w:r w:rsidRPr="00A64D94">
        <w:t xml:space="preserve"> </w:t>
      </w:r>
      <w:r w:rsidR="004003CF">
        <w:tab/>
      </w:r>
      <w:r w:rsidRPr="005465E1">
        <w:t>Department of Health</w:t>
      </w:r>
      <w:r>
        <w:t>, Disability</w:t>
      </w:r>
      <w:r w:rsidRPr="005465E1">
        <w:t xml:space="preserve"> and Ag</w:t>
      </w:r>
      <w:r>
        <w:t>eing</w:t>
      </w:r>
      <w:r w:rsidRPr="00A64D94">
        <w:t xml:space="preserve"> (2024) </w:t>
      </w:r>
      <w:hyperlink r:id="rId80" w:history="1">
        <w:r w:rsidRPr="00A64D94">
          <w:rPr>
            <w:rStyle w:val="Hyperlink"/>
            <w:i/>
            <w:iCs/>
          </w:rPr>
          <w:t>Nursing Supply and Demand Study 2023-2035</w:t>
        </w:r>
      </w:hyperlink>
      <w:r w:rsidRPr="00A64D94">
        <w:t xml:space="preserve">, Australian Government, accessed </w:t>
      </w:r>
      <w:r>
        <w:t>6 January 2025</w:t>
      </w:r>
      <w:r w:rsidRPr="00A64D94">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F13E0" w14:textId="7415620F" w:rsidR="00DF1B20" w:rsidRDefault="00DF1B20">
    <w:pPr>
      <w:pStyle w:val="Footer"/>
    </w:pPr>
    <w:r>
      <w:rPr>
        <w:noProof/>
      </w:rPr>
      <mc:AlternateContent>
        <mc:Choice Requires="wps">
          <w:drawing>
            <wp:anchor distT="0" distB="0" distL="0" distR="0" simplePos="0" relativeHeight="251658244" behindDoc="0" locked="0" layoutInCell="1" allowOverlap="1" wp14:anchorId="735FDD18" wp14:editId="11741618">
              <wp:simplePos x="635" y="635"/>
              <wp:positionH relativeFrom="page">
                <wp:align>center</wp:align>
              </wp:positionH>
              <wp:positionV relativeFrom="page">
                <wp:align>bottom</wp:align>
              </wp:positionV>
              <wp:extent cx="622300" cy="480695"/>
              <wp:effectExtent l="0" t="0" r="6350" b="0"/>
              <wp:wrapNone/>
              <wp:docPr id="19295062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7BBA6F4" w14:textId="35009E1B"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5FDD18" id="_x0000_t202" coordsize="21600,21600" o:spt="202" path="m,l,21600r21600,l21600,xe">
              <v:stroke joinstyle="miter"/>
              <v:path gradientshapeok="t" o:connecttype="rect"/>
            </v:shapetype>
            <v:shape id="Text Box 7" o:spid="_x0000_s1027" type="#_x0000_t202" alt="OFFICIAL" style="position:absolute;margin-left:0;margin-top:0;width:49pt;height:37.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rXsf3gwCAAAcBAAA&#10;DgAAAAAAAAAAAAAAAAAuAgAAZHJzL2Uyb0RvYy54bWxQSwECLQAUAAYACAAAACEAHblB0doAAAAD&#10;AQAADwAAAAAAAAAAAAAAAABmBAAAZHJzL2Rvd25yZXYueG1sUEsFBgAAAAAEAAQA8wAAAG0FAAAA&#10;AA==&#10;" filled="f" stroked="f">
              <v:textbox style="mso-fit-shape-to-text:t" inset="0,0,0,15pt">
                <w:txbxContent>
                  <w:p w14:paraId="37BBA6F4" w14:textId="35009E1B"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60AB" w14:textId="2F999B98" w:rsidR="003844C7" w:rsidRPr="003844C7" w:rsidRDefault="00DF1B20" w:rsidP="003844C7">
    <w:pPr>
      <w:pStyle w:val="FooterPageNumber"/>
      <w:framePr w:wrap="around"/>
    </w:pPr>
    <w:r>
      <w:rPr>
        <w:noProof/>
      </w:rPr>
      <mc:AlternateContent>
        <mc:Choice Requires="wps">
          <w:drawing>
            <wp:anchor distT="0" distB="0" distL="0" distR="0" simplePos="0" relativeHeight="251658245" behindDoc="0" locked="0" layoutInCell="1" allowOverlap="1" wp14:anchorId="32F2DD54" wp14:editId="2862A507">
              <wp:simplePos x="6515100" y="10277475"/>
              <wp:positionH relativeFrom="page">
                <wp:align>center</wp:align>
              </wp:positionH>
              <wp:positionV relativeFrom="page">
                <wp:align>bottom</wp:align>
              </wp:positionV>
              <wp:extent cx="622300" cy="480695"/>
              <wp:effectExtent l="0" t="0" r="6350" b="0"/>
              <wp:wrapNone/>
              <wp:docPr id="134899680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84E5133" w14:textId="6F8E01B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F2DD54" id="_x0000_t202" coordsize="21600,21600" o:spt="202" path="m,l,21600r21600,l21600,xe">
              <v:stroke joinstyle="miter"/>
              <v:path gradientshapeok="t" o:connecttype="rect"/>
            </v:shapetype>
            <v:shape id="Text Box 8" o:spid="_x0000_s1028" type="#_x0000_t202" alt="OFFICIAL" style="position:absolute;left:0;text-align:left;margin-left:0;margin-top:0;width:49pt;height:37.8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textbox style="mso-fit-shape-to-text:t" inset="0,0,0,15pt">
                <w:txbxContent>
                  <w:p w14:paraId="784E5133" w14:textId="6F8E01B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r w:rsidR="003844C7">
      <w:fldChar w:fldCharType="begin"/>
    </w:r>
    <w:r w:rsidR="003844C7">
      <w:instrText xml:space="preserve"> PAGE   \* MERGEFORMAT </w:instrText>
    </w:r>
    <w:r w:rsidR="003844C7">
      <w:fldChar w:fldCharType="separate"/>
    </w:r>
    <w:r w:rsidR="003844C7">
      <w:rPr>
        <w:noProof/>
      </w:rPr>
      <w:t>41</w:t>
    </w:r>
    <w:r w:rsidR="003844C7">
      <w:fldChar w:fldCharType="end"/>
    </w:r>
  </w:p>
  <w:p w14:paraId="576F0FC3" w14:textId="63CA5492" w:rsidR="00EF55D3" w:rsidRDefault="003844C7">
    <w:pPr>
      <w:pStyle w:val="Footer"/>
    </w:pPr>
    <w:r w:rsidRPr="003844C7">
      <w:rPr>
        <w:b/>
        <w:bCs/>
      </w:rPr>
      <w:t xml:space="preserve">Department of Health, Disability and Ageing </w:t>
    </w:r>
    <w:r w:rsidRPr="003844C7">
      <w:t>National Nursing Workforce Strategy</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AAA8" w14:textId="03870993" w:rsidR="00591043" w:rsidRDefault="00DF1B20" w:rsidP="000572EA">
    <w:pPr>
      <w:pStyle w:val="Footer"/>
    </w:pPr>
    <w:r>
      <w:rPr>
        <w:noProof/>
      </w:rPr>
      <mc:AlternateContent>
        <mc:Choice Requires="wps">
          <w:drawing>
            <wp:anchor distT="0" distB="0" distL="0" distR="0" simplePos="0" relativeHeight="251658247" behindDoc="0" locked="0" layoutInCell="1" allowOverlap="1" wp14:anchorId="6E8707E5" wp14:editId="164FEA94">
              <wp:simplePos x="635" y="635"/>
              <wp:positionH relativeFrom="page">
                <wp:align>center</wp:align>
              </wp:positionH>
              <wp:positionV relativeFrom="page">
                <wp:align>bottom</wp:align>
              </wp:positionV>
              <wp:extent cx="622300" cy="480695"/>
              <wp:effectExtent l="0" t="0" r="6350" b="0"/>
              <wp:wrapNone/>
              <wp:docPr id="1107835443"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A136890" w14:textId="659F2AC3"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8707E5" id="_x0000_t202" coordsize="21600,21600" o:spt="202" path="m,l,21600r21600,l21600,xe">
              <v:stroke joinstyle="miter"/>
              <v:path gradientshapeok="t" o:connecttype="rect"/>
            </v:shapetype>
            <v:shape id="Text Box 10" o:spid="_x0000_s1030" type="#_x0000_t202" alt="OFFICIAL" style="position:absolute;margin-left:0;margin-top:0;width:49pt;height:37.8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cV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oqPna/g+pEQyEM+/ZOrhsqvRE+PAmkBVO3JNrw&#10;SIc20JUczhZnNeDPv/ljPvFOUc46EkzJLSmaM/Pd0j6itkYDR2OXjOlNfhXpsYf2DkiGU3oRTiaT&#10;vBjMaGqE9oXkvIqFKCSspHIl343mXRiUS89BqtUqJZGMnAgbu3UyQke6IpfP/YtAdyY80KYeYFST&#10;KN7xPuTGm96tDoHYT0uJ1A5EnhknCaa1np9L1Pjb/5R1edTLX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HQ5ZxUNAgAAHAQA&#10;AA4AAAAAAAAAAAAAAAAALgIAAGRycy9lMm9Eb2MueG1sUEsBAi0AFAAGAAgAAAAhAB25QdHaAAAA&#10;AwEAAA8AAAAAAAAAAAAAAAAAZwQAAGRycy9kb3ducmV2LnhtbFBLBQYAAAAABAAEAPMAAABuBQAA&#10;AAA=&#10;" filled="f" stroked="f">
              <v:textbox style="mso-fit-shape-to-text:t" inset="0,0,0,15pt">
                <w:txbxContent>
                  <w:p w14:paraId="4A136890" w14:textId="659F2AC3"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B353" w14:textId="215D35A0" w:rsidR="00591043" w:rsidRDefault="00DF1B20" w:rsidP="000572EA">
    <w:pPr>
      <w:pStyle w:val="Footer"/>
    </w:pPr>
    <w:r>
      <w:rPr>
        <w:noProof/>
      </w:rPr>
      <mc:AlternateContent>
        <mc:Choice Requires="wps">
          <w:drawing>
            <wp:anchor distT="0" distB="0" distL="0" distR="0" simplePos="0" relativeHeight="251658246" behindDoc="0" locked="0" layoutInCell="1" allowOverlap="1" wp14:anchorId="0FDEF067" wp14:editId="7F1DDE34">
              <wp:simplePos x="635" y="635"/>
              <wp:positionH relativeFrom="page">
                <wp:align>center</wp:align>
              </wp:positionH>
              <wp:positionV relativeFrom="page">
                <wp:align>bottom</wp:align>
              </wp:positionV>
              <wp:extent cx="622300" cy="480695"/>
              <wp:effectExtent l="0" t="0" r="6350" b="0"/>
              <wp:wrapNone/>
              <wp:docPr id="641060110"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005B98E" w14:textId="76AC2126"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DEF067" id="_x0000_t202" coordsize="21600,21600" o:spt="202" path="m,l,21600r21600,l21600,xe">
              <v:stroke joinstyle="miter"/>
              <v:path gradientshapeok="t" o:connecttype="rect"/>
            </v:shapetype>
            <v:shape id="Text Box 9" o:spid="_x0000_s1031" type="#_x0000_t202" alt="OFFICIAL" style="position:absolute;margin-left:0;margin-top:0;width:49pt;height:37.8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textbox style="mso-fit-shape-to-text:t" inset="0,0,0,15pt">
                <w:txbxContent>
                  <w:p w14:paraId="0005B98E" w14:textId="76AC2126"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8A6E" w14:textId="60529630" w:rsidR="00591043" w:rsidRDefault="00DF1B20" w:rsidP="000572EA">
    <w:pPr>
      <w:pStyle w:val="Footer"/>
    </w:pPr>
    <w:r>
      <w:rPr>
        <w:noProof/>
      </w:rPr>
      <mc:AlternateContent>
        <mc:Choice Requires="wps">
          <w:drawing>
            <wp:anchor distT="0" distB="0" distL="0" distR="0" simplePos="0" relativeHeight="251658249" behindDoc="0" locked="0" layoutInCell="1" allowOverlap="1" wp14:anchorId="5B58A0A7" wp14:editId="27ED2F18">
              <wp:simplePos x="635" y="635"/>
              <wp:positionH relativeFrom="page">
                <wp:align>center</wp:align>
              </wp:positionH>
              <wp:positionV relativeFrom="page">
                <wp:align>bottom</wp:align>
              </wp:positionV>
              <wp:extent cx="622300" cy="480695"/>
              <wp:effectExtent l="0" t="0" r="6350" b="0"/>
              <wp:wrapNone/>
              <wp:docPr id="57964913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8AE2153" w14:textId="5B414DA9"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58A0A7" id="_x0000_t202" coordsize="21600,21600" o:spt="202" path="m,l,21600r21600,l21600,xe">
              <v:stroke joinstyle="miter"/>
              <v:path gradientshapeok="t" o:connecttype="rect"/>
            </v:shapetype>
            <v:shape id="Text Box 12" o:spid="_x0000_s1032" type="#_x0000_t202" alt="OFFICIAL" style="position:absolute;margin-left:0;margin-top:0;width:49pt;height:37.8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Ju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ypqZOx+B9WJhkIY9u2dXDdUeiN8eBJIC6ZuSbTh&#10;kQ5toCs5nC3OasCff/PHfOKdopx1JJiSW1I0Z+a7pX1EbY0GjsYuGdOb/CrSYw/tHZAMp/QinEwm&#10;eTGY0dQI7QvJeRULUUhYSeVKvhvNuzAol56DVKtVSiIZORE2dutkhI50RS6f+xeB7kx4oE09wKgm&#10;UbzjfciNN71bHQKxn5YSqR2IPDNOEkxrPT+XqPG3/ynr8qiXvwA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K5HAm4NAgAAHAQA&#10;AA4AAAAAAAAAAAAAAAAALgIAAGRycy9lMm9Eb2MueG1sUEsBAi0AFAAGAAgAAAAhAB25QdHaAAAA&#10;AwEAAA8AAAAAAAAAAAAAAAAAZwQAAGRycy9kb3ducmV2LnhtbFBLBQYAAAAABAAEAPMAAABuBQAA&#10;AAA=&#10;" filled="f" stroked="f">
              <v:textbox style="mso-fit-shape-to-text:t" inset="0,0,0,15pt">
                <w:txbxContent>
                  <w:p w14:paraId="48AE2153" w14:textId="5B414DA9"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FF6A" w14:textId="424349AF" w:rsidR="00591043" w:rsidRDefault="00DF1B20" w:rsidP="000572EA">
    <w:pPr>
      <w:pStyle w:val="Footer"/>
    </w:pPr>
    <w:r>
      <w:rPr>
        <w:noProof/>
      </w:rPr>
      <mc:AlternateContent>
        <mc:Choice Requires="wps">
          <w:drawing>
            <wp:anchor distT="0" distB="0" distL="0" distR="0" simplePos="0" relativeHeight="251658248" behindDoc="0" locked="0" layoutInCell="1" allowOverlap="1" wp14:anchorId="2A6E8575" wp14:editId="45E33580">
              <wp:simplePos x="635" y="635"/>
              <wp:positionH relativeFrom="page">
                <wp:align>center</wp:align>
              </wp:positionH>
              <wp:positionV relativeFrom="page">
                <wp:align>bottom</wp:align>
              </wp:positionV>
              <wp:extent cx="622300" cy="480695"/>
              <wp:effectExtent l="0" t="0" r="6350" b="0"/>
              <wp:wrapNone/>
              <wp:docPr id="1381709059"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65BC25E" w14:textId="693C8AE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6E8575" id="_x0000_t202" coordsize="21600,21600" o:spt="202" path="m,l,21600r21600,l21600,xe">
              <v:stroke joinstyle="miter"/>
              <v:path gradientshapeok="t" o:connecttype="rect"/>
            </v:shapetype>
            <v:shape id="Text Box 11" o:spid="_x0000_s1033" type="#_x0000_t202" alt="OFFICIAL" style="position:absolute;margin-left:0;margin-top:0;width:49pt;height:37.8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DD+LBTDgIAABwE&#10;AAAOAAAAAAAAAAAAAAAAAC4CAABkcnMvZTJvRG9jLnhtbFBLAQItABQABgAIAAAAIQAduUHR2gAA&#10;AAMBAAAPAAAAAAAAAAAAAAAAAGgEAABkcnMvZG93bnJldi54bWxQSwUGAAAAAAQABADzAAAAbwUA&#10;AAAA&#10;" filled="f" stroked="f">
              <v:textbox style="mso-fit-shape-to-text:t" inset="0,0,0,15pt">
                <w:txbxContent>
                  <w:p w14:paraId="665BC25E" w14:textId="693C8AE1"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79C7" w14:textId="40A9DDA0" w:rsidR="00591043" w:rsidRDefault="00DF1B20">
    <w:pPr>
      <w:pStyle w:val="Footer"/>
    </w:pPr>
    <w:r>
      <w:rPr>
        <w:noProof/>
      </w:rPr>
      <mc:AlternateContent>
        <mc:Choice Requires="wps">
          <w:drawing>
            <wp:anchor distT="0" distB="0" distL="0" distR="0" simplePos="0" relativeHeight="251658251" behindDoc="0" locked="0" layoutInCell="1" allowOverlap="1" wp14:anchorId="4FA81BEA" wp14:editId="4115BB4D">
              <wp:simplePos x="635" y="635"/>
              <wp:positionH relativeFrom="page">
                <wp:align>center</wp:align>
              </wp:positionH>
              <wp:positionV relativeFrom="page">
                <wp:align>bottom</wp:align>
              </wp:positionV>
              <wp:extent cx="622300" cy="480695"/>
              <wp:effectExtent l="0" t="0" r="6350" b="0"/>
              <wp:wrapNone/>
              <wp:docPr id="448374422"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07F61AA" w14:textId="31D26E0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A81BEA" id="_x0000_t202" coordsize="21600,21600" o:spt="202" path="m,l,21600r21600,l21600,xe">
              <v:stroke joinstyle="miter"/>
              <v:path gradientshapeok="t" o:connecttype="rect"/>
            </v:shapetype>
            <v:shape id="Text Box 14" o:spid="_x0000_s1035" type="#_x0000_t202" alt="OFFICIAL" style="position:absolute;margin-left:0;margin-top:0;width:49pt;height:37.8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CEhvvoDgIAABwE&#10;AAAOAAAAAAAAAAAAAAAAAC4CAABkcnMvZTJvRG9jLnhtbFBLAQItABQABgAIAAAAIQAduUHR2gAA&#10;AAMBAAAPAAAAAAAAAAAAAAAAAGgEAABkcnMvZG93bnJldi54bWxQSwUGAAAAAAQABADzAAAAbwUA&#10;AAAA&#10;" filled="f" stroked="f">
              <v:textbox style="mso-fit-shape-to-text:t" inset="0,0,0,15pt">
                <w:txbxContent>
                  <w:p w14:paraId="007F61AA" w14:textId="31D26E0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72F1" w14:textId="6605FB5A" w:rsidR="00591043" w:rsidRDefault="00DF1B20">
    <w:pPr>
      <w:pStyle w:val="Footer"/>
    </w:pPr>
    <w:r>
      <w:rPr>
        <w:noProof/>
      </w:rPr>
      <mc:AlternateContent>
        <mc:Choice Requires="wps">
          <w:drawing>
            <wp:anchor distT="0" distB="0" distL="0" distR="0" simplePos="0" relativeHeight="251658250" behindDoc="0" locked="0" layoutInCell="1" allowOverlap="1" wp14:anchorId="0E88A83B" wp14:editId="079914E0">
              <wp:simplePos x="635" y="635"/>
              <wp:positionH relativeFrom="page">
                <wp:align>center</wp:align>
              </wp:positionH>
              <wp:positionV relativeFrom="page">
                <wp:align>bottom</wp:align>
              </wp:positionV>
              <wp:extent cx="622300" cy="480695"/>
              <wp:effectExtent l="0" t="0" r="6350" b="0"/>
              <wp:wrapNone/>
              <wp:docPr id="111387779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A1AED28" w14:textId="3608F664"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88A83B" id="_x0000_t202" coordsize="21600,21600" o:spt="202" path="m,l,21600r21600,l21600,xe">
              <v:stroke joinstyle="miter"/>
              <v:path gradientshapeok="t" o:connecttype="rect"/>
            </v:shapetype>
            <v:shape id="Text Box 13" o:spid="_x0000_s1037" type="#_x0000_t202" alt="OFFICIAL" style="position:absolute;margin-left:0;margin-top:0;width:49pt;height:37.8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HAbmwoNAgAAHQQA&#10;AA4AAAAAAAAAAAAAAAAALgIAAGRycy9lMm9Eb2MueG1sUEsBAi0AFAAGAAgAAAAhAB25QdHaAAAA&#10;AwEAAA8AAAAAAAAAAAAAAAAAZwQAAGRycy9kb3ducmV2LnhtbFBLBQYAAAAABAAEAPMAAABuBQAA&#10;AAA=&#10;" filled="f" stroked="f">
              <v:textbox style="mso-fit-shape-to-text:t" inset="0,0,0,15pt">
                <w:txbxContent>
                  <w:p w14:paraId="3A1AED28" w14:textId="3608F664"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FD12" w14:textId="77777777" w:rsidR="00D67FED" w:rsidRPr="00B75A8E" w:rsidRDefault="00D67FED" w:rsidP="00951DC8">
      <w:pPr>
        <w:spacing w:before="0" w:after="0"/>
      </w:pPr>
      <w:r>
        <w:separator/>
      </w:r>
    </w:p>
  </w:footnote>
  <w:footnote w:type="continuationSeparator" w:id="0">
    <w:p w14:paraId="0A8A0490" w14:textId="77777777" w:rsidR="00D67FED" w:rsidRDefault="00D67FED" w:rsidP="00951DC8">
      <w:pPr>
        <w:spacing w:before="0" w:after="0"/>
      </w:pPr>
      <w:r>
        <w:continuationSeparator/>
      </w:r>
    </w:p>
  </w:footnote>
  <w:footnote w:type="continuationNotice" w:id="1">
    <w:p w14:paraId="37A78175" w14:textId="77777777" w:rsidR="00D67FED" w:rsidRDefault="00D67FE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47212" w14:textId="0E8CAAAB" w:rsidR="00DF1B20" w:rsidRDefault="00DF1B20">
    <w:pPr>
      <w:pStyle w:val="Header"/>
    </w:pPr>
    <w:r>
      <w:rPr>
        <w:noProof/>
      </w:rPr>
      <mc:AlternateContent>
        <mc:Choice Requires="wps">
          <w:drawing>
            <wp:anchor distT="0" distB="0" distL="0" distR="0" simplePos="0" relativeHeight="251658241" behindDoc="0" locked="0" layoutInCell="1" allowOverlap="1" wp14:anchorId="457C2435" wp14:editId="32FD2DDD">
              <wp:simplePos x="635" y="635"/>
              <wp:positionH relativeFrom="page">
                <wp:align>center</wp:align>
              </wp:positionH>
              <wp:positionV relativeFrom="page">
                <wp:align>top</wp:align>
              </wp:positionV>
              <wp:extent cx="622300" cy="480695"/>
              <wp:effectExtent l="0" t="0" r="6350" b="14605"/>
              <wp:wrapNone/>
              <wp:docPr id="16802936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EB54721" w14:textId="2B768C90"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7C2435" id="_x0000_t202" coordsize="21600,21600" o:spt="202" path="m,l,21600r21600,l21600,xe">
              <v:stroke joinstyle="miter"/>
              <v:path gradientshapeok="t" o:connecttype="rect"/>
            </v:shapetype>
            <v:shape id="Text Box 2" o:spid="_x0000_s1026" type="#_x0000_t202" alt="OFFICIAL" style="position:absolute;margin-left:0;margin-top:0;width:49pt;height:37.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textbox style="mso-fit-shape-to-text:t" inset="0,15pt,0,0">
                <w:txbxContent>
                  <w:p w14:paraId="1EB54721" w14:textId="2B768C90"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98469" w14:textId="2F7B4B54" w:rsidR="00DF1B20" w:rsidRDefault="00DF1B20">
    <w:pPr>
      <w:pStyle w:val="Header"/>
    </w:pPr>
    <w:r>
      <w:rPr>
        <w:noProof/>
      </w:rPr>
      <mc:AlternateContent>
        <mc:Choice Requires="wps">
          <w:drawing>
            <wp:anchor distT="0" distB="0" distL="0" distR="0" simplePos="0" relativeHeight="251658240" behindDoc="0" locked="0" layoutInCell="1" allowOverlap="1" wp14:anchorId="2805A504" wp14:editId="6F1BB420">
              <wp:simplePos x="635" y="635"/>
              <wp:positionH relativeFrom="page">
                <wp:align>center</wp:align>
              </wp:positionH>
              <wp:positionV relativeFrom="page">
                <wp:align>top</wp:align>
              </wp:positionV>
              <wp:extent cx="622300" cy="480695"/>
              <wp:effectExtent l="0" t="0" r="6350" b="14605"/>
              <wp:wrapNone/>
              <wp:docPr id="20293027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14268479" w14:textId="48ECFB6E" w:rsidR="00DF1B20" w:rsidRPr="00DF1B20" w:rsidRDefault="00DF1B20" w:rsidP="00DF1B20">
                          <w:pPr>
                            <w:spacing w:after="0"/>
                            <w:rPr>
                              <w:rFonts w:ascii="Aptos" w:eastAsia="Aptos" w:hAnsi="Aptos" w:cs="Aptos"/>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05A504" id="_x0000_t202" coordsize="21600,21600" o:spt="202" path="m,l,21600r21600,l21600,xe">
              <v:stroke joinstyle="miter"/>
              <v:path gradientshapeok="t" o:connecttype="rect"/>
            </v:shapetype>
            <v:shape id="Text Box 1" o:spid="_x0000_s1029" type="#_x0000_t202" alt="OFFICIAL" style="position:absolute;margin-left:0;margin-top:0;width:49pt;height:37.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6cIrEQ0CAAAcBAAA&#10;DgAAAAAAAAAAAAAAAAAuAgAAZHJzL2Uyb0RvYy54bWxQSwECLQAUAAYACAAAACEA/kqdbtkAAAAD&#10;AQAADwAAAAAAAAAAAAAAAABnBAAAZHJzL2Rvd25yZXYueG1sUEsFBgAAAAAEAAQA8wAAAG0FAAAA&#10;AA==&#10;" filled="f" stroked="f">
              <v:textbox style="mso-fit-shape-to-text:t" inset="0,15pt,0,0">
                <w:txbxContent>
                  <w:p w14:paraId="14268479" w14:textId="48ECFB6E" w:rsidR="00DF1B20" w:rsidRPr="00DF1B20" w:rsidRDefault="00DF1B20" w:rsidP="00DF1B20">
                    <w:pPr>
                      <w:spacing w:after="0"/>
                      <w:rPr>
                        <w:rFonts w:ascii="Aptos" w:eastAsia="Aptos" w:hAnsi="Aptos" w:cs="Aptos"/>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8A74" w14:textId="59A8D3CF" w:rsidR="00591043" w:rsidRDefault="00DF1B20">
    <w:pPr>
      <w:pStyle w:val="Header"/>
    </w:pPr>
    <w:r>
      <w:rPr>
        <w:noProof/>
      </w:rPr>
      <mc:AlternateContent>
        <mc:Choice Requires="wps">
          <w:drawing>
            <wp:anchor distT="0" distB="0" distL="0" distR="0" simplePos="0" relativeHeight="251658243" behindDoc="0" locked="0" layoutInCell="1" allowOverlap="1" wp14:anchorId="3CD29BEB" wp14:editId="602A0603">
              <wp:simplePos x="635" y="635"/>
              <wp:positionH relativeFrom="page">
                <wp:align>center</wp:align>
              </wp:positionH>
              <wp:positionV relativeFrom="page">
                <wp:align>top</wp:align>
              </wp:positionV>
              <wp:extent cx="622300" cy="480695"/>
              <wp:effectExtent l="0" t="0" r="6350" b="14605"/>
              <wp:wrapNone/>
              <wp:docPr id="199703911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44B2514" w14:textId="41DA4A8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D29BEB" id="_x0000_t202" coordsize="21600,21600" o:spt="202" path="m,l,21600r21600,l21600,xe">
              <v:stroke joinstyle="miter"/>
              <v:path gradientshapeok="t" o:connecttype="rect"/>
            </v:shapetype>
            <v:shape id="Text Box 5" o:spid="_x0000_s1034" type="#_x0000_t202" alt="OFFICIAL" style="position:absolute;margin-left:0;margin-top:0;width:49pt;height:37.8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" filled="f" stroked="f">
              <v:textbox style="mso-fit-shape-to-text:t" inset="0,15pt,0,0">
                <w:txbxContent>
                  <w:p w14:paraId="344B2514" w14:textId="41DA4A8E"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789E" w14:textId="2380E730" w:rsidR="00591043" w:rsidRDefault="00DF1B20">
    <w:pPr>
      <w:pStyle w:val="Header"/>
    </w:pPr>
    <w:r>
      <w:rPr>
        <w:noProof/>
      </w:rPr>
      <mc:AlternateContent>
        <mc:Choice Requires="wps">
          <w:drawing>
            <wp:anchor distT="0" distB="0" distL="0" distR="0" simplePos="0" relativeHeight="251658242" behindDoc="0" locked="0" layoutInCell="1" allowOverlap="1" wp14:anchorId="2331D47C" wp14:editId="630CC17D">
              <wp:simplePos x="635" y="635"/>
              <wp:positionH relativeFrom="page">
                <wp:align>center</wp:align>
              </wp:positionH>
              <wp:positionV relativeFrom="page">
                <wp:align>top</wp:align>
              </wp:positionV>
              <wp:extent cx="622300" cy="480695"/>
              <wp:effectExtent l="0" t="0" r="6350" b="14605"/>
              <wp:wrapNone/>
              <wp:docPr id="142909091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FA2378B" w14:textId="5D39843F"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31D47C" id="_x0000_t202" coordsize="21600,21600" o:spt="202" path="m,l,21600r21600,l21600,xe">
              <v:stroke joinstyle="miter"/>
              <v:path gradientshapeok="t" o:connecttype="rect"/>
            </v:shapetype>
            <v:shape id="Text Box 4" o:spid="_x0000_s1036" type="#_x0000_t202" alt="OFFICIAL" style="position:absolute;margin-left:0;margin-top:0;width:49pt;height:37.8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CDY3iDDAIAAB0EAAAO&#10;AAAAAAAAAAAAAAAAAC4CAABkcnMvZTJvRG9jLnhtbFBLAQItABQABgAIAAAAIQD+Sp1u2QAAAAMB&#10;AAAPAAAAAAAAAAAAAAAAAGYEAABkcnMvZG93bnJldi54bWxQSwUGAAAAAAQABADzAAAAbAUAAAAA&#10;" filled="f" stroked="f">
              <v:textbox style="mso-fit-shape-to-text:t" inset="0,15pt,0,0">
                <w:txbxContent>
                  <w:p w14:paraId="0FA2378B" w14:textId="5D39843F" w:rsidR="00DF1B20" w:rsidRPr="00DF1B20" w:rsidRDefault="00DF1B20" w:rsidP="00DF1B20">
                    <w:pPr>
                      <w:spacing w:after="0"/>
                      <w:rPr>
                        <w:rFonts w:ascii="Aptos" w:eastAsia="Aptos" w:hAnsi="Aptos" w:cs="Aptos"/>
                        <w:noProof/>
                        <w:color w:val="FF0000"/>
                        <w:sz w:val="24"/>
                        <w:szCs w:val="24"/>
                      </w:rPr>
                    </w:pPr>
                    <w:r w:rsidRPr="00DF1B2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F440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8D86C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598CA426"/>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9A22D1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6"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06FC1B74"/>
    <w:multiLevelType w:val="multilevel"/>
    <w:tmpl w:val="2320D4B8"/>
    <w:numStyleLink w:val="List-Bullets"/>
  </w:abstractNum>
  <w:abstractNum w:abstractNumId="10" w15:restartNumberingAfterBreak="0">
    <w:nsid w:val="07B72CAF"/>
    <w:multiLevelType w:val="multilevel"/>
    <w:tmpl w:val="34FAC4A2"/>
    <w:numStyleLink w:val="List-Numbered"/>
  </w:abstractNum>
  <w:abstractNum w:abstractNumId="11" w15:restartNumberingAfterBreak="0">
    <w:nsid w:val="15B27479"/>
    <w:multiLevelType w:val="multilevel"/>
    <w:tmpl w:val="A46AE232"/>
    <w:numStyleLink w:val="List-Alpha"/>
  </w:abstractNum>
  <w:abstractNum w:abstractNumId="12" w15:restartNumberingAfterBreak="0">
    <w:nsid w:val="160B548D"/>
    <w:multiLevelType w:val="multilevel"/>
    <w:tmpl w:val="2320D4B8"/>
    <w:numStyleLink w:val="List-Bullets"/>
  </w:abstractNum>
  <w:abstractNum w:abstractNumId="13" w15:restartNumberingAfterBreak="0">
    <w:nsid w:val="16F86D7F"/>
    <w:multiLevelType w:val="multilevel"/>
    <w:tmpl w:val="023AB58C"/>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890128F"/>
    <w:multiLevelType w:val="multilevel"/>
    <w:tmpl w:val="A46AE232"/>
    <w:styleLink w:val="List-Alpha"/>
    <w:lvl w:ilvl="0">
      <w:start w:val="1"/>
      <w:numFmt w:val="lowerLetter"/>
      <w:pStyle w:val="ListAlpha"/>
      <w:lvlText w:val="%1)"/>
      <w:lvlJc w:val="left"/>
      <w:pPr>
        <w:ind w:left="907" w:hanging="453"/>
      </w:pPr>
      <w:rPr>
        <w:rFonts w:hint="default"/>
      </w:rPr>
    </w:lvl>
    <w:lvl w:ilvl="1">
      <w:start w:val="1"/>
      <w:numFmt w:val="lowerRoman"/>
      <w:pStyle w:val="ListAlpha2"/>
      <w:lvlText w:val="%2)"/>
      <w:lvlJc w:val="left"/>
      <w:pPr>
        <w:ind w:left="1361" w:hanging="453"/>
      </w:pPr>
      <w:rPr>
        <w:rFonts w:hint="default"/>
      </w:rPr>
    </w:lvl>
    <w:lvl w:ilvl="2">
      <w:start w:val="1"/>
      <w:numFmt w:val="none"/>
      <w:lvlText w:val=""/>
      <w:lvlJc w:val="right"/>
      <w:pPr>
        <w:ind w:left="1815" w:hanging="453"/>
      </w:pPr>
      <w:rPr>
        <w:rFonts w:hint="default"/>
      </w:rPr>
    </w:lvl>
    <w:lvl w:ilvl="3">
      <w:start w:val="1"/>
      <w:numFmt w:val="none"/>
      <w:lvlText w:val=""/>
      <w:lvlJc w:val="left"/>
      <w:pPr>
        <w:ind w:left="2269" w:hanging="453"/>
      </w:pPr>
      <w:rPr>
        <w:rFonts w:hint="default"/>
      </w:rPr>
    </w:lvl>
    <w:lvl w:ilvl="4">
      <w:start w:val="1"/>
      <w:numFmt w:val="none"/>
      <w:lvlText w:val=""/>
      <w:lvlJc w:val="left"/>
      <w:pPr>
        <w:ind w:left="2723" w:hanging="453"/>
      </w:pPr>
      <w:rPr>
        <w:rFonts w:hint="default"/>
      </w:rPr>
    </w:lvl>
    <w:lvl w:ilvl="5">
      <w:start w:val="1"/>
      <w:numFmt w:val="none"/>
      <w:lvlText w:val=""/>
      <w:lvlJc w:val="right"/>
      <w:pPr>
        <w:ind w:left="3177" w:hanging="453"/>
      </w:pPr>
      <w:rPr>
        <w:rFonts w:hint="default"/>
      </w:rPr>
    </w:lvl>
    <w:lvl w:ilvl="6">
      <w:start w:val="1"/>
      <w:numFmt w:val="none"/>
      <w:lvlText w:val=""/>
      <w:lvlJc w:val="left"/>
      <w:pPr>
        <w:ind w:left="3631" w:hanging="453"/>
      </w:pPr>
      <w:rPr>
        <w:rFonts w:hint="default"/>
      </w:rPr>
    </w:lvl>
    <w:lvl w:ilvl="7">
      <w:start w:val="1"/>
      <w:numFmt w:val="none"/>
      <w:lvlText w:val=""/>
      <w:lvlJc w:val="left"/>
      <w:pPr>
        <w:ind w:left="4085" w:hanging="453"/>
      </w:pPr>
      <w:rPr>
        <w:rFonts w:hint="default"/>
      </w:rPr>
    </w:lvl>
    <w:lvl w:ilvl="8">
      <w:start w:val="1"/>
      <w:numFmt w:val="none"/>
      <w:lvlText w:val=""/>
      <w:lvlJc w:val="right"/>
      <w:pPr>
        <w:ind w:left="4539" w:hanging="453"/>
      </w:pPr>
      <w:rPr>
        <w:rFonts w:hint="default"/>
      </w:rPr>
    </w:lvl>
  </w:abstractNum>
  <w:abstractNum w:abstractNumId="15" w15:restartNumberingAfterBreak="0">
    <w:nsid w:val="1D7D05F5"/>
    <w:multiLevelType w:val="multilevel"/>
    <w:tmpl w:val="34FAC4A2"/>
    <w:numStyleLink w:val="List-Numbered"/>
  </w:abstractNum>
  <w:abstractNum w:abstractNumId="16" w15:restartNumberingAfterBreak="0">
    <w:nsid w:val="1EBC5316"/>
    <w:multiLevelType w:val="multilevel"/>
    <w:tmpl w:val="67E0978A"/>
    <w:styleLink w:val="List-PrioritiesandActions"/>
    <w:lvl w:ilvl="0">
      <w:start w:val="1"/>
      <w:numFmt w:val="decimal"/>
      <w:pStyle w:val="List-Priorities"/>
      <w:lvlText w:val="%1."/>
      <w:lvlJc w:val="left"/>
      <w:pPr>
        <w:ind w:left="284" w:hanging="284"/>
      </w:pPr>
      <w:rPr>
        <w:rFonts w:hint="default"/>
      </w:rPr>
    </w:lvl>
    <w:lvl w:ilvl="1">
      <w:start w:val="1"/>
      <w:numFmt w:val="decimal"/>
      <w:pStyle w:val="List-Priorities2"/>
      <w:lvlText w:val="%1.%2"/>
      <w:lvlJc w:val="left"/>
      <w:pPr>
        <w:ind w:left="482" w:hanging="482"/>
      </w:pPr>
      <w:rPr>
        <w:rFonts w:hint="default"/>
      </w:rPr>
    </w:lvl>
    <w:lvl w:ilvl="2">
      <w:start w:val="1"/>
      <w:numFmt w:val="none"/>
      <w:lvlText w:val=""/>
      <w:lvlJc w:val="left"/>
      <w:pPr>
        <w:ind w:left="397" w:hanging="397"/>
      </w:pPr>
      <w:rPr>
        <w:rFonts w:hint="default"/>
      </w:rPr>
    </w:lvl>
    <w:lvl w:ilvl="3">
      <w:start w:val="1"/>
      <w:numFmt w:val="none"/>
      <w:lvlText w:val=""/>
      <w:lvlJc w:val="left"/>
      <w:pPr>
        <w:ind w:left="397" w:hanging="397"/>
      </w:pPr>
      <w:rPr>
        <w:rFonts w:hint="default"/>
      </w:rPr>
    </w:lvl>
    <w:lvl w:ilvl="4">
      <w:start w:val="1"/>
      <w:numFmt w:val="none"/>
      <w:lvlText w:val=""/>
      <w:lvlJc w:val="left"/>
      <w:pPr>
        <w:ind w:left="397" w:hanging="397"/>
      </w:pPr>
      <w:rPr>
        <w:rFonts w:hint="default"/>
      </w:rPr>
    </w:lvl>
    <w:lvl w:ilvl="5">
      <w:start w:val="1"/>
      <w:numFmt w:val="none"/>
      <w:lvlText w:val=""/>
      <w:lvlJc w:val="left"/>
      <w:pPr>
        <w:ind w:left="397" w:hanging="397"/>
      </w:pPr>
      <w:rPr>
        <w:rFonts w:hint="default"/>
      </w:rPr>
    </w:lvl>
    <w:lvl w:ilvl="6">
      <w:start w:val="1"/>
      <w:numFmt w:val="none"/>
      <w:lvlText w:val=""/>
      <w:lvlJc w:val="left"/>
      <w:pPr>
        <w:ind w:left="397" w:hanging="397"/>
      </w:pPr>
      <w:rPr>
        <w:rFonts w:hint="default"/>
      </w:rPr>
    </w:lvl>
    <w:lvl w:ilvl="7">
      <w:start w:val="1"/>
      <w:numFmt w:val="none"/>
      <w:lvlText w:val=""/>
      <w:lvlJc w:val="left"/>
      <w:pPr>
        <w:ind w:left="397" w:hanging="397"/>
      </w:pPr>
      <w:rPr>
        <w:rFonts w:hint="default"/>
      </w:rPr>
    </w:lvl>
    <w:lvl w:ilvl="8">
      <w:start w:val="1"/>
      <w:numFmt w:val="none"/>
      <w:lvlText w:val=""/>
      <w:lvlJc w:val="left"/>
      <w:pPr>
        <w:ind w:left="397" w:hanging="397"/>
      </w:pPr>
      <w:rPr>
        <w:rFonts w:hint="default"/>
      </w:rPr>
    </w:lvl>
  </w:abstractNum>
  <w:abstractNum w:abstractNumId="17" w15:restartNumberingAfterBreak="0">
    <w:nsid w:val="2067490B"/>
    <w:multiLevelType w:val="multilevel"/>
    <w:tmpl w:val="BBAA095E"/>
    <w:name w:val="List bullets"/>
    <w:lvl w:ilvl="0">
      <w:start w:val="1"/>
      <w:numFmt w:val="bullet"/>
      <w:lvlText w:val="•"/>
      <w:lvlJc w:val="left"/>
      <w:pPr>
        <w:ind w:left="340" w:hanging="340"/>
      </w:pPr>
      <w:rPr>
        <w:rFonts w:ascii="Arial" w:hAnsi="Arial" w:hint="default"/>
      </w:rPr>
    </w:lvl>
    <w:lvl w:ilvl="1">
      <w:start w:val="1"/>
      <w:numFmt w:val="bullet"/>
      <w:lvlText w:val="–"/>
      <w:lvlJc w:val="left"/>
      <w:pPr>
        <w:ind w:left="680" w:hanging="340"/>
      </w:pPr>
      <w:rPr>
        <w:rFonts w:ascii="Arial" w:hAnsi="Arial" w:hint="default"/>
      </w:rPr>
    </w:lvl>
    <w:lvl w:ilvl="2">
      <w:start w:val="1"/>
      <w:numFmt w:val="bullet"/>
      <w:lvlText w:val="»"/>
      <w:lvlJc w:val="left"/>
      <w:pPr>
        <w:ind w:left="1020" w:hanging="340"/>
      </w:pPr>
      <w:rPr>
        <w:rFonts w:ascii="Arial" w:hAnsi="Arial"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8" w15:restartNumberingAfterBreak="0">
    <w:nsid w:val="235C3910"/>
    <w:multiLevelType w:val="multilevel"/>
    <w:tmpl w:val="34FAC4A2"/>
    <w:numStyleLink w:val="List-Numbered"/>
  </w:abstractNum>
  <w:abstractNum w:abstractNumId="19" w15:restartNumberingAfterBreak="0">
    <w:nsid w:val="24CD0D97"/>
    <w:multiLevelType w:val="multilevel"/>
    <w:tmpl w:val="A46AE232"/>
    <w:numStyleLink w:val="List-Alpha"/>
  </w:abstractNum>
  <w:abstractNum w:abstractNumId="20"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CBA182B"/>
    <w:multiLevelType w:val="multilevel"/>
    <w:tmpl w:val="34FAC4A2"/>
    <w:styleLink w:val="List-Numbered"/>
    <w:lvl w:ilvl="0">
      <w:start w:val="1"/>
      <w:numFmt w:val="decimal"/>
      <w:pStyle w:val="ListNumber"/>
      <w:lvlText w:val="%1."/>
      <w:lvlJc w:val="left"/>
      <w:pPr>
        <w:ind w:left="454" w:hanging="454"/>
      </w:pPr>
      <w:rPr>
        <w:rFonts w:hint="default"/>
      </w:rPr>
    </w:lvl>
    <w:lvl w:ilvl="1">
      <w:start w:val="1"/>
      <w:numFmt w:val="lowerLetter"/>
      <w:pStyle w:val="ListNumber2"/>
      <w:lvlText w:val="%2)"/>
      <w:lvlJc w:val="left"/>
      <w:pPr>
        <w:ind w:left="908" w:hanging="454"/>
      </w:pPr>
      <w:rPr>
        <w:rFonts w:hint="default"/>
      </w:rPr>
    </w:lvl>
    <w:lvl w:ilvl="2">
      <w:start w:val="1"/>
      <w:numFmt w:val="lowerRoman"/>
      <w:pStyle w:val="ListNumber3"/>
      <w:lvlText w:val="%3)"/>
      <w:lvlJc w:val="left"/>
      <w:pPr>
        <w:ind w:left="1362" w:hanging="454"/>
      </w:pPr>
      <w:rPr>
        <w:rFonts w:hint="default"/>
      </w:rPr>
    </w:lvl>
    <w:lvl w:ilvl="3">
      <w:start w:val="1"/>
      <w:numFmt w:val="none"/>
      <w:lvlText w:val=""/>
      <w:lvlJc w:val="left"/>
      <w:pPr>
        <w:tabs>
          <w:tab w:val="num" w:pos="1360"/>
        </w:tabs>
        <w:ind w:left="1816" w:hanging="454"/>
      </w:pPr>
      <w:rPr>
        <w:rFonts w:hint="default"/>
      </w:rPr>
    </w:lvl>
    <w:lvl w:ilvl="4">
      <w:start w:val="1"/>
      <w:numFmt w:val="none"/>
      <w:lvlText w:val=""/>
      <w:lvlJc w:val="left"/>
      <w:pPr>
        <w:tabs>
          <w:tab w:val="num" w:pos="1700"/>
        </w:tabs>
        <w:ind w:left="2270" w:hanging="454"/>
      </w:pPr>
      <w:rPr>
        <w:rFonts w:hint="default"/>
      </w:rPr>
    </w:lvl>
    <w:lvl w:ilvl="5">
      <w:start w:val="1"/>
      <w:numFmt w:val="none"/>
      <w:lvlText w:val=""/>
      <w:lvlJc w:val="left"/>
      <w:pPr>
        <w:tabs>
          <w:tab w:val="num" w:pos="2040"/>
        </w:tabs>
        <w:ind w:left="2724" w:hanging="454"/>
      </w:pPr>
      <w:rPr>
        <w:rFonts w:hint="default"/>
      </w:rPr>
    </w:lvl>
    <w:lvl w:ilvl="6">
      <w:start w:val="1"/>
      <w:numFmt w:val="none"/>
      <w:lvlText w:val=""/>
      <w:lvlJc w:val="left"/>
      <w:pPr>
        <w:tabs>
          <w:tab w:val="num" w:pos="2380"/>
        </w:tabs>
        <w:ind w:left="3178" w:hanging="454"/>
      </w:pPr>
      <w:rPr>
        <w:rFonts w:hint="default"/>
      </w:rPr>
    </w:lvl>
    <w:lvl w:ilvl="7">
      <w:start w:val="1"/>
      <w:numFmt w:val="none"/>
      <w:lvlText w:val=""/>
      <w:lvlJc w:val="left"/>
      <w:pPr>
        <w:tabs>
          <w:tab w:val="num" w:pos="2720"/>
        </w:tabs>
        <w:ind w:left="3632" w:hanging="454"/>
      </w:pPr>
      <w:rPr>
        <w:rFonts w:hint="default"/>
      </w:rPr>
    </w:lvl>
    <w:lvl w:ilvl="8">
      <w:start w:val="1"/>
      <w:numFmt w:val="none"/>
      <w:lvlText w:val=""/>
      <w:lvlJc w:val="left"/>
      <w:pPr>
        <w:tabs>
          <w:tab w:val="num" w:pos="3060"/>
        </w:tabs>
        <w:ind w:left="4086" w:hanging="454"/>
      </w:pPr>
      <w:rPr>
        <w:rFonts w:hint="default"/>
      </w:rPr>
    </w:lvl>
  </w:abstractNum>
  <w:abstractNum w:abstractNumId="23" w15:restartNumberingAfterBreak="0">
    <w:nsid w:val="2FFF0FC9"/>
    <w:multiLevelType w:val="multilevel"/>
    <w:tmpl w:val="34FAC4A2"/>
    <w:numStyleLink w:val="List-Numbered"/>
  </w:abstractNum>
  <w:abstractNum w:abstractNumId="24" w15:restartNumberingAfterBreak="0">
    <w:nsid w:val="30113573"/>
    <w:multiLevelType w:val="multilevel"/>
    <w:tmpl w:val="34FAC4A2"/>
    <w:numStyleLink w:val="List-Numbered"/>
  </w:abstractNum>
  <w:abstractNum w:abstractNumId="25" w15:restartNumberingAfterBreak="0">
    <w:nsid w:val="3258077D"/>
    <w:multiLevelType w:val="multilevel"/>
    <w:tmpl w:val="34FAC4A2"/>
    <w:numStyleLink w:val="List-Numbered"/>
  </w:abstractNum>
  <w:abstractNum w:abstractNumId="26" w15:restartNumberingAfterBreak="0">
    <w:nsid w:val="36354135"/>
    <w:multiLevelType w:val="multilevel"/>
    <w:tmpl w:val="8A2AE132"/>
    <w:lvl w:ilvl="0">
      <w:start w:val="1"/>
      <w:numFmt w:val="decimal"/>
      <w:pStyle w:val="BoxNumbered"/>
      <w:lvlText w:val="%1."/>
      <w:lvlJc w:val="left"/>
      <w:pPr>
        <w:ind w:left="680" w:hanging="4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6CB565A"/>
    <w:multiLevelType w:val="multilevel"/>
    <w:tmpl w:val="E4D8BAB8"/>
    <w:name w:val="Headings"/>
    <w:lvl w:ilvl="0">
      <w:start w:val="1"/>
      <w:numFmt w:val="decimal"/>
      <w:suff w:val="nothing"/>
      <w:lvlText w:val="Section %1"/>
      <w:lvlJc w:val="left"/>
      <w:pPr>
        <w:ind w:left="0" w:firstLine="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86B2BDC"/>
    <w:multiLevelType w:val="multilevel"/>
    <w:tmpl w:val="DE70026C"/>
    <w:name w:val="Bullets"/>
    <w:lvl w:ilvl="0">
      <w:start w:val="1"/>
      <w:numFmt w:val="bullet"/>
      <w:lvlText w:val=""/>
      <w:lvlJc w:val="left"/>
      <w:pPr>
        <w:tabs>
          <w:tab w:val="num" w:pos="284"/>
        </w:tabs>
        <w:ind w:left="284" w:hanging="284"/>
      </w:pPr>
      <w:rPr>
        <w:rFonts w:ascii="Symbol" w:hAnsi="Symbol" w:hint="default"/>
        <w:color w:val="auto"/>
        <w:position w:val="2"/>
        <w:sz w:val="20"/>
      </w:rPr>
    </w:lvl>
    <w:lvl w:ilvl="1">
      <w:start w:val="1"/>
      <w:numFmt w:val="bullet"/>
      <w:lvlText w:val="–"/>
      <w:lvlJc w:val="left"/>
      <w:pPr>
        <w:tabs>
          <w:tab w:val="num" w:pos="567"/>
        </w:tabs>
        <w:ind w:left="567" w:hanging="283"/>
      </w:pPr>
      <w:rPr>
        <w:rFonts w:ascii="Arial" w:hAnsi="Arial" w:hint="default"/>
        <w:color w:val="auto"/>
      </w:rPr>
    </w:lvl>
    <w:lvl w:ilvl="2">
      <w:start w:val="1"/>
      <w:numFmt w:val="bullet"/>
      <w:lvlText w:val="›"/>
      <w:lvlJc w:val="left"/>
      <w:pPr>
        <w:tabs>
          <w:tab w:val="num" w:pos="851"/>
        </w:tabs>
        <w:ind w:left="851" w:hanging="284"/>
      </w:pPr>
      <w:rPr>
        <w:rFonts w:ascii="Calibri" w:hAnsi="Calibri"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56C10D4"/>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483A2BBB"/>
    <w:multiLevelType w:val="multilevel"/>
    <w:tmpl w:val="67E0978A"/>
    <w:numStyleLink w:val="List-PrioritiesandActions"/>
  </w:abstractNum>
  <w:abstractNum w:abstractNumId="31" w15:restartNumberingAfterBreak="0">
    <w:nsid w:val="4B997361"/>
    <w:multiLevelType w:val="multilevel"/>
    <w:tmpl w:val="3E92E094"/>
    <w:styleLink w:val="List-TableBullets"/>
    <w:lvl w:ilvl="0">
      <w:start w:val="1"/>
      <w:numFmt w:val="bullet"/>
      <w:pStyle w:val="TableBullet"/>
      <w:lvlText w:val="•"/>
      <w:lvlJc w:val="left"/>
      <w:pPr>
        <w:ind w:left="198" w:hanging="198"/>
      </w:pPr>
      <w:rPr>
        <w:rFonts w:ascii="Arial" w:hAnsi="Arial" w:hint="default"/>
      </w:rPr>
    </w:lvl>
    <w:lvl w:ilvl="1">
      <w:start w:val="1"/>
      <w:numFmt w:val="none"/>
      <w:lvlText w:val=""/>
      <w:lvlJc w:val="left"/>
      <w:pPr>
        <w:ind w:left="396" w:hanging="198"/>
      </w:pPr>
      <w:rPr>
        <w:rFonts w:hint="default"/>
      </w:rPr>
    </w:lvl>
    <w:lvl w:ilvl="2">
      <w:start w:val="1"/>
      <w:numFmt w:val="none"/>
      <w:lvlText w:val=""/>
      <w:lvlJc w:val="left"/>
      <w:pPr>
        <w:ind w:left="594" w:hanging="198"/>
      </w:pPr>
      <w:rPr>
        <w:rFonts w:hint="default"/>
      </w:rPr>
    </w:lvl>
    <w:lvl w:ilvl="3">
      <w:start w:val="1"/>
      <w:numFmt w:val="none"/>
      <w:lvlText w:val=""/>
      <w:lvlJc w:val="left"/>
      <w:pPr>
        <w:ind w:left="792" w:hanging="198"/>
      </w:pPr>
      <w:rPr>
        <w:rFonts w:hint="default"/>
      </w:rPr>
    </w:lvl>
    <w:lvl w:ilvl="4">
      <w:start w:val="1"/>
      <w:numFmt w:val="none"/>
      <w:lvlText w:val=""/>
      <w:lvlJc w:val="left"/>
      <w:pPr>
        <w:ind w:left="990" w:hanging="198"/>
      </w:pPr>
      <w:rPr>
        <w:rFonts w:hint="default"/>
      </w:rPr>
    </w:lvl>
    <w:lvl w:ilvl="5">
      <w:start w:val="1"/>
      <w:numFmt w:val="none"/>
      <w:lvlText w:val=""/>
      <w:lvlJc w:val="left"/>
      <w:pPr>
        <w:ind w:left="1188" w:hanging="198"/>
      </w:pPr>
      <w:rPr>
        <w:rFonts w:hint="default"/>
      </w:rPr>
    </w:lvl>
    <w:lvl w:ilvl="6">
      <w:start w:val="1"/>
      <w:numFmt w:val="none"/>
      <w:lvlText w:val=""/>
      <w:lvlJc w:val="left"/>
      <w:pPr>
        <w:ind w:left="1386" w:hanging="198"/>
      </w:pPr>
      <w:rPr>
        <w:rFonts w:hint="default"/>
      </w:rPr>
    </w:lvl>
    <w:lvl w:ilvl="7">
      <w:start w:val="1"/>
      <w:numFmt w:val="none"/>
      <w:lvlText w:val=""/>
      <w:lvlJc w:val="left"/>
      <w:pPr>
        <w:ind w:left="1584" w:hanging="198"/>
      </w:pPr>
      <w:rPr>
        <w:rFonts w:hint="default"/>
      </w:rPr>
    </w:lvl>
    <w:lvl w:ilvl="8">
      <w:start w:val="1"/>
      <w:numFmt w:val="none"/>
      <w:lvlText w:val=""/>
      <w:lvlJc w:val="left"/>
      <w:pPr>
        <w:ind w:left="1782" w:hanging="198"/>
      </w:pPr>
      <w:rPr>
        <w:rFonts w:hint="default"/>
      </w:rPr>
    </w:lvl>
  </w:abstractNum>
  <w:abstractNum w:abstractNumId="32" w15:restartNumberingAfterBreak="0">
    <w:nsid w:val="4C0F130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E402719"/>
    <w:multiLevelType w:val="multilevel"/>
    <w:tmpl w:val="2320D4B8"/>
    <w:numStyleLink w:val="List-Bullets"/>
  </w:abstractNum>
  <w:abstractNum w:abstractNumId="34" w15:restartNumberingAfterBreak="0">
    <w:nsid w:val="51AE3424"/>
    <w:multiLevelType w:val="multilevel"/>
    <w:tmpl w:val="2320D4B8"/>
    <w:styleLink w:val="List-Bullets"/>
    <w:lvl w:ilvl="0">
      <w:start w:val="1"/>
      <w:numFmt w:val="bullet"/>
      <w:pStyle w:val="ListBullet"/>
      <w:lvlText w:val="•"/>
      <w:lvlJc w:val="left"/>
      <w:pPr>
        <w:ind w:left="454" w:hanging="454"/>
      </w:pPr>
      <w:rPr>
        <w:rFonts w:ascii="Arial" w:hAnsi="Arial" w:hint="default"/>
      </w:rPr>
    </w:lvl>
    <w:lvl w:ilvl="1">
      <w:start w:val="1"/>
      <w:numFmt w:val="bullet"/>
      <w:pStyle w:val="ListBullet2"/>
      <w:lvlText w:val="–"/>
      <w:lvlJc w:val="left"/>
      <w:pPr>
        <w:ind w:left="908" w:hanging="454"/>
      </w:pPr>
      <w:rPr>
        <w:rFonts w:ascii="Arial" w:hAnsi="Arial" w:hint="default"/>
      </w:rPr>
    </w:lvl>
    <w:lvl w:ilvl="2">
      <w:start w:val="1"/>
      <w:numFmt w:val="bullet"/>
      <w:pStyle w:val="ListBullet3"/>
      <w:lvlText w:val="–"/>
      <w:lvlJc w:val="left"/>
      <w:pPr>
        <w:ind w:left="1362" w:hanging="454"/>
      </w:pPr>
      <w:rPr>
        <w:rFonts w:ascii="Arial" w:hAnsi="Arial" w:hint="default"/>
      </w:rPr>
    </w:lvl>
    <w:lvl w:ilvl="3">
      <w:start w:val="1"/>
      <w:numFmt w:val="bullet"/>
      <w:lvlText w:val=""/>
      <w:lvlJc w:val="left"/>
      <w:pPr>
        <w:ind w:left="1816" w:hanging="454"/>
      </w:pPr>
      <w:rPr>
        <w:rFonts w:ascii="Symbol" w:hAnsi="Symbol" w:hint="default"/>
      </w:rPr>
    </w:lvl>
    <w:lvl w:ilvl="4">
      <w:start w:val="1"/>
      <w:numFmt w:val="bullet"/>
      <w:lvlText w:val="o"/>
      <w:lvlJc w:val="left"/>
      <w:pPr>
        <w:ind w:left="2270" w:hanging="454"/>
      </w:pPr>
      <w:rPr>
        <w:rFonts w:ascii="Courier New" w:hAnsi="Courier New" w:cs="Courier New" w:hint="default"/>
      </w:rPr>
    </w:lvl>
    <w:lvl w:ilvl="5">
      <w:start w:val="1"/>
      <w:numFmt w:val="bullet"/>
      <w:lvlText w:val=""/>
      <w:lvlJc w:val="left"/>
      <w:pPr>
        <w:ind w:left="2724" w:hanging="454"/>
      </w:pPr>
      <w:rPr>
        <w:rFonts w:ascii="Wingdings" w:hAnsi="Wingdings" w:hint="default"/>
      </w:rPr>
    </w:lvl>
    <w:lvl w:ilvl="6">
      <w:start w:val="1"/>
      <w:numFmt w:val="bullet"/>
      <w:lvlText w:val=""/>
      <w:lvlJc w:val="left"/>
      <w:pPr>
        <w:ind w:left="3178" w:hanging="454"/>
      </w:pPr>
      <w:rPr>
        <w:rFonts w:ascii="Symbol" w:hAnsi="Symbol" w:hint="default"/>
      </w:rPr>
    </w:lvl>
    <w:lvl w:ilvl="7">
      <w:start w:val="1"/>
      <w:numFmt w:val="bullet"/>
      <w:lvlText w:val="o"/>
      <w:lvlJc w:val="left"/>
      <w:pPr>
        <w:ind w:left="3632" w:hanging="454"/>
      </w:pPr>
      <w:rPr>
        <w:rFonts w:ascii="Courier New" w:hAnsi="Courier New" w:cs="Courier New" w:hint="default"/>
      </w:rPr>
    </w:lvl>
    <w:lvl w:ilvl="8">
      <w:start w:val="1"/>
      <w:numFmt w:val="bullet"/>
      <w:lvlText w:val=""/>
      <w:lvlJc w:val="left"/>
      <w:pPr>
        <w:ind w:left="4086" w:hanging="454"/>
      </w:pPr>
      <w:rPr>
        <w:rFonts w:ascii="Wingdings" w:hAnsi="Wingdings" w:hint="default"/>
      </w:rPr>
    </w:lvl>
  </w:abstractNum>
  <w:abstractNum w:abstractNumId="35" w15:restartNumberingAfterBreak="0">
    <w:nsid w:val="53231F2B"/>
    <w:multiLevelType w:val="multilevel"/>
    <w:tmpl w:val="34FAC4A2"/>
    <w:numStyleLink w:val="List-Numbered"/>
  </w:abstractNum>
  <w:abstractNum w:abstractNumId="36" w15:restartNumberingAfterBreak="0">
    <w:nsid w:val="552F3874"/>
    <w:multiLevelType w:val="multilevel"/>
    <w:tmpl w:val="2320D4B8"/>
    <w:numStyleLink w:val="List-Bullets"/>
  </w:abstractNum>
  <w:abstractNum w:abstractNumId="37" w15:restartNumberingAfterBreak="0">
    <w:nsid w:val="59637EF3"/>
    <w:multiLevelType w:val="multilevel"/>
    <w:tmpl w:val="A46AE232"/>
    <w:numStyleLink w:val="List-Alpha"/>
  </w:abstractNum>
  <w:abstractNum w:abstractNumId="38" w15:restartNumberingAfterBreak="0">
    <w:nsid w:val="5F5518A2"/>
    <w:multiLevelType w:val="multilevel"/>
    <w:tmpl w:val="12D6E4F8"/>
    <w:name w:val="List Doc Title"/>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right"/>
      <w:pPr>
        <w:ind w:left="0" w:firstLine="0"/>
      </w:pPr>
      <w:rPr>
        <w:rFonts w:hint="default"/>
      </w:rPr>
    </w:lvl>
  </w:abstractNum>
  <w:abstractNum w:abstractNumId="39" w15:restartNumberingAfterBreak="0">
    <w:nsid w:val="5F700FD4"/>
    <w:multiLevelType w:val="multilevel"/>
    <w:tmpl w:val="2320D4B8"/>
    <w:numStyleLink w:val="List-Bullets"/>
  </w:abstractNum>
  <w:abstractNum w:abstractNumId="40" w15:restartNumberingAfterBreak="0">
    <w:nsid w:val="64E44283"/>
    <w:multiLevelType w:val="multilevel"/>
    <w:tmpl w:val="34FAC4A2"/>
    <w:numStyleLink w:val="List-Numbered"/>
  </w:abstractNum>
  <w:abstractNum w:abstractNumId="41" w15:restartNumberingAfterBreak="0">
    <w:nsid w:val="667553C8"/>
    <w:multiLevelType w:val="multilevel"/>
    <w:tmpl w:val="A46AE232"/>
    <w:numStyleLink w:val="List-Alpha"/>
  </w:abstractNum>
  <w:abstractNum w:abstractNumId="42" w15:restartNumberingAfterBreak="0">
    <w:nsid w:val="66940240"/>
    <w:multiLevelType w:val="multilevel"/>
    <w:tmpl w:val="D40674FA"/>
    <w:lvl w:ilvl="0">
      <w:start w:val="1"/>
      <w:numFmt w:val="bullet"/>
      <w:pStyle w:val="DisclaimerBullet"/>
      <w:lvlText w:val="•"/>
      <w:lvlJc w:val="left"/>
      <w:pPr>
        <w:ind w:left="170" w:hanging="170"/>
      </w:pPr>
      <w:rPr>
        <w:rFonts w:ascii="Arial" w:hAnsi="Arial" w:hint="default"/>
      </w:rPr>
    </w:lvl>
    <w:lvl w:ilvl="1">
      <w:start w:val="1"/>
      <w:numFmt w:val="bullet"/>
      <w:lvlText w:val="o"/>
      <w:lvlJc w:val="left"/>
      <w:pPr>
        <w:ind w:left="340" w:hanging="170"/>
      </w:pPr>
      <w:rPr>
        <w:rFonts w:ascii="Courier New" w:hAnsi="Courier New" w:cs="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43" w15:restartNumberingAfterBreak="0">
    <w:nsid w:val="691B7A4F"/>
    <w:multiLevelType w:val="multilevel"/>
    <w:tmpl w:val="A46AE232"/>
    <w:numStyleLink w:val="List-Alpha"/>
  </w:abstractNum>
  <w:abstractNum w:abstractNumId="44" w15:restartNumberingAfterBreak="0">
    <w:nsid w:val="6AE34B6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DD24DB6"/>
    <w:multiLevelType w:val="multilevel"/>
    <w:tmpl w:val="67E0978A"/>
    <w:numStyleLink w:val="List-PrioritiesandActions"/>
  </w:abstractNum>
  <w:abstractNum w:abstractNumId="46" w15:restartNumberingAfterBreak="0">
    <w:nsid w:val="74A834E4"/>
    <w:multiLevelType w:val="multilevel"/>
    <w:tmpl w:val="67E0978A"/>
    <w:numStyleLink w:val="List-PrioritiesandActions"/>
  </w:abstractNum>
  <w:abstractNum w:abstractNumId="47" w15:restartNumberingAfterBreak="0">
    <w:nsid w:val="775975B9"/>
    <w:multiLevelType w:val="multilevel"/>
    <w:tmpl w:val="2320D4B8"/>
    <w:numStyleLink w:val="List-Bullets"/>
  </w:abstractNum>
  <w:abstractNum w:abstractNumId="48" w15:restartNumberingAfterBreak="0">
    <w:nsid w:val="77D14E44"/>
    <w:multiLevelType w:val="multilevel"/>
    <w:tmpl w:val="67E0978A"/>
    <w:numStyleLink w:val="List-PrioritiesandActions"/>
  </w:abstractNum>
  <w:abstractNum w:abstractNumId="49"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29326316">
    <w:abstractNumId w:val="4"/>
    <w:lvlOverride w:ilvl="0">
      <w:startOverride w:val="1"/>
    </w:lvlOverride>
  </w:num>
  <w:num w:numId="2" w16cid:durableId="512916209">
    <w:abstractNumId w:val="6"/>
    <w:lvlOverride w:ilvl="0">
      <w:startOverride w:val="1"/>
    </w:lvlOverride>
  </w:num>
  <w:num w:numId="3" w16cid:durableId="963661626">
    <w:abstractNumId w:val="6"/>
    <w:lvlOverride w:ilvl="0">
      <w:startOverride w:val="1"/>
    </w:lvlOverride>
  </w:num>
  <w:num w:numId="4" w16cid:durableId="1923951957">
    <w:abstractNumId w:val="3"/>
  </w:num>
  <w:num w:numId="5" w16cid:durableId="1831367838">
    <w:abstractNumId w:val="2"/>
  </w:num>
  <w:num w:numId="6" w16cid:durableId="95056733">
    <w:abstractNumId w:val="1"/>
  </w:num>
  <w:num w:numId="7" w16cid:durableId="1689869604">
    <w:abstractNumId w:val="34"/>
  </w:num>
  <w:num w:numId="8" w16cid:durableId="865749999">
    <w:abstractNumId w:val="22"/>
  </w:num>
  <w:num w:numId="9" w16cid:durableId="1957784271">
    <w:abstractNumId w:val="14"/>
  </w:num>
  <w:num w:numId="10" w16cid:durableId="925387072">
    <w:abstractNumId w:val="37"/>
  </w:num>
  <w:num w:numId="11" w16cid:durableId="2035106448">
    <w:abstractNumId w:val="32"/>
  </w:num>
  <w:num w:numId="12" w16cid:durableId="287124242">
    <w:abstractNumId w:val="44"/>
  </w:num>
  <w:num w:numId="13" w16cid:durableId="1098059017">
    <w:abstractNumId w:val="29"/>
  </w:num>
  <w:num w:numId="14" w16cid:durableId="358312492">
    <w:abstractNumId w:val="0"/>
  </w:num>
  <w:num w:numId="15" w16cid:durableId="709110662">
    <w:abstractNumId w:val="31"/>
  </w:num>
  <w:num w:numId="16" w16cid:durableId="410204104">
    <w:abstractNumId w:val="16"/>
  </w:num>
  <w:num w:numId="17" w16cid:durableId="1839691483">
    <w:abstractNumId w:val="46"/>
  </w:num>
  <w:num w:numId="18" w16cid:durableId="1273443212">
    <w:abstractNumId w:val="23"/>
  </w:num>
  <w:num w:numId="19" w16cid:durableId="1194342321">
    <w:abstractNumId w:val="35"/>
  </w:num>
  <w:num w:numId="20" w16cid:durableId="15475980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6535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775024">
    <w:abstractNumId w:val="45"/>
  </w:num>
  <w:num w:numId="23" w16cid:durableId="493029275">
    <w:abstractNumId w:val="9"/>
  </w:num>
  <w:num w:numId="24" w16cid:durableId="135414100">
    <w:abstractNumId w:val="47"/>
  </w:num>
  <w:num w:numId="25" w16cid:durableId="1873809079">
    <w:abstractNumId w:val="30"/>
  </w:num>
  <w:num w:numId="26" w16cid:durableId="2141341203">
    <w:abstractNumId w:val="48"/>
  </w:num>
  <w:num w:numId="27" w16cid:durableId="716583612">
    <w:abstractNumId w:val="18"/>
  </w:num>
  <w:num w:numId="28" w16cid:durableId="174419277">
    <w:abstractNumId w:val="40"/>
  </w:num>
  <w:num w:numId="29" w16cid:durableId="1958099021">
    <w:abstractNumId w:val="24"/>
  </w:num>
  <w:num w:numId="30" w16cid:durableId="1778676681">
    <w:abstractNumId w:val="25"/>
  </w:num>
  <w:num w:numId="31" w16cid:durableId="1945069358">
    <w:abstractNumId w:val="15"/>
  </w:num>
  <w:num w:numId="32" w16cid:durableId="391999738">
    <w:abstractNumId w:val="10"/>
  </w:num>
  <w:num w:numId="33" w16cid:durableId="1641182028">
    <w:abstractNumId w:val="43"/>
  </w:num>
  <w:num w:numId="34" w16cid:durableId="1000963122">
    <w:abstractNumId w:val="41"/>
  </w:num>
  <w:num w:numId="35" w16cid:durableId="1184591409">
    <w:abstractNumId w:val="11"/>
  </w:num>
  <w:num w:numId="36" w16cid:durableId="2082948688">
    <w:abstractNumId w:val="19"/>
  </w:num>
  <w:num w:numId="37" w16cid:durableId="1981037920">
    <w:abstractNumId w:val="36"/>
  </w:num>
  <w:num w:numId="38" w16cid:durableId="1444153076">
    <w:abstractNumId w:val="39"/>
  </w:num>
  <w:num w:numId="39" w16cid:durableId="2127965468">
    <w:abstractNumId w:val="33"/>
  </w:num>
  <w:num w:numId="40" w16cid:durableId="21402957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39145297">
    <w:abstractNumId w:val="10"/>
  </w:num>
  <w:num w:numId="42" w16cid:durableId="2077391572">
    <w:abstractNumId w:val="42"/>
  </w:num>
  <w:num w:numId="43" w16cid:durableId="1533835162">
    <w:abstractNumId w:val="42"/>
  </w:num>
  <w:num w:numId="44" w16cid:durableId="1002583375">
    <w:abstractNumId w:val="42"/>
  </w:num>
  <w:num w:numId="45" w16cid:durableId="1180437537">
    <w:abstractNumId w:val="42"/>
  </w:num>
  <w:num w:numId="46" w16cid:durableId="597904190">
    <w:abstractNumId w:val="42"/>
  </w:num>
  <w:num w:numId="47" w16cid:durableId="8898069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5103259">
    <w:abstractNumId w:val="12"/>
  </w:num>
  <w:num w:numId="49" w16cid:durableId="1953825302">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AppendixName" w:val="Appendix"/>
  </w:docVars>
  <w:rsids>
    <w:rsidRoot w:val="00591043"/>
    <w:rsid w:val="00000370"/>
    <w:rsid w:val="00001520"/>
    <w:rsid w:val="000043E2"/>
    <w:rsid w:val="00004C2B"/>
    <w:rsid w:val="00004CE5"/>
    <w:rsid w:val="00004E98"/>
    <w:rsid w:val="0000731D"/>
    <w:rsid w:val="00007AE1"/>
    <w:rsid w:val="00010A6D"/>
    <w:rsid w:val="0001128B"/>
    <w:rsid w:val="000142F8"/>
    <w:rsid w:val="000144F5"/>
    <w:rsid w:val="00015815"/>
    <w:rsid w:val="0001756E"/>
    <w:rsid w:val="000203E2"/>
    <w:rsid w:val="00022807"/>
    <w:rsid w:val="00023256"/>
    <w:rsid w:val="00024621"/>
    <w:rsid w:val="00024E34"/>
    <w:rsid w:val="00026155"/>
    <w:rsid w:val="000261A5"/>
    <w:rsid w:val="000265A6"/>
    <w:rsid w:val="000274CC"/>
    <w:rsid w:val="00027DC6"/>
    <w:rsid w:val="0003656F"/>
    <w:rsid w:val="000375E5"/>
    <w:rsid w:val="00037A24"/>
    <w:rsid w:val="00037A39"/>
    <w:rsid w:val="0004105E"/>
    <w:rsid w:val="000422D0"/>
    <w:rsid w:val="00042507"/>
    <w:rsid w:val="00042CD5"/>
    <w:rsid w:val="00042FE1"/>
    <w:rsid w:val="000437C5"/>
    <w:rsid w:val="0004452C"/>
    <w:rsid w:val="00045CC5"/>
    <w:rsid w:val="00045ED8"/>
    <w:rsid w:val="0004697A"/>
    <w:rsid w:val="000474AE"/>
    <w:rsid w:val="00047720"/>
    <w:rsid w:val="000511F4"/>
    <w:rsid w:val="00054705"/>
    <w:rsid w:val="0005602D"/>
    <w:rsid w:val="00056547"/>
    <w:rsid w:val="00056740"/>
    <w:rsid w:val="00056870"/>
    <w:rsid w:val="000572EA"/>
    <w:rsid w:val="00057D0A"/>
    <w:rsid w:val="0006039D"/>
    <w:rsid w:val="000607DA"/>
    <w:rsid w:val="0006081F"/>
    <w:rsid w:val="00062DB2"/>
    <w:rsid w:val="000645C9"/>
    <w:rsid w:val="000649DA"/>
    <w:rsid w:val="00064C0F"/>
    <w:rsid w:val="00066EEE"/>
    <w:rsid w:val="00070208"/>
    <w:rsid w:val="00071857"/>
    <w:rsid w:val="00071C96"/>
    <w:rsid w:val="00072143"/>
    <w:rsid w:val="000721EC"/>
    <w:rsid w:val="00072210"/>
    <w:rsid w:val="000751DE"/>
    <w:rsid w:val="000766A9"/>
    <w:rsid w:val="00076CA7"/>
    <w:rsid w:val="000772A5"/>
    <w:rsid w:val="000806DD"/>
    <w:rsid w:val="00081E99"/>
    <w:rsid w:val="0008250D"/>
    <w:rsid w:val="00082648"/>
    <w:rsid w:val="000827C5"/>
    <w:rsid w:val="00082A06"/>
    <w:rsid w:val="00082AA0"/>
    <w:rsid w:val="000839A8"/>
    <w:rsid w:val="00084A59"/>
    <w:rsid w:val="00085FC6"/>
    <w:rsid w:val="00086266"/>
    <w:rsid w:val="000866D9"/>
    <w:rsid w:val="00090557"/>
    <w:rsid w:val="00090DC2"/>
    <w:rsid w:val="00091284"/>
    <w:rsid w:val="0009255F"/>
    <w:rsid w:val="00095575"/>
    <w:rsid w:val="000956D9"/>
    <w:rsid w:val="00097892"/>
    <w:rsid w:val="000979E2"/>
    <w:rsid w:val="000A015B"/>
    <w:rsid w:val="000A0429"/>
    <w:rsid w:val="000A0B7F"/>
    <w:rsid w:val="000A2BDA"/>
    <w:rsid w:val="000A46AE"/>
    <w:rsid w:val="000A5983"/>
    <w:rsid w:val="000A65CC"/>
    <w:rsid w:val="000A7024"/>
    <w:rsid w:val="000A72EE"/>
    <w:rsid w:val="000A7301"/>
    <w:rsid w:val="000B199E"/>
    <w:rsid w:val="000B1B76"/>
    <w:rsid w:val="000B1C57"/>
    <w:rsid w:val="000B28DF"/>
    <w:rsid w:val="000B2D79"/>
    <w:rsid w:val="000B44C4"/>
    <w:rsid w:val="000B54BB"/>
    <w:rsid w:val="000B5EAA"/>
    <w:rsid w:val="000B6DF9"/>
    <w:rsid w:val="000B7C6D"/>
    <w:rsid w:val="000C01A1"/>
    <w:rsid w:val="000C2764"/>
    <w:rsid w:val="000C2EE6"/>
    <w:rsid w:val="000D1C31"/>
    <w:rsid w:val="000D2B07"/>
    <w:rsid w:val="000D4C48"/>
    <w:rsid w:val="000D57BA"/>
    <w:rsid w:val="000D5B72"/>
    <w:rsid w:val="000E26CA"/>
    <w:rsid w:val="000E2F42"/>
    <w:rsid w:val="000E2F5C"/>
    <w:rsid w:val="000E48AD"/>
    <w:rsid w:val="000E4F00"/>
    <w:rsid w:val="000E7677"/>
    <w:rsid w:val="000F037B"/>
    <w:rsid w:val="000F03FF"/>
    <w:rsid w:val="000F3C61"/>
    <w:rsid w:val="000F46E7"/>
    <w:rsid w:val="000F6626"/>
    <w:rsid w:val="000F6702"/>
    <w:rsid w:val="000F67B6"/>
    <w:rsid w:val="000F67C0"/>
    <w:rsid w:val="000F7777"/>
    <w:rsid w:val="000F7D11"/>
    <w:rsid w:val="00101240"/>
    <w:rsid w:val="00102DBB"/>
    <w:rsid w:val="00103E41"/>
    <w:rsid w:val="001040D6"/>
    <w:rsid w:val="00106486"/>
    <w:rsid w:val="001064AA"/>
    <w:rsid w:val="0011125B"/>
    <w:rsid w:val="00111DC9"/>
    <w:rsid w:val="00112489"/>
    <w:rsid w:val="001170D9"/>
    <w:rsid w:val="00117E99"/>
    <w:rsid w:val="00122232"/>
    <w:rsid w:val="00122E25"/>
    <w:rsid w:val="0012356B"/>
    <w:rsid w:val="00124F58"/>
    <w:rsid w:val="001261B4"/>
    <w:rsid w:val="0012633C"/>
    <w:rsid w:val="00127783"/>
    <w:rsid w:val="00130270"/>
    <w:rsid w:val="001304B3"/>
    <w:rsid w:val="001304D3"/>
    <w:rsid w:val="00130CCA"/>
    <w:rsid w:val="00131720"/>
    <w:rsid w:val="00131A38"/>
    <w:rsid w:val="00133255"/>
    <w:rsid w:val="0013585E"/>
    <w:rsid w:val="00140412"/>
    <w:rsid w:val="00140618"/>
    <w:rsid w:val="00142717"/>
    <w:rsid w:val="001465AA"/>
    <w:rsid w:val="00147B6A"/>
    <w:rsid w:val="00147BAA"/>
    <w:rsid w:val="00147C6E"/>
    <w:rsid w:val="00151A6A"/>
    <w:rsid w:val="00152138"/>
    <w:rsid w:val="00152FC8"/>
    <w:rsid w:val="00154D14"/>
    <w:rsid w:val="00156823"/>
    <w:rsid w:val="00164198"/>
    <w:rsid w:val="00167128"/>
    <w:rsid w:val="00171F06"/>
    <w:rsid w:val="001726DE"/>
    <w:rsid w:val="00173ED8"/>
    <w:rsid w:val="001743AC"/>
    <w:rsid w:val="00174656"/>
    <w:rsid w:val="0017497F"/>
    <w:rsid w:val="00174E16"/>
    <w:rsid w:val="001762EA"/>
    <w:rsid w:val="00180F9D"/>
    <w:rsid w:val="001813CF"/>
    <w:rsid w:val="001829A5"/>
    <w:rsid w:val="00183448"/>
    <w:rsid w:val="00183AEE"/>
    <w:rsid w:val="00185234"/>
    <w:rsid w:val="00185CEF"/>
    <w:rsid w:val="00186FAD"/>
    <w:rsid w:val="001875A1"/>
    <w:rsid w:val="00187D19"/>
    <w:rsid w:val="00190B0E"/>
    <w:rsid w:val="001913F1"/>
    <w:rsid w:val="0019284F"/>
    <w:rsid w:val="0019385B"/>
    <w:rsid w:val="00194743"/>
    <w:rsid w:val="00194CBC"/>
    <w:rsid w:val="00195042"/>
    <w:rsid w:val="001955D3"/>
    <w:rsid w:val="0019618E"/>
    <w:rsid w:val="0019648F"/>
    <w:rsid w:val="00197A59"/>
    <w:rsid w:val="00197CFF"/>
    <w:rsid w:val="001A049B"/>
    <w:rsid w:val="001A1945"/>
    <w:rsid w:val="001A1B3E"/>
    <w:rsid w:val="001A4EDF"/>
    <w:rsid w:val="001A64D1"/>
    <w:rsid w:val="001B0966"/>
    <w:rsid w:val="001B137C"/>
    <w:rsid w:val="001B238F"/>
    <w:rsid w:val="001B428C"/>
    <w:rsid w:val="001B5CE2"/>
    <w:rsid w:val="001B6182"/>
    <w:rsid w:val="001B6CA0"/>
    <w:rsid w:val="001B7880"/>
    <w:rsid w:val="001C1EBF"/>
    <w:rsid w:val="001C1FAE"/>
    <w:rsid w:val="001C4F1D"/>
    <w:rsid w:val="001C5541"/>
    <w:rsid w:val="001C74ED"/>
    <w:rsid w:val="001C79BA"/>
    <w:rsid w:val="001D02CA"/>
    <w:rsid w:val="001D0AE5"/>
    <w:rsid w:val="001D36AC"/>
    <w:rsid w:val="001D4861"/>
    <w:rsid w:val="001D6A4C"/>
    <w:rsid w:val="001D7A09"/>
    <w:rsid w:val="001E00D7"/>
    <w:rsid w:val="001E02E2"/>
    <w:rsid w:val="001E0875"/>
    <w:rsid w:val="001E1332"/>
    <w:rsid w:val="001E1A59"/>
    <w:rsid w:val="001E1EB7"/>
    <w:rsid w:val="001E2324"/>
    <w:rsid w:val="001E3E10"/>
    <w:rsid w:val="001E4761"/>
    <w:rsid w:val="001E4787"/>
    <w:rsid w:val="001E486C"/>
    <w:rsid w:val="001E5344"/>
    <w:rsid w:val="001E54DC"/>
    <w:rsid w:val="001E5756"/>
    <w:rsid w:val="001E64BC"/>
    <w:rsid w:val="001E7E4D"/>
    <w:rsid w:val="001F3778"/>
    <w:rsid w:val="001F3C76"/>
    <w:rsid w:val="001F46B4"/>
    <w:rsid w:val="001F525A"/>
    <w:rsid w:val="001F554D"/>
    <w:rsid w:val="001F63E8"/>
    <w:rsid w:val="001F69E8"/>
    <w:rsid w:val="001F6A8B"/>
    <w:rsid w:val="001F6CBB"/>
    <w:rsid w:val="001F6EAA"/>
    <w:rsid w:val="00200513"/>
    <w:rsid w:val="00200FC2"/>
    <w:rsid w:val="00201A9C"/>
    <w:rsid w:val="00202A14"/>
    <w:rsid w:val="002042AB"/>
    <w:rsid w:val="00204EC8"/>
    <w:rsid w:val="002052FF"/>
    <w:rsid w:val="00205C10"/>
    <w:rsid w:val="0020600A"/>
    <w:rsid w:val="00207556"/>
    <w:rsid w:val="00207641"/>
    <w:rsid w:val="00211BE8"/>
    <w:rsid w:val="0021202B"/>
    <w:rsid w:val="00213F8F"/>
    <w:rsid w:val="00215D62"/>
    <w:rsid w:val="00217613"/>
    <w:rsid w:val="002211FF"/>
    <w:rsid w:val="0022375D"/>
    <w:rsid w:val="00223BF2"/>
    <w:rsid w:val="00225559"/>
    <w:rsid w:val="002269E0"/>
    <w:rsid w:val="002301C0"/>
    <w:rsid w:val="00231084"/>
    <w:rsid w:val="00231219"/>
    <w:rsid w:val="00231C21"/>
    <w:rsid w:val="00233AD8"/>
    <w:rsid w:val="00234180"/>
    <w:rsid w:val="002411D2"/>
    <w:rsid w:val="002415B4"/>
    <w:rsid w:val="00241CC6"/>
    <w:rsid w:val="00241CE0"/>
    <w:rsid w:val="00241E41"/>
    <w:rsid w:val="00242107"/>
    <w:rsid w:val="002436A6"/>
    <w:rsid w:val="002438B7"/>
    <w:rsid w:val="0024420B"/>
    <w:rsid w:val="002447E7"/>
    <w:rsid w:val="00244A46"/>
    <w:rsid w:val="0024773F"/>
    <w:rsid w:val="00251443"/>
    <w:rsid w:val="002525C8"/>
    <w:rsid w:val="00255DA6"/>
    <w:rsid w:val="002563B0"/>
    <w:rsid w:val="002568BE"/>
    <w:rsid w:val="00257C0E"/>
    <w:rsid w:val="00260402"/>
    <w:rsid w:val="00260C86"/>
    <w:rsid w:val="00261882"/>
    <w:rsid w:val="00263CD7"/>
    <w:rsid w:val="002648C3"/>
    <w:rsid w:val="00264EBE"/>
    <w:rsid w:val="0026549B"/>
    <w:rsid w:val="002740C3"/>
    <w:rsid w:val="00274408"/>
    <w:rsid w:val="00274497"/>
    <w:rsid w:val="002751D4"/>
    <w:rsid w:val="00275960"/>
    <w:rsid w:val="00277123"/>
    <w:rsid w:val="0027765D"/>
    <w:rsid w:val="002817D0"/>
    <w:rsid w:val="00282CEF"/>
    <w:rsid w:val="00283BAA"/>
    <w:rsid w:val="002851AC"/>
    <w:rsid w:val="00287C46"/>
    <w:rsid w:val="00287F5A"/>
    <w:rsid w:val="00292BD0"/>
    <w:rsid w:val="002935CD"/>
    <w:rsid w:val="00294353"/>
    <w:rsid w:val="00295DD1"/>
    <w:rsid w:val="002966AA"/>
    <w:rsid w:val="00297095"/>
    <w:rsid w:val="002A0DB9"/>
    <w:rsid w:val="002A0FC8"/>
    <w:rsid w:val="002A1EF1"/>
    <w:rsid w:val="002A2819"/>
    <w:rsid w:val="002A412C"/>
    <w:rsid w:val="002A4213"/>
    <w:rsid w:val="002A47BE"/>
    <w:rsid w:val="002A535A"/>
    <w:rsid w:val="002A591A"/>
    <w:rsid w:val="002A6425"/>
    <w:rsid w:val="002A6552"/>
    <w:rsid w:val="002A7930"/>
    <w:rsid w:val="002A7CC0"/>
    <w:rsid w:val="002B2206"/>
    <w:rsid w:val="002B226B"/>
    <w:rsid w:val="002B2E41"/>
    <w:rsid w:val="002B45CB"/>
    <w:rsid w:val="002B48AF"/>
    <w:rsid w:val="002B4C5B"/>
    <w:rsid w:val="002B5334"/>
    <w:rsid w:val="002B60F7"/>
    <w:rsid w:val="002B64D6"/>
    <w:rsid w:val="002B6589"/>
    <w:rsid w:val="002B67F4"/>
    <w:rsid w:val="002C002F"/>
    <w:rsid w:val="002C22E0"/>
    <w:rsid w:val="002C55C3"/>
    <w:rsid w:val="002C657D"/>
    <w:rsid w:val="002C78E5"/>
    <w:rsid w:val="002D0BDE"/>
    <w:rsid w:val="002D1D33"/>
    <w:rsid w:val="002D2A92"/>
    <w:rsid w:val="002D395A"/>
    <w:rsid w:val="002D5EBD"/>
    <w:rsid w:val="002D61AE"/>
    <w:rsid w:val="002D61C9"/>
    <w:rsid w:val="002D6204"/>
    <w:rsid w:val="002D642F"/>
    <w:rsid w:val="002D6E73"/>
    <w:rsid w:val="002D7376"/>
    <w:rsid w:val="002E0975"/>
    <w:rsid w:val="002E1490"/>
    <w:rsid w:val="002E1755"/>
    <w:rsid w:val="002E317E"/>
    <w:rsid w:val="002E4153"/>
    <w:rsid w:val="002E55B1"/>
    <w:rsid w:val="002E5CB2"/>
    <w:rsid w:val="002E61AC"/>
    <w:rsid w:val="002E7276"/>
    <w:rsid w:val="002F3B7F"/>
    <w:rsid w:val="002F3CD1"/>
    <w:rsid w:val="002F47B6"/>
    <w:rsid w:val="002F4DF6"/>
    <w:rsid w:val="002F603A"/>
    <w:rsid w:val="002F6A88"/>
    <w:rsid w:val="002F7A85"/>
    <w:rsid w:val="00301F3E"/>
    <w:rsid w:val="003042D6"/>
    <w:rsid w:val="00304E0B"/>
    <w:rsid w:val="00304E47"/>
    <w:rsid w:val="003052DB"/>
    <w:rsid w:val="00305B08"/>
    <w:rsid w:val="00305D69"/>
    <w:rsid w:val="00311847"/>
    <w:rsid w:val="00312E84"/>
    <w:rsid w:val="003131A3"/>
    <w:rsid w:val="0031331B"/>
    <w:rsid w:val="00313EF1"/>
    <w:rsid w:val="00314038"/>
    <w:rsid w:val="003153D0"/>
    <w:rsid w:val="0031549B"/>
    <w:rsid w:val="00316785"/>
    <w:rsid w:val="003170EB"/>
    <w:rsid w:val="00317F9D"/>
    <w:rsid w:val="00320536"/>
    <w:rsid w:val="00321D5D"/>
    <w:rsid w:val="003220B8"/>
    <w:rsid w:val="003221B7"/>
    <w:rsid w:val="003223A4"/>
    <w:rsid w:val="00322777"/>
    <w:rsid w:val="003235B9"/>
    <w:rsid w:val="003238AD"/>
    <w:rsid w:val="00326F9E"/>
    <w:rsid w:val="00331A8F"/>
    <w:rsid w:val="0033207C"/>
    <w:rsid w:val="00332AED"/>
    <w:rsid w:val="003340B0"/>
    <w:rsid w:val="00334477"/>
    <w:rsid w:val="00335EA5"/>
    <w:rsid w:val="00336631"/>
    <w:rsid w:val="0034029E"/>
    <w:rsid w:val="00341BB3"/>
    <w:rsid w:val="00341C55"/>
    <w:rsid w:val="00344E0A"/>
    <w:rsid w:val="0034551D"/>
    <w:rsid w:val="0034567D"/>
    <w:rsid w:val="00346E02"/>
    <w:rsid w:val="00347655"/>
    <w:rsid w:val="00347AF6"/>
    <w:rsid w:val="00351B93"/>
    <w:rsid w:val="003523C3"/>
    <w:rsid w:val="003527FB"/>
    <w:rsid w:val="003558C7"/>
    <w:rsid w:val="00355DF1"/>
    <w:rsid w:val="00355E53"/>
    <w:rsid w:val="00361E41"/>
    <w:rsid w:val="00361F82"/>
    <w:rsid w:val="0036419A"/>
    <w:rsid w:val="003645FE"/>
    <w:rsid w:val="0036541B"/>
    <w:rsid w:val="003666FF"/>
    <w:rsid w:val="003667BC"/>
    <w:rsid w:val="00366F48"/>
    <w:rsid w:val="00367450"/>
    <w:rsid w:val="00367ABA"/>
    <w:rsid w:val="00370DB1"/>
    <w:rsid w:val="00371137"/>
    <w:rsid w:val="00375A97"/>
    <w:rsid w:val="00375E06"/>
    <w:rsid w:val="00376F2D"/>
    <w:rsid w:val="00377B69"/>
    <w:rsid w:val="003812F2"/>
    <w:rsid w:val="003815D9"/>
    <w:rsid w:val="00381FD7"/>
    <w:rsid w:val="003835DF"/>
    <w:rsid w:val="00383CC5"/>
    <w:rsid w:val="003844C7"/>
    <w:rsid w:val="00384672"/>
    <w:rsid w:val="003851DC"/>
    <w:rsid w:val="003869F3"/>
    <w:rsid w:val="00387630"/>
    <w:rsid w:val="003879E9"/>
    <w:rsid w:val="00387FAD"/>
    <w:rsid w:val="0039076F"/>
    <w:rsid w:val="0039175C"/>
    <w:rsid w:val="00391A1F"/>
    <w:rsid w:val="00392688"/>
    <w:rsid w:val="00392D72"/>
    <w:rsid w:val="003954CC"/>
    <w:rsid w:val="00396C53"/>
    <w:rsid w:val="0039769A"/>
    <w:rsid w:val="00397AD6"/>
    <w:rsid w:val="00397F2D"/>
    <w:rsid w:val="003A0C75"/>
    <w:rsid w:val="003A1E9B"/>
    <w:rsid w:val="003A22D1"/>
    <w:rsid w:val="003A22ED"/>
    <w:rsid w:val="003A2707"/>
    <w:rsid w:val="003A29D0"/>
    <w:rsid w:val="003A46F8"/>
    <w:rsid w:val="003A4A90"/>
    <w:rsid w:val="003A5F7C"/>
    <w:rsid w:val="003A665E"/>
    <w:rsid w:val="003A6956"/>
    <w:rsid w:val="003B0873"/>
    <w:rsid w:val="003B25B9"/>
    <w:rsid w:val="003B2922"/>
    <w:rsid w:val="003B41FB"/>
    <w:rsid w:val="003B56A2"/>
    <w:rsid w:val="003B6B1C"/>
    <w:rsid w:val="003B7E42"/>
    <w:rsid w:val="003C0D0C"/>
    <w:rsid w:val="003C2A80"/>
    <w:rsid w:val="003C3262"/>
    <w:rsid w:val="003C3A75"/>
    <w:rsid w:val="003C46AE"/>
    <w:rsid w:val="003C4C4C"/>
    <w:rsid w:val="003C52C2"/>
    <w:rsid w:val="003C624C"/>
    <w:rsid w:val="003C771B"/>
    <w:rsid w:val="003C77B4"/>
    <w:rsid w:val="003C7B37"/>
    <w:rsid w:val="003D082B"/>
    <w:rsid w:val="003D1253"/>
    <w:rsid w:val="003D19EB"/>
    <w:rsid w:val="003D2348"/>
    <w:rsid w:val="003D5098"/>
    <w:rsid w:val="003D63A8"/>
    <w:rsid w:val="003D64CB"/>
    <w:rsid w:val="003D75B5"/>
    <w:rsid w:val="003E32FF"/>
    <w:rsid w:val="003E3739"/>
    <w:rsid w:val="003E3A9F"/>
    <w:rsid w:val="003E43B4"/>
    <w:rsid w:val="003E54F3"/>
    <w:rsid w:val="003F0691"/>
    <w:rsid w:val="003F09FF"/>
    <w:rsid w:val="003F0DDA"/>
    <w:rsid w:val="003F18B5"/>
    <w:rsid w:val="003F48F3"/>
    <w:rsid w:val="003F556A"/>
    <w:rsid w:val="003F7698"/>
    <w:rsid w:val="004003CF"/>
    <w:rsid w:val="004006DB"/>
    <w:rsid w:val="0040174E"/>
    <w:rsid w:val="00401F23"/>
    <w:rsid w:val="0040364A"/>
    <w:rsid w:val="004051D6"/>
    <w:rsid w:val="00405FC8"/>
    <w:rsid w:val="004067CE"/>
    <w:rsid w:val="0040699D"/>
    <w:rsid w:val="00407214"/>
    <w:rsid w:val="00407429"/>
    <w:rsid w:val="004100FF"/>
    <w:rsid w:val="0041036C"/>
    <w:rsid w:val="004118FF"/>
    <w:rsid w:val="00412051"/>
    <w:rsid w:val="00413909"/>
    <w:rsid w:val="0041505F"/>
    <w:rsid w:val="00415C8D"/>
    <w:rsid w:val="004172B1"/>
    <w:rsid w:val="004173D9"/>
    <w:rsid w:val="00417BB4"/>
    <w:rsid w:val="00417F99"/>
    <w:rsid w:val="00421D8E"/>
    <w:rsid w:val="004234FA"/>
    <w:rsid w:val="004237CA"/>
    <w:rsid w:val="004248AA"/>
    <w:rsid w:val="004259EB"/>
    <w:rsid w:val="00426584"/>
    <w:rsid w:val="004266BB"/>
    <w:rsid w:val="00426ADF"/>
    <w:rsid w:val="0042796D"/>
    <w:rsid w:val="004314A9"/>
    <w:rsid w:val="00431933"/>
    <w:rsid w:val="00431D45"/>
    <w:rsid w:val="00432053"/>
    <w:rsid w:val="004321BD"/>
    <w:rsid w:val="00433CBE"/>
    <w:rsid w:val="004347FB"/>
    <w:rsid w:val="00435AB2"/>
    <w:rsid w:val="00437E2E"/>
    <w:rsid w:val="00441A71"/>
    <w:rsid w:val="00441C3A"/>
    <w:rsid w:val="004424A5"/>
    <w:rsid w:val="00442706"/>
    <w:rsid w:val="004446AD"/>
    <w:rsid w:val="00444C86"/>
    <w:rsid w:val="00444D5A"/>
    <w:rsid w:val="00445A2E"/>
    <w:rsid w:val="004468A5"/>
    <w:rsid w:val="004502E0"/>
    <w:rsid w:val="004505C1"/>
    <w:rsid w:val="00450B13"/>
    <w:rsid w:val="00450B5D"/>
    <w:rsid w:val="00450B9C"/>
    <w:rsid w:val="00451249"/>
    <w:rsid w:val="0045224D"/>
    <w:rsid w:val="00452DD1"/>
    <w:rsid w:val="004544D6"/>
    <w:rsid w:val="0045582A"/>
    <w:rsid w:val="00455A6E"/>
    <w:rsid w:val="00455ECF"/>
    <w:rsid w:val="004564F4"/>
    <w:rsid w:val="0045681D"/>
    <w:rsid w:val="00457042"/>
    <w:rsid w:val="00460045"/>
    <w:rsid w:val="00461F5F"/>
    <w:rsid w:val="00465284"/>
    <w:rsid w:val="00466E55"/>
    <w:rsid w:val="00470041"/>
    <w:rsid w:val="00471085"/>
    <w:rsid w:val="00471CDC"/>
    <w:rsid w:val="00472D47"/>
    <w:rsid w:val="004735D6"/>
    <w:rsid w:val="004736EF"/>
    <w:rsid w:val="00474A86"/>
    <w:rsid w:val="00475F1C"/>
    <w:rsid w:val="00475F2C"/>
    <w:rsid w:val="00476877"/>
    <w:rsid w:val="004768E7"/>
    <w:rsid w:val="00476FC4"/>
    <w:rsid w:val="004770A8"/>
    <w:rsid w:val="00480696"/>
    <w:rsid w:val="00480731"/>
    <w:rsid w:val="00483EE2"/>
    <w:rsid w:val="00484420"/>
    <w:rsid w:val="004845B5"/>
    <w:rsid w:val="004850AE"/>
    <w:rsid w:val="00485952"/>
    <w:rsid w:val="00486015"/>
    <w:rsid w:val="004873D1"/>
    <w:rsid w:val="00487B73"/>
    <w:rsid w:val="00487C05"/>
    <w:rsid w:val="00487D7C"/>
    <w:rsid w:val="00490330"/>
    <w:rsid w:val="0049063A"/>
    <w:rsid w:val="004909BB"/>
    <w:rsid w:val="00491BE2"/>
    <w:rsid w:val="00492CD0"/>
    <w:rsid w:val="00492DD5"/>
    <w:rsid w:val="00493E0A"/>
    <w:rsid w:val="00494A2D"/>
    <w:rsid w:val="00496590"/>
    <w:rsid w:val="004970AE"/>
    <w:rsid w:val="0049778C"/>
    <w:rsid w:val="004A0804"/>
    <w:rsid w:val="004A131D"/>
    <w:rsid w:val="004A1468"/>
    <w:rsid w:val="004A20DA"/>
    <w:rsid w:val="004A26CE"/>
    <w:rsid w:val="004A43F1"/>
    <w:rsid w:val="004A44EA"/>
    <w:rsid w:val="004A616F"/>
    <w:rsid w:val="004A661C"/>
    <w:rsid w:val="004A7D44"/>
    <w:rsid w:val="004B048B"/>
    <w:rsid w:val="004B133F"/>
    <w:rsid w:val="004B311F"/>
    <w:rsid w:val="004B37FF"/>
    <w:rsid w:val="004B5B8D"/>
    <w:rsid w:val="004B69CD"/>
    <w:rsid w:val="004C037B"/>
    <w:rsid w:val="004C0F1F"/>
    <w:rsid w:val="004C1078"/>
    <w:rsid w:val="004C2B7C"/>
    <w:rsid w:val="004C32B3"/>
    <w:rsid w:val="004C350D"/>
    <w:rsid w:val="004C4C4A"/>
    <w:rsid w:val="004C5AEA"/>
    <w:rsid w:val="004D00DD"/>
    <w:rsid w:val="004D034D"/>
    <w:rsid w:val="004D1858"/>
    <w:rsid w:val="004D1E4E"/>
    <w:rsid w:val="004D4562"/>
    <w:rsid w:val="004D6521"/>
    <w:rsid w:val="004E1CD3"/>
    <w:rsid w:val="004E1ECE"/>
    <w:rsid w:val="004E41DE"/>
    <w:rsid w:val="004E6425"/>
    <w:rsid w:val="004E71B5"/>
    <w:rsid w:val="004E7F1A"/>
    <w:rsid w:val="004F07FC"/>
    <w:rsid w:val="004F2CB0"/>
    <w:rsid w:val="004F3B1D"/>
    <w:rsid w:val="004F54F5"/>
    <w:rsid w:val="004F579C"/>
    <w:rsid w:val="004F61E3"/>
    <w:rsid w:val="00503107"/>
    <w:rsid w:val="0050520D"/>
    <w:rsid w:val="00506A4F"/>
    <w:rsid w:val="00510F61"/>
    <w:rsid w:val="005202E4"/>
    <w:rsid w:val="005206AE"/>
    <w:rsid w:val="005207A3"/>
    <w:rsid w:val="00520B70"/>
    <w:rsid w:val="0052161D"/>
    <w:rsid w:val="00523C7C"/>
    <w:rsid w:val="00523DAB"/>
    <w:rsid w:val="00525D44"/>
    <w:rsid w:val="0052636C"/>
    <w:rsid w:val="005318B5"/>
    <w:rsid w:val="00532A9A"/>
    <w:rsid w:val="0053507B"/>
    <w:rsid w:val="00535159"/>
    <w:rsid w:val="0053666A"/>
    <w:rsid w:val="00536E4B"/>
    <w:rsid w:val="00536F0E"/>
    <w:rsid w:val="00537CF6"/>
    <w:rsid w:val="00537FE4"/>
    <w:rsid w:val="00540095"/>
    <w:rsid w:val="0054024B"/>
    <w:rsid w:val="005402F3"/>
    <w:rsid w:val="00541809"/>
    <w:rsid w:val="00543300"/>
    <w:rsid w:val="00544823"/>
    <w:rsid w:val="00545342"/>
    <w:rsid w:val="00545582"/>
    <w:rsid w:val="0054694A"/>
    <w:rsid w:val="00550B97"/>
    <w:rsid w:val="00552AD0"/>
    <w:rsid w:val="00554EF6"/>
    <w:rsid w:val="00555733"/>
    <w:rsid w:val="00560254"/>
    <w:rsid w:val="00561181"/>
    <w:rsid w:val="005620A0"/>
    <w:rsid w:val="00562126"/>
    <w:rsid w:val="00562E22"/>
    <w:rsid w:val="00563F4B"/>
    <w:rsid w:val="0056519E"/>
    <w:rsid w:val="0056634E"/>
    <w:rsid w:val="005669D2"/>
    <w:rsid w:val="005713BF"/>
    <w:rsid w:val="00571E1F"/>
    <w:rsid w:val="00572566"/>
    <w:rsid w:val="0057264C"/>
    <w:rsid w:val="00572F65"/>
    <w:rsid w:val="00573007"/>
    <w:rsid w:val="00574314"/>
    <w:rsid w:val="0057531B"/>
    <w:rsid w:val="00577A39"/>
    <w:rsid w:val="00577D02"/>
    <w:rsid w:val="00580A3E"/>
    <w:rsid w:val="005812D6"/>
    <w:rsid w:val="005814F5"/>
    <w:rsid w:val="0058177C"/>
    <w:rsid w:val="005853A1"/>
    <w:rsid w:val="0058778E"/>
    <w:rsid w:val="00591043"/>
    <w:rsid w:val="00594119"/>
    <w:rsid w:val="00594E20"/>
    <w:rsid w:val="0059753C"/>
    <w:rsid w:val="005A014A"/>
    <w:rsid w:val="005B084E"/>
    <w:rsid w:val="005B1723"/>
    <w:rsid w:val="005B19E5"/>
    <w:rsid w:val="005B1C02"/>
    <w:rsid w:val="005B1D38"/>
    <w:rsid w:val="005B2E08"/>
    <w:rsid w:val="005B405D"/>
    <w:rsid w:val="005B4DF0"/>
    <w:rsid w:val="005B5FA2"/>
    <w:rsid w:val="005B681A"/>
    <w:rsid w:val="005B7AAE"/>
    <w:rsid w:val="005C1587"/>
    <w:rsid w:val="005C1934"/>
    <w:rsid w:val="005C2BAF"/>
    <w:rsid w:val="005C3187"/>
    <w:rsid w:val="005C4CEE"/>
    <w:rsid w:val="005C5A81"/>
    <w:rsid w:val="005D13BF"/>
    <w:rsid w:val="005D174E"/>
    <w:rsid w:val="005D30BA"/>
    <w:rsid w:val="005D3B5C"/>
    <w:rsid w:val="005D3EB7"/>
    <w:rsid w:val="005D4929"/>
    <w:rsid w:val="005D4E86"/>
    <w:rsid w:val="005D587F"/>
    <w:rsid w:val="005D77A8"/>
    <w:rsid w:val="005E0747"/>
    <w:rsid w:val="005E078B"/>
    <w:rsid w:val="005E1150"/>
    <w:rsid w:val="005E212F"/>
    <w:rsid w:val="005E29E0"/>
    <w:rsid w:val="005E34BB"/>
    <w:rsid w:val="005E3834"/>
    <w:rsid w:val="005E50EE"/>
    <w:rsid w:val="005E652B"/>
    <w:rsid w:val="005E6746"/>
    <w:rsid w:val="005F12FA"/>
    <w:rsid w:val="005F1419"/>
    <w:rsid w:val="005F2B52"/>
    <w:rsid w:val="005F4391"/>
    <w:rsid w:val="005F4BD0"/>
    <w:rsid w:val="005F5B35"/>
    <w:rsid w:val="005F73AA"/>
    <w:rsid w:val="00600011"/>
    <w:rsid w:val="006009A5"/>
    <w:rsid w:val="00601B10"/>
    <w:rsid w:val="00602661"/>
    <w:rsid w:val="00602FDD"/>
    <w:rsid w:val="00604096"/>
    <w:rsid w:val="00604FF2"/>
    <w:rsid w:val="00605186"/>
    <w:rsid w:val="00605914"/>
    <w:rsid w:val="006111CE"/>
    <w:rsid w:val="00611841"/>
    <w:rsid w:val="0061283E"/>
    <w:rsid w:val="0061396C"/>
    <w:rsid w:val="00613E93"/>
    <w:rsid w:val="00614E0C"/>
    <w:rsid w:val="0061504F"/>
    <w:rsid w:val="00616BFA"/>
    <w:rsid w:val="00620E5D"/>
    <w:rsid w:val="006213E5"/>
    <w:rsid w:val="006219F0"/>
    <w:rsid w:val="00622742"/>
    <w:rsid w:val="00623735"/>
    <w:rsid w:val="00624472"/>
    <w:rsid w:val="00624A17"/>
    <w:rsid w:val="00625A50"/>
    <w:rsid w:val="006318BE"/>
    <w:rsid w:val="006327C8"/>
    <w:rsid w:val="0063365E"/>
    <w:rsid w:val="006343DA"/>
    <w:rsid w:val="0063472B"/>
    <w:rsid w:val="00634C9F"/>
    <w:rsid w:val="00635979"/>
    <w:rsid w:val="00635C83"/>
    <w:rsid w:val="00636345"/>
    <w:rsid w:val="00637B55"/>
    <w:rsid w:val="00641625"/>
    <w:rsid w:val="0064237B"/>
    <w:rsid w:val="00643070"/>
    <w:rsid w:val="006432EC"/>
    <w:rsid w:val="006443C7"/>
    <w:rsid w:val="00644B21"/>
    <w:rsid w:val="0064656C"/>
    <w:rsid w:val="00646735"/>
    <w:rsid w:val="00646880"/>
    <w:rsid w:val="00646A73"/>
    <w:rsid w:val="00646E9B"/>
    <w:rsid w:val="00647C12"/>
    <w:rsid w:val="00650AA1"/>
    <w:rsid w:val="006524C5"/>
    <w:rsid w:val="00653FB7"/>
    <w:rsid w:val="0065666C"/>
    <w:rsid w:val="00657CF5"/>
    <w:rsid w:val="00663024"/>
    <w:rsid w:val="00665C1F"/>
    <w:rsid w:val="00667AC4"/>
    <w:rsid w:val="00670268"/>
    <w:rsid w:val="00672EAD"/>
    <w:rsid w:val="00673304"/>
    <w:rsid w:val="00673720"/>
    <w:rsid w:val="00674F7F"/>
    <w:rsid w:val="00675B7B"/>
    <w:rsid w:val="00676180"/>
    <w:rsid w:val="006769CD"/>
    <w:rsid w:val="00682913"/>
    <w:rsid w:val="00682C72"/>
    <w:rsid w:val="00685C5A"/>
    <w:rsid w:val="00686048"/>
    <w:rsid w:val="00686ADF"/>
    <w:rsid w:val="00687D4A"/>
    <w:rsid w:val="00690619"/>
    <w:rsid w:val="00693408"/>
    <w:rsid w:val="00694510"/>
    <w:rsid w:val="006973D0"/>
    <w:rsid w:val="006A0F72"/>
    <w:rsid w:val="006A188F"/>
    <w:rsid w:val="006A28EA"/>
    <w:rsid w:val="006A28F1"/>
    <w:rsid w:val="006A2F63"/>
    <w:rsid w:val="006A322B"/>
    <w:rsid w:val="006A360A"/>
    <w:rsid w:val="006A3718"/>
    <w:rsid w:val="006A6439"/>
    <w:rsid w:val="006B12E5"/>
    <w:rsid w:val="006B293B"/>
    <w:rsid w:val="006B2F41"/>
    <w:rsid w:val="006B4756"/>
    <w:rsid w:val="006B5D29"/>
    <w:rsid w:val="006B6026"/>
    <w:rsid w:val="006B6588"/>
    <w:rsid w:val="006B6C32"/>
    <w:rsid w:val="006C078C"/>
    <w:rsid w:val="006C1BC9"/>
    <w:rsid w:val="006C37B7"/>
    <w:rsid w:val="006C50AC"/>
    <w:rsid w:val="006C512A"/>
    <w:rsid w:val="006C51CB"/>
    <w:rsid w:val="006C5552"/>
    <w:rsid w:val="006C56DF"/>
    <w:rsid w:val="006C6263"/>
    <w:rsid w:val="006C7F7B"/>
    <w:rsid w:val="006D03ED"/>
    <w:rsid w:val="006D07A8"/>
    <w:rsid w:val="006D1B1E"/>
    <w:rsid w:val="006D1F35"/>
    <w:rsid w:val="006D3E1E"/>
    <w:rsid w:val="006D5485"/>
    <w:rsid w:val="006D5FC5"/>
    <w:rsid w:val="006D7CA4"/>
    <w:rsid w:val="006D7CAA"/>
    <w:rsid w:val="006E2A8E"/>
    <w:rsid w:val="006E3ECD"/>
    <w:rsid w:val="006E4222"/>
    <w:rsid w:val="006E51B7"/>
    <w:rsid w:val="006E6386"/>
    <w:rsid w:val="006E77C0"/>
    <w:rsid w:val="006F01CC"/>
    <w:rsid w:val="006F074C"/>
    <w:rsid w:val="006F16E7"/>
    <w:rsid w:val="006F3353"/>
    <w:rsid w:val="006F6AD2"/>
    <w:rsid w:val="006F6DDE"/>
    <w:rsid w:val="006F6F7C"/>
    <w:rsid w:val="006F7456"/>
    <w:rsid w:val="006F7CCE"/>
    <w:rsid w:val="00700DF4"/>
    <w:rsid w:val="00702510"/>
    <w:rsid w:val="00703E43"/>
    <w:rsid w:val="00706B0A"/>
    <w:rsid w:val="0071078C"/>
    <w:rsid w:val="00710AFB"/>
    <w:rsid w:val="007113C0"/>
    <w:rsid w:val="00712400"/>
    <w:rsid w:val="00712950"/>
    <w:rsid w:val="00713923"/>
    <w:rsid w:val="0071571C"/>
    <w:rsid w:val="00715B3E"/>
    <w:rsid w:val="007163BF"/>
    <w:rsid w:val="007213E7"/>
    <w:rsid w:val="00722ABD"/>
    <w:rsid w:val="00722E01"/>
    <w:rsid w:val="00723A7F"/>
    <w:rsid w:val="00723DCC"/>
    <w:rsid w:val="0072593D"/>
    <w:rsid w:val="00726A50"/>
    <w:rsid w:val="00726F23"/>
    <w:rsid w:val="00727976"/>
    <w:rsid w:val="00727EB6"/>
    <w:rsid w:val="00730356"/>
    <w:rsid w:val="00731249"/>
    <w:rsid w:val="0073214A"/>
    <w:rsid w:val="007321DA"/>
    <w:rsid w:val="0073401D"/>
    <w:rsid w:val="0073410C"/>
    <w:rsid w:val="00735911"/>
    <w:rsid w:val="007361D8"/>
    <w:rsid w:val="00736BD1"/>
    <w:rsid w:val="007378D6"/>
    <w:rsid w:val="00737A99"/>
    <w:rsid w:val="007409F0"/>
    <w:rsid w:val="007422B4"/>
    <w:rsid w:val="00745675"/>
    <w:rsid w:val="007467AD"/>
    <w:rsid w:val="00747E91"/>
    <w:rsid w:val="007501B6"/>
    <w:rsid w:val="00750494"/>
    <w:rsid w:val="007526EF"/>
    <w:rsid w:val="00753922"/>
    <w:rsid w:val="00753BCC"/>
    <w:rsid w:val="00753F02"/>
    <w:rsid w:val="00754423"/>
    <w:rsid w:val="00755204"/>
    <w:rsid w:val="0075545B"/>
    <w:rsid w:val="00755C80"/>
    <w:rsid w:val="00755D3C"/>
    <w:rsid w:val="007564E9"/>
    <w:rsid w:val="0075769E"/>
    <w:rsid w:val="00757E5C"/>
    <w:rsid w:val="0076044D"/>
    <w:rsid w:val="00760AFD"/>
    <w:rsid w:val="00761695"/>
    <w:rsid w:val="007617C6"/>
    <w:rsid w:val="0076181B"/>
    <w:rsid w:val="00763146"/>
    <w:rsid w:val="00763E4C"/>
    <w:rsid w:val="0076641A"/>
    <w:rsid w:val="00770015"/>
    <w:rsid w:val="00771A31"/>
    <w:rsid w:val="0077215D"/>
    <w:rsid w:val="00772DEC"/>
    <w:rsid w:val="0077450D"/>
    <w:rsid w:val="007745B1"/>
    <w:rsid w:val="00774CB3"/>
    <w:rsid w:val="0077544D"/>
    <w:rsid w:val="007762D5"/>
    <w:rsid w:val="0077793D"/>
    <w:rsid w:val="00777F37"/>
    <w:rsid w:val="00780976"/>
    <w:rsid w:val="0078131A"/>
    <w:rsid w:val="00782E37"/>
    <w:rsid w:val="00784646"/>
    <w:rsid w:val="00784BA2"/>
    <w:rsid w:val="00785285"/>
    <w:rsid w:val="007865F1"/>
    <w:rsid w:val="00786E54"/>
    <w:rsid w:val="0079000F"/>
    <w:rsid w:val="0079114E"/>
    <w:rsid w:val="007916E0"/>
    <w:rsid w:val="00792615"/>
    <w:rsid w:val="00792EF8"/>
    <w:rsid w:val="0079314C"/>
    <w:rsid w:val="00794C93"/>
    <w:rsid w:val="00796434"/>
    <w:rsid w:val="007A06D3"/>
    <w:rsid w:val="007A0AA6"/>
    <w:rsid w:val="007A0D87"/>
    <w:rsid w:val="007A174B"/>
    <w:rsid w:val="007A1F9B"/>
    <w:rsid w:val="007A35F8"/>
    <w:rsid w:val="007A4AB9"/>
    <w:rsid w:val="007A5E86"/>
    <w:rsid w:val="007A5EFC"/>
    <w:rsid w:val="007A70BF"/>
    <w:rsid w:val="007B1BA4"/>
    <w:rsid w:val="007B1EF1"/>
    <w:rsid w:val="007B5667"/>
    <w:rsid w:val="007B5CC6"/>
    <w:rsid w:val="007B7514"/>
    <w:rsid w:val="007B7B7A"/>
    <w:rsid w:val="007C3017"/>
    <w:rsid w:val="007C3173"/>
    <w:rsid w:val="007C347F"/>
    <w:rsid w:val="007C35BA"/>
    <w:rsid w:val="007C3E1B"/>
    <w:rsid w:val="007C52C7"/>
    <w:rsid w:val="007C59D6"/>
    <w:rsid w:val="007C6616"/>
    <w:rsid w:val="007D0954"/>
    <w:rsid w:val="007D0B49"/>
    <w:rsid w:val="007D2122"/>
    <w:rsid w:val="007D27E7"/>
    <w:rsid w:val="007D5134"/>
    <w:rsid w:val="007D55D0"/>
    <w:rsid w:val="007D62B9"/>
    <w:rsid w:val="007D7B78"/>
    <w:rsid w:val="007E0A0D"/>
    <w:rsid w:val="007E0ECD"/>
    <w:rsid w:val="007E0FB4"/>
    <w:rsid w:val="007E15C9"/>
    <w:rsid w:val="007E3B4B"/>
    <w:rsid w:val="007E4B8B"/>
    <w:rsid w:val="007E5199"/>
    <w:rsid w:val="007E639A"/>
    <w:rsid w:val="007F0661"/>
    <w:rsid w:val="007F1620"/>
    <w:rsid w:val="007F193C"/>
    <w:rsid w:val="007F3377"/>
    <w:rsid w:val="007F36B2"/>
    <w:rsid w:val="007F42A8"/>
    <w:rsid w:val="007F42E0"/>
    <w:rsid w:val="007F638D"/>
    <w:rsid w:val="007F63BE"/>
    <w:rsid w:val="007F6B78"/>
    <w:rsid w:val="007F6EE4"/>
    <w:rsid w:val="0080044D"/>
    <w:rsid w:val="00801C7D"/>
    <w:rsid w:val="0080493E"/>
    <w:rsid w:val="0080519A"/>
    <w:rsid w:val="00805285"/>
    <w:rsid w:val="008054C5"/>
    <w:rsid w:val="00806F0F"/>
    <w:rsid w:val="00807B28"/>
    <w:rsid w:val="00807F70"/>
    <w:rsid w:val="0081026F"/>
    <w:rsid w:val="00811407"/>
    <w:rsid w:val="00811AEC"/>
    <w:rsid w:val="00813624"/>
    <w:rsid w:val="00813BD2"/>
    <w:rsid w:val="00814FF4"/>
    <w:rsid w:val="00815C4B"/>
    <w:rsid w:val="00816CB1"/>
    <w:rsid w:val="008173B5"/>
    <w:rsid w:val="00821CE9"/>
    <w:rsid w:val="0082465C"/>
    <w:rsid w:val="00824818"/>
    <w:rsid w:val="00831224"/>
    <w:rsid w:val="00831870"/>
    <w:rsid w:val="008338D0"/>
    <w:rsid w:val="008339B0"/>
    <w:rsid w:val="00834181"/>
    <w:rsid w:val="00834314"/>
    <w:rsid w:val="0083562C"/>
    <w:rsid w:val="0083589F"/>
    <w:rsid w:val="00836F56"/>
    <w:rsid w:val="00842943"/>
    <w:rsid w:val="00843610"/>
    <w:rsid w:val="008455E7"/>
    <w:rsid w:val="00846211"/>
    <w:rsid w:val="00847301"/>
    <w:rsid w:val="0084783D"/>
    <w:rsid w:val="00850D66"/>
    <w:rsid w:val="00852119"/>
    <w:rsid w:val="00852B0E"/>
    <w:rsid w:val="00853433"/>
    <w:rsid w:val="00855889"/>
    <w:rsid w:val="00855D11"/>
    <w:rsid w:val="00855F84"/>
    <w:rsid w:val="008562BA"/>
    <w:rsid w:val="00856528"/>
    <w:rsid w:val="008574B7"/>
    <w:rsid w:val="00857563"/>
    <w:rsid w:val="00857702"/>
    <w:rsid w:val="0086052B"/>
    <w:rsid w:val="00861FF1"/>
    <w:rsid w:val="008623BE"/>
    <w:rsid w:val="008652A1"/>
    <w:rsid w:val="00865986"/>
    <w:rsid w:val="00867067"/>
    <w:rsid w:val="0087028B"/>
    <w:rsid w:val="00870408"/>
    <w:rsid w:val="008708E6"/>
    <w:rsid w:val="00870E39"/>
    <w:rsid w:val="00873AEB"/>
    <w:rsid w:val="0087424E"/>
    <w:rsid w:val="008754FC"/>
    <w:rsid w:val="00876CC3"/>
    <w:rsid w:val="00880055"/>
    <w:rsid w:val="00880B76"/>
    <w:rsid w:val="00881A08"/>
    <w:rsid w:val="00881C97"/>
    <w:rsid w:val="00887731"/>
    <w:rsid w:val="00890680"/>
    <w:rsid w:val="00891721"/>
    <w:rsid w:val="008932B0"/>
    <w:rsid w:val="00895669"/>
    <w:rsid w:val="008A07A8"/>
    <w:rsid w:val="008A13D8"/>
    <w:rsid w:val="008A19C6"/>
    <w:rsid w:val="008A28C9"/>
    <w:rsid w:val="008A3555"/>
    <w:rsid w:val="008A45D4"/>
    <w:rsid w:val="008A4A22"/>
    <w:rsid w:val="008A5709"/>
    <w:rsid w:val="008A72FB"/>
    <w:rsid w:val="008B0AF1"/>
    <w:rsid w:val="008B213F"/>
    <w:rsid w:val="008B39DB"/>
    <w:rsid w:val="008B5C04"/>
    <w:rsid w:val="008B6352"/>
    <w:rsid w:val="008B6572"/>
    <w:rsid w:val="008C1714"/>
    <w:rsid w:val="008C1A6F"/>
    <w:rsid w:val="008C1D9C"/>
    <w:rsid w:val="008C6784"/>
    <w:rsid w:val="008D1AA0"/>
    <w:rsid w:val="008D2DDA"/>
    <w:rsid w:val="008D388A"/>
    <w:rsid w:val="008D4097"/>
    <w:rsid w:val="008D4AC5"/>
    <w:rsid w:val="008D6C74"/>
    <w:rsid w:val="008D7A48"/>
    <w:rsid w:val="008E1C95"/>
    <w:rsid w:val="008E2476"/>
    <w:rsid w:val="008E393C"/>
    <w:rsid w:val="008E3CEA"/>
    <w:rsid w:val="008E795E"/>
    <w:rsid w:val="008E7F6D"/>
    <w:rsid w:val="008F5851"/>
    <w:rsid w:val="008F6ED9"/>
    <w:rsid w:val="00900FE3"/>
    <w:rsid w:val="00902599"/>
    <w:rsid w:val="009050C6"/>
    <w:rsid w:val="009061CD"/>
    <w:rsid w:val="009066E4"/>
    <w:rsid w:val="00912E6B"/>
    <w:rsid w:val="009131BD"/>
    <w:rsid w:val="00913EC1"/>
    <w:rsid w:val="00914348"/>
    <w:rsid w:val="00920EF5"/>
    <w:rsid w:val="0092191A"/>
    <w:rsid w:val="00922C78"/>
    <w:rsid w:val="0092326F"/>
    <w:rsid w:val="00923FD6"/>
    <w:rsid w:val="00924B15"/>
    <w:rsid w:val="00924D6D"/>
    <w:rsid w:val="00925081"/>
    <w:rsid w:val="0092509D"/>
    <w:rsid w:val="0092531C"/>
    <w:rsid w:val="00925C6C"/>
    <w:rsid w:val="00926221"/>
    <w:rsid w:val="00927535"/>
    <w:rsid w:val="009326E6"/>
    <w:rsid w:val="00933021"/>
    <w:rsid w:val="00935233"/>
    <w:rsid w:val="00935AF0"/>
    <w:rsid w:val="00936490"/>
    <w:rsid w:val="00936933"/>
    <w:rsid w:val="00936B97"/>
    <w:rsid w:val="0093756A"/>
    <w:rsid w:val="00937DA6"/>
    <w:rsid w:val="00941354"/>
    <w:rsid w:val="009416B5"/>
    <w:rsid w:val="00941EBE"/>
    <w:rsid w:val="009439E2"/>
    <w:rsid w:val="00944C64"/>
    <w:rsid w:val="0094529E"/>
    <w:rsid w:val="009456C6"/>
    <w:rsid w:val="0094674C"/>
    <w:rsid w:val="00946D87"/>
    <w:rsid w:val="00946EF7"/>
    <w:rsid w:val="00951DC8"/>
    <w:rsid w:val="00952FFD"/>
    <w:rsid w:val="00953E06"/>
    <w:rsid w:val="0095557D"/>
    <w:rsid w:val="00955E32"/>
    <w:rsid w:val="00956E2C"/>
    <w:rsid w:val="00957FB6"/>
    <w:rsid w:val="009637A6"/>
    <w:rsid w:val="00964C3E"/>
    <w:rsid w:val="00965135"/>
    <w:rsid w:val="009654DB"/>
    <w:rsid w:val="00965647"/>
    <w:rsid w:val="00966075"/>
    <w:rsid w:val="009668EB"/>
    <w:rsid w:val="00967260"/>
    <w:rsid w:val="00970AFF"/>
    <w:rsid w:val="009712FA"/>
    <w:rsid w:val="0097181E"/>
    <w:rsid w:val="00971D6D"/>
    <w:rsid w:val="00971FA0"/>
    <w:rsid w:val="00972048"/>
    <w:rsid w:val="00972B68"/>
    <w:rsid w:val="00974A56"/>
    <w:rsid w:val="00974D12"/>
    <w:rsid w:val="00975601"/>
    <w:rsid w:val="009756D4"/>
    <w:rsid w:val="00977E53"/>
    <w:rsid w:val="009808A9"/>
    <w:rsid w:val="00980C66"/>
    <w:rsid w:val="00980E83"/>
    <w:rsid w:val="0098394B"/>
    <w:rsid w:val="00985650"/>
    <w:rsid w:val="00985932"/>
    <w:rsid w:val="00986A98"/>
    <w:rsid w:val="00986D89"/>
    <w:rsid w:val="0098793F"/>
    <w:rsid w:val="00990B3C"/>
    <w:rsid w:val="009928F9"/>
    <w:rsid w:val="00993A84"/>
    <w:rsid w:val="00994063"/>
    <w:rsid w:val="0099459F"/>
    <w:rsid w:val="00996C2E"/>
    <w:rsid w:val="00997A65"/>
    <w:rsid w:val="009A248F"/>
    <w:rsid w:val="009A3528"/>
    <w:rsid w:val="009A3719"/>
    <w:rsid w:val="009A46C9"/>
    <w:rsid w:val="009A5D17"/>
    <w:rsid w:val="009A6309"/>
    <w:rsid w:val="009A76BF"/>
    <w:rsid w:val="009A7C2E"/>
    <w:rsid w:val="009B0446"/>
    <w:rsid w:val="009B1C9A"/>
    <w:rsid w:val="009B28DC"/>
    <w:rsid w:val="009B32CF"/>
    <w:rsid w:val="009B41D3"/>
    <w:rsid w:val="009B553E"/>
    <w:rsid w:val="009B55B5"/>
    <w:rsid w:val="009B5CCC"/>
    <w:rsid w:val="009B64F3"/>
    <w:rsid w:val="009B685A"/>
    <w:rsid w:val="009C076C"/>
    <w:rsid w:val="009C2D5C"/>
    <w:rsid w:val="009C31D8"/>
    <w:rsid w:val="009C38C5"/>
    <w:rsid w:val="009C520E"/>
    <w:rsid w:val="009C604A"/>
    <w:rsid w:val="009C66E1"/>
    <w:rsid w:val="009C7A6E"/>
    <w:rsid w:val="009D0A31"/>
    <w:rsid w:val="009D0E85"/>
    <w:rsid w:val="009D10AF"/>
    <w:rsid w:val="009D1FBA"/>
    <w:rsid w:val="009D39DF"/>
    <w:rsid w:val="009D5262"/>
    <w:rsid w:val="009D6534"/>
    <w:rsid w:val="009D75F1"/>
    <w:rsid w:val="009D7E6B"/>
    <w:rsid w:val="009E0902"/>
    <w:rsid w:val="009E3071"/>
    <w:rsid w:val="009E4C04"/>
    <w:rsid w:val="009E5335"/>
    <w:rsid w:val="009E5B43"/>
    <w:rsid w:val="009E6511"/>
    <w:rsid w:val="009E6873"/>
    <w:rsid w:val="009E6FBE"/>
    <w:rsid w:val="009E77F5"/>
    <w:rsid w:val="009F2224"/>
    <w:rsid w:val="009F3196"/>
    <w:rsid w:val="009F4264"/>
    <w:rsid w:val="009F4681"/>
    <w:rsid w:val="009F6311"/>
    <w:rsid w:val="009F6DB2"/>
    <w:rsid w:val="009F6FAF"/>
    <w:rsid w:val="009F7105"/>
    <w:rsid w:val="009F7B68"/>
    <w:rsid w:val="009F7F1A"/>
    <w:rsid w:val="00A0128A"/>
    <w:rsid w:val="00A01D13"/>
    <w:rsid w:val="00A0219E"/>
    <w:rsid w:val="00A03360"/>
    <w:rsid w:val="00A03C37"/>
    <w:rsid w:val="00A04662"/>
    <w:rsid w:val="00A05980"/>
    <w:rsid w:val="00A071B1"/>
    <w:rsid w:val="00A071C7"/>
    <w:rsid w:val="00A1099C"/>
    <w:rsid w:val="00A121B3"/>
    <w:rsid w:val="00A123A2"/>
    <w:rsid w:val="00A12D8D"/>
    <w:rsid w:val="00A13555"/>
    <w:rsid w:val="00A13CAD"/>
    <w:rsid w:val="00A1563E"/>
    <w:rsid w:val="00A16331"/>
    <w:rsid w:val="00A17B97"/>
    <w:rsid w:val="00A20B4A"/>
    <w:rsid w:val="00A2103C"/>
    <w:rsid w:val="00A2171B"/>
    <w:rsid w:val="00A2352F"/>
    <w:rsid w:val="00A24CF2"/>
    <w:rsid w:val="00A2777E"/>
    <w:rsid w:val="00A30D33"/>
    <w:rsid w:val="00A32F11"/>
    <w:rsid w:val="00A334D5"/>
    <w:rsid w:val="00A33AD0"/>
    <w:rsid w:val="00A34139"/>
    <w:rsid w:val="00A3469A"/>
    <w:rsid w:val="00A34A6C"/>
    <w:rsid w:val="00A37232"/>
    <w:rsid w:val="00A37343"/>
    <w:rsid w:val="00A41267"/>
    <w:rsid w:val="00A41A18"/>
    <w:rsid w:val="00A420DE"/>
    <w:rsid w:val="00A46880"/>
    <w:rsid w:val="00A46917"/>
    <w:rsid w:val="00A47093"/>
    <w:rsid w:val="00A5069B"/>
    <w:rsid w:val="00A5173F"/>
    <w:rsid w:val="00A53A11"/>
    <w:rsid w:val="00A56746"/>
    <w:rsid w:val="00A60820"/>
    <w:rsid w:val="00A6238C"/>
    <w:rsid w:val="00A62FDA"/>
    <w:rsid w:val="00A630A1"/>
    <w:rsid w:val="00A63645"/>
    <w:rsid w:val="00A656C2"/>
    <w:rsid w:val="00A702AA"/>
    <w:rsid w:val="00A70DDE"/>
    <w:rsid w:val="00A72FB5"/>
    <w:rsid w:val="00A73F14"/>
    <w:rsid w:val="00A777A2"/>
    <w:rsid w:val="00A83439"/>
    <w:rsid w:val="00A83954"/>
    <w:rsid w:val="00A84359"/>
    <w:rsid w:val="00A8616D"/>
    <w:rsid w:val="00A8651A"/>
    <w:rsid w:val="00A86B3A"/>
    <w:rsid w:val="00A86DB0"/>
    <w:rsid w:val="00A87D2B"/>
    <w:rsid w:val="00A90B29"/>
    <w:rsid w:val="00A91E78"/>
    <w:rsid w:val="00A923EF"/>
    <w:rsid w:val="00A92CFC"/>
    <w:rsid w:val="00A9303E"/>
    <w:rsid w:val="00A941AA"/>
    <w:rsid w:val="00A97764"/>
    <w:rsid w:val="00AA15EF"/>
    <w:rsid w:val="00AA1860"/>
    <w:rsid w:val="00AA1E67"/>
    <w:rsid w:val="00AA28BA"/>
    <w:rsid w:val="00AA37FD"/>
    <w:rsid w:val="00AA4303"/>
    <w:rsid w:val="00AA50CD"/>
    <w:rsid w:val="00AA741F"/>
    <w:rsid w:val="00AB03E1"/>
    <w:rsid w:val="00AB23B0"/>
    <w:rsid w:val="00AB536B"/>
    <w:rsid w:val="00AB5727"/>
    <w:rsid w:val="00AB6132"/>
    <w:rsid w:val="00AB6F7F"/>
    <w:rsid w:val="00AB71C8"/>
    <w:rsid w:val="00AC14A8"/>
    <w:rsid w:val="00AC1F57"/>
    <w:rsid w:val="00AC30BF"/>
    <w:rsid w:val="00AC4F7F"/>
    <w:rsid w:val="00AC553B"/>
    <w:rsid w:val="00AC750F"/>
    <w:rsid w:val="00AC7855"/>
    <w:rsid w:val="00AC7FD1"/>
    <w:rsid w:val="00AD0AA9"/>
    <w:rsid w:val="00AD1B5B"/>
    <w:rsid w:val="00AD1D29"/>
    <w:rsid w:val="00AD23ED"/>
    <w:rsid w:val="00AD2B6E"/>
    <w:rsid w:val="00AD2BB9"/>
    <w:rsid w:val="00AD3A0A"/>
    <w:rsid w:val="00AD4933"/>
    <w:rsid w:val="00AD62B9"/>
    <w:rsid w:val="00AD796B"/>
    <w:rsid w:val="00AE262D"/>
    <w:rsid w:val="00AE2A53"/>
    <w:rsid w:val="00AE2F84"/>
    <w:rsid w:val="00AE3322"/>
    <w:rsid w:val="00AE3A0F"/>
    <w:rsid w:val="00AE40D9"/>
    <w:rsid w:val="00AF02E0"/>
    <w:rsid w:val="00AF0F63"/>
    <w:rsid w:val="00AF4BB4"/>
    <w:rsid w:val="00AF54E2"/>
    <w:rsid w:val="00AF5B9B"/>
    <w:rsid w:val="00B001E3"/>
    <w:rsid w:val="00B007FD"/>
    <w:rsid w:val="00B0154A"/>
    <w:rsid w:val="00B01F6E"/>
    <w:rsid w:val="00B035E8"/>
    <w:rsid w:val="00B07BEA"/>
    <w:rsid w:val="00B105EF"/>
    <w:rsid w:val="00B10B17"/>
    <w:rsid w:val="00B126DB"/>
    <w:rsid w:val="00B13DD5"/>
    <w:rsid w:val="00B1447C"/>
    <w:rsid w:val="00B146AB"/>
    <w:rsid w:val="00B14A67"/>
    <w:rsid w:val="00B152AF"/>
    <w:rsid w:val="00B1734A"/>
    <w:rsid w:val="00B17A0E"/>
    <w:rsid w:val="00B20E1F"/>
    <w:rsid w:val="00B210BA"/>
    <w:rsid w:val="00B21815"/>
    <w:rsid w:val="00B22008"/>
    <w:rsid w:val="00B224F6"/>
    <w:rsid w:val="00B226C5"/>
    <w:rsid w:val="00B26007"/>
    <w:rsid w:val="00B32129"/>
    <w:rsid w:val="00B33930"/>
    <w:rsid w:val="00B35991"/>
    <w:rsid w:val="00B3639F"/>
    <w:rsid w:val="00B37C65"/>
    <w:rsid w:val="00B37E5C"/>
    <w:rsid w:val="00B41922"/>
    <w:rsid w:val="00B4277A"/>
    <w:rsid w:val="00B42BCC"/>
    <w:rsid w:val="00B45345"/>
    <w:rsid w:val="00B46D1B"/>
    <w:rsid w:val="00B506D3"/>
    <w:rsid w:val="00B50A11"/>
    <w:rsid w:val="00B52595"/>
    <w:rsid w:val="00B53D5A"/>
    <w:rsid w:val="00B5571F"/>
    <w:rsid w:val="00B61CE4"/>
    <w:rsid w:val="00B61F7F"/>
    <w:rsid w:val="00B62F7E"/>
    <w:rsid w:val="00B633C3"/>
    <w:rsid w:val="00B63E88"/>
    <w:rsid w:val="00B64C88"/>
    <w:rsid w:val="00B66B21"/>
    <w:rsid w:val="00B67236"/>
    <w:rsid w:val="00B71313"/>
    <w:rsid w:val="00B74C81"/>
    <w:rsid w:val="00B75A8E"/>
    <w:rsid w:val="00B75E1D"/>
    <w:rsid w:val="00B76198"/>
    <w:rsid w:val="00B762F0"/>
    <w:rsid w:val="00B766C3"/>
    <w:rsid w:val="00B771E4"/>
    <w:rsid w:val="00B77312"/>
    <w:rsid w:val="00B77C0A"/>
    <w:rsid w:val="00B81339"/>
    <w:rsid w:val="00B829E5"/>
    <w:rsid w:val="00B84907"/>
    <w:rsid w:val="00B8531B"/>
    <w:rsid w:val="00B85AC8"/>
    <w:rsid w:val="00B865F1"/>
    <w:rsid w:val="00B866D6"/>
    <w:rsid w:val="00B87FE1"/>
    <w:rsid w:val="00B90992"/>
    <w:rsid w:val="00B91943"/>
    <w:rsid w:val="00B923B5"/>
    <w:rsid w:val="00B935A2"/>
    <w:rsid w:val="00B939D2"/>
    <w:rsid w:val="00B93B1F"/>
    <w:rsid w:val="00B948D7"/>
    <w:rsid w:val="00B953ED"/>
    <w:rsid w:val="00B969E5"/>
    <w:rsid w:val="00B972F2"/>
    <w:rsid w:val="00B97C0D"/>
    <w:rsid w:val="00B97EED"/>
    <w:rsid w:val="00B97F0A"/>
    <w:rsid w:val="00BA0BC0"/>
    <w:rsid w:val="00BA1B01"/>
    <w:rsid w:val="00BA1F27"/>
    <w:rsid w:val="00BA2117"/>
    <w:rsid w:val="00BA3A61"/>
    <w:rsid w:val="00BA440D"/>
    <w:rsid w:val="00BA4B77"/>
    <w:rsid w:val="00BA5928"/>
    <w:rsid w:val="00BA5DBC"/>
    <w:rsid w:val="00BA7112"/>
    <w:rsid w:val="00BA7795"/>
    <w:rsid w:val="00BB579C"/>
    <w:rsid w:val="00BB702F"/>
    <w:rsid w:val="00BB72AB"/>
    <w:rsid w:val="00BC18BF"/>
    <w:rsid w:val="00BC2213"/>
    <w:rsid w:val="00BC3426"/>
    <w:rsid w:val="00BC48F3"/>
    <w:rsid w:val="00BC5E8E"/>
    <w:rsid w:val="00BC6F45"/>
    <w:rsid w:val="00BC719D"/>
    <w:rsid w:val="00BD1695"/>
    <w:rsid w:val="00BD3061"/>
    <w:rsid w:val="00BD32D7"/>
    <w:rsid w:val="00BD4A02"/>
    <w:rsid w:val="00BE00A9"/>
    <w:rsid w:val="00BE100F"/>
    <w:rsid w:val="00BE1183"/>
    <w:rsid w:val="00BE1269"/>
    <w:rsid w:val="00BE208B"/>
    <w:rsid w:val="00BE3129"/>
    <w:rsid w:val="00BE4B49"/>
    <w:rsid w:val="00BE6801"/>
    <w:rsid w:val="00BF0C1C"/>
    <w:rsid w:val="00BF1872"/>
    <w:rsid w:val="00BF31B1"/>
    <w:rsid w:val="00BF37A9"/>
    <w:rsid w:val="00BF51B3"/>
    <w:rsid w:val="00BF51D1"/>
    <w:rsid w:val="00BF5509"/>
    <w:rsid w:val="00BF7672"/>
    <w:rsid w:val="00C0039C"/>
    <w:rsid w:val="00C00CD0"/>
    <w:rsid w:val="00C017ED"/>
    <w:rsid w:val="00C020F1"/>
    <w:rsid w:val="00C0291B"/>
    <w:rsid w:val="00C02F82"/>
    <w:rsid w:val="00C04CD1"/>
    <w:rsid w:val="00C05120"/>
    <w:rsid w:val="00C05564"/>
    <w:rsid w:val="00C05740"/>
    <w:rsid w:val="00C0635E"/>
    <w:rsid w:val="00C06770"/>
    <w:rsid w:val="00C06A45"/>
    <w:rsid w:val="00C07190"/>
    <w:rsid w:val="00C15281"/>
    <w:rsid w:val="00C16168"/>
    <w:rsid w:val="00C16BC5"/>
    <w:rsid w:val="00C16E93"/>
    <w:rsid w:val="00C16FF6"/>
    <w:rsid w:val="00C17A09"/>
    <w:rsid w:val="00C2007C"/>
    <w:rsid w:val="00C22C2F"/>
    <w:rsid w:val="00C22DC1"/>
    <w:rsid w:val="00C23188"/>
    <w:rsid w:val="00C23C6E"/>
    <w:rsid w:val="00C23FCB"/>
    <w:rsid w:val="00C24653"/>
    <w:rsid w:val="00C26D10"/>
    <w:rsid w:val="00C2737D"/>
    <w:rsid w:val="00C30F2C"/>
    <w:rsid w:val="00C31A37"/>
    <w:rsid w:val="00C31FFE"/>
    <w:rsid w:val="00C36DE5"/>
    <w:rsid w:val="00C37C66"/>
    <w:rsid w:val="00C37F6A"/>
    <w:rsid w:val="00C404AF"/>
    <w:rsid w:val="00C40B53"/>
    <w:rsid w:val="00C4131B"/>
    <w:rsid w:val="00C42412"/>
    <w:rsid w:val="00C43131"/>
    <w:rsid w:val="00C43186"/>
    <w:rsid w:val="00C43E4D"/>
    <w:rsid w:val="00C441DF"/>
    <w:rsid w:val="00C443A7"/>
    <w:rsid w:val="00C46BF3"/>
    <w:rsid w:val="00C46EA0"/>
    <w:rsid w:val="00C507EA"/>
    <w:rsid w:val="00C52F30"/>
    <w:rsid w:val="00C5408C"/>
    <w:rsid w:val="00C5426F"/>
    <w:rsid w:val="00C548D4"/>
    <w:rsid w:val="00C54ACB"/>
    <w:rsid w:val="00C56033"/>
    <w:rsid w:val="00C560F2"/>
    <w:rsid w:val="00C5665E"/>
    <w:rsid w:val="00C60095"/>
    <w:rsid w:val="00C61E64"/>
    <w:rsid w:val="00C63563"/>
    <w:rsid w:val="00C649E3"/>
    <w:rsid w:val="00C660C4"/>
    <w:rsid w:val="00C70AF0"/>
    <w:rsid w:val="00C7240C"/>
    <w:rsid w:val="00C73DA2"/>
    <w:rsid w:val="00C74230"/>
    <w:rsid w:val="00C76E76"/>
    <w:rsid w:val="00C81B24"/>
    <w:rsid w:val="00C81FA2"/>
    <w:rsid w:val="00C845D4"/>
    <w:rsid w:val="00C85878"/>
    <w:rsid w:val="00C907A3"/>
    <w:rsid w:val="00C92427"/>
    <w:rsid w:val="00C94930"/>
    <w:rsid w:val="00C94A41"/>
    <w:rsid w:val="00C9554C"/>
    <w:rsid w:val="00C9612E"/>
    <w:rsid w:val="00C96C7E"/>
    <w:rsid w:val="00C97BEF"/>
    <w:rsid w:val="00C97F92"/>
    <w:rsid w:val="00CA07E9"/>
    <w:rsid w:val="00CA18DD"/>
    <w:rsid w:val="00CA1A95"/>
    <w:rsid w:val="00CA28F7"/>
    <w:rsid w:val="00CA2F7E"/>
    <w:rsid w:val="00CA3730"/>
    <w:rsid w:val="00CA42AE"/>
    <w:rsid w:val="00CA4F7D"/>
    <w:rsid w:val="00CA588C"/>
    <w:rsid w:val="00CB01B4"/>
    <w:rsid w:val="00CB0DAC"/>
    <w:rsid w:val="00CB1FA9"/>
    <w:rsid w:val="00CB2915"/>
    <w:rsid w:val="00CB2DA3"/>
    <w:rsid w:val="00CB6145"/>
    <w:rsid w:val="00CC123D"/>
    <w:rsid w:val="00CC646B"/>
    <w:rsid w:val="00CC65E7"/>
    <w:rsid w:val="00CD0062"/>
    <w:rsid w:val="00CD13FD"/>
    <w:rsid w:val="00CD382D"/>
    <w:rsid w:val="00CD4C69"/>
    <w:rsid w:val="00CD7FC6"/>
    <w:rsid w:val="00CE0B20"/>
    <w:rsid w:val="00CE1C2E"/>
    <w:rsid w:val="00CE2B52"/>
    <w:rsid w:val="00CE2C5D"/>
    <w:rsid w:val="00CE3F80"/>
    <w:rsid w:val="00CE5CA8"/>
    <w:rsid w:val="00CE6460"/>
    <w:rsid w:val="00CF009B"/>
    <w:rsid w:val="00CF1C46"/>
    <w:rsid w:val="00CF2066"/>
    <w:rsid w:val="00CF4685"/>
    <w:rsid w:val="00CF5685"/>
    <w:rsid w:val="00CF597C"/>
    <w:rsid w:val="00CF62C0"/>
    <w:rsid w:val="00D00427"/>
    <w:rsid w:val="00D01BA6"/>
    <w:rsid w:val="00D029CA"/>
    <w:rsid w:val="00D02C4A"/>
    <w:rsid w:val="00D02F9B"/>
    <w:rsid w:val="00D03971"/>
    <w:rsid w:val="00D058FE"/>
    <w:rsid w:val="00D06B71"/>
    <w:rsid w:val="00D06FA7"/>
    <w:rsid w:val="00D10EAB"/>
    <w:rsid w:val="00D11D84"/>
    <w:rsid w:val="00D121FC"/>
    <w:rsid w:val="00D13347"/>
    <w:rsid w:val="00D13749"/>
    <w:rsid w:val="00D15E5F"/>
    <w:rsid w:val="00D1760A"/>
    <w:rsid w:val="00D2064B"/>
    <w:rsid w:val="00D2134B"/>
    <w:rsid w:val="00D213FD"/>
    <w:rsid w:val="00D21F83"/>
    <w:rsid w:val="00D2308D"/>
    <w:rsid w:val="00D235DC"/>
    <w:rsid w:val="00D25A37"/>
    <w:rsid w:val="00D25EB9"/>
    <w:rsid w:val="00D262C0"/>
    <w:rsid w:val="00D27847"/>
    <w:rsid w:val="00D27C5A"/>
    <w:rsid w:val="00D30216"/>
    <w:rsid w:val="00D306AD"/>
    <w:rsid w:val="00D31996"/>
    <w:rsid w:val="00D31A86"/>
    <w:rsid w:val="00D34C21"/>
    <w:rsid w:val="00D3654B"/>
    <w:rsid w:val="00D36733"/>
    <w:rsid w:val="00D37A59"/>
    <w:rsid w:val="00D40E75"/>
    <w:rsid w:val="00D422D1"/>
    <w:rsid w:val="00D438B8"/>
    <w:rsid w:val="00D43AC0"/>
    <w:rsid w:val="00D46ACE"/>
    <w:rsid w:val="00D47537"/>
    <w:rsid w:val="00D51372"/>
    <w:rsid w:val="00D53DAC"/>
    <w:rsid w:val="00D56C2E"/>
    <w:rsid w:val="00D57298"/>
    <w:rsid w:val="00D57348"/>
    <w:rsid w:val="00D57691"/>
    <w:rsid w:val="00D57A77"/>
    <w:rsid w:val="00D60DA1"/>
    <w:rsid w:val="00D610CA"/>
    <w:rsid w:val="00D623CB"/>
    <w:rsid w:val="00D637A9"/>
    <w:rsid w:val="00D648E2"/>
    <w:rsid w:val="00D65596"/>
    <w:rsid w:val="00D66E68"/>
    <w:rsid w:val="00D67FED"/>
    <w:rsid w:val="00D70359"/>
    <w:rsid w:val="00D7082D"/>
    <w:rsid w:val="00D70EB7"/>
    <w:rsid w:val="00D71B08"/>
    <w:rsid w:val="00D72997"/>
    <w:rsid w:val="00D736A1"/>
    <w:rsid w:val="00D73813"/>
    <w:rsid w:val="00D73983"/>
    <w:rsid w:val="00D73BE8"/>
    <w:rsid w:val="00D73C0F"/>
    <w:rsid w:val="00D75469"/>
    <w:rsid w:val="00D76689"/>
    <w:rsid w:val="00D76A77"/>
    <w:rsid w:val="00D77363"/>
    <w:rsid w:val="00D77B87"/>
    <w:rsid w:val="00D81CF8"/>
    <w:rsid w:val="00D822F6"/>
    <w:rsid w:val="00D83C72"/>
    <w:rsid w:val="00D841E2"/>
    <w:rsid w:val="00D84DD0"/>
    <w:rsid w:val="00D85B20"/>
    <w:rsid w:val="00D85C8D"/>
    <w:rsid w:val="00D85C9C"/>
    <w:rsid w:val="00D85E0E"/>
    <w:rsid w:val="00D86509"/>
    <w:rsid w:val="00D87FFD"/>
    <w:rsid w:val="00D90877"/>
    <w:rsid w:val="00D90903"/>
    <w:rsid w:val="00D91D0D"/>
    <w:rsid w:val="00D92782"/>
    <w:rsid w:val="00D929FA"/>
    <w:rsid w:val="00D9300C"/>
    <w:rsid w:val="00D94305"/>
    <w:rsid w:val="00D954D3"/>
    <w:rsid w:val="00D95D24"/>
    <w:rsid w:val="00D9621A"/>
    <w:rsid w:val="00DA10C4"/>
    <w:rsid w:val="00DA1114"/>
    <w:rsid w:val="00DA1304"/>
    <w:rsid w:val="00DA2405"/>
    <w:rsid w:val="00DA2C97"/>
    <w:rsid w:val="00DA33A0"/>
    <w:rsid w:val="00DA3FD6"/>
    <w:rsid w:val="00DA5E57"/>
    <w:rsid w:val="00DA67C8"/>
    <w:rsid w:val="00DA6C6B"/>
    <w:rsid w:val="00DB0DCB"/>
    <w:rsid w:val="00DB1A74"/>
    <w:rsid w:val="00DB1B87"/>
    <w:rsid w:val="00DC1EB3"/>
    <w:rsid w:val="00DC2C7C"/>
    <w:rsid w:val="00DC2F7E"/>
    <w:rsid w:val="00DC5774"/>
    <w:rsid w:val="00DC63D7"/>
    <w:rsid w:val="00DD15FA"/>
    <w:rsid w:val="00DD3864"/>
    <w:rsid w:val="00DD3C46"/>
    <w:rsid w:val="00DD547B"/>
    <w:rsid w:val="00DD5A40"/>
    <w:rsid w:val="00DD6051"/>
    <w:rsid w:val="00DE19A6"/>
    <w:rsid w:val="00DE220A"/>
    <w:rsid w:val="00DE4B6B"/>
    <w:rsid w:val="00DE6392"/>
    <w:rsid w:val="00DE71A9"/>
    <w:rsid w:val="00DE7348"/>
    <w:rsid w:val="00DE7820"/>
    <w:rsid w:val="00DF1391"/>
    <w:rsid w:val="00DF1B20"/>
    <w:rsid w:val="00DF2431"/>
    <w:rsid w:val="00E02CDB"/>
    <w:rsid w:val="00E039CD"/>
    <w:rsid w:val="00E058C3"/>
    <w:rsid w:val="00E05EB8"/>
    <w:rsid w:val="00E05F92"/>
    <w:rsid w:val="00E062E7"/>
    <w:rsid w:val="00E06ACC"/>
    <w:rsid w:val="00E0732F"/>
    <w:rsid w:val="00E10375"/>
    <w:rsid w:val="00E13FF0"/>
    <w:rsid w:val="00E16014"/>
    <w:rsid w:val="00E1684B"/>
    <w:rsid w:val="00E17BF5"/>
    <w:rsid w:val="00E2137C"/>
    <w:rsid w:val="00E2194F"/>
    <w:rsid w:val="00E22F4A"/>
    <w:rsid w:val="00E244B1"/>
    <w:rsid w:val="00E2621F"/>
    <w:rsid w:val="00E30345"/>
    <w:rsid w:val="00E3416C"/>
    <w:rsid w:val="00E34F05"/>
    <w:rsid w:val="00E34F67"/>
    <w:rsid w:val="00E37200"/>
    <w:rsid w:val="00E40D0B"/>
    <w:rsid w:val="00E41410"/>
    <w:rsid w:val="00E41CAD"/>
    <w:rsid w:val="00E4258E"/>
    <w:rsid w:val="00E446B4"/>
    <w:rsid w:val="00E44D46"/>
    <w:rsid w:val="00E455AD"/>
    <w:rsid w:val="00E4646D"/>
    <w:rsid w:val="00E515BB"/>
    <w:rsid w:val="00E52507"/>
    <w:rsid w:val="00E52EA0"/>
    <w:rsid w:val="00E534AA"/>
    <w:rsid w:val="00E5406B"/>
    <w:rsid w:val="00E54092"/>
    <w:rsid w:val="00E552CD"/>
    <w:rsid w:val="00E560E2"/>
    <w:rsid w:val="00E56C5A"/>
    <w:rsid w:val="00E61376"/>
    <w:rsid w:val="00E6232A"/>
    <w:rsid w:val="00E62DD0"/>
    <w:rsid w:val="00E657BF"/>
    <w:rsid w:val="00E712BA"/>
    <w:rsid w:val="00E7345A"/>
    <w:rsid w:val="00E736D0"/>
    <w:rsid w:val="00E73F23"/>
    <w:rsid w:val="00E73FAC"/>
    <w:rsid w:val="00E76A0D"/>
    <w:rsid w:val="00E775C6"/>
    <w:rsid w:val="00E77A0E"/>
    <w:rsid w:val="00E81C43"/>
    <w:rsid w:val="00E82274"/>
    <w:rsid w:val="00E82E25"/>
    <w:rsid w:val="00E83715"/>
    <w:rsid w:val="00E851E2"/>
    <w:rsid w:val="00E858B5"/>
    <w:rsid w:val="00E86EC2"/>
    <w:rsid w:val="00E86F24"/>
    <w:rsid w:val="00E874B8"/>
    <w:rsid w:val="00E90C70"/>
    <w:rsid w:val="00E918F6"/>
    <w:rsid w:val="00E91B86"/>
    <w:rsid w:val="00E9231B"/>
    <w:rsid w:val="00E9277D"/>
    <w:rsid w:val="00E942FD"/>
    <w:rsid w:val="00E9460F"/>
    <w:rsid w:val="00E94A1C"/>
    <w:rsid w:val="00EA1B7A"/>
    <w:rsid w:val="00EA2130"/>
    <w:rsid w:val="00EA4993"/>
    <w:rsid w:val="00EA58D5"/>
    <w:rsid w:val="00EB05BF"/>
    <w:rsid w:val="00EB06DC"/>
    <w:rsid w:val="00EB1576"/>
    <w:rsid w:val="00EB1870"/>
    <w:rsid w:val="00EB1CC9"/>
    <w:rsid w:val="00EB403E"/>
    <w:rsid w:val="00EB482E"/>
    <w:rsid w:val="00EB58BC"/>
    <w:rsid w:val="00EB7406"/>
    <w:rsid w:val="00EC00A4"/>
    <w:rsid w:val="00EC0927"/>
    <w:rsid w:val="00EC3F78"/>
    <w:rsid w:val="00EC462D"/>
    <w:rsid w:val="00EC46A8"/>
    <w:rsid w:val="00EC4AF9"/>
    <w:rsid w:val="00EC4BE2"/>
    <w:rsid w:val="00EC52F8"/>
    <w:rsid w:val="00EC7F34"/>
    <w:rsid w:val="00ED0814"/>
    <w:rsid w:val="00ED0F48"/>
    <w:rsid w:val="00ED4928"/>
    <w:rsid w:val="00ED5571"/>
    <w:rsid w:val="00ED6021"/>
    <w:rsid w:val="00ED6903"/>
    <w:rsid w:val="00ED7629"/>
    <w:rsid w:val="00ED76BD"/>
    <w:rsid w:val="00ED7855"/>
    <w:rsid w:val="00EE0CC4"/>
    <w:rsid w:val="00EE14B8"/>
    <w:rsid w:val="00EE20A8"/>
    <w:rsid w:val="00EE4019"/>
    <w:rsid w:val="00EE45ED"/>
    <w:rsid w:val="00EE526D"/>
    <w:rsid w:val="00EE594A"/>
    <w:rsid w:val="00EE65B4"/>
    <w:rsid w:val="00EE70BD"/>
    <w:rsid w:val="00EF11AE"/>
    <w:rsid w:val="00EF2480"/>
    <w:rsid w:val="00EF307B"/>
    <w:rsid w:val="00EF44B9"/>
    <w:rsid w:val="00EF55D3"/>
    <w:rsid w:val="00EF6990"/>
    <w:rsid w:val="00EF6FE1"/>
    <w:rsid w:val="00EF7985"/>
    <w:rsid w:val="00F00280"/>
    <w:rsid w:val="00F01C00"/>
    <w:rsid w:val="00F02C4A"/>
    <w:rsid w:val="00F03682"/>
    <w:rsid w:val="00F03ED3"/>
    <w:rsid w:val="00F07D55"/>
    <w:rsid w:val="00F07F16"/>
    <w:rsid w:val="00F07FBE"/>
    <w:rsid w:val="00F11356"/>
    <w:rsid w:val="00F120BD"/>
    <w:rsid w:val="00F14B17"/>
    <w:rsid w:val="00F14F87"/>
    <w:rsid w:val="00F16E7C"/>
    <w:rsid w:val="00F21553"/>
    <w:rsid w:val="00F221D1"/>
    <w:rsid w:val="00F22D6F"/>
    <w:rsid w:val="00F22EE6"/>
    <w:rsid w:val="00F24B46"/>
    <w:rsid w:val="00F257CB"/>
    <w:rsid w:val="00F25AE1"/>
    <w:rsid w:val="00F25B34"/>
    <w:rsid w:val="00F26506"/>
    <w:rsid w:val="00F26F8D"/>
    <w:rsid w:val="00F27D5C"/>
    <w:rsid w:val="00F306AD"/>
    <w:rsid w:val="00F33461"/>
    <w:rsid w:val="00F33CA1"/>
    <w:rsid w:val="00F34EF8"/>
    <w:rsid w:val="00F35A45"/>
    <w:rsid w:val="00F3786E"/>
    <w:rsid w:val="00F4048D"/>
    <w:rsid w:val="00F41FC6"/>
    <w:rsid w:val="00F42309"/>
    <w:rsid w:val="00F42F97"/>
    <w:rsid w:val="00F44A5D"/>
    <w:rsid w:val="00F45CB3"/>
    <w:rsid w:val="00F519E4"/>
    <w:rsid w:val="00F528E4"/>
    <w:rsid w:val="00F53461"/>
    <w:rsid w:val="00F53A11"/>
    <w:rsid w:val="00F54282"/>
    <w:rsid w:val="00F54C03"/>
    <w:rsid w:val="00F56406"/>
    <w:rsid w:val="00F60747"/>
    <w:rsid w:val="00F61B69"/>
    <w:rsid w:val="00F61E90"/>
    <w:rsid w:val="00F6228B"/>
    <w:rsid w:val="00F63593"/>
    <w:rsid w:val="00F6413A"/>
    <w:rsid w:val="00F642D7"/>
    <w:rsid w:val="00F647D5"/>
    <w:rsid w:val="00F65B1E"/>
    <w:rsid w:val="00F6605A"/>
    <w:rsid w:val="00F662BB"/>
    <w:rsid w:val="00F70AD8"/>
    <w:rsid w:val="00F7115E"/>
    <w:rsid w:val="00F72C9F"/>
    <w:rsid w:val="00F7619F"/>
    <w:rsid w:val="00F7657D"/>
    <w:rsid w:val="00F778C1"/>
    <w:rsid w:val="00F8055D"/>
    <w:rsid w:val="00F8324D"/>
    <w:rsid w:val="00F83261"/>
    <w:rsid w:val="00F83E46"/>
    <w:rsid w:val="00F8472F"/>
    <w:rsid w:val="00F84A83"/>
    <w:rsid w:val="00F853AB"/>
    <w:rsid w:val="00F859F5"/>
    <w:rsid w:val="00F904A2"/>
    <w:rsid w:val="00F92751"/>
    <w:rsid w:val="00F927E6"/>
    <w:rsid w:val="00F93414"/>
    <w:rsid w:val="00F9404F"/>
    <w:rsid w:val="00F95A0C"/>
    <w:rsid w:val="00FA0BBF"/>
    <w:rsid w:val="00FA20C1"/>
    <w:rsid w:val="00FA289A"/>
    <w:rsid w:val="00FA290E"/>
    <w:rsid w:val="00FA2DFF"/>
    <w:rsid w:val="00FA2ED1"/>
    <w:rsid w:val="00FA3EC6"/>
    <w:rsid w:val="00FA67C7"/>
    <w:rsid w:val="00FB0D37"/>
    <w:rsid w:val="00FB2A79"/>
    <w:rsid w:val="00FB36D1"/>
    <w:rsid w:val="00FB3E6B"/>
    <w:rsid w:val="00FB5026"/>
    <w:rsid w:val="00FB5D25"/>
    <w:rsid w:val="00FC0683"/>
    <w:rsid w:val="00FC0D13"/>
    <w:rsid w:val="00FC13BB"/>
    <w:rsid w:val="00FC2E82"/>
    <w:rsid w:val="00FC5C61"/>
    <w:rsid w:val="00FC6D23"/>
    <w:rsid w:val="00FC7DCB"/>
    <w:rsid w:val="00FD1740"/>
    <w:rsid w:val="00FD254E"/>
    <w:rsid w:val="00FD32D3"/>
    <w:rsid w:val="00FD3B43"/>
    <w:rsid w:val="00FD42A7"/>
    <w:rsid w:val="00FD6A8A"/>
    <w:rsid w:val="00FD6EBD"/>
    <w:rsid w:val="00FE1D26"/>
    <w:rsid w:val="00FE25D7"/>
    <w:rsid w:val="00FE2B5C"/>
    <w:rsid w:val="00FE4AF2"/>
    <w:rsid w:val="00FE57F5"/>
    <w:rsid w:val="00FE6065"/>
    <w:rsid w:val="00FE7956"/>
    <w:rsid w:val="00FF1497"/>
    <w:rsid w:val="00FF2210"/>
    <w:rsid w:val="00FF2667"/>
    <w:rsid w:val="00FF2DEE"/>
    <w:rsid w:val="00FF30CF"/>
    <w:rsid w:val="00FF37CE"/>
    <w:rsid w:val="00FF4554"/>
    <w:rsid w:val="00FF6B94"/>
    <w:rsid w:val="1F1EB3EA"/>
    <w:rsid w:val="201CE86F"/>
    <w:rsid w:val="4445BF1D"/>
    <w:rsid w:val="562809E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91B5C"/>
  <w15:docId w15:val="{9B246F0B-6C99-4521-9A20-7D42AAF0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imes New Roman"/>
        <w:sz w:val="22"/>
        <w:szCs w:val="22"/>
        <w:lang w:val="en-AU" w:eastAsia="en-AU" w:bidi="ar-SA"/>
      </w:rPr>
    </w:rPrDefault>
    <w:pPrDefault>
      <w:pPr>
        <w:spacing w:before="120" w:after="160" w:line="276" w:lineRule="auto"/>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iPriority="99" w:unhideWhenUsed="1"/>
    <w:lsdException w:name="footer" w:semiHidden="1" w:uiPriority="99"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qFormat="1"/>
    <w:lsdException w:name="List 2" w:semiHidden="1"/>
    <w:lsdException w:name="List 3" w:semiHidden="1"/>
    <w:lsdException w:name="List 4" w:semiHidden="1"/>
    <w:lsdException w:name="List 5" w:semiHidden="1"/>
    <w:lsdException w:name="List Bullet 2" w:semiHidden="1" w:qFormat="1"/>
    <w:lsdException w:name="List Bullet 3" w:semiHidden="1"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semiHidden="1"/>
    <w:lsdException w:name="Closing" w:semiHidden="1"/>
    <w:lsdException w:name="Signature" w:semiHidden="1"/>
    <w:lsdException w:name="Default Paragraph Font" w:semiHidden="1" w:uiPriority="1" w:unhideWhenUsed="1" w:qFormat="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Normal">
    <w:name w:val="Normal"/>
    <w:qFormat/>
    <w:rsid w:val="00772DEC"/>
  </w:style>
  <w:style w:type="paragraph" w:styleId="Heading1">
    <w:name w:val="heading 1"/>
    <w:basedOn w:val="Normal"/>
    <w:next w:val="BodyText"/>
    <w:link w:val="Heading1Char"/>
    <w:qFormat/>
    <w:rsid w:val="00F44A5D"/>
    <w:pPr>
      <w:keepNext/>
      <w:pageBreakBefore/>
      <w:spacing w:before="0" w:after="240" w:line="240" w:lineRule="auto"/>
      <w:outlineLvl w:val="0"/>
    </w:pPr>
    <w:rPr>
      <w:b/>
      <w:color w:val="3F4A75" w:themeColor="text2"/>
      <w:sz w:val="44"/>
      <w:szCs w:val="44"/>
    </w:rPr>
  </w:style>
  <w:style w:type="paragraph" w:styleId="Heading2">
    <w:name w:val="heading 2"/>
    <w:basedOn w:val="Normal"/>
    <w:next w:val="BodyText"/>
    <w:link w:val="Heading2Char"/>
    <w:qFormat/>
    <w:rsid w:val="009F7105"/>
    <w:pPr>
      <w:keepNext/>
      <w:spacing w:before="360" w:after="120"/>
      <w:outlineLvl w:val="1"/>
    </w:pPr>
    <w:rPr>
      <w:b/>
      <w:color w:val="3F4A75" w:themeColor="accent1"/>
      <w:sz w:val="32"/>
      <w:szCs w:val="36"/>
    </w:rPr>
  </w:style>
  <w:style w:type="paragraph" w:styleId="Heading3">
    <w:name w:val="heading 3"/>
    <w:basedOn w:val="Normal"/>
    <w:next w:val="BodyText"/>
    <w:link w:val="Heading3Char"/>
    <w:qFormat/>
    <w:rsid w:val="00B14A67"/>
    <w:pPr>
      <w:keepNext/>
      <w:spacing w:before="240" w:after="120"/>
      <w:outlineLvl w:val="2"/>
    </w:pPr>
    <w:rPr>
      <w:b/>
      <w:color w:val="3F4A75" w:themeColor="text2"/>
      <w:sz w:val="25"/>
      <w:szCs w:val="32"/>
    </w:rPr>
  </w:style>
  <w:style w:type="paragraph" w:styleId="Heading4">
    <w:name w:val="heading 4"/>
    <w:basedOn w:val="Normal"/>
    <w:next w:val="Normal"/>
    <w:link w:val="Heading4Char"/>
    <w:qFormat/>
    <w:rsid w:val="003A0C75"/>
    <w:pPr>
      <w:keepNext/>
      <w:spacing w:before="240" w:after="120" w:line="259" w:lineRule="auto"/>
      <w:outlineLvl w:val="3"/>
    </w:pPr>
    <w:rPr>
      <w:b/>
      <w:iCs/>
      <w:color w:val="3F4A75" w:themeColor="text2"/>
      <w:sz w:val="23"/>
      <w:szCs w:val="36"/>
    </w:rPr>
  </w:style>
  <w:style w:type="paragraph" w:styleId="Heading5">
    <w:name w:val="heading 5"/>
    <w:basedOn w:val="Normal"/>
    <w:next w:val="Normal"/>
    <w:link w:val="Heading5Char"/>
    <w:qFormat/>
    <w:rsid w:val="00311847"/>
    <w:pPr>
      <w:keepNext/>
      <w:spacing w:before="240" w:after="120"/>
      <w:outlineLvl w:val="4"/>
    </w:pPr>
    <w:rPr>
      <w:b/>
      <w:bCs/>
      <w:color w:val="000000" w:themeColor="text1"/>
      <w:szCs w:val="24"/>
    </w:rPr>
  </w:style>
  <w:style w:type="paragraph" w:styleId="Heading6">
    <w:name w:val="heading 6"/>
    <w:basedOn w:val="Normal"/>
    <w:next w:val="Normal"/>
    <w:link w:val="Heading6Char"/>
    <w:semiHidden/>
    <w:rsid w:val="002568BE"/>
    <w:pPr>
      <w:keepNext/>
      <w:spacing w:before="240"/>
      <w:outlineLvl w:val="5"/>
    </w:pPr>
    <w:rPr>
      <w:b/>
      <w:bCs/>
    </w:rPr>
  </w:style>
  <w:style w:type="paragraph" w:styleId="Heading7">
    <w:name w:val="heading 7"/>
    <w:basedOn w:val="Normal"/>
    <w:next w:val="Normal"/>
    <w:link w:val="Heading7Char"/>
    <w:semiHidden/>
    <w:rsid w:val="002568BE"/>
    <w:pPr>
      <w:spacing w:before="240" w:after="60"/>
      <w:outlineLvl w:val="6"/>
    </w:pPr>
  </w:style>
  <w:style w:type="paragraph" w:styleId="Heading8">
    <w:name w:val="heading 8"/>
    <w:basedOn w:val="Normal"/>
    <w:next w:val="Normal"/>
    <w:link w:val="Heading8Char"/>
    <w:semiHidden/>
    <w:rsid w:val="002568BE"/>
    <w:pPr>
      <w:spacing w:before="240" w:after="60"/>
      <w:outlineLvl w:val="7"/>
    </w:pPr>
    <w:rPr>
      <w:i/>
      <w:iCs/>
    </w:rPr>
  </w:style>
  <w:style w:type="paragraph" w:styleId="Heading9">
    <w:name w:val="heading 9"/>
    <w:basedOn w:val="Normal"/>
    <w:next w:val="Normal"/>
    <w:link w:val="Heading9Char"/>
    <w:semiHidden/>
    <w:rsid w:val="002568BE"/>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44A5D"/>
    <w:rPr>
      <w:b/>
      <w:color w:val="3F4A75" w:themeColor="text2"/>
      <w:sz w:val="44"/>
      <w:szCs w:val="44"/>
    </w:rPr>
  </w:style>
  <w:style w:type="character" w:customStyle="1" w:styleId="Heading2Char">
    <w:name w:val="Heading 2 Char"/>
    <w:link w:val="Heading2"/>
    <w:rsid w:val="009F7105"/>
    <w:rPr>
      <w:b/>
      <w:color w:val="3F4A75" w:themeColor="accent1"/>
      <w:sz w:val="32"/>
      <w:szCs w:val="36"/>
    </w:rPr>
  </w:style>
  <w:style w:type="character" w:customStyle="1" w:styleId="Heading3Char">
    <w:name w:val="Heading 3 Char"/>
    <w:link w:val="Heading3"/>
    <w:rsid w:val="00B14A67"/>
    <w:rPr>
      <w:b/>
      <w:color w:val="3F4A75" w:themeColor="text2"/>
      <w:sz w:val="25"/>
      <w:szCs w:val="32"/>
    </w:rPr>
  </w:style>
  <w:style w:type="character" w:customStyle="1" w:styleId="Heading4Char">
    <w:name w:val="Heading 4 Char"/>
    <w:link w:val="Heading4"/>
    <w:rsid w:val="003A0C75"/>
    <w:rPr>
      <w:b/>
      <w:iCs/>
      <w:color w:val="3F4A75" w:themeColor="text2"/>
      <w:sz w:val="23"/>
      <w:szCs w:val="36"/>
    </w:rPr>
  </w:style>
  <w:style w:type="character" w:customStyle="1" w:styleId="Heading5Char">
    <w:name w:val="Heading 5 Char"/>
    <w:link w:val="Heading5"/>
    <w:rsid w:val="00311847"/>
    <w:rPr>
      <w:b/>
      <w:bCs/>
      <w:color w:val="000000" w:themeColor="text1"/>
      <w:szCs w:val="24"/>
    </w:rPr>
  </w:style>
  <w:style w:type="character" w:customStyle="1" w:styleId="Heading6Char">
    <w:name w:val="Heading 6 Char"/>
    <w:link w:val="Heading6"/>
    <w:rsid w:val="00C06A45"/>
    <w:rPr>
      <w:rFonts w:asciiTheme="minorHAnsi" w:eastAsia="Times New Roman" w:hAnsiTheme="minorHAnsi"/>
      <w:b/>
      <w:bCs/>
      <w:color w:val="000000" w:themeColor="text1"/>
      <w:sz w:val="22"/>
      <w:szCs w:val="22"/>
    </w:rPr>
  </w:style>
  <w:style w:type="character" w:customStyle="1" w:styleId="Heading7Char">
    <w:name w:val="Heading 7 Char"/>
    <w:link w:val="Heading7"/>
    <w:semiHidden/>
    <w:rsid w:val="00C06A45"/>
    <w:rPr>
      <w:rFonts w:asciiTheme="minorHAnsi" w:eastAsia="Times New Roman" w:hAnsiTheme="minorHAnsi"/>
      <w:color w:val="000000" w:themeColor="text1"/>
      <w:sz w:val="22"/>
      <w:szCs w:val="22"/>
    </w:rPr>
  </w:style>
  <w:style w:type="character" w:customStyle="1" w:styleId="Heading8Char">
    <w:name w:val="Heading 8 Char"/>
    <w:link w:val="Heading8"/>
    <w:semiHidden/>
    <w:rsid w:val="00C06A45"/>
    <w:rPr>
      <w:rFonts w:asciiTheme="minorHAnsi" w:eastAsia="Times New Roman" w:hAnsiTheme="minorHAnsi"/>
      <w:i/>
      <w:iCs/>
      <w:color w:val="000000" w:themeColor="text1"/>
      <w:sz w:val="22"/>
      <w:szCs w:val="22"/>
    </w:rPr>
  </w:style>
  <w:style w:type="character" w:customStyle="1" w:styleId="Heading9Char">
    <w:name w:val="Heading 9 Char"/>
    <w:link w:val="Heading9"/>
    <w:semiHidden/>
    <w:rsid w:val="00C06A45"/>
    <w:rPr>
      <w:rFonts w:asciiTheme="minorHAnsi" w:eastAsia="Times New Roman" w:hAnsiTheme="minorHAnsi" w:cs="Arial"/>
      <w:color w:val="000000" w:themeColor="text1"/>
      <w:sz w:val="22"/>
      <w:szCs w:val="22"/>
    </w:rPr>
  </w:style>
  <w:style w:type="paragraph" w:styleId="Header">
    <w:name w:val="header"/>
    <w:basedOn w:val="Normal"/>
    <w:link w:val="HeaderChar"/>
    <w:uiPriority w:val="99"/>
    <w:rsid w:val="002568BE"/>
    <w:pPr>
      <w:tabs>
        <w:tab w:val="center" w:pos="4513"/>
        <w:tab w:val="right" w:pos="9026"/>
      </w:tabs>
      <w:spacing w:before="0" w:after="0"/>
      <w:contextualSpacing/>
    </w:pPr>
    <w:rPr>
      <w:sz w:val="20"/>
    </w:rPr>
  </w:style>
  <w:style w:type="character" w:customStyle="1" w:styleId="HeaderChar">
    <w:name w:val="Header Char"/>
    <w:basedOn w:val="DefaultParagraphFont"/>
    <w:link w:val="Header"/>
    <w:uiPriority w:val="99"/>
    <w:rsid w:val="002568BE"/>
    <w:rPr>
      <w:rFonts w:asciiTheme="minorHAnsi" w:eastAsia="Times New Roman" w:hAnsiTheme="minorHAnsi"/>
      <w:color w:val="000000" w:themeColor="text1"/>
      <w:szCs w:val="22"/>
    </w:rPr>
  </w:style>
  <w:style w:type="paragraph" w:styleId="Footer">
    <w:name w:val="footer"/>
    <w:basedOn w:val="Normal"/>
    <w:link w:val="FooterChar"/>
    <w:uiPriority w:val="99"/>
    <w:unhideWhenUsed/>
    <w:rsid w:val="00EF55D3"/>
    <w:pPr>
      <w:tabs>
        <w:tab w:val="center" w:pos="4513"/>
        <w:tab w:val="right" w:pos="9026"/>
      </w:tabs>
      <w:spacing w:before="0" w:after="0"/>
    </w:pPr>
    <w:rPr>
      <w:sz w:val="18"/>
    </w:rPr>
  </w:style>
  <w:style w:type="character" w:customStyle="1" w:styleId="FooterChar">
    <w:name w:val="Footer Char"/>
    <w:basedOn w:val="DefaultParagraphFont"/>
    <w:link w:val="Footer"/>
    <w:uiPriority w:val="99"/>
    <w:rsid w:val="00EF55D3"/>
    <w:rPr>
      <w:sz w:val="18"/>
    </w:rPr>
  </w:style>
  <w:style w:type="paragraph" w:styleId="FootnoteText">
    <w:name w:val="footnote text"/>
    <w:basedOn w:val="Normal"/>
    <w:link w:val="FootnoteTextChar"/>
    <w:semiHidden/>
    <w:unhideWhenUsed/>
    <w:rsid w:val="002568BE"/>
    <w:pPr>
      <w:spacing w:before="0" w:after="0"/>
    </w:pPr>
    <w:rPr>
      <w:sz w:val="18"/>
    </w:rPr>
  </w:style>
  <w:style w:type="character" w:customStyle="1" w:styleId="FootnoteTextChar">
    <w:name w:val="Footnote Text Char"/>
    <w:basedOn w:val="DefaultParagraphFont"/>
    <w:link w:val="FootnoteText"/>
    <w:semiHidden/>
    <w:rsid w:val="002568BE"/>
    <w:rPr>
      <w:rFonts w:asciiTheme="minorHAnsi" w:eastAsia="Times New Roman" w:hAnsiTheme="minorHAnsi"/>
      <w:color w:val="000000" w:themeColor="text1"/>
      <w:sz w:val="18"/>
      <w:szCs w:val="22"/>
    </w:rPr>
  </w:style>
  <w:style w:type="character" w:styleId="FootnoteReference">
    <w:name w:val="footnote reference"/>
    <w:basedOn w:val="DefaultParagraphFont"/>
    <w:semiHidden/>
    <w:unhideWhenUsed/>
    <w:rsid w:val="002568BE"/>
    <w:rPr>
      <w:vertAlign w:val="superscript"/>
    </w:rPr>
  </w:style>
  <w:style w:type="paragraph" w:styleId="BodyText">
    <w:name w:val="Body Text"/>
    <w:basedOn w:val="Normal"/>
    <w:link w:val="BodyTextChar"/>
    <w:qFormat/>
    <w:rsid w:val="002568BE"/>
  </w:style>
  <w:style w:type="character" w:customStyle="1" w:styleId="BodyTextChar">
    <w:name w:val="Body Text Char"/>
    <w:basedOn w:val="DefaultParagraphFont"/>
    <w:link w:val="BodyText"/>
    <w:rsid w:val="002568BE"/>
    <w:rPr>
      <w:rFonts w:asciiTheme="minorHAnsi" w:eastAsia="Times New Roman" w:hAnsiTheme="minorHAnsi"/>
      <w:color w:val="000000" w:themeColor="text1"/>
      <w:sz w:val="22"/>
      <w:szCs w:val="22"/>
    </w:rPr>
  </w:style>
  <w:style w:type="paragraph" w:styleId="ListBullet">
    <w:name w:val="List Bullet"/>
    <w:basedOn w:val="Normal"/>
    <w:qFormat/>
    <w:rsid w:val="008A28C9"/>
    <w:pPr>
      <w:numPr>
        <w:numId w:val="48"/>
      </w:numPr>
      <w:spacing w:after="120"/>
    </w:pPr>
    <w:rPr>
      <w:szCs w:val="18"/>
    </w:rPr>
  </w:style>
  <w:style w:type="paragraph" w:styleId="ListBullet2">
    <w:name w:val="List Bullet 2"/>
    <w:basedOn w:val="ListBullet"/>
    <w:qFormat/>
    <w:rsid w:val="008A28C9"/>
    <w:pPr>
      <w:numPr>
        <w:ilvl w:val="1"/>
      </w:numPr>
    </w:pPr>
  </w:style>
  <w:style w:type="paragraph" w:styleId="Title">
    <w:name w:val="Title"/>
    <w:basedOn w:val="Normal"/>
    <w:next w:val="Normal"/>
    <w:link w:val="TitleChar"/>
    <w:uiPriority w:val="38"/>
    <w:rsid w:val="004E71B5"/>
    <w:pPr>
      <w:spacing w:before="300" w:after="360" w:line="240" w:lineRule="auto"/>
      <w:contextualSpacing/>
    </w:pPr>
    <w:rPr>
      <w:rFonts w:asciiTheme="majorHAnsi" w:eastAsiaTheme="majorEastAsia" w:hAnsiTheme="majorHAnsi" w:cstheme="majorBidi"/>
      <w:b/>
      <w:bCs/>
      <w:color w:val="3F4A75" w:themeColor="text2"/>
      <w:spacing w:val="-10"/>
      <w:kern w:val="28"/>
      <w:sz w:val="80"/>
      <w:szCs w:val="80"/>
      <w:lang w:eastAsia="en-US"/>
      <w14:ligatures w14:val="standardContextual"/>
    </w:rPr>
  </w:style>
  <w:style w:type="character" w:customStyle="1" w:styleId="TitleChar">
    <w:name w:val="Title Char"/>
    <w:basedOn w:val="DefaultParagraphFont"/>
    <w:link w:val="Title"/>
    <w:uiPriority w:val="38"/>
    <w:rsid w:val="00772DEC"/>
    <w:rPr>
      <w:rFonts w:asciiTheme="majorHAnsi" w:eastAsiaTheme="majorEastAsia" w:hAnsiTheme="majorHAnsi" w:cstheme="majorBidi"/>
      <w:b/>
      <w:bCs/>
      <w:color w:val="3F4A75" w:themeColor="text2"/>
      <w:spacing w:val="-10"/>
      <w:kern w:val="28"/>
      <w:sz w:val="80"/>
      <w:szCs w:val="80"/>
      <w:lang w:eastAsia="en-US"/>
      <w14:ligatures w14:val="standardContextual"/>
    </w:rPr>
  </w:style>
  <w:style w:type="paragraph" w:styleId="Subtitle">
    <w:name w:val="Subtitle"/>
    <w:basedOn w:val="Normal"/>
    <w:next w:val="Normal"/>
    <w:link w:val="SubtitleChar"/>
    <w:semiHidden/>
    <w:qFormat/>
    <w:rsid w:val="00591043"/>
    <w:pPr>
      <w:numPr>
        <w:ilvl w:val="1"/>
      </w:numPr>
      <w:spacing w:before="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91043"/>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semiHidden/>
    <w:qFormat/>
    <w:rsid w:val="00591043"/>
    <w:pPr>
      <w:spacing w:line="259" w:lineRule="auto"/>
      <w:jc w:val="center"/>
    </w:pPr>
    <w:rPr>
      <w:rFonts w:ascii="Times New Roman" w:eastAsiaTheme="minorHAnsi" w:hAnsi="Times New Roman"/>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91043"/>
    <w:rPr>
      <w:rFonts w:ascii="Times New Roman" w:eastAsiaTheme="minorHAnsi" w:hAnsi="Times New Roman"/>
      <w:i/>
      <w:iCs/>
      <w:color w:val="404040" w:themeColor="text1" w:themeTint="BF"/>
      <w:kern w:val="2"/>
      <w:sz w:val="24"/>
      <w:szCs w:val="24"/>
      <w:lang w:eastAsia="en-US"/>
      <w14:ligatures w14:val="standardContextual"/>
    </w:rPr>
  </w:style>
  <w:style w:type="paragraph" w:customStyle="1" w:styleId="Emailaddress">
    <w:name w:val="Email address"/>
    <w:basedOn w:val="Normal"/>
    <w:semiHidden/>
    <w:rsid w:val="002568BE"/>
    <w:rPr>
      <w:sz w:val="16"/>
      <w:szCs w:val="16"/>
    </w:rPr>
  </w:style>
  <w:style w:type="character" w:styleId="IntenseEmphasis">
    <w:name w:val="Intense Emphasis"/>
    <w:basedOn w:val="DefaultParagraphFont"/>
    <w:uiPriority w:val="21"/>
    <w:semiHidden/>
    <w:qFormat/>
    <w:rsid w:val="00591043"/>
    <w:rPr>
      <w:i/>
      <w:iCs/>
      <w:color w:val="2F3757" w:themeColor="accent1" w:themeShade="BF"/>
    </w:rPr>
  </w:style>
  <w:style w:type="paragraph" w:styleId="IntenseQuote">
    <w:name w:val="Intense Quote"/>
    <w:basedOn w:val="Normal"/>
    <w:next w:val="Normal"/>
    <w:link w:val="IntenseQuoteChar"/>
    <w:uiPriority w:val="30"/>
    <w:semiHidden/>
    <w:qFormat/>
    <w:rsid w:val="00591043"/>
    <w:pPr>
      <w:pBdr>
        <w:top w:val="single" w:sz="4" w:space="10" w:color="2F3757" w:themeColor="accent1" w:themeShade="BF"/>
        <w:bottom w:val="single" w:sz="4" w:space="10" w:color="2F3757" w:themeColor="accent1" w:themeShade="BF"/>
      </w:pBdr>
      <w:spacing w:before="360" w:after="360" w:line="259" w:lineRule="auto"/>
      <w:ind w:left="864" w:right="864"/>
      <w:jc w:val="center"/>
    </w:pPr>
    <w:rPr>
      <w:rFonts w:ascii="Times New Roman" w:eastAsiaTheme="minorHAnsi" w:hAnsi="Times New Roman"/>
      <w:i/>
      <w:iCs/>
      <w:color w:val="2F3757"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91043"/>
    <w:rPr>
      <w:rFonts w:ascii="Times New Roman" w:eastAsiaTheme="minorHAnsi" w:hAnsi="Times New Roman"/>
      <w:i/>
      <w:iCs/>
      <w:color w:val="2F3757" w:themeColor="accent1" w:themeShade="BF"/>
      <w:kern w:val="2"/>
      <w:sz w:val="24"/>
      <w:szCs w:val="24"/>
      <w:lang w:eastAsia="en-US"/>
      <w14:ligatures w14:val="standardContextual"/>
    </w:rPr>
  </w:style>
  <w:style w:type="character" w:styleId="IntenseReference">
    <w:name w:val="Intense Reference"/>
    <w:basedOn w:val="DefaultParagraphFont"/>
    <w:uiPriority w:val="32"/>
    <w:semiHidden/>
    <w:qFormat/>
    <w:rsid w:val="00591043"/>
    <w:rPr>
      <w:b/>
      <w:bCs/>
      <w:smallCaps/>
      <w:color w:val="2F3757" w:themeColor="accent1" w:themeShade="BF"/>
      <w:spacing w:val="5"/>
    </w:rPr>
  </w:style>
  <w:style w:type="paragraph" w:styleId="Revision">
    <w:name w:val="Revision"/>
    <w:hidden/>
    <w:uiPriority w:val="99"/>
    <w:semiHidden/>
    <w:rsid w:val="00591043"/>
    <w:pPr>
      <w:spacing w:before="0" w:after="0" w:line="240" w:lineRule="auto"/>
    </w:pPr>
    <w:rPr>
      <w:rFonts w:ascii="Times New Roman" w:eastAsiaTheme="minorHAnsi" w:hAnsi="Times New Roman"/>
      <w:kern w:val="2"/>
      <w:sz w:val="24"/>
      <w:szCs w:val="24"/>
      <w:lang w:eastAsia="en-US"/>
      <w14:ligatures w14:val="standardContextual"/>
    </w:rPr>
  </w:style>
  <w:style w:type="table" w:styleId="TableGrid">
    <w:name w:val="Table Grid"/>
    <w:basedOn w:val="TableNormal"/>
    <w:rsid w:val="003D2348"/>
    <w:pPr>
      <w:spacing w:after="120"/>
    </w:pPr>
    <w:rPr>
      <w:rFonts w:eastAsia="Times New Roman"/>
      <w:color w:val="000000" w:themeColor="text1"/>
    </w:rPr>
    <w:tblPr>
      <w:tblBorders>
        <w:top w:val="single" w:sz="4" w:space="0" w:color="3F4A75" w:themeColor="text2"/>
        <w:bottom w:val="single" w:sz="4" w:space="0" w:color="3F4A75" w:themeColor="text2"/>
        <w:insideH w:val="single" w:sz="4" w:space="0" w:color="3F4A75" w:themeColor="text2"/>
      </w:tblBorders>
      <w:tblCellMar>
        <w:left w:w="113" w:type="dxa"/>
        <w:right w:w="113" w:type="dxa"/>
      </w:tblCellMar>
    </w:tblPr>
    <w:trPr>
      <w:cantSplit/>
    </w:trPr>
    <w:tblStylePr w:type="firstRow">
      <w:pPr>
        <w:keepNext w:val="0"/>
        <w:wordWrap/>
        <w:spacing w:beforeLines="0" w:before="70" w:beforeAutospacing="0" w:afterLines="0" w:after="70" w:afterAutospacing="0" w:line="276" w:lineRule="auto"/>
      </w:pPr>
      <w:rPr>
        <w:b/>
        <w:i w:val="0"/>
        <w:caps w:val="0"/>
        <w:smallCaps w:val="0"/>
        <w:color w:val="FFFFFF" w:themeColor="background1"/>
      </w:rPr>
      <w:tblPr/>
      <w:trPr>
        <w:cantSplit w:val="0"/>
        <w:tblHeader/>
      </w:trPr>
      <w:tcPr>
        <w:tcBorders>
          <w:top w:val="single" w:sz="4" w:space="0" w:color="3F4A75" w:themeColor="text2"/>
          <w:left w:val="single" w:sz="4" w:space="0" w:color="3F4A75" w:themeColor="text2"/>
          <w:bottom w:val="single" w:sz="4" w:space="0" w:color="3F4A75" w:themeColor="text2"/>
          <w:right w:val="single" w:sz="4" w:space="0" w:color="3F4A75" w:themeColor="text2"/>
          <w:insideH w:val="single" w:sz="4" w:space="0" w:color="3F4A75" w:themeColor="text2"/>
          <w:insideV w:val="nil"/>
          <w:tl2br w:val="nil"/>
          <w:tr2bl w:val="nil"/>
        </w:tcBorders>
        <w:shd w:val="clear" w:color="auto" w:fill="3F4A75" w:themeFill="text2"/>
      </w:tcPr>
    </w:tblStylePr>
    <w:tblStylePr w:type="firstCol">
      <w:rPr>
        <w:b/>
        <w:color w:val="3F4A75" w:themeColor="text2"/>
      </w:rPr>
    </w:tblStylePr>
  </w:style>
  <w:style w:type="character" w:styleId="Hyperlink">
    <w:name w:val="Hyperlink"/>
    <w:basedOn w:val="DefaultParagraphFont"/>
    <w:uiPriority w:val="99"/>
    <w:unhideWhenUsed/>
    <w:rsid w:val="002568BE"/>
    <w:rPr>
      <w:color w:val="3F4A75" w:themeColor="hyperlink"/>
      <w:u w:val="single"/>
    </w:rPr>
  </w:style>
  <w:style w:type="character" w:styleId="CommentReference">
    <w:name w:val="annotation reference"/>
    <w:basedOn w:val="DefaultParagraphFont"/>
    <w:semiHidden/>
    <w:unhideWhenUsed/>
    <w:rsid w:val="00591043"/>
    <w:rPr>
      <w:sz w:val="16"/>
      <w:szCs w:val="16"/>
    </w:rPr>
  </w:style>
  <w:style w:type="paragraph" w:styleId="CommentText">
    <w:name w:val="annotation text"/>
    <w:basedOn w:val="Normal"/>
    <w:link w:val="CommentTextChar"/>
    <w:unhideWhenUsed/>
    <w:rsid w:val="00591043"/>
    <w:pPr>
      <w:spacing w:before="0" w:line="240" w:lineRule="auto"/>
    </w:pPr>
    <w:rPr>
      <w:rFonts w:ascii="Times New Roman" w:eastAsiaTheme="minorHAnsi" w:hAnsi="Times New Roman"/>
      <w:kern w:val="2"/>
      <w:lang w:eastAsia="en-US"/>
      <w14:ligatures w14:val="standardContextual"/>
    </w:rPr>
  </w:style>
  <w:style w:type="character" w:customStyle="1" w:styleId="CommentTextChar">
    <w:name w:val="Comment Text Char"/>
    <w:basedOn w:val="DefaultParagraphFont"/>
    <w:link w:val="CommentText"/>
    <w:uiPriority w:val="39"/>
    <w:rsid w:val="00591043"/>
    <w:rPr>
      <w:rFonts w:ascii="Times New Roman" w:eastAsiaTheme="minorHAnsi" w:hAnsi="Times New Roman"/>
      <w:kern w:val="2"/>
      <w:lang w:eastAsia="en-US"/>
      <w14:ligatures w14:val="standardContextual"/>
    </w:rPr>
  </w:style>
  <w:style w:type="paragraph" w:styleId="CommentSubject">
    <w:name w:val="annotation subject"/>
    <w:basedOn w:val="CommentText"/>
    <w:next w:val="CommentText"/>
    <w:link w:val="CommentSubjectChar"/>
    <w:semiHidden/>
    <w:unhideWhenUsed/>
    <w:rsid w:val="00591043"/>
    <w:rPr>
      <w:b/>
      <w:bCs/>
    </w:rPr>
  </w:style>
  <w:style w:type="character" w:customStyle="1" w:styleId="CommentSubjectChar">
    <w:name w:val="Comment Subject Char"/>
    <w:basedOn w:val="CommentTextChar"/>
    <w:link w:val="CommentSubject"/>
    <w:uiPriority w:val="39"/>
    <w:semiHidden/>
    <w:rsid w:val="00591043"/>
    <w:rPr>
      <w:rFonts w:ascii="Times New Roman" w:eastAsiaTheme="minorHAnsi" w:hAnsi="Times New Roman"/>
      <w:b/>
      <w:bCs/>
      <w:kern w:val="2"/>
      <w:lang w:eastAsia="en-US"/>
      <w14:ligatures w14:val="standardContextual"/>
    </w:rPr>
  </w:style>
  <w:style w:type="character" w:styleId="UnresolvedMention">
    <w:name w:val="Unresolved Mention"/>
    <w:basedOn w:val="DefaultParagraphFont"/>
    <w:uiPriority w:val="99"/>
    <w:semiHidden/>
    <w:unhideWhenUsed/>
    <w:rsid w:val="00591043"/>
    <w:rPr>
      <w:color w:val="605E5C"/>
      <w:shd w:val="clear" w:color="auto" w:fill="E1DFDD"/>
    </w:rPr>
  </w:style>
  <w:style w:type="character" w:styleId="EndnoteReference">
    <w:name w:val="endnote reference"/>
    <w:basedOn w:val="DefaultParagraphFont"/>
    <w:unhideWhenUsed/>
    <w:rsid w:val="002568BE"/>
    <w:rPr>
      <w:vertAlign w:val="superscript"/>
    </w:rPr>
  </w:style>
  <w:style w:type="character" w:styleId="Mention">
    <w:name w:val="Mention"/>
    <w:basedOn w:val="DefaultParagraphFont"/>
    <w:uiPriority w:val="99"/>
    <w:semiHidden/>
    <w:unhideWhenUsed/>
    <w:rsid w:val="00591043"/>
    <w:rPr>
      <w:color w:val="2B579A"/>
      <w:shd w:val="clear" w:color="auto" w:fill="E1DFDD"/>
    </w:rPr>
  </w:style>
  <w:style w:type="paragraph" w:styleId="ListContinue">
    <w:name w:val="List Continue"/>
    <w:basedOn w:val="Normal"/>
    <w:semiHidden/>
    <w:rsid w:val="004C0F1F"/>
    <w:pPr>
      <w:spacing w:after="260"/>
    </w:pPr>
  </w:style>
  <w:style w:type="paragraph" w:styleId="EndnoteText">
    <w:name w:val="endnote text"/>
    <w:basedOn w:val="Normal"/>
    <w:link w:val="EndnoteTextChar"/>
    <w:rsid w:val="004003CF"/>
    <w:pPr>
      <w:tabs>
        <w:tab w:val="left" w:pos="567"/>
      </w:tabs>
      <w:spacing w:before="0" w:after="120" w:line="240" w:lineRule="auto"/>
      <w:ind w:left="567" w:hanging="567"/>
    </w:pPr>
    <w:rPr>
      <w:sz w:val="20"/>
    </w:rPr>
  </w:style>
  <w:style w:type="character" w:customStyle="1" w:styleId="EndnoteTextChar">
    <w:name w:val="Endnote Text Char"/>
    <w:basedOn w:val="DefaultParagraphFont"/>
    <w:link w:val="EndnoteText"/>
    <w:rsid w:val="004003CF"/>
    <w:rPr>
      <w:sz w:val="20"/>
    </w:rPr>
  </w:style>
  <w:style w:type="paragraph" w:styleId="ListContinue2">
    <w:name w:val="List Continue 2"/>
    <w:basedOn w:val="Normal"/>
    <w:link w:val="ListContinue2Char"/>
    <w:semiHidden/>
    <w:rsid w:val="002568BE"/>
    <w:pPr>
      <w:ind w:left="567"/>
    </w:pPr>
  </w:style>
  <w:style w:type="character" w:styleId="FollowedHyperlink">
    <w:name w:val="FollowedHyperlink"/>
    <w:basedOn w:val="DefaultParagraphFont"/>
    <w:semiHidden/>
    <w:unhideWhenUsed/>
    <w:rsid w:val="00591043"/>
    <w:rPr>
      <w:color w:val="800080" w:themeColor="followedHyperlink"/>
      <w:u w:val="single"/>
    </w:rPr>
  </w:style>
  <w:style w:type="table" w:styleId="ListTable3-Accent5">
    <w:name w:val="List Table 3 Accent 5"/>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998B5" w:themeColor="accent5"/>
        <w:left w:val="single" w:sz="4" w:space="0" w:color="3998B5" w:themeColor="accent5"/>
        <w:bottom w:val="single" w:sz="4" w:space="0" w:color="3998B5" w:themeColor="accent5"/>
        <w:right w:val="single" w:sz="4" w:space="0" w:color="3998B5" w:themeColor="accent5"/>
      </w:tblBorders>
    </w:tblPr>
    <w:tblStylePr w:type="firstRow">
      <w:rPr>
        <w:b/>
        <w:bCs/>
        <w:color w:val="FFFFFF" w:themeColor="background1"/>
      </w:rPr>
      <w:tblPr/>
      <w:tcPr>
        <w:shd w:val="clear" w:color="auto" w:fill="3998B5" w:themeFill="accent5"/>
      </w:tcPr>
    </w:tblStylePr>
    <w:tblStylePr w:type="lastRow">
      <w:rPr>
        <w:b/>
        <w:bCs/>
      </w:rPr>
      <w:tblPr/>
      <w:tcPr>
        <w:tcBorders>
          <w:top w:val="double" w:sz="4" w:space="0" w:color="3998B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998B5" w:themeColor="accent5"/>
          <w:right w:val="single" w:sz="4" w:space="0" w:color="3998B5" w:themeColor="accent5"/>
        </w:tcBorders>
      </w:tcPr>
    </w:tblStylePr>
    <w:tblStylePr w:type="band1Horz">
      <w:tblPr/>
      <w:tcPr>
        <w:tcBorders>
          <w:top w:val="single" w:sz="4" w:space="0" w:color="3998B5" w:themeColor="accent5"/>
          <w:bottom w:val="single" w:sz="4" w:space="0" w:color="3998B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998B5" w:themeColor="accent5"/>
          <w:left w:val="nil"/>
        </w:tcBorders>
      </w:tcPr>
    </w:tblStylePr>
    <w:tblStylePr w:type="swCell">
      <w:tblPr/>
      <w:tcPr>
        <w:tcBorders>
          <w:top w:val="double" w:sz="4" w:space="0" w:color="3998B5" w:themeColor="accent5"/>
          <w:right w:val="nil"/>
        </w:tcBorders>
      </w:tcPr>
    </w:tblStylePr>
  </w:style>
  <w:style w:type="character" w:customStyle="1" w:styleId="ListContinue2Char">
    <w:name w:val="List Continue 2 Char"/>
    <w:basedOn w:val="DefaultParagraphFont"/>
    <w:link w:val="ListContinue2"/>
    <w:semiHidden/>
    <w:rsid w:val="002568BE"/>
    <w:rPr>
      <w:rFonts w:asciiTheme="minorHAnsi" w:eastAsia="Times New Roman" w:hAnsiTheme="minorHAnsi"/>
      <w:color w:val="000000" w:themeColor="text1"/>
      <w:sz w:val="22"/>
      <w:szCs w:val="22"/>
    </w:rPr>
  </w:style>
  <w:style w:type="paragraph" w:styleId="TOCHeading">
    <w:name w:val="TOC Heading"/>
    <w:basedOn w:val="Heading1"/>
    <w:next w:val="Normal"/>
    <w:uiPriority w:val="38"/>
    <w:unhideWhenUsed/>
    <w:rsid w:val="003D2348"/>
    <w:pPr>
      <w:keepLines/>
      <w:spacing w:after="360"/>
      <w:outlineLvl w:val="9"/>
    </w:pPr>
    <w:rPr>
      <w:rFonts w:asciiTheme="majorHAnsi" w:eastAsiaTheme="majorEastAsia" w:hAnsiTheme="majorHAnsi" w:cstheme="majorBidi"/>
      <w:bCs/>
      <w:lang w:val="en-US"/>
    </w:rPr>
  </w:style>
  <w:style w:type="paragraph" w:styleId="TOC2">
    <w:name w:val="toc 2"/>
    <w:basedOn w:val="Normal"/>
    <w:next w:val="Normal"/>
    <w:autoRedefine/>
    <w:uiPriority w:val="39"/>
    <w:unhideWhenUsed/>
    <w:rsid w:val="00311847"/>
    <w:pPr>
      <w:tabs>
        <w:tab w:val="right" w:pos="9016"/>
      </w:tabs>
      <w:spacing w:before="0" w:after="0" w:line="259" w:lineRule="auto"/>
      <w:ind w:left="357"/>
    </w:pPr>
    <w:rPr>
      <w:rFonts w:eastAsiaTheme="minorHAnsi" w:cstheme="minorHAnsi"/>
      <w:noProof/>
      <w:kern w:val="2"/>
      <w:lang w:eastAsia="en-US"/>
      <w14:ligatures w14:val="standardContextual"/>
    </w:rPr>
  </w:style>
  <w:style w:type="paragraph" w:styleId="ListNumber">
    <w:name w:val="List Number"/>
    <w:basedOn w:val="Normal"/>
    <w:qFormat/>
    <w:rsid w:val="003D5098"/>
    <w:pPr>
      <w:numPr>
        <w:numId w:val="41"/>
      </w:numPr>
      <w:spacing w:after="120"/>
    </w:pPr>
    <w:rPr>
      <w:szCs w:val="18"/>
    </w:rPr>
  </w:style>
  <w:style w:type="paragraph" w:styleId="TOC3">
    <w:name w:val="toc 3"/>
    <w:basedOn w:val="Normal"/>
    <w:next w:val="Normal"/>
    <w:autoRedefine/>
    <w:uiPriority w:val="39"/>
    <w:rsid w:val="00311847"/>
    <w:pPr>
      <w:tabs>
        <w:tab w:val="right" w:leader="dot" w:pos="9017"/>
      </w:tabs>
      <w:spacing w:before="60" w:after="60"/>
      <w:ind w:left="400"/>
    </w:pPr>
  </w:style>
  <w:style w:type="paragraph" w:styleId="TOC4">
    <w:name w:val="toc 4"/>
    <w:basedOn w:val="Normal"/>
    <w:next w:val="Normal"/>
    <w:autoRedefine/>
    <w:uiPriority w:val="39"/>
    <w:semiHidden/>
    <w:rsid w:val="00591043"/>
    <w:pPr>
      <w:spacing w:after="100"/>
      <w:ind w:left="600"/>
    </w:pPr>
  </w:style>
  <w:style w:type="paragraph" w:styleId="TOC5">
    <w:name w:val="toc 5"/>
    <w:basedOn w:val="Normal"/>
    <w:next w:val="Normal"/>
    <w:autoRedefine/>
    <w:uiPriority w:val="39"/>
    <w:semiHidden/>
    <w:rsid w:val="00591043"/>
    <w:pPr>
      <w:spacing w:after="100"/>
      <w:ind w:left="800"/>
    </w:pPr>
  </w:style>
  <w:style w:type="paragraph" w:styleId="Caption">
    <w:name w:val="caption"/>
    <w:basedOn w:val="Normal"/>
    <w:next w:val="Normal"/>
    <w:qFormat/>
    <w:rsid w:val="009A46C9"/>
    <w:pPr>
      <w:keepNext/>
      <w:spacing w:before="240"/>
    </w:pPr>
    <w:rPr>
      <w:b/>
      <w:iCs/>
      <w:sz w:val="20"/>
      <w:szCs w:val="18"/>
    </w:rPr>
  </w:style>
  <w:style w:type="paragraph" w:styleId="DocumentMap">
    <w:name w:val="Document Map"/>
    <w:basedOn w:val="Normal"/>
    <w:link w:val="DocumentMapChar"/>
    <w:semiHidden/>
    <w:rsid w:val="00591043"/>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39"/>
    <w:semiHidden/>
    <w:rsid w:val="00591043"/>
    <w:rPr>
      <w:rFonts w:ascii="Segoe UI" w:hAnsi="Segoe UI" w:cs="Segoe UI"/>
      <w:sz w:val="16"/>
      <w:szCs w:val="16"/>
    </w:rPr>
  </w:style>
  <w:style w:type="paragraph" w:styleId="PlainText">
    <w:name w:val="Plain Text"/>
    <w:basedOn w:val="Normal"/>
    <w:link w:val="PlainTextChar"/>
    <w:semiHidden/>
    <w:rsid w:val="00591043"/>
    <w:pPr>
      <w:spacing w:before="0"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39"/>
    <w:semiHidden/>
    <w:rsid w:val="00591043"/>
    <w:rPr>
      <w:rFonts w:ascii="Consolas" w:hAnsi="Consolas" w:cs="Consolas"/>
      <w:sz w:val="21"/>
      <w:szCs w:val="21"/>
    </w:rPr>
  </w:style>
  <w:style w:type="paragraph" w:styleId="EmailSignature">
    <w:name w:val="E-mail Signature"/>
    <w:basedOn w:val="Normal"/>
    <w:link w:val="EmailSignatureChar"/>
    <w:semiHidden/>
    <w:rsid w:val="002568BE"/>
    <w:pPr>
      <w:spacing w:before="0" w:after="0" w:line="240" w:lineRule="auto"/>
    </w:pPr>
  </w:style>
  <w:style w:type="character" w:customStyle="1" w:styleId="EmailSignatureChar">
    <w:name w:val="Email Signature Char"/>
    <w:basedOn w:val="DefaultParagraphFont"/>
    <w:link w:val="EmailSignature"/>
    <w:semiHidden/>
    <w:rsid w:val="002568BE"/>
  </w:style>
  <w:style w:type="character" w:styleId="Emphasis">
    <w:name w:val="Emphasis"/>
    <w:basedOn w:val="DefaultParagraphFont"/>
    <w:semiHidden/>
    <w:rsid w:val="002568BE"/>
    <w:rPr>
      <w:i/>
      <w:iCs/>
    </w:rPr>
  </w:style>
  <w:style w:type="paragraph" w:styleId="EnvelopeReturn">
    <w:name w:val="envelope return"/>
    <w:basedOn w:val="Normal"/>
    <w:semiHidden/>
    <w:rsid w:val="002568BE"/>
    <w:pPr>
      <w:spacing w:before="0" w:after="0" w:line="240" w:lineRule="auto"/>
    </w:pPr>
    <w:rPr>
      <w:rFonts w:asciiTheme="majorHAnsi" w:eastAsiaTheme="majorEastAsia" w:hAnsiTheme="majorHAnsi" w:cstheme="majorBidi"/>
    </w:rPr>
  </w:style>
  <w:style w:type="paragraph" w:styleId="EnvelopeAddress">
    <w:name w:val="envelope address"/>
    <w:basedOn w:val="Normal"/>
    <w:semiHidden/>
    <w:rsid w:val="002568BE"/>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character" w:styleId="LineNumber">
    <w:name w:val="line number"/>
    <w:basedOn w:val="DefaultParagraphFont"/>
    <w:semiHidden/>
    <w:rsid w:val="002568BE"/>
  </w:style>
  <w:style w:type="paragraph" w:styleId="List">
    <w:name w:val="List"/>
    <w:basedOn w:val="Normal"/>
    <w:semiHidden/>
    <w:rsid w:val="002568BE"/>
    <w:pPr>
      <w:ind w:left="283" w:hanging="283"/>
      <w:contextualSpacing/>
    </w:pPr>
  </w:style>
  <w:style w:type="paragraph" w:styleId="List2">
    <w:name w:val="List 2"/>
    <w:basedOn w:val="Normal"/>
    <w:semiHidden/>
    <w:rsid w:val="002568BE"/>
    <w:pPr>
      <w:ind w:left="566" w:hanging="283"/>
      <w:contextualSpacing/>
    </w:pPr>
  </w:style>
  <w:style w:type="paragraph" w:styleId="List3">
    <w:name w:val="List 3"/>
    <w:basedOn w:val="Normal"/>
    <w:semiHidden/>
    <w:rsid w:val="002568BE"/>
    <w:pPr>
      <w:ind w:left="849" w:hanging="283"/>
      <w:contextualSpacing/>
    </w:pPr>
  </w:style>
  <w:style w:type="paragraph" w:styleId="List4">
    <w:name w:val="List 4"/>
    <w:basedOn w:val="Normal"/>
    <w:semiHidden/>
    <w:rsid w:val="002568BE"/>
    <w:pPr>
      <w:ind w:left="1132" w:hanging="283"/>
      <w:contextualSpacing/>
    </w:pPr>
  </w:style>
  <w:style w:type="paragraph" w:styleId="List5">
    <w:name w:val="List 5"/>
    <w:basedOn w:val="Normal"/>
    <w:semiHidden/>
    <w:rsid w:val="002568BE"/>
    <w:pPr>
      <w:ind w:left="1415" w:hanging="283"/>
      <w:contextualSpacing/>
    </w:pPr>
  </w:style>
  <w:style w:type="paragraph" w:styleId="ListBullet4">
    <w:name w:val="List Bullet 4"/>
    <w:basedOn w:val="Normal"/>
    <w:semiHidden/>
    <w:rsid w:val="002568BE"/>
    <w:pPr>
      <w:numPr>
        <w:numId w:val="4"/>
      </w:numPr>
      <w:contextualSpacing/>
    </w:pPr>
  </w:style>
  <w:style w:type="paragraph" w:styleId="ListBullet5">
    <w:name w:val="List Bullet 5"/>
    <w:basedOn w:val="Normal"/>
    <w:semiHidden/>
    <w:rsid w:val="002568BE"/>
    <w:pPr>
      <w:numPr>
        <w:numId w:val="5"/>
      </w:numPr>
      <w:contextualSpacing/>
    </w:pPr>
  </w:style>
  <w:style w:type="character" w:styleId="SubtleEmphasis">
    <w:name w:val="Subtle Emphasis"/>
    <w:basedOn w:val="DefaultParagraphFont"/>
    <w:uiPriority w:val="19"/>
    <w:semiHidden/>
    <w:rsid w:val="002568BE"/>
    <w:rPr>
      <w:i/>
      <w:iCs/>
      <w:color w:val="404040" w:themeColor="text1" w:themeTint="BF"/>
    </w:rPr>
  </w:style>
  <w:style w:type="character" w:styleId="SubtleReference">
    <w:name w:val="Subtle Reference"/>
    <w:basedOn w:val="DefaultParagraphFont"/>
    <w:uiPriority w:val="31"/>
    <w:semiHidden/>
    <w:rsid w:val="002568BE"/>
    <w:rPr>
      <w:smallCaps/>
      <w:color w:val="5A5A5A" w:themeColor="text1" w:themeTint="A5"/>
    </w:rPr>
  </w:style>
  <w:style w:type="character" w:styleId="BookTitle">
    <w:name w:val="Book Title"/>
    <w:basedOn w:val="DefaultParagraphFont"/>
    <w:uiPriority w:val="33"/>
    <w:semiHidden/>
    <w:rsid w:val="002568BE"/>
    <w:rPr>
      <w:b/>
      <w:bCs/>
      <w:i/>
      <w:iCs/>
      <w:spacing w:val="5"/>
    </w:rPr>
  </w:style>
  <w:style w:type="paragraph" w:styleId="NoteHeading">
    <w:name w:val="Note Heading"/>
    <w:basedOn w:val="Normal"/>
    <w:next w:val="Normal"/>
    <w:link w:val="NoteHeadingChar"/>
    <w:semiHidden/>
    <w:rsid w:val="002568BE"/>
    <w:pPr>
      <w:spacing w:before="0" w:after="0" w:line="240" w:lineRule="auto"/>
    </w:pPr>
  </w:style>
  <w:style w:type="character" w:customStyle="1" w:styleId="NoteHeadingChar">
    <w:name w:val="Note Heading Char"/>
    <w:basedOn w:val="DefaultParagraphFont"/>
    <w:link w:val="NoteHeading"/>
    <w:semiHidden/>
    <w:rsid w:val="002568BE"/>
  </w:style>
  <w:style w:type="paragraph" w:styleId="Salutation">
    <w:name w:val="Salutation"/>
    <w:basedOn w:val="Normal"/>
    <w:next w:val="Normal"/>
    <w:link w:val="SalutationChar"/>
    <w:semiHidden/>
    <w:rsid w:val="002568BE"/>
  </w:style>
  <w:style w:type="character" w:customStyle="1" w:styleId="SalutationChar">
    <w:name w:val="Salutation Char"/>
    <w:basedOn w:val="DefaultParagraphFont"/>
    <w:link w:val="Salutation"/>
    <w:semiHidden/>
    <w:rsid w:val="002568BE"/>
  </w:style>
  <w:style w:type="character" w:styleId="Strong">
    <w:name w:val="Strong"/>
    <w:basedOn w:val="DefaultParagraphFont"/>
    <w:semiHidden/>
    <w:rsid w:val="002568BE"/>
    <w:rPr>
      <w:b/>
      <w:bCs/>
    </w:rPr>
  </w:style>
  <w:style w:type="paragraph" w:styleId="TOC6">
    <w:name w:val="toc 6"/>
    <w:basedOn w:val="Normal"/>
    <w:next w:val="Normal"/>
    <w:autoRedefine/>
    <w:uiPriority w:val="39"/>
    <w:semiHidden/>
    <w:rsid w:val="002568BE"/>
    <w:pPr>
      <w:spacing w:after="100"/>
      <w:ind w:left="1000"/>
    </w:pPr>
  </w:style>
  <w:style w:type="paragraph" w:styleId="TOC7">
    <w:name w:val="toc 7"/>
    <w:basedOn w:val="Normal"/>
    <w:next w:val="Normal"/>
    <w:autoRedefine/>
    <w:uiPriority w:val="39"/>
    <w:semiHidden/>
    <w:rsid w:val="002568BE"/>
    <w:pPr>
      <w:spacing w:after="100"/>
      <w:ind w:left="1200"/>
    </w:pPr>
  </w:style>
  <w:style w:type="paragraph" w:styleId="TOC8">
    <w:name w:val="toc 8"/>
    <w:basedOn w:val="Normal"/>
    <w:next w:val="Normal"/>
    <w:autoRedefine/>
    <w:uiPriority w:val="39"/>
    <w:semiHidden/>
    <w:rsid w:val="002568BE"/>
    <w:pPr>
      <w:spacing w:after="100"/>
      <w:ind w:left="1400"/>
    </w:pPr>
  </w:style>
  <w:style w:type="paragraph" w:styleId="TOC9">
    <w:name w:val="toc 9"/>
    <w:basedOn w:val="Normal"/>
    <w:next w:val="Normal"/>
    <w:autoRedefine/>
    <w:uiPriority w:val="39"/>
    <w:semiHidden/>
    <w:rsid w:val="002568BE"/>
    <w:pPr>
      <w:spacing w:after="100"/>
      <w:ind w:left="1600"/>
    </w:pPr>
  </w:style>
  <w:style w:type="paragraph" w:styleId="BalloonText">
    <w:name w:val="Balloon Text"/>
    <w:basedOn w:val="Normal"/>
    <w:link w:val="BalloonTextChar"/>
    <w:semiHidden/>
    <w:rsid w:val="002568BE"/>
    <w:rPr>
      <w:rFonts w:ascii="Tahoma" w:hAnsi="Tahoma" w:cs="Tahoma"/>
      <w:sz w:val="16"/>
      <w:szCs w:val="16"/>
    </w:rPr>
  </w:style>
  <w:style w:type="character" w:customStyle="1" w:styleId="BalloonTextChar">
    <w:name w:val="Balloon Text Char"/>
    <w:basedOn w:val="DefaultParagraphFont"/>
    <w:link w:val="BalloonText"/>
    <w:semiHidden/>
    <w:rsid w:val="002568BE"/>
    <w:rPr>
      <w:rFonts w:ascii="Tahoma" w:eastAsia="Times New Roman" w:hAnsi="Tahoma" w:cs="Tahoma"/>
      <w:color w:val="000000" w:themeColor="text1"/>
      <w:sz w:val="16"/>
      <w:szCs w:val="16"/>
    </w:rPr>
  </w:style>
  <w:style w:type="paragraph" w:styleId="BlockText">
    <w:name w:val="Block Text"/>
    <w:basedOn w:val="Normal"/>
    <w:semiHidden/>
    <w:rsid w:val="002568BE"/>
    <w:pPr>
      <w:pBdr>
        <w:top w:val="single" w:sz="2" w:space="10" w:color="3F4A75" w:themeColor="accent1"/>
        <w:left w:val="single" w:sz="2" w:space="10" w:color="3F4A75" w:themeColor="accent1"/>
        <w:bottom w:val="single" w:sz="2" w:space="10" w:color="3F4A75" w:themeColor="accent1"/>
        <w:right w:val="single" w:sz="2" w:space="10" w:color="3F4A75" w:themeColor="accent1"/>
      </w:pBdr>
      <w:ind w:left="1152" w:right="1152"/>
    </w:pPr>
    <w:rPr>
      <w:rFonts w:eastAsiaTheme="minorEastAsia" w:cstheme="minorBidi"/>
      <w:i/>
      <w:iCs/>
      <w:color w:val="3F4A75" w:themeColor="accent1"/>
    </w:rPr>
  </w:style>
  <w:style w:type="paragraph" w:styleId="Closing">
    <w:name w:val="Closing"/>
    <w:basedOn w:val="Normal"/>
    <w:link w:val="ClosingChar"/>
    <w:semiHidden/>
    <w:rsid w:val="002568BE"/>
    <w:pPr>
      <w:spacing w:before="0" w:after="0" w:line="240" w:lineRule="auto"/>
      <w:ind w:left="4252"/>
    </w:pPr>
  </w:style>
  <w:style w:type="character" w:customStyle="1" w:styleId="ClosingChar">
    <w:name w:val="Closing Char"/>
    <w:basedOn w:val="DefaultParagraphFont"/>
    <w:link w:val="Closing"/>
    <w:semiHidden/>
    <w:rsid w:val="002568BE"/>
  </w:style>
  <w:style w:type="paragraph" w:styleId="NormalIndent">
    <w:name w:val="Normal Indent"/>
    <w:basedOn w:val="Normal"/>
    <w:semiHidden/>
    <w:rsid w:val="002568BE"/>
    <w:pPr>
      <w:ind w:left="720"/>
    </w:pPr>
  </w:style>
  <w:style w:type="paragraph" w:styleId="BodyText2">
    <w:name w:val="Body Text 2"/>
    <w:basedOn w:val="Normal"/>
    <w:link w:val="BodyText2Char"/>
    <w:semiHidden/>
    <w:rsid w:val="002568BE"/>
    <w:pPr>
      <w:spacing w:after="120" w:line="480" w:lineRule="auto"/>
    </w:pPr>
  </w:style>
  <w:style w:type="character" w:customStyle="1" w:styleId="BodyText2Char">
    <w:name w:val="Body Text 2 Char"/>
    <w:basedOn w:val="DefaultParagraphFont"/>
    <w:link w:val="BodyText2"/>
    <w:semiHidden/>
    <w:rsid w:val="002568BE"/>
  </w:style>
  <w:style w:type="paragraph" w:styleId="BodyText3">
    <w:name w:val="Body Text 3"/>
    <w:basedOn w:val="Normal"/>
    <w:link w:val="BodyText3Char"/>
    <w:semiHidden/>
    <w:rsid w:val="002568BE"/>
    <w:pPr>
      <w:spacing w:after="120"/>
    </w:pPr>
    <w:rPr>
      <w:sz w:val="16"/>
      <w:szCs w:val="16"/>
    </w:rPr>
  </w:style>
  <w:style w:type="character" w:customStyle="1" w:styleId="BodyText3Char">
    <w:name w:val="Body Text 3 Char"/>
    <w:basedOn w:val="DefaultParagraphFont"/>
    <w:link w:val="BodyText3"/>
    <w:semiHidden/>
    <w:rsid w:val="002568BE"/>
    <w:rPr>
      <w:sz w:val="16"/>
      <w:szCs w:val="16"/>
    </w:rPr>
  </w:style>
  <w:style w:type="paragraph" w:styleId="BodyTextFirstIndent">
    <w:name w:val="Body Text First Indent"/>
    <w:basedOn w:val="BodyText"/>
    <w:link w:val="BodyTextFirstIndentChar"/>
    <w:semiHidden/>
    <w:rsid w:val="002568BE"/>
    <w:pPr>
      <w:spacing w:after="200"/>
      <w:ind w:firstLine="360"/>
    </w:pPr>
  </w:style>
  <w:style w:type="character" w:customStyle="1" w:styleId="BodyTextFirstIndentChar">
    <w:name w:val="Body Text First Indent Char"/>
    <w:basedOn w:val="BodyTextChar"/>
    <w:link w:val="BodyTextFirstIndent"/>
    <w:semiHidden/>
    <w:rsid w:val="002568BE"/>
    <w:rPr>
      <w:rFonts w:asciiTheme="minorHAnsi" w:eastAsia="Times New Roman" w:hAnsiTheme="minorHAnsi"/>
      <w:color w:val="000000" w:themeColor="text1"/>
      <w:sz w:val="22"/>
      <w:szCs w:val="22"/>
    </w:rPr>
  </w:style>
  <w:style w:type="paragraph" w:styleId="BodyTextIndent">
    <w:name w:val="Body Text Indent"/>
    <w:basedOn w:val="Normal"/>
    <w:link w:val="BodyTextIndentChar"/>
    <w:semiHidden/>
    <w:rsid w:val="002568BE"/>
    <w:pPr>
      <w:spacing w:after="120"/>
      <w:ind w:left="283"/>
    </w:pPr>
  </w:style>
  <w:style w:type="character" w:customStyle="1" w:styleId="BodyTextIndentChar">
    <w:name w:val="Body Text Indent Char"/>
    <w:basedOn w:val="DefaultParagraphFont"/>
    <w:link w:val="BodyTextIndent"/>
    <w:semiHidden/>
    <w:rsid w:val="002568BE"/>
  </w:style>
  <w:style w:type="paragraph" w:styleId="BodyTextFirstIndent2">
    <w:name w:val="Body Text First Indent 2"/>
    <w:basedOn w:val="BodyTextIndent"/>
    <w:link w:val="BodyTextFirstIndent2Char"/>
    <w:semiHidden/>
    <w:rsid w:val="002568BE"/>
    <w:pPr>
      <w:spacing w:after="200"/>
      <w:ind w:left="360" w:firstLine="360"/>
    </w:pPr>
  </w:style>
  <w:style w:type="character" w:customStyle="1" w:styleId="BodyTextFirstIndent2Char">
    <w:name w:val="Body Text First Indent 2 Char"/>
    <w:basedOn w:val="BodyTextIndentChar"/>
    <w:link w:val="BodyTextFirstIndent2"/>
    <w:semiHidden/>
    <w:rsid w:val="002568BE"/>
  </w:style>
  <w:style w:type="paragraph" w:styleId="BodyTextIndent2">
    <w:name w:val="Body Text Indent 2"/>
    <w:basedOn w:val="Normal"/>
    <w:link w:val="BodyTextIndent2Char"/>
    <w:semiHidden/>
    <w:rsid w:val="002568BE"/>
    <w:pPr>
      <w:spacing w:after="120" w:line="480" w:lineRule="auto"/>
      <w:ind w:left="283"/>
    </w:pPr>
  </w:style>
  <w:style w:type="character" w:customStyle="1" w:styleId="BodyTextIndent2Char">
    <w:name w:val="Body Text Indent 2 Char"/>
    <w:basedOn w:val="DefaultParagraphFont"/>
    <w:link w:val="BodyTextIndent2"/>
    <w:semiHidden/>
    <w:rsid w:val="002568BE"/>
  </w:style>
  <w:style w:type="paragraph" w:styleId="BodyTextIndent3">
    <w:name w:val="Body Text Indent 3"/>
    <w:basedOn w:val="Normal"/>
    <w:link w:val="BodyTextIndent3Char"/>
    <w:semiHidden/>
    <w:rsid w:val="002568BE"/>
    <w:pPr>
      <w:spacing w:after="120"/>
      <w:ind w:left="283"/>
    </w:pPr>
    <w:rPr>
      <w:sz w:val="16"/>
      <w:szCs w:val="16"/>
    </w:rPr>
  </w:style>
  <w:style w:type="character" w:customStyle="1" w:styleId="BodyTextIndent3Char">
    <w:name w:val="Body Text Indent 3 Char"/>
    <w:basedOn w:val="DefaultParagraphFont"/>
    <w:link w:val="BodyTextIndent3"/>
    <w:semiHidden/>
    <w:rsid w:val="002568BE"/>
    <w:rPr>
      <w:sz w:val="16"/>
      <w:szCs w:val="16"/>
    </w:rPr>
  </w:style>
  <w:style w:type="paragraph" w:styleId="Date">
    <w:name w:val="Date"/>
    <w:basedOn w:val="Normal"/>
    <w:next w:val="Normal"/>
    <w:link w:val="DateChar"/>
    <w:semiHidden/>
    <w:rsid w:val="002568BE"/>
  </w:style>
  <w:style w:type="character" w:customStyle="1" w:styleId="DateChar">
    <w:name w:val="Date Char"/>
    <w:basedOn w:val="DefaultParagraphFont"/>
    <w:link w:val="Date"/>
    <w:semiHidden/>
    <w:rsid w:val="002568BE"/>
  </w:style>
  <w:style w:type="paragraph" w:styleId="ListContinue4">
    <w:name w:val="List Continue 4"/>
    <w:basedOn w:val="Normal"/>
    <w:semiHidden/>
    <w:rsid w:val="002568BE"/>
    <w:pPr>
      <w:spacing w:after="120"/>
      <w:ind w:left="1132"/>
      <w:contextualSpacing/>
    </w:pPr>
  </w:style>
  <w:style w:type="paragraph" w:styleId="ListContinue5">
    <w:name w:val="List Continue 5"/>
    <w:basedOn w:val="Normal"/>
    <w:semiHidden/>
    <w:rsid w:val="002568BE"/>
    <w:pPr>
      <w:spacing w:after="120"/>
      <w:ind w:left="1415"/>
      <w:contextualSpacing/>
    </w:pPr>
  </w:style>
  <w:style w:type="paragraph" w:styleId="ListNumber4">
    <w:name w:val="List Number 4"/>
    <w:basedOn w:val="Normal"/>
    <w:semiHidden/>
    <w:rsid w:val="002568BE"/>
    <w:pPr>
      <w:numPr>
        <w:numId w:val="6"/>
      </w:numPr>
      <w:contextualSpacing/>
    </w:pPr>
  </w:style>
  <w:style w:type="paragraph" w:styleId="Signature">
    <w:name w:val="Signature"/>
    <w:basedOn w:val="Normal"/>
    <w:link w:val="SignatureChar"/>
    <w:semiHidden/>
    <w:rsid w:val="002568BE"/>
    <w:pPr>
      <w:spacing w:before="0" w:after="0" w:line="240" w:lineRule="auto"/>
      <w:ind w:left="4252"/>
    </w:pPr>
  </w:style>
  <w:style w:type="character" w:customStyle="1" w:styleId="SignatureChar">
    <w:name w:val="Signature Char"/>
    <w:basedOn w:val="DefaultParagraphFont"/>
    <w:link w:val="Signature"/>
    <w:semiHidden/>
    <w:rsid w:val="002568BE"/>
  </w:style>
  <w:style w:type="character" w:styleId="PageNumber">
    <w:name w:val="page number"/>
    <w:basedOn w:val="DefaultParagraphFont"/>
    <w:semiHidden/>
    <w:rsid w:val="002568BE"/>
  </w:style>
  <w:style w:type="paragraph" w:styleId="ListContinue3">
    <w:name w:val="List Continue 3"/>
    <w:basedOn w:val="ListContinue2"/>
    <w:link w:val="ListContinue3Char"/>
    <w:semiHidden/>
    <w:rsid w:val="002568BE"/>
    <w:pPr>
      <w:ind w:left="794"/>
    </w:pPr>
  </w:style>
  <w:style w:type="character" w:customStyle="1" w:styleId="ListContinue3Char">
    <w:name w:val="List Continue 3 Char"/>
    <w:basedOn w:val="ListContinue2Char"/>
    <w:link w:val="ListContinue3"/>
    <w:semiHidden/>
    <w:rsid w:val="002568BE"/>
    <w:rPr>
      <w:rFonts w:asciiTheme="minorHAnsi" w:eastAsia="Times New Roman" w:hAnsiTheme="minorHAnsi"/>
      <w:color w:val="000000" w:themeColor="text1"/>
      <w:sz w:val="22"/>
      <w:szCs w:val="22"/>
    </w:rPr>
  </w:style>
  <w:style w:type="table" w:styleId="ColourfulGrid">
    <w:name w:val="Colorful Grid"/>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D4D8E8" w:themeFill="accent1" w:themeFillTint="33"/>
    </w:tcPr>
    <w:tblStylePr w:type="firstRow">
      <w:rPr>
        <w:b/>
        <w:bCs/>
      </w:rPr>
      <w:tblPr/>
      <w:tcPr>
        <w:shd w:val="clear" w:color="auto" w:fill="A9B1D0" w:themeFill="accent1" w:themeFillTint="66"/>
      </w:tcPr>
    </w:tblStylePr>
    <w:tblStylePr w:type="lastRow">
      <w:rPr>
        <w:b/>
        <w:bCs/>
        <w:color w:val="000000" w:themeColor="text1"/>
      </w:rPr>
      <w:tblPr/>
      <w:tcPr>
        <w:shd w:val="clear" w:color="auto" w:fill="A9B1D0" w:themeFill="accent1" w:themeFillTint="66"/>
      </w:tcPr>
    </w:tblStylePr>
    <w:tblStylePr w:type="firstCol">
      <w:rPr>
        <w:color w:val="FFFFFF" w:themeColor="background1"/>
      </w:rPr>
      <w:tblPr/>
      <w:tcPr>
        <w:shd w:val="clear" w:color="auto" w:fill="2F3757" w:themeFill="accent1" w:themeFillShade="BF"/>
      </w:tcPr>
    </w:tblStylePr>
    <w:tblStylePr w:type="lastCol">
      <w:rPr>
        <w:color w:val="FFFFFF" w:themeColor="background1"/>
      </w:rPr>
      <w:tblPr/>
      <w:tcPr>
        <w:shd w:val="clear" w:color="auto" w:fill="2F3757" w:themeFill="accent1" w:themeFillShade="BF"/>
      </w:tcPr>
    </w:tblStylePr>
    <w:tblStylePr w:type="band1Vert">
      <w:tblPr/>
      <w:tcPr>
        <w:shd w:val="clear" w:color="auto" w:fill="939DC5" w:themeFill="accent1" w:themeFillTint="7F"/>
      </w:tcPr>
    </w:tblStylePr>
    <w:tblStylePr w:type="band1Horz">
      <w:tblPr/>
      <w:tcPr>
        <w:shd w:val="clear" w:color="auto" w:fill="939DC5" w:themeFill="accent1" w:themeFillTint="7F"/>
      </w:tcPr>
    </w:tblStylePr>
  </w:style>
  <w:style w:type="paragraph" w:styleId="ListBullet3">
    <w:name w:val="List Bullet 3"/>
    <w:basedOn w:val="ListBullet2"/>
    <w:qFormat/>
    <w:rsid w:val="008A28C9"/>
    <w:pPr>
      <w:numPr>
        <w:ilvl w:val="2"/>
      </w:numPr>
    </w:pPr>
  </w:style>
  <w:style w:type="paragraph" w:styleId="ListNumber2">
    <w:name w:val="List Number 2"/>
    <w:basedOn w:val="ListNumber"/>
    <w:qFormat/>
    <w:rsid w:val="004C0F1F"/>
    <w:pPr>
      <w:numPr>
        <w:ilvl w:val="1"/>
      </w:numPr>
    </w:pPr>
  </w:style>
  <w:style w:type="paragraph" w:styleId="ListNumber3">
    <w:name w:val="List Number 3"/>
    <w:basedOn w:val="ListNumber2"/>
    <w:qFormat/>
    <w:rsid w:val="004C0F1F"/>
    <w:pPr>
      <w:numPr>
        <w:ilvl w:val="2"/>
      </w:numPr>
    </w:pPr>
  </w:style>
  <w:style w:type="character" w:styleId="PlaceholderText">
    <w:name w:val="Placeholder Text"/>
    <w:basedOn w:val="DefaultParagraphFont"/>
    <w:uiPriority w:val="99"/>
    <w:rsid w:val="002568BE"/>
    <w:rPr>
      <w:color w:val="808080"/>
    </w:rPr>
  </w:style>
  <w:style w:type="paragraph" w:styleId="NoSpacing">
    <w:name w:val="No Spacing"/>
    <w:basedOn w:val="Normal"/>
    <w:qFormat/>
    <w:rsid w:val="002568BE"/>
    <w:pPr>
      <w:spacing w:before="0" w:after="0"/>
    </w:pPr>
  </w:style>
  <w:style w:type="table" w:styleId="ColourfulGridAccent2">
    <w:name w:val="Colorful Grid Accent 2"/>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D0EAED" w:themeFill="accent2" w:themeFillTint="33"/>
    </w:tcPr>
    <w:tblStylePr w:type="firstRow">
      <w:rPr>
        <w:b/>
        <w:bCs/>
      </w:rPr>
      <w:tblPr/>
      <w:tcPr>
        <w:shd w:val="clear" w:color="auto" w:fill="A2D5DB" w:themeFill="accent2" w:themeFillTint="66"/>
      </w:tcPr>
    </w:tblStylePr>
    <w:tblStylePr w:type="lastRow">
      <w:rPr>
        <w:b/>
        <w:bCs/>
        <w:color w:val="000000" w:themeColor="text1"/>
      </w:rPr>
      <w:tblPr/>
      <w:tcPr>
        <w:shd w:val="clear" w:color="auto" w:fill="A2D5DB" w:themeFill="accent2" w:themeFillTint="66"/>
      </w:tcPr>
    </w:tblStylePr>
    <w:tblStylePr w:type="firstCol">
      <w:rPr>
        <w:color w:val="FFFFFF" w:themeColor="background1"/>
      </w:rPr>
      <w:tblPr/>
      <w:tcPr>
        <w:shd w:val="clear" w:color="auto" w:fill="276066" w:themeFill="accent2" w:themeFillShade="BF"/>
      </w:tcPr>
    </w:tblStylePr>
    <w:tblStylePr w:type="lastCol">
      <w:rPr>
        <w:color w:val="FFFFFF" w:themeColor="background1"/>
      </w:rPr>
      <w:tblPr/>
      <w:tcPr>
        <w:shd w:val="clear" w:color="auto" w:fill="276066" w:themeFill="accent2" w:themeFillShade="BF"/>
      </w:tcPr>
    </w:tblStylePr>
    <w:tblStylePr w:type="band1Vert">
      <w:tblPr/>
      <w:tcPr>
        <w:shd w:val="clear" w:color="auto" w:fill="8BCBD2" w:themeFill="accent2" w:themeFillTint="7F"/>
      </w:tcPr>
    </w:tblStylePr>
    <w:tblStylePr w:type="band1Horz">
      <w:tblPr/>
      <w:tcPr>
        <w:shd w:val="clear" w:color="auto" w:fill="8BCBD2" w:themeFill="accent2" w:themeFillTint="7F"/>
      </w:tcPr>
    </w:tblStylePr>
  </w:style>
  <w:style w:type="table" w:customStyle="1" w:styleId="TablePlaceholder">
    <w:name w:val="Table Placeholder"/>
    <w:basedOn w:val="TableNormal"/>
    <w:uiPriority w:val="99"/>
    <w:rsid w:val="002568BE"/>
    <w:pPr>
      <w:spacing w:after="120"/>
    </w:pPr>
    <w:rPr>
      <w:rFonts w:eastAsia="Times New Roman"/>
      <w:color w:val="000000" w:themeColor="text1"/>
    </w:rPr>
    <w:tblPr>
      <w:tblCellMar>
        <w:left w:w="0" w:type="dxa"/>
        <w:right w:w="0" w:type="dxa"/>
      </w:tblCellMar>
    </w:tblPr>
  </w:style>
  <w:style w:type="table" w:styleId="ColourfulGridAccent3">
    <w:name w:val="Colorful Grid Accent 3"/>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BFE7FF" w:themeFill="accent3" w:themeFillTint="33"/>
    </w:tcPr>
    <w:tblStylePr w:type="firstRow">
      <w:rPr>
        <w:b/>
        <w:bCs/>
      </w:rPr>
      <w:tblPr/>
      <w:tcPr>
        <w:shd w:val="clear" w:color="auto" w:fill="7FCFFF" w:themeFill="accent3" w:themeFillTint="66"/>
      </w:tcPr>
    </w:tblStylePr>
    <w:tblStylePr w:type="lastRow">
      <w:rPr>
        <w:b/>
        <w:bCs/>
        <w:color w:val="000000" w:themeColor="text1"/>
      </w:rPr>
      <w:tblPr/>
      <w:tcPr>
        <w:shd w:val="clear" w:color="auto" w:fill="7FCFFF" w:themeFill="accent3" w:themeFillTint="66"/>
      </w:tcPr>
    </w:tblStylePr>
    <w:tblStylePr w:type="firstCol">
      <w:rPr>
        <w:color w:val="FFFFFF" w:themeColor="background1"/>
      </w:rPr>
      <w:tblPr/>
      <w:tcPr>
        <w:shd w:val="clear" w:color="auto" w:fill="00598F" w:themeFill="accent3" w:themeFillShade="BF"/>
      </w:tcPr>
    </w:tblStylePr>
    <w:tblStylePr w:type="lastCol">
      <w:rPr>
        <w:color w:val="FFFFFF" w:themeColor="background1"/>
      </w:rPr>
      <w:tblPr/>
      <w:tcPr>
        <w:shd w:val="clear" w:color="auto" w:fill="00598F" w:themeFill="accent3" w:themeFillShade="BF"/>
      </w:tcPr>
    </w:tblStylePr>
    <w:tblStylePr w:type="band1Vert">
      <w:tblPr/>
      <w:tcPr>
        <w:shd w:val="clear" w:color="auto" w:fill="60C3FF" w:themeFill="accent3" w:themeFillTint="7F"/>
      </w:tcPr>
    </w:tblStylePr>
    <w:tblStylePr w:type="band1Horz">
      <w:tblPr/>
      <w:tcPr>
        <w:shd w:val="clear" w:color="auto" w:fill="60C3FF" w:themeFill="accent3" w:themeFillTint="7F"/>
      </w:tcPr>
    </w:tblStylePr>
  </w:style>
  <w:style w:type="table" w:styleId="ColourfulGridAccent4">
    <w:name w:val="Colorful Grid Accent 4"/>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EDD9E1" w:themeFill="accent4" w:themeFillTint="33"/>
    </w:tcPr>
    <w:tblStylePr w:type="firstRow">
      <w:rPr>
        <w:b/>
        <w:bCs/>
      </w:rPr>
      <w:tblPr/>
      <w:tcPr>
        <w:shd w:val="clear" w:color="auto" w:fill="DBB4C4" w:themeFill="accent4" w:themeFillTint="66"/>
      </w:tcPr>
    </w:tblStylePr>
    <w:tblStylePr w:type="lastRow">
      <w:rPr>
        <w:b/>
        <w:bCs/>
        <w:color w:val="000000" w:themeColor="text1"/>
      </w:rPr>
      <w:tblPr/>
      <w:tcPr>
        <w:shd w:val="clear" w:color="auto" w:fill="DBB4C4" w:themeFill="accent4" w:themeFillTint="66"/>
      </w:tcPr>
    </w:tblStylePr>
    <w:tblStylePr w:type="firstCol">
      <w:rPr>
        <w:color w:val="FFFFFF" w:themeColor="background1"/>
      </w:rPr>
      <w:tblPr/>
      <w:tcPr>
        <w:shd w:val="clear" w:color="auto" w:fill="763952" w:themeFill="accent4" w:themeFillShade="BF"/>
      </w:tcPr>
    </w:tblStylePr>
    <w:tblStylePr w:type="lastCol">
      <w:rPr>
        <w:color w:val="FFFFFF" w:themeColor="background1"/>
      </w:rPr>
      <w:tblPr/>
      <w:tcPr>
        <w:shd w:val="clear" w:color="auto" w:fill="763952" w:themeFill="accent4" w:themeFillShade="BF"/>
      </w:tcPr>
    </w:tblStylePr>
    <w:tblStylePr w:type="band1Vert">
      <w:tblPr/>
      <w:tcPr>
        <w:shd w:val="clear" w:color="auto" w:fill="D2A2B5" w:themeFill="accent4" w:themeFillTint="7F"/>
      </w:tcPr>
    </w:tblStylePr>
    <w:tblStylePr w:type="band1Horz">
      <w:tblPr/>
      <w:tcPr>
        <w:shd w:val="clear" w:color="auto" w:fill="D2A2B5" w:themeFill="accent4" w:themeFillTint="7F"/>
      </w:tcPr>
    </w:tblStylePr>
  </w:style>
  <w:style w:type="table" w:styleId="ColourfulGridAccent5">
    <w:name w:val="Colorful Grid Accent 5"/>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D5EBF2" w:themeFill="accent5" w:themeFillTint="33"/>
    </w:tcPr>
    <w:tblStylePr w:type="firstRow">
      <w:rPr>
        <w:b/>
        <w:bCs/>
      </w:rPr>
      <w:tblPr/>
      <w:tcPr>
        <w:shd w:val="clear" w:color="auto" w:fill="ACD7E5" w:themeFill="accent5" w:themeFillTint="66"/>
      </w:tcPr>
    </w:tblStylePr>
    <w:tblStylePr w:type="lastRow">
      <w:rPr>
        <w:b/>
        <w:bCs/>
        <w:color w:val="000000" w:themeColor="text1"/>
      </w:rPr>
      <w:tblPr/>
      <w:tcPr>
        <w:shd w:val="clear" w:color="auto" w:fill="ACD7E5" w:themeFill="accent5" w:themeFillTint="66"/>
      </w:tcPr>
    </w:tblStylePr>
    <w:tblStylePr w:type="firstCol">
      <w:rPr>
        <w:color w:val="FFFFFF" w:themeColor="background1"/>
      </w:rPr>
      <w:tblPr/>
      <w:tcPr>
        <w:shd w:val="clear" w:color="auto" w:fill="2A7187" w:themeFill="accent5" w:themeFillShade="BF"/>
      </w:tcPr>
    </w:tblStylePr>
    <w:tblStylePr w:type="lastCol">
      <w:rPr>
        <w:color w:val="FFFFFF" w:themeColor="background1"/>
      </w:rPr>
      <w:tblPr/>
      <w:tcPr>
        <w:shd w:val="clear" w:color="auto" w:fill="2A7187" w:themeFill="accent5" w:themeFillShade="BF"/>
      </w:tcPr>
    </w:tblStylePr>
    <w:tblStylePr w:type="band1Vert">
      <w:tblPr/>
      <w:tcPr>
        <w:shd w:val="clear" w:color="auto" w:fill="97CDDE" w:themeFill="accent5" w:themeFillTint="7F"/>
      </w:tcPr>
    </w:tblStylePr>
    <w:tblStylePr w:type="band1Horz">
      <w:tblPr/>
      <w:tcPr>
        <w:shd w:val="clear" w:color="auto" w:fill="97CDDE" w:themeFill="accent5" w:themeFillTint="7F"/>
      </w:tcPr>
    </w:tblStylePr>
  </w:style>
  <w:style w:type="table" w:styleId="ColourfulGridAccent6">
    <w:name w:val="Colorful Grid Accent 6"/>
    <w:basedOn w:val="TableNormal"/>
    <w:uiPriority w:val="73"/>
    <w:semiHidden/>
    <w:rsid w:val="002568BE"/>
    <w:pPr>
      <w:spacing w:after="120"/>
    </w:pPr>
    <w:rPr>
      <w:rFonts w:eastAsia="Times New Roman"/>
      <w:color w:val="000000" w:themeColor="text1"/>
    </w:rPr>
    <w:tblPr>
      <w:tblStyleRowBandSize w:val="1"/>
      <w:tblStyleColBandSize w:val="1"/>
      <w:tblBorders>
        <w:insideH w:val="single" w:sz="4" w:space="0" w:color="FFFFFF" w:themeColor="background1"/>
      </w:tblBorders>
    </w:tblPr>
    <w:tcPr>
      <w:shd w:val="clear" w:color="auto" w:fill="EEF4CD" w:themeFill="accent6" w:themeFillTint="33"/>
    </w:tcPr>
    <w:tblStylePr w:type="firstRow">
      <w:rPr>
        <w:b/>
        <w:bCs/>
      </w:rPr>
      <w:tblPr/>
      <w:tcPr>
        <w:shd w:val="clear" w:color="auto" w:fill="DDE89B" w:themeFill="accent6" w:themeFillTint="66"/>
      </w:tcPr>
    </w:tblStylePr>
    <w:tblStylePr w:type="lastRow">
      <w:rPr>
        <w:b/>
        <w:bCs/>
        <w:color w:val="000000" w:themeColor="text1"/>
      </w:rPr>
      <w:tblPr/>
      <w:tcPr>
        <w:shd w:val="clear" w:color="auto" w:fill="DDE89B" w:themeFill="accent6" w:themeFillTint="66"/>
      </w:tcPr>
    </w:tblStylePr>
    <w:tblStylePr w:type="firstCol">
      <w:rPr>
        <w:color w:val="FFFFFF" w:themeColor="background1"/>
      </w:rPr>
      <w:tblPr/>
      <w:tcPr>
        <w:shd w:val="clear" w:color="auto" w:fill="707E1C" w:themeFill="accent6" w:themeFillShade="BF"/>
      </w:tcPr>
    </w:tblStylePr>
    <w:tblStylePr w:type="lastCol">
      <w:rPr>
        <w:color w:val="FFFFFF" w:themeColor="background1"/>
      </w:rPr>
      <w:tblPr/>
      <w:tcPr>
        <w:shd w:val="clear" w:color="auto" w:fill="707E1C" w:themeFill="accent6" w:themeFillShade="BF"/>
      </w:tcPr>
    </w:tblStylePr>
    <w:tblStylePr w:type="band1Vert">
      <w:tblPr/>
      <w:tcPr>
        <w:shd w:val="clear" w:color="auto" w:fill="D5E383" w:themeFill="accent6" w:themeFillTint="7F"/>
      </w:tcPr>
    </w:tblStylePr>
    <w:tblStylePr w:type="band1Horz">
      <w:tblPr/>
      <w:tcPr>
        <w:shd w:val="clear" w:color="auto" w:fill="D5E383" w:themeFill="accent6" w:themeFillTint="7F"/>
      </w:tcPr>
    </w:tblStylePr>
  </w:style>
  <w:style w:type="table" w:styleId="ColourfulList">
    <w:name w:val="Colorful List"/>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A666D" w:themeFill="accent2" w:themeFillShade="CC"/>
      </w:tcPr>
    </w:tblStylePr>
    <w:tblStylePr w:type="lastRow">
      <w:rPr>
        <w:b/>
        <w:bCs/>
        <w:color w:val="2A66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9EBF3" w:themeFill="accent1" w:themeFillTint="19"/>
    </w:tcPr>
    <w:tblStylePr w:type="firstRow">
      <w:rPr>
        <w:b/>
        <w:bCs/>
        <w:color w:val="FFFFFF" w:themeColor="background1"/>
      </w:rPr>
      <w:tblPr/>
      <w:tcPr>
        <w:tcBorders>
          <w:bottom w:val="single" w:sz="12" w:space="0" w:color="FFFFFF" w:themeColor="background1"/>
        </w:tcBorders>
        <w:shd w:val="clear" w:color="auto" w:fill="2A666D" w:themeFill="accent2" w:themeFillShade="CC"/>
      </w:tcPr>
    </w:tblStylePr>
    <w:tblStylePr w:type="lastRow">
      <w:rPr>
        <w:b/>
        <w:bCs/>
        <w:color w:val="2A66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EE2" w:themeFill="accent1" w:themeFillTint="3F"/>
      </w:tcPr>
    </w:tblStylePr>
    <w:tblStylePr w:type="band1Horz">
      <w:tblPr/>
      <w:tcPr>
        <w:shd w:val="clear" w:color="auto" w:fill="D4D8E8" w:themeFill="accent1" w:themeFillTint="33"/>
      </w:tcPr>
    </w:tblStylePr>
  </w:style>
  <w:style w:type="table" w:styleId="ColourfulListAccent2">
    <w:name w:val="Colorful List Accent 2"/>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8F4F6" w:themeFill="accent2" w:themeFillTint="19"/>
    </w:tcPr>
    <w:tblStylePr w:type="firstRow">
      <w:rPr>
        <w:b/>
        <w:bCs/>
        <w:color w:val="FFFFFF" w:themeColor="background1"/>
      </w:rPr>
      <w:tblPr/>
      <w:tcPr>
        <w:tcBorders>
          <w:bottom w:val="single" w:sz="12" w:space="0" w:color="FFFFFF" w:themeColor="background1"/>
        </w:tcBorders>
        <w:shd w:val="clear" w:color="auto" w:fill="2A666D" w:themeFill="accent2" w:themeFillShade="CC"/>
      </w:tcPr>
    </w:tblStylePr>
    <w:tblStylePr w:type="lastRow">
      <w:rPr>
        <w:b/>
        <w:bCs/>
        <w:color w:val="2A666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E5E9" w:themeFill="accent2" w:themeFillTint="3F"/>
      </w:tcPr>
    </w:tblStylePr>
    <w:tblStylePr w:type="band1Horz">
      <w:tblPr/>
      <w:tcPr>
        <w:shd w:val="clear" w:color="auto" w:fill="D0EAED" w:themeFill="accent2" w:themeFillTint="33"/>
      </w:tcPr>
    </w:tblStylePr>
  </w:style>
  <w:style w:type="table" w:styleId="ColourfulListAccent3">
    <w:name w:val="Colorful List Accent 3"/>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DFF3FF" w:themeFill="accent3" w:themeFillTint="19"/>
    </w:tcPr>
    <w:tblStylePr w:type="firstRow">
      <w:rPr>
        <w:b/>
        <w:bCs/>
        <w:color w:val="FFFFFF" w:themeColor="background1"/>
      </w:rPr>
      <w:tblPr/>
      <w:tcPr>
        <w:tcBorders>
          <w:bottom w:val="single" w:sz="12" w:space="0" w:color="FFFFFF" w:themeColor="background1"/>
        </w:tcBorders>
        <w:shd w:val="clear" w:color="auto" w:fill="7E3C57" w:themeFill="accent4" w:themeFillShade="CC"/>
      </w:tcPr>
    </w:tblStylePr>
    <w:tblStylePr w:type="lastRow">
      <w:rPr>
        <w:b/>
        <w:bCs/>
        <w:color w:val="7E3C5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E1FF" w:themeFill="accent3" w:themeFillTint="3F"/>
      </w:tcPr>
    </w:tblStylePr>
    <w:tblStylePr w:type="band1Horz">
      <w:tblPr/>
      <w:tcPr>
        <w:shd w:val="clear" w:color="auto" w:fill="BFE7FF" w:themeFill="accent3" w:themeFillTint="33"/>
      </w:tcPr>
    </w:tblStylePr>
  </w:style>
  <w:style w:type="table" w:styleId="ColourfulListAccent4">
    <w:name w:val="Colorful List Accent 4"/>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F6ECF0" w:themeFill="accent4" w:themeFillTint="19"/>
    </w:tcPr>
    <w:tblStylePr w:type="firstRow">
      <w:rPr>
        <w:b/>
        <w:bCs/>
        <w:color w:val="FFFFFF" w:themeColor="background1"/>
      </w:rPr>
      <w:tblPr/>
      <w:tcPr>
        <w:tcBorders>
          <w:bottom w:val="single" w:sz="12" w:space="0" w:color="FFFFFF" w:themeColor="background1"/>
        </w:tcBorders>
        <w:shd w:val="clear" w:color="auto" w:fill="005F98" w:themeFill="accent3" w:themeFillShade="CC"/>
      </w:tcPr>
    </w:tblStylePr>
    <w:tblStylePr w:type="lastRow">
      <w:rPr>
        <w:b/>
        <w:bCs/>
        <w:color w:val="005F9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0DA" w:themeFill="accent4" w:themeFillTint="3F"/>
      </w:tcPr>
    </w:tblStylePr>
    <w:tblStylePr w:type="band1Horz">
      <w:tblPr/>
      <w:tcPr>
        <w:shd w:val="clear" w:color="auto" w:fill="EDD9E1" w:themeFill="accent4" w:themeFillTint="33"/>
      </w:tcPr>
    </w:tblStylePr>
  </w:style>
  <w:style w:type="table" w:styleId="ColourfulListAccent5">
    <w:name w:val="Colorful List Accent 5"/>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EAF5F8" w:themeFill="accent5" w:themeFillTint="19"/>
    </w:tcPr>
    <w:tblStylePr w:type="firstRow">
      <w:rPr>
        <w:b/>
        <w:bCs/>
        <w:color w:val="FFFFFF" w:themeColor="background1"/>
      </w:rPr>
      <w:tblPr/>
      <w:tcPr>
        <w:tcBorders>
          <w:bottom w:val="single" w:sz="12" w:space="0" w:color="FFFFFF" w:themeColor="background1"/>
        </w:tcBorders>
        <w:shd w:val="clear" w:color="auto" w:fill="78861E" w:themeFill="accent6" w:themeFillShade="CC"/>
      </w:tcPr>
    </w:tblStylePr>
    <w:tblStylePr w:type="lastRow">
      <w:rPr>
        <w:b/>
        <w:bCs/>
        <w:color w:val="78861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6EF" w:themeFill="accent5" w:themeFillTint="3F"/>
      </w:tcPr>
    </w:tblStylePr>
    <w:tblStylePr w:type="band1Horz">
      <w:tblPr/>
      <w:tcPr>
        <w:shd w:val="clear" w:color="auto" w:fill="D5EBF2" w:themeFill="accent5" w:themeFillTint="33"/>
      </w:tcPr>
    </w:tblStylePr>
  </w:style>
  <w:style w:type="table" w:styleId="ColourfulListAccent6">
    <w:name w:val="Colorful List Accent 6"/>
    <w:basedOn w:val="TableNormal"/>
    <w:uiPriority w:val="72"/>
    <w:semiHidden/>
    <w:rsid w:val="002568BE"/>
    <w:pPr>
      <w:spacing w:after="120"/>
    </w:pPr>
    <w:rPr>
      <w:rFonts w:eastAsia="Times New Roman"/>
      <w:color w:val="000000" w:themeColor="text1"/>
    </w:rPr>
    <w:tblPr>
      <w:tblStyleRowBandSize w:val="1"/>
      <w:tblStyleColBandSize w:val="1"/>
    </w:tblPr>
    <w:tcPr>
      <w:shd w:val="clear" w:color="auto" w:fill="F6F9E6" w:themeFill="accent6" w:themeFillTint="19"/>
    </w:tcPr>
    <w:tblStylePr w:type="firstRow">
      <w:rPr>
        <w:b/>
        <w:bCs/>
        <w:color w:val="FFFFFF" w:themeColor="background1"/>
      </w:rPr>
      <w:tblPr/>
      <w:tcPr>
        <w:tcBorders>
          <w:bottom w:val="single" w:sz="12" w:space="0" w:color="FFFFFF" w:themeColor="background1"/>
        </w:tcBorders>
        <w:shd w:val="clear" w:color="auto" w:fill="2D7990" w:themeFill="accent5" w:themeFillShade="CC"/>
      </w:tcPr>
    </w:tblStylePr>
    <w:tblStylePr w:type="lastRow">
      <w:rPr>
        <w:b/>
        <w:bCs/>
        <w:color w:val="2D799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F1C1" w:themeFill="accent6" w:themeFillTint="3F"/>
      </w:tcPr>
    </w:tblStylePr>
    <w:tblStylePr w:type="band1Horz">
      <w:tblPr/>
      <w:tcPr>
        <w:shd w:val="clear" w:color="auto" w:fill="EEF4CD" w:themeFill="accent6" w:themeFillTint="33"/>
      </w:tcPr>
    </w:tblStylePr>
  </w:style>
  <w:style w:type="table" w:styleId="ColourfulShading">
    <w:name w:val="Colorful Shading"/>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5818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58189" w:themeColor="accent2"/>
        <w:left w:val="single" w:sz="4" w:space="0" w:color="3F4A75" w:themeColor="accent1"/>
        <w:bottom w:val="single" w:sz="4" w:space="0" w:color="3F4A75" w:themeColor="accent1"/>
        <w:right w:val="single" w:sz="4" w:space="0" w:color="3F4A75" w:themeColor="accent1"/>
        <w:insideH w:val="single" w:sz="4" w:space="0" w:color="FFFFFF" w:themeColor="background1"/>
        <w:insideV w:val="single" w:sz="4" w:space="0" w:color="FFFFFF" w:themeColor="background1"/>
      </w:tblBorders>
    </w:tblPr>
    <w:tcPr>
      <w:shd w:val="clear" w:color="auto" w:fill="E9EBF3" w:themeFill="accent1" w:themeFillTint="19"/>
    </w:tcPr>
    <w:tblStylePr w:type="firstRow">
      <w:rPr>
        <w:b/>
        <w:bCs/>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2C46" w:themeFill="accent1" w:themeFillShade="99"/>
      </w:tcPr>
    </w:tblStylePr>
    <w:tblStylePr w:type="firstCol">
      <w:rPr>
        <w:color w:val="FFFFFF" w:themeColor="background1"/>
      </w:rPr>
      <w:tblPr/>
      <w:tcPr>
        <w:tcBorders>
          <w:top w:val="nil"/>
          <w:left w:val="nil"/>
          <w:bottom w:val="nil"/>
          <w:right w:val="nil"/>
          <w:insideH w:val="single" w:sz="4" w:space="0" w:color="252C46" w:themeColor="accent1" w:themeShade="99"/>
          <w:insideV w:val="nil"/>
        </w:tcBorders>
        <w:shd w:val="clear" w:color="auto" w:fill="252C4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2C46" w:themeFill="accent1" w:themeFillShade="99"/>
      </w:tcPr>
    </w:tblStylePr>
    <w:tblStylePr w:type="band1Vert">
      <w:tblPr/>
      <w:tcPr>
        <w:shd w:val="clear" w:color="auto" w:fill="A9B1D0" w:themeFill="accent1" w:themeFillTint="66"/>
      </w:tcPr>
    </w:tblStylePr>
    <w:tblStylePr w:type="band1Horz">
      <w:tblPr/>
      <w:tcPr>
        <w:shd w:val="clear" w:color="auto" w:fill="939DC5"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58189" w:themeColor="accent2"/>
        <w:left w:val="single" w:sz="4" w:space="0" w:color="358189" w:themeColor="accent2"/>
        <w:bottom w:val="single" w:sz="4" w:space="0" w:color="358189" w:themeColor="accent2"/>
        <w:right w:val="single" w:sz="4" w:space="0" w:color="358189" w:themeColor="accent2"/>
        <w:insideH w:val="single" w:sz="4" w:space="0" w:color="FFFFFF" w:themeColor="background1"/>
        <w:insideV w:val="single" w:sz="4" w:space="0" w:color="FFFFFF" w:themeColor="background1"/>
      </w:tblBorders>
    </w:tblPr>
    <w:tcPr>
      <w:shd w:val="clear" w:color="auto" w:fill="E8F4F6" w:themeFill="accent2" w:themeFillTint="19"/>
    </w:tcPr>
    <w:tblStylePr w:type="firstRow">
      <w:rPr>
        <w:b/>
        <w:bCs/>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4D52" w:themeFill="accent2" w:themeFillShade="99"/>
      </w:tcPr>
    </w:tblStylePr>
    <w:tblStylePr w:type="firstCol">
      <w:rPr>
        <w:color w:val="FFFFFF" w:themeColor="background1"/>
      </w:rPr>
      <w:tblPr/>
      <w:tcPr>
        <w:tcBorders>
          <w:top w:val="nil"/>
          <w:left w:val="nil"/>
          <w:bottom w:val="nil"/>
          <w:right w:val="nil"/>
          <w:insideH w:val="single" w:sz="4" w:space="0" w:color="1F4D52" w:themeColor="accent2" w:themeShade="99"/>
          <w:insideV w:val="nil"/>
        </w:tcBorders>
        <w:shd w:val="clear" w:color="auto" w:fill="1F4D5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F4D52" w:themeFill="accent2" w:themeFillShade="99"/>
      </w:tcPr>
    </w:tblStylePr>
    <w:tblStylePr w:type="band1Vert">
      <w:tblPr/>
      <w:tcPr>
        <w:shd w:val="clear" w:color="auto" w:fill="A2D5DB" w:themeFill="accent2" w:themeFillTint="66"/>
      </w:tcPr>
    </w:tblStylePr>
    <w:tblStylePr w:type="band1Horz">
      <w:tblPr/>
      <w:tcPr>
        <w:shd w:val="clear" w:color="auto" w:fill="8BCBD2"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9E4C6E" w:themeColor="accent4"/>
        <w:left w:val="single" w:sz="4" w:space="0" w:color="0078BF" w:themeColor="accent3"/>
        <w:bottom w:val="single" w:sz="4" w:space="0" w:color="0078BF" w:themeColor="accent3"/>
        <w:right w:val="single" w:sz="4" w:space="0" w:color="0078BF" w:themeColor="accent3"/>
        <w:insideH w:val="single" w:sz="4" w:space="0" w:color="FFFFFF" w:themeColor="background1"/>
        <w:insideV w:val="single" w:sz="4" w:space="0" w:color="FFFFFF" w:themeColor="background1"/>
      </w:tblBorders>
    </w:tblPr>
    <w:tcPr>
      <w:shd w:val="clear" w:color="auto" w:fill="DFF3FF" w:themeFill="accent3" w:themeFillTint="19"/>
    </w:tcPr>
    <w:tblStylePr w:type="firstRow">
      <w:rPr>
        <w:b/>
        <w:bCs/>
      </w:rPr>
      <w:tblPr/>
      <w:tcPr>
        <w:tcBorders>
          <w:top w:val="nil"/>
          <w:left w:val="nil"/>
          <w:bottom w:val="single" w:sz="24" w:space="0" w:color="9E4C6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772" w:themeFill="accent3" w:themeFillShade="99"/>
      </w:tcPr>
    </w:tblStylePr>
    <w:tblStylePr w:type="firstCol">
      <w:rPr>
        <w:color w:val="FFFFFF" w:themeColor="background1"/>
      </w:rPr>
      <w:tblPr/>
      <w:tcPr>
        <w:tcBorders>
          <w:top w:val="nil"/>
          <w:left w:val="nil"/>
          <w:bottom w:val="nil"/>
          <w:right w:val="nil"/>
          <w:insideH w:val="single" w:sz="4" w:space="0" w:color="004772" w:themeColor="accent3" w:themeShade="99"/>
          <w:insideV w:val="nil"/>
        </w:tcBorders>
        <w:shd w:val="clear" w:color="auto" w:fill="00477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772" w:themeFill="accent3" w:themeFillShade="99"/>
      </w:tcPr>
    </w:tblStylePr>
    <w:tblStylePr w:type="band1Vert">
      <w:tblPr/>
      <w:tcPr>
        <w:shd w:val="clear" w:color="auto" w:fill="7FCFFF" w:themeFill="accent3" w:themeFillTint="66"/>
      </w:tcPr>
    </w:tblStylePr>
    <w:tblStylePr w:type="band1Horz">
      <w:tblPr/>
      <w:tcPr>
        <w:shd w:val="clear" w:color="auto" w:fill="60C3FF" w:themeFill="accent3" w:themeFillTint="7F"/>
      </w:tcPr>
    </w:tblStylePr>
  </w:style>
  <w:style w:type="table" w:styleId="ColourfulShadingAccent4">
    <w:name w:val="Colorful Shading Accent 4"/>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0078BF" w:themeColor="accent3"/>
        <w:left w:val="single" w:sz="4" w:space="0" w:color="9E4C6E" w:themeColor="accent4"/>
        <w:bottom w:val="single" w:sz="4" w:space="0" w:color="9E4C6E" w:themeColor="accent4"/>
        <w:right w:val="single" w:sz="4" w:space="0" w:color="9E4C6E" w:themeColor="accent4"/>
        <w:insideH w:val="single" w:sz="4" w:space="0" w:color="FFFFFF" w:themeColor="background1"/>
        <w:insideV w:val="single" w:sz="4" w:space="0" w:color="FFFFFF" w:themeColor="background1"/>
      </w:tblBorders>
    </w:tblPr>
    <w:tcPr>
      <w:shd w:val="clear" w:color="auto" w:fill="F6ECF0" w:themeFill="accent4" w:themeFillTint="19"/>
    </w:tcPr>
    <w:tblStylePr w:type="firstRow">
      <w:rPr>
        <w:b/>
        <w:bCs/>
      </w:rPr>
      <w:tblPr/>
      <w:tcPr>
        <w:tcBorders>
          <w:top w:val="nil"/>
          <w:left w:val="nil"/>
          <w:bottom w:val="single" w:sz="24" w:space="0" w:color="0078B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2D41" w:themeFill="accent4" w:themeFillShade="99"/>
      </w:tcPr>
    </w:tblStylePr>
    <w:tblStylePr w:type="firstCol">
      <w:rPr>
        <w:color w:val="FFFFFF" w:themeColor="background1"/>
      </w:rPr>
      <w:tblPr/>
      <w:tcPr>
        <w:tcBorders>
          <w:top w:val="nil"/>
          <w:left w:val="nil"/>
          <w:bottom w:val="nil"/>
          <w:right w:val="nil"/>
          <w:insideH w:val="single" w:sz="4" w:space="0" w:color="5E2D41" w:themeColor="accent4" w:themeShade="99"/>
          <w:insideV w:val="nil"/>
        </w:tcBorders>
        <w:shd w:val="clear" w:color="auto" w:fill="5E2D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E2D41" w:themeFill="accent4" w:themeFillShade="99"/>
      </w:tcPr>
    </w:tblStylePr>
    <w:tblStylePr w:type="band1Vert">
      <w:tblPr/>
      <w:tcPr>
        <w:shd w:val="clear" w:color="auto" w:fill="DBB4C4" w:themeFill="accent4" w:themeFillTint="66"/>
      </w:tcPr>
    </w:tblStylePr>
    <w:tblStylePr w:type="band1Horz">
      <w:tblPr/>
      <w:tcPr>
        <w:shd w:val="clear" w:color="auto" w:fill="D2A2B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97A926" w:themeColor="accent6"/>
        <w:left w:val="single" w:sz="4" w:space="0" w:color="3998B5" w:themeColor="accent5"/>
        <w:bottom w:val="single" w:sz="4" w:space="0" w:color="3998B5" w:themeColor="accent5"/>
        <w:right w:val="single" w:sz="4" w:space="0" w:color="3998B5" w:themeColor="accent5"/>
        <w:insideH w:val="single" w:sz="4" w:space="0" w:color="FFFFFF" w:themeColor="background1"/>
        <w:insideV w:val="single" w:sz="4" w:space="0" w:color="FFFFFF" w:themeColor="background1"/>
      </w:tblBorders>
    </w:tblPr>
    <w:tcPr>
      <w:shd w:val="clear" w:color="auto" w:fill="EAF5F8" w:themeFill="accent5" w:themeFillTint="19"/>
    </w:tcPr>
    <w:tblStylePr w:type="firstRow">
      <w:rPr>
        <w:b/>
        <w:bCs/>
      </w:rPr>
      <w:tblPr/>
      <w:tcPr>
        <w:tcBorders>
          <w:top w:val="nil"/>
          <w:left w:val="nil"/>
          <w:bottom w:val="single" w:sz="24" w:space="0" w:color="97A92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25A6C" w:themeFill="accent5" w:themeFillShade="99"/>
      </w:tcPr>
    </w:tblStylePr>
    <w:tblStylePr w:type="firstCol">
      <w:rPr>
        <w:color w:val="FFFFFF" w:themeColor="background1"/>
      </w:rPr>
      <w:tblPr/>
      <w:tcPr>
        <w:tcBorders>
          <w:top w:val="nil"/>
          <w:left w:val="nil"/>
          <w:bottom w:val="nil"/>
          <w:right w:val="nil"/>
          <w:insideH w:val="single" w:sz="4" w:space="0" w:color="225A6C" w:themeColor="accent5" w:themeShade="99"/>
          <w:insideV w:val="nil"/>
        </w:tcBorders>
        <w:shd w:val="clear" w:color="auto" w:fill="225A6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25A6C" w:themeFill="accent5" w:themeFillShade="99"/>
      </w:tcPr>
    </w:tblStylePr>
    <w:tblStylePr w:type="band1Vert">
      <w:tblPr/>
      <w:tcPr>
        <w:shd w:val="clear" w:color="auto" w:fill="ACD7E5" w:themeFill="accent5" w:themeFillTint="66"/>
      </w:tcPr>
    </w:tblStylePr>
    <w:tblStylePr w:type="band1Horz">
      <w:tblPr/>
      <w:tcPr>
        <w:shd w:val="clear" w:color="auto" w:fill="97CDDE"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rsid w:val="002568BE"/>
    <w:pPr>
      <w:spacing w:after="120"/>
    </w:pPr>
    <w:rPr>
      <w:rFonts w:eastAsia="Times New Roman"/>
      <w:color w:val="000000" w:themeColor="text1"/>
    </w:rPr>
    <w:tblPr>
      <w:tblStyleRowBandSize w:val="1"/>
      <w:tblStyleColBandSize w:val="1"/>
      <w:tblBorders>
        <w:top w:val="single" w:sz="24" w:space="0" w:color="3998B5" w:themeColor="accent5"/>
        <w:left w:val="single" w:sz="4" w:space="0" w:color="97A926" w:themeColor="accent6"/>
        <w:bottom w:val="single" w:sz="4" w:space="0" w:color="97A926" w:themeColor="accent6"/>
        <w:right w:val="single" w:sz="4" w:space="0" w:color="97A926" w:themeColor="accent6"/>
        <w:insideH w:val="single" w:sz="4" w:space="0" w:color="FFFFFF" w:themeColor="background1"/>
        <w:insideV w:val="single" w:sz="4" w:space="0" w:color="FFFFFF" w:themeColor="background1"/>
      </w:tblBorders>
    </w:tblPr>
    <w:tcPr>
      <w:shd w:val="clear" w:color="auto" w:fill="F6F9E6" w:themeFill="accent6" w:themeFillTint="19"/>
    </w:tcPr>
    <w:tblStylePr w:type="firstRow">
      <w:rPr>
        <w:b/>
        <w:bCs/>
      </w:rPr>
      <w:tblPr/>
      <w:tcPr>
        <w:tcBorders>
          <w:top w:val="nil"/>
          <w:left w:val="nil"/>
          <w:bottom w:val="single" w:sz="24" w:space="0" w:color="3998B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6516" w:themeFill="accent6" w:themeFillShade="99"/>
      </w:tcPr>
    </w:tblStylePr>
    <w:tblStylePr w:type="firstCol">
      <w:rPr>
        <w:color w:val="FFFFFF" w:themeColor="background1"/>
      </w:rPr>
      <w:tblPr/>
      <w:tcPr>
        <w:tcBorders>
          <w:top w:val="nil"/>
          <w:left w:val="nil"/>
          <w:bottom w:val="nil"/>
          <w:right w:val="nil"/>
          <w:insideH w:val="single" w:sz="4" w:space="0" w:color="5A6516" w:themeColor="accent6" w:themeShade="99"/>
          <w:insideV w:val="nil"/>
        </w:tcBorders>
        <w:shd w:val="clear" w:color="auto" w:fill="5A651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A6516" w:themeFill="accent6" w:themeFillShade="99"/>
      </w:tcPr>
    </w:tblStylePr>
    <w:tblStylePr w:type="band1Vert">
      <w:tblPr/>
      <w:tcPr>
        <w:shd w:val="clear" w:color="auto" w:fill="DDE89B" w:themeFill="accent6" w:themeFillTint="66"/>
      </w:tcPr>
    </w:tblStylePr>
    <w:tblStylePr w:type="band1Horz">
      <w:tblPr/>
      <w:tcPr>
        <w:shd w:val="clear" w:color="auto" w:fill="D5E38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3F4A7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243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375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3757" w:themeFill="accent1" w:themeFillShade="BF"/>
      </w:tcPr>
    </w:tblStylePr>
    <w:tblStylePr w:type="band1Vert">
      <w:tblPr/>
      <w:tcPr>
        <w:tcBorders>
          <w:top w:val="nil"/>
          <w:left w:val="nil"/>
          <w:bottom w:val="nil"/>
          <w:right w:val="nil"/>
          <w:insideH w:val="nil"/>
          <w:insideV w:val="nil"/>
        </w:tcBorders>
        <w:shd w:val="clear" w:color="auto" w:fill="2F3757" w:themeFill="accent1" w:themeFillShade="BF"/>
      </w:tcPr>
    </w:tblStylePr>
    <w:tblStylePr w:type="band1Horz">
      <w:tblPr/>
      <w:tcPr>
        <w:tcBorders>
          <w:top w:val="nil"/>
          <w:left w:val="nil"/>
          <w:bottom w:val="nil"/>
          <w:right w:val="nil"/>
          <w:insideH w:val="nil"/>
          <w:insideV w:val="nil"/>
        </w:tcBorders>
        <w:shd w:val="clear" w:color="auto" w:fill="2F3757" w:themeFill="accent1" w:themeFillShade="BF"/>
      </w:tcPr>
    </w:tblStylePr>
  </w:style>
  <w:style w:type="table" w:styleId="DarkList-Accent2">
    <w:name w:val="Dark List Accent 2"/>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35818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3F4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606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6066" w:themeFill="accent2" w:themeFillShade="BF"/>
      </w:tcPr>
    </w:tblStylePr>
    <w:tblStylePr w:type="band1Vert">
      <w:tblPr/>
      <w:tcPr>
        <w:tcBorders>
          <w:top w:val="nil"/>
          <w:left w:val="nil"/>
          <w:bottom w:val="nil"/>
          <w:right w:val="nil"/>
          <w:insideH w:val="nil"/>
          <w:insideV w:val="nil"/>
        </w:tcBorders>
        <w:shd w:val="clear" w:color="auto" w:fill="276066" w:themeFill="accent2" w:themeFillShade="BF"/>
      </w:tcPr>
    </w:tblStylePr>
    <w:tblStylePr w:type="band1Horz">
      <w:tblPr/>
      <w:tcPr>
        <w:tcBorders>
          <w:top w:val="nil"/>
          <w:left w:val="nil"/>
          <w:bottom w:val="nil"/>
          <w:right w:val="nil"/>
          <w:insideH w:val="nil"/>
          <w:insideV w:val="nil"/>
        </w:tcBorders>
        <w:shd w:val="clear" w:color="auto" w:fill="276066" w:themeFill="accent2" w:themeFillShade="BF"/>
      </w:tcPr>
    </w:tblStylePr>
  </w:style>
  <w:style w:type="table" w:styleId="DarkList-Accent3">
    <w:name w:val="Dark List Accent 3"/>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0078B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B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9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98F" w:themeFill="accent3" w:themeFillShade="BF"/>
      </w:tcPr>
    </w:tblStylePr>
    <w:tblStylePr w:type="band1Vert">
      <w:tblPr/>
      <w:tcPr>
        <w:tcBorders>
          <w:top w:val="nil"/>
          <w:left w:val="nil"/>
          <w:bottom w:val="nil"/>
          <w:right w:val="nil"/>
          <w:insideH w:val="nil"/>
          <w:insideV w:val="nil"/>
        </w:tcBorders>
        <w:shd w:val="clear" w:color="auto" w:fill="00598F" w:themeFill="accent3" w:themeFillShade="BF"/>
      </w:tcPr>
    </w:tblStylePr>
    <w:tblStylePr w:type="band1Horz">
      <w:tblPr/>
      <w:tcPr>
        <w:tcBorders>
          <w:top w:val="nil"/>
          <w:left w:val="nil"/>
          <w:bottom w:val="nil"/>
          <w:right w:val="nil"/>
          <w:insideH w:val="nil"/>
          <w:insideV w:val="nil"/>
        </w:tcBorders>
        <w:shd w:val="clear" w:color="auto" w:fill="00598F" w:themeFill="accent3" w:themeFillShade="BF"/>
      </w:tcPr>
    </w:tblStylePr>
  </w:style>
  <w:style w:type="table" w:styleId="DarkList-Accent4">
    <w:name w:val="Dark List Accent 4"/>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9E4C6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25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6395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63952" w:themeFill="accent4" w:themeFillShade="BF"/>
      </w:tcPr>
    </w:tblStylePr>
    <w:tblStylePr w:type="band1Vert">
      <w:tblPr/>
      <w:tcPr>
        <w:tcBorders>
          <w:top w:val="nil"/>
          <w:left w:val="nil"/>
          <w:bottom w:val="nil"/>
          <w:right w:val="nil"/>
          <w:insideH w:val="nil"/>
          <w:insideV w:val="nil"/>
        </w:tcBorders>
        <w:shd w:val="clear" w:color="auto" w:fill="763952" w:themeFill="accent4" w:themeFillShade="BF"/>
      </w:tcPr>
    </w:tblStylePr>
    <w:tblStylePr w:type="band1Horz">
      <w:tblPr/>
      <w:tcPr>
        <w:tcBorders>
          <w:top w:val="nil"/>
          <w:left w:val="nil"/>
          <w:bottom w:val="nil"/>
          <w:right w:val="nil"/>
          <w:insideH w:val="nil"/>
          <w:insideV w:val="nil"/>
        </w:tcBorders>
        <w:shd w:val="clear" w:color="auto" w:fill="763952" w:themeFill="accent4" w:themeFillShade="BF"/>
      </w:tcPr>
    </w:tblStylePr>
  </w:style>
  <w:style w:type="table" w:styleId="DarkList-Accent5">
    <w:name w:val="Dark List Accent 5"/>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3998B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4B5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A718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A7187" w:themeFill="accent5" w:themeFillShade="BF"/>
      </w:tcPr>
    </w:tblStylePr>
    <w:tblStylePr w:type="band1Vert">
      <w:tblPr/>
      <w:tcPr>
        <w:tcBorders>
          <w:top w:val="nil"/>
          <w:left w:val="nil"/>
          <w:bottom w:val="nil"/>
          <w:right w:val="nil"/>
          <w:insideH w:val="nil"/>
          <w:insideV w:val="nil"/>
        </w:tcBorders>
        <w:shd w:val="clear" w:color="auto" w:fill="2A7187" w:themeFill="accent5" w:themeFillShade="BF"/>
      </w:tcPr>
    </w:tblStylePr>
    <w:tblStylePr w:type="band1Horz">
      <w:tblPr/>
      <w:tcPr>
        <w:tcBorders>
          <w:top w:val="nil"/>
          <w:left w:val="nil"/>
          <w:bottom w:val="nil"/>
          <w:right w:val="nil"/>
          <w:insideH w:val="nil"/>
          <w:insideV w:val="nil"/>
        </w:tcBorders>
        <w:shd w:val="clear" w:color="auto" w:fill="2A7187" w:themeFill="accent5" w:themeFillShade="BF"/>
      </w:tcPr>
    </w:tblStylePr>
  </w:style>
  <w:style w:type="table" w:styleId="DarkList-Accent6">
    <w:name w:val="Dark List Accent 6"/>
    <w:basedOn w:val="TableNormal"/>
    <w:uiPriority w:val="70"/>
    <w:semiHidden/>
    <w:rsid w:val="002568BE"/>
    <w:pPr>
      <w:spacing w:after="120"/>
    </w:pPr>
    <w:rPr>
      <w:rFonts w:eastAsia="Times New Roman"/>
      <w:color w:val="FFFFFF" w:themeColor="background1"/>
    </w:rPr>
    <w:tblPr>
      <w:tblStyleRowBandSize w:val="1"/>
      <w:tblStyleColBandSize w:val="1"/>
    </w:tblPr>
    <w:tcPr>
      <w:shd w:val="clear" w:color="auto" w:fill="97A92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541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07E1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07E1C" w:themeFill="accent6" w:themeFillShade="BF"/>
      </w:tcPr>
    </w:tblStylePr>
    <w:tblStylePr w:type="band1Vert">
      <w:tblPr/>
      <w:tcPr>
        <w:tcBorders>
          <w:top w:val="nil"/>
          <w:left w:val="nil"/>
          <w:bottom w:val="nil"/>
          <w:right w:val="nil"/>
          <w:insideH w:val="nil"/>
          <w:insideV w:val="nil"/>
        </w:tcBorders>
        <w:shd w:val="clear" w:color="auto" w:fill="707E1C" w:themeFill="accent6" w:themeFillShade="BF"/>
      </w:tcPr>
    </w:tblStylePr>
    <w:tblStylePr w:type="band1Horz">
      <w:tblPr/>
      <w:tcPr>
        <w:tcBorders>
          <w:top w:val="nil"/>
          <w:left w:val="nil"/>
          <w:bottom w:val="nil"/>
          <w:right w:val="nil"/>
          <w:insideH w:val="nil"/>
          <w:insideV w:val="nil"/>
        </w:tcBorders>
        <w:shd w:val="clear" w:color="auto" w:fill="707E1C" w:themeFill="accent6" w:themeFillShade="BF"/>
      </w:tcPr>
    </w:tblStylePr>
  </w:style>
  <w:style w:type="table" w:styleId="GridTable1Light">
    <w:name w:val="Grid Table 1 Light"/>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A9B1D0" w:themeColor="accent1" w:themeTint="66"/>
        <w:left w:val="single" w:sz="4" w:space="0" w:color="A9B1D0" w:themeColor="accent1" w:themeTint="66"/>
        <w:bottom w:val="single" w:sz="4" w:space="0" w:color="A9B1D0" w:themeColor="accent1" w:themeTint="66"/>
        <w:right w:val="single" w:sz="4" w:space="0" w:color="A9B1D0" w:themeColor="accent1" w:themeTint="66"/>
        <w:insideH w:val="single" w:sz="4" w:space="0" w:color="A9B1D0" w:themeColor="accent1" w:themeTint="66"/>
        <w:insideV w:val="single" w:sz="4" w:space="0" w:color="A9B1D0" w:themeColor="accent1" w:themeTint="66"/>
      </w:tblBorders>
    </w:tblPr>
    <w:tblStylePr w:type="firstRow">
      <w:rPr>
        <w:b/>
        <w:bCs/>
      </w:rPr>
      <w:tblPr/>
      <w:tcPr>
        <w:tcBorders>
          <w:bottom w:val="single" w:sz="12" w:space="0" w:color="7E8AB9" w:themeColor="accent1" w:themeTint="99"/>
        </w:tcBorders>
      </w:tcPr>
    </w:tblStylePr>
    <w:tblStylePr w:type="lastRow">
      <w:rPr>
        <w:b/>
        <w:bCs/>
      </w:rPr>
      <w:tblPr/>
      <w:tcPr>
        <w:tcBorders>
          <w:top w:val="double" w:sz="2" w:space="0" w:color="7E8AB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A2D5DB" w:themeColor="accent2" w:themeTint="66"/>
        <w:left w:val="single" w:sz="4" w:space="0" w:color="A2D5DB" w:themeColor="accent2" w:themeTint="66"/>
        <w:bottom w:val="single" w:sz="4" w:space="0" w:color="A2D5DB" w:themeColor="accent2" w:themeTint="66"/>
        <w:right w:val="single" w:sz="4" w:space="0" w:color="A2D5DB" w:themeColor="accent2" w:themeTint="66"/>
        <w:insideH w:val="single" w:sz="4" w:space="0" w:color="A2D5DB" w:themeColor="accent2" w:themeTint="66"/>
        <w:insideV w:val="single" w:sz="4" w:space="0" w:color="A2D5DB" w:themeColor="accent2" w:themeTint="66"/>
      </w:tblBorders>
    </w:tblPr>
    <w:tblStylePr w:type="firstRow">
      <w:rPr>
        <w:b/>
        <w:bCs/>
      </w:rPr>
      <w:tblPr/>
      <w:tcPr>
        <w:tcBorders>
          <w:bottom w:val="single" w:sz="12" w:space="0" w:color="74C1C9" w:themeColor="accent2" w:themeTint="99"/>
        </w:tcBorders>
      </w:tcPr>
    </w:tblStylePr>
    <w:tblStylePr w:type="lastRow">
      <w:rPr>
        <w:b/>
        <w:bCs/>
      </w:rPr>
      <w:tblPr/>
      <w:tcPr>
        <w:tcBorders>
          <w:top w:val="double" w:sz="2" w:space="0" w:color="74C1C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7FCFFF" w:themeColor="accent3" w:themeTint="66"/>
        <w:left w:val="single" w:sz="4" w:space="0" w:color="7FCFFF" w:themeColor="accent3" w:themeTint="66"/>
        <w:bottom w:val="single" w:sz="4" w:space="0" w:color="7FCFFF" w:themeColor="accent3" w:themeTint="66"/>
        <w:right w:val="single" w:sz="4" w:space="0" w:color="7FCFFF" w:themeColor="accent3" w:themeTint="66"/>
        <w:insideH w:val="single" w:sz="4" w:space="0" w:color="7FCFFF" w:themeColor="accent3" w:themeTint="66"/>
        <w:insideV w:val="single" w:sz="4" w:space="0" w:color="7FCFFF" w:themeColor="accent3" w:themeTint="66"/>
      </w:tblBorders>
    </w:tblPr>
    <w:tblStylePr w:type="firstRow">
      <w:rPr>
        <w:b/>
        <w:bCs/>
      </w:rPr>
      <w:tblPr/>
      <w:tcPr>
        <w:tcBorders>
          <w:bottom w:val="single" w:sz="12" w:space="0" w:color="3FB7FF" w:themeColor="accent3" w:themeTint="99"/>
        </w:tcBorders>
      </w:tcPr>
    </w:tblStylePr>
    <w:tblStylePr w:type="lastRow">
      <w:rPr>
        <w:b/>
        <w:bCs/>
      </w:rPr>
      <w:tblPr/>
      <w:tcPr>
        <w:tcBorders>
          <w:top w:val="double" w:sz="2" w:space="0" w:color="3FB7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DBB4C4" w:themeColor="accent4" w:themeTint="66"/>
        <w:left w:val="single" w:sz="4" w:space="0" w:color="DBB4C4" w:themeColor="accent4" w:themeTint="66"/>
        <w:bottom w:val="single" w:sz="4" w:space="0" w:color="DBB4C4" w:themeColor="accent4" w:themeTint="66"/>
        <w:right w:val="single" w:sz="4" w:space="0" w:color="DBB4C4" w:themeColor="accent4" w:themeTint="66"/>
        <w:insideH w:val="single" w:sz="4" w:space="0" w:color="DBB4C4" w:themeColor="accent4" w:themeTint="66"/>
        <w:insideV w:val="single" w:sz="4" w:space="0" w:color="DBB4C4" w:themeColor="accent4" w:themeTint="66"/>
      </w:tblBorders>
    </w:tblPr>
    <w:tblStylePr w:type="firstRow">
      <w:rPr>
        <w:b/>
        <w:bCs/>
      </w:rPr>
      <w:tblPr/>
      <w:tcPr>
        <w:tcBorders>
          <w:bottom w:val="single" w:sz="12" w:space="0" w:color="C98FA7" w:themeColor="accent4" w:themeTint="99"/>
        </w:tcBorders>
      </w:tcPr>
    </w:tblStylePr>
    <w:tblStylePr w:type="lastRow">
      <w:rPr>
        <w:b/>
        <w:bCs/>
      </w:rPr>
      <w:tblPr/>
      <w:tcPr>
        <w:tcBorders>
          <w:top w:val="double" w:sz="2" w:space="0" w:color="C98FA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ACD7E5" w:themeColor="accent5" w:themeTint="66"/>
        <w:left w:val="single" w:sz="4" w:space="0" w:color="ACD7E5" w:themeColor="accent5" w:themeTint="66"/>
        <w:bottom w:val="single" w:sz="4" w:space="0" w:color="ACD7E5" w:themeColor="accent5" w:themeTint="66"/>
        <w:right w:val="single" w:sz="4" w:space="0" w:color="ACD7E5" w:themeColor="accent5" w:themeTint="66"/>
        <w:insideH w:val="single" w:sz="4" w:space="0" w:color="ACD7E5" w:themeColor="accent5" w:themeTint="66"/>
        <w:insideV w:val="single" w:sz="4" w:space="0" w:color="ACD7E5" w:themeColor="accent5" w:themeTint="66"/>
      </w:tblBorders>
    </w:tblPr>
    <w:tblStylePr w:type="firstRow">
      <w:rPr>
        <w:b/>
        <w:bCs/>
      </w:rPr>
      <w:tblPr/>
      <w:tcPr>
        <w:tcBorders>
          <w:bottom w:val="single" w:sz="12" w:space="0" w:color="82C3D8" w:themeColor="accent5" w:themeTint="99"/>
        </w:tcBorders>
      </w:tcPr>
    </w:tblStylePr>
    <w:tblStylePr w:type="lastRow">
      <w:rPr>
        <w:b/>
        <w:bCs/>
      </w:rPr>
      <w:tblPr/>
      <w:tcPr>
        <w:tcBorders>
          <w:top w:val="double" w:sz="2" w:space="0" w:color="82C3D8"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2568BE"/>
    <w:pPr>
      <w:spacing w:after="120"/>
    </w:pPr>
    <w:rPr>
      <w:rFonts w:eastAsia="Times New Roman"/>
      <w:color w:val="000000" w:themeColor="text1"/>
    </w:rPr>
    <w:tblPr>
      <w:tblStyleRowBandSize w:val="1"/>
      <w:tblStyleColBandSize w:val="1"/>
      <w:tblBorders>
        <w:top w:val="single" w:sz="4" w:space="0" w:color="DDE89B" w:themeColor="accent6" w:themeTint="66"/>
        <w:left w:val="single" w:sz="4" w:space="0" w:color="DDE89B" w:themeColor="accent6" w:themeTint="66"/>
        <w:bottom w:val="single" w:sz="4" w:space="0" w:color="DDE89B" w:themeColor="accent6" w:themeTint="66"/>
        <w:right w:val="single" w:sz="4" w:space="0" w:color="DDE89B" w:themeColor="accent6" w:themeTint="66"/>
        <w:insideH w:val="single" w:sz="4" w:space="0" w:color="DDE89B" w:themeColor="accent6" w:themeTint="66"/>
        <w:insideV w:val="single" w:sz="4" w:space="0" w:color="DDE89B" w:themeColor="accent6" w:themeTint="66"/>
      </w:tblBorders>
    </w:tblPr>
    <w:tblStylePr w:type="firstRow">
      <w:rPr>
        <w:b/>
        <w:bCs/>
      </w:rPr>
      <w:tblPr/>
      <w:tcPr>
        <w:tcBorders>
          <w:bottom w:val="single" w:sz="12" w:space="0" w:color="CDDD6A" w:themeColor="accent6" w:themeTint="99"/>
        </w:tcBorders>
      </w:tcPr>
    </w:tblStylePr>
    <w:tblStylePr w:type="lastRow">
      <w:rPr>
        <w:b/>
        <w:bCs/>
      </w:rPr>
      <w:tblPr/>
      <w:tcPr>
        <w:tcBorders>
          <w:top w:val="double" w:sz="2" w:space="0" w:color="CDDD6A"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7E8AB9" w:themeColor="accent1" w:themeTint="99"/>
        <w:bottom w:val="single" w:sz="2" w:space="0" w:color="7E8AB9" w:themeColor="accent1" w:themeTint="99"/>
        <w:insideH w:val="single" w:sz="2" w:space="0" w:color="7E8AB9" w:themeColor="accent1" w:themeTint="99"/>
        <w:insideV w:val="single" w:sz="2" w:space="0" w:color="7E8AB9" w:themeColor="accent1" w:themeTint="99"/>
      </w:tblBorders>
    </w:tblPr>
    <w:tblStylePr w:type="firstRow">
      <w:rPr>
        <w:b/>
        <w:bCs/>
      </w:rPr>
      <w:tblPr/>
      <w:tcPr>
        <w:tcBorders>
          <w:top w:val="nil"/>
          <w:bottom w:val="single" w:sz="12" w:space="0" w:color="7E8AB9" w:themeColor="accent1" w:themeTint="99"/>
          <w:insideH w:val="nil"/>
          <w:insideV w:val="nil"/>
        </w:tcBorders>
        <w:shd w:val="clear" w:color="auto" w:fill="FFFFFF" w:themeFill="background1"/>
      </w:tcPr>
    </w:tblStylePr>
    <w:tblStylePr w:type="lastRow">
      <w:rPr>
        <w:b/>
        <w:bCs/>
      </w:rPr>
      <w:tblPr/>
      <w:tcPr>
        <w:tcBorders>
          <w:top w:val="double" w:sz="2" w:space="0" w:color="7E8AB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GridTable2-Accent2">
    <w:name w:val="Grid Table 2 Accent 2"/>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74C1C9" w:themeColor="accent2" w:themeTint="99"/>
        <w:bottom w:val="single" w:sz="2" w:space="0" w:color="74C1C9" w:themeColor="accent2" w:themeTint="99"/>
        <w:insideH w:val="single" w:sz="2" w:space="0" w:color="74C1C9" w:themeColor="accent2" w:themeTint="99"/>
        <w:insideV w:val="single" w:sz="2" w:space="0" w:color="74C1C9" w:themeColor="accent2" w:themeTint="99"/>
      </w:tblBorders>
    </w:tblPr>
    <w:tblStylePr w:type="firstRow">
      <w:rPr>
        <w:b/>
        <w:bCs/>
      </w:rPr>
      <w:tblPr/>
      <w:tcPr>
        <w:tcBorders>
          <w:top w:val="nil"/>
          <w:bottom w:val="single" w:sz="12" w:space="0" w:color="74C1C9" w:themeColor="accent2" w:themeTint="99"/>
          <w:insideH w:val="nil"/>
          <w:insideV w:val="nil"/>
        </w:tcBorders>
        <w:shd w:val="clear" w:color="auto" w:fill="FFFFFF" w:themeFill="background1"/>
      </w:tcPr>
    </w:tblStylePr>
    <w:tblStylePr w:type="lastRow">
      <w:rPr>
        <w:b/>
        <w:bCs/>
      </w:rPr>
      <w:tblPr/>
      <w:tcPr>
        <w:tcBorders>
          <w:top w:val="double" w:sz="2" w:space="0" w:color="74C1C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2-Accent3">
    <w:name w:val="Grid Table 2 Accent 3"/>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3FB7FF" w:themeColor="accent3" w:themeTint="99"/>
        <w:bottom w:val="single" w:sz="2" w:space="0" w:color="3FB7FF" w:themeColor="accent3" w:themeTint="99"/>
        <w:insideH w:val="single" w:sz="2" w:space="0" w:color="3FB7FF" w:themeColor="accent3" w:themeTint="99"/>
        <w:insideV w:val="single" w:sz="2" w:space="0" w:color="3FB7FF" w:themeColor="accent3" w:themeTint="99"/>
      </w:tblBorders>
    </w:tblPr>
    <w:tblStylePr w:type="firstRow">
      <w:rPr>
        <w:b/>
        <w:bCs/>
      </w:rPr>
      <w:tblPr/>
      <w:tcPr>
        <w:tcBorders>
          <w:top w:val="nil"/>
          <w:bottom w:val="single" w:sz="12" w:space="0" w:color="3FB7FF" w:themeColor="accent3" w:themeTint="99"/>
          <w:insideH w:val="nil"/>
          <w:insideV w:val="nil"/>
        </w:tcBorders>
        <w:shd w:val="clear" w:color="auto" w:fill="FFFFFF" w:themeFill="background1"/>
      </w:tcPr>
    </w:tblStylePr>
    <w:tblStylePr w:type="lastRow">
      <w:rPr>
        <w:b/>
        <w:bCs/>
      </w:rPr>
      <w:tblPr/>
      <w:tcPr>
        <w:tcBorders>
          <w:top w:val="double" w:sz="2" w:space="0" w:color="3FB7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GridTable2-Accent4">
    <w:name w:val="Grid Table 2 Accent 4"/>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C98FA7" w:themeColor="accent4" w:themeTint="99"/>
        <w:bottom w:val="single" w:sz="2" w:space="0" w:color="C98FA7" w:themeColor="accent4" w:themeTint="99"/>
        <w:insideH w:val="single" w:sz="2" w:space="0" w:color="C98FA7" w:themeColor="accent4" w:themeTint="99"/>
        <w:insideV w:val="single" w:sz="2" w:space="0" w:color="C98FA7" w:themeColor="accent4" w:themeTint="99"/>
      </w:tblBorders>
    </w:tblPr>
    <w:tblStylePr w:type="firstRow">
      <w:rPr>
        <w:b/>
        <w:bCs/>
      </w:rPr>
      <w:tblPr/>
      <w:tcPr>
        <w:tcBorders>
          <w:top w:val="nil"/>
          <w:bottom w:val="single" w:sz="12" w:space="0" w:color="C98FA7" w:themeColor="accent4" w:themeTint="99"/>
          <w:insideH w:val="nil"/>
          <w:insideV w:val="nil"/>
        </w:tcBorders>
        <w:shd w:val="clear" w:color="auto" w:fill="FFFFFF" w:themeFill="background1"/>
      </w:tcPr>
    </w:tblStylePr>
    <w:tblStylePr w:type="lastRow">
      <w:rPr>
        <w:b/>
        <w:bCs/>
      </w:rPr>
      <w:tblPr/>
      <w:tcPr>
        <w:tcBorders>
          <w:top w:val="double" w:sz="2" w:space="0" w:color="C98FA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GridTable2-Accent5">
    <w:name w:val="Grid Table 2 Accent 5"/>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82C3D8" w:themeColor="accent5" w:themeTint="99"/>
        <w:bottom w:val="single" w:sz="2" w:space="0" w:color="82C3D8" w:themeColor="accent5" w:themeTint="99"/>
        <w:insideH w:val="single" w:sz="2" w:space="0" w:color="82C3D8" w:themeColor="accent5" w:themeTint="99"/>
        <w:insideV w:val="single" w:sz="2" w:space="0" w:color="82C3D8" w:themeColor="accent5" w:themeTint="99"/>
      </w:tblBorders>
    </w:tblPr>
    <w:tblStylePr w:type="firstRow">
      <w:rPr>
        <w:b/>
        <w:bCs/>
      </w:rPr>
      <w:tblPr/>
      <w:tcPr>
        <w:tcBorders>
          <w:top w:val="nil"/>
          <w:bottom w:val="single" w:sz="12" w:space="0" w:color="82C3D8" w:themeColor="accent5" w:themeTint="99"/>
          <w:insideH w:val="nil"/>
          <w:insideV w:val="nil"/>
        </w:tcBorders>
        <w:shd w:val="clear" w:color="auto" w:fill="FFFFFF" w:themeFill="background1"/>
      </w:tcPr>
    </w:tblStylePr>
    <w:tblStylePr w:type="lastRow">
      <w:rPr>
        <w:b/>
        <w:bCs/>
      </w:rPr>
      <w:tblPr/>
      <w:tcPr>
        <w:tcBorders>
          <w:top w:val="double" w:sz="2" w:space="0" w:color="82C3D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2-Accent6">
    <w:name w:val="Grid Table 2 Accent 6"/>
    <w:basedOn w:val="TableNormal"/>
    <w:uiPriority w:val="47"/>
    <w:semiHidden/>
    <w:rsid w:val="002568BE"/>
    <w:pPr>
      <w:spacing w:after="120"/>
    </w:pPr>
    <w:rPr>
      <w:rFonts w:eastAsia="Times New Roman"/>
      <w:color w:val="000000" w:themeColor="text1"/>
    </w:rPr>
    <w:tblPr>
      <w:tblStyleRowBandSize w:val="1"/>
      <w:tblStyleColBandSize w:val="1"/>
      <w:tblBorders>
        <w:top w:val="single" w:sz="2" w:space="0" w:color="CDDD6A" w:themeColor="accent6" w:themeTint="99"/>
        <w:bottom w:val="single" w:sz="2" w:space="0" w:color="CDDD6A" w:themeColor="accent6" w:themeTint="99"/>
        <w:insideH w:val="single" w:sz="2" w:space="0" w:color="CDDD6A" w:themeColor="accent6" w:themeTint="99"/>
        <w:insideV w:val="single" w:sz="2" w:space="0" w:color="CDDD6A" w:themeColor="accent6" w:themeTint="99"/>
      </w:tblBorders>
    </w:tblPr>
    <w:tblStylePr w:type="firstRow">
      <w:rPr>
        <w:b/>
        <w:bCs/>
      </w:rPr>
      <w:tblPr/>
      <w:tcPr>
        <w:tcBorders>
          <w:top w:val="nil"/>
          <w:bottom w:val="single" w:sz="12" w:space="0" w:color="CDDD6A" w:themeColor="accent6" w:themeTint="99"/>
          <w:insideH w:val="nil"/>
          <w:insideV w:val="nil"/>
        </w:tcBorders>
        <w:shd w:val="clear" w:color="auto" w:fill="FFFFFF" w:themeFill="background1"/>
      </w:tcPr>
    </w:tblStylePr>
    <w:tblStylePr w:type="lastRow">
      <w:rPr>
        <w:b/>
        <w:bCs/>
      </w:rPr>
      <w:tblPr/>
      <w:tcPr>
        <w:tcBorders>
          <w:top w:val="double" w:sz="2" w:space="0" w:color="CDDD6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GridTable3">
    <w:name w:val="Grid Table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8E8" w:themeFill="accent1" w:themeFillTint="33"/>
      </w:tcPr>
    </w:tblStylePr>
    <w:tblStylePr w:type="band1Horz">
      <w:tblPr/>
      <w:tcPr>
        <w:shd w:val="clear" w:color="auto" w:fill="D4D8E8" w:themeFill="accent1" w:themeFillTint="33"/>
      </w:tcPr>
    </w:tblStylePr>
    <w:tblStylePr w:type="neCell">
      <w:tblPr/>
      <w:tcPr>
        <w:tcBorders>
          <w:bottom w:val="single" w:sz="4" w:space="0" w:color="7E8AB9" w:themeColor="accent1" w:themeTint="99"/>
        </w:tcBorders>
      </w:tcPr>
    </w:tblStylePr>
    <w:tblStylePr w:type="nwCell">
      <w:tblPr/>
      <w:tcPr>
        <w:tcBorders>
          <w:bottom w:val="single" w:sz="4" w:space="0" w:color="7E8AB9" w:themeColor="accent1" w:themeTint="99"/>
        </w:tcBorders>
      </w:tcPr>
    </w:tblStylePr>
    <w:tblStylePr w:type="seCell">
      <w:tblPr/>
      <w:tcPr>
        <w:tcBorders>
          <w:top w:val="single" w:sz="4" w:space="0" w:color="7E8AB9" w:themeColor="accent1" w:themeTint="99"/>
        </w:tcBorders>
      </w:tcPr>
    </w:tblStylePr>
    <w:tblStylePr w:type="swCell">
      <w:tblPr/>
      <w:tcPr>
        <w:tcBorders>
          <w:top w:val="single" w:sz="4" w:space="0" w:color="7E8AB9" w:themeColor="accent1" w:themeTint="99"/>
        </w:tcBorders>
      </w:tcPr>
    </w:tblStylePr>
  </w:style>
  <w:style w:type="table" w:styleId="GridTable3-Accent2">
    <w:name w:val="Grid Table 3 Accent 2"/>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bottom w:val="single" w:sz="4" w:space="0" w:color="74C1C9" w:themeColor="accent2" w:themeTint="99"/>
        </w:tcBorders>
      </w:tcPr>
    </w:tblStylePr>
    <w:tblStylePr w:type="nwCell">
      <w:tblPr/>
      <w:tcPr>
        <w:tcBorders>
          <w:bottom w:val="single" w:sz="4" w:space="0" w:color="74C1C9" w:themeColor="accent2" w:themeTint="99"/>
        </w:tcBorders>
      </w:tcPr>
    </w:tblStylePr>
    <w:tblStylePr w:type="seCell">
      <w:tblPr/>
      <w:tcPr>
        <w:tcBorders>
          <w:top w:val="single" w:sz="4" w:space="0" w:color="74C1C9" w:themeColor="accent2" w:themeTint="99"/>
        </w:tcBorders>
      </w:tcPr>
    </w:tblStylePr>
    <w:tblStylePr w:type="swCell">
      <w:tblPr/>
      <w:tcPr>
        <w:tcBorders>
          <w:top w:val="single" w:sz="4" w:space="0" w:color="74C1C9" w:themeColor="accent2" w:themeTint="99"/>
        </w:tcBorders>
      </w:tcPr>
    </w:tblStylePr>
  </w:style>
  <w:style w:type="table" w:styleId="GridTable3-Accent3">
    <w:name w:val="Grid Table 3 Accent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bottom w:val="single" w:sz="4" w:space="0" w:color="3FB7FF" w:themeColor="accent3" w:themeTint="99"/>
        </w:tcBorders>
      </w:tcPr>
    </w:tblStylePr>
    <w:tblStylePr w:type="nwCell">
      <w:tblPr/>
      <w:tcPr>
        <w:tcBorders>
          <w:bottom w:val="single" w:sz="4" w:space="0" w:color="3FB7FF" w:themeColor="accent3" w:themeTint="99"/>
        </w:tcBorders>
      </w:tcPr>
    </w:tblStylePr>
    <w:tblStylePr w:type="seCell">
      <w:tblPr/>
      <w:tcPr>
        <w:tcBorders>
          <w:top w:val="single" w:sz="4" w:space="0" w:color="3FB7FF" w:themeColor="accent3" w:themeTint="99"/>
        </w:tcBorders>
      </w:tcPr>
    </w:tblStylePr>
    <w:tblStylePr w:type="swCell">
      <w:tblPr/>
      <w:tcPr>
        <w:tcBorders>
          <w:top w:val="single" w:sz="4" w:space="0" w:color="3FB7FF" w:themeColor="accent3" w:themeTint="99"/>
        </w:tcBorders>
      </w:tcPr>
    </w:tblStylePr>
  </w:style>
  <w:style w:type="table" w:styleId="GridTable3-Accent4">
    <w:name w:val="Grid Table 3 Accent 4"/>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D9E1" w:themeFill="accent4" w:themeFillTint="33"/>
      </w:tcPr>
    </w:tblStylePr>
    <w:tblStylePr w:type="band1Horz">
      <w:tblPr/>
      <w:tcPr>
        <w:shd w:val="clear" w:color="auto" w:fill="EDD9E1" w:themeFill="accent4" w:themeFillTint="33"/>
      </w:tcPr>
    </w:tblStylePr>
    <w:tblStylePr w:type="neCell">
      <w:tblPr/>
      <w:tcPr>
        <w:tcBorders>
          <w:bottom w:val="single" w:sz="4" w:space="0" w:color="C98FA7" w:themeColor="accent4" w:themeTint="99"/>
        </w:tcBorders>
      </w:tcPr>
    </w:tblStylePr>
    <w:tblStylePr w:type="nwCell">
      <w:tblPr/>
      <w:tcPr>
        <w:tcBorders>
          <w:bottom w:val="single" w:sz="4" w:space="0" w:color="C98FA7" w:themeColor="accent4" w:themeTint="99"/>
        </w:tcBorders>
      </w:tcPr>
    </w:tblStylePr>
    <w:tblStylePr w:type="seCell">
      <w:tblPr/>
      <w:tcPr>
        <w:tcBorders>
          <w:top w:val="single" w:sz="4" w:space="0" w:color="C98FA7" w:themeColor="accent4" w:themeTint="99"/>
        </w:tcBorders>
      </w:tcPr>
    </w:tblStylePr>
    <w:tblStylePr w:type="swCell">
      <w:tblPr/>
      <w:tcPr>
        <w:tcBorders>
          <w:top w:val="single" w:sz="4" w:space="0" w:color="C98FA7" w:themeColor="accent4" w:themeTint="99"/>
        </w:tcBorders>
      </w:tcPr>
    </w:tblStylePr>
  </w:style>
  <w:style w:type="table" w:styleId="GridTable3-Accent5">
    <w:name w:val="Grid Table 3 Accent 5"/>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F2" w:themeFill="accent5" w:themeFillTint="33"/>
      </w:tcPr>
    </w:tblStylePr>
    <w:tblStylePr w:type="band1Horz">
      <w:tblPr/>
      <w:tcPr>
        <w:shd w:val="clear" w:color="auto" w:fill="D5EBF2" w:themeFill="accent5" w:themeFillTint="33"/>
      </w:tcPr>
    </w:tblStylePr>
    <w:tblStylePr w:type="neCell">
      <w:tblPr/>
      <w:tcPr>
        <w:tcBorders>
          <w:bottom w:val="single" w:sz="4" w:space="0" w:color="82C3D8" w:themeColor="accent5" w:themeTint="99"/>
        </w:tcBorders>
      </w:tcPr>
    </w:tblStylePr>
    <w:tblStylePr w:type="nwCell">
      <w:tblPr/>
      <w:tcPr>
        <w:tcBorders>
          <w:bottom w:val="single" w:sz="4" w:space="0" w:color="82C3D8" w:themeColor="accent5" w:themeTint="99"/>
        </w:tcBorders>
      </w:tcPr>
    </w:tblStylePr>
    <w:tblStylePr w:type="seCell">
      <w:tblPr/>
      <w:tcPr>
        <w:tcBorders>
          <w:top w:val="single" w:sz="4" w:space="0" w:color="82C3D8" w:themeColor="accent5" w:themeTint="99"/>
        </w:tcBorders>
      </w:tcPr>
    </w:tblStylePr>
    <w:tblStylePr w:type="swCell">
      <w:tblPr/>
      <w:tcPr>
        <w:tcBorders>
          <w:top w:val="single" w:sz="4" w:space="0" w:color="82C3D8" w:themeColor="accent5" w:themeTint="99"/>
        </w:tcBorders>
      </w:tcPr>
    </w:tblStylePr>
  </w:style>
  <w:style w:type="table" w:styleId="GridTable3-Accent6">
    <w:name w:val="Grid Table 3 Accent 6"/>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CD" w:themeFill="accent6" w:themeFillTint="33"/>
      </w:tcPr>
    </w:tblStylePr>
    <w:tblStylePr w:type="band1Horz">
      <w:tblPr/>
      <w:tcPr>
        <w:shd w:val="clear" w:color="auto" w:fill="EEF4CD" w:themeFill="accent6" w:themeFillTint="33"/>
      </w:tcPr>
    </w:tblStylePr>
    <w:tblStylePr w:type="neCell">
      <w:tblPr/>
      <w:tcPr>
        <w:tcBorders>
          <w:bottom w:val="single" w:sz="4" w:space="0" w:color="CDDD6A" w:themeColor="accent6" w:themeTint="99"/>
        </w:tcBorders>
      </w:tcPr>
    </w:tblStylePr>
    <w:tblStylePr w:type="nwCell">
      <w:tblPr/>
      <w:tcPr>
        <w:tcBorders>
          <w:bottom w:val="single" w:sz="4" w:space="0" w:color="CDDD6A" w:themeColor="accent6" w:themeTint="99"/>
        </w:tcBorders>
      </w:tcPr>
    </w:tblStylePr>
    <w:tblStylePr w:type="seCell">
      <w:tblPr/>
      <w:tcPr>
        <w:tcBorders>
          <w:top w:val="single" w:sz="4" w:space="0" w:color="CDDD6A" w:themeColor="accent6" w:themeTint="99"/>
        </w:tcBorders>
      </w:tcPr>
    </w:tblStylePr>
    <w:tblStylePr w:type="swCell">
      <w:tblPr/>
      <w:tcPr>
        <w:tcBorders>
          <w:top w:val="single" w:sz="4" w:space="0" w:color="CDDD6A" w:themeColor="accent6" w:themeTint="99"/>
        </w:tcBorders>
      </w:tcPr>
    </w:tblStylePr>
  </w:style>
  <w:style w:type="table" w:styleId="GridTable4">
    <w:name w:val="Grid Table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color w:val="FFFFFF" w:themeColor="background1"/>
      </w:rPr>
      <w:tblPr/>
      <w:tcPr>
        <w:tcBorders>
          <w:top w:val="single" w:sz="4" w:space="0" w:color="3F4A75" w:themeColor="accent1"/>
          <w:left w:val="single" w:sz="4" w:space="0" w:color="3F4A75" w:themeColor="accent1"/>
          <w:bottom w:val="single" w:sz="4" w:space="0" w:color="3F4A75" w:themeColor="accent1"/>
          <w:right w:val="single" w:sz="4" w:space="0" w:color="3F4A75" w:themeColor="accent1"/>
          <w:insideH w:val="nil"/>
          <w:insideV w:val="nil"/>
        </w:tcBorders>
        <w:shd w:val="clear" w:color="auto" w:fill="3F4A75" w:themeFill="accent1"/>
      </w:tcPr>
    </w:tblStylePr>
    <w:tblStylePr w:type="lastRow">
      <w:rPr>
        <w:b/>
        <w:bCs/>
      </w:rPr>
      <w:tblPr/>
      <w:tcPr>
        <w:tcBorders>
          <w:top w:val="double" w:sz="4" w:space="0" w:color="3F4A75" w:themeColor="accent1"/>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GridTable4-Accent2">
    <w:name w:val="Grid Table 4 Accent 2"/>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4-Accent3">
    <w:name w:val="Grid Table 4 Accent 3"/>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color w:val="FFFFFF" w:themeColor="background1"/>
      </w:rPr>
      <w:tblPr/>
      <w:tcPr>
        <w:tcBorders>
          <w:top w:val="single" w:sz="4" w:space="0" w:color="0078BF" w:themeColor="accent3"/>
          <w:left w:val="single" w:sz="4" w:space="0" w:color="0078BF" w:themeColor="accent3"/>
          <w:bottom w:val="single" w:sz="4" w:space="0" w:color="0078BF" w:themeColor="accent3"/>
          <w:right w:val="single" w:sz="4" w:space="0" w:color="0078BF" w:themeColor="accent3"/>
          <w:insideH w:val="nil"/>
          <w:insideV w:val="nil"/>
        </w:tcBorders>
        <w:shd w:val="clear" w:color="auto" w:fill="0078BF" w:themeFill="accent3"/>
      </w:tcPr>
    </w:tblStylePr>
    <w:tblStylePr w:type="lastRow">
      <w:rPr>
        <w:b/>
        <w:bCs/>
      </w:rPr>
      <w:tblPr/>
      <w:tcPr>
        <w:tcBorders>
          <w:top w:val="double" w:sz="4" w:space="0" w:color="0078BF" w:themeColor="accent3"/>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GridTable4-Accent4">
    <w:name w:val="Grid Table 4 Accent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color w:val="FFFFFF" w:themeColor="background1"/>
      </w:rPr>
      <w:tblPr/>
      <w:tcPr>
        <w:tcBorders>
          <w:top w:val="single" w:sz="4" w:space="0" w:color="9E4C6E" w:themeColor="accent4"/>
          <w:left w:val="single" w:sz="4" w:space="0" w:color="9E4C6E" w:themeColor="accent4"/>
          <w:bottom w:val="single" w:sz="4" w:space="0" w:color="9E4C6E" w:themeColor="accent4"/>
          <w:right w:val="single" w:sz="4" w:space="0" w:color="9E4C6E" w:themeColor="accent4"/>
          <w:insideH w:val="nil"/>
          <w:insideV w:val="nil"/>
        </w:tcBorders>
        <w:shd w:val="clear" w:color="auto" w:fill="9E4C6E" w:themeFill="accent4"/>
      </w:tcPr>
    </w:tblStylePr>
    <w:tblStylePr w:type="lastRow">
      <w:rPr>
        <w:b/>
        <w:bCs/>
      </w:rPr>
      <w:tblPr/>
      <w:tcPr>
        <w:tcBorders>
          <w:top w:val="double" w:sz="4" w:space="0" w:color="9E4C6E" w:themeColor="accent4"/>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GridTable4-Accent5">
    <w:name w:val="Grid Table 4 Accent 5"/>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insideV w:val="nil"/>
        </w:tcBorders>
        <w:shd w:val="clear" w:color="auto" w:fill="3998B5" w:themeFill="accent5"/>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4-Accent6">
    <w:name w:val="Grid Table 4 Accent 6"/>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color w:val="FFFFFF" w:themeColor="background1"/>
      </w:rPr>
      <w:tblPr/>
      <w:tcPr>
        <w:tcBorders>
          <w:top w:val="single" w:sz="4" w:space="0" w:color="97A926" w:themeColor="accent6"/>
          <w:left w:val="single" w:sz="4" w:space="0" w:color="97A926" w:themeColor="accent6"/>
          <w:bottom w:val="single" w:sz="4" w:space="0" w:color="97A926" w:themeColor="accent6"/>
          <w:right w:val="single" w:sz="4" w:space="0" w:color="97A926" w:themeColor="accent6"/>
          <w:insideH w:val="nil"/>
          <w:insideV w:val="nil"/>
        </w:tcBorders>
        <w:shd w:val="clear" w:color="auto" w:fill="97A926" w:themeFill="accent6"/>
      </w:tcPr>
    </w:tblStylePr>
    <w:tblStylePr w:type="lastRow">
      <w:rPr>
        <w:b/>
        <w:bCs/>
      </w:rPr>
      <w:tblPr/>
      <w:tcPr>
        <w:tcBorders>
          <w:top w:val="double" w:sz="4" w:space="0" w:color="97A926" w:themeColor="accent6"/>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GridTable5Dark">
    <w:name w:val="Grid Table 5 Dark"/>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4A7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4A7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4A7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4A75" w:themeFill="accent1"/>
      </w:tcPr>
    </w:tblStylePr>
    <w:tblStylePr w:type="band1Vert">
      <w:tblPr/>
      <w:tcPr>
        <w:shd w:val="clear" w:color="auto" w:fill="A9B1D0" w:themeFill="accent1" w:themeFillTint="66"/>
      </w:tcPr>
    </w:tblStylePr>
    <w:tblStylePr w:type="band1Horz">
      <w:tblPr/>
      <w:tcPr>
        <w:shd w:val="clear" w:color="auto" w:fill="A9B1D0" w:themeFill="accent1" w:themeFillTint="66"/>
      </w:tcPr>
    </w:tblStylePr>
  </w:style>
  <w:style w:type="table" w:styleId="GridTable5Dark-Accent2">
    <w:name w:val="Grid Table 5 Dark Accent 2"/>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AE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5818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5818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5818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58189" w:themeFill="accent2"/>
      </w:tcPr>
    </w:tblStylePr>
    <w:tblStylePr w:type="band1Vert">
      <w:tblPr/>
      <w:tcPr>
        <w:shd w:val="clear" w:color="auto" w:fill="A2D5DB" w:themeFill="accent2" w:themeFillTint="66"/>
      </w:tcPr>
    </w:tblStylePr>
    <w:tblStylePr w:type="band1Horz">
      <w:tblPr/>
      <w:tcPr>
        <w:shd w:val="clear" w:color="auto" w:fill="A2D5DB" w:themeFill="accent2" w:themeFillTint="66"/>
      </w:tcPr>
    </w:tblStylePr>
  </w:style>
  <w:style w:type="table" w:styleId="GridTable5Dark-Accent3">
    <w:name w:val="Grid Table 5 Dark Accent 3"/>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7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8B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8B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8B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8BF" w:themeFill="accent3"/>
      </w:tcPr>
    </w:tblStylePr>
    <w:tblStylePr w:type="band1Vert">
      <w:tblPr/>
      <w:tcPr>
        <w:shd w:val="clear" w:color="auto" w:fill="7FCFFF" w:themeFill="accent3" w:themeFillTint="66"/>
      </w:tcPr>
    </w:tblStylePr>
    <w:tblStylePr w:type="band1Horz">
      <w:tblPr/>
      <w:tcPr>
        <w:shd w:val="clear" w:color="auto" w:fill="7FCFFF" w:themeFill="accent3" w:themeFillTint="66"/>
      </w:tcPr>
    </w:tblStylePr>
  </w:style>
  <w:style w:type="table" w:styleId="GridTable5Dark-Accent4">
    <w:name w:val="Grid Table 5 Dark Accent 4"/>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D9E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E4C6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E4C6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E4C6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E4C6E" w:themeFill="accent4"/>
      </w:tcPr>
    </w:tblStylePr>
    <w:tblStylePr w:type="band1Vert">
      <w:tblPr/>
      <w:tcPr>
        <w:shd w:val="clear" w:color="auto" w:fill="DBB4C4" w:themeFill="accent4" w:themeFillTint="66"/>
      </w:tcPr>
    </w:tblStylePr>
    <w:tblStylePr w:type="band1Horz">
      <w:tblPr/>
      <w:tcPr>
        <w:shd w:val="clear" w:color="auto" w:fill="DBB4C4" w:themeFill="accent4" w:themeFillTint="66"/>
      </w:tcPr>
    </w:tblStylePr>
  </w:style>
  <w:style w:type="table" w:styleId="GridTable5Dark-Accent5">
    <w:name w:val="Grid Table 5 Dark Accent 5"/>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998B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998B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998B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998B5" w:themeFill="accent5"/>
      </w:tcPr>
    </w:tblStylePr>
    <w:tblStylePr w:type="band1Vert">
      <w:tblPr/>
      <w:tcPr>
        <w:shd w:val="clear" w:color="auto" w:fill="ACD7E5" w:themeFill="accent5" w:themeFillTint="66"/>
      </w:tcPr>
    </w:tblStylePr>
    <w:tblStylePr w:type="band1Horz">
      <w:tblPr/>
      <w:tcPr>
        <w:shd w:val="clear" w:color="auto" w:fill="ACD7E5" w:themeFill="accent5" w:themeFillTint="66"/>
      </w:tcPr>
    </w:tblStylePr>
  </w:style>
  <w:style w:type="table" w:styleId="GridTable5Dark-Accent6">
    <w:name w:val="Grid Table 5 Dark Accent 6"/>
    <w:basedOn w:val="TableNormal"/>
    <w:uiPriority w:val="50"/>
    <w:semiHidden/>
    <w:rsid w:val="002568BE"/>
    <w:pPr>
      <w:spacing w:after="120"/>
    </w:pPr>
    <w:rPr>
      <w:rFonts w:eastAsia="Times New Roman"/>
      <w:color w:val="000000" w:themeColor="text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F4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A92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A92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A92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A926" w:themeFill="accent6"/>
      </w:tcPr>
    </w:tblStylePr>
    <w:tblStylePr w:type="band1Vert">
      <w:tblPr/>
      <w:tcPr>
        <w:shd w:val="clear" w:color="auto" w:fill="DDE89B" w:themeFill="accent6" w:themeFillTint="66"/>
      </w:tcPr>
    </w:tblStylePr>
    <w:tblStylePr w:type="band1Horz">
      <w:tblPr/>
      <w:tcPr>
        <w:shd w:val="clear" w:color="auto" w:fill="DDE89B" w:themeFill="accent6" w:themeFillTint="66"/>
      </w:tcPr>
    </w:tblStylePr>
  </w:style>
  <w:style w:type="table" w:styleId="GridTable6Colourful">
    <w:name w:val="Grid Table 6 Colorful"/>
    <w:basedOn w:val="TableNormal"/>
    <w:uiPriority w:val="51"/>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2568BE"/>
    <w:pPr>
      <w:spacing w:after="120"/>
    </w:pPr>
    <w:rPr>
      <w:rFonts w:eastAsia="Times New Roman"/>
      <w:color w:val="2F3757" w:themeColor="accent1" w:themeShade="BF"/>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rPr>
      <w:tblPr/>
      <w:tcPr>
        <w:tcBorders>
          <w:bottom w:val="single" w:sz="12" w:space="0" w:color="7E8AB9" w:themeColor="accent1" w:themeTint="99"/>
        </w:tcBorders>
      </w:tcPr>
    </w:tblStylePr>
    <w:tblStylePr w:type="lastRow">
      <w:rPr>
        <w:b/>
        <w:bCs/>
      </w:rPr>
      <w:tblPr/>
      <w:tcPr>
        <w:tcBorders>
          <w:top w:val="double" w:sz="4" w:space="0" w:color="7E8AB9" w:themeColor="accent1" w:themeTint="99"/>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GridTable6ColourfulAccent2">
    <w:name w:val="Grid Table 6 Colorful Accent 2"/>
    <w:basedOn w:val="TableNormal"/>
    <w:uiPriority w:val="51"/>
    <w:semiHidden/>
    <w:rsid w:val="002568BE"/>
    <w:pPr>
      <w:spacing w:after="120"/>
    </w:pPr>
    <w:rPr>
      <w:rFonts w:eastAsia="Times New Roman"/>
      <w:color w:val="276066" w:themeColor="accent2" w:themeShade="BF"/>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bottom w:val="single" w:sz="12" w:space="0" w:color="74C1C9" w:themeColor="accent2" w:themeTint="99"/>
        </w:tcBorders>
      </w:tcPr>
    </w:tblStylePr>
    <w:tblStylePr w:type="lastRow">
      <w:rPr>
        <w:b/>
        <w:bCs/>
      </w:rPr>
      <w:tblPr/>
      <w:tcPr>
        <w:tcBorders>
          <w:top w:val="doub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GridTable6ColourfulAccent3">
    <w:name w:val="Grid Table 6 Colorful Accent 3"/>
    <w:basedOn w:val="TableNormal"/>
    <w:uiPriority w:val="51"/>
    <w:semiHidden/>
    <w:rsid w:val="002568BE"/>
    <w:pPr>
      <w:spacing w:after="120"/>
    </w:pPr>
    <w:rPr>
      <w:rFonts w:eastAsia="Times New Roman"/>
      <w:color w:val="00598F" w:themeColor="accent3" w:themeShade="BF"/>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bottom w:val="single" w:sz="12" w:space="0" w:color="3FB7FF" w:themeColor="accent3" w:themeTint="99"/>
        </w:tcBorders>
      </w:tcPr>
    </w:tblStylePr>
    <w:tblStylePr w:type="lastRow">
      <w:rPr>
        <w:b/>
        <w:bCs/>
      </w:rPr>
      <w:tblPr/>
      <w:tcPr>
        <w:tcBorders>
          <w:top w:val="doub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GridTable6ColourfulAccent4">
    <w:name w:val="Grid Table 6 Colorful Accent 4"/>
    <w:basedOn w:val="TableNormal"/>
    <w:uiPriority w:val="51"/>
    <w:semiHidden/>
    <w:rsid w:val="002568BE"/>
    <w:pPr>
      <w:spacing w:after="120"/>
    </w:pPr>
    <w:rPr>
      <w:rFonts w:eastAsia="Times New Roman"/>
      <w:color w:val="763952" w:themeColor="accent4" w:themeShade="BF"/>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rPr>
      <w:tblPr/>
      <w:tcPr>
        <w:tcBorders>
          <w:bottom w:val="single" w:sz="12" w:space="0" w:color="C98FA7" w:themeColor="accent4" w:themeTint="99"/>
        </w:tcBorders>
      </w:tcPr>
    </w:tblStylePr>
    <w:tblStylePr w:type="lastRow">
      <w:rPr>
        <w:b/>
        <w:bCs/>
      </w:rPr>
      <w:tblPr/>
      <w:tcPr>
        <w:tcBorders>
          <w:top w:val="double" w:sz="4" w:space="0" w:color="C98FA7" w:themeColor="accent4" w:themeTint="99"/>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GridTable6ColourfulAccent5">
    <w:name w:val="Grid Table 6 Colorful Accent 5"/>
    <w:basedOn w:val="TableNormal"/>
    <w:uiPriority w:val="51"/>
    <w:semiHidden/>
    <w:rsid w:val="002568BE"/>
    <w:pPr>
      <w:spacing w:after="120"/>
    </w:pPr>
    <w:rPr>
      <w:rFonts w:eastAsia="Times New Roman"/>
      <w:color w:val="2A7187" w:themeColor="accent5" w:themeShade="BF"/>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bottom w:val="single" w:sz="12" w:space="0" w:color="82C3D8" w:themeColor="accent5" w:themeTint="99"/>
        </w:tcBorders>
      </w:tcPr>
    </w:tblStylePr>
    <w:tblStylePr w:type="lastRow">
      <w:rPr>
        <w:b/>
        <w:bCs/>
      </w:rPr>
      <w:tblPr/>
      <w:tcPr>
        <w:tcBorders>
          <w:top w:val="doub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GridTable6ColourfulAccent6">
    <w:name w:val="Grid Table 6 Colorful Accent 6"/>
    <w:basedOn w:val="TableNormal"/>
    <w:uiPriority w:val="51"/>
    <w:semiHidden/>
    <w:rsid w:val="002568BE"/>
    <w:pPr>
      <w:spacing w:after="120"/>
    </w:pPr>
    <w:rPr>
      <w:rFonts w:eastAsia="Times New Roman"/>
      <w:color w:val="707E1C" w:themeColor="accent6" w:themeShade="BF"/>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rPr>
      <w:tblPr/>
      <w:tcPr>
        <w:tcBorders>
          <w:bottom w:val="single" w:sz="12" w:space="0" w:color="CDDD6A" w:themeColor="accent6" w:themeTint="99"/>
        </w:tcBorders>
      </w:tcPr>
    </w:tblStylePr>
    <w:tblStylePr w:type="lastRow">
      <w:rPr>
        <w:b/>
        <w:bCs/>
      </w:rPr>
      <w:tblPr/>
      <w:tcPr>
        <w:tcBorders>
          <w:top w:val="double" w:sz="4" w:space="0" w:color="CDDD6A" w:themeColor="accent6" w:themeTint="99"/>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GridTable7Colourful">
    <w:name w:val="Grid Table 7 Colorful"/>
    <w:basedOn w:val="TableNormal"/>
    <w:uiPriority w:val="52"/>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2568BE"/>
    <w:pPr>
      <w:spacing w:after="120"/>
    </w:pPr>
    <w:rPr>
      <w:rFonts w:eastAsia="Times New Roman"/>
      <w:color w:val="2F3757" w:themeColor="accent1" w:themeShade="BF"/>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insideV w:val="single" w:sz="4" w:space="0" w:color="7E8AB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8E8" w:themeFill="accent1" w:themeFillTint="33"/>
      </w:tcPr>
    </w:tblStylePr>
    <w:tblStylePr w:type="band1Horz">
      <w:tblPr/>
      <w:tcPr>
        <w:shd w:val="clear" w:color="auto" w:fill="D4D8E8" w:themeFill="accent1" w:themeFillTint="33"/>
      </w:tcPr>
    </w:tblStylePr>
    <w:tblStylePr w:type="neCell">
      <w:tblPr/>
      <w:tcPr>
        <w:tcBorders>
          <w:bottom w:val="single" w:sz="4" w:space="0" w:color="7E8AB9" w:themeColor="accent1" w:themeTint="99"/>
        </w:tcBorders>
      </w:tcPr>
    </w:tblStylePr>
    <w:tblStylePr w:type="nwCell">
      <w:tblPr/>
      <w:tcPr>
        <w:tcBorders>
          <w:bottom w:val="single" w:sz="4" w:space="0" w:color="7E8AB9" w:themeColor="accent1" w:themeTint="99"/>
        </w:tcBorders>
      </w:tcPr>
    </w:tblStylePr>
    <w:tblStylePr w:type="seCell">
      <w:tblPr/>
      <w:tcPr>
        <w:tcBorders>
          <w:top w:val="single" w:sz="4" w:space="0" w:color="7E8AB9" w:themeColor="accent1" w:themeTint="99"/>
        </w:tcBorders>
      </w:tcPr>
    </w:tblStylePr>
    <w:tblStylePr w:type="swCell">
      <w:tblPr/>
      <w:tcPr>
        <w:tcBorders>
          <w:top w:val="single" w:sz="4" w:space="0" w:color="7E8AB9" w:themeColor="accent1" w:themeTint="99"/>
        </w:tcBorders>
      </w:tcPr>
    </w:tblStylePr>
  </w:style>
  <w:style w:type="table" w:styleId="GridTable7ColourfulAccent2">
    <w:name w:val="Grid Table 7 Colorful Accent 2"/>
    <w:basedOn w:val="TableNormal"/>
    <w:uiPriority w:val="52"/>
    <w:semiHidden/>
    <w:rsid w:val="002568BE"/>
    <w:pPr>
      <w:spacing w:after="120"/>
    </w:pPr>
    <w:rPr>
      <w:rFonts w:eastAsia="Times New Roman"/>
      <w:color w:val="276066" w:themeColor="accent2" w:themeShade="BF"/>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bottom w:val="single" w:sz="4" w:space="0" w:color="74C1C9" w:themeColor="accent2" w:themeTint="99"/>
        </w:tcBorders>
      </w:tcPr>
    </w:tblStylePr>
    <w:tblStylePr w:type="nwCell">
      <w:tblPr/>
      <w:tcPr>
        <w:tcBorders>
          <w:bottom w:val="single" w:sz="4" w:space="0" w:color="74C1C9" w:themeColor="accent2" w:themeTint="99"/>
        </w:tcBorders>
      </w:tcPr>
    </w:tblStylePr>
    <w:tblStylePr w:type="seCell">
      <w:tblPr/>
      <w:tcPr>
        <w:tcBorders>
          <w:top w:val="single" w:sz="4" w:space="0" w:color="74C1C9" w:themeColor="accent2" w:themeTint="99"/>
        </w:tcBorders>
      </w:tcPr>
    </w:tblStylePr>
    <w:tblStylePr w:type="swCell">
      <w:tblPr/>
      <w:tcPr>
        <w:tcBorders>
          <w:top w:val="single" w:sz="4" w:space="0" w:color="74C1C9" w:themeColor="accent2" w:themeTint="99"/>
        </w:tcBorders>
      </w:tcPr>
    </w:tblStylePr>
  </w:style>
  <w:style w:type="table" w:styleId="GridTable7ColourfulAccent3">
    <w:name w:val="Grid Table 7 Colorful Accent 3"/>
    <w:basedOn w:val="TableNormal"/>
    <w:uiPriority w:val="52"/>
    <w:semiHidden/>
    <w:rsid w:val="002568BE"/>
    <w:pPr>
      <w:spacing w:after="120"/>
    </w:pPr>
    <w:rPr>
      <w:rFonts w:eastAsia="Times New Roman"/>
      <w:color w:val="00598F" w:themeColor="accent3" w:themeShade="BF"/>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insideV w:val="single" w:sz="4" w:space="0" w:color="3FB7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bottom w:val="single" w:sz="4" w:space="0" w:color="3FB7FF" w:themeColor="accent3" w:themeTint="99"/>
        </w:tcBorders>
      </w:tcPr>
    </w:tblStylePr>
    <w:tblStylePr w:type="nwCell">
      <w:tblPr/>
      <w:tcPr>
        <w:tcBorders>
          <w:bottom w:val="single" w:sz="4" w:space="0" w:color="3FB7FF" w:themeColor="accent3" w:themeTint="99"/>
        </w:tcBorders>
      </w:tcPr>
    </w:tblStylePr>
    <w:tblStylePr w:type="seCell">
      <w:tblPr/>
      <w:tcPr>
        <w:tcBorders>
          <w:top w:val="single" w:sz="4" w:space="0" w:color="3FB7FF" w:themeColor="accent3" w:themeTint="99"/>
        </w:tcBorders>
      </w:tcPr>
    </w:tblStylePr>
    <w:tblStylePr w:type="swCell">
      <w:tblPr/>
      <w:tcPr>
        <w:tcBorders>
          <w:top w:val="single" w:sz="4" w:space="0" w:color="3FB7FF" w:themeColor="accent3" w:themeTint="99"/>
        </w:tcBorders>
      </w:tcPr>
    </w:tblStylePr>
  </w:style>
  <w:style w:type="table" w:styleId="GridTable7ColourfulAccent4">
    <w:name w:val="Grid Table 7 Colorful Accent 4"/>
    <w:basedOn w:val="TableNormal"/>
    <w:uiPriority w:val="52"/>
    <w:semiHidden/>
    <w:rsid w:val="002568BE"/>
    <w:pPr>
      <w:spacing w:after="120"/>
    </w:pPr>
    <w:rPr>
      <w:rFonts w:eastAsia="Times New Roman"/>
      <w:color w:val="763952" w:themeColor="accent4" w:themeShade="BF"/>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insideV w:val="single" w:sz="4" w:space="0" w:color="C98FA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D9E1" w:themeFill="accent4" w:themeFillTint="33"/>
      </w:tcPr>
    </w:tblStylePr>
    <w:tblStylePr w:type="band1Horz">
      <w:tblPr/>
      <w:tcPr>
        <w:shd w:val="clear" w:color="auto" w:fill="EDD9E1" w:themeFill="accent4" w:themeFillTint="33"/>
      </w:tcPr>
    </w:tblStylePr>
    <w:tblStylePr w:type="neCell">
      <w:tblPr/>
      <w:tcPr>
        <w:tcBorders>
          <w:bottom w:val="single" w:sz="4" w:space="0" w:color="C98FA7" w:themeColor="accent4" w:themeTint="99"/>
        </w:tcBorders>
      </w:tcPr>
    </w:tblStylePr>
    <w:tblStylePr w:type="nwCell">
      <w:tblPr/>
      <w:tcPr>
        <w:tcBorders>
          <w:bottom w:val="single" w:sz="4" w:space="0" w:color="C98FA7" w:themeColor="accent4" w:themeTint="99"/>
        </w:tcBorders>
      </w:tcPr>
    </w:tblStylePr>
    <w:tblStylePr w:type="seCell">
      <w:tblPr/>
      <w:tcPr>
        <w:tcBorders>
          <w:top w:val="single" w:sz="4" w:space="0" w:color="C98FA7" w:themeColor="accent4" w:themeTint="99"/>
        </w:tcBorders>
      </w:tcPr>
    </w:tblStylePr>
    <w:tblStylePr w:type="swCell">
      <w:tblPr/>
      <w:tcPr>
        <w:tcBorders>
          <w:top w:val="single" w:sz="4" w:space="0" w:color="C98FA7" w:themeColor="accent4" w:themeTint="99"/>
        </w:tcBorders>
      </w:tcPr>
    </w:tblStylePr>
  </w:style>
  <w:style w:type="table" w:styleId="GridTable7ColourfulAccent5">
    <w:name w:val="Grid Table 7 Colorful Accent 5"/>
    <w:basedOn w:val="TableNormal"/>
    <w:uiPriority w:val="52"/>
    <w:semiHidden/>
    <w:rsid w:val="002568BE"/>
    <w:pPr>
      <w:spacing w:after="120"/>
    </w:pPr>
    <w:rPr>
      <w:rFonts w:eastAsia="Times New Roman"/>
      <w:color w:val="2A7187" w:themeColor="accent5" w:themeShade="BF"/>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insideV w:val="single" w:sz="4" w:space="0" w:color="82C3D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F2" w:themeFill="accent5" w:themeFillTint="33"/>
      </w:tcPr>
    </w:tblStylePr>
    <w:tblStylePr w:type="band1Horz">
      <w:tblPr/>
      <w:tcPr>
        <w:shd w:val="clear" w:color="auto" w:fill="D5EBF2" w:themeFill="accent5" w:themeFillTint="33"/>
      </w:tcPr>
    </w:tblStylePr>
    <w:tblStylePr w:type="neCell">
      <w:tblPr/>
      <w:tcPr>
        <w:tcBorders>
          <w:bottom w:val="single" w:sz="4" w:space="0" w:color="82C3D8" w:themeColor="accent5" w:themeTint="99"/>
        </w:tcBorders>
      </w:tcPr>
    </w:tblStylePr>
    <w:tblStylePr w:type="nwCell">
      <w:tblPr/>
      <w:tcPr>
        <w:tcBorders>
          <w:bottom w:val="single" w:sz="4" w:space="0" w:color="82C3D8" w:themeColor="accent5" w:themeTint="99"/>
        </w:tcBorders>
      </w:tcPr>
    </w:tblStylePr>
    <w:tblStylePr w:type="seCell">
      <w:tblPr/>
      <w:tcPr>
        <w:tcBorders>
          <w:top w:val="single" w:sz="4" w:space="0" w:color="82C3D8" w:themeColor="accent5" w:themeTint="99"/>
        </w:tcBorders>
      </w:tcPr>
    </w:tblStylePr>
    <w:tblStylePr w:type="swCell">
      <w:tblPr/>
      <w:tcPr>
        <w:tcBorders>
          <w:top w:val="single" w:sz="4" w:space="0" w:color="82C3D8" w:themeColor="accent5" w:themeTint="99"/>
        </w:tcBorders>
      </w:tcPr>
    </w:tblStylePr>
  </w:style>
  <w:style w:type="table" w:styleId="GridTable7ColourfulAccent6">
    <w:name w:val="Grid Table 7 Colorful Accent 6"/>
    <w:basedOn w:val="TableNormal"/>
    <w:uiPriority w:val="52"/>
    <w:semiHidden/>
    <w:rsid w:val="002568BE"/>
    <w:pPr>
      <w:spacing w:after="120"/>
    </w:pPr>
    <w:rPr>
      <w:rFonts w:eastAsia="Times New Roman"/>
      <w:color w:val="707E1C" w:themeColor="accent6" w:themeShade="BF"/>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insideV w:val="single" w:sz="4" w:space="0" w:color="CDDD6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F4CD" w:themeFill="accent6" w:themeFillTint="33"/>
      </w:tcPr>
    </w:tblStylePr>
    <w:tblStylePr w:type="band1Horz">
      <w:tblPr/>
      <w:tcPr>
        <w:shd w:val="clear" w:color="auto" w:fill="EEF4CD" w:themeFill="accent6" w:themeFillTint="33"/>
      </w:tcPr>
    </w:tblStylePr>
    <w:tblStylePr w:type="neCell">
      <w:tblPr/>
      <w:tcPr>
        <w:tcBorders>
          <w:bottom w:val="single" w:sz="4" w:space="0" w:color="CDDD6A" w:themeColor="accent6" w:themeTint="99"/>
        </w:tcBorders>
      </w:tcPr>
    </w:tblStylePr>
    <w:tblStylePr w:type="nwCell">
      <w:tblPr/>
      <w:tcPr>
        <w:tcBorders>
          <w:bottom w:val="single" w:sz="4" w:space="0" w:color="CDDD6A" w:themeColor="accent6" w:themeTint="99"/>
        </w:tcBorders>
      </w:tcPr>
    </w:tblStylePr>
    <w:tblStylePr w:type="seCell">
      <w:tblPr/>
      <w:tcPr>
        <w:tcBorders>
          <w:top w:val="single" w:sz="4" w:space="0" w:color="CDDD6A" w:themeColor="accent6" w:themeTint="99"/>
        </w:tcBorders>
      </w:tcPr>
    </w:tblStylePr>
    <w:tblStylePr w:type="swCell">
      <w:tblPr/>
      <w:tcPr>
        <w:tcBorders>
          <w:top w:val="single" w:sz="4" w:space="0" w:color="CDDD6A" w:themeColor="accent6" w:themeTint="99"/>
        </w:tcBorders>
      </w:tcPr>
    </w:tblStylePr>
  </w:style>
  <w:style w:type="table" w:styleId="LightGrid">
    <w:name w:val="Light Grid"/>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insideH w:val="single" w:sz="8" w:space="0" w:color="3F4A75" w:themeColor="accent1"/>
        <w:insideV w:val="single" w:sz="8" w:space="0" w:color="3F4A7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4A75" w:themeColor="accent1"/>
          <w:left w:val="single" w:sz="8" w:space="0" w:color="3F4A75" w:themeColor="accent1"/>
          <w:bottom w:val="single" w:sz="18" w:space="0" w:color="3F4A75" w:themeColor="accent1"/>
          <w:right w:val="single" w:sz="8" w:space="0" w:color="3F4A75" w:themeColor="accent1"/>
          <w:insideH w:val="nil"/>
          <w:insideV w:val="single" w:sz="8" w:space="0" w:color="3F4A7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4A75" w:themeColor="accent1"/>
          <w:left w:val="single" w:sz="8" w:space="0" w:color="3F4A75" w:themeColor="accent1"/>
          <w:bottom w:val="single" w:sz="8" w:space="0" w:color="3F4A75" w:themeColor="accent1"/>
          <w:right w:val="single" w:sz="8" w:space="0" w:color="3F4A75" w:themeColor="accent1"/>
          <w:insideH w:val="nil"/>
          <w:insideV w:val="single" w:sz="8" w:space="0" w:color="3F4A7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tcPr>
    </w:tblStylePr>
    <w:tblStylePr w:type="band1Vert">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shd w:val="clear" w:color="auto" w:fill="C9CEE2" w:themeFill="accent1" w:themeFillTint="3F"/>
      </w:tcPr>
    </w:tblStylePr>
    <w:tblStylePr w:type="band1Horz">
      <w:tblPr/>
      <w:tcPr>
        <w:tcBorders>
          <w:top w:val="single" w:sz="8" w:space="0" w:color="3F4A75" w:themeColor="accent1"/>
          <w:left w:val="single" w:sz="8" w:space="0" w:color="3F4A75" w:themeColor="accent1"/>
          <w:bottom w:val="single" w:sz="8" w:space="0" w:color="3F4A75" w:themeColor="accent1"/>
          <w:right w:val="single" w:sz="8" w:space="0" w:color="3F4A75" w:themeColor="accent1"/>
          <w:insideV w:val="single" w:sz="8" w:space="0" w:color="3F4A75" w:themeColor="accent1"/>
        </w:tcBorders>
        <w:shd w:val="clear" w:color="auto" w:fill="C9CEE2" w:themeFill="accent1" w:themeFillTint="3F"/>
      </w:tcPr>
    </w:tblStylePr>
    <w:tblStylePr w:type="band2Horz">
      <w:tblPr/>
      <w:tcPr>
        <w:tcBorders>
          <w:top w:val="single" w:sz="8" w:space="0" w:color="3F4A75" w:themeColor="accent1"/>
          <w:left w:val="single" w:sz="8" w:space="0" w:color="3F4A75" w:themeColor="accent1"/>
          <w:bottom w:val="single" w:sz="8" w:space="0" w:color="3F4A75" w:themeColor="accent1"/>
          <w:right w:val="single" w:sz="8" w:space="0" w:color="3F4A75" w:themeColor="accent1"/>
          <w:insideV w:val="single" w:sz="8" w:space="0" w:color="3F4A75" w:themeColor="accent1"/>
        </w:tcBorders>
      </w:tcPr>
    </w:tblStylePr>
  </w:style>
  <w:style w:type="table" w:styleId="LightGrid-Accent2">
    <w:name w:val="Light Grid Accent 2"/>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insideH w:val="single" w:sz="8" w:space="0" w:color="358189" w:themeColor="accent2"/>
        <w:insideV w:val="single" w:sz="8" w:space="0" w:color="35818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58189" w:themeColor="accent2"/>
          <w:left w:val="single" w:sz="8" w:space="0" w:color="358189" w:themeColor="accent2"/>
          <w:bottom w:val="single" w:sz="18" w:space="0" w:color="358189" w:themeColor="accent2"/>
          <w:right w:val="single" w:sz="8" w:space="0" w:color="358189" w:themeColor="accent2"/>
          <w:insideH w:val="nil"/>
          <w:insideV w:val="single" w:sz="8" w:space="0" w:color="35818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58189" w:themeColor="accent2"/>
          <w:left w:val="single" w:sz="8" w:space="0" w:color="358189" w:themeColor="accent2"/>
          <w:bottom w:val="single" w:sz="8" w:space="0" w:color="358189" w:themeColor="accent2"/>
          <w:right w:val="single" w:sz="8" w:space="0" w:color="358189" w:themeColor="accent2"/>
          <w:insideH w:val="nil"/>
          <w:insideV w:val="single" w:sz="8" w:space="0" w:color="35818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tcPr>
    </w:tblStylePr>
    <w:tblStylePr w:type="band1Vert">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shd w:val="clear" w:color="auto" w:fill="C5E5E9" w:themeFill="accent2" w:themeFillTint="3F"/>
      </w:tcPr>
    </w:tblStylePr>
    <w:tblStylePr w:type="band1Horz">
      <w:tblPr/>
      <w:tcPr>
        <w:tcBorders>
          <w:top w:val="single" w:sz="8" w:space="0" w:color="358189" w:themeColor="accent2"/>
          <w:left w:val="single" w:sz="8" w:space="0" w:color="358189" w:themeColor="accent2"/>
          <w:bottom w:val="single" w:sz="8" w:space="0" w:color="358189" w:themeColor="accent2"/>
          <w:right w:val="single" w:sz="8" w:space="0" w:color="358189" w:themeColor="accent2"/>
          <w:insideV w:val="single" w:sz="8" w:space="0" w:color="358189" w:themeColor="accent2"/>
        </w:tcBorders>
        <w:shd w:val="clear" w:color="auto" w:fill="C5E5E9" w:themeFill="accent2" w:themeFillTint="3F"/>
      </w:tcPr>
    </w:tblStylePr>
    <w:tblStylePr w:type="band2Horz">
      <w:tblPr/>
      <w:tcPr>
        <w:tcBorders>
          <w:top w:val="single" w:sz="8" w:space="0" w:color="358189" w:themeColor="accent2"/>
          <w:left w:val="single" w:sz="8" w:space="0" w:color="358189" w:themeColor="accent2"/>
          <w:bottom w:val="single" w:sz="8" w:space="0" w:color="358189" w:themeColor="accent2"/>
          <w:right w:val="single" w:sz="8" w:space="0" w:color="358189" w:themeColor="accent2"/>
          <w:insideV w:val="single" w:sz="8" w:space="0" w:color="358189" w:themeColor="accent2"/>
        </w:tcBorders>
      </w:tcPr>
    </w:tblStylePr>
  </w:style>
  <w:style w:type="table" w:styleId="LightGrid-Accent3">
    <w:name w:val="Light Grid Accent 3"/>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18" w:space="0" w:color="0078BF" w:themeColor="accent3"/>
          <w:right w:val="single" w:sz="8" w:space="0" w:color="0078BF" w:themeColor="accent3"/>
          <w:insideH w:val="nil"/>
          <w:insideV w:val="single" w:sz="8" w:space="0" w:color="0078B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insideH w:val="nil"/>
          <w:insideV w:val="single" w:sz="8" w:space="0" w:color="0078B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shd w:val="clear" w:color="auto" w:fill="B0E1FF" w:themeFill="accent3" w:themeFillTint="3F"/>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shd w:val="clear" w:color="auto" w:fill="B0E1FF" w:themeFill="accent3" w:themeFillTint="3F"/>
      </w:tcPr>
    </w:tblStylePr>
    <w:tblStylePr w:type="band2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insideV w:val="single" w:sz="8" w:space="0" w:color="0078BF" w:themeColor="accent3"/>
        </w:tcBorders>
      </w:tcPr>
    </w:tblStylePr>
  </w:style>
  <w:style w:type="table" w:styleId="LightGrid-Accent4">
    <w:name w:val="Light Grid Accent 4"/>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insideH w:val="single" w:sz="8" w:space="0" w:color="9E4C6E" w:themeColor="accent4"/>
        <w:insideV w:val="single" w:sz="8" w:space="0" w:color="9E4C6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E4C6E" w:themeColor="accent4"/>
          <w:left w:val="single" w:sz="8" w:space="0" w:color="9E4C6E" w:themeColor="accent4"/>
          <w:bottom w:val="single" w:sz="18" w:space="0" w:color="9E4C6E" w:themeColor="accent4"/>
          <w:right w:val="single" w:sz="8" w:space="0" w:color="9E4C6E" w:themeColor="accent4"/>
          <w:insideH w:val="nil"/>
          <w:insideV w:val="single" w:sz="8" w:space="0" w:color="9E4C6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E4C6E" w:themeColor="accent4"/>
          <w:left w:val="single" w:sz="8" w:space="0" w:color="9E4C6E" w:themeColor="accent4"/>
          <w:bottom w:val="single" w:sz="8" w:space="0" w:color="9E4C6E" w:themeColor="accent4"/>
          <w:right w:val="single" w:sz="8" w:space="0" w:color="9E4C6E" w:themeColor="accent4"/>
          <w:insideH w:val="nil"/>
          <w:insideV w:val="single" w:sz="8" w:space="0" w:color="9E4C6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tcPr>
    </w:tblStylePr>
    <w:tblStylePr w:type="band1Vert">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shd w:val="clear" w:color="auto" w:fill="E8D0DA" w:themeFill="accent4" w:themeFillTint="3F"/>
      </w:tcPr>
    </w:tblStylePr>
    <w:tblStylePr w:type="band1Horz">
      <w:tblPr/>
      <w:tcPr>
        <w:tcBorders>
          <w:top w:val="single" w:sz="8" w:space="0" w:color="9E4C6E" w:themeColor="accent4"/>
          <w:left w:val="single" w:sz="8" w:space="0" w:color="9E4C6E" w:themeColor="accent4"/>
          <w:bottom w:val="single" w:sz="8" w:space="0" w:color="9E4C6E" w:themeColor="accent4"/>
          <w:right w:val="single" w:sz="8" w:space="0" w:color="9E4C6E" w:themeColor="accent4"/>
          <w:insideV w:val="single" w:sz="8" w:space="0" w:color="9E4C6E" w:themeColor="accent4"/>
        </w:tcBorders>
        <w:shd w:val="clear" w:color="auto" w:fill="E8D0DA" w:themeFill="accent4" w:themeFillTint="3F"/>
      </w:tcPr>
    </w:tblStylePr>
    <w:tblStylePr w:type="band2Horz">
      <w:tblPr/>
      <w:tcPr>
        <w:tcBorders>
          <w:top w:val="single" w:sz="8" w:space="0" w:color="9E4C6E" w:themeColor="accent4"/>
          <w:left w:val="single" w:sz="8" w:space="0" w:color="9E4C6E" w:themeColor="accent4"/>
          <w:bottom w:val="single" w:sz="8" w:space="0" w:color="9E4C6E" w:themeColor="accent4"/>
          <w:right w:val="single" w:sz="8" w:space="0" w:color="9E4C6E" w:themeColor="accent4"/>
          <w:insideV w:val="single" w:sz="8" w:space="0" w:color="9E4C6E" w:themeColor="accent4"/>
        </w:tcBorders>
      </w:tcPr>
    </w:tblStylePr>
  </w:style>
  <w:style w:type="table" w:styleId="LightGrid-Accent5">
    <w:name w:val="Light Grid Accent 5"/>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insideH w:val="single" w:sz="8" w:space="0" w:color="3998B5" w:themeColor="accent5"/>
        <w:insideV w:val="single" w:sz="8" w:space="0" w:color="3998B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998B5" w:themeColor="accent5"/>
          <w:left w:val="single" w:sz="8" w:space="0" w:color="3998B5" w:themeColor="accent5"/>
          <w:bottom w:val="single" w:sz="18" w:space="0" w:color="3998B5" w:themeColor="accent5"/>
          <w:right w:val="single" w:sz="8" w:space="0" w:color="3998B5" w:themeColor="accent5"/>
          <w:insideH w:val="nil"/>
          <w:insideV w:val="single" w:sz="8" w:space="0" w:color="3998B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998B5" w:themeColor="accent5"/>
          <w:left w:val="single" w:sz="8" w:space="0" w:color="3998B5" w:themeColor="accent5"/>
          <w:bottom w:val="single" w:sz="8" w:space="0" w:color="3998B5" w:themeColor="accent5"/>
          <w:right w:val="single" w:sz="8" w:space="0" w:color="3998B5" w:themeColor="accent5"/>
          <w:insideH w:val="nil"/>
          <w:insideV w:val="single" w:sz="8" w:space="0" w:color="3998B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tcPr>
    </w:tblStylePr>
    <w:tblStylePr w:type="band1Vert">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shd w:val="clear" w:color="auto" w:fill="CBE6EF" w:themeFill="accent5" w:themeFillTint="3F"/>
      </w:tcPr>
    </w:tblStylePr>
    <w:tblStylePr w:type="band1Horz">
      <w:tblPr/>
      <w:tcPr>
        <w:tcBorders>
          <w:top w:val="single" w:sz="8" w:space="0" w:color="3998B5" w:themeColor="accent5"/>
          <w:left w:val="single" w:sz="8" w:space="0" w:color="3998B5" w:themeColor="accent5"/>
          <w:bottom w:val="single" w:sz="8" w:space="0" w:color="3998B5" w:themeColor="accent5"/>
          <w:right w:val="single" w:sz="8" w:space="0" w:color="3998B5" w:themeColor="accent5"/>
          <w:insideV w:val="single" w:sz="8" w:space="0" w:color="3998B5" w:themeColor="accent5"/>
        </w:tcBorders>
        <w:shd w:val="clear" w:color="auto" w:fill="CBE6EF" w:themeFill="accent5" w:themeFillTint="3F"/>
      </w:tcPr>
    </w:tblStylePr>
    <w:tblStylePr w:type="band2Horz">
      <w:tblPr/>
      <w:tcPr>
        <w:tcBorders>
          <w:top w:val="single" w:sz="8" w:space="0" w:color="3998B5" w:themeColor="accent5"/>
          <w:left w:val="single" w:sz="8" w:space="0" w:color="3998B5" w:themeColor="accent5"/>
          <w:bottom w:val="single" w:sz="8" w:space="0" w:color="3998B5" w:themeColor="accent5"/>
          <w:right w:val="single" w:sz="8" w:space="0" w:color="3998B5" w:themeColor="accent5"/>
          <w:insideV w:val="single" w:sz="8" w:space="0" w:color="3998B5" w:themeColor="accent5"/>
        </w:tcBorders>
      </w:tcPr>
    </w:tblStylePr>
  </w:style>
  <w:style w:type="table" w:styleId="LightGrid-Accent6">
    <w:name w:val="Light Grid Accent 6"/>
    <w:basedOn w:val="TableNormal"/>
    <w:uiPriority w:val="62"/>
    <w:semiHidden/>
    <w:rsid w:val="002568BE"/>
    <w:pPr>
      <w:spacing w:after="120"/>
    </w:pPr>
    <w:rPr>
      <w:rFonts w:eastAsia="Times New Roman"/>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insideH w:val="single" w:sz="8" w:space="0" w:color="97A926" w:themeColor="accent6"/>
        <w:insideV w:val="single" w:sz="8" w:space="0" w:color="97A92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A926" w:themeColor="accent6"/>
          <w:left w:val="single" w:sz="8" w:space="0" w:color="97A926" w:themeColor="accent6"/>
          <w:bottom w:val="single" w:sz="18" w:space="0" w:color="97A926" w:themeColor="accent6"/>
          <w:right w:val="single" w:sz="8" w:space="0" w:color="97A926" w:themeColor="accent6"/>
          <w:insideH w:val="nil"/>
          <w:insideV w:val="single" w:sz="8" w:space="0" w:color="97A92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A926" w:themeColor="accent6"/>
          <w:left w:val="single" w:sz="8" w:space="0" w:color="97A926" w:themeColor="accent6"/>
          <w:bottom w:val="single" w:sz="8" w:space="0" w:color="97A926" w:themeColor="accent6"/>
          <w:right w:val="single" w:sz="8" w:space="0" w:color="97A926" w:themeColor="accent6"/>
          <w:insideH w:val="nil"/>
          <w:insideV w:val="single" w:sz="8" w:space="0" w:color="97A92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tcPr>
    </w:tblStylePr>
    <w:tblStylePr w:type="band1Vert">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shd w:val="clear" w:color="auto" w:fill="EAF1C1" w:themeFill="accent6" w:themeFillTint="3F"/>
      </w:tcPr>
    </w:tblStylePr>
    <w:tblStylePr w:type="band1Horz">
      <w:tblPr/>
      <w:tcPr>
        <w:tcBorders>
          <w:top w:val="single" w:sz="8" w:space="0" w:color="97A926" w:themeColor="accent6"/>
          <w:left w:val="single" w:sz="8" w:space="0" w:color="97A926" w:themeColor="accent6"/>
          <w:bottom w:val="single" w:sz="8" w:space="0" w:color="97A926" w:themeColor="accent6"/>
          <w:right w:val="single" w:sz="8" w:space="0" w:color="97A926" w:themeColor="accent6"/>
          <w:insideV w:val="single" w:sz="8" w:space="0" w:color="97A926" w:themeColor="accent6"/>
        </w:tcBorders>
        <w:shd w:val="clear" w:color="auto" w:fill="EAF1C1" w:themeFill="accent6" w:themeFillTint="3F"/>
      </w:tcPr>
    </w:tblStylePr>
    <w:tblStylePr w:type="band2Horz">
      <w:tblPr/>
      <w:tcPr>
        <w:tcBorders>
          <w:top w:val="single" w:sz="8" w:space="0" w:color="97A926" w:themeColor="accent6"/>
          <w:left w:val="single" w:sz="8" w:space="0" w:color="97A926" w:themeColor="accent6"/>
          <w:bottom w:val="single" w:sz="8" w:space="0" w:color="97A926" w:themeColor="accent6"/>
          <w:right w:val="single" w:sz="8" w:space="0" w:color="97A926" w:themeColor="accent6"/>
          <w:insideV w:val="single" w:sz="8" w:space="0" w:color="97A926" w:themeColor="accent6"/>
        </w:tcBorders>
      </w:tcPr>
    </w:tblStylePr>
  </w:style>
  <w:style w:type="table" w:styleId="LightList">
    <w:name w:val="Light List"/>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tblBorders>
    </w:tblPr>
    <w:tblStylePr w:type="firstRow">
      <w:pPr>
        <w:spacing w:before="0" w:after="0" w:line="240" w:lineRule="auto"/>
      </w:pPr>
      <w:rPr>
        <w:b/>
        <w:bCs/>
        <w:color w:val="FFFFFF" w:themeColor="background1"/>
      </w:rPr>
      <w:tblPr/>
      <w:tcPr>
        <w:shd w:val="clear" w:color="auto" w:fill="3F4A75" w:themeFill="accent1"/>
      </w:tcPr>
    </w:tblStylePr>
    <w:tblStylePr w:type="lastRow">
      <w:pPr>
        <w:spacing w:before="0" w:after="0" w:line="240" w:lineRule="auto"/>
      </w:pPr>
      <w:rPr>
        <w:b/>
        <w:bCs/>
      </w:rPr>
      <w:tblPr/>
      <w:tcPr>
        <w:tcBorders>
          <w:top w:val="double" w:sz="6" w:space="0" w:color="3F4A75" w:themeColor="accent1"/>
          <w:left w:val="single" w:sz="8" w:space="0" w:color="3F4A75" w:themeColor="accent1"/>
          <w:bottom w:val="single" w:sz="8" w:space="0" w:color="3F4A75" w:themeColor="accent1"/>
          <w:right w:val="single" w:sz="8" w:space="0" w:color="3F4A75" w:themeColor="accent1"/>
        </w:tcBorders>
      </w:tcPr>
    </w:tblStylePr>
    <w:tblStylePr w:type="firstCol">
      <w:rPr>
        <w:b/>
        <w:bCs/>
      </w:rPr>
    </w:tblStylePr>
    <w:tblStylePr w:type="lastCol">
      <w:rPr>
        <w:b/>
        <w:bCs/>
      </w:rPr>
    </w:tblStylePr>
    <w:tblStylePr w:type="band1Vert">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tcPr>
    </w:tblStylePr>
    <w:tblStylePr w:type="band1Horz">
      <w:tblPr/>
      <w:tcPr>
        <w:tcBorders>
          <w:top w:val="single" w:sz="8" w:space="0" w:color="3F4A75" w:themeColor="accent1"/>
          <w:left w:val="single" w:sz="8" w:space="0" w:color="3F4A75" w:themeColor="accent1"/>
          <w:bottom w:val="single" w:sz="8" w:space="0" w:color="3F4A75" w:themeColor="accent1"/>
          <w:right w:val="single" w:sz="8" w:space="0" w:color="3F4A75" w:themeColor="accent1"/>
        </w:tcBorders>
      </w:tcPr>
    </w:tblStylePr>
  </w:style>
  <w:style w:type="table" w:styleId="LightList-Accent2">
    <w:name w:val="Light List Accent 2"/>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tblBorders>
    </w:tblPr>
    <w:tblStylePr w:type="firstRow">
      <w:pPr>
        <w:spacing w:before="0" w:after="0" w:line="240" w:lineRule="auto"/>
      </w:pPr>
      <w:rPr>
        <w:b/>
        <w:bCs/>
        <w:color w:val="FFFFFF" w:themeColor="background1"/>
      </w:rPr>
      <w:tblPr/>
      <w:tcPr>
        <w:shd w:val="clear" w:color="auto" w:fill="358189" w:themeFill="accent2"/>
      </w:tcPr>
    </w:tblStylePr>
    <w:tblStylePr w:type="lastRow">
      <w:pPr>
        <w:spacing w:before="0" w:after="0" w:line="240" w:lineRule="auto"/>
      </w:pPr>
      <w:rPr>
        <w:b/>
        <w:bCs/>
      </w:rPr>
      <w:tblPr/>
      <w:tcPr>
        <w:tcBorders>
          <w:top w:val="double" w:sz="6" w:space="0" w:color="358189" w:themeColor="accent2"/>
          <w:left w:val="single" w:sz="8" w:space="0" w:color="358189" w:themeColor="accent2"/>
          <w:bottom w:val="single" w:sz="8" w:space="0" w:color="358189" w:themeColor="accent2"/>
          <w:right w:val="single" w:sz="8" w:space="0" w:color="358189" w:themeColor="accent2"/>
        </w:tcBorders>
      </w:tcPr>
    </w:tblStylePr>
    <w:tblStylePr w:type="firstCol">
      <w:rPr>
        <w:b/>
        <w:bCs/>
      </w:rPr>
    </w:tblStylePr>
    <w:tblStylePr w:type="lastCol">
      <w:rPr>
        <w:b/>
        <w:bCs/>
      </w:rPr>
    </w:tblStylePr>
    <w:tblStylePr w:type="band1Vert">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tcPr>
    </w:tblStylePr>
    <w:tblStylePr w:type="band1Horz">
      <w:tblPr/>
      <w:tcPr>
        <w:tcBorders>
          <w:top w:val="single" w:sz="8" w:space="0" w:color="358189" w:themeColor="accent2"/>
          <w:left w:val="single" w:sz="8" w:space="0" w:color="358189" w:themeColor="accent2"/>
          <w:bottom w:val="single" w:sz="8" w:space="0" w:color="358189" w:themeColor="accent2"/>
          <w:right w:val="single" w:sz="8" w:space="0" w:color="358189" w:themeColor="accent2"/>
        </w:tcBorders>
      </w:tcPr>
    </w:tblStylePr>
  </w:style>
  <w:style w:type="table" w:styleId="LightList-Accent3">
    <w:name w:val="Light List Accent 3"/>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tblBorders>
    </w:tblPr>
    <w:tblStylePr w:type="firstRow">
      <w:pPr>
        <w:spacing w:before="0" w:after="0" w:line="240" w:lineRule="auto"/>
      </w:pPr>
      <w:rPr>
        <w:b/>
        <w:bCs/>
        <w:color w:val="FFFFFF" w:themeColor="background1"/>
      </w:rPr>
      <w:tblPr/>
      <w:tcPr>
        <w:shd w:val="clear" w:color="auto" w:fill="0078BF" w:themeFill="accent3"/>
      </w:tcPr>
    </w:tblStylePr>
    <w:tblStylePr w:type="lastRow">
      <w:pPr>
        <w:spacing w:before="0" w:after="0" w:line="240" w:lineRule="auto"/>
      </w:pPr>
      <w:rPr>
        <w:b/>
        <w:bCs/>
      </w:rPr>
      <w:tblPr/>
      <w:tcPr>
        <w:tcBorders>
          <w:top w:val="double" w:sz="6" w:space="0" w:color="0078BF" w:themeColor="accent3"/>
          <w:left w:val="single" w:sz="8" w:space="0" w:color="0078BF" w:themeColor="accent3"/>
          <w:bottom w:val="single" w:sz="8" w:space="0" w:color="0078BF" w:themeColor="accent3"/>
          <w:right w:val="single" w:sz="8" w:space="0" w:color="0078BF" w:themeColor="accent3"/>
        </w:tcBorders>
      </w:tcPr>
    </w:tblStylePr>
    <w:tblStylePr w:type="firstCol">
      <w:rPr>
        <w:b/>
        <w:bCs/>
      </w:rPr>
    </w:tblStylePr>
    <w:tblStylePr w:type="lastCol">
      <w:rPr>
        <w:b/>
        <w:bCs/>
      </w:rPr>
    </w:tblStylePr>
    <w:tblStylePr w:type="band1Vert">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tblStylePr w:type="band1Horz">
      <w:tblPr/>
      <w:tcPr>
        <w:tcBorders>
          <w:top w:val="single" w:sz="8" w:space="0" w:color="0078BF" w:themeColor="accent3"/>
          <w:left w:val="single" w:sz="8" w:space="0" w:color="0078BF" w:themeColor="accent3"/>
          <w:bottom w:val="single" w:sz="8" w:space="0" w:color="0078BF" w:themeColor="accent3"/>
          <w:right w:val="single" w:sz="8" w:space="0" w:color="0078BF" w:themeColor="accent3"/>
        </w:tcBorders>
      </w:tcPr>
    </w:tblStylePr>
  </w:style>
  <w:style w:type="table" w:styleId="LightList-Accent4">
    <w:name w:val="Light List Accent 4"/>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tblBorders>
    </w:tblPr>
    <w:tblStylePr w:type="firstRow">
      <w:pPr>
        <w:spacing w:before="0" w:after="0" w:line="240" w:lineRule="auto"/>
      </w:pPr>
      <w:rPr>
        <w:b/>
        <w:bCs/>
        <w:color w:val="FFFFFF" w:themeColor="background1"/>
      </w:rPr>
      <w:tblPr/>
      <w:tcPr>
        <w:shd w:val="clear" w:color="auto" w:fill="9E4C6E" w:themeFill="accent4"/>
      </w:tcPr>
    </w:tblStylePr>
    <w:tblStylePr w:type="lastRow">
      <w:pPr>
        <w:spacing w:before="0" w:after="0" w:line="240" w:lineRule="auto"/>
      </w:pPr>
      <w:rPr>
        <w:b/>
        <w:bCs/>
      </w:rPr>
      <w:tblPr/>
      <w:tcPr>
        <w:tcBorders>
          <w:top w:val="double" w:sz="6" w:space="0" w:color="9E4C6E" w:themeColor="accent4"/>
          <w:left w:val="single" w:sz="8" w:space="0" w:color="9E4C6E" w:themeColor="accent4"/>
          <w:bottom w:val="single" w:sz="8" w:space="0" w:color="9E4C6E" w:themeColor="accent4"/>
          <w:right w:val="single" w:sz="8" w:space="0" w:color="9E4C6E" w:themeColor="accent4"/>
        </w:tcBorders>
      </w:tcPr>
    </w:tblStylePr>
    <w:tblStylePr w:type="firstCol">
      <w:rPr>
        <w:b/>
        <w:bCs/>
      </w:rPr>
    </w:tblStylePr>
    <w:tblStylePr w:type="lastCol">
      <w:rPr>
        <w:b/>
        <w:bCs/>
      </w:rPr>
    </w:tblStylePr>
    <w:tblStylePr w:type="band1Vert">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tcPr>
    </w:tblStylePr>
    <w:tblStylePr w:type="band1Horz">
      <w:tblPr/>
      <w:tcPr>
        <w:tcBorders>
          <w:top w:val="single" w:sz="8" w:space="0" w:color="9E4C6E" w:themeColor="accent4"/>
          <w:left w:val="single" w:sz="8" w:space="0" w:color="9E4C6E" w:themeColor="accent4"/>
          <w:bottom w:val="single" w:sz="8" w:space="0" w:color="9E4C6E" w:themeColor="accent4"/>
          <w:right w:val="single" w:sz="8" w:space="0" w:color="9E4C6E" w:themeColor="accent4"/>
        </w:tcBorders>
      </w:tcPr>
    </w:tblStylePr>
  </w:style>
  <w:style w:type="table" w:styleId="LightList-Accent5">
    <w:name w:val="Light List Accent 5"/>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tblBorders>
    </w:tblPr>
    <w:tblStylePr w:type="firstRow">
      <w:pPr>
        <w:spacing w:before="0" w:after="0" w:line="240" w:lineRule="auto"/>
      </w:pPr>
      <w:rPr>
        <w:b/>
        <w:bCs/>
        <w:color w:val="FFFFFF" w:themeColor="background1"/>
      </w:rPr>
      <w:tblPr/>
      <w:tcPr>
        <w:shd w:val="clear" w:color="auto" w:fill="3998B5" w:themeFill="accent5"/>
      </w:tcPr>
    </w:tblStylePr>
    <w:tblStylePr w:type="lastRow">
      <w:pPr>
        <w:spacing w:before="0" w:after="0" w:line="240" w:lineRule="auto"/>
      </w:pPr>
      <w:rPr>
        <w:b/>
        <w:bCs/>
      </w:rPr>
      <w:tblPr/>
      <w:tcPr>
        <w:tcBorders>
          <w:top w:val="double" w:sz="6" w:space="0" w:color="3998B5" w:themeColor="accent5"/>
          <w:left w:val="single" w:sz="8" w:space="0" w:color="3998B5" w:themeColor="accent5"/>
          <w:bottom w:val="single" w:sz="8" w:space="0" w:color="3998B5" w:themeColor="accent5"/>
          <w:right w:val="single" w:sz="8" w:space="0" w:color="3998B5" w:themeColor="accent5"/>
        </w:tcBorders>
      </w:tcPr>
    </w:tblStylePr>
    <w:tblStylePr w:type="firstCol">
      <w:rPr>
        <w:b/>
        <w:bCs/>
      </w:rPr>
    </w:tblStylePr>
    <w:tblStylePr w:type="lastCol">
      <w:rPr>
        <w:b/>
        <w:bCs/>
      </w:rPr>
    </w:tblStylePr>
    <w:tblStylePr w:type="band1Vert">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tcPr>
    </w:tblStylePr>
    <w:tblStylePr w:type="band1Horz">
      <w:tblPr/>
      <w:tcPr>
        <w:tcBorders>
          <w:top w:val="single" w:sz="8" w:space="0" w:color="3998B5" w:themeColor="accent5"/>
          <w:left w:val="single" w:sz="8" w:space="0" w:color="3998B5" w:themeColor="accent5"/>
          <w:bottom w:val="single" w:sz="8" w:space="0" w:color="3998B5" w:themeColor="accent5"/>
          <w:right w:val="single" w:sz="8" w:space="0" w:color="3998B5" w:themeColor="accent5"/>
        </w:tcBorders>
      </w:tcPr>
    </w:tblStylePr>
  </w:style>
  <w:style w:type="table" w:styleId="LightList-Accent6">
    <w:name w:val="Light List Accent 6"/>
    <w:basedOn w:val="TableNormal"/>
    <w:uiPriority w:val="61"/>
    <w:semiHidden/>
    <w:rsid w:val="002568BE"/>
    <w:pPr>
      <w:spacing w:after="120"/>
    </w:pPr>
    <w:rPr>
      <w:rFonts w:eastAsia="Times New Roman"/>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tblBorders>
    </w:tblPr>
    <w:tblStylePr w:type="firstRow">
      <w:pPr>
        <w:spacing w:before="0" w:after="0" w:line="240" w:lineRule="auto"/>
      </w:pPr>
      <w:rPr>
        <w:b/>
        <w:bCs/>
        <w:color w:val="FFFFFF" w:themeColor="background1"/>
      </w:rPr>
      <w:tblPr/>
      <w:tcPr>
        <w:shd w:val="clear" w:color="auto" w:fill="97A926" w:themeFill="accent6"/>
      </w:tcPr>
    </w:tblStylePr>
    <w:tblStylePr w:type="lastRow">
      <w:pPr>
        <w:spacing w:before="0" w:after="0" w:line="240" w:lineRule="auto"/>
      </w:pPr>
      <w:rPr>
        <w:b/>
        <w:bCs/>
      </w:rPr>
      <w:tblPr/>
      <w:tcPr>
        <w:tcBorders>
          <w:top w:val="double" w:sz="6" w:space="0" w:color="97A926" w:themeColor="accent6"/>
          <w:left w:val="single" w:sz="8" w:space="0" w:color="97A926" w:themeColor="accent6"/>
          <w:bottom w:val="single" w:sz="8" w:space="0" w:color="97A926" w:themeColor="accent6"/>
          <w:right w:val="single" w:sz="8" w:space="0" w:color="97A926" w:themeColor="accent6"/>
        </w:tcBorders>
      </w:tcPr>
    </w:tblStylePr>
    <w:tblStylePr w:type="firstCol">
      <w:rPr>
        <w:b/>
        <w:bCs/>
      </w:rPr>
    </w:tblStylePr>
    <w:tblStylePr w:type="lastCol">
      <w:rPr>
        <w:b/>
        <w:bCs/>
      </w:rPr>
    </w:tblStylePr>
    <w:tblStylePr w:type="band1Vert">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tcPr>
    </w:tblStylePr>
    <w:tblStylePr w:type="band1Horz">
      <w:tblPr/>
      <w:tcPr>
        <w:tcBorders>
          <w:top w:val="single" w:sz="8" w:space="0" w:color="97A926" w:themeColor="accent6"/>
          <w:left w:val="single" w:sz="8" w:space="0" w:color="97A926" w:themeColor="accent6"/>
          <w:bottom w:val="single" w:sz="8" w:space="0" w:color="97A926" w:themeColor="accent6"/>
          <w:right w:val="single" w:sz="8" w:space="0" w:color="97A926" w:themeColor="accent6"/>
        </w:tcBorders>
      </w:tcPr>
    </w:tblStylePr>
  </w:style>
  <w:style w:type="table" w:styleId="LightShading">
    <w:name w:val="Light Shading"/>
    <w:basedOn w:val="TableNormal"/>
    <w:uiPriority w:val="60"/>
    <w:semiHidden/>
    <w:rsid w:val="002568BE"/>
    <w:pPr>
      <w:spacing w:after="120"/>
    </w:pPr>
    <w:rPr>
      <w:rFonts w:eastAsia="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2568BE"/>
    <w:pPr>
      <w:spacing w:after="120"/>
    </w:pPr>
    <w:rPr>
      <w:rFonts w:eastAsia="Times New Roman"/>
      <w:color w:val="2F3757" w:themeColor="accent1" w:themeShade="BF"/>
    </w:rPr>
    <w:tblPr>
      <w:tblStyleRowBandSize w:val="1"/>
      <w:tblStyleColBandSize w:val="1"/>
      <w:tblBorders>
        <w:top w:val="single" w:sz="8" w:space="0" w:color="3F4A75" w:themeColor="accent1"/>
        <w:bottom w:val="single" w:sz="8" w:space="0" w:color="3F4A75" w:themeColor="accent1"/>
      </w:tblBorders>
    </w:tblPr>
    <w:tblStylePr w:type="firstRow">
      <w:pPr>
        <w:spacing w:before="0" w:after="0" w:line="240" w:lineRule="auto"/>
      </w:pPr>
      <w:rPr>
        <w:b/>
        <w:bCs/>
      </w:rPr>
      <w:tblPr/>
      <w:tcPr>
        <w:tcBorders>
          <w:top w:val="single" w:sz="8" w:space="0" w:color="3F4A75" w:themeColor="accent1"/>
          <w:left w:val="nil"/>
          <w:bottom w:val="single" w:sz="8" w:space="0" w:color="3F4A75" w:themeColor="accent1"/>
          <w:right w:val="nil"/>
          <w:insideH w:val="nil"/>
          <w:insideV w:val="nil"/>
        </w:tcBorders>
      </w:tcPr>
    </w:tblStylePr>
    <w:tblStylePr w:type="lastRow">
      <w:pPr>
        <w:spacing w:before="0" w:after="0" w:line="240" w:lineRule="auto"/>
      </w:pPr>
      <w:rPr>
        <w:b/>
        <w:bCs/>
      </w:rPr>
      <w:tblPr/>
      <w:tcPr>
        <w:tcBorders>
          <w:top w:val="single" w:sz="8" w:space="0" w:color="3F4A75" w:themeColor="accent1"/>
          <w:left w:val="nil"/>
          <w:bottom w:val="single" w:sz="8" w:space="0" w:color="3F4A7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EE2" w:themeFill="accent1" w:themeFillTint="3F"/>
      </w:tcPr>
    </w:tblStylePr>
    <w:tblStylePr w:type="band1Horz">
      <w:tblPr/>
      <w:tcPr>
        <w:tcBorders>
          <w:left w:val="nil"/>
          <w:right w:val="nil"/>
          <w:insideH w:val="nil"/>
          <w:insideV w:val="nil"/>
        </w:tcBorders>
        <w:shd w:val="clear" w:color="auto" w:fill="C9CEE2" w:themeFill="accent1" w:themeFillTint="3F"/>
      </w:tcPr>
    </w:tblStylePr>
  </w:style>
  <w:style w:type="table" w:styleId="LightShading-Accent2">
    <w:name w:val="Light Shading Accent 2"/>
    <w:basedOn w:val="TableNormal"/>
    <w:uiPriority w:val="60"/>
    <w:semiHidden/>
    <w:rsid w:val="002568BE"/>
    <w:pPr>
      <w:spacing w:after="120"/>
    </w:pPr>
    <w:rPr>
      <w:rFonts w:eastAsia="Times New Roman"/>
      <w:color w:val="276066" w:themeColor="accent2" w:themeShade="BF"/>
    </w:rPr>
    <w:tblPr>
      <w:tblStyleRowBandSize w:val="1"/>
      <w:tblStyleColBandSize w:val="1"/>
      <w:tblBorders>
        <w:top w:val="single" w:sz="8" w:space="0" w:color="358189" w:themeColor="accent2"/>
        <w:bottom w:val="single" w:sz="8" w:space="0" w:color="358189" w:themeColor="accent2"/>
      </w:tblBorders>
    </w:tblPr>
    <w:tblStylePr w:type="firstRow">
      <w:pPr>
        <w:spacing w:before="0" w:after="0" w:line="240" w:lineRule="auto"/>
      </w:pPr>
      <w:rPr>
        <w:b/>
        <w:bCs/>
      </w:rPr>
      <w:tblPr/>
      <w:tcPr>
        <w:tcBorders>
          <w:top w:val="single" w:sz="8" w:space="0" w:color="358189" w:themeColor="accent2"/>
          <w:left w:val="nil"/>
          <w:bottom w:val="single" w:sz="8" w:space="0" w:color="358189" w:themeColor="accent2"/>
          <w:right w:val="nil"/>
          <w:insideH w:val="nil"/>
          <w:insideV w:val="nil"/>
        </w:tcBorders>
      </w:tcPr>
    </w:tblStylePr>
    <w:tblStylePr w:type="lastRow">
      <w:pPr>
        <w:spacing w:before="0" w:after="0" w:line="240" w:lineRule="auto"/>
      </w:pPr>
      <w:rPr>
        <w:b/>
        <w:bCs/>
      </w:rPr>
      <w:tblPr/>
      <w:tcPr>
        <w:tcBorders>
          <w:top w:val="single" w:sz="8" w:space="0" w:color="358189" w:themeColor="accent2"/>
          <w:left w:val="nil"/>
          <w:bottom w:val="single" w:sz="8" w:space="0" w:color="35818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E5E9" w:themeFill="accent2" w:themeFillTint="3F"/>
      </w:tcPr>
    </w:tblStylePr>
    <w:tblStylePr w:type="band1Horz">
      <w:tblPr/>
      <w:tcPr>
        <w:tcBorders>
          <w:left w:val="nil"/>
          <w:right w:val="nil"/>
          <w:insideH w:val="nil"/>
          <w:insideV w:val="nil"/>
        </w:tcBorders>
        <w:shd w:val="clear" w:color="auto" w:fill="C5E5E9" w:themeFill="accent2" w:themeFillTint="3F"/>
      </w:tcPr>
    </w:tblStylePr>
  </w:style>
  <w:style w:type="table" w:styleId="LightShading-Accent3">
    <w:name w:val="Light Shading Accent 3"/>
    <w:basedOn w:val="TableNormal"/>
    <w:uiPriority w:val="60"/>
    <w:semiHidden/>
    <w:rsid w:val="002568BE"/>
    <w:pPr>
      <w:spacing w:after="120"/>
    </w:pPr>
    <w:rPr>
      <w:rFonts w:eastAsia="Times New Roman"/>
      <w:color w:val="00598F" w:themeColor="accent3" w:themeShade="BF"/>
    </w:rPr>
    <w:tblPr>
      <w:tblStyleRowBandSize w:val="1"/>
      <w:tblStyleColBandSize w:val="1"/>
      <w:tblBorders>
        <w:top w:val="single" w:sz="8" w:space="0" w:color="0078BF" w:themeColor="accent3"/>
        <w:bottom w:val="single" w:sz="8" w:space="0" w:color="0078BF" w:themeColor="accent3"/>
      </w:tblBorders>
    </w:tblPr>
    <w:tblStylePr w:type="firstRow">
      <w:pPr>
        <w:spacing w:before="0" w:after="0" w:line="240" w:lineRule="auto"/>
      </w:pPr>
      <w:rPr>
        <w:b/>
        <w:bCs/>
      </w:rPr>
      <w:tblPr/>
      <w:tcPr>
        <w:tcBorders>
          <w:top w:val="single" w:sz="8" w:space="0" w:color="0078BF" w:themeColor="accent3"/>
          <w:left w:val="nil"/>
          <w:bottom w:val="single" w:sz="8" w:space="0" w:color="0078BF" w:themeColor="accent3"/>
          <w:right w:val="nil"/>
          <w:insideH w:val="nil"/>
          <w:insideV w:val="nil"/>
        </w:tcBorders>
      </w:tcPr>
    </w:tblStylePr>
    <w:tblStylePr w:type="lastRow">
      <w:pPr>
        <w:spacing w:before="0" w:after="0" w:line="240" w:lineRule="auto"/>
      </w:pPr>
      <w:rPr>
        <w:b/>
        <w:bCs/>
      </w:rPr>
      <w:tblPr/>
      <w:tcPr>
        <w:tcBorders>
          <w:top w:val="single" w:sz="8" w:space="0" w:color="0078BF" w:themeColor="accent3"/>
          <w:left w:val="nil"/>
          <w:bottom w:val="single" w:sz="8" w:space="0" w:color="0078B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E1FF" w:themeFill="accent3" w:themeFillTint="3F"/>
      </w:tcPr>
    </w:tblStylePr>
    <w:tblStylePr w:type="band1Horz">
      <w:tblPr/>
      <w:tcPr>
        <w:tcBorders>
          <w:left w:val="nil"/>
          <w:right w:val="nil"/>
          <w:insideH w:val="nil"/>
          <w:insideV w:val="nil"/>
        </w:tcBorders>
        <w:shd w:val="clear" w:color="auto" w:fill="B0E1FF" w:themeFill="accent3" w:themeFillTint="3F"/>
      </w:tcPr>
    </w:tblStylePr>
  </w:style>
  <w:style w:type="table" w:styleId="LightShading-Accent4">
    <w:name w:val="Light Shading Accent 4"/>
    <w:basedOn w:val="TableNormal"/>
    <w:uiPriority w:val="60"/>
    <w:semiHidden/>
    <w:rsid w:val="002568BE"/>
    <w:pPr>
      <w:spacing w:after="120"/>
    </w:pPr>
    <w:rPr>
      <w:rFonts w:eastAsia="Times New Roman"/>
      <w:color w:val="763952" w:themeColor="accent4" w:themeShade="BF"/>
    </w:rPr>
    <w:tblPr>
      <w:tblStyleRowBandSize w:val="1"/>
      <w:tblStyleColBandSize w:val="1"/>
      <w:tblBorders>
        <w:top w:val="single" w:sz="8" w:space="0" w:color="9E4C6E" w:themeColor="accent4"/>
        <w:bottom w:val="single" w:sz="8" w:space="0" w:color="9E4C6E" w:themeColor="accent4"/>
      </w:tblBorders>
    </w:tblPr>
    <w:tblStylePr w:type="firstRow">
      <w:pPr>
        <w:spacing w:before="0" w:after="0" w:line="240" w:lineRule="auto"/>
      </w:pPr>
      <w:rPr>
        <w:b/>
        <w:bCs/>
      </w:rPr>
      <w:tblPr/>
      <w:tcPr>
        <w:tcBorders>
          <w:top w:val="single" w:sz="8" w:space="0" w:color="9E4C6E" w:themeColor="accent4"/>
          <w:left w:val="nil"/>
          <w:bottom w:val="single" w:sz="8" w:space="0" w:color="9E4C6E" w:themeColor="accent4"/>
          <w:right w:val="nil"/>
          <w:insideH w:val="nil"/>
          <w:insideV w:val="nil"/>
        </w:tcBorders>
      </w:tcPr>
    </w:tblStylePr>
    <w:tblStylePr w:type="lastRow">
      <w:pPr>
        <w:spacing w:before="0" w:after="0" w:line="240" w:lineRule="auto"/>
      </w:pPr>
      <w:rPr>
        <w:b/>
        <w:bCs/>
      </w:rPr>
      <w:tblPr/>
      <w:tcPr>
        <w:tcBorders>
          <w:top w:val="single" w:sz="8" w:space="0" w:color="9E4C6E" w:themeColor="accent4"/>
          <w:left w:val="nil"/>
          <w:bottom w:val="single" w:sz="8" w:space="0" w:color="9E4C6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0DA" w:themeFill="accent4" w:themeFillTint="3F"/>
      </w:tcPr>
    </w:tblStylePr>
    <w:tblStylePr w:type="band1Horz">
      <w:tblPr/>
      <w:tcPr>
        <w:tcBorders>
          <w:left w:val="nil"/>
          <w:right w:val="nil"/>
          <w:insideH w:val="nil"/>
          <w:insideV w:val="nil"/>
        </w:tcBorders>
        <w:shd w:val="clear" w:color="auto" w:fill="E8D0DA" w:themeFill="accent4" w:themeFillTint="3F"/>
      </w:tcPr>
    </w:tblStylePr>
  </w:style>
  <w:style w:type="table" w:styleId="LightShading-Accent5">
    <w:name w:val="Light Shading Accent 5"/>
    <w:basedOn w:val="TableNormal"/>
    <w:uiPriority w:val="60"/>
    <w:semiHidden/>
    <w:rsid w:val="002568BE"/>
    <w:pPr>
      <w:spacing w:after="120"/>
    </w:pPr>
    <w:rPr>
      <w:rFonts w:eastAsia="Times New Roman"/>
      <w:color w:val="2A7187" w:themeColor="accent5" w:themeShade="BF"/>
    </w:rPr>
    <w:tblPr>
      <w:tblStyleRowBandSize w:val="1"/>
      <w:tblStyleColBandSize w:val="1"/>
      <w:tblBorders>
        <w:top w:val="single" w:sz="8" w:space="0" w:color="3998B5" w:themeColor="accent5"/>
        <w:bottom w:val="single" w:sz="8" w:space="0" w:color="3998B5" w:themeColor="accent5"/>
      </w:tblBorders>
    </w:tblPr>
    <w:tblStylePr w:type="firstRow">
      <w:pPr>
        <w:spacing w:before="0" w:after="0" w:line="240" w:lineRule="auto"/>
      </w:pPr>
      <w:rPr>
        <w:b/>
        <w:bCs/>
      </w:rPr>
      <w:tblPr/>
      <w:tcPr>
        <w:tcBorders>
          <w:top w:val="single" w:sz="8" w:space="0" w:color="3998B5" w:themeColor="accent5"/>
          <w:left w:val="nil"/>
          <w:bottom w:val="single" w:sz="8" w:space="0" w:color="3998B5" w:themeColor="accent5"/>
          <w:right w:val="nil"/>
          <w:insideH w:val="nil"/>
          <w:insideV w:val="nil"/>
        </w:tcBorders>
      </w:tcPr>
    </w:tblStylePr>
    <w:tblStylePr w:type="lastRow">
      <w:pPr>
        <w:spacing w:before="0" w:after="0" w:line="240" w:lineRule="auto"/>
      </w:pPr>
      <w:rPr>
        <w:b/>
        <w:bCs/>
      </w:rPr>
      <w:tblPr/>
      <w:tcPr>
        <w:tcBorders>
          <w:top w:val="single" w:sz="8" w:space="0" w:color="3998B5" w:themeColor="accent5"/>
          <w:left w:val="nil"/>
          <w:bottom w:val="single" w:sz="8" w:space="0" w:color="3998B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6EF" w:themeFill="accent5" w:themeFillTint="3F"/>
      </w:tcPr>
    </w:tblStylePr>
    <w:tblStylePr w:type="band1Horz">
      <w:tblPr/>
      <w:tcPr>
        <w:tcBorders>
          <w:left w:val="nil"/>
          <w:right w:val="nil"/>
          <w:insideH w:val="nil"/>
          <w:insideV w:val="nil"/>
        </w:tcBorders>
        <w:shd w:val="clear" w:color="auto" w:fill="CBE6EF" w:themeFill="accent5" w:themeFillTint="3F"/>
      </w:tcPr>
    </w:tblStylePr>
  </w:style>
  <w:style w:type="table" w:styleId="LightShading-Accent6">
    <w:name w:val="Light Shading Accent 6"/>
    <w:basedOn w:val="TableNormal"/>
    <w:uiPriority w:val="60"/>
    <w:semiHidden/>
    <w:rsid w:val="002568BE"/>
    <w:pPr>
      <w:spacing w:after="120"/>
    </w:pPr>
    <w:rPr>
      <w:rFonts w:eastAsia="Times New Roman"/>
      <w:color w:val="707E1C" w:themeColor="accent6" w:themeShade="BF"/>
    </w:rPr>
    <w:tblPr>
      <w:tblStyleRowBandSize w:val="1"/>
      <w:tblStyleColBandSize w:val="1"/>
      <w:tblBorders>
        <w:top w:val="single" w:sz="8" w:space="0" w:color="97A926" w:themeColor="accent6"/>
        <w:bottom w:val="single" w:sz="8" w:space="0" w:color="97A926" w:themeColor="accent6"/>
      </w:tblBorders>
    </w:tblPr>
    <w:tblStylePr w:type="firstRow">
      <w:pPr>
        <w:spacing w:before="0" w:after="0" w:line="240" w:lineRule="auto"/>
      </w:pPr>
      <w:rPr>
        <w:b/>
        <w:bCs/>
      </w:rPr>
      <w:tblPr/>
      <w:tcPr>
        <w:tcBorders>
          <w:top w:val="single" w:sz="8" w:space="0" w:color="97A926" w:themeColor="accent6"/>
          <w:left w:val="nil"/>
          <w:bottom w:val="single" w:sz="8" w:space="0" w:color="97A926" w:themeColor="accent6"/>
          <w:right w:val="nil"/>
          <w:insideH w:val="nil"/>
          <w:insideV w:val="nil"/>
        </w:tcBorders>
      </w:tcPr>
    </w:tblStylePr>
    <w:tblStylePr w:type="lastRow">
      <w:pPr>
        <w:spacing w:before="0" w:after="0" w:line="240" w:lineRule="auto"/>
      </w:pPr>
      <w:rPr>
        <w:b/>
        <w:bCs/>
      </w:rPr>
      <w:tblPr/>
      <w:tcPr>
        <w:tcBorders>
          <w:top w:val="single" w:sz="8" w:space="0" w:color="97A926" w:themeColor="accent6"/>
          <w:left w:val="nil"/>
          <w:bottom w:val="single" w:sz="8" w:space="0" w:color="97A92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F1C1" w:themeFill="accent6" w:themeFillTint="3F"/>
      </w:tcPr>
    </w:tblStylePr>
    <w:tblStylePr w:type="band1Horz">
      <w:tblPr/>
      <w:tcPr>
        <w:tcBorders>
          <w:left w:val="nil"/>
          <w:right w:val="nil"/>
          <w:insideH w:val="nil"/>
          <w:insideV w:val="nil"/>
        </w:tcBorders>
        <w:shd w:val="clear" w:color="auto" w:fill="EAF1C1" w:themeFill="accent6" w:themeFillTint="3F"/>
      </w:tcPr>
    </w:tblStylePr>
  </w:style>
  <w:style w:type="table" w:styleId="ListTable1Light">
    <w:name w:val="List Table 1 Light"/>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7E8AB9" w:themeColor="accent1" w:themeTint="99"/>
        </w:tcBorders>
      </w:tcPr>
    </w:tblStylePr>
    <w:tblStylePr w:type="lastRow">
      <w:rPr>
        <w:b/>
        <w:bCs/>
      </w:rPr>
      <w:tblPr/>
      <w:tcPr>
        <w:tcBorders>
          <w:top w:val="single" w:sz="4" w:space="0" w:color="7E8AB9" w:themeColor="accent1" w:themeTint="99"/>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1Light-Accent2">
    <w:name w:val="List Table 1 Light Accent 2"/>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74C1C9" w:themeColor="accent2" w:themeTint="99"/>
        </w:tcBorders>
      </w:tcPr>
    </w:tblStylePr>
    <w:tblStylePr w:type="lastRow">
      <w:rPr>
        <w:b/>
        <w:bCs/>
      </w:rPr>
      <w:tblPr/>
      <w:tcPr>
        <w:tcBorders>
          <w:top w:val="sing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1Light-Accent3">
    <w:name w:val="List Table 1 Light Accent 3"/>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3FB7FF" w:themeColor="accent3" w:themeTint="99"/>
        </w:tcBorders>
      </w:tcPr>
    </w:tblStylePr>
    <w:tblStylePr w:type="lastRow">
      <w:rPr>
        <w:b/>
        <w:bCs/>
      </w:rPr>
      <w:tblPr/>
      <w:tcPr>
        <w:tcBorders>
          <w:top w:val="sing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1Light-Accent4">
    <w:name w:val="List Table 1 Light Accent 4"/>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C98FA7" w:themeColor="accent4" w:themeTint="99"/>
        </w:tcBorders>
      </w:tcPr>
    </w:tblStylePr>
    <w:tblStylePr w:type="lastRow">
      <w:rPr>
        <w:b/>
        <w:bCs/>
      </w:rPr>
      <w:tblPr/>
      <w:tcPr>
        <w:tcBorders>
          <w:top w:val="single" w:sz="4" w:space="0" w:color="C98FA7" w:themeColor="accent4" w:themeTint="99"/>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1Light-Accent5">
    <w:name w:val="List Table 1 Light Accent 5"/>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82C3D8" w:themeColor="accent5" w:themeTint="99"/>
        </w:tcBorders>
      </w:tcPr>
    </w:tblStylePr>
    <w:tblStylePr w:type="lastRow">
      <w:rPr>
        <w:b/>
        <w:bCs/>
      </w:rPr>
      <w:tblPr/>
      <w:tcPr>
        <w:tcBorders>
          <w:top w:val="sing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1Light-Accent6">
    <w:name w:val="List Table 1 Light Accent 6"/>
    <w:basedOn w:val="TableNormal"/>
    <w:uiPriority w:val="46"/>
    <w:semiHidden/>
    <w:rsid w:val="002568BE"/>
    <w:pPr>
      <w:spacing w:after="120"/>
    </w:pPr>
    <w:rPr>
      <w:rFonts w:eastAsia="Times New Roman"/>
      <w:color w:val="000000" w:themeColor="text1"/>
    </w:rPr>
    <w:tblPr>
      <w:tblStyleRowBandSize w:val="1"/>
      <w:tblStyleColBandSize w:val="1"/>
    </w:tblPr>
    <w:tblStylePr w:type="firstRow">
      <w:rPr>
        <w:b/>
        <w:bCs/>
      </w:rPr>
      <w:tblPr/>
      <w:tcPr>
        <w:tcBorders>
          <w:bottom w:val="single" w:sz="4" w:space="0" w:color="CDDD6A" w:themeColor="accent6" w:themeTint="99"/>
        </w:tcBorders>
      </w:tcPr>
    </w:tblStylePr>
    <w:tblStylePr w:type="lastRow">
      <w:rPr>
        <w:b/>
        <w:bCs/>
      </w:rPr>
      <w:tblPr/>
      <w:tcPr>
        <w:tcBorders>
          <w:top w:val="single" w:sz="4" w:space="0" w:color="CDDD6A" w:themeColor="accent6" w:themeTint="99"/>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2">
    <w:name w:val="List Table 2"/>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bottom w:val="single" w:sz="4" w:space="0" w:color="7E8AB9" w:themeColor="accent1" w:themeTint="99"/>
        <w:insideH w:val="single" w:sz="4" w:space="0" w:color="7E8AB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2-Accent2">
    <w:name w:val="List Table 2 Accent 2"/>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bottom w:val="single" w:sz="4" w:space="0" w:color="74C1C9" w:themeColor="accent2" w:themeTint="99"/>
        <w:insideH w:val="single" w:sz="4" w:space="0" w:color="74C1C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2-Accent3">
    <w:name w:val="List Table 2 Accent 3"/>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bottom w:val="single" w:sz="4" w:space="0" w:color="3FB7FF" w:themeColor="accent3" w:themeTint="99"/>
        <w:insideH w:val="single" w:sz="4" w:space="0" w:color="3FB7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2-Accent4">
    <w:name w:val="List Table 2 Accent 4"/>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bottom w:val="single" w:sz="4" w:space="0" w:color="C98FA7" w:themeColor="accent4" w:themeTint="99"/>
        <w:insideH w:val="single" w:sz="4" w:space="0" w:color="C98FA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2-Accent5">
    <w:name w:val="List Table 2 Accent 5"/>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bottom w:val="single" w:sz="4" w:space="0" w:color="82C3D8" w:themeColor="accent5" w:themeTint="99"/>
        <w:insideH w:val="single" w:sz="4" w:space="0" w:color="82C3D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2-Accent6">
    <w:name w:val="List Table 2 Accent 6"/>
    <w:basedOn w:val="TableNormal"/>
    <w:uiPriority w:val="47"/>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bottom w:val="single" w:sz="4" w:space="0" w:color="CDDD6A" w:themeColor="accent6" w:themeTint="99"/>
        <w:insideH w:val="single" w:sz="4" w:space="0" w:color="CDDD6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3">
    <w:name w:val="List Table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F4A75" w:themeColor="accent1"/>
        <w:left w:val="single" w:sz="4" w:space="0" w:color="3F4A75" w:themeColor="accent1"/>
        <w:bottom w:val="single" w:sz="4" w:space="0" w:color="3F4A75" w:themeColor="accent1"/>
        <w:right w:val="single" w:sz="4" w:space="0" w:color="3F4A75" w:themeColor="accent1"/>
      </w:tblBorders>
    </w:tblPr>
    <w:tblStylePr w:type="firstRow">
      <w:rPr>
        <w:b/>
        <w:bCs/>
        <w:color w:val="FFFFFF" w:themeColor="background1"/>
      </w:rPr>
      <w:tblPr/>
      <w:tcPr>
        <w:shd w:val="clear" w:color="auto" w:fill="3F4A75" w:themeFill="accent1"/>
      </w:tcPr>
    </w:tblStylePr>
    <w:tblStylePr w:type="lastRow">
      <w:rPr>
        <w:b/>
        <w:bCs/>
      </w:rPr>
      <w:tblPr/>
      <w:tcPr>
        <w:tcBorders>
          <w:top w:val="double" w:sz="4" w:space="0" w:color="3F4A7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4A75" w:themeColor="accent1"/>
          <w:right w:val="single" w:sz="4" w:space="0" w:color="3F4A75" w:themeColor="accent1"/>
        </w:tcBorders>
      </w:tcPr>
    </w:tblStylePr>
    <w:tblStylePr w:type="band1Horz">
      <w:tblPr/>
      <w:tcPr>
        <w:tcBorders>
          <w:top w:val="single" w:sz="4" w:space="0" w:color="3F4A75" w:themeColor="accent1"/>
          <w:bottom w:val="single" w:sz="4" w:space="0" w:color="3F4A7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4A75" w:themeColor="accent1"/>
          <w:left w:val="nil"/>
        </w:tcBorders>
      </w:tcPr>
    </w:tblStylePr>
    <w:tblStylePr w:type="swCell">
      <w:tblPr/>
      <w:tcPr>
        <w:tcBorders>
          <w:top w:val="double" w:sz="4" w:space="0" w:color="3F4A75" w:themeColor="accent1"/>
          <w:right w:val="nil"/>
        </w:tcBorders>
      </w:tcPr>
    </w:tblStylePr>
  </w:style>
  <w:style w:type="table" w:styleId="ListTable3-Accent2">
    <w:name w:val="List Table 3 Accent 2"/>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358189" w:themeColor="accent2"/>
        <w:left w:val="single" w:sz="4" w:space="0" w:color="358189" w:themeColor="accent2"/>
        <w:bottom w:val="single" w:sz="4" w:space="0" w:color="358189" w:themeColor="accent2"/>
        <w:right w:val="single" w:sz="4" w:space="0" w:color="358189" w:themeColor="accent2"/>
      </w:tblBorders>
    </w:tblPr>
    <w:tblStylePr w:type="firstRow">
      <w:rPr>
        <w:b/>
        <w:bCs/>
        <w:color w:val="FFFFFF" w:themeColor="background1"/>
      </w:rPr>
      <w:tblPr/>
      <w:tcPr>
        <w:shd w:val="clear" w:color="auto" w:fill="358189" w:themeFill="accent2"/>
      </w:tcPr>
    </w:tblStylePr>
    <w:tblStylePr w:type="lastRow">
      <w:rPr>
        <w:b/>
        <w:bCs/>
      </w:rPr>
      <w:tblPr/>
      <w:tcPr>
        <w:tcBorders>
          <w:top w:val="double" w:sz="4" w:space="0" w:color="35818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58189" w:themeColor="accent2"/>
          <w:right w:val="single" w:sz="4" w:space="0" w:color="358189" w:themeColor="accent2"/>
        </w:tcBorders>
      </w:tcPr>
    </w:tblStylePr>
    <w:tblStylePr w:type="band1Horz">
      <w:tblPr/>
      <w:tcPr>
        <w:tcBorders>
          <w:top w:val="single" w:sz="4" w:space="0" w:color="358189" w:themeColor="accent2"/>
          <w:bottom w:val="single" w:sz="4" w:space="0" w:color="35818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58189" w:themeColor="accent2"/>
          <w:left w:val="nil"/>
        </w:tcBorders>
      </w:tcPr>
    </w:tblStylePr>
    <w:tblStylePr w:type="swCell">
      <w:tblPr/>
      <w:tcPr>
        <w:tcBorders>
          <w:top w:val="double" w:sz="4" w:space="0" w:color="358189" w:themeColor="accent2"/>
          <w:right w:val="nil"/>
        </w:tcBorders>
      </w:tcPr>
    </w:tblStylePr>
  </w:style>
  <w:style w:type="table" w:styleId="ListTable3-Accent3">
    <w:name w:val="List Table 3 Accent 3"/>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0078BF" w:themeColor="accent3"/>
        <w:left w:val="single" w:sz="4" w:space="0" w:color="0078BF" w:themeColor="accent3"/>
        <w:bottom w:val="single" w:sz="4" w:space="0" w:color="0078BF" w:themeColor="accent3"/>
        <w:right w:val="single" w:sz="4" w:space="0" w:color="0078BF" w:themeColor="accent3"/>
      </w:tblBorders>
    </w:tblPr>
    <w:tblStylePr w:type="firstRow">
      <w:rPr>
        <w:b/>
        <w:bCs/>
        <w:color w:val="FFFFFF" w:themeColor="background1"/>
      </w:rPr>
      <w:tblPr/>
      <w:tcPr>
        <w:shd w:val="clear" w:color="auto" w:fill="0078BF" w:themeFill="accent3"/>
      </w:tcPr>
    </w:tblStylePr>
    <w:tblStylePr w:type="lastRow">
      <w:rPr>
        <w:b/>
        <w:bCs/>
      </w:rPr>
      <w:tblPr/>
      <w:tcPr>
        <w:tcBorders>
          <w:top w:val="double" w:sz="4" w:space="0" w:color="0078B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8BF" w:themeColor="accent3"/>
          <w:right w:val="single" w:sz="4" w:space="0" w:color="0078BF" w:themeColor="accent3"/>
        </w:tcBorders>
      </w:tcPr>
    </w:tblStylePr>
    <w:tblStylePr w:type="band1Horz">
      <w:tblPr/>
      <w:tcPr>
        <w:tcBorders>
          <w:top w:val="single" w:sz="4" w:space="0" w:color="0078BF" w:themeColor="accent3"/>
          <w:bottom w:val="single" w:sz="4" w:space="0" w:color="0078B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8BF" w:themeColor="accent3"/>
          <w:left w:val="nil"/>
        </w:tcBorders>
      </w:tcPr>
    </w:tblStylePr>
    <w:tblStylePr w:type="swCell">
      <w:tblPr/>
      <w:tcPr>
        <w:tcBorders>
          <w:top w:val="double" w:sz="4" w:space="0" w:color="0078BF" w:themeColor="accent3"/>
          <w:right w:val="nil"/>
        </w:tcBorders>
      </w:tcPr>
    </w:tblStylePr>
  </w:style>
  <w:style w:type="table" w:styleId="ListTable3-Accent4">
    <w:name w:val="List Table 3 Accent 4"/>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9E4C6E" w:themeColor="accent4"/>
        <w:left w:val="single" w:sz="4" w:space="0" w:color="9E4C6E" w:themeColor="accent4"/>
        <w:bottom w:val="single" w:sz="4" w:space="0" w:color="9E4C6E" w:themeColor="accent4"/>
        <w:right w:val="single" w:sz="4" w:space="0" w:color="9E4C6E" w:themeColor="accent4"/>
      </w:tblBorders>
    </w:tblPr>
    <w:tblStylePr w:type="firstRow">
      <w:rPr>
        <w:b/>
        <w:bCs/>
        <w:color w:val="FFFFFF" w:themeColor="background1"/>
      </w:rPr>
      <w:tblPr/>
      <w:tcPr>
        <w:shd w:val="clear" w:color="auto" w:fill="9E4C6E" w:themeFill="accent4"/>
      </w:tcPr>
    </w:tblStylePr>
    <w:tblStylePr w:type="lastRow">
      <w:rPr>
        <w:b/>
        <w:bCs/>
      </w:rPr>
      <w:tblPr/>
      <w:tcPr>
        <w:tcBorders>
          <w:top w:val="double" w:sz="4" w:space="0" w:color="9E4C6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E4C6E" w:themeColor="accent4"/>
          <w:right w:val="single" w:sz="4" w:space="0" w:color="9E4C6E" w:themeColor="accent4"/>
        </w:tcBorders>
      </w:tcPr>
    </w:tblStylePr>
    <w:tblStylePr w:type="band1Horz">
      <w:tblPr/>
      <w:tcPr>
        <w:tcBorders>
          <w:top w:val="single" w:sz="4" w:space="0" w:color="9E4C6E" w:themeColor="accent4"/>
          <w:bottom w:val="single" w:sz="4" w:space="0" w:color="9E4C6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E4C6E" w:themeColor="accent4"/>
          <w:left w:val="nil"/>
        </w:tcBorders>
      </w:tcPr>
    </w:tblStylePr>
    <w:tblStylePr w:type="swCell">
      <w:tblPr/>
      <w:tcPr>
        <w:tcBorders>
          <w:top w:val="double" w:sz="4" w:space="0" w:color="9E4C6E" w:themeColor="accent4"/>
          <w:right w:val="nil"/>
        </w:tcBorders>
      </w:tcPr>
    </w:tblStylePr>
  </w:style>
  <w:style w:type="table" w:styleId="ListTable3-Accent6">
    <w:name w:val="List Table 3 Accent 6"/>
    <w:basedOn w:val="TableNormal"/>
    <w:uiPriority w:val="48"/>
    <w:semiHidden/>
    <w:rsid w:val="002568BE"/>
    <w:pPr>
      <w:spacing w:after="120"/>
    </w:pPr>
    <w:rPr>
      <w:rFonts w:eastAsia="Times New Roman"/>
      <w:color w:val="000000" w:themeColor="text1"/>
    </w:rPr>
    <w:tblPr>
      <w:tblStyleRowBandSize w:val="1"/>
      <w:tblStyleColBandSize w:val="1"/>
      <w:tblBorders>
        <w:top w:val="single" w:sz="4" w:space="0" w:color="97A926" w:themeColor="accent6"/>
        <w:left w:val="single" w:sz="4" w:space="0" w:color="97A926" w:themeColor="accent6"/>
        <w:bottom w:val="single" w:sz="4" w:space="0" w:color="97A926" w:themeColor="accent6"/>
        <w:right w:val="single" w:sz="4" w:space="0" w:color="97A926" w:themeColor="accent6"/>
      </w:tblBorders>
    </w:tblPr>
    <w:tblStylePr w:type="firstRow">
      <w:rPr>
        <w:b/>
        <w:bCs/>
        <w:color w:val="FFFFFF" w:themeColor="background1"/>
      </w:rPr>
      <w:tblPr/>
      <w:tcPr>
        <w:shd w:val="clear" w:color="auto" w:fill="97A926" w:themeFill="accent6"/>
      </w:tcPr>
    </w:tblStylePr>
    <w:tblStylePr w:type="lastRow">
      <w:rPr>
        <w:b/>
        <w:bCs/>
      </w:rPr>
      <w:tblPr/>
      <w:tcPr>
        <w:tcBorders>
          <w:top w:val="double" w:sz="4" w:space="0" w:color="97A92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A926" w:themeColor="accent6"/>
          <w:right w:val="single" w:sz="4" w:space="0" w:color="97A926" w:themeColor="accent6"/>
        </w:tcBorders>
      </w:tcPr>
    </w:tblStylePr>
    <w:tblStylePr w:type="band1Horz">
      <w:tblPr/>
      <w:tcPr>
        <w:tcBorders>
          <w:top w:val="single" w:sz="4" w:space="0" w:color="97A926" w:themeColor="accent6"/>
          <w:bottom w:val="single" w:sz="4" w:space="0" w:color="97A92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A926" w:themeColor="accent6"/>
          <w:left w:val="nil"/>
        </w:tcBorders>
      </w:tcPr>
    </w:tblStylePr>
    <w:tblStylePr w:type="swCell">
      <w:tblPr/>
      <w:tcPr>
        <w:tcBorders>
          <w:top w:val="double" w:sz="4" w:space="0" w:color="97A926" w:themeColor="accent6"/>
          <w:right w:val="nil"/>
        </w:tcBorders>
      </w:tcPr>
    </w:tblStylePr>
  </w:style>
  <w:style w:type="table" w:styleId="ListTable4">
    <w:name w:val="List Table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E8AB9" w:themeColor="accent1" w:themeTint="99"/>
        <w:left w:val="single" w:sz="4" w:space="0" w:color="7E8AB9" w:themeColor="accent1" w:themeTint="99"/>
        <w:bottom w:val="single" w:sz="4" w:space="0" w:color="7E8AB9" w:themeColor="accent1" w:themeTint="99"/>
        <w:right w:val="single" w:sz="4" w:space="0" w:color="7E8AB9" w:themeColor="accent1" w:themeTint="99"/>
        <w:insideH w:val="single" w:sz="4" w:space="0" w:color="7E8AB9" w:themeColor="accent1" w:themeTint="99"/>
      </w:tblBorders>
    </w:tblPr>
    <w:tblStylePr w:type="firstRow">
      <w:rPr>
        <w:b/>
        <w:bCs/>
        <w:color w:val="FFFFFF" w:themeColor="background1"/>
      </w:rPr>
      <w:tblPr/>
      <w:tcPr>
        <w:tcBorders>
          <w:top w:val="single" w:sz="4" w:space="0" w:color="3F4A75" w:themeColor="accent1"/>
          <w:left w:val="single" w:sz="4" w:space="0" w:color="3F4A75" w:themeColor="accent1"/>
          <w:bottom w:val="single" w:sz="4" w:space="0" w:color="3F4A75" w:themeColor="accent1"/>
          <w:right w:val="single" w:sz="4" w:space="0" w:color="3F4A75" w:themeColor="accent1"/>
          <w:insideH w:val="nil"/>
        </w:tcBorders>
        <w:shd w:val="clear" w:color="auto" w:fill="3F4A75" w:themeFill="accent1"/>
      </w:tcPr>
    </w:tblStylePr>
    <w:tblStylePr w:type="lastRow">
      <w:rPr>
        <w:b/>
        <w:bCs/>
      </w:rPr>
      <w:tblPr/>
      <w:tcPr>
        <w:tcBorders>
          <w:top w:val="double" w:sz="4" w:space="0" w:color="7E8AB9" w:themeColor="accent1" w:themeTint="99"/>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4-Accent2">
    <w:name w:val="List Table 4 Accent 2"/>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tcBorders>
        <w:shd w:val="clear" w:color="auto" w:fill="358189" w:themeFill="accent2"/>
      </w:tcPr>
    </w:tblStylePr>
    <w:tblStylePr w:type="lastRow">
      <w:rPr>
        <w:b/>
        <w:bCs/>
      </w:rPr>
      <w:tblPr/>
      <w:tcPr>
        <w:tcBorders>
          <w:top w:val="double" w:sz="4" w:space="0" w:color="74C1C9" w:themeColor="accent2" w:themeTint="99"/>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4-Accent3">
    <w:name w:val="List Table 4 Accent 3"/>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3FB7FF" w:themeColor="accent3" w:themeTint="99"/>
        <w:left w:val="single" w:sz="4" w:space="0" w:color="3FB7FF" w:themeColor="accent3" w:themeTint="99"/>
        <w:bottom w:val="single" w:sz="4" w:space="0" w:color="3FB7FF" w:themeColor="accent3" w:themeTint="99"/>
        <w:right w:val="single" w:sz="4" w:space="0" w:color="3FB7FF" w:themeColor="accent3" w:themeTint="99"/>
        <w:insideH w:val="single" w:sz="4" w:space="0" w:color="3FB7FF" w:themeColor="accent3" w:themeTint="99"/>
      </w:tblBorders>
    </w:tblPr>
    <w:tblStylePr w:type="firstRow">
      <w:rPr>
        <w:b/>
        <w:bCs/>
        <w:color w:val="FFFFFF" w:themeColor="background1"/>
      </w:rPr>
      <w:tblPr/>
      <w:tcPr>
        <w:tcBorders>
          <w:top w:val="single" w:sz="4" w:space="0" w:color="0078BF" w:themeColor="accent3"/>
          <w:left w:val="single" w:sz="4" w:space="0" w:color="0078BF" w:themeColor="accent3"/>
          <w:bottom w:val="single" w:sz="4" w:space="0" w:color="0078BF" w:themeColor="accent3"/>
          <w:right w:val="single" w:sz="4" w:space="0" w:color="0078BF" w:themeColor="accent3"/>
          <w:insideH w:val="nil"/>
        </w:tcBorders>
        <w:shd w:val="clear" w:color="auto" w:fill="0078BF" w:themeFill="accent3"/>
      </w:tcPr>
    </w:tblStylePr>
    <w:tblStylePr w:type="lastRow">
      <w:rPr>
        <w:b/>
        <w:bCs/>
      </w:rPr>
      <w:tblPr/>
      <w:tcPr>
        <w:tcBorders>
          <w:top w:val="double" w:sz="4" w:space="0" w:color="3FB7FF" w:themeColor="accent3" w:themeTint="99"/>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4-Accent4">
    <w:name w:val="List Table 4 Accent 4"/>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98FA7" w:themeColor="accent4" w:themeTint="99"/>
        <w:left w:val="single" w:sz="4" w:space="0" w:color="C98FA7" w:themeColor="accent4" w:themeTint="99"/>
        <w:bottom w:val="single" w:sz="4" w:space="0" w:color="C98FA7" w:themeColor="accent4" w:themeTint="99"/>
        <w:right w:val="single" w:sz="4" w:space="0" w:color="C98FA7" w:themeColor="accent4" w:themeTint="99"/>
        <w:insideH w:val="single" w:sz="4" w:space="0" w:color="C98FA7" w:themeColor="accent4" w:themeTint="99"/>
      </w:tblBorders>
    </w:tblPr>
    <w:tblStylePr w:type="firstRow">
      <w:rPr>
        <w:b/>
        <w:bCs/>
        <w:color w:val="FFFFFF" w:themeColor="background1"/>
      </w:rPr>
      <w:tblPr/>
      <w:tcPr>
        <w:tcBorders>
          <w:top w:val="single" w:sz="4" w:space="0" w:color="9E4C6E" w:themeColor="accent4"/>
          <w:left w:val="single" w:sz="4" w:space="0" w:color="9E4C6E" w:themeColor="accent4"/>
          <w:bottom w:val="single" w:sz="4" w:space="0" w:color="9E4C6E" w:themeColor="accent4"/>
          <w:right w:val="single" w:sz="4" w:space="0" w:color="9E4C6E" w:themeColor="accent4"/>
          <w:insideH w:val="nil"/>
        </w:tcBorders>
        <w:shd w:val="clear" w:color="auto" w:fill="9E4C6E" w:themeFill="accent4"/>
      </w:tcPr>
    </w:tblStylePr>
    <w:tblStylePr w:type="lastRow">
      <w:rPr>
        <w:b/>
        <w:bCs/>
      </w:rPr>
      <w:tblPr/>
      <w:tcPr>
        <w:tcBorders>
          <w:top w:val="double" w:sz="4" w:space="0" w:color="C98FA7" w:themeColor="accent4" w:themeTint="99"/>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4-Accent5">
    <w:name w:val="List Table 4 Accent 5"/>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82C3D8" w:themeColor="accent5" w:themeTint="99"/>
        <w:left w:val="single" w:sz="4" w:space="0" w:color="82C3D8" w:themeColor="accent5" w:themeTint="99"/>
        <w:bottom w:val="single" w:sz="4" w:space="0" w:color="82C3D8" w:themeColor="accent5" w:themeTint="99"/>
        <w:right w:val="single" w:sz="4" w:space="0" w:color="82C3D8" w:themeColor="accent5" w:themeTint="99"/>
        <w:insideH w:val="single" w:sz="4" w:space="0" w:color="82C3D8" w:themeColor="accent5" w:themeTint="99"/>
      </w:tblBorders>
    </w:tblPr>
    <w:tblStylePr w:type="firstRow">
      <w:rPr>
        <w:b/>
        <w:bCs/>
        <w:color w:val="FFFFFF" w:themeColor="background1"/>
      </w:rPr>
      <w:tblPr/>
      <w:tcPr>
        <w:tcBorders>
          <w:top w:val="single" w:sz="4" w:space="0" w:color="3998B5" w:themeColor="accent5"/>
          <w:left w:val="single" w:sz="4" w:space="0" w:color="3998B5" w:themeColor="accent5"/>
          <w:bottom w:val="single" w:sz="4" w:space="0" w:color="3998B5" w:themeColor="accent5"/>
          <w:right w:val="single" w:sz="4" w:space="0" w:color="3998B5" w:themeColor="accent5"/>
          <w:insideH w:val="nil"/>
        </w:tcBorders>
        <w:shd w:val="clear" w:color="auto" w:fill="3998B5" w:themeFill="accent5"/>
      </w:tcPr>
    </w:tblStylePr>
    <w:tblStylePr w:type="lastRow">
      <w:rPr>
        <w:b/>
        <w:bCs/>
      </w:rPr>
      <w:tblPr/>
      <w:tcPr>
        <w:tcBorders>
          <w:top w:val="double" w:sz="4" w:space="0" w:color="82C3D8" w:themeColor="accent5" w:themeTint="99"/>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4-Accent6">
    <w:name w:val="List Table 4 Accent 6"/>
    <w:basedOn w:val="TableNormal"/>
    <w:uiPriority w:val="49"/>
    <w:semiHidden/>
    <w:rsid w:val="002568BE"/>
    <w:pPr>
      <w:spacing w:after="120"/>
    </w:pPr>
    <w:rPr>
      <w:rFonts w:eastAsia="Times New Roman"/>
      <w:color w:val="000000" w:themeColor="text1"/>
    </w:rPr>
    <w:tblPr>
      <w:tblStyleRowBandSize w:val="1"/>
      <w:tblStyleColBandSize w:val="1"/>
      <w:tblBorders>
        <w:top w:val="single" w:sz="4" w:space="0" w:color="CDDD6A" w:themeColor="accent6" w:themeTint="99"/>
        <w:left w:val="single" w:sz="4" w:space="0" w:color="CDDD6A" w:themeColor="accent6" w:themeTint="99"/>
        <w:bottom w:val="single" w:sz="4" w:space="0" w:color="CDDD6A" w:themeColor="accent6" w:themeTint="99"/>
        <w:right w:val="single" w:sz="4" w:space="0" w:color="CDDD6A" w:themeColor="accent6" w:themeTint="99"/>
        <w:insideH w:val="single" w:sz="4" w:space="0" w:color="CDDD6A" w:themeColor="accent6" w:themeTint="99"/>
      </w:tblBorders>
    </w:tblPr>
    <w:tblStylePr w:type="firstRow">
      <w:rPr>
        <w:b/>
        <w:bCs/>
        <w:color w:val="FFFFFF" w:themeColor="background1"/>
      </w:rPr>
      <w:tblPr/>
      <w:tcPr>
        <w:tcBorders>
          <w:top w:val="single" w:sz="4" w:space="0" w:color="97A926" w:themeColor="accent6"/>
          <w:left w:val="single" w:sz="4" w:space="0" w:color="97A926" w:themeColor="accent6"/>
          <w:bottom w:val="single" w:sz="4" w:space="0" w:color="97A926" w:themeColor="accent6"/>
          <w:right w:val="single" w:sz="4" w:space="0" w:color="97A926" w:themeColor="accent6"/>
          <w:insideH w:val="nil"/>
        </w:tcBorders>
        <w:shd w:val="clear" w:color="auto" w:fill="97A926" w:themeFill="accent6"/>
      </w:tcPr>
    </w:tblStylePr>
    <w:tblStylePr w:type="lastRow">
      <w:rPr>
        <w:b/>
        <w:bCs/>
      </w:rPr>
      <w:tblPr/>
      <w:tcPr>
        <w:tcBorders>
          <w:top w:val="double" w:sz="4" w:space="0" w:color="CDDD6A" w:themeColor="accent6" w:themeTint="99"/>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5Dark">
    <w:name w:val="List Table 5 Dark"/>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3F4A75" w:themeColor="accent1"/>
        <w:left w:val="single" w:sz="24" w:space="0" w:color="3F4A75" w:themeColor="accent1"/>
        <w:bottom w:val="single" w:sz="24" w:space="0" w:color="3F4A75" w:themeColor="accent1"/>
        <w:right w:val="single" w:sz="24" w:space="0" w:color="3F4A75" w:themeColor="accent1"/>
      </w:tblBorders>
    </w:tblPr>
    <w:tcPr>
      <w:shd w:val="clear" w:color="auto" w:fill="3F4A7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358189" w:themeColor="accent2"/>
        <w:left w:val="single" w:sz="24" w:space="0" w:color="358189" w:themeColor="accent2"/>
        <w:bottom w:val="single" w:sz="24" w:space="0" w:color="358189" w:themeColor="accent2"/>
        <w:right w:val="single" w:sz="24" w:space="0" w:color="358189" w:themeColor="accent2"/>
      </w:tblBorders>
    </w:tblPr>
    <w:tcPr>
      <w:shd w:val="clear" w:color="auto" w:fill="35818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0078BF" w:themeColor="accent3"/>
        <w:left w:val="single" w:sz="24" w:space="0" w:color="0078BF" w:themeColor="accent3"/>
        <w:bottom w:val="single" w:sz="24" w:space="0" w:color="0078BF" w:themeColor="accent3"/>
        <w:right w:val="single" w:sz="24" w:space="0" w:color="0078BF" w:themeColor="accent3"/>
      </w:tblBorders>
    </w:tblPr>
    <w:tcPr>
      <w:shd w:val="clear" w:color="auto" w:fill="0078B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9E4C6E" w:themeColor="accent4"/>
        <w:left w:val="single" w:sz="24" w:space="0" w:color="9E4C6E" w:themeColor="accent4"/>
        <w:bottom w:val="single" w:sz="24" w:space="0" w:color="9E4C6E" w:themeColor="accent4"/>
        <w:right w:val="single" w:sz="24" w:space="0" w:color="9E4C6E" w:themeColor="accent4"/>
      </w:tblBorders>
    </w:tblPr>
    <w:tcPr>
      <w:shd w:val="clear" w:color="auto" w:fill="9E4C6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3998B5" w:themeColor="accent5"/>
        <w:left w:val="single" w:sz="24" w:space="0" w:color="3998B5" w:themeColor="accent5"/>
        <w:bottom w:val="single" w:sz="24" w:space="0" w:color="3998B5" w:themeColor="accent5"/>
        <w:right w:val="single" w:sz="24" w:space="0" w:color="3998B5" w:themeColor="accent5"/>
      </w:tblBorders>
    </w:tblPr>
    <w:tcPr>
      <w:shd w:val="clear" w:color="auto" w:fill="3998B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2568BE"/>
    <w:pPr>
      <w:spacing w:after="120"/>
    </w:pPr>
    <w:rPr>
      <w:rFonts w:eastAsia="Times New Roman"/>
      <w:color w:val="FFFFFF" w:themeColor="background1"/>
    </w:rPr>
    <w:tblPr>
      <w:tblStyleRowBandSize w:val="1"/>
      <w:tblStyleColBandSize w:val="1"/>
      <w:tblBorders>
        <w:top w:val="single" w:sz="24" w:space="0" w:color="97A926" w:themeColor="accent6"/>
        <w:left w:val="single" w:sz="24" w:space="0" w:color="97A926" w:themeColor="accent6"/>
        <w:bottom w:val="single" w:sz="24" w:space="0" w:color="97A926" w:themeColor="accent6"/>
        <w:right w:val="single" w:sz="24" w:space="0" w:color="97A926" w:themeColor="accent6"/>
      </w:tblBorders>
    </w:tblPr>
    <w:tcPr>
      <w:shd w:val="clear" w:color="auto" w:fill="97A92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2568BE"/>
    <w:pPr>
      <w:spacing w:after="120"/>
    </w:pPr>
    <w:rPr>
      <w:rFonts w:eastAsia="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2568BE"/>
    <w:pPr>
      <w:spacing w:after="120"/>
    </w:pPr>
    <w:rPr>
      <w:rFonts w:eastAsia="Times New Roman"/>
      <w:color w:val="2F3757" w:themeColor="accent1" w:themeShade="BF"/>
    </w:rPr>
    <w:tblPr>
      <w:tblStyleRowBandSize w:val="1"/>
      <w:tblStyleColBandSize w:val="1"/>
      <w:tblBorders>
        <w:top w:val="single" w:sz="4" w:space="0" w:color="3F4A75" w:themeColor="accent1"/>
        <w:bottom w:val="single" w:sz="4" w:space="0" w:color="3F4A75" w:themeColor="accent1"/>
      </w:tblBorders>
    </w:tblPr>
    <w:tblStylePr w:type="firstRow">
      <w:rPr>
        <w:b/>
        <w:bCs/>
      </w:rPr>
      <w:tblPr/>
      <w:tcPr>
        <w:tcBorders>
          <w:bottom w:val="single" w:sz="4" w:space="0" w:color="3F4A75" w:themeColor="accent1"/>
        </w:tcBorders>
      </w:tcPr>
    </w:tblStylePr>
    <w:tblStylePr w:type="lastRow">
      <w:rPr>
        <w:b/>
        <w:bCs/>
      </w:rPr>
      <w:tblPr/>
      <w:tcPr>
        <w:tcBorders>
          <w:top w:val="double" w:sz="4" w:space="0" w:color="3F4A75" w:themeColor="accent1"/>
        </w:tcBorders>
      </w:tcPr>
    </w:tblStylePr>
    <w:tblStylePr w:type="firstCol">
      <w:rPr>
        <w:b/>
        <w:bCs/>
      </w:rPr>
    </w:tblStylePr>
    <w:tblStylePr w:type="lastCol">
      <w:rPr>
        <w:b/>
        <w:bCs/>
      </w:rPr>
    </w:tblStylePr>
    <w:tblStylePr w:type="band1Vert">
      <w:tblPr/>
      <w:tcPr>
        <w:shd w:val="clear" w:color="auto" w:fill="D4D8E8" w:themeFill="accent1" w:themeFillTint="33"/>
      </w:tcPr>
    </w:tblStylePr>
    <w:tblStylePr w:type="band1Horz">
      <w:tblPr/>
      <w:tcPr>
        <w:shd w:val="clear" w:color="auto" w:fill="D4D8E8" w:themeFill="accent1" w:themeFillTint="33"/>
      </w:tcPr>
    </w:tblStylePr>
  </w:style>
  <w:style w:type="table" w:styleId="ListTable6ColourfulAccent2">
    <w:name w:val="List Table 6 Colorful Accent 2"/>
    <w:basedOn w:val="TableNormal"/>
    <w:uiPriority w:val="51"/>
    <w:semiHidden/>
    <w:rsid w:val="002568BE"/>
    <w:pPr>
      <w:spacing w:after="120"/>
    </w:pPr>
    <w:rPr>
      <w:rFonts w:eastAsia="Times New Roman"/>
      <w:color w:val="276066" w:themeColor="accent2" w:themeShade="BF"/>
    </w:rPr>
    <w:tblPr>
      <w:tblStyleRowBandSize w:val="1"/>
      <w:tblStyleColBandSize w:val="1"/>
      <w:tblBorders>
        <w:top w:val="single" w:sz="4" w:space="0" w:color="358189" w:themeColor="accent2"/>
        <w:bottom w:val="single" w:sz="4" w:space="0" w:color="358189" w:themeColor="accent2"/>
      </w:tblBorders>
    </w:tblPr>
    <w:tblStylePr w:type="firstRow">
      <w:rPr>
        <w:b/>
        <w:bCs/>
      </w:rPr>
      <w:tblPr/>
      <w:tcPr>
        <w:tcBorders>
          <w:bottom w:val="single" w:sz="4" w:space="0" w:color="358189" w:themeColor="accent2"/>
        </w:tcBorders>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table" w:styleId="ListTable6ColourfulAccent3">
    <w:name w:val="List Table 6 Colorful Accent 3"/>
    <w:basedOn w:val="TableNormal"/>
    <w:uiPriority w:val="51"/>
    <w:semiHidden/>
    <w:rsid w:val="002568BE"/>
    <w:pPr>
      <w:spacing w:after="120"/>
    </w:pPr>
    <w:rPr>
      <w:rFonts w:eastAsia="Times New Roman"/>
      <w:color w:val="00598F" w:themeColor="accent3" w:themeShade="BF"/>
    </w:rPr>
    <w:tblPr>
      <w:tblStyleRowBandSize w:val="1"/>
      <w:tblStyleColBandSize w:val="1"/>
      <w:tblBorders>
        <w:top w:val="single" w:sz="4" w:space="0" w:color="0078BF" w:themeColor="accent3"/>
        <w:bottom w:val="single" w:sz="4" w:space="0" w:color="0078BF" w:themeColor="accent3"/>
      </w:tblBorders>
    </w:tblPr>
    <w:tblStylePr w:type="firstRow">
      <w:rPr>
        <w:b/>
        <w:bCs/>
      </w:rPr>
      <w:tblPr/>
      <w:tcPr>
        <w:tcBorders>
          <w:bottom w:val="single" w:sz="4" w:space="0" w:color="0078BF" w:themeColor="accent3"/>
        </w:tcBorders>
      </w:tcPr>
    </w:tblStylePr>
    <w:tblStylePr w:type="lastRow">
      <w:rPr>
        <w:b/>
        <w:bCs/>
      </w:rPr>
      <w:tblPr/>
      <w:tcPr>
        <w:tcBorders>
          <w:top w:val="double" w:sz="4" w:space="0" w:color="0078BF" w:themeColor="accent3"/>
        </w:tcBorders>
      </w:tcPr>
    </w:tblStylePr>
    <w:tblStylePr w:type="firstCol">
      <w:rPr>
        <w:b/>
        <w:bCs/>
      </w:rPr>
    </w:tblStylePr>
    <w:tblStylePr w:type="lastCol">
      <w:rPr>
        <w:b/>
        <w:bCs/>
      </w:rPr>
    </w:tblStylePr>
    <w:tblStylePr w:type="band1Vert">
      <w:tblPr/>
      <w:tcPr>
        <w:shd w:val="clear" w:color="auto" w:fill="BFE7FF" w:themeFill="accent3" w:themeFillTint="33"/>
      </w:tcPr>
    </w:tblStylePr>
    <w:tblStylePr w:type="band1Horz">
      <w:tblPr/>
      <w:tcPr>
        <w:shd w:val="clear" w:color="auto" w:fill="BFE7FF" w:themeFill="accent3" w:themeFillTint="33"/>
      </w:tcPr>
    </w:tblStylePr>
  </w:style>
  <w:style w:type="table" w:styleId="ListTable6ColourfulAccent4">
    <w:name w:val="List Table 6 Colorful Accent 4"/>
    <w:basedOn w:val="TableNormal"/>
    <w:uiPriority w:val="51"/>
    <w:semiHidden/>
    <w:rsid w:val="002568BE"/>
    <w:pPr>
      <w:spacing w:after="120"/>
    </w:pPr>
    <w:rPr>
      <w:rFonts w:eastAsia="Times New Roman"/>
      <w:color w:val="763952" w:themeColor="accent4" w:themeShade="BF"/>
    </w:rPr>
    <w:tblPr>
      <w:tblStyleRowBandSize w:val="1"/>
      <w:tblStyleColBandSize w:val="1"/>
      <w:tblBorders>
        <w:top w:val="single" w:sz="4" w:space="0" w:color="9E4C6E" w:themeColor="accent4"/>
        <w:bottom w:val="single" w:sz="4" w:space="0" w:color="9E4C6E" w:themeColor="accent4"/>
      </w:tblBorders>
    </w:tblPr>
    <w:tblStylePr w:type="firstRow">
      <w:rPr>
        <w:b/>
        <w:bCs/>
      </w:rPr>
      <w:tblPr/>
      <w:tcPr>
        <w:tcBorders>
          <w:bottom w:val="single" w:sz="4" w:space="0" w:color="9E4C6E" w:themeColor="accent4"/>
        </w:tcBorders>
      </w:tcPr>
    </w:tblStylePr>
    <w:tblStylePr w:type="lastRow">
      <w:rPr>
        <w:b/>
        <w:bCs/>
      </w:rPr>
      <w:tblPr/>
      <w:tcPr>
        <w:tcBorders>
          <w:top w:val="double" w:sz="4" w:space="0" w:color="9E4C6E" w:themeColor="accent4"/>
        </w:tcBorders>
      </w:tcPr>
    </w:tblStylePr>
    <w:tblStylePr w:type="firstCol">
      <w:rPr>
        <w:b/>
        <w:bCs/>
      </w:rPr>
    </w:tblStylePr>
    <w:tblStylePr w:type="lastCol">
      <w:rPr>
        <w:b/>
        <w:bCs/>
      </w:rPr>
    </w:tblStylePr>
    <w:tblStylePr w:type="band1Vert">
      <w:tblPr/>
      <w:tcPr>
        <w:shd w:val="clear" w:color="auto" w:fill="EDD9E1" w:themeFill="accent4" w:themeFillTint="33"/>
      </w:tcPr>
    </w:tblStylePr>
    <w:tblStylePr w:type="band1Horz">
      <w:tblPr/>
      <w:tcPr>
        <w:shd w:val="clear" w:color="auto" w:fill="EDD9E1" w:themeFill="accent4" w:themeFillTint="33"/>
      </w:tcPr>
    </w:tblStylePr>
  </w:style>
  <w:style w:type="table" w:styleId="ListTable6ColourfulAccent5">
    <w:name w:val="List Table 6 Colorful Accent 5"/>
    <w:basedOn w:val="TableNormal"/>
    <w:uiPriority w:val="51"/>
    <w:semiHidden/>
    <w:rsid w:val="002568BE"/>
    <w:pPr>
      <w:spacing w:after="120"/>
    </w:pPr>
    <w:rPr>
      <w:rFonts w:eastAsia="Times New Roman"/>
      <w:color w:val="2A7187" w:themeColor="accent5" w:themeShade="BF"/>
    </w:rPr>
    <w:tblPr>
      <w:tblStyleRowBandSize w:val="1"/>
      <w:tblStyleColBandSize w:val="1"/>
      <w:tblBorders>
        <w:top w:val="single" w:sz="4" w:space="0" w:color="3998B5" w:themeColor="accent5"/>
        <w:bottom w:val="single" w:sz="4" w:space="0" w:color="3998B5" w:themeColor="accent5"/>
      </w:tblBorders>
    </w:tblPr>
    <w:tblStylePr w:type="firstRow">
      <w:rPr>
        <w:b/>
        <w:bCs/>
      </w:rPr>
      <w:tblPr/>
      <w:tcPr>
        <w:tcBorders>
          <w:bottom w:val="single" w:sz="4" w:space="0" w:color="3998B5" w:themeColor="accent5"/>
        </w:tcBorders>
      </w:tcPr>
    </w:tblStylePr>
    <w:tblStylePr w:type="lastRow">
      <w:rPr>
        <w:b/>
        <w:bCs/>
      </w:rPr>
      <w:tblPr/>
      <w:tcPr>
        <w:tcBorders>
          <w:top w:val="double" w:sz="4" w:space="0" w:color="3998B5" w:themeColor="accent5"/>
        </w:tcBorders>
      </w:tcPr>
    </w:tblStylePr>
    <w:tblStylePr w:type="firstCol">
      <w:rPr>
        <w:b/>
        <w:bCs/>
      </w:rPr>
    </w:tblStylePr>
    <w:tblStylePr w:type="lastCol">
      <w:rPr>
        <w:b/>
        <w:bCs/>
      </w:rPr>
    </w:tblStylePr>
    <w:tblStylePr w:type="band1Vert">
      <w:tblPr/>
      <w:tcPr>
        <w:shd w:val="clear" w:color="auto" w:fill="D5EBF2" w:themeFill="accent5" w:themeFillTint="33"/>
      </w:tcPr>
    </w:tblStylePr>
    <w:tblStylePr w:type="band1Horz">
      <w:tblPr/>
      <w:tcPr>
        <w:shd w:val="clear" w:color="auto" w:fill="D5EBF2" w:themeFill="accent5" w:themeFillTint="33"/>
      </w:tcPr>
    </w:tblStylePr>
  </w:style>
  <w:style w:type="table" w:styleId="ListTable6ColourfulAccent6">
    <w:name w:val="List Table 6 Colorful Accent 6"/>
    <w:basedOn w:val="TableNormal"/>
    <w:uiPriority w:val="51"/>
    <w:semiHidden/>
    <w:rsid w:val="002568BE"/>
    <w:pPr>
      <w:spacing w:after="120"/>
    </w:pPr>
    <w:rPr>
      <w:rFonts w:eastAsia="Times New Roman"/>
      <w:color w:val="707E1C" w:themeColor="accent6" w:themeShade="BF"/>
    </w:rPr>
    <w:tblPr>
      <w:tblStyleRowBandSize w:val="1"/>
      <w:tblStyleColBandSize w:val="1"/>
      <w:tblBorders>
        <w:top w:val="single" w:sz="4" w:space="0" w:color="97A926" w:themeColor="accent6"/>
        <w:bottom w:val="single" w:sz="4" w:space="0" w:color="97A926" w:themeColor="accent6"/>
      </w:tblBorders>
    </w:tblPr>
    <w:tblStylePr w:type="firstRow">
      <w:rPr>
        <w:b/>
        <w:bCs/>
      </w:rPr>
      <w:tblPr/>
      <w:tcPr>
        <w:tcBorders>
          <w:bottom w:val="single" w:sz="4" w:space="0" w:color="97A926" w:themeColor="accent6"/>
        </w:tcBorders>
      </w:tcPr>
    </w:tblStylePr>
    <w:tblStylePr w:type="lastRow">
      <w:rPr>
        <w:b/>
        <w:bCs/>
      </w:rPr>
      <w:tblPr/>
      <w:tcPr>
        <w:tcBorders>
          <w:top w:val="double" w:sz="4" w:space="0" w:color="97A926" w:themeColor="accent6"/>
        </w:tcBorders>
      </w:tcPr>
    </w:tblStylePr>
    <w:tblStylePr w:type="firstCol">
      <w:rPr>
        <w:b/>
        <w:bCs/>
      </w:rPr>
    </w:tblStylePr>
    <w:tblStylePr w:type="lastCol">
      <w:rPr>
        <w:b/>
        <w:bCs/>
      </w:rPr>
    </w:tblStylePr>
    <w:tblStylePr w:type="band1Vert">
      <w:tblPr/>
      <w:tcPr>
        <w:shd w:val="clear" w:color="auto" w:fill="EEF4CD" w:themeFill="accent6" w:themeFillTint="33"/>
      </w:tcPr>
    </w:tblStylePr>
    <w:tblStylePr w:type="band1Horz">
      <w:tblPr/>
      <w:tcPr>
        <w:shd w:val="clear" w:color="auto" w:fill="EEF4CD" w:themeFill="accent6" w:themeFillTint="33"/>
      </w:tcPr>
    </w:tblStylePr>
  </w:style>
  <w:style w:type="table" w:styleId="ListTable7Colourful">
    <w:name w:val="List Table 7 Colorful"/>
    <w:basedOn w:val="TableNormal"/>
    <w:uiPriority w:val="52"/>
    <w:semiHidden/>
    <w:rsid w:val="002568BE"/>
    <w:pPr>
      <w:spacing w:after="120"/>
    </w:pPr>
    <w:rPr>
      <w:rFonts w:eastAsia="Times New Roman"/>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2568BE"/>
    <w:pPr>
      <w:spacing w:after="120"/>
    </w:pPr>
    <w:rPr>
      <w:rFonts w:eastAsia="Times New Roman"/>
      <w:color w:val="2F375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4A7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4A7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4A7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4A75" w:themeColor="accent1"/>
        </w:tcBorders>
        <w:shd w:val="clear" w:color="auto" w:fill="FFFFFF" w:themeFill="background1"/>
      </w:tcPr>
    </w:tblStylePr>
    <w:tblStylePr w:type="band1Vert">
      <w:tblPr/>
      <w:tcPr>
        <w:shd w:val="clear" w:color="auto" w:fill="D4D8E8" w:themeFill="accent1" w:themeFillTint="33"/>
      </w:tcPr>
    </w:tblStylePr>
    <w:tblStylePr w:type="band1Horz">
      <w:tblPr/>
      <w:tcPr>
        <w:shd w:val="clear" w:color="auto" w:fill="D4D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2568BE"/>
    <w:pPr>
      <w:spacing w:after="120"/>
    </w:pPr>
    <w:rPr>
      <w:rFonts w:eastAsia="Times New Roman"/>
      <w:color w:val="27606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5818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5818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5818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58189" w:themeColor="accent2"/>
        </w:tcBorders>
        <w:shd w:val="clear" w:color="auto" w:fill="FFFFFF" w:themeFill="background1"/>
      </w:tcPr>
    </w:tblStylePr>
    <w:tblStylePr w:type="band1Vert">
      <w:tblPr/>
      <w:tcPr>
        <w:shd w:val="clear" w:color="auto" w:fill="D0EAED" w:themeFill="accent2" w:themeFillTint="33"/>
      </w:tcPr>
    </w:tblStylePr>
    <w:tblStylePr w:type="band1Horz">
      <w:tblPr/>
      <w:tcPr>
        <w:shd w:val="clear" w:color="auto" w:fill="D0EAED"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2568BE"/>
    <w:pPr>
      <w:spacing w:after="120"/>
    </w:pPr>
    <w:rPr>
      <w:rFonts w:eastAsia="Times New Roman"/>
      <w:color w:val="0059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8B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8B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8B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8BF" w:themeColor="accent3"/>
        </w:tcBorders>
        <w:shd w:val="clear" w:color="auto" w:fill="FFFFFF" w:themeFill="background1"/>
      </w:tcPr>
    </w:tblStylePr>
    <w:tblStylePr w:type="band1Vert">
      <w:tblPr/>
      <w:tcPr>
        <w:shd w:val="clear" w:color="auto" w:fill="BFE7FF" w:themeFill="accent3" w:themeFillTint="33"/>
      </w:tcPr>
    </w:tblStylePr>
    <w:tblStylePr w:type="band1Horz">
      <w:tblPr/>
      <w:tcPr>
        <w:shd w:val="clear" w:color="auto" w:fill="BFE7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2568BE"/>
    <w:pPr>
      <w:spacing w:after="120"/>
    </w:pPr>
    <w:rPr>
      <w:rFonts w:eastAsia="Times New Roman"/>
      <w:color w:val="76395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E4C6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E4C6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E4C6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E4C6E" w:themeColor="accent4"/>
        </w:tcBorders>
        <w:shd w:val="clear" w:color="auto" w:fill="FFFFFF" w:themeFill="background1"/>
      </w:tcPr>
    </w:tblStylePr>
    <w:tblStylePr w:type="band1Vert">
      <w:tblPr/>
      <w:tcPr>
        <w:shd w:val="clear" w:color="auto" w:fill="EDD9E1" w:themeFill="accent4" w:themeFillTint="33"/>
      </w:tcPr>
    </w:tblStylePr>
    <w:tblStylePr w:type="band1Horz">
      <w:tblPr/>
      <w:tcPr>
        <w:shd w:val="clear" w:color="auto" w:fill="EDD9E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2568BE"/>
    <w:pPr>
      <w:spacing w:after="120"/>
    </w:pPr>
    <w:rPr>
      <w:rFonts w:eastAsia="Times New Roman"/>
      <w:color w:val="2A718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998B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998B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998B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998B5" w:themeColor="accent5"/>
        </w:tcBorders>
        <w:shd w:val="clear" w:color="auto" w:fill="FFFFFF" w:themeFill="background1"/>
      </w:tcPr>
    </w:tblStylePr>
    <w:tblStylePr w:type="band1Vert">
      <w:tblPr/>
      <w:tcPr>
        <w:shd w:val="clear" w:color="auto" w:fill="D5EBF2" w:themeFill="accent5" w:themeFillTint="33"/>
      </w:tcPr>
    </w:tblStylePr>
    <w:tblStylePr w:type="band1Horz">
      <w:tblPr/>
      <w:tcPr>
        <w:shd w:val="clear" w:color="auto" w:fill="D5EB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2568BE"/>
    <w:pPr>
      <w:spacing w:after="120"/>
    </w:pPr>
    <w:rPr>
      <w:rFonts w:eastAsia="Times New Roman"/>
      <w:color w:val="707E1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A92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A92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A92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A926" w:themeColor="accent6"/>
        </w:tcBorders>
        <w:shd w:val="clear" w:color="auto" w:fill="FFFFFF" w:themeFill="background1"/>
      </w:tcPr>
    </w:tblStylePr>
    <w:tblStylePr w:type="band1Vert">
      <w:tblPr/>
      <w:tcPr>
        <w:shd w:val="clear" w:color="auto" w:fill="EEF4CD" w:themeFill="accent6" w:themeFillTint="33"/>
      </w:tcPr>
    </w:tblStylePr>
    <w:tblStylePr w:type="band1Horz">
      <w:tblPr/>
      <w:tcPr>
        <w:shd w:val="clear" w:color="auto" w:fill="EEF4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single" w:sz="8" w:space="0" w:color="5E6DA8" w:themeColor="accent1" w:themeTint="BF"/>
        <w:insideV w:val="single" w:sz="8" w:space="0" w:color="5E6DA8" w:themeColor="accent1" w:themeTint="BF"/>
      </w:tblBorders>
    </w:tblPr>
    <w:tcPr>
      <w:shd w:val="clear" w:color="auto" w:fill="C9CEE2" w:themeFill="accent1" w:themeFillTint="3F"/>
    </w:tcPr>
    <w:tblStylePr w:type="firstRow">
      <w:rPr>
        <w:b/>
        <w:bCs/>
      </w:rPr>
    </w:tblStylePr>
    <w:tblStylePr w:type="lastRow">
      <w:rPr>
        <w:b/>
        <w:bCs/>
      </w:rPr>
      <w:tblPr/>
      <w:tcPr>
        <w:tcBorders>
          <w:top w:val="single" w:sz="18" w:space="0" w:color="5E6DA8" w:themeColor="accent1" w:themeTint="BF"/>
        </w:tcBorders>
      </w:tcPr>
    </w:tblStylePr>
    <w:tblStylePr w:type="firstCol">
      <w:rPr>
        <w:b/>
        <w:bCs/>
      </w:rPr>
    </w:tblStylePr>
    <w:tblStylePr w:type="lastCol">
      <w:rPr>
        <w:b/>
        <w:bCs/>
      </w:rPr>
    </w:tblStylePr>
    <w:tblStylePr w:type="band1Vert">
      <w:tblPr/>
      <w:tcPr>
        <w:shd w:val="clear" w:color="auto" w:fill="939DC5" w:themeFill="accent1" w:themeFillTint="7F"/>
      </w:tcPr>
    </w:tblStylePr>
    <w:tblStylePr w:type="band1Horz">
      <w:tblPr/>
      <w:tcPr>
        <w:shd w:val="clear" w:color="auto" w:fill="939DC5" w:themeFill="accent1" w:themeFillTint="7F"/>
      </w:tcPr>
    </w:tblStylePr>
  </w:style>
  <w:style w:type="table" w:styleId="MediumGrid1-Accent2">
    <w:name w:val="Medium Grid 1 Accent 2"/>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single" w:sz="8" w:space="0" w:color="51B1BC" w:themeColor="accent2" w:themeTint="BF"/>
        <w:insideV w:val="single" w:sz="8" w:space="0" w:color="51B1BC" w:themeColor="accent2" w:themeTint="BF"/>
      </w:tblBorders>
    </w:tblPr>
    <w:tcPr>
      <w:shd w:val="clear" w:color="auto" w:fill="C5E5E9" w:themeFill="accent2" w:themeFillTint="3F"/>
    </w:tcPr>
    <w:tblStylePr w:type="firstRow">
      <w:rPr>
        <w:b/>
        <w:bCs/>
      </w:rPr>
    </w:tblStylePr>
    <w:tblStylePr w:type="lastRow">
      <w:rPr>
        <w:b/>
        <w:bCs/>
      </w:rPr>
      <w:tblPr/>
      <w:tcPr>
        <w:tcBorders>
          <w:top w:val="single" w:sz="18" w:space="0" w:color="51B1BC" w:themeColor="accent2" w:themeTint="BF"/>
        </w:tcBorders>
      </w:tcPr>
    </w:tblStylePr>
    <w:tblStylePr w:type="firstCol">
      <w:rPr>
        <w:b/>
        <w:bCs/>
      </w:rPr>
    </w:tblStylePr>
    <w:tblStylePr w:type="lastCol">
      <w:rPr>
        <w:b/>
        <w:bCs/>
      </w:rPr>
    </w:tblStylePr>
    <w:tblStylePr w:type="band1Vert">
      <w:tblPr/>
      <w:tcPr>
        <w:shd w:val="clear" w:color="auto" w:fill="8BCBD2" w:themeFill="accent2" w:themeFillTint="7F"/>
      </w:tcPr>
    </w:tblStylePr>
    <w:tblStylePr w:type="band1Horz">
      <w:tblPr/>
      <w:tcPr>
        <w:shd w:val="clear" w:color="auto" w:fill="8BCBD2" w:themeFill="accent2" w:themeFillTint="7F"/>
      </w:tcPr>
    </w:tblStylePr>
  </w:style>
  <w:style w:type="table" w:styleId="MediumGrid1-Accent3">
    <w:name w:val="Medium Grid 1 Accent 3"/>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single" w:sz="8" w:space="0" w:color="10A5FF" w:themeColor="accent3" w:themeTint="BF"/>
        <w:insideV w:val="single" w:sz="8" w:space="0" w:color="10A5FF" w:themeColor="accent3" w:themeTint="BF"/>
      </w:tblBorders>
    </w:tblPr>
    <w:tcPr>
      <w:shd w:val="clear" w:color="auto" w:fill="B0E1FF" w:themeFill="accent3" w:themeFillTint="3F"/>
    </w:tcPr>
    <w:tblStylePr w:type="firstRow">
      <w:rPr>
        <w:b/>
        <w:bCs/>
      </w:rPr>
    </w:tblStylePr>
    <w:tblStylePr w:type="lastRow">
      <w:rPr>
        <w:b/>
        <w:bCs/>
      </w:rPr>
      <w:tblPr/>
      <w:tcPr>
        <w:tcBorders>
          <w:top w:val="single" w:sz="18" w:space="0" w:color="10A5FF" w:themeColor="accent3" w:themeTint="BF"/>
        </w:tcBorders>
      </w:tcPr>
    </w:tblStylePr>
    <w:tblStylePr w:type="firstCol">
      <w:rPr>
        <w:b/>
        <w:bCs/>
      </w:rPr>
    </w:tblStylePr>
    <w:tblStylePr w:type="lastCol">
      <w:rPr>
        <w:b/>
        <w:bCs/>
      </w:rPr>
    </w:tblStylePr>
    <w:tblStylePr w:type="band1Vert">
      <w:tblPr/>
      <w:tcPr>
        <w:shd w:val="clear" w:color="auto" w:fill="60C3FF" w:themeFill="accent3" w:themeFillTint="7F"/>
      </w:tcPr>
    </w:tblStylePr>
    <w:tblStylePr w:type="band1Horz">
      <w:tblPr/>
      <w:tcPr>
        <w:shd w:val="clear" w:color="auto" w:fill="60C3FF" w:themeFill="accent3" w:themeFillTint="7F"/>
      </w:tcPr>
    </w:tblStylePr>
  </w:style>
  <w:style w:type="table" w:styleId="MediumGrid1-Accent4">
    <w:name w:val="Medium Grid 1 Accent 4"/>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single" w:sz="8" w:space="0" w:color="BB7391" w:themeColor="accent4" w:themeTint="BF"/>
        <w:insideV w:val="single" w:sz="8" w:space="0" w:color="BB7391" w:themeColor="accent4" w:themeTint="BF"/>
      </w:tblBorders>
    </w:tblPr>
    <w:tcPr>
      <w:shd w:val="clear" w:color="auto" w:fill="E8D0DA" w:themeFill="accent4" w:themeFillTint="3F"/>
    </w:tcPr>
    <w:tblStylePr w:type="firstRow">
      <w:rPr>
        <w:b/>
        <w:bCs/>
      </w:rPr>
    </w:tblStylePr>
    <w:tblStylePr w:type="lastRow">
      <w:rPr>
        <w:b/>
        <w:bCs/>
      </w:rPr>
      <w:tblPr/>
      <w:tcPr>
        <w:tcBorders>
          <w:top w:val="single" w:sz="18" w:space="0" w:color="BB7391" w:themeColor="accent4" w:themeTint="BF"/>
        </w:tcBorders>
      </w:tcPr>
    </w:tblStylePr>
    <w:tblStylePr w:type="firstCol">
      <w:rPr>
        <w:b/>
        <w:bCs/>
      </w:rPr>
    </w:tblStylePr>
    <w:tblStylePr w:type="lastCol">
      <w:rPr>
        <w:b/>
        <w:bCs/>
      </w:rPr>
    </w:tblStylePr>
    <w:tblStylePr w:type="band1Vert">
      <w:tblPr/>
      <w:tcPr>
        <w:shd w:val="clear" w:color="auto" w:fill="D2A2B5" w:themeFill="accent4" w:themeFillTint="7F"/>
      </w:tcPr>
    </w:tblStylePr>
    <w:tblStylePr w:type="band1Horz">
      <w:tblPr/>
      <w:tcPr>
        <w:shd w:val="clear" w:color="auto" w:fill="D2A2B5" w:themeFill="accent4" w:themeFillTint="7F"/>
      </w:tcPr>
    </w:tblStylePr>
  </w:style>
  <w:style w:type="table" w:styleId="MediumGrid1-Accent5">
    <w:name w:val="Medium Grid 1 Accent 5"/>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single" w:sz="8" w:space="0" w:color="63B5CE" w:themeColor="accent5" w:themeTint="BF"/>
        <w:insideV w:val="single" w:sz="8" w:space="0" w:color="63B5CE" w:themeColor="accent5" w:themeTint="BF"/>
      </w:tblBorders>
    </w:tblPr>
    <w:tcPr>
      <w:shd w:val="clear" w:color="auto" w:fill="CBE6EF" w:themeFill="accent5" w:themeFillTint="3F"/>
    </w:tcPr>
    <w:tblStylePr w:type="firstRow">
      <w:rPr>
        <w:b/>
        <w:bCs/>
      </w:rPr>
    </w:tblStylePr>
    <w:tblStylePr w:type="lastRow">
      <w:rPr>
        <w:b/>
        <w:bCs/>
      </w:rPr>
      <w:tblPr/>
      <w:tcPr>
        <w:tcBorders>
          <w:top w:val="single" w:sz="18" w:space="0" w:color="63B5CE" w:themeColor="accent5" w:themeTint="BF"/>
        </w:tcBorders>
      </w:tcPr>
    </w:tblStylePr>
    <w:tblStylePr w:type="firstCol">
      <w:rPr>
        <w:b/>
        <w:bCs/>
      </w:rPr>
    </w:tblStylePr>
    <w:tblStylePr w:type="lastCol">
      <w:rPr>
        <w:b/>
        <w:bCs/>
      </w:rPr>
    </w:tblStylePr>
    <w:tblStylePr w:type="band1Vert">
      <w:tblPr/>
      <w:tcPr>
        <w:shd w:val="clear" w:color="auto" w:fill="97CDDE" w:themeFill="accent5" w:themeFillTint="7F"/>
      </w:tcPr>
    </w:tblStylePr>
    <w:tblStylePr w:type="band1Horz">
      <w:tblPr/>
      <w:tcPr>
        <w:shd w:val="clear" w:color="auto" w:fill="97CDDE" w:themeFill="accent5" w:themeFillTint="7F"/>
      </w:tcPr>
    </w:tblStylePr>
  </w:style>
  <w:style w:type="table" w:styleId="MediumGrid1-Accent6">
    <w:name w:val="Medium Grid 1 Accent 6"/>
    <w:basedOn w:val="TableNormal"/>
    <w:uiPriority w:val="67"/>
    <w:semiHidden/>
    <w:rsid w:val="002568BE"/>
    <w:pPr>
      <w:spacing w:after="120"/>
    </w:pPr>
    <w:rPr>
      <w:rFonts w:eastAsia="Times New Roman"/>
      <w:color w:val="000000" w:themeColor="text1"/>
    </w:rPr>
    <w:tblPr>
      <w:tblStyleRowBandSize w:val="1"/>
      <w:tblStyleColBandSize w:val="1"/>
      <w:tblBorders>
        <w:top w:val="single" w:sz="8"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single" w:sz="8" w:space="0" w:color="C1D545" w:themeColor="accent6" w:themeTint="BF"/>
        <w:insideV w:val="single" w:sz="8" w:space="0" w:color="C1D545" w:themeColor="accent6" w:themeTint="BF"/>
      </w:tblBorders>
    </w:tblPr>
    <w:tcPr>
      <w:shd w:val="clear" w:color="auto" w:fill="EAF1C1" w:themeFill="accent6" w:themeFillTint="3F"/>
    </w:tcPr>
    <w:tblStylePr w:type="firstRow">
      <w:rPr>
        <w:b/>
        <w:bCs/>
      </w:rPr>
    </w:tblStylePr>
    <w:tblStylePr w:type="lastRow">
      <w:rPr>
        <w:b/>
        <w:bCs/>
      </w:rPr>
      <w:tblPr/>
      <w:tcPr>
        <w:tcBorders>
          <w:top w:val="single" w:sz="18" w:space="0" w:color="C1D545" w:themeColor="accent6" w:themeTint="BF"/>
        </w:tcBorders>
      </w:tcPr>
    </w:tblStylePr>
    <w:tblStylePr w:type="firstCol">
      <w:rPr>
        <w:b/>
        <w:bCs/>
      </w:rPr>
    </w:tblStylePr>
    <w:tblStylePr w:type="lastCol">
      <w:rPr>
        <w:b/>
        <w:bCs/>
      </w:rPr>
    </w:tblStylePr>
    <w:tblStylePr w:type="band1Vert">
      <w:tblPr/>
      <w:tcPr>
        <w:shd w:val="clear" w:color="auto" w:fill="D5E383" w:themeFill="accent6" w:themeFillTint="7F"/>
      </w:tcPr>
    </w:tblStylePr>
    <w:tblStylePr w:type="band1Horz">
      <w:tblPr/>
      <w:tcPr>
        <w:shd w:val="clear" w:color="auto" w:fill="D5E383" w:themeFill="accent6" w:themeFillTint="7F"/>
      </w:tcPr>
    </w:tblStylePr>
  </w:style>
  <w:style w:type="table" w:styleId="MediumGrid2">
    <w:name w:val="Medium Grid 2"/>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insideH w:val="single" w:sz="8" w:space="0" w:color="3F4A75" w:themeColor="accent1"/>
        <w:insideV w:val="single" w:sz="8" w:space="0" w:color="3F4A75" w:themeColor="accent1"/>
      </w:tblBorders>
    </w:tblPr>
    <w:tcPr>
      <w:shd w:val="clear" w:color="auto" w:fill="C9CEE2" w:themeFill="accent1" w:themeFillTint="3F"/>
    </w:tcPr>
    <w:tblStylePr w:type="firstRow">
      <w:rPr>
        <w:b/>
        <w:bCs/>
        <w:color w:val="000000" w:themeColor="text1"/>
      </w:rPr>
      <w:tblPr/>
      <w:tcPr>
        <w:shd w:val="clear" w:color="auto" w:fill="E9EBF3"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8E8" w:themeFill="accent1" w:themeFillTint="33"/>
      </w:tcPr>
    </w:tblStylePr>
    <w:tblStylePr w:type="band1Vert">
      <w:tblPr/>
      <w:tcPr>
        <w:shd w:val="clear" w:color="auto" w:fill="939DC5" w:themeFill="accent1" w:themeFillTint="7F"/>
      </w:tcPr>
    </w:tblStylePr>
    <w:tblStylePr w:type="band1Horz">
      <w:tblPr/>
      <w:tcPr>
        <w:tcBorders>
          <w:insideH w:val="single" w:sz="6" w:space="0" w:color="3F4A75" w:themeColor="accent1"/>
          <w:insideV w:val="single" w:sz="6" w:space="0" w:color="3F4A75" w:themeColor="accent1"/>
        </w:tcBorders>
        <w:shd w:val="clear" w:color="auto" w:fill="939DC5"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insideH w:val="single" w:sz="8" w:space="0" w:color="358189" w:themeColor="accent2"/>
        <w:insideV w:val="single" w:sz="8" w:space="0" w:color="358189" w:themeColor="accent2"/>
      </w:tblBorders>
    </w:tblPr>
    <w:tcPr>
      <w:shd w:val="clear" w:color="auto" w:fill="C5E5E9" w:themeFill="accent2" w:themeFillTint="3F"/>
    </w:tcPr>
    <w:tblStylePr w:type="firstRow">
      <w:rPr>
        <w:b/>
        <w:bCs/>
        <w:color w:val="000000" w:themeColor="text1"/>
      </w:rPr>
      <w:tblPr/>
      <w:tcPr>
        <w:shd w:val="clear" w:color="auto" w:fill="E8F4F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EAED" w:themeFill="accent2" w:themeFillTint="33"/>
      </w:tcPr>
    </w:tblStylePr>
    <w:tblStylePr w:type="band1Vert">
      <w:tblPr/>
      <w:tcPr>
        <w:shd w:val="clear" w:color="auto" w:fill="8BCBD2" w:themeFill="accent2" w:themeFillTint="7F"/>
      </w:tcPr>
    </w:tblStylePr>
    <w:tblStylePr w:type="band1Horz">
      <w:tblPr/>
      <w:tcPr>
        <w:tcBorders>
          <w:insideH w:val="single" w:sz="6" w:space="0" w:color="358189" w:themeColor="accent2"/>
          <w:insideV w:val="single" w:sz="6" w:space="0" w:color="358189" w:themeColor="accent2"/>
        </w:tcBorders>
        <w:shd w:val="clear" w:color="auto" w:fill="8BCBD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insideH w:val="single" w:sz="8" w:space="0" w:color="0078BF" w:themeColor="accent3"/>
        <w:insideV w:val="single" w:sz="8" w:space="0" w:color="0078BF" w:themeColor="accent3"/>
      </w:tblBorders>
    </w:tblPr>
    <w:tcPr>
      <w:shd w:val="clear" w:color="auto" w:fill="B0E1FF" w:themeFill="accent3" w:themeFillTint="3F"/>
    </w:tcPr>
    <w:tblStylePr w:type="firstRow">
      <w:rPr>
        <w:b/>
        <w:bCs/>
        <w:color w:val="000000" w:themeColor="text1"/>
      </w:rPr>
      <w:tblPr/>
      <w:tcPr>
        <w:shd w:val="clear" w:color="auto" w:fill="DFF3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FE7FF" w:themeFill="accent3" w:themeFillTint="33"/>
      </w:tcPr>
    </w:tblStylePr>
    <w:tblStylePr w:type="band1Vert">
      <w:tblPr/>
      <w:tcPr>
        <w:shd w:val="clear" w:color="auto" w:fill="60C3FF" w:themeFill="accent3" w:themeFillTint="7F"/>
      </w:tcPr>
    </w:tblStylePr>
    <w:tblStylePr w:type="band1Horz">
      <w:tblPr/>
      <w:tcPr>
        <w:tcBorders>
          <w:insideH w:val="single" w:sz="6" w:space="0" w:color="0078BF" w:themeColor="accent3"/>
          <w:insideV w:val="single" w:sz="6" w:space="0" w:color="0078BF" w:themeColor="accent3"/>
        </w:tcBorders>
        <w:shd w:val="clear" w:color="auto" w:fill="60C3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insideH w:val="single" w:sz="8" w:space="0" w:color="9E4C6E" w:themeColor="accent4"/>
        <w:insideV w:val="single" w:sz="8" w:space="0" w:color="9E4C6E" w:themeColor="accent4"/>
      </w:tblBorders>
    </w:tblPr>
    <w:tcPr>
      <w:shd w:val="clear" w:color="auto" w:fill="E8D0DA" w:themeFill="accent4" w:themeFillTint="3F"/>
    </w:tcPr>
    <w:tblStylePr w:type="firstRow">
      <w:rPr>
        <w:b/>
        <w:bCs/>
        <w:color w:val="000000" w:themeColor="text1"/>
      </w:rPr>
      <w:tblPr/>
      <w:tcPr>
        <w:shd w:val="clear" w:color="auto" w:fill="F6EC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D9E1" w:themeFill="accent4" w:themeFillTint="33"/>
      </w:tcPr>
    </w:tblStylePr>
    <w:tblStylePr w:type="band1Vert">
      <w:tblPr/>
      <w:tcPr>
        <w:shd w:val="clear" w:color="auto" w:fill="D2A2B5" w:themeFill="accent4" w:themeFillTint="7F"/>
      </w:tcPr>
    </w:tblStylePr>
    <w:tblStylePr w:type="band1Horz">
      <w:tblPr/>
      <w:tcPr>
        <w:tcBorders>
          <w:insideH w:val="single" w:sz="6" w:space="0" w:color="9E4C6E" w:themeColor="accent4"/>
          <w:insideV w:val="single" w:sz="6" w:space="0" w:color="9E4C6E" w:themeColor="accent4"/>
        </w:tcBorders>
        <w:shd w:val="clear" w:color="auto" w:fill="D2A2B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insideH w:val="single" w:sz="8" w:space="0" w:color="3998B5" w:themeColor="accent5"/>
        <w:insideV w:val="single" w:sz="8" w:space="0" w:color="3998B5" w:themeColor="accent5"/>
      </w:tblBorders>
    </w:tblPr>
    <w:tcPr>
      <w:shd w:val="clear" w:color="auto" w:fill="CBE6EF" w:themeFill="accent5" w:themeFillTint="3F"/>
    </w:tcPr>
    <w:tblStylePr w:type="firstRow">
      <w:rPr>
        <w:b/>
        <w:bCs/>
        <w:color w:val="000000" w:themeColor="text1"/>
      </w:rPr>
      <w:tblPr/>
      <w:tcPr>
        <w:shd w:val="clear" w:color="auto" w:fill="EA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BF2" w:themeFill="accent5" w:themeFillTint="33"/>
      </w:tcPr>
    </w:tblStylePr>
    <w:tblStylePr w:type="band1Vert">
      <w:tblPr/>
      <w:tcPr>
        <w:shd w:val="clear" w:color="auto" w:fill="97CDDE" w:themeFill="accent5" w:themeFillTint="7F"/>
      </w:tcPr>
    </w:tblStylePr>
    <w:tblStylePr w:type="band1Horz">
      <w:tblPr/>
      <w:tcPr>
        <w:tcBorders>
          <w:insideH w:val="single" w:sz="6" w:space="0" w:color="3998B5" w:themeColor="accent5"/>
          <w:insideV w:val="single" w:sz="6" w:space="0" w:color="3998B5" w:themeColor="accent5"/>
        </w:tcBorders>
        <w:shd w:val="clear" w:color="auto" w:fill="97CD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insideH w:val="single" w:sz="8" w:space="0" w:color="97A926" w:themeColor="accent6"/>
        <w:insideV w:val="single" w:sz="8" w:space="0" w:color="97A926" w:themeColor="accent6"/>
      </w:tblBorders>
    </w:tblPr>
    <w:tcPr>
      <w:shd w:val="clear" w:color="auto" w:fill="EAF1C1" w:themeFill="accent6" w:themeFillTint="3F"/>
    </w:tcPr>
    <w:tblStylePr w:type="firstRow">
      <w:rPr>
        <w:b/>
        <w:bCs/>
        <w:color w:val="000000" w:themeColor="text1"/>
      </w:rPr>
      <w:tblPr/>
      <w:tcPr>
        <w:shd w:val="clear" w:color="auto" w:fill="F6F9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F4CD" w:themeFill="accent6" w:themeFillTint="33"/>
      </w:tcPr>
    </w:tblStylePr>
    <w:tblStylePr w:type="band1Vert">
      <w:tblPr/>
      <w:tcPr>
        <w:shd w:val="clear" w:color="auto" w:fill="D5E383" w:themeFill="accent6" w:themeFillTint="7F"/>
      </w:tcPr>
    </w:tblStylePr>
    <w:tblStylePr w:type="band1Horz">
      <w:tblPr/>
      <w:tcPr>
        <w:tcBorders>
          <w:insideH w:val="single" w:sz="6" w:space="0" w:color="97A926" w:themeColor="accent6"/>
          <w:insideV w:val="single" w:sz="6" w:space="0" w:color="97A926" w:themeColor="accent6"/>
        </w:tcBorders>
        <w:shd w:val="clear" w:color="auto" w:fill="D5E38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E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4A7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4A7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4A7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4A7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9DC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9DC5" w:themeFill="accent1" w:themeFillTint="7F"/>
      </w:tcPr>
    </w:tblStylePr>
  </w:style>
  <w:style w:type="table" w:styleId="MediumGrid3-Accent2">
    <w:name w:val="Medium Grid 3 Accent 2"/>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E5E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5818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5818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5818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5818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BCBD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BCBD2" w:themeFill="accent2" w:themeFillTint="7F"/>
      </w:tcPr>
    </w:tblStylePr>
  </w:style>
  <w:style w:type="table" w:styleId="MediumGrid3-Accent3">
    <w:name w:val="Medium Grid 3 Accent 3"/>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E1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8B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8B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8B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8B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C3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C3FF" w:themeFill="accent3" w:themeFillTint="7F"/>
      </w:tcPr>
    </w:tblStylePr>
  </w:style>
  <w:style w:type="table" w:styleId="MediumGrid3-Accent4">
    <w:name w:val="Medium Grid 3 Accent 4"/>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0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E4C6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E4C6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E4C6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E4C6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A2B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A2B5" w:themeFill="accent4" w:themeFillTint="7F"/>
      </w:tcPr>
    </w:tblStylePr>
  </w:style>
  <w:style w:type="table" w:styleId="MediumGrid3-Accent5">
    <w:name w:val="Medium Grid 3 Accent 5"/>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6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998B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998B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998B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998B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CD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CDDE" w:themeFill="accent5" w:themeFillTint="7F"/>
      </w:tcPr>
    </w:tblStylePr>
  </w:style>
  <w:style w:type="table" w:styleId="MediumGrid3-Accent6">
    <w:name w:val="Medium Grid 3 Accent 6"/>
    <w:basedOn w:val="TableNormal"/>
    <w:uiPriority w:val="69"/>
    <w:semiHidden/>
    <w:rsid w:val="002568BE"/>
    <w:pPr>
      <w:spacing w:after="120"/>
    </w:pPr>
    <w:rPr>
      <w:rFonts w:eastAsia="Times New Roman"/>
      <w:color w:val="000000" w:themeColor="text1"/>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F1C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A92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A92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A92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A92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E38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E383" w:themeFill="accent6" w:themeFillTint="7F"/>
      </w:tcPr>
    </w:tblStylePr>
  </w:style>
  <w:style w:type="table" w:styleId="MediumList1">
    <w:name w:val="Medium List 1"/>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4A7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3F4A75" w:themeColor="accent1"/>
        <w:bottom w:val="single" w:sz="8" w:space="0" w:color="3F4A75" w:themeColor="accent1"/>
      </w:tblBorders>
    </w:tblPr>
    <w:tblStylePr w:type="firstRow">
      <w:rPr>
        <w:rFonts w:asciiTheme="majorHAnsi" w:eastAsiaTheme="majorEastAsia" w:hAnsiTheme="majorHAnsi" w:cstheme="majorBidi"/>
      </w:rPr>
      <w:tblPr/>
      <w:tcPr>
        <w:tcBorders>
          <w:top w:val="nil"/>
          <w:bottom w:val="single" w:sz="8" w:space="0" w:color="3F4A75" w:themeColor="accent1"/>
        </w:tcBorders>
      </w:tcPr>
    </w:tblStylePr>
    <w:tblStylePr w:type="lastRow">
      <w:rPr>
        <w:b/>
        <w:bCs/>
        <w:color w:val="3F4A75" w:themeColor="text2"/>
      </w:rPr>
      <w:tblPr/>
      <w:tcPr>
        <w:tcBorders>
          <w:top w:val="single" w:sz="8" w:space="0" w:color="3F4A75" w:themeColor="accent1"/>
          <w:bottom w:val="single" w:sz="8" w:space="0" w:color="3F4A75" w:themeColor="accent1"/>
        </w:tcBorders>
      </w:tcPr>
    </w:tblStylePr>
    <w:tblStylePr w:type="firstCol">
      <w:rPr>
        <w:b/>
        <w:bCs/>
      </w:rPr>
    </w:tblStylePr>
    <w:tblStylePr w:type="lastCol">
      <w:rPr>
        <w:b/>
        <w:bCs/>
      </w:rPr>
      <w:tblPr/>
      <w:tcPr>
        <w:tcBorders>
          <w:top w:val="single" w:sz="8" w:space="0" w:color="3F4A75" w:themeColor="accent1"/>
          <w:bottom w:val="single" w:sz="8" w:space="0" w:color="3F4A75" w:themeColor="accent1"/>
        </w:tcBorders>
      </w:tcPr>
    </w:tblStylePr>
    <w:tblStylePr w:type="band1Vert">
      <w:tblPr/>
      <w:tcPr>
        <w:shd w:val="clear" w:color="auto" w:fill="C9CEE2" w:themeFill="accent1" w:themeFillTint="3F"/>
      </w:tcPr>
    </w:tblStylePr>
    <w:tblStylePr w:type="band1Horz">
      <w:tblPr/>
      <w:tcPr>
        <w:shd w:val="clear" w:color="auto" w:fill="C9CEE2" w:themeFill="accent1" w:themeFillTint="3F"/>
      </w:tcPr>
    </w:tblStylePr>
  </w:style>
  <w:style w:type="table" w:styleId="MediumList1-Accent2">
    <w:name w:val="Medium List 1 Accent 2"/>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358189" w:themeColor="accent2"/>
        <w:bottom w:val="single" w:sz="8" w:space="0" w:color="358189" w:themeColor="accent2"/>
      </w:tblBorders>
    </w:tblPr>
    <w:tblStylePr w:type="firstRow">
      <w:rPr>
        <w:rFonts w:asciiTheme="majorHAnsi" w:eastAsiaTheme="majorEastAsia" w:hAnsiTheme="majorHAnsi" w:cstheme="majorBidi"/>
      </w:rPr>
      <w:tblPr/>
      <w:tcPr>
        <w:tcBorders>
          <w:top w:val="nil"/>
          <w:bottom w:val="single" w:sz="8" w:space="0" w:color="358189" w:themeColor="accent2"/>
        </w:tcBorders>
      </w:tcPr>
    </w:tblStylePr>
    <w:tblStylePr w:type="lastRow">
      <w:rPr>
        <w:b/>
        <w:bCs/>
        <w:color w:val="3F4A75" w:themeColor="text2"/>
      </w:rPr>
      <w:tblPr/>
      <w:tcPr>
        <w:tcBorders>
          <w:top w:val="single" w:sz="8" w:space="0" w:color="358189" w:themeColor="accent2"/>
          <w:bottom w:val="single" w:sz="8" w:space="0" w:color="358189" w:themeColor="accent2"/>
        </w:tcBorders>
      </w:tcPr>
    </w:tblStylePr>
    <w:tblStylePr w:type="firstCol">
      <w:rPr>
        <w:b/>
        <w:bCs/>
      </w:rPr>
    </w:tblStylePr>
    <w:tblStylePr w:type="lastCol">
      <w:rPr>
        <w:b/>
        <w:bCs/>
      </w:rPr>
      <w:tblPr/>
      <w:tcPr>
        <w:tcBorders>
          <w:top w:val="single" w:sz="8" w:space="0" w:color="358189" w:themeColor="accent2"/>
          <w:bottom w:val="single" w:sz="8" w:space="0" w:color="358189" w:themeColor="accent2"/>
        </w:tcBorders>
      </w:tcPr>
    </w:tblStylePr>
    <w:tblStylePr w:type="band1Vert">
      <w:tblPr/>
      <w:tcPr>
        <w:shd w:val="clear" w:color="auto" w:fill="C5E5E9" w:themeFill="accent2" w:themeFillTint="3F"/>
      </w:tcPr>
    </w:tblStylePr>
    <w:tblStylePr w:type="band1Horz">
      <w:tblPr/>
      <w:tcPr>
        <w:shd w:val="clear" w:color="auto" w:fill="C5E5E9" w:themeFill="accent2" w:themeFillTint="3F"/>
      </w:tcPr>
    </w:tblStylePr>
  </w:style>
  <w:style w:type="table" w:styleId="MediumList1-Accent3">
    <w:name w:val="Medium List 1 Accent 3"/>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0078BF" w:themeColor="accent3"/>
        <w:bottom w:val="single" w:sz="8" w:space="0" w:color="0078BF" w:themeColor="accent3"/>
      </w:tblBorders>
    </w:tblPr>
    <w:tblStylePr w:type="firstRow">
      <w:rPr>
        <w:rFonts w:asciiTheme="majorHAnsi" w:eastAsiaTheme="majorEastAsia" w:hAnsiTheme="majorHAnsi" w:cstheme="majorBidi"/>
      </w:rPr>
      <w:tblPr/>
      <w:tcPr>
        <w:tcBorders>
          <w:top w:val="nil"/>
          <w:bottom w:val="single" w:sz="8" w:space="0" w:color="0078BF" w:themeColor="accent3"/>
        </w:tcBorders>
      </w:tcPr>
    </w:tblStylePr>
    <w:tblStylePr w:type="lastRow">
      <w:rPr>
        <w:b/>
        <w:bCs/>
        <w:color w:val="3F4A75" w:themeColor="text2"/>
      </w:rPr>
      <w:tblPr/>
      <w:tcPr>
        <w:tcBorders>
          <w:top w:val="single" w:sz="8" w:space="0" w:color="0078BF" w:themeColor="accent3"/>
          <w:bottom w:val="single" w:sz="8" w:space="0" w:color="0078BF" w:themeColor="accent3"/>
        </w:tcBorders>
      </w:tcPr>
    </w:tblStylePr>
    <w:tblStylePr w:type="firstCol">
      <w:rPr>
        <w:b/>
        <w:bCs/>
      </w:rPr>
    </w:tblStylePr>
    <w:tblStylePr w:type="lastCol">
      <w:rPr>
        <w:b/>
        <w:bCs/>
      </w:rPr>
      <w:tblPr/>
      <w:tcPr>
        <w:tcBorders>
          <w:top w:val="single" w:sz="8" w:space="0" w:color="0078BF" w:themeColor="accent3"/>
          <w:bottom w:val="single" w:sz="8" w:space="0" w:color="0078BF" w:themeColor="accent3"/>
        </w:tcBorders>
      </w:tcPr>
    </w:tblStylePr>
    <w:tblStylePr w:type="band1Vert">
      <w:tblPr/>
      <w:tcPr>
        <w:shd w:val="clear" w:color="auto" w:fill="B0E1FF" w:themeFill="accent3" w:themeFillTint="3F"/>
      </w:tcPr>
    </w:tblStylePr>
    <w:tblStylePr w:type="band1Horz">
      <w:tblPr/>
      <w:tcPr>
        <w:shd w:val="clear" w:color="auto" w:fill="B0E1FF" w:themeFill="accent3" w:themeFillTint="3F"/>
      </w:tcPr>
    </w:tblStylePr>
  </w:style>
  <w:style w:type="table" w:styleId="MediumList1-Accent4">
    <w:name w:val="Medium List 1 Accent 4"/>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9E4C6E" w:themeColor="accent4"/>
        <w:bottom w:val="single" w:sz="8" w:space="0" w:color="9E4C6E" w:themeColor="accent4"/>
      </w:tblBorders>
    </w:tblPr>
    <w:tblStylePr w:type="firstRow">
      <w:rPr>
        <w:rFonts w:asciiTheme="majorHAnsi" w:eastAsiaTheme="majorEastAsia" w:hAnsiTheme="majorHAnsi" w:cstheme="majorBidi"/>
      </w:rPr>
      <w:tblPr/>
      <w:tcPr>
        <w:tcBorders>
          <w:top w:val="nil"/>
          <w:bottom w:val="single" w:sz="8" w:space="0" w:color="9E4C6E" w:themeColor="accent4"/>
        </w:tcBorders>
      </w:tcPr>
    </w:tblStylePr>
    <w:tblStylePr w:type="lastRow">
      <w:rPr>
        <w:b/>
        <w:bCs/>
        <w:color w:val="3F4A75" w:themeColor="text2"/>
      </w:rPr>
      <w:tblPr/>
      <w:tcPr>
        <w:tcBorders>
          <w:top w:val="single" w:sz="8" w:space="0" w:color="9E4C6E" w:themeColor="accent4"/>
          <w:bottom w:val="single" w:sz="8" w:space="0" w:color="9E4C6E" w:themeColor="accent4"/>
        </w:tcBorders>
      </w:tcPr>
    </w:tblStylePr>
    <w:tblStylePr w:type="firstCol">
      <w:rPr>
        <w:b/>
        <w:bCs/>
      </w:rPr>
    </w:tblStylePr>
    <w:tblStylePr w:type="lastCol">
      <w:rPr>
        <w:b/>
        <w:bCs/>
      </w:rPr>
      <w:tblPr/>
      <w:tcPr>
        <w:tcBorders>
          <w:top w:val="single" w:sz="8" w:space="0" w:color="9E4C6E" w:themeColor="accent4"/>
          <w:bottom w:val="single" w:sz="8" w:space="0" w:color="9E4C6E" w:themeColor="accent4"/>
        </w:tcBorders>
      </w:tcPr>
    </w:tblStylePr>
    <w:tblStylePr w:type="band1Vert">
      <w:tblPr/>
      <w:tcPr>
        <w:shd w:val="clear" w:color="auto" w:fill="E8D0DA" w:themeFill="accent4" w:themeFillTint="3F"/>
      </w:tcPr>
    </w:tblStylePr>
    <w:tblStylePr w:type="band1Horz">
      <w:tblPr/>
      <w:tcPr>
        <w:shd w:val="clear" w:color="auto" w:fill="E8D0DA" w:themeFill="accent4" w:themeFillTint="3F"/>
      </w:tcPr>
    </w:tblStylePr>
  </w:style>
  <w:style w:type="table" w:styleId="MediumList1-Accent5">
    <w:name w:val="Medium List 1 Accent 5"/>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3998B5" w:themeColor="accent5"/>
        <w:bottom w:val="single" w:sz="8" w:space="0" w:color="3998B5" w:themeColor="accent5"/>
      </w:tblBorders>
    </w:tblPr>
    <w:tblStylePr w:type="firstRow">
      <w:rPr>
        <w:rFonts w:asciiTheme="majorHAnsi" w:eastAsiaTheme="majorEastAsia" w:hAnsiTheme="majorHAnsi" w:cstheme="majorBidi"/>
      </w:rPr>
      <w:tblPr/>
      <w:tcPr>
        <w:tcBorders>
          <w:top w:val="nil"/>
          <w:bottom w:val="single" w:sz="8" w:space="0" w:color="3998B5" w:themeColor="accent5"/>
        </w:tcBorders>
      </w:tcPr>
    </w:tblStylePr>
    <w:tblStylePr w:type="lastRow">
      <w:rPr>
        <w:b/>
        <w:bCs/>
        <w:color w:val="3F4A75" w:themeColor="text2"/>
      </w:rPr>
      <w:tblPr/>
      <w:tcPr>
        <w:tcBorders>
          <w:top w:val="single" w:sz="8" w:space="0" w:color="3998B5" w:themeColor="accent5"/>
          <w:bottom w:val="single" w:sz="8" w:space="0" w:color="3998B5" w:themeColor="accent5"/>
        </w:tcBorders>
      </w:tcPr>
    </w:tblStylePr>
    <w:tblStylePr w:type="firstCol">
      <w:rPr>
        <w:b/>
        <w:bCs/>
      </w:rPr>
    </w:tblStylePr>
    <w:tblStylePr w:type="lastCol">
      <w:rPr>
        <w:b/>
        <w:bCs/>
      </w:rPr>
      <w:tblPr/>
      <w:tcPr>
        <w:tcBorders>
          <w:top w:val="single" w:sz="8" w:space="0" w:color="3998B5" w:themeColor="accent5"/>
          <w:bottom w:val="single" w:sz="8" w:space="0" w:color="3998B5" w:themeColor="accent5"/>
        </w:tcBorders>
      </w:tcPr>
    </w:tblStylePr>
    <w:tblStylePr w:type="band1Vert">
      <w:tblPr/>
      <w:tcPr>
        <w:shd w:val="clear" w:color="auto" w:fill="CBE6EF" w:themeFill="accent5" w:themeFillTint="3F"/>
      </w:tcPr>
    </w:tblStylePr>
    <w:tblStylePr w:type="band1Horz">
      <w:tblPr/>
      <w:tcPr>
        <w:shd w:val="clear" w:color="auto" w:fill="CBE6EF" w:themeFill="accent5" w:themeFillTint="3F"/>
      </w:tcPr>
    </w:tblStylePr>
  </w:style>
  <w:style w:type="table" w:styleId="MediumList1-Accent6">
    <w:name w:val="Medium List 1 Accent 6"/>
    <w:basedOn w:val="TableNormal"/>
    <w:uiPriority w:val="65"/>
    <w:semiHidden/>
    <w:rsid w:val="002568BE"/>
    <w:pPr>
      <w:spacing w:after="120"/>
    </w:pPr>
    <w:rPr>
      <w:rFonts w:eastAsia="Times New Roman"/>
      <w:color w:val="000000" w:themeColor="text1"/>
    </w:rPr>
    <w:tblPr>
      <w:tblStyleRowBandSize w:val="1"/>
      <w:tblStyleColBandSize w:val="1"/>
      <w:tblBorders>
        <w:top w:val="single" w:sz="8" w:space="0" w:color="97A926" w:themeColor="accent6"/>
        <w:bottom w:val="single" w:sz="8" w:space="0" w:color="97A926" w:themeColor="accent6"/>
      </w:tblBorders>
    </w:tblPr>
    <w:tblStylePr w:type="firstRow">
      <w:rPr>
        <w:rFonts w:asciiTheme="majorHAnsi" w:eastAsiaTheme="majorEastAsia" w:hAnsiTheme="majorHAnsi" w:cstheme="majorBidi"/>
      </w:rPr>
      <w:tblPr/>
      <w:tcPr>
        <w:tcBorders>
          <w:top w:val="nil"/>
          <w:bottom w:val="single" w:sz="8" w:space="0" w:color="97A926" w:themeColor="accent6"/>
        </w:tcBorders>
      </w:tcPr>
    </w:tblStylePr>
    <w:tblStylePr w:type="lastRow">
      <w:rPr>
        <w:b/>
        <w:bCs/>
        <w:color w:val="3F4A75" w:themeColor="text2"/>
      </w:rPr>
      <w:tblPr/>
      <w:tcPr>
        <w:tcBorders>
          <w:top w:val="single" w:sz="8" w:space="0" w:color="97A926" w:themeColor="accent6"/>
          <w:bottom w:val="single" w:sz="8" w:space="0" w:color="97A926" w:themeColor="accent6"/>
        </w:tcBorders>
      </w:tcPr>
    </w:tblStylePr>
    <w:tblStylePr w:type="firstCol">
      <w:rPr>
        <w:b/>
        <w:bCs/>
      </w:rPr>
    </w:tblStylePr>
    <w:tblStylePr w:type="lastCol">
      <w:rPr>
        <w:b/>
        <w:bCs/>
      </w:rPr>
      <w:tblPr/>
      <w:tcPr>
        <w:tcBorders>
          <w:top w:val="single" w:sz="8" w:space="0" w:color="97A926" w:themeColor="accent6"/>
          <w:bottom w:val="single" w:sz="8" w:space="0" w:color="97A926" w:themeColor="accent6"/>
        </w:tcBorders>
      </w:tcPr>
    </w:tblStylePr>
    <w:tblStylePr w:type="band1Vert">
      <w:tblPr/>
      <w:tcPr>
        <w:shd w:val="clear" w:color="auto" w:fill="EAF1C1" w:themeFill="accent6" w:themeFillTint="3F"/>
      </w:tcPr>
    </w:tblStylePr>
    <w:tblStylePr w:type="band1Horz">
      <w:tblPr/>
      <w:tcPr>
        <w:shd w:val="clear" w:color="auto" w:fill="EAF1C1" w:themeFill="accent6" w:themeFillTint="3F"/>
      </w:tcPr>
    </w:tblStylePr>
  </w:style>
  <w:style w:type="table" w:styleId="MediumList2">
    <w:name w:val="Medium List 2"/>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F4A75" w:themeColor="accent1"/>
        <w:left w:val="single" w:sz="8" w:space="0" w:color="3F4A75" w:themeColor="accent1"/>
        <w:bottom w:val="single" w:sz="8" w:space="0" w:color="3F4A75" w:themeColor="accent1"/>
        <w:right w:val="single" w:sz="8" w:space="0" w:color="3F4A75" w:themeColor="accent1"/>
      </w:tblBorders>
    </w:tblPr>
    <w:tblStylePr w:type="firstRow">
      <w:rPr>
        <w:sz w:val="24"/>
        <w:szCs w:val="24"/>
      </w:rPr>
      <w:tblPr/>
      <w:tcPr>
        <w:tcBorders>
          <w:top w:val="nil"/>
          <w:left w:val="nil"/>
          <w:bottom w:val="single" w:sz="24" w:space="0" w:color="3F4A75" w:themeColor="accent1"/>
          <w:right w:val="nil"/>
          <w:insideH w:val="nil"/>
          <w:insideV w:val="nil"/>
        </w:tcBorders>
        <w:shd w:val="clear" w:color="auto" w:fill="FFFFFF" w:themeFill="background1"/>
      </w:tcPr>
    </w:tblStylePr>
    <w:tblStylePr w:type="lastRow">
      <w:tblPr/>
      <w:tcPr>
        <w:tcBorders>
          <w:top w:val="single" w:sz="8" w:space="0" w:color="3F4A7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4A75" w:themeColor="accent1"/>
          <w:insideH w:val="nil"/>
          <w:insideV w:val="nil"/>
        </w:tcBorders>
        <w:shd w:val="clear" w:color="auto" w:fill="FFFFFF" w:themeFill="background1"/>
      </w:tcPr>
    </w:tblStylePr>
    <w:tblStylePr w:type="lastCol">
      <w:tblPr/>
      <w:tcPr>
        <w:tcBorders>
          <w:top w:val="nil"/>
          <w:left w:val="single" w:sz="8" w:space="0" w:color="3F4A7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EE2" w:themeFill="accent1" w:themeFillTint="3F"/>
      </w:tcPr>
    </w:tblStylePr>
    <w:tblStylePr w:type="band1Horz">
      <w:tblPr/>
      <w:tcPr>
        <w:tcBorders>
          <w:top w:val="nil"/>
          <w:bottom w:val="nil"/>
          <w:insideH w:val="nil"/>
          <w:insideV w:val="nil"/>
        </w:tcBorders>
        <w:shd w:val="clear" w:color="auto" w:fill="C9CEE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58189" w:themeColor="accent2"/>
        <w:left w:val="single" w:sz="8" w:space="0" w:color="358189" w:themeColor="accent2"/>
        <w:bottom w:val="single" w:sz="8" w:space="0" w:color="358189" w:themeColor="accent2"/>
        <w:right w:val="single" w:sz="8" w:space="0" w:color="358189" w:themeColor="accent2"/>
      </w:tblBorders>
    </w:tblPr>
    <w:tblStylePr w:type="firstRow">
      <w:rPr>
        <w:sz w:val="24"/>
        <w:szCs w:val="24"/>
      </w:rPr>
      <w:tblPr/>
      <w:tcPr>
        <w:tcBorders>
          <w:top w:val="nil"/>
          <w:left w:val="nil"/>
          <w:bottom w:val="single" w:sz="24" w:space="0" w:color="358189" w:themeColor="accent2"/>
          <w:right w:val="nil"/>
          <w:insideH w:val="nil"/>
          <w:insideV w:val="nil"/>
        </w:tcBorders>
        <w:shd w:val="clear" w:color="auto" w:fill="FFFFFF" w:themeFill="background1"/>
      </w:tcPr>
    </w:tblStylePr>
    <w:tblStylePr w:type="lastRow">
      <w:tblPr/>
      <w:tcPr>
        <w:tcBorders>
          <w:top w:val="single" w:sz="8" w:space="0" w:color="35818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58189" w:themeColor="accent2"/>
          <w:insideH w:val="nil"/>
          <w:insideV w:val="nil"/>
        </w:tcBorders>
        <w:shd w:val="clear" w:color="auto" w:fill="FFFFFF" w:themeFill="background1"/>
      </w:tcPr>
    </w:tblStylePr>
    <w:tblStylePr w:type="lastCol">
      <w:tblPr/>
      <w:tcPr>
        <w:tcBorders>
          <w:top w:val="nil"/>
          <w:left w:val="single" w:sz="8" w:space="0" w:color="35818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E5E9" w:themeFill="accent2" w:themeFillTint="3F"/>
      </w:tcPr>
    </w:tblStylePr>
    <w:tblStylePr w:type="band1Horz">
      <w:tblPr/>
      <w:tcPr>
        <w:tcBorders>
          <w:top w:val="nil"/>
          <w:bottom w:val="nil"/>
          <w:insideH w:val="nil"/>
          <w:insideV w:val="nil"/>
        </w:tcBorders>
        <w:shd w:val="clear" w:color="auto" w:fill="C5E5E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0078BF" w:themeColor="accent3"/>
        <w:left w:val="single" w:sz="8" w:space="0" w:color="0078BF" w:themeColor="accent3"/>
        <w:bottom w:val="single" w:sz="8" w:space="0" w:color="0078BF" w:themeColor="accent3"/>
        <w:right w:val="single" w:sz="8" w:space="0" w:color="0078BF" w:themeColor="accent3"/>
      </w:tblBorders>
    </w:tblPr>
    <w:tblStylePr w:type="firstRow">
      <w:rPr>
        <w:sz w:val="24"/>
        <w:szCs w:val="24"/>
      </w:rPr>
      <w:tblPr/>
      <w:tcPr>
        <w:tcBorders>
          <w:top w:val="nil"/>
          <w:left w:val="nil"/>
          <w:bottom w:val="single" w:sz="24" w:space="0" w:color="0078BF" w:themeColor="accent3"/>
          <w:right w:val="nil"/>
          <w:insideH w:val="nil"/>
          <w:insideV w:val="nil"/>
        </w:tcBorders>
        <w:shd w:val="clear" w:color="auto" w:fill="FFFFFF" w:themeFill="background1"/>
      </w:tcPr>
    </w:tblStylePr>
    <w:tblStylePr w:type="lastRow">
      <w:tblPr/>
      <w:tcPr>
        <w:tcBorders>
          <w:top w:val="single" w:sz="8" w:space="0" w:color="0078B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8BF" w:themeColor="accent3"/>
          <w:insideH w:val="nil"/>
          <w:insideV w:val="nil"/>
        </w:tcBorders>
        <w:shd w:val="clear" w:color="auto" w:fill="FFFFFF" w:themeFill="background1"/>
      </w:tcPr>
    </w:tblStylePr>
    <w:tblStylePr w:type="lastCol">
      <w:tblPr/>
      <w:tcPr>
        <w:tcBorders>
          <w:top w:val="nil"/>
          <w:left w:val="single" w:sz="8" w:space="0" w:color="0078B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E1FF" w:themeFill="accent3" w:themeFillTint="3F"/>
      </w:tcPr>
    </w:tblStylePr>
    <w:tblStylePr w:type="band1Horz">
      <w:tblPr/>
      <w:tcPr>
        <w:tcBorders>
          <w:top w:val="nil"/>
          <w:bottom w:val="nil"/>
          <w:insideH w:val="nil"/>
          <w:insideV w:val="nil"/>
        </w:tcBorders>
        <w:shd w:val="clear" w:color="auto" w:fill="B0E1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E4C6E" w:themeColor="accent4"/>
        <w:left w:val="single" w:sz="8" w:space="0" w:color="9E4C6E" w:themeColor="accent4"/>
        <w:bottom w:val="single" w:sz="8" w:space="0" w:color="9E4C6E" w:themeColor="accent4"/>
        <w:right w:val="single" w:sz="8" w:space="0" w:color="9E4C6E" w:themeColor="accent4"/>
      </w:tblBorders>
    </w:tblPr>
    <w:tblStylePr w:type="firstRow">
      <w:rPr>
        <w:sz w:val="24"/>
        <w:szCs w:val="24"/>
      </w:rPr>
      <w:tblPr/>
      <w:tcPr>
        <w:tcBorders>
          <w:top w:val="nil"/>
          <w:left w:val="nil"/>
          <w:bottom w:val="single" w:sz="24" w:space="0" w:color="9E4C6E" w:themeColor="accent4"/>
          <w:right w:val="nil"/>
          <w:insideH w:val="nil"/>
          <w:insideV w:val="nil"/>
        </w:tcBorders>
        <w:shd w:val="clear" w:color="auto" w:fill="FFFFFF" w:themeFill="background1"/>
      </w:tcPr>
    </w:tblStylePr>
    <w:tblStylePr w:type="lastRow">
      <w:tblPr/>
      <w:tcPr>
        <w:tcBorders>
          <w:top w:val="single" w:sz="8" w:space="0" w:color="9E4C6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E4C6E" w:themeColor="accent4"/>
          <w:insideH w:val="nil"/>
          <w:insideV w:val="nil"/>
        </w:tcBorders>
        <w:shd w:val="clear" w:color="auto" w:fill="FFFFFF" w:themeFill="background1"/>
      </w:tcPr>
    </w:tblStylePr>
    <w:tblStylePr w:type="lastCol">
      <w:tblPr/>
      <w:tcPr>
        <w:tcBorders>
          <w:top w:val="nil"/>
          <w:left w:val="single" w:sz="8" w:space="0" w:color="9E4C6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0DA" w:themeFill="accent4" w:themeFillTint="3F"/>
      </w:tcPr>
    </w:tblStylePr>
    <w:tblStylePr w:type="band1Horz">
      <w:tblPr/>
      <w:tcPr>
        <w:tcBorders>
          <w:top w:val="nil"/>
          <w:bottom w:val="nil"/>
          <w:insideH w:val="nil"/>
          <w:insideV w:val="nil"/>
        </w:tcBorders>
        <w:shd w:val="clear" w:color="auto" w:fill="E8D0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3998B5" w:themeColor="accent5"/>
        <w:left w:val="single" w:sz="8" w:space="0" w:color="3998B5" w:themeColor="accent5"/>
        <w:bottom w:val="single" w:sz="8" w:space="0" w:color="3998B5" w:themeColor="accent5"/>
        <w:right w:val="single" w:sz="8" w:space="0" w:color="3998B5" w:themeColor="accent5"/>
      </w:tblBorders>
    </w:tblPr>
    <w:tblStylePr w:type="firstRow">
      <w:rPr>
        <w:sz w:val="24"/>
        <w:szCs w:val="24"/>
      </w:rPr>
      <w:tblPr/>
      <w:tcPr>
        <w:tcBorders>
          <w:top w:val="nil"/>
          <w:left w:val="nil"/>
          <w:bottom w:val="single" w:sz="24" w:space="0" w:color="3998B5" w:themeColor="accent5"/>
          <w:right w:val="nil"/>
          <w:insideH w:val="nil"/>
          <w:insideV w:val="nil"/>
        </w:tcBorders>
        <w:shd w:val="clear" w:color="auto" w:fill="FFFFFF" w:themeFill="background1"/>
      </w:tcPr>
    </w:tblStylePr>
    <w:tblStylePr w:type="lastRow">
      <w:tblPr/>
      <w:tcPr>
        <w:tcBorders>
          <w:top w:val="single" w:sz="8" w:space="0" w:color="3998B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998B5" w:themeColor="accent5"/>
          <w:insideH w:val="nil"/>
          <w:insideV w:val="nil"/>
        </w:tcBorders>
        <w:shd w:val="clear" w:color="auto" w:fill="FFFFFF" w:themeFill="background1"/>
      </w:tcPr>
    </w:tblStylePr>
    <w:tblStylePr w:type="lastCol">
      <w:tblPr/>
      <w:tcPr>
        <w:tcBorders>
          <w:top w:val="nil"/>
          <w:left w:val="single" w:sz="8" w:space="0" w:color="3998B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6EF" w:themeFill="accent5" w:themeFillTint="3F"/>
      </w:tcPr>
    </w:tblStylePr>
    <w:tblStylePr w:type="band1Horz">
      <w:tblPr/>
      <w:tcPr>
        <w:tcBorders>
          <w:top w:val="nil"/>
          <w:bottom w:val="nil"/>
          <w:insideH w:val="nil"/>
          <w:insideV w:val="nil"/>
        </w:tcBorders>
        <w:shd w:val="clear" w:color="auto" w:fill="CBE6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568BE"/>
    <w:pPr>
      <w:spacing w:after="120"/>
    </w:pPr>
    <w:rPr>
      <w:rFonts w:asciiTheme="majorHAnsi" w:eastAsiaTheme="majorEastAsia" w:hAnsiTheme="majorHAnsi" w:cstheme="majorBidi"/>
      <w:color w:val="000000" w:themeColor="text1"/>
    </w:rPr>
    <w:tblPr>
      <w:tblStyleRowBandSize w:val="1"/>
      <w:tblStyleColBandSize w:val="1"/>
      <w:tblBorders>
        <w:top w:val="single" w:sz="8" w:space="0" w:color="97A926" w:themeColor="accent6"/>
        <w:left w:val="single" w:sz="8" w:space="0" w:color="97A926" w:themeColor="accent6"/>
        <w:bottom w:val="single" w:sz="8" w:space="0" w:color="97A926" w:themeColor="accent6"/>
        <w:right w:val="single" w:sz="8" w:space="0" w:color="97A926" w:themeColor="accent6"/>
      </w:tblBorders>
    </w:tblPr>
    <w:tblStylePr w:type="firstRow">
      <w:rPr>
        <w:sz w:val="24"/>
        <w:szCs w:val="24"/>
      </w:rPr>
      <w:tblPr/>
      <w:tcPr>
        <w:tcBorders>
          <w:top w:val="nil"/>
          <w:left w:val="nil"/>
          <w:bottom w:val="single" w:sz="24" w:space="0" w:color="97A926" w:themeColor="accent6"/>
          <w:right w:val="nil"/>
          <w:insideH w:val="nil"/>
          <w:insideV w:val="nil"/>
        </w:tcBorders>
        <w:shd w:val="clear" w:color="auto" w:fill="FFFFFF" w:themeFill="background1"/>
      </w:tcPr>
    </w:tblStylePr>
    <w:tblStylePr w:type="lastRow">
      <w:tblPr/>
      <w:tcPr>
        <w:tcBorders>
          <w:top w:val="single" w:sz="8" w:space="0" w:color="97A92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A926" w:themeColor="accent6"/>
          <w:insideH w:val="nil"/>
          <w:insideV w:val="nil"/>
        </w:tcBorders>
        <w:shd w:val="clear" w:color="auto" w:fill="FFFFFF" w:themeFill="background1"/>
      </w:tcPr>
    </w:tblStylePr>
    <w:tblStylePr w:type="lastCol">
      <w:tblPr/>
      <w:tcPr>
        <w:tcBorders>
          <w:top w:val="nil"/>
          <w:left w:val="single" w:sz="8" w:space="0" w:color="97A92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F1C1" w:themeFill="accent6" w:themeFillTint="3F"/>
      </w:tcPr>
    </w:tblStylePr>
    <w:tblStylePr w:type="band1Horz">
      <w:tblPr/>
      <w:tcPr>
        <w:tcBorders>
          <w:top w:val="nil"/>
          <w:bottom w:val="nil"/>
          <w:insideH w:val="nil"/>
          <w:insideV w:val="nil"/>
        </w:tcBorders>
        <w:shd w:val="clear" w:color="auto" w:fill="EAF1C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single" w:sz="8" w:space="0" w:color="5E6DA8" w:themeColor="accent1" w:themeTint="BF"/>
      </w:tblBorders>
    </w:tblPr>
    <w:tblStylePr w:type="firstRow">
      <w:pPr>
        <w:spacing w:before="0" w:after="0" w:line="240" w:lineRule="auto"/>
      </w:pPr>
      <w:rPr>
        <w:b/>
        <w:bCs/>
        <w:color w:val="FFFFFF" w:themeColor="background1"/>
      </w:rPr>
      <w:tblPr/>
      <w:tcPr>
        <w:tcBorders>
          <w:top w:val="single" w:sz="8"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nil"/>
          <w:insideV w:val="nil"/>
        </w:tcBorders>
        <w:shd w:val="clear" w:color="auto" w:fill="3F4A75" w:themeFill="accent1"/>
      </w:tcPr>
    </w:tblStylePr>
    <w:tblStylePr w:type="lastRow">
      <w:pPr>
        <w:spacing w:before="0" w:after="0" w:line="240" w:lineRule="auto"/>
      </w:pPr>
      <w:rPr>
        <w:b/>
        <w:bCs/>
      </w:rPr>
      <w:tblPr/>
      <w:tcPr>
        <w:tcBorders>
          <w:top w:val="double" w:sz="6" w:space="0" w:color="5E6DA8" w:themeColor="accent1" w:themeTint="BF"/>
          <w:left w:val="single" w:sz="8" w:space="0" w:color="5E6DA8" w:themeColor="accent1" w:themeTint="BF"/>
          <w:bottom w:val="single" w:sz="8" w:space="0" w:color="5E6DA8" w:themeColor="accent1" w:themeTint="BF"/>
          <w:right w:val="single" w:sz="8" w:space="0" w:color="5E6DA8" w:themeColor="accent1" w:themeTint="BF"/>
          <w:insideH w:val="nil"/>
          <w:insideV w:val="nil"/>
        </w:tcBorders>
      </w:tcPr>
    </w:tblStylePr>
    <w:tblStylePr w:type="firstCol">
      <w:rPr>
        <w:b/>
        <w:bCs/>
      </w:rPr>
    </w:tblStylePr>
    <w:tblStylePr w:type="lastCol">
      <w:rPr>
        <w:b/>
        <w:bCs/>
      </w:rPr>
    </w:tblStylePr>
    <w:tblStylePr w:type="band1Vert">
      <w:tblPr/>
      <w:tcPr>
        <w:shd w:val="clear" w:color="auto" w:fill="C9CEE2" w:themeFill="accent1" w:themeFillTint="3F"/>
      </w:tcPr>
    </w:tblStylePr>
    <w:tblStylePr w:type="band1Horz">
      <w:tblPr/>
      <w:tcPr>
        <w:tcBorders>
          <w:insideH w:val="nil"/>
          <w:insideV w:val="nil"/>
        </w:tcBorders>
        <w:shd w:val="clear" w:color="auto" w:fill="C9CEE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single" w:sz="8" w:space="0" w:color="51B1BC" w:themeColor="accent2" w:themeTint="BF"/>
      </w:tblBorders>
    </w:tblPr>
    <w:tblStylePr w:type="firstRow">
      <w:pPr>
        <w:spacing w:before="0" w:after="0" w:line="240" w:lineRule="auto"/>
      </w:pPr>
      <w:rPr>
        <w:b/>
        <w:bCs/>
        <w:color w:val="FFFFFF" w:themeColor="background1"/>
      </w:rPr>
      <w:tblPr/>
      <w:tcPr>
        <w:tcBorders>
          <w:top w:val="single" w:sz="8"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nil"/>
          <w:insideV w:val="nil"/>
        </w:tcBorders>
        <w:shd w:val="clear" w:color="auto" w:fill="358189" w:themeFill="accent2"/>
      </w:tcPr>
    </w:tblStylePr>
    <w:tblStylePr w:type="lastRow">
      <w:pPr>
        <w:spacing w:before="0" w:after="0" w:line="240" w:lineRule="auto"/>
      </w:pPr>
      <w:rPr>
        <w:b/>
        <w:bCs/>
      </w:rPr>
      <w:tblPr/>
      <w:tcPr>
        <w:tcBorders>
          <w:top w:val="double" w:sz="6" w:space="0" w:color="51B1BC" w:themeColor="accent2" w:themeTint="BF"/>
          <w:left w:val="single" w:sz="8" w:space="0" w:color="51B1BC" w:themeColor="accent2" w:themeTint="BF"/>
          <w:bottom w:val="single" w:sz="8" w:space="0" w:color="51B1BC" w:themeColor="accent2" w:themeTint="BF"/>
          <w:right w:val="single" w:sz="8" w:space="0" w:color="51B1BC" w:themeColor="accent2" w:themeTint="BF"/>
          <w:insideH w:val="nil"/>
          <w:insideV w:val="nil"/>
        </w:tcBorders>
      </w:tcPr>
    </w:tblStylePr>
    <w:tblStylePr w:type="firstCol">
      <w:rPr>
        <w:b/>
        <w:bCs/>
      </w:rPr>
    </w:tblStylePr>
    <w:tblStylePr w:type="lastCol">
      <w:rPr>
        <w:b/>
        <w:bCs/>
      </w:rPr>
    </w:tblStylePr>
    <w:tblStylePr w:type="band1Vert">
      <w:tblPr/>
      <w:tcPr>
        <w:shd w:val="clear" w:color="auto" w:fill="C5E5E9" w:themeFill="accent2" w:themeFillTint="3F"/>
      </w:tcPr>
    </w:tblStylePr>
    <w:tblStylePr w:type="band1Horz">
      <w:tblPr/>
      <w:tcPr>
        <w:tcBorders>
          <w:insideH w:val="nil"/>
          <w:insideV w:val="nil"/>
        </w:tcBorders>
        <w:shd w:val="clear" w:color="auto" w:fill="C5E5E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single" w:sz="8" w:space="0" w:color="10A5FF" w:themeColor="accent3" w:themeTint="BF"/>
      </w:tblBorders>
    </w:tblPr>
    <w:tblStylePr w:type="firstRow">
      <w:pPr>
        <w:spacing w:before="0" w:after="0" w:line="240" w:lineRule="auto"/>
      </w:pPr>
      <w:rPr>
        <w:b/>
        <w:bCs/>
        <w:color w:val="FFFFFF" w:themeColor="background1"/>
      </w:rPr>
      <w:tblPr/>
      <w:tcPr>
        <w:tcBorders>
          <w:top w:val="single" w:sz="8"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nil"/>
          <w:insideV w:val="nil"/>
        </w:tcBorders>
        <w:shd w:val="clear" w:color="auto" w:fill="0078BF" w:themeFill="accent3"/>
      </w:tcPr>
    </w:tblStylePr>
    <w:tblStylePr w:type="lastRow">
      <w:pPr>
        <w:spacing w:before="0" w:after="0" w:line="240" w:lineRule="auto"/>
      </w:pPr>
      <w:rPr>
        <w:b/>
        <w:bCs/>
      </w:rPr>
      <w:tblPr/>
      <w:tcPr>
        <w:tcBorders>
          <w:top w:val="double" w:sz="6" w:space="0" w:color="10A5FF" w:themeColor="accent3" w:themeTint="BF"/>
          <w:left w:val="single" w:sz="8" w:space="0" w:color="10A5FF" w:themeColor="accent3" w:themeTint="BF"/>
          <w:bottom w:val="single" w:sz="8" w:space="0" w:color="10A5FF" w:themeColor="accent3" w:themeTint="BF"/>
          <w:right w:val="single" w:sz="8" w:space="0" w:color="10A5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E1FF" w:themeFill="accent3" w:themeFillTint="3F"/>
      </w:tcPr>
    </w:tblStylePr>
    <w:tblStylePr w:type="band1Horz">
      <w:tblPr/>
      <w:tcPr>
        <w:tcBorders>
          <w:insideH w:val="nil"/>
          <w:insideV w:val="nil"/>
        </w:tcBorders>
        <w:shd w:val="clear" w:color="auto" w:fill="B0E1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single" w:sz="8" w:space="0" w:color="BB7391" w:themeColor="accent4" w:themeTint="BF"/>
      </w:tblBorders>
    </w:tblPr>
    <w:tblStylePr w:type="firstRow">
      <w:pPr>
        <w:spacing w:before="0" w:after="0" w:line="240" w:lineRule="auto"/>
      </w:pPr>
      <w:rPr>
        <w:b/>
        <w:bCs/>
        <w:color w:val="FFFFFF" w:themeColor="background1"/>
      </w:rPr>
      <w:tblPr/>
      <w:tcPr>
        <w:tcBorders>
          <w:top w:val="single" w:sz="8"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nil"/>
          <w:insideV w:val="nil"/>
        </w:tcBorders>
        <w:shd w:val="clear" w:color="auto" w:fill="9E4C6E" w:themeFill="accent4"/>
      </w:tcPr>
    </w:tblStylePr>
    <w:tblStylePr w:type="lastRow">
      <w:pPr>
        <w:spacing w:before="0" w:after="0" w:line="240" w:lineRule="auto"/>
      </w:pPr>
      <w:rPr>
        <w:b/>
        <w:bCs/>
      </w:rPr>
      <w:tblPr/>
      <w:tcPr>
        <w:tcBorders>
          <w:top w:val="double" w:sz="6" w:space="0" w:color="BB7391" w:themeColor="accent4" w:themeTint="BF"/>
          <w:left w:val="single" w:sz="8" w:space="0" w:color="BB7391" w:themeColor="accent4" w:themeTint="BF"/>
          <w:bottom w:val="single" w:sz="8" w:space="0" w:color="BB7391" w:themeColor="accent4" w:themeTint="BF"/>
          <w:right w:val="single" w:sz="8" w:space="0" w:color="BB73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8D0DA" w:themeFill="accent4" w:themeFillTint="3F"/>
      </w:tcPr>
    </w:tblStylePr>
    <w:tblStylePr w:type="band1Horz">
      <w:tblPr/>
      <w:tcPr>
        <w:tcBorders>
          <w:insideH w:val="nil"/>
          <w:insideV w:val="nil"/>
        </w:tcBorders>
        <w:shd w:val="clear" w:color="auto" w:fill="E8D0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single" w:sz="8" w:space="0" w:color="63B5CE" w:themeColor="accent5" w:themeTint="BF"/>
      </w:tblBorders>
    </w:tblPr>
    <w:tblStylePr w:type="firstRow">
      <w:pPr>
        <w:spacing w:before="0" w:after="0" w:line="240" w:lineRule="auto"/>
      </w:pPr>
      <w:rPr>
        <w:b/>
        <w:bCs/>
        <w:color w:val="FFFFFF" w:themeColor="background1"/>
      </w:rPr>
      <w:tblPr/>
      <w:tcPr>
        <w:tcBorders>
          <w:top w:val="single" w:sz="8"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nil"/>
          <w:insideV w:val="nil"/>
        </w:tcBorders>
        <w:shd w:val="clear" w:color="auto" w:fill="3998B5" w:themeFill="accent5"/>
      </w:tcPr>
    </w:tblStylePr>
    <w:tblStylePr w:type="lastRow">
      <w:pPr>
        <w:spacing w:before="0" w:after="0" w:line="240" w:lineRule="auto"/>
      </w:pPr>
      <w:rPr>
        <w:b/>
        <w:bCs/>
      </w:rPr>
      <w:tblPr/>
      <w:tcPr>
        <w:tcBorders>
          <w:top w:val="double" w:sz="6" w:space="0" w:color="63B5CE" w:themeColor="accent5" w:themeTint="BF"/>
          <w:left w:val="single" w:sz="8" w:space="0" w:color="63B5CE" w:themeColor="accent5" w:themeTint="BF"/>
          <w:bottom w:val="single" w:sz="8" w:space="0" w:color="63B5CE" w:themeColor="accent5" w:themeTint="BF"/>
          <w:right w:val="single" w:sz="8" w:space="0" w:color="63B5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E6EF" w:themeFill="accent5" w:themeFillTint="3F"/>
      </w:tcPr>
    </w:tblStylePr>
    <w:tblStylePr w:type="band1Horz">
      <w:tblPr/>
      <w:tcPr>
        <w:tcBorders>
          <w:insideH w:val="nil"/>
          <w:insideV w:val="nil"/>
        </w:tcBorders>
        <w:shd w:val="clear" w:color="auto" w:fill="CBE6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568BE"/>
    <w:pPr>
      <w:spacing w:after="120"/>
    </w:pPr>
    <w:rPr>
      <w:rFonts w:eastAsia="Times New Roman"/>
      <w:color w:val="000000" w:themeColor="text1"/>
    </w:rPr>
    <w:tblPr>
      <w:tblStyleRowBandSize w:val="1"/>
      <w:tblStyleColBandSize w:val="1"/>
      <w:tblBorders>
        <w:top w:val="single" w:sz="8"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single" w:sz="8" w:space="0" w:color="C1D545" w:themeColor="accent6" w:themeTint="BF"/>
      </w:tblBorders>
    </w:tblPr>
    <w:tblStylePr w:type="firstRow">
      <w:pPr>
        <w:spacing w:before="0" w:after="0" w:line="240" w:lineRule="auto"/>
      </w:pPr>
      <w:rPr>
        <w:b/>
        <w:bCs/>
        <w:color w:val="FFFFFF" w:themeColor="background1"/>
      </w:rPr>
      <w:tblPr/>
      <w:tcPr>
        <w:tcBorders>
          <w:top w:val="single" w:sz="8"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nil"/>
          <w:insideV w:val="nil"/>
        </w:tcBorders>
        <w:shd w:val="clear" w:color="auto" w:fill="97A926" w:themeFill="accent6"/>
      </w:tcPr>
    </w:tblStylePr>
    <w:tblStylePr w:type="lastRow">
      <w:pPr>
        <w:spacing w:before="0" w:after="0" w:line="240" w:lineRule="auto"/>
      </w:pPr>
      <w:rPr>
        <w:b/>
        <w:bCs/>
      </w:rPr>
      <w:tblPr/>
      <w:tcPr>
        <w:tcBorders>
          <w:top w:val="double" w:sz="6" w:space="0" w:color="C1D545" w:themeColor="accent6" w:themeTint="BF"/>
          <w:left w:val="single" w:sz="8" w:space="0" w:color="C1D545" w:themeColor="accent6" w:themeTint="BF"/>
          <w:bottom w:val="single" w:sz="8" w:space="0" w:color="C1D545" w:themeColor="accent6" w:themeTint="BF"/>
          <w:right w:val="single" w:sz="8" w:space="0" w:color="C1D54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AF1C1" w:themeFill="accent6" w:themeFillTint="3F"/>
      </w:tcPr>
    </w:tblStylePr>
    <w:tblStylePr w:type="band1Horz">
      <w:tblPr/>
      <w:tcPr>
        <w:tcBorders>
          <w:insideH w:val="nil"/>
          <w:insideV w:val="nil"/>
        </w:tcBorders>
        <w:shd w:val="clear" w:color="auto" w:fill="EAF1C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4A7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4A75" w:themeFill="accent1"/>
      </w:tcPr>
    </w:tblStylePr>
    <w:tblStylePr w:type="lastCol">
      <w:rPr>
        <w:b/>
        <w:bCs/>
        <w:color w:val="FFFFFF" w:themeColor="background1"/>
      </w:rPr>
      <w:tblPr/>
      <w:tcPr>
        <w:tcBorders>
          <w:left w:val="nil"/>
          <w:right w:val="nil"/>
          <w:insideH w:val="nil"/>
          <w:insideV w:val="nil"/>
        </w:tcBorders>
        <w:shd w:val="clear" w:color="auto" w:fill="3F4A7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5818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58189" w:themeFill="accent2"/>
      </w:tcPr>
    </w:tblStylePr>
    <w:tblStylePr w:type="lastCol">
      <w:rPr>
        <w:b/>
        <w:bCs/>
        <w:color w:val="FFFFFF" w:themeColor="background1"/>
      </w:rPr>
      <w:tblPr/>
      <w:tcPr>
        <w:tcBorders>
          <w:left w:val="nil"/>
          <w:right w:val="nil"/>
          <w:insideH w:val="nil"/>
          <w:insideV w:val="nil"/>
        </w:tcBorders>
        <w:shd w:val="clear" w:color="auto" w:fill="35818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8B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8BF" w:themeFill="accent3"/>
      </w:tcPr>
    </w:tblStylePr>
    <w:tblStylePr w:type="lastCol">
      <w:rPr>
        <w:b/>
        <w:bCs/>
        <w:color w:val="FFFFFF" w:themeColor="background1"/>
      </w:rPr>
      <w:tblPr/>
      <w:tcPr>
        <w:tcBorders>
          <w:left w:val="nil"/>
          <w:right w:val="nil"/>
          <w:insideH w:val="nil"/>
          <w:insideV w:val="nil"/>
        </w:tcBorders>
        <w:shd w:val="clear" w:color="auto" w:fill="0078B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E4C6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E4C6E" w:themeFill="accent4"/>
      </w:tcPr>
    </w:tblStylePr>
    <w:tblStylePr w:type="lastCol">
      <w:rPr>
        <w:b/>
        <w:bCs/>
        <w:color w:val="FFFFFF" w:themeColor="background1"/>
      </w:rPr>
      <w:tblPr/>
      <w:tcPr>
        <w:tcBorders>
          <w:left w:val="nil"/>
          <w:right w:val="nil"/>
          <w:insideH w:val="nil"/>
          <w:insideV w:val="nil"/>
        </w:tcBorders>
        <w:shd w:val="clear" w:color="auto" w:fill="9E4C6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998B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998B5" w:themeFill="accent5"/>
      </w:tcPr>
    </w:tblStylePr>
    <w:tblStylePr w:type="lastCol">
      <w:rPr>
        <w:b/>
        <w:bCs/>
        <w:color w:val="FFFFFF" w:themeColor="background1"/>
      </w:rPr>
      <w:tblPr/>
      <w:tcPr>
        <w:tcBorders>
          <w:left w:val="nil"/>
          <w:right w:val="nil"/>
          <w:insideH w:val="nil"/>
          <w:insideV w:val="nil"/>
        </w:tcBorders>
        <w:shd w:val="clear" w:color="auto" w:fill="3998B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568BE"/>
    <w:pPr>
      <w:spacing w:after="120"/>
    </w:pPr>
    <w:rPr>
      <w:rFonts w:eastAsia="Times New Roman"/>
      <w:color w:val="000000" w:themeColor="text1"/>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A92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7A926" w:themeFill="accent6"/>
      </w:tcPr>
    </w:tblStylePr>
    <w:tblStylePr w:type="lastCol">
      <w:rPr>
        <w:b/>
        <w:bCs/>
        <w:color w:val="FFFFFF" w:themeColor="background1"/>
      </w:rPr>
      <w:tblPr/>
      <w:tcPr>
        <w:tcBorders>
          <w:left w:val="nil"/>
          <w:right w:val="nil"/>
          <w:insideH w:val="nil"/>
          <w:insideV w:val="nil"/>
        </w:tcBorders>
        <w:shd w:val="clear" w:color="auto" w:fill="97A92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2568BE"/>
    <w:pPr>
      <w:spacing w:after="120"/>
    </w:pPr>
    <w:rPr>
      <w:rFonts w:eastAsia="Times New Roman"/>
      <w:color w:val="000000" w:themeColor="text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2568BE"/>
    <w:pPr>
      <w:spacing w:after="120"/>
    </w:pPr>
    <w:rPr>
      <w:rFonts w:eastAsia="Times New Roman"/>
      <w:color w:val="000000" w:themeColor="text1"/>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2568BE"/>
    <w:pPr>
      <w:spacing w:after="120"/>
    </w:pPr>
    <w:rPr>
      <w:rFonts w:eastAsia="Times New Roman"/>
      <w:color w:val="000000" w:themeColor="text1"/>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2568BE"/>
    <w:pPr>
      <w:spacing w:after="120"/>
    </w:pPr>
    <w:rPr>
      <w:rFonts w:eastAsia="Times New Roman"/>
      <w:color w:val="000000" w:themeColor="text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2568BE"/>
    <w:pPr>
      <w:spacing w:after="120"/>
    </w:pPr>
    <w:rPr>
      <w:rFonts w:eastAsia="Times New Roman"/>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2568BE"/>
    <w:pPr>
      <w:spacing w:after="120"/>
    </w:pPr>
    <w:rPr>
      <w:rFonts w:eastAsia="Times New Roman"/>
      <w:color w:val="000000" w:themeColor="text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Bullets">
    <w:name w:val="List - Bullets"/>
    <w:uiPriority w:val="99"/>
    <w:rsid w:val="008A28C9"/>
    <w:pPr>
      <w:numPr>
        <w:numId w:val="7"/>
      </w:numPr>
    </w:pPr>
  </w:style>
  <w:style w:type="numbering" w:customStyle="1" w:styleId="List-Numbered">
    <w:name w:val="List - Numbered"/>
    <w:uiPriority w:val="99"/>
    <w:rsid w:val="003D5098"/>
    <w:pPr>
      <w:numPr>
        <w:numId w:val="8"/>
      </w:numPr>
    </w:pPr>
  </w:style>
  <w:style w:type="paragraph" w:customStyle="1" w:styleId="ListAlpha2">
    <w:name w:val="List Alpha 2"/>
    <w:basedOn w:val="ListAlpha"/>
    <w:qFormat/>
    <w:rsid w:val="004C0F1F"/>
    <w:pPr>
      <w:numPr>
        <w:ilvl w:val="1"/>
      </w:numPr>
    </w:pPr>
  </w:style>
  <w:style w:type="paragraph" w:customStyle="1" w:styleId="ListAlpha">
    <w:name w:val="List Alpha"/>
    <w:basedOn w:val="Normal"/>
    <w:qFormat/>
    <w:rsid w:val="004C0F1F"/>
    <w:pPr>
      <w:numPr>
        <w:numId w:val="36"/>
      </w:numPr>
      <w:spacing w:after="120"/>
      <w:ind w:left="908" w:hanging="454"/>
    </w:pPr>
  </w:style>
  <w:style w:type="numbering" w:customStyle="1" w:styleId="List-Alpha">
    <w:name w:val="List - Alpha"/>
    <w:uiPriority w:val="99"/>
    <w:rsid w:val="004C0F1F"/>
    <w:pPr>
      <w:numPr>
        <w:numId w:val="9"/>
      </w:numPr>
    </w:pPr>
  </w:style>
  <w:style w:type="paragraph" w:styleId="NormalWeb">
    <w:name w:val="Normal (Web)"/>
    <w:basedOn w:val="Normal"/>
    <w:uiPriority w:val="99"/>
    <w:semiHidden/>
    <w:unhideWhenUsed/>
    <w:rsid w:val="002568BE"/>
    <w:pPr>
      <w:spacing w:before="100" w:beforeAutospacing="1" w:after="100" w:afterAutospacing="1" w:line="280" w:lineRule="atLeast"/>
    </w:pPr>
    <w:rPr>
      <w:rFonts w:ascii="Times New Roman" w:eastAsiaTheme="minorEastAsia" w:hAnsi="Times New Roman"/>
    </w:rPr>
  </w:style>
  <w:style w:type="paragraph" w:styleId="Bibliography">
    <w:name w:val="Bibliography"/>
    <w:basedOn w:val="Normal"/>
    <w:next w:val="Normal"/>
    <w:uiPriority w:val="37"/>
    <w:semiHidden/>
    <w:rsid w:val="00EF55D3"/>
  </w:style>
  <w:style w:type="character" w:styleId="Hashtag">
    <w:name w:val="Hashtag"/>
    <w:basedOn w:val="DefaultParagraphFont"/>
    <w:uiPriority w:val="99"/>
    <w:semiHidden/>
    <w:rsid w:val="00EF55D3"/>
    <w:rPr>
      <w:color w:val="2B579A"/>
      <w:shd w:val="clear" w:color="auto" w:fill="E1DFDD"/>
    </w:rPr>
  </w:style>
  <w:style w:type="character" w:styleId="HTMLAcronym">
    <w:name w:val="HTML Acronym"/>
    <w:basedOn w:val="DefaultParagraphFont"/>
    <w:semiHidden/>
    <w:rsid w:val="00EF55D3"/>
  </w:style>
  <w:style w:type="paragraph" w:styleId="HTMLAddress">
    <w:name w:val="HTML Address"/>
    <w:basedOn w:val="Normal"/>
    <w:link w:val="HTMLAddressChar"/>
    <w:semiHidden/>
    <w:rsid w:val="00EF55D3"/>
    <w:pPr>
      <w:spacing w:before="0" w:after="0" w:line="240" w:lineRule="auto"/>
    </w:pPr>
    <w:rPr>
      <w:i/>
      <w:iCs/>
    </w:rPr>
  </w:style>
  <w:style w:type="character" w:customStyle="1" w:styleId="HTMLAddressChar">
    <w:name w:val="HTML Address Char"/>
    <w:basedOn w:val="DefaultParagraphFont"/>
    <w:link w:val="HTMLAddress"/>
    <w:semiHidden/>
    <w:rsid w:val="00EF55D3"/>
    <w:rPr>
      <w:rFonts w:asciiTheme="minorHAnsi" w:eastAsia="Times New Roman" w:hAnsiTheme="minorHAnsi"/>
      <w:i/>
      <w:iCs/>
      <w:color w:val="000000" w:themeColor="text1"/>
      <w:sz w:val="22"/>
      <w:szCs w:val="22"/>
    </w:rPr>
  </w:style>
  <w:style w:type="character" w:styleId="HTMLCite">
    <w:name w:val="HTML Cite"/>
    <w:basedOn w:val="DefaultParagraphFont"/>
    <w:semiHidden/>
    <w:rsid w:val="00EF55D3"/>
    <w:rPr>
      <w:i/>
      <w:iCs/>
    </w:rPr>
  </w:style>
  <w:style w:type="character" w:styleId="HTMLCode">
    <w:name w:val="HTML Code"/>
    <w:basedOn w:val="DefaultParagraphFont"/>
    <w:semiHidden/>
    <w:rsid w:val="00EF55D3"/>
    <w:rPr>
      <w:rFonts w:ascii="Consolas" w:hAnsi="Consolas" w:cs="Consolas"/>
      <w:sz w:val="20"/>
      <w:szCs w:val="20"/>
    </w:rPr>
  </w:style>
  <w:style w:type="character" w:styleId="HTMLDefinition">
    <w:name w:val="HTML Definition"/>
    <w:basedOn w:val="DefaultParagraphFont"/>
    <w:semiHidden/>
    <w:rsid w:val="00EF55D3"/>
    <w:rPr>
      <w:i/>
      <w:iCs/>
    </w:rPr>
  </w:style>
  <w:style w:type="character" w:styleId="HTMLKeyboard">
    <w:name w:val="HTML Keyboard"/>
    <w:basedOn w:val="DefaultParagraphFont"/>
    <w:semiHidden/>
    <w:rsid w:val="00EF55D3"/>
    <w:rPr>
      <w:rFonts w:ascii="Consolas" w:hAnsi="Consolas" w:cs="Consolas"/>
      <w:sz w:val="20"/>
      <w:szCs w:val="20"/>
    </w:rPr>
  </w:style>
  <w:style w:type="paragraph" w:styleId="HTMLPreformatted">
    <w:name w:val="HTML Preformatted"/>
    <w:basedOn w:val="Normal"/>
    <w:link w:val="HTMLPreformattedChar"/>
    <w:semiHidden/>
    <w:rsid w:val="00EF55D3"/>
    <w:pPr>
      <w:spacing w:before="0"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semiHidden/>
    <w:rsid w:val="00EF55D3"/>
    <w:rPr>
      <w:rFonts w:ascii="Consolas" w:eastAsia="Times New Roman" w:hAnsi="Consolas" w:cs="Consolas"/>
      <w:color w:val="000000" w:themeColor="text1"/>
    </w:rPr>
  </w:style>
  <w:style w:type="character" w:styleId="HTMLSample">
    <w:name w:val="HTML Sample"/>
    <w:basedOn w:val="DefaultParagraphFont"/>
    <w:semiHidden/>
    <w:rsid w:val="00EF55D3"/>
    <w:rPr>
      <w:rFonts w:ascii="Consolas" w:hAnsi="Consolas" w:cs="Consolas"/>
      <w:sz w:val="24"/>
      <w:szCs w:val="24"/>
    </w:rPr>
  </w:style>
  <w:style w:type="character" w:styleId="HTMLTypewriter">
    <w:name w:val="HTML Typewriter"/>
    <w:basedOn w:val="DefaultParagraphFont"/>
    <w:semiHidden/>
    <w:rsid w:val="00EF55D3"/>
    <w:rPr>
      <w:rFonts w:ascii="Consolas" w:hAnsi="Consolas" w:cs="Consolas"/>
      <w:sz w:val="20"/>
      <w:szCs w:val="20"/>
    </w:rPr>
  </w:style>
  <w:style w:type="character" w:styleId="HTMLVariable">
    <w:name w:val="HTML Variable"/>
    <w:basedOn w:val="DefaultParagraphFont"/>
    <w:semiHidden/>
    <w:rsid w:val="00EF55D3"/>
    <w:rPr>
      <w:i/>
      <w:iCs/>
    </w:rPr>
  </w:style>
  <w:style w:type="paragraph" w:styleId="Index1">
    <w:name w:val="index 1"/>
    <w:basedOn w:val="Normal"/>
    <w:next w:val="Normal"/>
    <w:autoRedefine/>
    <w:semiHidden/>
    <w:rsid w:val="00EF55D3"/>
    <w:pPr>
      <w:spacing w:before="0" w:after="0" w:line="240" w:lineRule="auto"/>
      <w:ind w:left="220" w:hanging="220"/>
    </w:pPr>
  </w:style>
  <w:style w:type="paragraph" w:styleId="Index2">
    <w:name w:val="index 2"/>
    <w:basedOn w:val="Normal"/>
    <w:next w:val="Normal"/>
    <w:autoRedefine/>
    <w:semiHidden/>
    <w:rsid w:val="00EF55D3"/>
    <w:pPr>
      <w:spacing w:before="0" w:after="0" w:line="240" w:lineRule="auto"/>
      <w:ind w:left="440" w:hanging="220"/>
    </w:pPr>
  </w:style>
  <w:style w:type="paragraph" w:styleId="Index3">
    <w:name w:val="index 3"/>
    <w:basedOn w:val="Normal"/>
    <w:next w:val="Normal"/>
    <w:autoRedefine/>
    <w:semiHidden/>
    <w:rsid w:val="00EF55D3"/>
    <w:pPr>
      <w:spacing w:before="0" w:after="0" w:line="240" w:lineRule="auto"/>
      <w:ind w:left="660" w:hanging="220"/>
    </w:pPr>
  </w:style>
  <w:style w:type="paragraph" w:styleId="Index4">
    <w:name w:val="index 4"/>
    <w:basedOn w:val="Normal"/>
    <w:next w:val="Normal"/>
    <w:autoRedefine/>
    <w:semiHidden/>
    <w:rsid w:val="00EF55D3"/>
    <w:pPr>
      <w:spacing w:before="0" w:after="0" w:line="240" w:lineRule="auto"/>
      <w:ind w:left="880" w:hanging="220"/>
    </w:pPr>
  </w:style>
  <w:style w:type="paragraph" w:styleId="Index5">
    <w:name w:val="index 5"/>
    <w:basedOn w:val="Normal"/>
    <w:next w:val="Normal"/>
    <w:autoRedefine/>
    <w:semiHidden/>
    <w:rsid w:val="00EF55D3"/>
    <w:pPr>
      <w:spacing w:before="0" w:after="0" w:line="240" w:lineRule="auto"/>
      <w:ind w:left="1100" w:hanging="220"/>
    </w:pPr>
  </w:style>
  <w:style w:type="paragraph" w:styleId="Index6">
    <w:name w:val="index 6"/>
    <w:basedOn w:val="Normal"/>
    <w:next w:val="Normal"/>
    <w:autoRedefine/>
    <w:semiHidden/>
    <w:rsid w:val="00EF55D3"/>
    <w:pPr>
      <w:spacing w:before="0" w:after="0" w:line="240" w:lineRule="auto"/>
      <w:ind w:left="1320" w:hanging="220"/>
    </w:pPr>
  </w:style>
  <w:style w:type="paragraph" w:styleId="Index7">
    <w:name w:val="index 7"/>
    <w:basedOn w:val="Normal"/>
    <w:next w:val="Normal"/>
    <w:autoRedefine/>
    <w:semiHidden/>
    <w:rsid w:val="00EF55D3"/>
    <w:pPr>
      <w:spacing w:before="0" w:after="0" w:line="240" w:lineRule="auto"/>
      <w:ind w:left="1540" w:hanging="220"/>
    </w:pPr>
  </w:style>
  <w:style w:type="paragraph" w:styleId="Index8">
    <w:name w:val="index 8"/>
    <w:basedOn w:val="Normal"/>
    <w:next w:val="Normal"/>
    <w:autoRedefine/>
    <w:semiHidden/>
    <w:rsid w:val="00EF55D3"/>
    <w:pPr>
      <w:spacing w:before="0" w:after="0" w:line="240" w:lineRule="auto"/>
      <w:ind w:left="1760" w:hanging="220"/>
    </w:pPr>
  </w:style>
  <w:style w:type="paragraph" w:styleId="Index9">
    <w:name w:val="index 9"/>
    <w:basedOn w:val="Normal"/>
    <w:next w:val="Normal"/>
    <w:autoRedefine/>
    <w:semiHidden/>
    <w:rsid w:val="00EF55D3"/>
    <w:pPr>
      <w:spacing w:before="0" w:after="0" w:line="240" w:lineRule="auto"/>
      <w:ind w:left="1980" w:hanging="220"/>
    </w:pPr>
  </w:style>
  <w:style w:type="paragraph" w:styleId="IndexHeading">
    <w:name w:val="index heading"/>
    <w:basedOn w:val="Normal"/>
    <w:next w:val="Index1"/>
    <w:semiHidden/>
    <w:rsid w:val="00EF55D3"/>
    <w:rPr>
      <w:rFonts w:asciiTheme="majorHAnsi" w:eastAsiaTheme="majorEastAsia" w:hAnsiTheme="majorHAnsi" w:cstheme="majorBidi"/>
      <w:b/>
      <w:bCs/>
    </w:rPr>
  </w:style>
  <w:style w:type="paragraph" w:styleId="ListNumber5">
    <w:name w:val="List Number 5"/>
    <w:basedOn w:val="Normal"/>
    <w:semiHidden/>
    <w:rsid w:val="00EF55D3"/>
    <w:pPr>
      <w:numPr>
        <w:numId w:val="14"/>
      </w:numPr>
      <w:contextualSpacing/>
    </w:pPr>
  </w:style>
  <w:style w:type="paragraph" w:customStyle="1" w:styleId="TableBullet">
    <w:name w:val="Table Bullet"/>
    <w:basedOn w:val="BodyText"/>
    <w:qFormat/>
    <w:rsid w:val="00A72FB5"/>
    <w:pPr>
      <w:numPr>
        <w:numId w:val="15"/>
      </w:numPr>
    </w:pPr>
  </w:style>
  <w:style w:type="paragraph" w:styleId="MacroText">
    <w:name w:val="macro"/>
    <w:link w:val="MacroTextChar"/>
    <w:semiHidden/>
    <w:rsid w:val="00EF55D3"/>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color w:val="000000" w:themeColor="text1"/>
    </w:rPr>
  </w:style>
  <w:style w:type="character" w:customStyle="1" w:styleId="MacroTextChar">
    <w:name w:val="Macro Text Char"/>
    <w:basedOn w:val="DefaultParagraphFont"/>
    <w:link w:val="MacroText"/>
    <w:semiHidden/>
    <w:rsid w:val="00EF55D3"/>
    <w:rPr>
      <w:rFonts w:ascii="Consolas" w:eastAsia="Times New Roman" w:hAnsi="Consolas" w:cs="Consolas"/>
      <w:color w:val="000000" w:themeColor="text1"/>
    </w:rPr>
  </w:style>
  <w:style w:type="paragraph" w:styleId="MessageHeader">
    <w:name w:val="Message Header"/>
    <w:basedOn w:val="Normal"/>
    <w:link w:val="MessageHeaderChar"/>
    <w:semiHidden/>
    <w:rsid w:val="00EF55D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F55D3"/>
    <w:rPr>
      <w:rFonts w:asciiTheme="majorHAnsi" w:eastAsiaTheme="majorEastAsia" w:hAnsiTheme="majorHAnsi" w:cstheme="majorBidi"/>
      <w:color w:val="000000" w:themeColor="text1"/>
      <w:sz w:val="24"/>
      <w:szCs w:val="24"/>
      <w:shd w:val="pct20" w:color="auto" w:fill="auto"/>
    </w:rPr>
  </w:style>
  <w:style w:type="character" w:styleId="SmartHyperlink">
    <w:name w:val="Smart Hyperlink"/>
    <w:basedOn w:val="DefaultParagraphFont"/>
    <w:uiPriority w:val="99"/>
    <w:semiHidden/>
    <w:rsid w:val="00EF55D3"/>
    <w:rPr>
      <w:u w:val="dotted"/>
    </w:rPr>
  </w:style>
  <w:style w:type="character" w:styleId="SmartLink">
    <w:name w:val="Smart Link"/>
    <w:basedOn w:val="DefaultParagraphFont"/>
    <w:uiPriority w:val="99"/>
    <w:semiHidden/>
    <w:rsid w:val="00EF55D3"/>
    <w:rPr>
      <w:color w:val="0000FF"/>
      <w:u w:val="single"/>
      <w:shd w:val="clear" w:color="auto" w:fill="F3F2F1"/>
    </w:rPr>
  </w:style>
  <w:style w:type="table" w:styleId="Table3Deffects1">
    <w:name w:val="Table 3D effects 1"/>
    <w:basedOn w:val="TableNormal"/>
    <w:semiHidden/>
    <w:unhideWhenUsed/>
    <w:rsid w:val="00EF55D3"/>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F55D3"/>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F55D3"/>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F55D3"/>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F55D3"/>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F55D3"/>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F55D3"/>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EF55D3"/>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EF55D3"/>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EF55D3"/>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F55D3"/>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F55D3"/>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F55D3"/>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F55D3"/>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F55D3"/>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F55D3"/>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F55D3"/>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F55D3"/>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F55D3"/>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F55D3"/>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F55D3"/>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F55D3"/>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F55D3"/>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EF55D3"/>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F55D3"/>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F55D3"/>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F55D3"/>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F55D3"/>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F55D3"/>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F55D3"/>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F55D3"/>
    <w:pPr>
      <w:spacing w:after="0"/>
      <w:ind w:left="220" w:hanging="220"/>
    </w:pPr>
  </w:style>
  <w:style w:type="paragraph" w:styleId="TableofFigures">
    <w:name w:val="table of figures"/>
    <w:basedOn w:val="Normal"/>
    <w:next w:val="Normal"/>
    <w:semiHidden/>
    <w:rsid w:val="00EF55D3"/>
    <w:pPr>
      <w:spacing w:after="0"/>
    </w:pPr>
  </w:style>
  <w:style w:type="table" w:styleId="TableProfessional">
    <w:name w:val="Table Professional"/>
    <w:basedOn w:val="TableNormal"/>
    <w:semiHidden/>
    <w:unhideWhenUsed/>
    <w:rsid w:val="00EF55D3"/>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F55D3"/>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F55D3"/>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F55D3"/>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F55D3"/>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F55D3"/>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F55D3"/>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F55D3"/>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F55D3"/>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F55D3"/>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EF55D3"/>
    <w:rPr>
      <w:rFonts w:asciiTheme="majorHAnsi" w:eastAsiaTheme="majorEastAsia" w:hAnsiTheme="majorHAnsi" w:cstheme="majorBidi"/>
      <w:b/>
      <w:bCs/>
      <w:sz w:val="24"/>
      <w:szCs w:val="24"/>
    </w:rPr>
  </w:style>
  <w:style w:type="paragraph" w:styleId="TOC1">
    <w:name w:val="toc 1"/>
    <w:basedOn w:val="Normal"/>
    <w:next w:val="Normal"/>
    <w:autoRedefine/>
    <w:uiPriority w:val="39"/>
    <w:rsid w:val="00311847"/>
    <w:pPr>
      <w:tabs>
        <w:tab w:val="right" w:pos="9015"/>
      </w:tabs>
      <w:spacing w:before="60" w:after="60"/>
    </w:pPr>
    <w:rPr>
      <w:b/>
      <w:noProof/>
    </w:rPr>
  </w:style>
  <w:style w:type="numbering" w:customStyle="1" w:styleId="List-TableBullets">
    <w:name w:val="List - Table Bullets"/>
    <w:uiPriority w:val="99"/>
    <w:rsid w:val="00A72FB5"/>
    <w:pPr>
      <w:numPr>
        <w:numId w:val="15"/>
      </w:numPr>
    </w:pPr>
  </w:style>
  <w:style w:type="paragraph" w:customStyle="1" w:styleId="List-Priorities">
    <w:name w:val="List - Priorities"/>
    <w:basedOn w:val="Normal"/>
    <w:qFormat/>
    <w:rsid w:val="00311847"/>
    <w:pPr>
      <w:numPr>
        <w:numId w:val="26"/>
      </w:numPr>
    </w:pPr>
  </w:style>
  <w:style w:type="paragraph" w:customStyle="1" w:styleId="List-Priorities2">
    <w:name w:val="List - Priorities 2"/>
    <w:basedOn w:val="List-Priorities"/>
    <w:qFormat/>
    <w:rsid w:val="009D6534"/>
    <w:pPr>
      <w:numPr>
        <w:ilvl w:val="1"/>
      </w:numPr>
    </w:pPr>
  </w:style>
  <w:style w:type="numbering" w:customStyle="1" w:styleId="List-PrioritiesandActions">
    <w:name w:val="List - Priorities and Actions"/>
    <w:uiPriority w:val="99"/>
    <w:rsid w:val="00311847"/>
    <w:pPr>
      <w:numPr>
        <w:numId w:val="16"/>
      </w:numPr>
    </w:pPr>
  </w:style>
  <w:style w:type="paragraph" w:customStyle="1" w:styleId="Note">
    <w:name w:val="Note"/>
    <w:basedOn w:val="BodyText"/>
    <w:qFormat/>
    <w:rsid w:val="008173B5"/>
    <w:rPr>
      <w:sz w:val="20"/>
    </w:rPr>
  </w:style>
  <w:style w:type="paragraph" w:customStyle="1" w:styleId="HangingIndent">
    <w:name w:val="Hanging Indent"/>
    <w:basedOn w:val="BodyText"/>
    <w:qFormat/>
    <w:rsid w:val="00E62DD0"/>
    <w:pPr>
      <w:ind w:left="454" w:hanging="454"/>
    </w:pPr>
  </w:style>
  <w:style w:type="paragraph" w:customStyle="1" w:styleId="Box">
    <w:name w:val="Box"/>
    <w:basedOn w:val="Normal"/>
    <w:uiPriority w:val="29"/>
    <w:qFormat/>
    <w:rsid w:val="008A28C9"/>
    <w:pPr>
      <w:pBdr>
        <w:top w:val="single" w:sz="4" w:space="10" w:color="E6E6E6" w:themeColor="background2"/>
        <w:left w:val="single" w:sz="4" w:space="10" w:color="E6E6E6" w:themeColor="background2"/>
        <w:bottom w:val="single" w:sz="4" w:space="10" w:color="E6E6E6" w:themeColor="background2"/>
        <w:right w:val="single" w:sz="4" w:space="10" w:color="E6E6E6" w:themeColor="background2"/>
      </w:pBdr>
      <w:shd w:val="clear" w:color="auto" w:fill="E6E6E6" w:themeFill="background2"/>
      <w:tabs>
        <w:tab w:val="left" w:pos="567"/>
      </w:tabs>
      <w:ind w:left="227" w:right="227"/>
    </w:pPr>
    <w:rPr>
      <w:sz w:val="24"/>
      <w:szCs w:val="24"/>
    </w:rPr>
  </w:style>
  <w:style w:type="paragraph" w:customStyle="1" w:styleId="BodyTextAfterListTable">
    <w:name w:val="Body Text After List/Table"/>
    <w:basedOn w:val="BodyText"/>
    <w:qFormat/>
    <w:rsid w:val="00311847"/>
    <w:pPr>
      <w:spacing w:before="200"/>
    </w:pPr>
  </w:style>
  <w:style w:type="paragraph" w:customStyle="1" w:styleId="DisclaimerBody">
    <w:name w:val="Disclaimer Body"/>
    <w:basedOn w:val="BodyText"/>
    <w:uiPriority w:val="19"/>
    <w:rsid w:val="00C05564"/>
    <w:pPr>
      <w:spacing w:after="120" w:line="240" w:lineRule="auto"/>
    </w:pPr>
    <w:rPr>
      <w:sz w:val="20"/>
    </w:rPr>
  </w:style>
  <w:style w:type="paragraph" w:customStyle="1" w:styleId="DisclaimerHeading">
    <w:name w:val="Disclaimer Heading"/>
    <w:basedOn w:val="DisclaimerBody"/>
    <w:next w:val="DisclaimerBody"/>
    <w:uiPriority w:val="18"/>
    <w:rsid w:val="00C05564"/>
    <w:pPr>
      <w:spacing w:before="240"/>
    </w:pPr>
    <w:rPr>
      <w:b/>
    </w:rPr>
  </w:style>
  <w:style w:type="paragraph" w:customStyle="1" w:styleId="DisclaimerBullet">
    <w:name w:val="Disclaimer Bullet"/>
    <w:basedOn w:val="DisclaimerBody"/>
    <w:uiPriority w:val="19"/>
    <w:rsid w:val="00C05564"/>
    <w:pPr>
      <w:numPr>
        <w:numId w:val="42"/>
      </w:numPr>
      <w:spacing w:before="60" w:after="60"/>
    </w:pPr>
  </w:style>
  <w:style w:type="paragraph" w:customStyle="1" w:styleId="FooterPageNumber">
    <w:name w:val="Footer Page Number"/>
    <w:basedOn w:val="Footer"/>
    <w:uiPriority w:val="99"/>
    <w:rsid w:val="003844C7"/>
    <w:pPr>
      <w:framePr w:wrap="around" w:vAnchor="text" w:hAnchor="text" w:xAlign="right" w:y="1"/>
      <w:jc w:val="right"/>
    </w:pPr>
  </w:style>
  <w:style w:type="paragraph" w:customStyle="1" w:styleId="BoxNumbered">
    <w:name w:val="Box Numbered"/>
    <w:basedOn w:val="BodyText"/>
    <w:uiPriority w:val="29"/>
    <w:qFormat/>
    <w:rsid w:val="00156823"/>
    <w:pPr>
      <w:numPr>
        <w:numId w:val="49"/>
      </w:numPr>
      <w:pBdr>
        <w:top w:val="single" w:sz="4" w:space="10" w:color="DCF0F4"/>
        <w:left w:val="single" w:sz="4" w:space="10" w:color="DCF0F4"/>
        <w:bottom w:val="single" w:sz="4" w:space="10" w:color="DCF0F4"/>
        <w:right w:val="single" w:sz="4" w:space="10" w:color="DCF0F4"/>
      </w:pBdr>
      <w:shd w:val="clear" w:color="auto" w:fill="DCF0F4"/>
    </w:pPr>
  </w:style>
  <w:style w:type="paragraph" w:customStyle="1" w:styleId="IntroPara">
    <w:name w:val="Intro Para"/>
    <w:basedOn w:val="BodyText"/>
    <w:qFormat/>
    <w:rsid w:val="003A0C75"/>
    <w:pPr>
      <w:spacing w:after="200"/>
    </w:pPr>
    <w:rPr>
      <w:color w:val="00598F" w:themeColor="accent3"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2">
      <w:bodyDiv w:val="1"/>
      <w:marLeft w:val="0"/>
      <w:marRight w:val="0"/>
      <w:marTop w:val="0"/>
      <w:marBottom w:val="0"/>
      <w:divBdr>
        <w:top w:val="none" w:sz="0" w:space="0" w:color="auto"/>
        <w:left w:val="none" w:sz="0" w:space="0" w:color="auto"/>
        <w:bottom w:val="none" w:sz="0" w:space="0" w:color="auto"/>
        <w:right w:val="none" w:sz="0" w:space="0" w:color="auto"/>
      </w:divBdr>
    </w:div>
    <w:div w:id="235895459">
      <w:bodyDiv w:val="1"/>
      <w:marLeft w:val="0"/>
      <w:marRight w:val="0"/>
      <w:marTop w:val="0"/>
      <w:marBottom w:val="0"/>
      <w:divBdr>
        <w:top w:val="none" w:sz="0" w:space="0" w:color="auto"/>
        <w:left w:val="none" w:sz="0" w:space="0" w:color="auto"/>
        <w:bottom w:val="none" w:sz="0" w:space="0" w:color="auto"/>
        <w:right w:val="none" w:sz="0" w:space="0" w:color="auto"/>
      </w:divBdr>
    </w:div>
    <w:div w:id="405306399">
      <w:bodyDiv w:val="1"/>
      <w:marLeft w:val="0"/>
      <w:marRight w:val="0"/>
      <w:marTop w:val="0"/>
      <w:marBottom w:val="0"/>
      <w:divBdr>
        <w:top w:val="none" w:sz="0" w:space="0" w:color="auto"/>
        <w:left w:val="none" w:sz="0" w:space="0" w:color="auto"/>
        <w:bottom w:val="none" w:sz="0" w:space="0" w:color="auto"/>
        <w:right w:val="none" w:sz="0" w:space="0" w:color="auto"/>
      </w:divBdr>
    </w:div>
    <w:div w:id="632567090">
      <w:bodyDiv w:val="1"/>
      <w:marLeft w:val="0"/>
      <w:marRight w:val="0"/>
      <w:marTop w:val="0"/>
      <w:marBottom w:val="0"/>
      <w:divBdr>
        <w:top w:val="none" w:sz="0" w:space="0" w:color="auto"/>
        <w:left w:val="none" w:sz="0" w:space="0" w:color="auto"/>
        <w:bottom w:val="none" w:sz="0" w:space="0" w:color="auto"/>
        <w:right w:val="none" w:sz="0" w:space="0" w:color="auto"/>
      </w:divBdr>
    </w:div>
    <w:div w:id="815685029">
      <w:bodyDiv w:val="1"/>
      <w:marLeft w:val="0"/>
      <w:marRight w:val="0"/>
      <w:marTop w:val="0"/>
      <w:marBottom w:val="0"/>
      <w:divBdr>
        <w:top w:val="none" w:sz="0" w:space="0" w:color="auto"/>
        <w:left w:val="none" w:sz="0" w:space="0" w:color="auto"/>
        <w:bottom w:val="none" w:sz="0" w:space="0" w:color="auto"/>
        <w:right w:val="none" w:sz="0" w:space="0" w:color="auto"/>
      </w:divBdr>
    </w:div>
    <w:div w:id="849880549">
      <w:bodyDiv w:val="1"/>
      <w:marLeft w:val="0"/>
      <w:marRight w:val="0"/>
      <w:marTop w:val="0"/>
      <w:marBottom w:val="0"/>
      <w:divBdr>
        <w:top w:val="none" w:sz="0" w:space="0" w:color="auto"/>
        <w:left w:val="none" w:sz="0" w:space="0" w:color="auto"/>
        <w:bottom w:val="none" w:sz="0" w:space="0" w:color="auto"/>
        <w:right w:val="none" w:sz="0" w:space="0" w:color="auto"/>
      </w:divBdr>
    </w:div>
    <w:div w:id="892161220">
      <w:bodyDiv w:val="1"/>
      <w:marLeft w:val="0"/>
      <w:marRight w:val="0"/>
      <w:marTop w:val="0"/>
      <w:marBottom w:val="0"/>
      <w:divBdr>
        <w:top w:val="none" w:sz="0" w:space="0" w:color="auto"/>
        <w:left w:val="none" w:sz="0" w:space="0" w:color="auto"/>
        <w:bottom w:val="none" w:sz="0" w:space="0" w:color="auto"/>
        <w:right w:val="none" w:sz="0" w:space="0" w:color="auto"/>
      </w:divBdr>
    </w:div>
    <w:div w:id="953751576">
      <w:bodyDiv w:val="1"/>
      <w:marLeft w:val="0"/>
      <w:marRight w:val="0"/>
      <w:marTop w:val="0"/>
      <w:marBottom w:val="0"/>
      <w:divBdr>
        <w:top w:val="none" w:sz="0" w:space="0" w:color="auto"/>
        <w:left w:val="none" w:sz="0" w:space="0" w:color="auto"/>
        <w:bottom w:val="none" w:sz="0" w:space="0" w:color="auto"/>
        <w:right w:val="none" w:sz="0" w:space="0" w:color="auto"/>
      </w:divBdr>
    </w:div>
    <w:div w:id="953903177">
      <w:bodyDiv w:val="1"/>
      <w:marLeft w:val="0"/>
      <w:marRight w:val="0"/>
      <w:marTop w:val="0"/>
      <w:marBottom w:val="0"/>
      <w:divBdr>
        <w:top w:val="none" w:sz="0" w:space="0" w:color="auto"/>
        <w:left w:val="none" w:sz="0" w:space="0" w:color="auto"/>
        <w:bottom w:val="none" w:sz="0" w:space="0" w:color="auto"/>
        <w:right w:val="none" w:sz="0" w:space="0" w:color="auto"/>
      </w:divBdr>
    </w:div>
    <w:div w:id="1259563876">
      <w:bodyDiv w:val="1"/>
      <w:marLeft w:val="0"/>
      <w:marRight w:val="0"/>
      <w:marTop w:val="0"/>
      <w:marBottom w:val="0"/>
      <w:divBdr>
        <w:top w:val="none" w:sz="0" w:space="0" w:color="auto"/>
        <w:left w:val="none" w:sz="0" w:space="0" w:color="auto"/>
        <w:bottom w:val="none" w:sz="0" w:space="0" w:color="auto"/>
        <w:right w:val="none" w:sz="0" w:space="0" w:color="auto"/>
      </w:divBdr>
    </w:div>
    <w:div w:id="1272786477">
      <w:bodyDiv w:val="1"/>
      <w:marLeft w:val="0"/>
      <w:marRight w:val="0"/>
      <w:marTop w:val="0"/>
      <w:marBottom w:val="0"/>
      <w:divBdr>
        <w:top w:val="none" w:sz="0" w:space="0" w:color="auto"/>
        <w:left w:val="none" w:sz="0" w:space="0" w:color="auto"/>
        <w:bottom w:val="none" w:sz="0" w:space="0" w:color="auto"/>
        <w:right w:val="none" w:sz="0" w:space="0" w:color="auto"/>
      </w:divBdr>
    </w:div>
    <w:div w:id="1355424792">
      <w:bodyDiv w:val="1"/>
      <w:marLeft w:val="0"/>
      <w:marRight w:val="0"/>
      <w:marTop w:val="0"/>
      <w:marBottom w:val="0"/>
      <w:divBdr>
        <w:top w:val="none" w:sz="0" w:space="0" w:color="auto"/>
        <w:left w:val="none" w:sz="0" w:space="0" w:color="auto"/>
        <w:bottom w:val="none" w:sz="0" w:space="0" w:color="auto"/>
        <w:right w:val="none" w:sz="0" w:space="0" w:color="auto"/>
      </w:divBdr>
    </w:div>
    <w:div w:id="1479759346">
      <w:bodyDiv w:val="1"/>
      <w:marLeft w:val="0"/>
      <w:marRight w:val="0"/>
      <w:marTop w:val="0"/>
      <w:marBottom w:val="0"/>
      <w:divBdr>
        <w:top w:val="none" w:sz="0" w:space="0" w:color="auto"/>
        <w:left w:val="none" w:sz="0" w:space="0" w:color="auto"/>
        <w:bottom w:val="none" w:sz="0" w:space="0" w:color="auto"/>
        <w:right w:val="none" w:sz="0" w:space="0" w:color="auto"/>
      </w:divBdr>
    </w:div>
    <w:div w:id="1683970831">
      <w:bodyDiv w:val="1"/>
      <w:marLeft w:val="0"/>
      <w:marRight w:val="0"/>
      <w:marTop w:val="0"/>
      <w:marBottom w:val="0"/>
      <w:divBdr>
        <w:top w:val="none" w:sz="0" w:space="0" w:color="auto"/>
        <w:left w:val="none" w:sz="0" w:space="0" w:color="auto"/>
        <w:bottom w:val="none" w:sz="0" w:space="0" w:color="auto"/>
        <w:right w:val="none" w:sz="0" w:space="0" w:color="auto"/>
      </w:divBdr>
    </w:div>
    <w:div w:id="1699969409">
      <w:bodyDiv w:val="1"/>
      <w:marLeft w:val="0"/>
      <w:marRight w:val="0"/>
      <w:marTop w:val="0"/>
      <w:marBottom w:val="0"/>
      <w:divBdr>
        <w:top w:val="none" w:sz="0" w:space="0" w:color="auto"/>
        <w:left w:val="none" w:sz="0" w:space="0" w:color="auto"/>
        <w:bottom w:val="none" w:sz="0" w:space="0" w:color="auto"/>
        <w:right w:val="none" w:sz="0" w:space="0" w:color="auto"/>
      </w:divBdr>
    </w:div>
    <w:div w:id="1736472818">
      <w:bodyDiv w:val="1"/>
      <w:marLeft w:val="0"/>
      <w:marRight w:val="0"/>
      <w:marTop w:val="0"/>
      <w:marBottom w:val="0"/>
      <w:divBdr>
        <w:top w:val="none" w:sz="0" w:space="0" w:color="auto"/>
        <w:left w:val="none" w:sz="0" w:space="0" w:color="auto"/>
        <w:bottom w:val="none" w:sz="0" w:space="0" w:color="auto"/>
        <w:right w:val="none" w:sz="0" w:space="0" w:color="auto"/>
      </w:divBdr>
    </w:div>
    <w:div w:id="1757088426">
      <w:bodyDiv w:val="1"/>
      <w:marLeft w:val="0"/>
      <w:marRight w:val="0"/>
      <w:marTop w:val="0"/>
      <w:marBottom w:val="0"/>
      <w:divBdr>
        <w:top w:val="none" w:sz="0" w:space="0" w:color="auto"/>
        <w:left w:val="none" w:sz="0" w:space="0" w:color="auto"/>
        <w:bottom w:val="none" w:sz="0" w:space="0" w:color="auto"/>
        <w:right w:val="none" w:sz="0" w:space="0" w:color="auto"/>
      </w:divBdr>
    </w:div>
    <w:div w:id="1892112710">
      <w:bodyDiv w:val="1"/>
      <w:marLeft w:val="0"/>
      <w:marRight w:val="0"/>
      <w:marTop w:val="0"/>
      <w:marBottom w:val="0"/>
      <w:divBdr>
        <w:top w:val="none" w:sz="0" w:space="0" w:color="auto"/>
        <w:left w:val="none" w:sz="0" w:space="0" w:color="auto"/>
        <w:bottom w:val="none" w:sz="0" w:space="0" w:color="auto"/>
        <w:right w:val="none" w:sz="0" w:space="0" w:color="auto"/>
      </w:divBdr>
    </w:div>
    <w:div w:id="1998999474">
      <w:bodyDiv w:val="1"/>
      <w:marLeft w:val="0"/>
      <w:marRight w:val="0"/>
      <w:marTop w:val="0"/>
      <w:marBottom w:val="0"/>
      <w:divBdr>
        <w:top w:val="none" w:sz="0" w:space="0" w:color="auto"/>
        <w:left w:val="none" w:sz="0" w:space="0" w:color="auto"/>
        <w:bottom w:val="none" w:sz="0" w:space="0" w:color="auto"/>
        <w:right w:val="none" w:sz="0" w:space="0" w:color="auto"/>
      </w:divBdr>
    </w:div>
    <w:div w:id="2003922642">
      <w:bodyDiv w:val="1"/>
      <w:marLeft w:val="0"/>
      <w:marRight w:val="0"/>
      <w:marTop w:val="0"/>
      <w:marBottom w:val="0"/>
      <w:divBdr>
        <w:top w:val="none" w:sz="0" w:space="0" w:color="auto"/>
        <w:left w:val="none" w:sz="0" w:space="0" w:color="auto"/>
        <w:bottom w:val="none" w:sz="0" w:space="0" w:color="auto"/>
        <w:right w:val="none" w:sz="0" w:space="0" w:color="auto"/>
      </w:divBdr>
    </w:div>
    <w:div w:id="2139445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https://hwd.health.gov.au/resources/primary/nursing-supply-and-demand-study-2023-2035.pdf" TargetMode="External"/><Relationship Id="rId39" Type="http://schemas.openxmlformats.org/officeDocument/2006/relationships/hyperlink" Target="https://www.health.gov.au/committees-and-groups/national-nursing-workforce-strategy-advisory-group" TargetMode="External"/><Relationship Id="rId21" Type="http://schemas.openxmlformats.org/officeDocument/2006/relationships/footer" Target="footer3.xml"/><Relationship Id="rId34" Type="http://schemas.openxmlformats.org/officeDocument/2006/relationships/image" Target="media/image7.jpeg"/><Relationship Id="rId42" Type="http://schemas.openxmlformats.org/officeDocument/2006/relationships/footer" Target="footer5.xml"/><Relationship Id="rId47"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opyright@health.gov.au" TargetMode="External"/><Relationship Id="rId29" Type="http://schemas.openxmlformats.org/officeDocument/2006/relationships/hyperlink" Target="https://www.health.gov.au/resources/collections/national-nursing-workforce-strategy-building-the-evidence-base?language=en" TargetMode="External"/><Relationship Id="rId11" Type="http://schemas.openxmlformats.org/officeDocument/2006/relationships/image" Target="media/image1.png"/><Relationship Id="rId24" Type="http://schemas.openxmlformats.org/officeDocument/2006/relationships/hyperlink" Target="https://www.health.gov.au/committees-and-groups/national-nursing-workforce-strategy-advisory-group" TargetMode="External"/><Relationship Id="rId32" Type="http://schemas.openxmlformats.org/officeDocument/2006/relationships/hyperlink" Target="https://hwd.health.gov.au/resources/information/nhwds.html" TargetMode="External"/><Relationship Id="rId37" Type="http://schemas.openxmlformats.org/officeDocument/2006/relationships/hyperlink" Target="http://www.health.gov.au/nnws" TargetMode="External"/><Relationship Id="rId40" Type="http://schemas.openxmlformats.org/officeDocument/2006/relationships/hyperlink" Target="https://www.nursingmidwiferyboard.gov.au/" TargetMode="External"/><Relationship Id="rId45"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yperlink" Target="https://www.pmc.gov.au/resources/commonwealth-coat-arms-information-and-guidelines" TargetMode="External"/><Relationship Id="rId23" Type="http://schemas.openxmlformats.org/officeDocument/2006/relationships/hyperlink" Target="https://www.health.gov.au/committees-and-groups/national-nursing-workforce-strategy-steering-committee" TargetMode="External"/><Relationship Id="rId28" Type="http://schemas.openxmlformats.org/officeDocument/2006/relationships/image" Target="media/image4.jpeg"/><Relationship Id="rId36" Type="http://schemas.openxmlformats.org/officeDocument/2006/relationships/image" Target="media/image9.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6.jpe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legalcode" TargetMode="External"/><Relationship Id="rId22" Type="http://schemas.openxmlformats.org/officeDocument/2006/relationships/footer" Target="footer4.xml"/><Relationship Id="rId27" Type="http://schemas.openxmlformats.org/officeDocument/2006/relationships/hyperlink" Target="https://hwd.health.gov.au/resources/primary/nursing-supply-and-demand-study-2023-2035.pdf" TargetMode="External"/><Relationship Id="rId30" Type="http://schemas.openxmlformats.org/officeDocument/2006/relationships/image" Target="media/image5.jpeg"/><Relationship Id="rId35" Type="http://schemas.openxmlformats.org/officeDocument/2006/relationships/image" Target="media/image8.jpeg"/><Relationship Id="rId43" Type="http://schemas.openxmlformats.org/officeDocument/2006/relationships/footer" Target="footer6.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eader" Target="header1.xml"/><Relationship Id="rId25" Type="http://schemas.openxmlformats.org/officeDocument/2006/relationships/hyperlink" Target="https://hwd.health.gov.au/resources/information/nhwds.html" TargetMode="External"/><Relationship Id="rId33" Type="http://schemas.openxmlformats.org/officeDocument/2006/relationships/hyperlink" Target="https://hwd.health.gov.au/resources/primary/nursing-supply-and-demand-study-2023-2035.pdf" TargetMode="External"/><Relationship Id="rId38" Type="http://schemas.openxmlformats.org/officeDocument/2006/relationships/hyperlink" Target="https://www.health.gov.au/committees-and-groups/national-nursing-workforce-strategy-steering-committee" TargetMode="External"/><Relationship Id="rId46" Type="http://schemas.openxmlformats.org/officeDocument/2006/relationships/header" Target="header4.xml"/><Relationship Id="rId20" Type="http://schemas.openxmlformats.org/officeDocument/2006/relationships/header" Target="header2.xml"/><Relationship Id="rId41" Type="http://schemas.openxmlformats.org/officeDocument/2006/relationships/hyperlink" Target="https://www.health.gov.au/resources/publications/guide-to-aged-care-law/chapter-1-introduction/aged-care-code-of-conduct" TargetMode="External"/><Relationship Id="rId1" Type="http://schemas.openxmlformats.org/officeDocument/2006/relationships/customXml" Target="../customXml/item1.xml"/><Relationship Id="rId6" Type="http://schemas.openxmlformats.org/officeDocument/2006/relationships/styles" Target="styles.xml"/></Relationships>
</file>

<file path=word/_rels/endnotes.xml.rels><?xml version="1.0" encoding="UTF-8" standalone="yes"?>
<Relationships xmlns="http://schemas.openxmlformats.org/package/2006/relationships"><Relationship Id="rId26" Type="http://schemas.openxmlformats.org/officeDocument/2006/relationships/hyperlink" Target="https://www.acn.edu.au/advocacy-policy/policy-paper-men-in-nursing-guiding-principles" TargetMode="External"/><Relationship Id="rId21" Type="http://schemas.openxmlformats.org/officeDocument/2006/relationships/hyperlink" Target="https://www.icn.ch/sites/default/files/2023-04/Sustain%20and%20Retain%20in%202022%20and%20Beyond-%20The%20global%20nursing%20workforce%20and%20the%20COVID-19%20pandemic.pdf" TargetMode="External"/><Relationship Id="rId42" Type="http://schemas.openxmlformats.org/officeDocument/2006/relationships/hyperlink" Target="https://nla.gov.au/nla.obj-2966079742/view" TargetMode="External"/><Relationship Id="rId47" Type="http://schemas.openxmlformats.org/officeDocument/2006/relationships/hyperlink" Target="https://www.nursingmidwiferyboard.gov.au/codes-guidelines-statements/professional-standards/registered-nurse-standards-for-practice.aspx" TargetMode="External"/><Relationship Id="rId63" Type="http://schemas.openxmlformats.org/officeDocument/2006/relationships/hyperlink" Target="https://doi.org/10.5694/mja17.00328" TargetMode="External"/><Relationship Id="rId68" Type="http://schemas.openxmlformats.org/officeDocument/2006/relationships/hyperlink" Target="https://doi.org/10.1016/j.nepr.2021.103039" TargetMode="External"/><Relationship Id="rId16" Type="http://schemas.openxmlformats.org/officeDocument/2006/relationships/hyperlink" Target="https://doi.org/10.1002/hec.1053" TargetMode="External"/><Relationship Id="rId11" Type="http://schemas.openxmlformats.org/officeDocument/2006/relationships/hyperlink" Target="https://www.icn.ch/sites/default/files/2023-07/ICN_Recover-to-Rebuild_report_EN.pdf" TargetMode="External"/><Relationship Id="rId24" Type="http://schemas.openxmlformats.org/officeDocument/2006/relationships/hyperlink" Target="https://www.icn.ch/resources/publications-and-reports/international-nurses-day-2024-report" TargetMode="External"/><Relationship Id="rId32" Type="http://schemas.openxmlformats.org/officeDocument/2006/relationships/hyperlink" Target="https://www.icn.ch/resources/publications-and-reports" TargetMode="External"/><Relationship Id="rId37" Type="http://schemas.openxmlformats.org/officeDocument/2006/relationships/hyperlink" Target="https://www.health.gov.au/sites/default/files/documents/2019/12/educating-the-nurse-of-the-future.pdf" TargetMode="External"/><Relationship Id="rId40" Type="http://schemas.openxmlformats.org/officeDocument/2006/relationships/hyperlink" Target="https://www.health.gov.au/resources/publications/national-nursing-workforce-strategy-volume-1-research-report?language=en" TargetMode="External"/><Relationship Id="rId45" Type="http://schemas.openxmlformats.org/officeDocument/2006/relationships/hyperlink" Target="https://www.acn.edu.au/wp-content/uploads/position-statement-nurse-genomics-clinical-practice.pdf" TargetMode="External"/><Relationship Id="rId53" Type="http://schemas.openxmlformats.org/officeDocument/2006/relationships/hyperlink" Target="https://doi.org/10.1080/10376178.2024.2336230" TargetMode="External"/><Relationship Id="rId58" Type="http://schemas.openxmlformats.org/officeDocument/2006/relationships/hyperlink" Target="https://catsinam.org.au/common/Uploaded%20files/_CATSINaM/2024/CATSINaM-NNWS-Submission_Final.pdf" TargetMode="External"/><Relationship Id="rId66" Type="http://schemas.openxmlformats.org/officeDocument/2006/relationships/hyperlink" Target="https://www.aihw.gov.au/getmedia/4f8276f5-e467-442e-a9ef-80b8c010c690/ctgc-ip13.pdf?v=20230605181254&amp;inline=true" TargetMode="External"/><Relationship Id="rId74" Type="http://schemas.openxmlformats.org/officeDocument/2006/relationships/hyperlink" Target="https://www.health.gov.au/resources/publications/the-national-rural-and-remote-nursing-generalist-framework-2023-2027?language=en" TargetMode="External"/><Relationship Id="rId79" Type="http://schemas.openxmlformats.org/officeDocument/2006/relationships/hyperlink" Target="https://www.nursingmidwiferyboard.gov.au/Codes-Guidelines-Statements/Professional-standards/nurse-practitioner-standards-of-practice.aspx" TargetMode="External"/><Relationship Id="rId5" Type="http://schemas.openxmlformats.org/officeDocument/2006/relationships/hyperlink" Target="https://www.aihw.gov.au/reports/australias-health/profile-of-australias-population" TargetMode="External"/><Relationship Id="rId61" Type="http://schemas.openxmlformats.org/officeDocument/2006/relationships/hyperlink" Target="https://humanrights.gov.au/sites/default/files/2024-11/NARF_Full_Report_FINAL_DIGITAL_ACCESSIBLE.pdf" TargetMode="External"/><Relationship Id="rId19" Type="http://schemas.openxmlformats.org/officeDocument/2006/relationships/hyperlink" Target="https://www.who.int/publications/i/item/9789241511308" TargetMode="External"/><Relationship Id="rId14" Type="http://schemas.openxmlformats.org/officeDocument/2006/relationships/hyperlink" Target="https://www.mckinsey.com/~/media/mckinsey/industries/public%20and%20social%20sector/our%20insights/prioritizing%20health%20a%20prescription%20for%20prosperity/mgi_prioritizing%20health_report_july%202020.pdf" TargetMode="External"/><Relationship Id="rId22" Type="http://schemas.openxmlformats.org/officeDocument/2006/relationships/hyperlink" Target="https://iris.who.int/bitstream/handle/10665/331677/9789240003279-eng.pdf?sequence=1" TargetMode="External"/><Relationship Id="rId27" Type="http://schemas.openxmlformats.org/officeDocument/2006/relationships/hyperlink" Target="https://hwd.health.gov.au/resources/primary/nursing-supply-and-demand-study-2023-2035.pdf" TargetMode="External"/><Relationship Id="rId30" Type="http://schemas.openxmlformats.org/officeDocument/2006/relationships/hyperlink" Target="https://www.aihw.gov.au/reports/australias-health/health-system-overview" TargetMode="External"/><Relationship Id="rId35" Type="http://schemas.openxmlformats.org/officeDocument/2006/relationships/hyperlink" Target="https://www.health.gov.au/resources/publications/national-nursing-workforce-strategy-volume-1-research-report?language=en" TargetMode="External"/><Relationship Id="rId43" Type="http://schemas.openxmlformats.org/officeDocument/2006/relationships/hyperlink" Target="https://www.health.gov.au/resources/publications/national-nursing-workforce-strategy-volume-2-research-report?language=en" TargetMode="External"/><Relationship Id="rId48" Type="http://schemas.openxmlformats.org/officeDocument/2006/relationships/hyperlink" Target="https://www.health.gov.au/sites/default/files/2024-04/unleashing-the-potential-of-our-health-workforce-scope-of-practice-review-issues-paper-2_0.pdf" TargetMode="External"/><Relationship Id="rId56" Type="http://schemas.openxmlformats.org/officeDocument/2006/relationships/hyperlink" Target="https://doi.org/10.1016/j.ijnurstu.2020.103842" TargetMode="External"/><Relationship Id="rId64" Type="http://schemas.openxmlformats.org/officeDocument/2006/relationships/hyperlink" Target="https://doi.org/10.3389/fpsyg.2022.936181" TargetMode="External"/><Relationship Id="rId69" Type="http://schemas.openxmlformats.org/officeDocument/2006/relationships/hyperlink" Target="https://doi.org/10.1016/j.ijnurstu.2013.05.015" TargetMode="External"/><Relationship Id="rId77" Type="http://schemas.openxmlformats.org/officeDocument/2006/relationships/hyperlink" Target="https://www.nursingmidwiferyboard.gov.au/Codes-Guidelines-Statements/Professional-standards/registered-nurse-standards-for-practice.aspx" TargetMode="External"/><Relationship Id="rId8" Type="http://schemas.openxmlformats.org/officeDocument/2006/relationships/hyperlink" Target="https://www.icn.ch/sites/default/files/2023-07/ICN_Recover-to-Rebuild_report_EN.pdf" TargetMode="External"/><Relationship Id="rId51" Type="http://schemas.openxmlformats.org/officeDocument/2006/relationships/hyperlink" Target="https://www.health.gov.au/resources/publications/national-health-and-climate-strategy?language=en" TargetMode="External"/><Relationship Id="rId72" Type="http://schemas.openxmlformats.org/officeDocument/2006/relationships/hyperlink" Target="https://doi.org/10.3390/healthcare8040522" TargetMode="External"/><Relationship Id="rId80" Type="http://schemas.openxmlformats.org/officeDocument/2006/relationships/hyperlink" Target="https://hwd.health.gov.au/resources/primary/nursing-supply-and-demand-study-2023-2035.pdf" TargetMode="External"/><Relationship Id="rId3" Type="http://schemas.openxmlformats.org/officeDocument/2006/relationships/hyperlink" Target="https://www.britannica.com/topic/list-of-the-total-areas-of-the-worlds-countries-dependencies-and-territories-2130540" TargetMode="External"/><Relationship Id="rId12" Type="http://schemas.openxmlformats.org/officeDocument/2006/relationships/hyperlink" Target="https://www.icn.ch/sites/default/files/2023-07/ICN_Recover-to-Rebuild_report_EN.pdf" TargetMode="External"/><Relationship Id="rId17" Type="http://schemas.openxmlformats.org/officeDocument/2006/relationships/hyperlink" Target="https://www.mckinsey.com/~/media/mckinsey/industries/public%20and%20social%20sector/our%20insights/prioritizing%20health%20a%20prescription%20for%20prosperity/mgi_prioritizing%20health_report_july%202020.pdf" TargetMode="External"/><Relationship Id="rId25" Type="http://schemas.openxmlformats.org/officeDocument/2006/relationships/hyperlink" Target="https://www.rcn.org.uk/professional-development/publications/pub-007954" TargetMode="External"/><Relationship Id="rId33" Type="http://schemas.openxmlformats.org/officeDocument/2006/relationships/hyperlink" Target="https://www.pmc.gov.au/resources/covid-19-response-inquiry-report" TargetMode="External"/><Relationship Id="rId38" Type="http://schemas.openxmlformats.org/officeDocument/2006/relationships/hyperlink" Target="https://www.health.gov.au/resources/publications/national-nursing-workforce-strategy-volume-1-research-report?language=en" TargetMode="External"/><Relationship Id="rId46" Type="http://schemas.openxmlformats.org/officeDocument/2006/relationships/hyperlink" Target="https://www.health.gov.au/sites/default/files/2024-11/unleashing-the-potential-of-our-health-workforce-scope-of-practice-review-final-report_0.pdf" TargetMode="External"/><Relationship Id="rId59" Type="http://schemas.openxmlformats.org/officeDocument/2006/relationships/hyperlink" Target="https://www.aihw.gov.au/reports-data/population-groups/cald-australians/overview" TargetMode="External"/><Relationship Id="rId67" Type="http://schemas.openxmlformats.org/officeDocument/2006/relationships/hyperlink" Target="https://apo.org.au/sites/default/files/resource-files/2023-12/apo-nid325439_0.pdf" TargetMode="External"/><Relationship Id="rId20" Type="http://schemas.openxmlformats.org/officeDocument/2006/relationships/hyperlink" Target="https://www.unimelb.edu.au/__data/assets/pdf_file/0004/4085194/katelyn_mannix_report.pdf" TargetMode="External"/><Relationship Id="rId41" Type="http://schemas.openxmlformats.org/officeDocument/2006/relationships/hyperlink" Target="https://www.education.gov.au/australian-universities-accord/resources/final-report" TargetMode="External"/><Relationship Id="rId54" Type="http://schemas.openxmlformats.org/officeDocument/2006/relationships/hyperlink" Target="https://www.icn.ch/sites/default/files/inline-files/ICN%20PS%20Nurses%252c%20climate%20change%20and%20health%20FINAL%20.pdf" TargetMode="External"/><Relationship Id="rId62" Type="http://schemas.openxmlformats.org/officeDocument/2006/relationships/hyperlink" Target="https://doi.org/10.1186/s12939-019-1082-3" TargetMode="External"/><Relationship Id="rId70" Type="http://schemas.openxmlformats.org/officeDocument/2006/relationships/hyperlink" Target="https://doi.org/10.1097/01.naj.0000681648.48249.16" TargetMode="External"/><Relationship Id="rId75" Type="http://schemas.openxmlformats.org/officeDocument/2006/relationships/hyperlink" Target="https://doi.org/10.5694/mja2.52032" TargetMode="External"/><Relationship Id="rId1" Type="http://schemas.openxmlformats.org/officeDocument/2006/relationships/hyperlink" Target="https://www.who.int/publications/i/item/9789241511308" TargetMode="External"/><Relationship Id="rId6" Type="http://schemas.openxmlformats.org/officeDocument/2006/relationships/hyperlink" Target="https://www.aihw.gov.au/reports/australias-health/profile-of-australias-population" TargetMode="External"/><Relationship Id="rId15" Type="http://schemas.openxmlformats.org/officeDocument/2006/relationships/hyperlink" Target="https://www.icn.ch/resources/publications-and-reports/international-nurses-day-2024-report" TargetMode="External"/><Relationship Id="rId23" Type="http://schemas.openxmlformats.org/officeDocument/2006/relationships/hyperlink" Target="https://hwd.health.gov.au/resources/dashboards/nhwds-nursing-factsheets.html" TargetMode="External"/><Relationship Id="rId28" Type="http://schemas.openxmlformats.org/officeDocument/2006/relationships/hyperlink" Target="https://hwd.health.gov.au/supply-and-demand/nursing-supply-demand-study.html" TargetMode="External"/><Relationship Id="rId36" Type="http://schemas.openxmlformats.org/officeDocument/2006/relationships/hyperlink" Target="https://www.health.gov.au/resources/publications/national-nursing-workforce-strategy-volume-2-research-report?language=en" TargetMode="External"/><Relationship Id="rId49" Type="http://schemas.openxmlformats.org/officeDocument/2006/relationships/hyperlink" Target="https://www.health.gov.au/resources/publications/national-nursing-workforce-strategy-volume-2-research-report?language=en" TargetMode="External"/><Relationship Id="rId57" Type="http://schemas.openxmlformats.org/officeDocument/2006/relationships/hyperlink" Target="https://www.health.gov.au/resources/publications/national-aboriginal-and-torres-strait-islander-health-workforce-strategic-framework-and-implementation-plan-2021-2031?language=en" TargetMode="External"/><Relationship Id="rId10" Type="http://schemas.openxmlformats.org/officeDocument/2006/relationships/hyperlink" Target="https://hwd.health.gov.au/resources/dashboards/nhwds-nursing-factsheets.html" TargetMode="External"/><Relationship Id="rId31" Type="http://schemas.openxmlformats.org/officeDocument/2006/relationships/hyperlink" Target="https://iris.who.int/bitstream/handle/10665/344562/9789240033863-eng.pdf?sequence=1" TargetMode="External"/><Relationship Id="rId44" Type="http://schemas.openxmlformats.org/officeDocument/2006/relationships/hyperlink" Target="https://www.health.gov.au/topics/genetics-and-genomics" TargetMode="External"/><Relationship Id="rId52" Type="http://schemas.openxmlformats.org/officeDocument/2006/relationships/hyperlink" Target="https://www.icn.ch/sites/default/files/inline-files/ICN%20PS%20Nurses%252c%20climate%20change%20and%20health%20FINAL%20.pdf" TargetMode="External"/><Relationship Id="rId60" Type="http://schemas.openxmlformats.org/officeDocument/2006/relationships/hyperlink" Target="https://humanrights.gov.au/__data/assets/file/0015/50334/Consultation_report.pdf" TargetMode="External"/><Relationship Id="rId65" Type="http://schemas.openxmlformats.org/officeDocument/2006/relationships/hyperlink" Target="https://doi.org/10.1111/jan.13854" TargetMode="External"/><Relationship Id="rId73" Type="http://schemas.openxmlformats.org/officeDocument/2006/relationships/hyperlink" Target="https://iris.who.int/bitstream/handle/10665/341139/9789240024229-eng.pdf?sequence=1" TargetMode="External"/><Relationship Id="rId78" Type="http://schemas.openxmlformats.org/officeDocument/2006/relationships/hyperlink" Target="https://www.nursingmidwiferyboard.gov.au/Codes-Guidelines-Statements/Professional-standards/enrolled-nurse-standards-for-practice.aspx" TargetMode="External"/><Relationship Id="rId4" Type="http://schemas.openxmlformats.org/officeDocument/2006/relationships/hyperlink" Target="https://www.abs.gov.au/statistics/people/population/national-state-and-territory-population/jun-2024" TargetMode="External"/><Relationship Id="rId9" Type="http://schemas.openxmlformats.org/officeDocument/2006/relationships/hyperlink" Target="https://www.aihw.gov.au/reports/workforce/health-workforce" TargetMode="External"/><Relationship Id="rId13" Type="http://schemas.openxmlformats.org/officeDocument/2006/relationships/hyperlink" Target="https://www.icn.ch/resources/publications-and-reports/international-nurses-day-2024-report" TargetMode="External"/><Relationship Id="rId18" Type="http://schemas.openxmlformats.org/officeDocument/2006/relationships/hyperlink" Target="https://www.mckinsey.com/~/media/mckinsey/industries/public%20and%20social%20sector/our%20insights/prioritizing%20health%20a%20prescription%20for%20prosperity/mgi_prioritizing%20health_report_july%202020.pdf" TargetMode="External"/><Relationship Id="rId39" Type="http://schemas.openxmlformats.org/officeDocument/2006/relationships/hyperlink" Target="https://www.health.gov.au/resources/publications/national-nursing-workforce-strategy-volume-1-research-report?language=en" TargetMode="External"/><Relationship Id="rId34" Type="http://schemas.openxmlformats.org/officeDocument/2006/relationships/hyperlink" Target="https://www.health.gov.au/resources/publications/national-nursing-workforce-strategy-volume-1-research-report?language=en" TargetMode="External"/><Relationship Id="rId50" Type="http://schemas.openxmlformats.org/officeDocument/2006/relationships/hyperlink" Target="https://www.health.gov.au/sites/default/files/2024-04/unleashing-the-potential-of-our-health-workforce-scope-of-practice-review-issues-paper-2_0.pdf" TargetMode="External"/><Relationship Id="rId55" Type="http://schemas.openxmlformats.org/officeDocument/2006/relationships/hyperlink" Target="https://www.icn.ch/sites/default/files/2023-06/ICN_Code-of-Ethics_EN_Web.pdf" TargetMode="External"/><Relationship Id="rId76" Type="http://schemas.openxmlformats.org/officeDocument/2006/relationships/hyperlink" Target="https://www.nursingmidwiferyboard.gov.au/Codes-Guidelines-Statements/FAQ/Fact-sheet-scope-of-practice-and-capabilities-of-nurses.aspx" TargetMode="External"/><Relationship Id="rId7" Type="http://schemas.openxmlformats.org/officeDocument/2006/relationships/hyperlink" Target="https://www.icn.ch/sites/default/files/2023-07/ICN_Recover-to-Rebuild_report_EN.pdf" TargetMode="External"/><Relationship Id="rId71" Type="http://schemas.openxmlformats.org/officeDocument/2006/relationships/hyperlink" Target="https://doi.org/10.1177/2165079920901533" TargetMode="External"/><Relationship Id="rId2" Type="http://schemas.openxmlformats.org/officeDocument/2006/relationships/hyperlink" Target="https://www.icn.ch/resources/publications-and-reports/international-nurses-day-2024-report" TargetMode="External"/><Relationship Id="rId29" Type="http://schemas.openxmlformats.org/officeDocument/2006/relationships/hyperlink" Target="https://www.health.gov.au/our-work/2020-25-national-health-reform-agreement-nhra"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3F4A75"/>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d83999-3925-4a8c-8d71-3418e815230e" xsi:nil="true"/>
    <lcf76f155ced4ddcb4097134ff3c332f xmlns="14b199b6-5bb1-471a-bba6-9fa51ea13b5a">
      <Terms xmlns="http://schemas.microsoft.com/office/infopath/2007/PartnerControls"/>
    </lcf76f155ced4ddcb4097134ff3c332f>
    <DocumentNumber xmlns="14b199b6-5bb1-471a-bba6-9fa51ea13b5a">XX-XXXX-XXX-XX-00000</DocumentNumber>
    <VersionNumber xmlns="14b199b6-5bb1-471a-bba6-9fa51ea13b5a">XX</Version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b6c028b0de53b43e6ad8edf1f42d64fa">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61b3e48beb0bc67cea757393baa88287"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C6951-3D9E-4D93-9057-E365C8AABE50}">
  <ds:schemaRefs>
    <ds:schemaRef ds:uri="http://schemas.microsoft.com/sharepoint/v3/contenttype/forms"/>
  </ds:schemaRefs>
</ds:datastoreItem>
</file>

<file path=customXml/itemProps2.xml><?xml version="1.0" encoding="utf-8"?>
<ds:datastoreItem xmlns:ds="http://schemas.openxmlformats.org/officeDocument/2006/customXml" ds:itemID="{FA9A4FF7-A4EF-4CDB-86CD-0C907FDF43F8}">
  <ds:schemaRefs>
    <ds:schemaRef ds:uri="http://schemas.microsoft.com/office/2006/metadata/properties"/>
    <ds:schemaRef ds:uri="http://schemas.microsoft.com/office/infopath/2007/PartnerControls"/>
    <ds:schemaRef ds:uri="73d83999-3925-4a8c-8d71-3418e815230e"/>
    <ds:schemaRef ds:uri="14b199b6-5bb1-471a-bba6-9fa51ea13b5a"/>
  </ds:schemaRefs>
</ds:datastoreItem>
</file>

<file path=customXml/itemProps3.xml><?xml version="1.0" encoding="utf-8"?>
<ds:datastoreItem xmlns:ds="http://schemas.openxmlformats.org/officeDocument/2006/customXml" ds:itemID="{E15633F1-CC13-4203-AA17-B5FB339D6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DE968-C305-46C3-87AF-A02BDF57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13605</Words>
  <Characters>83813</Characters>
  <Application>Microsoft Office Word</Application>
  <DocSecurity>4</DocSecurity>
  <Lines>2205</Lines>
  <Paragraphs>1119</Paragraphs>
  <ScaleCrop>false</ScaleCrop>
  <Company/>
  <LinksUpToDate>false</LinksUpToDate>
  <CharactersWithSpaces>96299</CharactersWithSpaces>
  <SharedDoc>false</SharedDoc>
  <HLinks>
    <vt:vector size="948" baseType="variant">
      <vt:variant>
        <vt:i4>1638413</vt:i4>
      </vt:variant>
      <vt:variant>
        <vt:i4>441</vt:i4>
      </vt:variant>
      <vt:variant>
        <vt:i4>0</vt:i4>
      </vt:variant>
      <vt:variant>
        <vt:i4>5</vt:i4>
      </vt:variant>
      <vt:variant>
        <vt:lpwstr>https://www.health.gov.au/resources/publications/guide-to-aged-care-law/chapter-1-introduction/aged-care-code-of-conduct</vt:lpwstr>
      </vt:variant>
      <vt:variant>
        <vt:lpwstr/>
      </vt:variant>
      <vt:variant>
        <vt:i4>5963855</vt:i4>
      </vt:variant>
      <vt:variant>
        <vt:i4>438</vt:i4>
      </vt:variant>
      <vt:variant>
        <vt:i4>0</vt:i4>
      </vt:variant>
      <vt:variant>
        <vt:i4>5</vt:i4>
      </vt:variant>
      <vt:variant>
        <vt:lpwstr>https://www.nursingmidwiferyboard.gov.au/</vt:lpwstr>
      </vt:variant>
      <vt:variant>
        <vt:lpwstr/>
      </vt:variant>
      <vt:variant>
        <vt:i4>7602215</vt:i4>
      </vt:variant>
      <vt:variant>
        <vt:i4>432</vt:i4>
      </vt:variant>
      <vt:variant>
        <vt:i4>0</vt:i4>
      </vt:variant>
      <vt:variant>
        <vt:i4>5</vt:i4>
      </vt:variant>
      <vt:variant>
        <vt:lpwstr>https://www.health.gov.au/committees-and-groups/national-nursing-workforce-strategy-advisory-group</vt:lpwstr>
      </vt:variant>
      <vt:variant>
        <vt:lpwstr/>
      </vt:variant>
      <vt:variant>
        <vt:i4>8257583</vt:i4>
      </vt:variant>
      <vt:variant>
        <vt:i4>429</vt:i4>
      </vt:variant>
      <vt:variant>
        <vt:i4>0</vt:i4>
      </vt:variant>
      <vt:variant>
        <vt:i4>5</vt:i4>
      </vt:variant>
      <vt:variant>
        <vt:lpwstr>https://www.health.gov.au/committees-and-groups/national-nursing-workforce-strategy-steering-committee</vt:lpwstr>
      </vt:variant>
      <vt:variant>
        <vt:lpwstr/>
      </vt:variant>
      <vt:variant>
        <vt:i4>5570560</vt:i4>
      </vt:variant>
      <vt:variant>
        <vt:i4>426</vt:i4>
      </vt:variant>
      <vt:variant>
        <vt:i4>0</vt:i4>
      </vt:variant>
      <vt:variant>
        <vt:i4>5</vt:i4>
      </vt:variant>
      <vt:variant>
        <vt:lpwstr>http://www.health.gov.au/nnws</vt:lpwstr>
      </vt:variant>
      <vt:variant>
        <vt:lpwstr/>
      </vt:variant>
      <vt:variant>
        <vt:i4>327706</vt:i4>
      </vt:variant>
      <vt:variant>
        <vt:i4>417</vt:i4>
      </vt:variant>
      <vt:variant>
        <vt:i4>0</vt:i4>
      </vt:variant>
      <vt:variant>
        <vt:i4>5</vt:i4>
      </vt:variant>
      <vt:variant>
        <vt:lpwstr>https://hwd.health.gov.au/resources/primary/nursing-supply-and-demand-study-2023-2035.pdf</vt:lpwstr>
      </vt:variant>
      <vt:variant>
        <vt:lpwstr/>
      </vt:variant>
      <vt:variant>
        <vt:i4>2490427</vt:i4>
      </vt:variant>
      <vt:variant>
        <vt:i4>414</vt:i4>
      </vt:variant>
      <vt:variant>
        <vt:i4>0</vt:i4>
      </vt:variant>
      <vt:variant>
        <vt:i4>5</vt:i4>
      </vt:variant>
      <vt:variant>
        <vt:lpwstr>https://hwd.health.gov.au/resources/information/nhwds.html</vt:lpwstr>
      </vt:variant>
      <vt:variant>
        <vt:lpwstr/>
      </vt:variant>
      <vt:variant>
        <vt:i4>3735592</vt:i4>
      </vt:variant>
      <vt:variant>
        <vt:i4>402</vt:i4>
      </vt:variant>
      <vt:variant>
        <vt:i4>0</vt:i4>
      </vt:variant>
      <vt:variant>
        <vt:i4>5</vt:i4>
      </vt:variant>
      <vt:variant>
        <vt:lpwstr>https://www.health.gov.au/resources/collections/national-nursing-workforce-strategy-building-the-evidence-base?language=en</vt:lpwstr>
      </vt:variant>
      <vt:variant>
        <vt:lpwstr/>
      </vt:variant>
      <vt:variant>
        <vt:i4>327706</vt:i4>
      </vt:variant>
      <vt:variant>
        <vt:i4>399</vt:i4>
      </vt:variant>
      <vt:variant>
        <vt:i4>0</vt:i4>
      </vt:variant>
      <vt:variant>
        <vt:i4>5</vt:i4>
      </vt:variant>
      <vt:variant>
        <vt:lpwstr>https://hwd.health.gov.au/resources/primary/nursing-supply-and-demand-study-2023-2035.pdf</vt:lpwstr>
      </vt:variant>
      <vt:variant>
        <vt:lpwstr/>
      </vt:variant>
      <vt:variant>
        <vt:i4>327706</vt:i4>
      </vt:variant>
      <vt:variant>
        <vt:i4>396</vt:i4>
      </vt:variant>
      <vt:variant>
        <vt:i4>0</vt:i4>
      </vt:variant>
      <vt:variant>
        <vt:i4>5</vt:i4>
      </vt:variant>
      <vt:variant>
        <vt:lpwstr>https://hwd.health.gov.au/resources/primary/nursing-supply-and-demand-study-2023-2035.pdf</vt:lpwstr>
      </vt:variant>
      <vt:variant>
        <vt:lpwstr/>
      </vt:variant>
      <vt:variant>
        <vt:i4>2490427</vt:i4>
      </vt:variant>
      <vt:variant>
        <vt:i4>390</vt:i4>
      </vt:variant>
      <vt:variant>
        <vt:i4>0</vt:i4>
      </vt:variant>
      <vt:variant>
        <vt:i4>5</vt:i4>
      </vt:variant>
      <vt:variant>
        <vt:lpwstr>https://hwd.health.gov.au/resources/information/nhwds.html</vt:lpwstr>
      </vt:variant>
      <vt:variant>
        <vt:lpwstr/>
      </vt:variant>
      <vt:variant>
        <vt:i4>7602215</vt:i4>
      </vt:variant>
      <vt:variant>
        <vt:i4>387</vt:i4>
      </vt:variant>
      <vt:variant>
        <vt:i4>0</vt:i4>
      </vt:variant>
      <vt:variant>
        <vt:i4>5</vt:i4>
      </vt:variant>
      <vt:variant>
        <vt:lpwstr>https://www.health.gov.au/committees-and-groups/national-nursing-workforce-strategy-advisory-group</vt:lpwstr>
      </vt:variant>
      <vt:variant>
        <vt:lpwstr/>
      </vt:variant>
      <vt:variant>
        <vt:i4>8257583</vt:i4>
      </vt:variant>
      <vt:variant>
        <vt:i4>384</vt:i4>
      </vt:variant>
      <vt:variant>
        <vt:i4>0</vt:i4>
      </vt:variant>
      <vt:variant>
        <vt:i4>5</vt:i4>
      </vt:variant>
      <vt:variant>
        <vt:lpwstr>https://www.health.gov.au/committees-and-groups/national-nursing-workforce-strategy-steering-committee</vt:lpwstr>
      </vt:variant>
      <vt:variant>
        <vt:lpwstr/>
      </vt:variant>
      <vt:variant>
        <vt:i4>1507386</vt:i4>
      </vt:variant>
      <vt:variant>
        <vt:i4>377</vt:i4>
      </vt:variant>
      <vt:variant>
        <vt:i4>0</vt:i4>
      </vt:variant>
      <vt:variant>
        <vt:i4>5</vt:i4>
      </vt:variant>
      <vt:variant>
        <vt:lpwstr/>
      </vt:variant>
      <vt:variant>
        <vt:lpwstr>_Toc236399793</vt:lpwstr>
      </vt:variant>
      <vt:variant>
        <vt:i4>1507386</vt:i4>
      </vt:variant>
      <vt:variant>
        <vt:i4>371</vt:i4>
      </vt:variant>
      <vt:variant>
        <vt:i4>0</vt:i4>
      </vt:variant>
      <vt:variant>
        <vt:i4>5</vt:i4>
      </vt:variant>
      <vt:variant>
        <vt:lpwstr/>
      </vt:variant>
      <vt:variant>
        <vt:lpwstr>_Toc236399792</vt:lpwstr>
      </vt:variant>
      <vt:variant>
        <vt:i4>1507386</vt:i4>
      </vt:variant>
      <vt:variant>
        <vt:i4>365</vt:i4>
      </vt:variant>
      <vt:variant>
        <vt:i4>0</vt:i4>
      </vt:variant>
      <vt:variant>
        <vt:i4>5</vt:i4>
      </vt:variant>
      <vt:variant>
        <vt:lpwstr/>
      </vt:variant>
      <vt:variant>
        <vt:lpwstr>_Toc236399791</vt:lpwstr>
      </vt:variant>
      <vt:variant>
        <vt:i4>1507386</vt:i4>
      </vt:variant>
      <vt:variant>
        <vt:i4>359</vt:i4>
      </vt:variant>
      <vt:variant>
        <vt:i4>0</vt:i4>
      </vt:variant>
      <vt:variant>
        <vt:i4>5</vt:i4>
      </vt:variant>
      <vt:variant>
        <vt:lpwstr/>
      </vt:variant>
      <vt:variant>
        <vt:lpwstr>_Toc236399790</vt:lpwstr>
      </vt:variant>
      <vt:variant>
        <vt:i4>1441850</vt:i4>
      </vt:variant>
      <vt:variant>
        <vt:i4>353</vt:i4>
      </vt:variant>
      <vt:variant>
        <vt:i4>0</vt:i4>
      </vt:variant>
      <vt:variant>
        <vt:i4>5</vt:i4>
      </vt:variant>
      <vt:variant>
        <vt:lpwstr/>
      </vt:variant>
      <vt:variant>
        <vt:lpwstr>_Toc236399789</vt:lpwstr>
      </vt:variant>
      <vt:variant>
        <vt:i4>1441850</vt:i4>
      </vt:variant>
      <vt:variant>
        <vt:i4>347</vt:i4>
      </vt:variant>
      <vt:variant>
        <vt:i4>0</vt:i4>
      </vt:variant>
      <vt:variant>
        <vt:i4>5</vt:i4>
      </vt:variant>
      <vt:variant>
        <vt:lpwstr/>
      </vt:variant>
      <vt:variant>
        <vt:lpwstr>_Toc236399788</vt:lpwstr>
      </vt:variant>
      <vt:variant>
        <vt:i4>1441850</vt:i4>
      </vt:variant>
      <vt:variant>
        <vt:i4>341</vt:i4>
      </vt:variant>
      <vt:variant>
        <vt:i4>0</vt:i4>
      </vt:variant>
      <vt:variant>
        <vt:i4>5</vt:i4>
      </vt:variant>
      <vt:variant>
        <vt:lpwstr/>
      </vt:variant>
      <vt:variant>
        <vt:lpwstr>_Toc236399787</vt:lpwstr>
      </vt:variant>
      <vt:variant>
        <vt:i4>1441850</vt:i4>
      </vt:variant>
      <vt:variant>
        <vt:i4>335</vt:i4>
      </vt:variant>
      <vt:variant>
        <vt:i4>0</vt:i4>
      </vt:variant>
      <vt:variant>
        <vt:i4>5</vt:i4>
      </vt:variant>
      <vt:variant>
        <vt:lpwstr/>
      </vt:variant>
      <vt:variant>
        <vt:lpwstr>_Toc236399786</vt:lpwstr>
      </vt:variant>
      <vt:variant>
        <vt:i4>1441850</vt:i4>
      </vt:variant>
      <vt:variant>
        <vt:i4>329</vt:i4>
      </vt:variant>
      <vt:variant>
        <vt:i4>0</vt:i4>
      </vt:variant>
      <vt:variant>
        <vt:i4>5</vt:i4>
      </vt:variant>
      <vt:variant>
        <vt:lpwstr/>
      </vt:variant>
      <vt:variant>
        <vt:lpwstr>_Toc236399785</vt:lpwstr>
      </vt:variant>
      <vt:variant>
        <vt:i4>1441850</vt:i4>
      </vt:variant>
      <vt:variant>
        <vt:i4>323</vt:i4>
      </vt:variant>
      <vt:variant>
        <vt:i4>0</vt:i4>
      </vt:variant>
      <vt:variant>
        <vt:i4>5</vt:i4>
      </vt:variant>
      <vt:variant>
        <vt:lpwstr/>
      </vt:variant>
      <vt:variant>
        <vt:lpwstr>_Toc236399784</vt:lpwstr>
      </vt:variant>
      <vt:variant>
        <vt:i4>1441850</vt:i4>
      </vt:variant>
      <vt:variant>
        <vt:i4>317</vt:i4>
      </vt:variant>
      <vt:variant>
        <vt:i4>0</vt:i4>
      </vt:variant>
      <vt:variant>
        <vt:i4>5</vt:i4>
      </vt:variant>
      <vt:variant>
        <vt:lpwstr/>
      </vt:variant>
      <vt:variant>
        <vt:lpwstr>_Toc236399783</vt:lpwstr>
      </vt:variant>
      <vt:variant>
        <vt:i4>1441850</vt:i4>
      </vt:variant>
      <vt:variant>
        <vt:i4>311</vt:i4>
      </vt:variant>
      <vt:variant>
        <vt:i4>0</vt:i4>
      </vt:variant>
      <vt:variant>
        <vt:i4>5</vt:i4>
      </vt:variant>
      <vt:variant>
        <vt:lpwstr/>
      </vt:variant>
      <vt:variant>
        <vt:lpwstr>_Toc236399782</vt:lpwstr>
      </vt:variant>
      <vt:variant>
        <vt:i4>1441850</vt:i4>
      </vt:variant>
      <vt:variant>
        <vt:i4>305</vt:i4>
      </vt:variant>
      <vt:variant>
        <vt:i4>0</vt:i4>
      </vt:variant>
      <vt:variant>
        <vt:i4>5</vt:i4>
      </vt:variant>
      <vt:variant>
        <vt:lpwstr/>
      </vt:variant>
      <vt:variant>
        <vt:lpwstr>_Toc236399781</vt:lpwstr>
      </vt:variant>
      <vt:variant>
        <vt:i4>1441850</vt:i4>
      </vt:variant>
      <vt:variant>
        <vt:i4>299</vt:i4>
      </vt:variant>
      <vt:variant>
        <vt:i4>0</vt:i4>
      </vt:variant>
      <vt:variant>
        <vt:i4>5</vt:i4>
      </vt:variant>
      <vt:variant>
        <vt:lpwstr/>
      </vt:variant>
      <vt:variant>
        <vt:lpwstr>_Toc236399780</vt:lpwstr>
      </vt:variant>
      <vt:variant>
        <vt:i4>1638458</vt:i4>
      </vt:variant>
      <vt:variant>
        <vt:i4>293</vt:i4>
      </vt:variant>
      <vt:variant>
        <vt:i4>0</vt:i4>
      </vt:variant>
      <vt:variant>
        <vt:i4>5</vt:i4>
      </vt:variant>
      <vt:variant>
        <vt:lpwstr/>
      </vt:variant>
      <vt:variant>
        <vt:lpwstr>_Toc236399779</vt:lpwstr>
      </vt:variant>
      <vt:variant>
        <vt:i4>1638458</vt:i4>
      </vt:variant>
      <vt:variant>
        <vt:i4>287</vt:i4>
      </vt:variant>
      <vt:variant>
        <vt:i4>0</vt:i4>
      </vt:variant>
      <vt:variant>
        <vt:i4>5</vt:i4>
      </vt:variant>
      <vt:variant>
        <vt:lpwstr/>
      </vt:variant>
      <vt:variant>
        <vt:lpwstr>_Toc236399778</vt:lpwstr>
      </vt:variant>
      <vt:variant>
        <vt:i4>1638458</vt:i4>
      </vt:variant>
      <vt:variant>
        <vt:i4>281</vt:i4>
      </vt:variant>
      <vt:variant>
        <vt:i4>0</vt:i4>
      </vt:variant>
      <vt:variant>
        <vt:i4>5</vt:i4>
      </vt:variant>
      <vt:variant>
        <vt:lpwstr/>
      </vt:variant>
      <vt:variant>
        <vt:lpwstr>_Toc236399777</vt:lpwstr>
      </vt:variant>
      <vt:variant>
        <vt:i4>1638458</vt:i4>
      </vt:variant>
      <vt:variant>
        <vt:i4>275</vt:i4>
      </vt:variant>
      <vt:variant>
        <vt:i4>0</vt:i4>
      </vt:variant>
      <vt:variant>
        <vt:i4>5</vt:i4>
      </vt:variant>
      <vt:variant>
        <vt:lpwstr/>
      </vt:variant>
      <vt:variant>
        <vt:lpwstr>_Toc236399776</vt:lpwstr>
      </vt:variant>
      <vt:variant>
        <vt:i4>1638458</vt:i4>
      </vt:variant>
      <vt:variant>
        <vt:i4>269</vt:i4>
      </vt:variant>
      <vt:variant>
        <vt:i4>0</vt:i4>
      </vt:variant>
      <vt:variant>
        <vt:i4>5</vt:i4>
      </vt:variant>
      <vt:variant>
        <vt:lpwstr/>
      </vt:variant>
      <vt:variant>
        <vt:lpwstr>_Toc236399775</vt:lpwstr>
      </vt:variant>
      <vt:variant>
        <vt:i4>1638458</vt:i4>
      </vt:variant>
      <vt:variant>
        <vt:i4>263</vt:i4>
      </vt:variant>
      <vt:variant>
        <vt:i4>0</vt:i4>
      </vt:variant>
      <vt:variant>
        <vt:i4>5</vt:i4>
      </vt:variant>
      <vt:variant>
        <vt:lpwstr/>
      </vt:variant>
      <vt:variant>
        <vt:lpwstr>_Toc236399774</vt:lpwstr>
      </vt:variant>
      <vt:variant>
        <vt:i4>1638458</vt:i4>
      </vt:variant>
      <vt:variant>
        <vt:i4>257</vt:i4>
      </vt:variant>
      <vt:variant>
        <vt:i4>0</vt:i4>
      </vt:variant>
      <vt:variant>
        <vt:i4>5</vt:i4>
      </vt:variant>
      <vt:variant>
        <vt:lpwstr/>
      </vt:variant>
      <vt:variant>
        <vt:lpwstr>_Toc236399773</vt:lpwstr>
      </vt:variant>
      <vt:variant>
        <vt:i4>1638458</vt:i4>
      </vt:variant>
      <vt:variant>
        <vt:i4>251</vt:i4>
      </vt:variant>
      <vt:variant>
        <vt:i4>0</vt:i4>
      </vt:variant>
      <vt:variant>
        <vt:i4>5</vt:i4>
      </vt:variant>
      <vt:variant>
        <vt:lpwstr/>
      </vt:variant>
      <vt:variant>
        <vt:lpwstr>_Toc236399772</vt:lpwstr>
      </vt:variant>
      <vt:variant>
        <vt:i4>1638458</vt:i4>
      </vt:variant>
      <vt:variant>
        <vt:i4>245</vt:i4>
      </vt:variant>
      <vt:variant>
        <vt:i4>0</vt:i4>
      </vt:variant>
      <vt:variant>
        <vt:i4>5</vt:i4>
      </vt:variant>
      <vt:variant>
        <vt:lpwstr/>
      </vt:variant>
      <vt:variant>
        <vt:lpwstr>_Toc236399771</vt:lpwstr>
      </vt:variant>
      <vt:variant>
        <vt:i4>1638458</vt:i4>
      </vt:variant>
      <vt:variant>
        <vt:i4>239</vt:i4>
      </vt:variant>
      <vt:variant>
        <vt:i4>0</vt:i4>
      </vt:variant>
      <vt:variant>
        <vt:i4>5</vt:i4>
      </vt:variant>
      <vt:variant>
        <vt:lpwstr/>
      </vt:variant>
      <vt:variant>
        <vt:lpwstr>_Toc236399770</vt:lpwstr>
      </vt:variant>
      <vt:variant>
        <vt:i4>1572922</vt:i4>
      </vt:variant>
      <vt:variant>
        <vt:i4>233</vt:i4>
      </vt:variant>
      <vt:variant>
        <vt:i4>0</vt:i4>
      </vt:variant>
      <vt:variant>
        <vt:i4>5</vt:i4>
      </vt:variant>
      <vt:variant>
        <vt:lpwstr/>
      </vt:variant>
      <vt:variant>
        <vt:lpwstr>_Toc236399769</vt:lpwstr>
      </vt:variant>
      <vt:variant>
        <vt:i4>1572922</vt:i4>
      </vt:variant>
      <vt:variant>
        <vt:i4>227</vt:i4>
      </vt:variant>
      <vt:variant>
        <vt:i4>0</vt:i4>
      </vt:variant>
      <vt:variant>
        <vt:i4>5</vt:i4>
      </vt:variant>
      <vt:variant>
        <vt:lpwstr/>
      </vt:variant>
      <vt:variant>
        <vt:lpwstr>_Toc236399768</vt:lpwstr>
      </vt:variant>
      <vt:variant>
        <vt:i4>1572922</vt:i4>
      </vt:variant>
      <vt:variant>
        <vt:i4>221</vt:i4>
      </vt:variant>
      <vt:variant>
        <vt:i4>0</vt:i4>
      </vt:variant>
      <vt:variant>
        <vt:i4>5</vt:i4>
      </vt:variant>
      <vt:variant>
        <vt:lpwstr/>
      </vt:variant>
      <vt:variant>
        <vt:lpwstr>_Toc236399767</vt:lpwstr>
      </vt:variant>
      <vt:variant>
        <vt:i4>1572922</vt:i4>
      </vt:variant>
      <vt:variant>
        <vt:i4>215</vt:i4>
      </vt:variant>
      <vt:variant>
        <vt:i4>0</vt:i4>
      </vt:variant>
      <vt:variant>
        <vt:i4>5</vt:i4>
      </vt:variant>
      <vt:variant>
        <vt:lpwstr/>
      </vt:variant>
      <vt:variant>
        <vt:lpwstr>_Toc236399766</vt:lpwstr>
      </vt:variant>
      <vt:variant>
        <vt:i4>1572922</vt:i4>
      </vt:variant>
      <vt:variant>
        <vt:i4>209</vt:i4>
      </vt:variant>
      <vt:variant>
        <vt:i4>0</vt:i4>
      </vt:variant>
      <vt:variant>
        <vt:i4>5</vt:i4>
      </vt:variant>
      <vt:variant>
        <vt:lpwstr/>
      </vt:variant>
      <vt:variant>
        <vt:lpwstr>_Toc236399765</vt:lpwstr>
      </vt:variant>
      <vt:variant>
        <vt:i4>1572922</vt:i4>
      </vt:variant>
      <vt:variant>
        <vt:i4>203</vt:i4>
      </vt:variant>
      <vt:variant>
        <vt:i4>0</vt:i4>
      </vt:variant>
      <vt:variant>
        <vt:i4>5</vt:i4>
      </vt:variant>
      <vt:variant>
        <vt:lpwstr/>
      </vt:variant>
      <vt:variant>
        <vt:lpwstr>_Toc236399764</vt:lpwstr>
      </vt:variant>
      <vt:variant>
        <vt:i4>1572922</vt:i4>
      </vt:variant>
      <vt:variant>
        <vt:i4>197</vt:i4>
      </vt:variant>
      <vt:variant>
        <vt:i4>0</vt:i4>
      </vt:variant>
      <vt:variant>
        <vt:i4>5</vt:i4>
      </vt:variant>
      <vt:variant>
        <vt:lpwstr/>
      </vt:variant>
      <vt:variant>
        <vt:lpwstr>_Toc236399763</vt:lpwstr>
      </vt:variant>
      <vt:variant>
        <vt:i4>1572922</vt:i4>
      </vt:variant>
      <vt:variant>
        <vt:i4>191</vt:i4>
      </vt:variant>
      <vt:variant>
        <vt:i4>0</vt:i4>
      </vt:variant>
      <vt:variant>
        <vt:i4>5</vt:i4>
      </vt:variant>
      <vt:variant>
        <vt:lpwstr/>
      </vt:variant>
      <vt:variant>
        <vt:lpwstr>_Toc236399762</vt:lpwstr>
      </vt:variant>
      <vt:variant>
        <vt:i4>1572922</vt:i4>
      </vt:variant>
      <vt:variant>
        <vt:i4>185</vt:i4>
      </vt:variant>
      <vt:variant>
        <vt:i4>0</vt:i4>
      </vt:variant>
      <vt:variant>
        <vt:i4>5</vt:i4>
      </vt:variant>
      <vt:variant>
        <vt:lpwstr/>
      </vt:variant>
      <vt:variant>
        <vt:lpwstr>_Toc236399761</vt:lpwstr>
      </vt:variant>
      <vt:variant>
        <vt:i4>1572922</vt:i4>
      </vt:variant>
      <vt:variant>
        <vt:i4>179</vt:i4>
      </vt:variant>
      <vt:variant>
        <vt:i4>0</vt:i4>
      </vt:variant>
      <vt:variant>
        <vt:i4>5</vt:i4>
      </vt:variant>
      <vt:variant>
        <vt:lpwstr/>
      </vt:variant>
      <vt:variant>
        <vt:lpwstr>_Toc236399760</vt:lpwstr>
      </vt:variant>
      <vt:variant>
        <vt:i4>1769530</vt:i4>
      </vt:variant>
      <vt:variant>
        <vt:i4>173</vt:i4>
      </vt:variant>
      <vt:variant>
        <vt:i4>0</vt:i4>
      </vt:variant>
      <vt:variant>
        <vt:i4>5</vt:i4>
      </vt:variant>
      <vt:variant>
        <vt:lpwstr/>
      </vt:variant>
      <vt:variant>
        <vt:lpwstr>_Toc236399759</vt:lpwstr>
      </vt:variant>
      <vt:variant>
        <vt:i4>1769530</vt:i4>
      </vt:variant>
      <vt:variant>
        <vt:i4>167</vt:i4>
      </vt:variant>
      <vt:variant>
        <vt:i4>0</vt:i4>
      </vt:variant>
      <vt:variant>
        <vt:i4>5</vt:i4>
      </vt:variant>
      <vt:variant>
        <vt:lpwstr/>
      </vt:variant>
      <vt:variant>
        <vt:lpwstr>_Toc236399758</vt:lpwstr>
      </vt:variant>
      <vt:variant>
        <vt:i4>1769530</vt:i4>
      </vt:variant>
      <vt:variant>
        <vt:i4>161</vt:i4>
      </vt:variant>
      <vt:variant>
        <vt:i4>0</vt:i4>
      </vt:variant>
      <vt:variant>
        <vt:i4>5</vt:i4>
      </vt:variant>
      <vt:variant>
        <vt:lpwstr/>
      </vt:variant>
      <vt:variant>
        <vt:lpwstr>_Toc236399757</vt:lpwstr>
      </vt:variant>
      <vt:variant>
        <vt:i4>1769530</vt:i4>
      </vt:variant>
      <vt:variant>
        <vt:i4>155</vt:i4>
      </vt:variant>
      <vt:variant>
        <vt:i4>0</vt:i4>
      </vt:variant>
      <vt:variant>
        <vt:i4>5</vt:i4>
      </vt:variant>
      <vt:variant>
        <vt:lpwstr/>
      </vt:variant>
      <vt:variant>
        <vt:lpwstr>_Toc236399756</vt:lpwstr>
      </vt:variant>
      <vt:variant>
        <vt:i4>1769530</vt:i4>
      </vt:variant>
      <vt:variant>
        <vt:i4>149</vt:i4>
      </vt:variant>
      <vt:variant>
        <vt:i4>0</vt:i4>
      </vt:variant>
      <vt:variant>
        <vt:i4>5</vt:i4>
      </vt:variant>
      <vt:variant>
        <vt:lpwstr/>
      </vt:variant>
      <vt:variant>
        <vt:lpwstr>_Toc236399755</vt:lpwstr>
      </vt:variant>
      <vt:variant>
        <vt:i4>1769530</vt:i4>
      </vt:variant>
      <vt:variant>
        <vt:i4>143</vt:i4>
      </vt:variant>
      <vt:variant>
        <vt:i4>0</vt:i4>
      </vt:variant>
      <vt:variant>
        <vt:i4>5</vt:i4>
      </vt:variant>
      <vt:variant>
        <vt:lpwstr/>
      </vt:variant>
      <vt:variant>
        <vt:lpwstr>_Toc236399754</vt:lpwstr>
      </vt:variant>
      <vt:variant>
        <vt:i4>1769530</vt:i4>
      </vt:variant>
      <vt:variant>
        <vt:i4>137</vt:i4>
      </vt:variant>
      <vt:variant>
        <vt:i4>0</vt:i4>
      </vt:variant>
      <vt:variant>
        <vt:i4>5</vt:i4>
      </vt:variant>
      <vt:variant>
        <vt:lpwstr/>
      </vt:variant>
      <vt:variant>
        <vt:lpwstr>_Toc236399753</vt:lpwstr>
      </vt:variant>
      <vt:variant>
        <vt:i4>1769530</vt:i4>
      </vt:variant>
      <vt:variant>
        <vt:i4>131</vt:i4>
      </vt:variant>
      <vt:variant>
        <vt:i4>0</vt:i4>
      </vt:variant>
      <vt:variant>
        <vt:i4>5</vt:i4>
      </vt:variant>
      <vt:variant>
        <vt:lpwstr/>
      </vt:variant>
      <vt:variant>
        <vt:lpwstr>_Toc236399752</vt:lpwstr>
      </vt:variant>
      <vt:variant>
        <vt:i4>1769530</vt:i4>
      </vt:variant>
      <vt:variant>
        <vt:i4>125</vt:i4>
      </vt:variant>
      <vt:variant>
        <vt:i4>0</vt:i4>
      </vt:variant>
      <vt:variant>
        <vt:i4>5</vt:i4>
      </vt:variant>
      <vt:variant>
        <vt:lpwstr/>
      </vt:variant>
      <vt:variant>
        <vt:lpwstr>_Toc236399751</vt:lpwstr>
      </vt:variant>
      <vt:variant>
        <vt:i4>1769530</vt:i4>
      </vt:variant>
      <vt:variant>
        <vt:i4>119</vt:i4>
      </vt:variant>
      <vt:variant>
        <vt:i4>0</vt:i4>
      </vt:variant>
      <vt:variant>
        <vt:i4>5</vt:i4>
      </vt:variant>
      <vt:variant>
        <vt:lpwstr/>
      </vt:variant>
      <vt:variant>
        <vt:lpwstr>_Toc236399750</vt:lpwstr>
      </vt:variant>
      <vt:variant>
        <vt:i4>1703994</vt:i4>
      </vt:variant>
      <vt:variant>
        <vt:i4>113</vt:i4>
      </vt:variant>
      <vt:variant>
        <vt:i4>0</vt:i4>
      </vt:variant>
      <vt:variant>
        <vt:i4>5</vt:i4>
      </vt:variant>
      <vt:variant>
        <vt:lpwstr/>
      </vt:variant>
      <vt:variant>
        <vt:lpwstr>_Toc236399749</vt:lpwstr>
      </vt:variant>
      <vt:variant>
        <vt:i4>1703994</vt:i4>
      </vt:variant>
      <vt:variant>
        <vt:i4>107</vt:i4>
      </vt:variant>
      <vt:variant>
        <vt:i4>0</vt:i4>
      </vt:variant>
      <vt:variant>
        <vt:i4>5</vt:i4>
      </vt:variant>
      <vt:variant>
        <vt:lpwstr/>
      </vt:variant>
      <vt:variant>
        <vt:lpwstr>_Toc236399748</vt:lpwstr>
      </vt:variant>
      <vt:variant>
        <vt:i4>1703994</vt:i4>
      </vt:variant>
      <vt:variant>
        <vt:i4>101</vt:i4>
      </vt:variant>
      <vt:variant>
        <vt:i4>0</vt:i4>
      </vt:variant>
      <vt:variant>
        <vt:i4>5</vt:i4>
      </vt:variant>
      <vt:variant>
        <vt:lpwstr/>
      </vt:variant>
      <vt:variant>
        <vt:lpwstr>_Toc236399747</vt:lpwstr>
      </vt:variant>
      <vt:variant>
        <vt:i4>1703994</vt:i4>
      </vt:variant>
      <vt:variant>
        <vt:i4>95</vt:i4>
      </vt:variant>
      <vt:variant>
        <vt:i4>0</vt:i4>
      </vt:variant>
      <vt:variant>
        <vt:i4>5</vt:i4>
      </vt:variant>
      <vt:variant>
        <vt:lpwstr/>
      </vt:variant>
      <vt:variant>
        <vt:lpwstr>_Toc236399746</vt:lpwstr>
      </vt:variant>
      <vt:variant>
        <vt:i4>1703994</vt:i4>
      </vt:variant>
      <vt:variant>
        <vt:i4>89</vt:i4>
      </vt:variant>
      <vt:variant>
        <vt:i4>0</vt:i4>
      </vt:variant>
      <vt:variant>
        <vt:i4>5</vt:i4>
      </vt:variant>
      <vt:variant>
        <vt:lpwstr/>
      </vt:variant>
      <vt:variant>
        <vt:lpwstr>_Toc236399745</vt:lpwstr>
      </vt:variant>
      <vt:variant>
        <vt:i4>1703994</vt:i4>
      </vt:variant>
      <vt:variant>
        <vt:i4>83</vt:i4>
      </vt:variant>
      <vt:variant>
        <vt:i4>0</vt:i4>
      </vt:variant>
      <vt:variant>
        <vt:i4>5</vt:i4>
      </vt:variant>
      <vt:variant>
        <vt:lpwstr/>
      </vt:variant>
      <vt:variant>
        <vt:lpwstr>_Toc236399744</vt:lpwstr>
      </vt:variant>
      <vt:variant>
        <vt:i4>1703994</vt:i4>
      </vt:variant>
      <vt:variant>
        <vt:i4>77</vt:i4>
      </vt:variant>
      <vt:variant>
        <vt:i4>0</vt:i4>
      </vt:variant>
      <vt:variant>
        <vt:i4>5</vt:i4>
      </vt:variant>
      <vt:variant>
        <vt:lpwstr/>
      </vt:variant>
      <vt:variant>
        <vt:lpwstr>_Toc236399743</vt:lpwstr>
      </vt:variant>
      <vt:variant>
        <vt:i4>1703994</vt:i4>
      </vt:variant>
      <vt:variant>
        <vt:i4>71</vt:i4>
      </vt:variant>
      <vt:variant>
        <vt:i4>0</vt:i4>
      </vt:variant>
      <vt:variant>
        <vt:i4>5</vt:i4>
      </vt:variant>
      <vt:variant>
        <vt:lpwstr/>
      </vt:variant>
      <vt:variant>
        <vt:lpwstr>_Toc236399742</vt:lpwstr>
      </vt:variant>
      <vt:variant>
        <vt:i4>1703994</vt:i4>
      </vt:variant>
      <vt:variant>
        <vt:i4>65</vt:i4>
      </vt:variant>
      <vt:variant>
        <vt:i4>0</vt:i4>
      </vt:variant>
      <vt:variant>
        <vt:i4>5</vt:i4>
      </vt:variant>
      <vt:variant>
        <vt:lpwstr/>
      </vt:variant>
      <vt:variant>
        <vt:lpwstr>_Toc236399741</vt:lpwstr>
      </vt:variant>
      <vt:variant>
        <vt:i4>1703994</vt:i4>
      </vt:variant>
      <vt:variant>
        <vt:i4>59</vt:i4>
      </vt:variant>
      <vt:variant>
        <vt:i4>0</vt:i4>
      </vt:variant>
      <vt:variant>
        <vt:i4>5</vt:i4>
      </vt:variant>
      <vt:variant>
        <vt:lpwstr/>
      </vt:variant>
      <vt:variant>
        <vt:lpwstr>_Toc236399740</vt:lpwstr>
      </vt:variant>
      <vt:variant>
        <vt:i4>1900602</vt:i4>
      </vt:variant>
      <vt:variant>
        <vt:i4>53</vt:i4>
      </vt:variant>
      <vt:variant>
        <vt:i4>0</vt:i4>
      </vt:variant>
      <vt:variant>
        <vt:i4>5</vt:i4>
      </vt:variant>
      <vt:variant>
        <vt:lpwstr/>
      </vt:variant>
      <vt:variant>
        <vt:lpwstr>_Toc236399739</vt:lpwstr>
      </vt:variant>
      <vt:variant>
        <vt:i4>1900602</vt:i4>
      </vt:variant>
      <vt:variant>
        <vt:i4>47</vt:i4>
      </vt:variant>
      <vt:variant>
        <vt:i4>0</vt:i4>
      </vt:variant>
      <vt:variant>
        <vt:i4>5</vt:i4>
      </vt:variant>
      <vt:variant>
        <vt:lpwstr/>
      </vt:variant>
      <vt:variant>
        <vt:lpwstr>_Toc236399738</vt:lpwstr>
      </vt:variant>
      <vt:variant>
        <vt:i4>1900602</vt:i4>
      </vt:variant>
      <vt:variant>
        <vt:i4>41</vt:i4>
      </vt:variant>
      <vt:variant>
        <vt:i4>0</vt:i4>
      </vt:variant>
      <vt:variant>
        <vt:i4>5</vt:i4>
      </vt:variant>
      <vt:variant>
        <vt:lpwstr/>
      </vt:variant>
      <vt:variant>
        <vt:lpwstr>_Toc236399737</vt:lpwstr>
      </vt:variant>
      <vt:variant>
        <vt:i4>1900602</vt:i4>
      </vt:variant>
      <vt:variant>
        <vt:i4>35</vt:i4>
      </vt:variant>
      <vt:variant>
        <vt:i4>0</vt:i4>
      </vt:variant>
      <vt:variant>
        <vt:i4>5</vt:i4>
      </vt:variant>
      <vt:variant>
        <vt:lpwstr/>
      </vt:variant>
      <vt:variant>
        <vt:lpwstr>_Toc236399736</vt:lpwstr>
      </vt:variant>
      <vt:variant>
        <vt:i4>1900602</vt:i4>
      </vt:variant>
      <vt:variant>
        <vt:i4>29</vt:i4>
      </vt:variant>
      <vt:variant>
        <vt:i4>0</vt:i4>
      </vt:variant>
      <vt:variant>
        <vt:i4>5</vt:i4>
      </vt:variant>
      <vt:variant>
        <vt:lpwstr/>
      </vt:variant>
      <vt:variant>
        <vt:lpwstr>_Toc236399735</vt:lpwstr>
      </vt:variant>
      <vt:variant>
        <vt:i4>1900602</vt:i4>
      </vt:variant>
      <vt:variant>
        <vt:i4>23</vt:i4>
      </vt:variant>
      <vt:variant>
        <vt:i4>0</vt:i4>
      </vt:variant>
      <vt:variant>
        <vt:i4>5</vt:i4>
      </vt:variant>
      <vt:variant>
        <vt:lpwstr/>
      </vt:variant>
      <vt:variant>
        <vt:lpwstr>_Toc236399734</vt:lpwstr>
      </vt:variant>
      <vt:variant>
        <vt:i4>1900602</vt:i4>
      </vt:variant>
      <vt:variant>
        <vt:i4>17</vt:i4>
      </vt:variant>
      <vt:variant>
        <vt:i4>0</vt:i4>
      </vt:variant>
      <vt:variant>
        <vt:i4>5</vt:i4>
      </vt:variant>
      <vt:variant>
        <vt:lpwstr/>
      </vt:variant>
      <vt:variant>
        <vt:lpwstr>_Toc236399733</vt:lpwstr>
      </vt:variant>
      <vt:variant>
        <vt:i4>1900602</vt:i4>
      </vt:variant>
      <vt:variant>
        <vt:i4>11</vt:i4>
      </vt:variant>
      <vt:variant>
        <vt:i4>0</vt:i4>
      </vt:variant>
      <vt:variant>
        <vt:i4>5</vt:i4>
      </vt:variant>
      <vt:variant>
        <vt:lpwstr/>
      </vt:variant>
      <vt:variant>
        <vt:lpwstr>_Toc236399732</vt:lpwstr>
      </vt:variant>
      <vt:variant>
        <vt:i4>7798796</vt:i4>
      </vt:variant>
      <vt:variant>
        <vt:i4>6</vt:i4>
      </vt:variant>
      <vt:variant>
        <vt:i4>0</vt:i4>
      </vt:variant>
      <vt:variant>
        <vt:i4>5</vt:i4>
      </vt:variant>
      <vt:variant>
        <vt:lpwstr>mailto:copyright@health.gov.au</vt:lpwstr>
      </vt:variant>
      <vt:variant>
        <vt:lpwstr/>
      </vt:variant>
      <vt:variant>
        <vt:i4>3539044</vt:i4>
      </vt:variant>
      <vt:variant>
        <vt:i4>3</vt:i4>
      </vt:variant>
      <vt:variant>
        <vt:i4>0</vt:i4>
      </vt:variant>
      <vt:variant>
        <vt:i4>5</vt:i4>
      </vt:variant>
      <vt:variant>
        <vt:lpwstr>https://www.pmc.gov.au/resources/commonwealth-coat-arms-information-and-guidelines</vt:lpwstr>
      </vt:variant>
      <vt:variant>
        <vt:lpwstr/>
      </vt:variant>
      <vt:variant>
        <vt:i4>5373952</vt:i4>
      </vt:variant>
      <vt:variant>
        <vt:i4>0</vt:i4>
      </vt:variant>
      <vt:variant>
        <vt:i4>0</vt:i4>
      </vt:variant>
      <vt:variant>
        <vt:i4>5</vt:i4>
      </vt:variant>
      <vt:variant>
        <vt:lpwstr>https://creativecommons.org/licenses/by/4.0/legalcode</vt:lpwstr>
      </vt:variant>
      <vt:variant>
        <vt:lpwstr/>
      </vt:variant>
      <vt:variant>
        <vt:i4>327706</vt:i4>
      </vt:variant>
      <vt:variant>
        <vt:i4>237</vt:i4>
      </vt:variant>
      <vt:variant>
        <vt:i4>0</vt:i4>
      </vt:variant>
      <vt:variant>
        <vt:i4>5</vt:i4>
      </vt:variant>
      <vt:variant>
        <vt:lpwstr>https://hwd.health.gov.au/resources/primary/nursing-supply-and-demand-study-2023-2035.pdf</vt:lpwstr>
      </vt:variant>
      <vt:variant>
        <vt:lpwstr/>
      </vt:variant>
      <vt:variant>
        <vt:i4>1048661</vt:i4>
      </vt:variant>
      <vt:variant>
        <vt:i4>234</vt:i4>
      </vt:variant>
      <vt:variant>
        <vt:i4>0</vt:i4>
      </vt:variant>
      <vt:variant>
        <vt:i4>5</vt:i4>
      </vt:variant>
      <vt:variant>
        <vt:lpwstr>https://www.nursingmidwiferyboard.gov.au/Codes-Guidelines-Statements/Professional-standards/nurse-practitioner-standards-of-practice.aspx</vt:lpwstr>
      </vt:variant>
      <vt:variant>
        <vt:lpwstr/>
      </vt:variant>
      <vt:variant>
        <vt:i4>4128881</vt:i4>
      </vt:variant>
      <vt:variant>
        <vt:i4>231</vt:i4>
      </vt:variant>
      <vt:variant>
        <vt:i4>0</vt:i4>
      </vt:variant>
      <vt:variant>
        <vt:i4>5</vt:i4>
      </vt:variant>
      <vt:variant>
        <vt:lpwstr>https://www.nursingmidwiferyboard.gov.au/Codes-Guidelines-Statements/Professional-standards/enrolled-nurse-standards-for-practice.aspx</vt:lpwstr>
      </vt:variant>
      <vt:variant>
        <vt:lpwstr/>
      </vt:variant>
      <vt:variant>
        <vt:i4>5767177</vt:i4>
      </vt:variant>
      <vt:variant>
        <vt:i4>228</vt:i4>
      </vt:variant>
      <vt:variant>
        <vt:i4>0</vt:i4>
      </vt:variant>
      <vt:variant>
        <vt:i4>5</vt:i4>
      </vt:variant>
      <vt:variant>
        <vt:lpwstr>https://www.nursingmidwiferyboard.gov.au/Codes-Guidelines-Statements/Professional-standards/registered-nurse-standards-for-practice.aspx</vt:lpwstr>
      </vt:variant>
      <vt:variant>
        <vt:lpwstr/>
      </vt:variant>
      <vt:variant>
        <vt:i4>393239</vt:i4>
      </vt:variant>
      <vt:variant>
        <vt:i4>225</vt:i4>
      </vt:variant>
      <vt:variant>
        <vt:i4>0</vt:i4>
      </vt:variant>
      <vt:variant>
        <vt:i4>5</vt:i4>
      </vt:variant>
      <vt:variant>
        <vt:lpwstr>https://www.nursingmidwiferyboard.gov.au/Codes-Guidelines-Statements/FAQ/Fact-sheet-scope-of-practice-and-capabilities-of-nurses.aspx</vt:lpwstr>
      </vt:variant>
      <vt:variant>
        <vt:lpwstr/>
      </vt:variant>
      <vt:variant>
        <vt:i4>7405691</vt:i4>
      </vt:variant>
      <vt:variant>
        <vt:i4>222</vt:i4>
      </vt:variant>
      <vt:variant>
        <vt:i4>0</vt:i4>
      </vt:variant>
      <vt:variant>
        <vt:i4>5</vt:i4>
      </vt:variant>
      <vt:variant>
        <vt:lpwstr>https://doi.org/10.5694/mja2.52032</vt:lpwstr>
      </vt:variant>
      <vt:variant>
        <vt:lpwstr/>
      </vt:variant>
      <vt:variant>
        <vt:i4>6029385</vt:i4>
      </vt:variant>
      <vt:variant>
        <vt:i4>219</vt:i4>
      </vt:variant>
      <vt:variant>
        <vt:i4>0</vt:i4>
      </vt:variant>
      <vt:variant>
        <vt:i4>5</vt:i4>
      </vt:variant>
      <vt:variant>
        <vt:lpwstr>https://www.health.gov.au/resources/publications/the-national-rural-and-remote-nursing-generalist-framework-2023-2027?language=en</vt:lpwstr>
      </vt:variant>
      <vt:variant>
        <vt:lpwstr/>
      </vt:variant>
      <vt:variant>
        <vt:i4>3670050</vt:i4>
      </vt:variant>
      <vt:variant>
        <vt:i4>216</vt:i4>
      </vt:variant>
      <vt:variant>
        <vt:i4>0</vt:i4>
      </vt:variant>
      <vt:variant>
        <vt:i4>5</vt:i4>
      </vt:variant>
      <vt:variant>
        <vt:lpwstr>https://iris.who.int/bitstream/handle/10665/341139/9789240024229-eng.pdf?sequence=1</vt:lpwstr>
      </vt:variant>
      <vt:variant>
        <vt:lpwstr/>
      </vt:variant>
      <vt:variant>
        <vt:i4>5177356</vt:i4>
      </vt:variant>
      <vt:variant>
        <vt:i4>213</vt:i4>
      </vt:variant>
      <vt:variant>
        <vt:i4>0</vt:i4>
      </vt:variant>
      <vt:variant>
        <vt:i4>5</vt:i4>
      </vt:variant>
      <vt:variant>
        <vt:lpwstr>https://doi.org/10.3390/healthcare8040522</vt:lpwstr>
      </vt:variant>
      <vt:variant>
        <vt:lpwstr/>
      </vt:variant>
      <vt:variant>
        <vt:i4>1572952</vt:i4>
      </vt:variant>
      <vt:variant>
        <vt:i4>210</vt:i4>
      </vt:variant>
      <vt:variant>
        <vt:i4>0</vt:i4>
      </vt:variant>
      <vt:variant>
        <vt:i4>5</vt:i4>
      </vt:variant>
      <vt:variant>
        <vt:lpwstr>https://doi.org/10.1177/2165079920901533</vt:lpwstr>
      </vt:variant>
      <vt:variant>
        <vt:lpwstr/>
      </vt:variant>
      <vt:variant>
        <vt:i4>2490420</vt:i4>
      </vt:variant>
      <vt:variant>
        <vt:i4>207</vt:i4>
      </vt:variant>
      <vt:variant>
        <vt:i4>0</vt:i4>
      </vt:variant>
      <vt:variant>
        <vt:i4>5</vt:i4>
      </vt:variant>
      <vt:variant>
        <vt:lpwstr>https://doi.org/10.1097/01.naj.0000681648.48249.16</vt:lpwstr>
      </vt:variant>
      <vt:variant>
        <vt:lpwstr/>
      </vt:variant>
      <vt:variant>
        <vt:i4>3670069</vt:i4>
      </vt:variant>
      <vt:variant>
        <vt:i4>204</vt:i4>
      </vt:variant>
      <vt:variant>
        <vt:i4>0</vt:i4>
      </vt:variant>
      <vt:variant>
        <vt:i4>5</vt:i4>
      </vt:variant>
      <vt:variant>
        <vt:lpwstr>https://doi.org/10.1016/j.ijnurstu.2013.05.015</vt:lpwstr>
      </vt:variant>
      <vt:variant>
        <vt:lpwstr/>
      </vt:variant>
      <vt:variant>
        <vt:i4>3932214</vt:i4>
      </vt:variant>
      <vt:variant>
        <vt:i4>201</vt:i4>
      </vt:variant>
      <vt:variant>
        <vt:i4>0</vt:i4>
      </vt:variant>
      <vt:variant>
        <vt:i4>5</vt:i4>
      </vt:variant>
      <vt:variant>
        <vt:lpwstr>https://doi.org/10.1016/j.nepr.2021.103039</vt:lpwstr>
      </vt:variant>
      <vt:variant>
        <vt:lpwstr/>
      </vt:variant>
      <vt:variant>
        <vt:i4>7864399</vt:i4>
      </vt:variant>
      <vt:variant>
        <vt:i4>198</vt:i4>
      </vt:variant>
      <vt:variant>
        <vt:i4>0</vt:i4>
      </vt:variant>
      <vt:variant>
        <vt:i4>5</vt:i4>
      </vt:variant>
      <vt:variant>
        <vt:lpwstr>https://apo.org.au/sites/default/files/resource-files/2023-12/apo-nid325439_0.pdf</vt:lpwstr>
      </vt:variant>
      <vt:variant>
        <vt:lpwstr/>
      </vt:variant>
      <vt:variant>
        <vt:i4>393286</vt:i4>
      </vt:variant>
      <vt:variant>
        <vt:i4>195</vt:i4>
      </vt:variant>
      <vt:variant>
        <vt:i4>0</vt:i4>
      </vt:variant>
      <vt:variant>
        <vt:i4>5</vt:i4>
      </vt:variant>
      <vt:variant>
        <vt:lpwstr>https://www.aihw.gov.au/getmedia/4f8276f5-e467-442e-a9ef-80b8c010c690/ctgc-ip13.pdf?v=20230605181254&amp;inline=true</vt:lpwstr>
      </vt:variant>
      <vt:variant>
        <vt:lpwstr/>
      </vt:variant>
      <vt:variant>
        <vt:i4>5963863</vt:i4>
      </vt:variant>
      <vt:variant>
        <vt:i4>192</vt:i4>
      </vt:variant>
      <vt:variant>
        <vt:i4>0</vt:i4>
      </vt:variant>
      <vt:variant>
        <vt:i4>5</vt:i4>
      </vt:variant>
      <vt:variant>
        <vt:lpwstr>https://doi.org/10.1111/jan.13854</vt:lpwstr>
      </vt:variant>
      <vt:variant>
        <vt:lpwstr/>
      </vt:variant>
      <vt:variant>
        <vt:i4>720910</vt:i4>
      </vt:variant>
      <vt:variant>
        <vt:i4>189</vt:i4>
      </vt:variant>
      <vt:variant>
        <vt:i4>0</vt:i4>
      </vt:variant>
      <vt:variant>
        <vt:i4>5</vt:i4>
      </vt:variant>
      <vt:variant>
        <vt:lpwstr>https://doi.org/10.3389/fpsyg.2022.936181</vt:lpwstr>
      </vt:variant>
      <vt:variant>
        <vt:lpwstr/>
      </vt:variant>
      <vt:variant>
        <vt:i4>6881376</vt:i4>
      </vt:variant>
      <vt:variant>
        <vt:i4>186</vt:i4>
      </vt:variant>
      <vt:variant>
        <vt:i4>0</vt:i4>
      </vt:variant>
      <vt:variant>
        <vt:i4>5</vt:i4>
      </vt:variant>
      <vt:variant>
        <vt:lpwstr>https://doi.org/10.5694/mja17.00328</vt:lpwstr>
      </vt:variant>
      <vt:variant>
        <vt:lpwstr/>
      </vt:variant>
      <vt:variant>
        <vt:i4>458780</vt:i4>
      </vt:variant>
      <vt:variant>
        <vt:i4>183</vt:i4>
      </vt:variant>
      <vt:variant>
        <vt:i4>0</vt:i4>
      </vt:variant>
      <vt:variant>
        <vt:i4>5</vt:i4>
      </vt:variant>
      <vt:variant>
        <vt:lpwstr>https://doi.org/10.1186/s12939-019-1082-3</vt:lpwstr>
      </vt:variant>
      <vt:variant>
        <vt:lpwstr/>
      </vt:variant>
      <vt:variant>
        <vt:i4>1310774</vt:i4>
      </vt:variant>
      <vt:variant>
        <vt:i4>180</vt:i4>
      </vt:variant>
      <vt:variant>
        <vt:i4>0</vt:i4>
      </vt:variant>
      <vt:variant>
        <vt:i4>5</vt:i4>
      </vt:variant>
      <vt:variant>
        <vt:lpwstr>https://humanrights.gov.au/sites/default/files/2024-11/NARF_Full_Report_FINAL_DIGITAL_ACCESSIBLE.pdf</vt:lpwstr>
      </vt:variant>
      <vt:variant>
        <vt:lpwstr/>
      </vt:variant>
      <vt:variant>
        <vt:i4>4784178</vt:i4>
      </vt:variant>
      <vt:variant>
        <vt:i4>177</vt:i4>
      </vt:variant>
      <vt:variant>
        <vt:i4>0</vt:i4>
      </vt:variant>
      <vt:variant>
        <vt:i4>5</vt:i4>
      </vt:variant>
      <vt:variant>
        <vt:lpwstr>https://humanrights.gov.au/__data/assets/file/0015/50334/Consultation_report.pdf</vt:lpwstr>
      </vt:variant>
      <vt:variant>
        <vt:lpwstr/>
      </vt:variant>
      <vt:variant>
        <vt:i4>262214</vt:i4>
      </vt:variant>
      <vt:variant>
        <vt:i4>174</vt:i4>
      </vt:variant>
      <vt:variant>
        <vt:i4>0</vt:i4>
      </vt:variant>
      <vt:variant>
        <vt:i4>5</vt:i4>
      </vt:variant>
      <vt:variant>
        <vt:lpwstr>https://www.aihw.gov.au/reports-data/population-groups/cald-australians/overview</vt:lpwstr>
      </vt:variant>
      <vt:variant>
        <vt:lpwstr/>
      </vt:variant>
      <vt:variant>
        <vt:i4>5636172</vt:i4>
      </vt:variant>
      <vt:variant>
        <vt:i4>171</vt:i4>
      </vt:variant>
      <vt:variant>
        <vt:i4>0</vt:i4>
      </vt:variant>
      <vt:variant>
        <vt:i4>5</vt:i4>
      </vt:variant>
      <vt:variant>
        <vt:lpwstr>https://catsinam.org.au/common/Uploaded files/_CATSINaM/2024/CATSINaM-NNWS-Submission_Final.pdf</vt:lpwstr>
      </vt:variant>
      <vt:variant>
        <vt:lpwstr/>
      </vt:variant>
      <vt:variant>
        <vt:i4>2228320</vt:i4>
      </vt:variant>
      <vt:variant>
        <vt:i4>168</vt:i4>
      </vt:variant>
      <vt:variant>
        <vt:i4>0</vt:i4>
      </vt:variant>
      <vt:variant>
        <vt:i4>5</vt:i4>
      </vt:variant>
      <vt:variant>
        <vt:lpwstr>https://www.health.gov.au/resources/publications/national-aboriginal-and-torres-strait-islander-health-workforce-strategic-framework-and-implementation-plan-2021-2031?language=en</vt:lpwstr>
      </vt:variant>
      <vt:variant>
        <vt:lpwstr/>
      </vt:variant>
      <vt:variant>
        <vt:i4>3211311</vt:i4>
      </vt:variant>
      <vt:variant>
        <vt:i4>165</vt:i4>
      </vt:variant>
      <vt:variant>
        <vt:i4>0</vt:i4>
      </vt:variant>
      <vt:variant>
        <vt:i4>5</vt:i4>
      </vt:variant>
      <vt:variant>
        <vt:lpwstr>https://doi.org/10.1016/j.ijnurstu.2020.103842</vt:lpwstr>
      </vt:variant>
      <vt:variant>
        <vt:lpwstr/>
      </vt:variant>
      <vt:variant>
        <vt:i4>7274591</vt:i4>
      </vt:variant>
      <vt:variant>
        <vt:i4>162</vt:i4>
      </vt:variant>
      <vt:variant>
        <vt:i4>0</vt:i4>
      </vt:variant>
      <vt:variant>
        <vt:i4>5</vt:i4>
      </vt:variant>
      <vt:variant>
        <vt:lpwstr>https://www.icn.ch/sites/default/files/2023-06/ICN_Code-of-Ethics_EN_Web.pdf</vt:lpwstr>
      </vt:variant>
      <vt:variant>
        <vt:lpwstr/>
      </vt:variant>
      <vt:variant>
        <vt:i4>7733347</vt:i4>
      </vt:variant>
      <vt:variant>
        <vt:i4>159</vt:i4>
      </vt:variant>
      <vt:variant>
        <vt:i4>0</vt:i4>
      </vt:variant>
      <vt:variant>
        <vt:i4>5</vt:i4>
      </vt:variant>
      <vt:variant>
        <vt:lpwstr>https://www.icn.ch/sites/default/files/inline-files/ICN PS Nurses%252c climate change and health FINAL .pdf</vt:lpwstr>
      </vt:variant>
      <vt:variant>
        <vt:lpwstr/>
      </vt:variant>
      <vt:variant>
        <vt:i4>852032</vt:i4>
      </vt:variant>
      <vt:variant>
        <vt:i4>156</vt:i4>
      </vt:variant>
      <vt:variant>
        <vt:i4>0</vt:i4>
      </vt:variant>
      <vt:variant>
        <vt:i4>5</vt:i4>
      </vt:variant>
      <vt:variant>
        <vt:lpwstr>https://doi.org/10.1080/10376178.2024.2336230</vt:lpwstr>
      </vt:variant>
      <vt:variant>
        <vt:lpwstr/>
      </vt:variant>
      <vt:variant>
        <vt:i4>7733347</vt:i4>
      </vt:variant>
      <vt:variant>
        <vt:i4>153</vt:i4>
      </vt:variant>
      <vt:variant>
        <vt:i4>0</vt:i4>
      </vt:variant>
      <vt:variant>
        <vt:i4>5</vt:i4>
      </vt:variant>
      <vt:variant>
        <vt:lpwstr>https://www.icn.ch/sites/default/files/inline-files/ICN PS Nurses%252c climate change and health FINAL .pdf</vt:lpwstr>
      </vt:variant>
      <vt:variant>
        <vt:lpwstr/>
      </vt:variant>
      <vt:variant>
        <vt:i4>5177364</vt:i4>
      </vt:variant>
      <vt:variant>
        <vt:i4>150</vt:i4>
      </vt:variant>
      <vt:variant>
        <vt:i4>0</vt:i4>
      </vt:variant>
      <vt:variant>
        <vt:i4>5</vt:i4>
      </vt:variant>
      <vt:variant>
        <vt:lpwstr>https://www.health.gov.au/resources/publications/national-health-and-climate-strategy?language=en</vt:lpwstr>
      </vt:variant>
      <vt:variant>
        <vt:lpwstr/>
      </vt:variant>
      <vt:variant>
        <vt:i4>5505148</vt:i4>
      </vt:variant>
      <vt:variant>
        <vt:i4>147</vt:i4>
      </vt:variant>
      <vt:variant>
        <vt:i4>0</vt:i4>
      </vt:variant>
      <vt:variant>
        <vt:i4>5</vt:i4>
      </vt:variant>
      <vt:variant>
        <vt:lpwstr>https://www.health.gov.au/sites/default/files/2024-04/unleashing-the-potential-of-our-health-workforce-scope-of-practice-review-issues-paper-2_0.pdf</vt:lpwstr>
      </vt:variant>
      <vt:variant>
        <vt:lpwstr/>
      </vt:variant>
      <vt:variant>
        <vt:i4>4390930</vt:i4>
      </vt:variant>
      <vt:variant>
        <vt:i4>144</vt:i4>
      </vt:variant>
      <vt:variant>
        <vt:i4>0</vt:i4>
      </vt:variant>
      <vt:variant>
        <vt:i4>5</vt:i4>
      </vt:variant>
      <vt:variant>
        <vt:lpwstr>https://www.health.gov.au/resources/publications/national-nursing-workforce-strategy-volume-2-research-report?language=en</vt:lpwstr>
      </vt:variant>
      <vt:variant>
        <vt:lpwstr/>
      </vt:variant>
      <vt:variant>
        <vt:i4>5505148</vt:i4>
      </vt:variant>
      <vt:variant>
        <vt:i4>141</vt:i4>
      </vt:variant>
      <vt:variant>
        <vt:i4>0</vt:i4>
      </vt:variant>
      <vt:variant>
        <vt:i4>5</vt:i4>
      </vt:variant>
      <vt:variant>
        <vt:lpwstr>https://www.health.gov.au/sites/default/files/2024-04/unleashing-the-potential-of-our-health-workforce-scope-of-practice-review-issues-paper-2_0.pdf</vt:lpwstr>
      </vt:variant>
      <vt:variant>
        <vt:lpwstr/>
      </vt:variant>
      <vt:variant>
        <vt:i4>8257590</vt:i4>
      </vt:variant>
      <vt:variant>
        <vt:i4>138</vt:i4>
      </vt:variant>
      <vt:variant>
        <vt:i4>0</vt:i4>
      </vt:variant>
      <vt:variant>
        <vt:i4>5</vt:i4>
      </vt:variant>
      <vt:variant>
        <vt:lpwstr>https://www.nursingmidwiferyboard.gov.au/codes-guidelines-statements/professional-standards/registered-nurse-standards-for-practice.aspx</vt:lpwstr>
      </vt:variant>
      <vt:variant>
        <vt:lpwstr>:~:text=Scope%20of%20practice%20is%20that,requirements%20of%20the%20service%20provider.</vt:lpwstr>
      </vt:variant>
      <vt:variant>
        <vt:i4>3866646</vt:i4>
      </vt:variant>
      <vt:variant>
        <vt:i4>135</vt:i4>
      </vt:variant>
      <vt:variant>
        <vt:i4>0</vt:i4>
      </vt:variant>
      <vt:variant>
        <vt:i4>5</vt:i4>
      </vt:variant>
      <vt:variant>
        <vt:lpwstr>https://www.health.gov.au/sites/default/files/2024-11/unleashing-the-potential-of-our-health-workforce-scope-of-practice-review-final-report_0.pdf</vt:lpwstr>
      </vt:variant>
      <vt:variant>
        <vt:lpwstr/>
      </vt:variant>
      <vt:variant>
        <vt:i4>1769492</vt:i4>
      </vt:variant>
      <vt:variant>
        <vt:i4>132</vt:i4>
      </vt:variant>
      <vt:variant>
        <vt:i4>0</vt:i4>
      </vt:variant>
      <vt:variant>
        <vt:i4>5</vt:i4>
      </vt:variant>
      <vt:variant>
        <vt:lpwstr>https://www.acn.edu.au/wp-content/uploads/position-statement-nurse-genomics-clinical-practice.pdf</vt:lpwstr>
      </vt:variant>
      <vt:variant>
        <vt:lpwstr/>
      </vt:variant>
      <vt:variant>
        <vt:i4>6488183</vt:i4>
      </vt:variant>
      <vt:variant>
        <vt:i4>129</vt:i4>
      </vt:variant>
      <vt:variant>
        <vt:i4>0</vt:i4>
      </vt:variant>
      <vt:variant>
        <vt:i4>5</vt:i4>
      </vt:variant>
      <vt:variant>
        <vt:lpwstr>https://www.health.gov.au/topics/genetics-and-genomics</vt:lpwstr>
      </vt:variant>
      <vt:variant>
        <vt:lpwstr/>
      </vt:variant>
      <vt:variant>
        <vt:i4>4390930</vt:i4>
      </vt:variant>
      <vt:variant>
        <vt:i4>126</vt:i4>
      </vt:variant>
      <vt:variant>
        <vt:i4>0</vt:i4>
      </vt:variant>
      <vt:variant>
        <vt:i4>5</vt:i4>
      </vt:variant>
      <vt:variant>
        <vt:lpwstr>https://www.health.gov.au/resources/publications/national-nursing-workforce-strategy-volume-2-research-report?language=en</vt:lpwstr>
      </vt:variant>
      <vt:variant>
        <vt:lpwstr/>
      </vt:variant>
      <vt:variant>
        <vt:i4>6619187</vt:i4>
      </vt:variant>
      <vt:variant>
        <vt:i4>123</vt:i4>
      </vt:variant>
      <vt:variant>
        <vt:i4>0</vt:i4>
      </vt:variant>
      <vt:variant>
        <vt:i4>5</vt:i4>
      </vt:variant>
      <vt:variant>
        <vt:lpwstr>https://nla.gov.au/nla.obj-2966079742/view</vt:lpwstr>
      </vt:variant>
      <vt:variant>
        <vt:lpwstr/>
      </vt:variant>
      <vt:variant>
        <vt:i4>2162720</vt:i4>
      </vt:variant>
      <vt:variant>
        <vt:i4>120</vt:i4>
      </vt:variant>
      <vt:variant>
        <vt:i4>0</vt:i4>
      </vt:variant>
      <vt:variant>
        <vt:i4>5</vt:i4>
      </vt:variant>
      <vt:variant>
        <vt:lpwstr>https://www.education.gov.au/australian-universities-accord/resources/final-report</vt:lpwstr>
      </vt:variant>
      <vt:variant>
        <vt:lpwstr/>
      </vt:variant>
      <vt:variant>
        <vt:i4>4390929</vt:i4>
      </vt:variant>
      <vt:variant>
        <vt:i4>115</vt:i4>
      </vt:variant>
      <vt:variant>
        <vt:i4>0</vt:i4>
      </vt:variant>
      <vt:variant>
        <vt:i4>5</vt:i4>
      </vt:variant>
      <vt:variant>
        <vt:lpwstr>https://www.health.gov.au/resources/publications/national-nursing-workforce-strategy-volume-1-research-report?language=en</vt:lpwstr>
      </vt:variant>
      <vt:variant>
        <vt:lpwstr/>
      </vt:variant>
      <vt:variant>
        <vt:i4>4390929</vt:i4>
      </vt:variant>
      <vt:variant>
        <vt:i4>113</vt:i4>
      </vt:variant>
      <vt:variant>
        <vt:i4>0</vt:i4>
      </vt:variant>
      <vt:variant>
        <vt:i4>5</vt:i4>
      </vt:variant>
      <vt:variant>
        <vt:lpwstr>https://www.health.gov.au/resources/publications/national-nursing-workforce-strategy-volume-1-research-report?language=en</vt:lpwstr>
      </vt:variant>
      <vt:variant>
        <vt:lpwstr/>
      </vt:variant>
      <vt:variant>
        <vt:i4>4390929</vt:i4>
      </vt:variant>
      <vt:variant>
        <vt:i4>111</vt:i4>
      </vt:variant>
      <vt:variant>
        <vt:i4>0</vt:i4>
      </vt:variant>
      <vt:variant>
        <vt:i4>5</vt:i4>
      </vt:variant>
      <vt:variant>
        <vt:lpwstr>https://www.health.gov.au/resources/publications/national-nursing-workforce-strategy-volume-1-research-report?language=en</vt:lpwstr>
      </vt:variant>
      <vt:variant>
        <vt:lpwstr/>
      </vt:variant>
      <vt:variant>
        <vt:i4>65605</vt:i4>
      </vt:variant>
      <vt:variant>
        <vt:i4>108</vt:i4>
      </vt:variant>
      <vt:variant>
        <vt:i4>0</vt:i4>
      </vt:variant>
      <vt:variant>
        <vt:i4>5</vt:i4>
      </vt:variant>
      <vt:variant>
        <vt:lpwstr>https://www.health.gov.au/sites/default/files/documents/2019/12/educating-the-nurse-of-the-future.pdf</vt:lpwstr>
      </vt:variant>
      <vt:variant>
        <vt:lpwstr/>
      </vt:variant>
      <vt:variant>
        <vt:i4>4390930</vt:i4>
      </vt:variant>
      <vt:variant>
        <vt:i4>105</vt:i4>
      </vt:variant>
      <vt:variant>
        <vt:i4>0</vt:i4>
      </vt:variant>
      <vt:variant>
        <vt:i4>5</vt:i4>
      </vt:variant>
      <vt:variant>
        <vt:lpwstr>https://www.health.gov.au/resources/publications/national-nursing-workforce-strategy-volume-2-research-report?language=en</vt:lpwstr>
      </vt:variant>
      <vt:variant>
        <vt:lpwstr/>
      </vt:variant>
      <vt:variant>
        <vt:i4>4390929</vt:i4>
      </vt:variant>
      <vt:variant>
        <vt:i4>102</vt:i4>
      </vt:variant>
      <vt:variant>
        <vt:i4>0</vt:i4>
      </vt:variant>
      <vt:variant>
        <vt:i4>5</vt:i4>
      </vt:variant>
      <vt:variant>
        <vt:lpwstr>https://www.health.gov.au/resources/publications/national-nursing-workforce-strategy-volume-1-research-report?language=en</vt:lpwstr>
      </vt:variant>
      <vt:variant>
        <vt:lpwstr/>
      </vt:variant>
      <vt:variant>
        <vt:i4>4390929</vt:i4>
      </vt:variant>
      <vt:variant>
        <vt:i4>99</vt:i4>
      </vt:variant>
      <vt:variant>
        <vt:i4>0</vt:i4>
      </vt:variant>
      <vt:variant>
        <vt:i4>5</vt:i4>
      </vt:variant>
      <vt:variant>
        <vt:lpwstr>https://www.health.gov.au/resources/publications/national-nursing-workforce-strategy-volume-1-research-report?language=en</vt:lpwstr>
      </vt:variant>
      <vt:variant>
        <vt:lpwstr/>
      </vt:variant>
      <vt:variant>
        <vt:i4>5242962</vt:i4>
      </vt:variant>
      <vt:variant>
        <vt:i4>96</vt:i4>
      </vt:variant>
      <vt:variant>
        <vt:i4>0</vt:i4>
      </vt:variant>
      <vt:variant>
        <vt:i4>5</vt:i4>
      </vt:variant>
      <vt:variant>
        <vt:lpwstr>https://www.pmc.gov.au/resources/covid-19-response-inquiry-report</vt:lpwstr>
      </vt:variant>
      <vt:variant>
        <vt:lpwstr/>
      </vt:variant>
      <vt:variant>
        <vt:i4>262238</vt:i4>
      </vt:variant>
      <vt:variant>
        <vt:i4>93</vt:i4>
      </vt:variant>
      <vt:variant>
        <vt:i4>0</vt:i4>
      </vt:variant>
      <vt:variant>
        <vt:i4>5</vt:i4>
      </vt:variant>
      <vt:variant>
        <vt:lpwstr>https://www.icn.ch/resources/publications-and-reports</vt:lpwstr>
      </vt:variant>
      <vt:variant>
        <vt:lpwstr/>
      </vt:variant>
      <vt:variant>
        <vt:i4>3538977</vt:i4>
      </vt:variant>
      <vt:variant>
        <vt:i4>90</vt:i4>
      </vt:variant>
      <vt:variant>
        <vt:i4>0</vt:i4>
      </vt:variant>
      <vt:variant>
        <vt:i4>5</vt:i4>
      </vt:variant>
      <vt:variant>
        <vt:lpwstr>https://iris.who.int/bitstream/handle/10665/344562/9789240033863-eng.pdf?sequence=1</vt:lpwstr>
      </vt:variant>
      <vt:variant>
        <vt:lpwstr/>
      </vt:variant>
      <vt:variant>
        <vt:i4>4391000</vt:i4>
      </vt:variant>
      <vt:variant>
        <vt:i4>87</vt:i4>
      </vt:variant>
      <vt:variant>
        <vt:i4>0</vt:i4>
      </vt:variant>
      <vt:variant>
        <vt:i4>5</vt:i4>
      </vt:variant>
      <vt:variant>
        <vt:lpwstr>https://www.aihw.gov.au/reports/australias-health/health-system-overview</vt:lpwstr>
      </vt:variant>
      <vt:variant>
        <vt:lpwstr/>
      </vt:variant>
      <vt:variant>
        <vt:i4>262217</vt:i4>
      </vt:variant>
      <vt:variant>
        <vt:i4>84</vt:i4>
      </vt:variant>
      <vt:variant>
        <vt:i4>0</vt:i4>
      </vt:variant>
      <vt:variant>
        <vt:i4>5</vt:i4>
      </vt:variant>
      <vt:variant>
        <vt:lpwstr>https://www.health.gov.au/our-work/2020-25-national-health-reform-agreement-nhra</vt:lpwstr>
      </vt:variant>
      <vt:variant>
        <vt:lpwstr/>
      </vt:variant>
      <vt:variant>
        <vt:i4>1179648</vt:i4>
      </vt:variant>
      <vt:variant>
        <vt:i4>81</vt:i4>
      </vt:variant>
      <vt:variant>
        <vt:i4>0</vt:i4>
      </vt:variant>
      <vt:variant>
        <vt:i4>5</vt:i4>
      </vt:variant>
      <vt:variant>
        <vt:lpwstr>https://hwd.health.gov.au/supply-and-demand/nursing-supply-demand-study.html</vt:lpwstr>
      </vt:variant>
      <vt:variant>
        <vt:lpwstr/>
      </vt:variant>
      <vt:variant>
        <vt:i4>327706</vt:i4>
      </vt:variant>
      <vt:variant>
        <vt:i4>78</vt:i4>
      </vt:variant>
      <vt:variant>
        <vt:i4>0</vt:i4>
      </vt:variant>
      <vt:variant>
        <vt:i4>5</vt:i4>
      </vt:variant>
      <vt:variant>
        <vt:lpwstr>https://hwd.health.gov.au/resources/primary/nursing-supply-and-demand-study-2023-2035.pdf</vt:lpwstr>
      </vt:variant>
      <vt:variant>
        <vt:lpwstr/>
      </vt:variant>
      <vt:variant>
        <vt:i4>6225942</vt:i4>
      </vt:variant>
      <vt:variant>
        <vt:i4>75</vt:i4>
      </vt:variant>
      <vt:variant>
        <vt:i4>0</vt:i4>
      </vt:variant>
      <vt:variant>
        <vt:i4>5</vt:i4>
      </vt:variant>
      <vt:variant>
        <vt:lpwstr>https://www.acn.edu.au/advocacy-policy/policy-paper-men-in-nursing-guiding-principles</vt:lpwstr>
      </vt:variant>
      <vt:variant>
        <vt:lpwstr/>
      </vt:variant>
      <vt:variant>
        <vt:i4>6881406</vt:i4>
      </vt:variant>
      <vt:variant>
        <vt:i4>72</vt:i4>
      </vt:variant>
      <vt:variant>
        <vt:i4>0</vt:i4>
      </vt:variant>
      <vt:variant>
        <vt:i4>5</vt:i4>
      </vt:variant>
      <vt:variant>
        <vt:lpwstr>https://www.rcn.org.uk/professional-development/publications/pub-007954</vt:lpwstr>
      </vt:variant>
      <vt:variant>
        <vt:lpwstr/>
      </vt:variant>
      <vt:variant>
        <vt:i4>2228260</vt:i4>
      </vt:variant>
      <vt:variant>
        <vt:i4>69</vt:i4>
      </vt:variant>
      <vt:variant>
        <vt:i4>0</vt:i4>
      </vt:variant>
      <vt:variant>
        <vt:i4>5</vt:i4>
      </vt:variant>
      <vt:variant>
        <vt:lpwstr>https://www.icn.ch/resources/publications-and-reports/international-nurses-day-2024-report</vt:lpwstr>
      </vt:variant>
      <vt:variant>
        <vt:lpwstr/>
      </vt:variant>
      <vt:variant>
        <vt:i4>655386</vt:i4>
      </vt:variant>
      <vt:variant>
        <vt:i4>66</vt:i4>
      </vt:variant>
      <vt:variant>
        <vt:i4>0</vt:i4>
      </vt:variant>
      <vt:variant>
        <vt:i4>5</vt:i4>
      </vt:variant>
      <vt:variant>
        <vt:lpwstr>https://hwd.health.gov.au/resources/dashboards/nhwds-nursing-factsheets.html</vt:lpwstr>
      </vt:variant>
      <vt:variant>
        <vt:lpwstr/>
      </vt:variant>
      <vt:variant>
        <vt:i4>3407908</vt:i4>
      </vt:variant>
      <vt:variant>
        <vt:i4>63</vt:i4>
      </vt:variant>
      <vt:variant>
        <vt:i4>0</vt:i4>
      </vt:variant>
      <vt:variant>
        <vt:i4>5</vt:i4>
      </vt:variant>
      <vt:variant>
        <vt:lpwstr>https://iris.who.int/bitstream/handle/10665/331677/9789240003279-eng.pdf?sequence=1</vt:lpwstr>
      </vt:variant>
      <vt:variant>
        <vt:lpwstr/>
      </vt:variant>
      <vt:variant>
        <vt:i4>5505118</vt:i4>
      </vt:variant>
      <vt:variant>
        <vt:i4>60</vt:i4>
      </vt:variant>
      <vt:variant>
        <vt:i4>0</vt:i4>
      </vt:variant>
      <vt:variant>
        <vt:i4>5</vt:i4>
      </vt:variant>
      <vt:variant>
        <vt:lpwstr>https://www.icn.ch/sites/default/files/2023-04/Sustain and Retain in 2022 and Beyond- The global nursing workforce and the COVID-19 pandemic.pdf</vt:lpwstr>
      </vt:variant>
      <vt:variant>
        <vt:lpwstr/>
      </vt:variant>
      <vt:variant>
        <vt:i4>5046391</vt:i4>
      </vt:variant>
      <vt:variant>
        <vt:i4>57</vt:i4>
      </vt:variant>
      <vt:variant>
        <vt:i4>0</vt:i4>
      </vt:variant>
      <vt:variant>
        <vt:i4>5</vt:i4>
      </vt:variant>
      <vt:variant>
        <vt:lpwstr>https://www.unimelb.edu.au/__data/assets/pdf_file/0004/4085194/katelyn_mannix_report.pdf</vt:lpwstr>
      </vt:variant>
      <vt:variant>
        <vt:lpwstr/>
      </vt:variant>
      <vt:variant>
        <vt:i4>1638465</vt:i4>
      </vt:variant>
      <vt:variant>
        <vt:i4>54</vt:i4>
      </vt:variant>
      <vt:variant>
        <vt:i4>0</vt:i4>
      </vt:variant>
      <vt:variant>
        <vt:i4>5</vt:i4>
      </vt:variant>
      <vt:variant>
        <vt:lpwstr>https://www.who.int/publications/i/item/9789241511308</vt:lpwstr>
      </vt:variant>
      <vt:variant>
        <vt:lpwstr/>
      </vt:variant>
      <vt:variant>
        <vt:i4>7471110</vt:i4>
      </vt:variant>
      <vt:variant>
        <vt:i4>51</vt:i4>
      </vt:variant>
      <vt:variant>
        <vt:i4>0</vt:i4>
      </vt:variant>
      <vt:variant>
        <vt:i4>5</vt:i4>
      </vt:variant>
      <vt:variant>
        <vt:lpwstr>https://www.mckinsey.com/~/media/mckinsey/industries/public and social sector/our insights/prioritizing health a prescription for prosperity/mgi_prioritizing health_report_july 2020.pdf</vt:lpwstr>
      </vt:variant>
      <vt:variant>
        <vt:lpwstr/>
      </vt:variant>
      <vt:variant>
        <vt:i4>7471110</vt:i4>
      </vt:variant>
      <vt:variant>
        <vt:i4>48</vt:i4>
      </vt:variant>
      <vt:variant>
        <vt:i4>0</vt:i4>
      </vt:variant>
      <vt:variant>
        <vt:i4>5</vt:i4>
      </vt:variant>
      <vt:variant>
        <vt:lpwstr>https://www.mckinsey.com/~/media/mckinsey/industries/public and social sector/our insights/prioritizing health a prescription for prosperity/mgi_prioritizing health_report_july 2020.pdf</vt:lpwstr>
      </vt:variant>
      <vt:variant>
        <vt:lpwstr/>
      </vt:variant>
      <vt:variant>
        <vt:i4>5963863</vt:i4>
      </vt:variant>
      <vt:variant>
        <vt:i4>45</vt:i4>
      </vt:variant>
      <vt:variant>
        <vt:i4>0</vt:i4>
      </vt:variant>
      <vt:variant>
        <vt:i4>5</vt:i4>
      </vt:variant>
      <vt:variant>
        <vt:lpwstr>https://doi.org/10.1002/hec.1053</vt:lpwstr>
      </vt:variant>
      <vt:variant>
        <vt:lpwstr/>
      </vt:variant>
      <vt:variant>
        <vt:i4>2228260</vt:i4>
      </vt:variant>
      <vt:variant>
        <vt:i4>42</vt:i4>
      </vt:variant>
      <vt:variant>
        <vt:i4>0</vt:i4>
      </vt:variant>
      <vt:variant>
        <vt:i4>5</vt:i4>
      </vt:variant>
      <vt:variant>
        <vt:lpwstr>https://www.icn.ch/resources/publications-and-reports/international-nurses-day-2024-report</vt:lpwstr>
      </vt:variant>
      <vt:variant>
        <vt:lpwstr/>
      </vt:variant>
      <vt:variant>
        <vt:i4>7471110</vt:i4>
      </vt:variant>
      <vt:variant>
        <vt:i4>39</vt:i4>
      </vt:variant>
      <vt:variant>
        <vt:i4>0</vt:i4>
      </vt:variant>
      <vt:variant>
        <vt:i4>5</vt:i4>
      </vt:variant>
      <vt:variant>
        <vt:lpwstr>https://www.mckinsey.com/~/media/mckinsey/industries/public and social sector/our insights/prioritizing health a prescription for prosperity/mgi_prioritizing health_report_july 2020.pdf</vt:lpwstr>
      </vt:variant>
      <vt:variant>
        <vt:lpwstr/>
      </vt:variant>
      <vt:variant>
        <vt:i4>2228260</vt:i4>
      </vt:variant>
      <vt:variant>
        <vt:i4>36</vt:i4>
      </vt:variant>
      <vt:variant>
        <vt:i4>0</vt:i4>
      </vt:variant>
      <vt:variant>
        <vt:i4>5</vt:i4>
      </vt:variant>
      <vt:variant>
        <vt:lpwstr>https://www.icn.ch/resources/publications-and-reports/international-nurses-day-2024-report</vt:lpwstr>
      </vt:variant>
      <vt:variant>
        <vt:lpwstr/>
      </vt:variant>
      <vt:variant>
        <vt:i4>4194413</vt:i4>
      </vt:variant>
      <vt:variant>
        <vt:i4>33</vt:i4>
      </vt:variant>
      <vt:variant>
        <vt:i4>0</vt:i4>
      </vt:variant>
      <vt:variant>
        <vt:i4>5</vt:i4>
      </vt:variant>
      <vt:variant>
        <vt:lpwstr>https://www.icn.ch/sites/default/files/2023-07/ICN_Recover-to-Rebuild_report_EN.pdf</vt:lpwstr>
      </vt:variant>
      <vt:variant>
        <vt:lpwstr/>
      </vt:variant>
      <vt:variant>
        <vt:i4>4194413</vt:i4>
      </vt:variant>
      <vt:variant>
        <vt:i4>30</vt:i4>
      </vt:variant>
      <vt:variant>
        <vt:i4>0</vt:i4>
      </vt:variant>
      <vt:variant>
        <vt:i4>5</vt:i4>
      </vt:variant>
      <vt:variant>
        <vt:lpwstr>https://www.icn.ch/sites/default/files/2023-07/ICN_Recover-to-Rebuild_report_EN.pdf</vt:lpwstr>
      </vt:variant>
      <vt:variant>
        <vt:lpwstr/>
      </vt:variant>
      <vt:variant>
        <vt:i4>655386</vt:i4>
      </vt:variant>
      <vt:variant>
        <vt:i4>27</vt:i4>
      </vt:variant>
      <vt:variant>
        <vt:i4>0</vt:i4>
      </vt:variant>
      <vt:variant>
        <vt:i4>5</vt:i4>
      </vt:variant>
      <vt:variant>
        <vt:lpwstr>https://hwd.health.gov.au/resources/dashboards/nhwds-nursing-factsheets.html</vt:lpwstr>
      </vt:variant>
      <vt:variant>
        <vt:lpwstr/>
      </vt:variant>
      <vt:variant>
        <vt:i4>6946940</vt:i4>
      </vt:variant>
      <vt:variant>
        <vt:i4>24</vt:i4>
      </vt:variant>
      <vt:variant>
        <vt:i4>0</vt:i4>
      </vt:variant>
      <vt:variant>
        <vt:i4>5</vt:i4>
      </vt:variant>
      <vt:variant>
        <vt:lpwstr>https://www.aihw.gov.au/reports/workforce/health-workforce</vt:lpwstr>
      </vt:variant>
      <vt:variant>
        <vt:lpwstr/>
      </vt:variant>
      <vt:variant>
        <vt:i4>4194413</vt:i4>
      </vt:variant>
      <vt:variant>
        <vt:i4>21</vt:i4>
      </vt:variant>
      <vt:variant>
        <vt:i4>0</vt:i4>
      </vt:variant>
      <vt:variant>
        <vt:i4>5</vt:i4>
      </vt:variant>
      <vt:variant>
        <vt:lpwstr>https://www.icn.ch/sites/default/files/2023-07/ICN_Recover-to-Rebuild_report_EN.pdf</vt:lpwstr>
      </vt:variant>
      <vt:variant>
        <vt:lpwstr/>
      </vt:variant>
      <vt:variant>
        <vt:i4>4194413</vt:i4>
      </vt:variant>
      <vt:variant>
        <vt:i4>18</vt:i4>
      </vt:variant>
      <vt:variant>
        <vt:i4>0</vt:i4>
      </vt:variant>
      <vt:variant>
        <vt:i4>5</vt:i4>
      </vt:variant>
      <vt:variant>
        <vt:lpwstr>https://www.icn.ch/sites/default/files/2023-07/ICN_Recover-to-Rebuild_report_EN.pdf</vt:lpwstr>
      </vt:variant>
      <vt:variant>
        <vt:lpwstr/>
      </vt:variant>
      <vt:variant>
        <vt:i4>8323117</vt:i4>
      </vt:variant>
      <vt:variant>
        <vt:i4>15</vt:i4>
      </vt:variant>
      <vt:variant>
        <vt:i4>0</vt:i4>
      </vt:variant>
      <vt:variant>
        <vt:i4>5</vt:i4>
      </vt:variant>
      <vt:variant>
        <vt:lpwstr>https://www.aihw.gov.au/reports/australias-health/profile-of-australias-population</vt:lpwstr>
      </vt:variant>
      <vt:variant>
        <vt:lpwstr/>
      </vt:variant>
      <vt:variant>
        <vt:i4>8323117</vt:i4>
      </vt:variant>
      <vt:variant>
        <vt:i4>12</vt:i4>
      </vt:variant>
      <vt:variant>
        <vt:i4>0</vt:i4>
      </vt:variant>
      <vt:variant>
        <vt:i4>5</vt:i4>
      </vt:variant>
      <vt:variant>
        <vt:lpwstr>https://www.aihw.gov.au/reports/australias-health/profile-of-australias-population</vt:lpwstr>
      </vt:variant>
      <vt:variant>
        <vt:lpwstr/>
      </vt:variant>
      <vt:variant>
        <vt:i4>1376279</vt:i4>
      </vt:variant>
      <vt:variant>
        <vt:i4>9</vt:i4>
      </vt:variant>
      <vt:variant>
        <vt:i4>0</vt:i4>
      </vt:variant>
      <vt:variant>
        <vt:i4>5</vt:i4>
      </vt:variant>
      <vt:variant>
        <vt:lpwstr>https://www.abs.gov.au/statistics/people/population/national-state-and-territory-population/jun-2024</vt:lpwstr>
      </vt:variant>
      <vt:variant>
        <vt:lpwstr>cite-window1</vt:lpwstr>
      </vt:variant>
      <vt:variant>
        <vt:i4>720988</vt:i4>
      </vt:variant>
      <vt:variant>
        <vt:i4>6</vt:i4>
      </vt:variant>
      <vt:variant>
        <vt:i4>0</vt:i4>
      </vt:variant>
      <vt:variant>
        <vt:i4>5</vt:i4>
      </vt:variant>
      <vt:variant>
        <vt:lpwstr>https://www.britannica.com/topic/list-of-the-total-areas-of-the-worlds-countries-dependencies-and-territories-2130540</vt:lpwstr>
      </vt:variant>
      <vt:variant>
        <vt:lpwstr/>
      </vt:variant>
      <vt:variant>
        <vt:i4>2228260</vt:i4>
      </vt:variant>
      <vt:variant>
        <vt:i4>3</vt:i4>
      </vt:variant>
      <vt:variant>
        <vt:i4>0</vt:i4>
      </vt:variant>
      <vt:variant>
        <vt:i4>5</vt:i4>
      </vt:variant>
      <vt:variant>
        <vt:lpwstr>https://www.icn.ch/resources/publications-and-reports/international-nurses-day-2024-report</vt:lpwstr>
      </vt:variant>
      <vt:variant>
        <vt:lpwstr/>
      </vt:variant>
      <vt:variant>
        <vt:i4>1638465</vt:i4>
      </vt:variant>
      <vt:variant>
        <vt:i4>0</vt:i4>
      </vt:variant>
      <vt:variant>
        <vt:i4>0</vt:i4>
      </vt:variant>
      <vt:variant>
        <vt:i4>5</vt:i4>
      </vt:variant>
      <vt:variant>
        <vt:lpwstr>https://www.who.int/publications/i/item/9789241511308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Fiona</dc:creator>
  <cp:keywords/>
  <dc:description/>
  <cp:lastModifiedBy>FALLON, Liam</cp:lastModifiedBy>
  <cp:revision>2</cp:revision>
  <dcterms:created xsi:type="dcterms:W3CDTF">2026-08-06T02:16:00Z</dcterms:created>
  <dcterms:modified xsi:type="dcterms:W3CDTF">2026-08-06T02:16:00Z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0x01010091D62A8291AC574281C201B771815F2E</vt:lpwstr>
  </property>
  <property fmtid="{D5CDD505-2E9C-101B-9397-08002B2CF9AE}" pid="4" name="ClassificationContentMarkingHeaderShapeIds">
    <vt:lpwstr>78f4b3ff,64273f21,2d73548d,552e3263,7708660c</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5fba5720,b803164,50680ec0,2635cd0e,42083a33,525b3503,228cbe6b,42646d21,1ab9a696</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2026-07-31T06:43:15Z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069f809b-1370-4720-b7e9-96a9f659b0d6</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ies>
</file>